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24EC7BB" w14:textId="77777777" w:rsidTr="00A704A8">
        <w:trPr>
          <w:trHeight w:hRule="exact" w:val="851"/>
        </w:trPr>
        <w:tc>
          <w:tcPr>
            <w:tcW w:w="1276" w:type="dxa"/>
            <w:tcBorders>
              <w:bottom w:val="single" w:sz="4" w:space="0" w:color="auto"/>
            </w:tcBorders>
          </w:tcPr>
          <w:p w14:paraId="17733974" w14:textId="77777777" w:rsidR="00807D21" w:rsidRPr="00DB58B5" w:rsidRDefault="00807D21" w:rsidP="00BE1FA0"/>
        </w:tc>
        <w:tc>
          <w:tcPr>
            <w:tcW w:w="2268" w:type="dxa"/>
            <w:tcBorders>
              <w:bottom w:val="single" w:sz="4" w:space="0" w:color="auto"/>
            </w:tcBorders>
            <w:vAlign w:val="bottom"/>
          </w:tcPr>
          <w:p w14:paraId="3A6FD50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4C6F17" w14:textId="77777777" w:rsidR="00807D21" w:rsidRPr="00DB58B5" w:rsidRDefault="00BE1FA0" w:rsidP="00BE1FA0">
            <w:pPr>
              <w:jc w:val="right"/>
            </w:pPr>
            <w:r w:rsidRPr="00BE1FA0">
              <w:rPr>
                <w:sz w:val="40"/>
              </w:rPr>
              <w:t>CAT</w:t>
            </w:r>
            <w:r>
              <w:t>/C/SLV/3</w:t>
            </w:r>
          </w:p>
        </w:tc>
      </w:tr>
      <w:tr w:rsidR="00807D21" w:rsidRPr="00DB58B5" w14:paraId="6D64F9C6" w14:textId="77777777" w:rsidTr="00A704A8">
        <w:trPr>
          <w:trHeight w:hRule="exact" w:val="2835"/>
        </w:trPr>
        <w:tc>
          <w:tcPr>
            <w:tcW w:w="1276" w:type="dxa"/>
            <w:tcBorders>
              <w:top w:val="single" w:sz="4" w:space="0" w:color="auto"/>
              <w:bottom w:val="single" w:sz="12" w:space="0" w:color="auto"/>
            </w:tcBorders>
          </w:tcPr>
          <w:p w14:paraId="03512CE0" w14:textId="77777777" w:rsidR="00807D21" w:rsidRPr="00DB58B5" w:rsidRDefault="00807D21" w:rsidP="00A704A8">
            <w:pPr>
              <w:spacing w:before="120"/>
              <w:jc w:val="center"/>
            </w:pPr>
            <w:r>
              <w:rPr>
                <w:noProof/>
                <w:lang w:eastAsia="fr-CH"/>
              </w:rPr>
              <w:drawing>
                <wp:inline distT="0" distB="0" distL="0" distR="0" wp14:anchorId="336AA7C8" wp14:editId="1DB377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333BFB"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490E547" w14:textId="77777777" w:rsidR="00807D21" w:rsidRDefault="00BE1FA0" w:rsidP="00A704A8">
            <w:pPr>
              <w:spacing w:before="240"/>
            </w:pPr>
            <w:proofErr w:type="spellStart"/>
            <w:r>
              <w:t>Distr</w:t>
            </w:r>
            <w:proofErr w:type="spellEnd"/>
            <w:r>
              <w:t>. générale</w:t>
            </w:r>
          </w:p>
          <w:p w14:paraId="35B89E26" w14:textId="77777777" w:rsidR="00BE1FA0" w:rsidRDefault="00BE1FA0" w:rsidP="00BE1FA0">
            <w:pPr>
              <w:spacing w:line="240" w:lineRule="exact"/>
            </w:pPr>
            <w:r>
              <w:t>17 mars 2020</w:t>
            </w:r>
          </w:p>
          <w:p w14:paraId="0697EAFB" w14:textId="77777777" w:rsidR="00BE1FA0" w:rsidRDefault="00BE1FA0" w:rsidP="00BE1FA0">
            <w:pPr>
              <w:spacing w:line="240" w:lineRule="exact"/>
            </w:pPr>
            <w:r>
              <w:t>Français</w:t>
            </w:r>
          </w:p>
          <w:p w14:paraId="0D1E4420" w14:textId="77777777" w:rsidR="00BE1FA0" w:rsidRDefault="00BE1FA0" w:rsidP="00BE1FA0">
            <w:pPr>
              <w:spacing w:line="240" w:lineRule="exact"/>
            </w:pPr>
            <w:r>
              <w:t>Original : espagnol</w:t>
            </w:r>
          </w:p>
          <w:p w14:paraId="5D284827" w14:textId="77777777" w:rsidR="00BE1FA0" w:rsidRPr="00DB58B5" w:rsidRDefault="00BE1FA0" w:rsidP="00BE1FA0">
            <w:pPr>
              <w:spacing w:line="240" w:lineRule="exact"/>
            </w:pPr>
            <w:r>
              <w:t>Anglais, espagnol et français seulement</w:t>
            </w:r>
          </w:p>
        </w:tc>
      </w:tr>
    </w:tbl>
    <w:p w14:paraId="55CF1990"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514943D" w14:textId="77777777" w:rsidR="00BA41F4" w:rsidRDefault="00BE1FA0" w:rsidP="000A5D15">
      <w:pPr>
        <w:pStyle w:val="HMG"/>
        <w:rPr>
          <w:sz w:val="20"/>
        </w:rPr>
      </w:pPr>
      <w:r>
        <w:tab/>
      </w:r>
      <w:r>
        <w:tab/>
        <w:t>Troisième rapport périodique soumis par El</w:t>
      </w:r>
      <w:r w:rsidR="000A5D15">
        <w:t> </w:t>
      </w:r>
      <w:r>
        <w:t>Salvador en</w:t>
      </w:r>
      <w:r w:rsidR="000A5D15">
        <w:t xml:space="preserve"> </w:t>
      </w:r>
      <w:r>
        <w:t>application de l</w:t>
      </w:r>
      <w:r w:rsidR="002A5D78">
        <w:t>’</w:t>
      </w:r>
      <w:r>
        <w:t xml:space="preserve">article 19 </w:t>
      </w:r>
      <w:r w:rsidR="000A5D15">
        <w:br/>
      </w:r>
      <w:r>
        <w:t>de la Convention, attendu en 2013</w:t>
      </w:r>
      <w:r w:rsidRPr="00BE1FA0">
        <w:rPr>
          <w:rStyle w:val="Appelnotedebasdep"/>
          <w:b w:val="0"/>
          <w:sz w:val="20"/>
          <w:vertAlign w:val="baseline"/>
        </w:rPr>
        <w:footnoteReference w:customMarkFollows="1" w:id="2"/>
        <w:t>*</w:t>
      </w:r>
    </w:p>
    <w:p w14:paraId="0187A35C" w14:textId="77777777" w:rsidR="00BE1FA0" w:rsidRDefault="00BE1FA0" w:rsidP="00BE1FA0">
      <w:pPr>
        <w:pStyle w:val="SingleTxtG"/>
        <w:jc w:val="right"/>
      </w:pPr>
      <w:r>
        <w:t>[Date de réception : 4</w:t>
      </w:r>
      <w:r w:rsidR="00975D23" w:rsidRPr="00975D23">
        <w:t> </w:t>
      </w:r>
      <w:r>
        <w:t>juin 2019]</w:t>
      </w:r>
    </w:p>
    <w:p w14:paraId="4B92A091" w14:textId="77777777" w:rsidR="00BE1FA0" w:rsidRPr="00BE1FA0" w:rsidRDefault="00BE1FA0" w:rsidP="00BE1FA0">
      <w:pPr>
        <w:spacing w:after="120"/>
        <w:rPr>
          <w:sz w:val="28"/>
        </w:rPr>
      </w:pPr>
      <w:r>
        <w:br w:type="page"/>
      </w:r>
      <w:r w:rsidRPr="00BE1FA0">
        <w:rPr>
          <w:sz w:val="28"/>
        </w:rPr>
        <w:lastRenderedPageBreak/>
        <w:t>Table des matières</w:t>
      </w:r>
    </w:p>
    <w:p w14:paraId="5326B198" w14:textId="77777777" w:rsidR="00BE1FA0" w:rsidRPr="00BE1FA0" w:rsidRDefault="00BE1FA0" w:rsidP="00BE1FA0">
      <w:pPr>
        <w:tabs>
          <w:tab w:val="right" w:pos="9638"/>
        </w:tabs>
        <w:spacing w:after="120"/>
        <w:ind w:left="283"/>
        <w:rPr>
          <w:i/>
          <w:sz w:val="18"/>
        </w:rPr>
      </w:pPr>
      <w:r w:rsidRPr="00BE1FA0">
        <w:rPr>
          <w:i/>
          <w:sz w:val="18"/>
        </w:rPr>
        <w:tab/>
        <w:t>Page</w:t>
      </w:r>
    </w:p>
    <w:p w14:paraId="0E77EE23" w14:textId="77777777" w:rsidR="00BE1FA0" w:rsidRDefault="00BE1FA0" w:rsidP="00BE1FA0">
      <w:pPr>
        <w:tabs>
          <w:tab w:val="right" w:pos="850"/>
          <w:tab w:val="right" w:leader="dot" w:pos="8787"/>
          <w:tab w:val="right" w:pos="9638"/>
        </w:tabs>
        <w:spacing w:after="120"/>
        <w:ind w:left="1134" w:hanging="1134"/>
      </w:pPr>
      <w:r>
        <w:tab/>
      </w:r>
      <w:bookmarkStart w:id="0" w:name="_Hlk42591439"/>
      <w:r w:rsidR="00975D23">
        <w:tab/>
      </w:r>
      <w:bookmarkStart w:id="1" w:name="_Hlk42590760"/>
      <w:r w:rsidR="00975D23">
        <w:rPr>
          <w:noProof/>
          <w:lang w:val="fr-FR"/>
        </w:rPr>
        <w:t xml:space="preserve">Sigles et </w:t>
      </w:r>
      <w:bookmarkEnd w:id="1"/>
      <w:r w:rsidR="00967F69" w:rsidRPr="00967F69">
        <w:rPr>
          <w:bCs/>
          <w:noProof/>
          <w:lang w:val="fr-FR"/>
        </w:rPr>
        <w:t>acronymes</w:t>
      </w:r>
      <w:r>
        <w:tab/>
      </w:r>
      <w:r w:rsidR="00975D23">
        <w:tab/>
        <w:t>3</w:t>
      </w:r>
    </w:p>
    <w:p w14:paraId="29F766FE" w14:textId="77777777" w:rsidR="00975D23" w:rsidRDefault="00975D23" w:rsidP="00BE1FA0">
      <w:pPr>
        <w:tabs>
          <w:tab w:val="right" w:pos="850"/>
          <w:tab w:val="right" w:leader="dot" w:pos="8787"/>
          <w:tab w:val="right" w:pos="9638"/>
        </w:tabs>
        <w:spacing w:after="120"/>
        <w:ind w:left="1134" w:hanging="1134"/>
        <w:rPr>
          <w:noProof/>
          <w:lang w:val="fr-FR"/>
        </w:rPr>
      </w:pPr>
      <w:r>
        <w:tab/>
      </w:r>
      <w:r>
        <w:tab/>
      </w:r>
      <w:r>
        <w:rPr>
          <w:noProof/>
          <w:lang w:val="fr-FR"/>
        </w:rPr>
        <w:t>Avant-propos</w:t>
      </w:r>
      <w:r>
        <w:rPr>
          <w:noProof/>
          <w:lang w:val="fr-FR"/>
        </w:rPr>
        <w:tab/>
      </w:r>
      <w:r>
        <w:rPr>
          <w:noProof/>
          <w:lang w:val="fr-FR"/>
        </w:rPr>
        <w:tab/>
        <w:t>5</w:t>
      </w:r>
    </w:p>
    <w:p w14:paraId="1336F38B" w14:textId="77777777" w:rsidR="00975D23" w:rsidRDefault="00975D23" w:rsidP="00BE1FA0">
      <w:pPr>
        <w:tabs>
          <w:tab w:val="right" w:pos="850"/>
          <w:tab w:val="right" w:leader="dot" w:pos="8787"/>
          <w:tab w:val="right" w:pos="9638"/>
        </w:tabs>
        <w:spacing w:after="120"/>
        <w:ind w:left="1134" w:hanging="1134"/>
      </w:pPr>
      <w:r>
        <w:rPr>
          <w:noProof/>
          <w:lang w:val="fr-FR"/>
        </w:rPr>
        <w:tab/>
      </w:r>
      <w:r>
        <w:rPr>
          <w:noProof/>
          <w:lang w:val="fr-FR"/>
        </w:rPr>
        <w:tab/>
      </w:r>
      <w:r w:rsidRPr="00DB73A4">
        <w:rPr>
          <w:noProof/>
          <w:lang w:val="fr-FR"/>
        </w:rPr>
        <w:t xml:space="preserve">Application des articles premier à 6 de la Convention, et en particulier des recommandations </w:t>
      </w:r>
      <w:r>
        <w:rPr>
          <w:noProof/>
          <w:lang w:val="fr-FR"/>
        </w:rPr>
        <w:br/>
      </w:r>
      <w:r w:rsidRPr="00DB73A4">
        <w:rPr>
          <w:noProof/>
          <w:lang w:val="fr-FR"/>
        </w:rPr>
        <w:t>du Comité</w:t>
      </w:r>
      <w:r>
        <w:rPr>
          <w:noProof/>
          <w:lang w:val="fr-FR"/>
        </w:rPr>
        <w:tab/>
      </w:r>
      <w:r>
        <w:rPr>
          <w:noProof/>
          <w:lang w:val="fr-FR"/>
        </w:rPr>
        <w:tab/>
        <w:t>5</w:t>
      </w:r>
    </w:p>
    <w:p w14:paraId="3E29EA19" w14:textId="77777777" w:rsidR="00BE1FA0" w:rsidRDefault="00BE1FA0" w:rsidP="00BE1FA0">
      <w:pPr>
        <w:tabs>
          <w:tab w:val="right" w:leader="dot" w:pos="8787"/>
          <w:tab w:val="right" w:pos="9638"/>
        </w:tabs>
        <w:spacing w:after="120"/>
        <w:ind w:left="1559" w:hanging="425"/>
      </w:pPr>
      <w:r>
        <w:tab/>
      </w:r>
      <w:r w:rsidR="00975D23">
        <w:rPr>
          <w:noProof/>
          <w:lang w:val="fr-FR"/>
        </w:rPr>
        <w:t>Article</w:t>
      </w:r>
      <w:r w:rsidR="00975D23" w:rsidRPr="00657EFE">
        <w:rPr>
          <w:noProof/>
          <w:lang w:val="fr-FR"/>
        </w:rPr>
        <w:t xml:space="preserve">s </w:t>
      </w:r>
      <w:r w:rsidR="00465B91">
        <w:rPr>
          <w:noProof/>
          <w:lang w:val="fr-FR"/>
        </w:rPr>
        <w:t>premier</w:t>
      </w:r>
      <w:r w:rsidR="00975D23">
        <w:rPr>
          <w:noProof/>
          <w:lang w:val="fr-FR"/>
        </w:rPr>
        <w:t xml:space="preserve"> et</w:t>
      </w:r>
      <w:r w:rsidR="00975D23" w:rsidRPr="00657EFE">
        <w:rPr>
          <w:noProof/>
          <w:lang w:val="fr-FR"/>
        </w:rPr>
        <w:t xml:space="preserve"> 4</w:t>
      </w:r>
      <w:r>
        <w:tab/>
      </w:r>
      <w:r w:rsidR="00975D23">
        <w:tab/>
        <w:t>5</w:t>
      </w:r>
    </w:p>
    <w:p w14:paraId="69068950"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w:t>
      </w:r>
      <w:r w:rsidRPr="00657EFE">
        <w:rPr>
          <w:noProof/>
          <w:lang w:val="fr-FR"/>
        </w:rPr>
        <w:t xml:space="preserve"> 2</w:t>
      </w:r>
      <w:r w:rsidRPr="00657EFE">
        <w:rPr>
          <w:noProof/>
          <w:lang w:val="fr-FR"/>
        </w:rPr>
        <w:tab/>
      </w:r>
      <w:r w:rsidRPr="00657EFE">
        <w:rPr>
          <w:noProof/>
          <w:lang w:val="fr-FR"/>
        </w:rPr>
        <w:tab/>
        <w:t>6</w:t>
      </w:r>
    </w:p>
    <w:p w14:paraId="3ACE9FCC"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w:t>
      </w:r>
      <w:r w:rsidRPr="00657EFE">
        <w:rPr>
          <w:noProof/>
          <w:lang w:val="fr-FR"/>
        </w:rPr>
        <w:t xml:space="preserve"> 3</w:t>
      </w:r>
      <w:r w:rsidRPr="00657EFE">
        <w:rPr>
          <w:noProof/>
          <w:lang w:val="fr-FR"/>
        </w:rPr>
        <w:tab/>
      </w:r>
      <w:r w:rsidRPr="00657EFE">
        <w:rPr>
          <w:noProof/>
          <w:lang w:val="fr-FR"/>
        </w:rPr>
        <w:tab/>
        <w:t>1</w:t>
      </w:r>
      <w:r w:rsidR="00215009">
        <w:rPr>
          <w:noProof/>
          <w:lang w:val="fr-FR"/>
        </w:rPr>
        <w:t>8</w:t>
      </w:r>
    </w:p>
    <w:p w14:paraId="23D537DE" w14:textId="77777777" w:rsidR="00653B7F" w:rsidRPr="00657EFE" w:rsidRDefault="00653B7F" w:rsidP="000A5D15">
      <w:pPr>
        <w:tabs>
          <w:tab w:val="left" w:pos="6412"/>
          <w:tab w:val="right" w:leader="dot" w:pos="8787"/>
          <w:tab w:val="right" w:pos="9638"/>
        </w:tabs>
        <w:spacing w:after="120"/>
        <w:ind w:left="1559" w:hanging="425"/>
        <w:rPr>
          <w:noProof/>
          <w:lang w:val="fr-FR"/>
        </w:rPr>
      </w:pPr>
      <w:r w:rsidRPr="00657EFE">
        <w:rPr>
          <w:noProof/>
          <w:lang w:val="fr-FR"/>
        </w:rPr>
        <w:tab/>
      </w:r>
      <w:r>
        <w:rPr>
          <w:noProof/>
          <w:lang w:val="fr-FR"/>
        </w:rPr>
        <w:t>Articles 5, 6, 7, 8 et</w:t>
      </w:r>
      <w:r w:rsidRPr="00657EFE">
        <w:rPr>
          <w:noProof/>
          <w:lang w:val="fr-FR"/>
        </w:rPr>
        <w:t xml:space="preserve"> 9</w:t>
      </w:r>
      <w:r w:rsidRPr="00657EFE">
        <w:rPr>
          <w:noProof/>
          <w:lang w:val="fr-FR"/>
        </w:rPr>
        <w:tab/>
      </w:r>
      <w:r w:rsidR="000A5D15">
        <w:rPr>
          <w:noProof/>
          <w:lang w:val="fr-FR"/>
        </w:rPr>
        <w:tab/>
      </w:r>
      <w:r w:rsidRPr="00657EFE">
        <w:rPr>
          <w:noProof/>
          <w:lang w:val="fr-FR"/>
        </w:rPr>
        <w:tab/>
      </w:r>
      <w:r w:rsidR="00215009">
        <w:rPr>
          <w:noProof/>
          <w:lang w:val="fr-FR"/>
        </w:rPr>
        <w:t>20</w:t>
      </w:r>
    </w:p>
    <w:p w14:paraId="45CD028F"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w:t>
      </w:r>
      <w:r w:rsidRPr="00657EFE">
        <w:rPr>
          <w:noProof/>
          <w:lang w:val="fr-FR"/>
        </w:rPr>
        <w:t xml:space="preserve"> 10</w:t>
      </w:r>
      <w:r w:rsidRPr="00657EFE">
        <w:rPr>
          <w:noProof/>
          <w:lang w:val="fr-FR"/>
        </w:rPr>
        <w:tab/>
      </w:r>
      <w:r w:rsidRPr="00657EFE">
        <w:rPr>
          <w:noProof/>
          <w:lang w:val="fr-FR"/>
        </w:rPr>
        <w:tab/>
        <w:t>2</w:t>
      </w:r>
      <w:r w:rsidR="00215009">
        <w:rPr>
          <w:noProof/>
          <w:lang w:val="fr-FR"/>
        </w:rPr>
        <w:t>1</w:t>
      </w:r>
    </w:p>
    <w:p w14:paraId="64E809A7"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w:t>
      </w:r>
      <w:r w:rsidRPr="00657EFE">
        <w:rPr>
          <w:noProof/>
          <w:lang w:val="fr-FR"/>
        </w:rPr>
        <w:t xml:space="preserve"> 11</w:t>
      </w:r>
      <w:r w:rsidRPr="00657EFE">
        <w:rPr>
          <w:noProof/>
          <w:lang w:val="fr-FR"/>
        </w:rPr>
        <w:tab/>
      </w:r>
      <w:r w:rsidRPr="00657EFE">
        <w:rPr>
          <w:noProof/>
          <w:lang w:val="fr-FR"/>
        </w:rPr>
        <w:tab/>
        <w:t>2</w:t>
      </w:r>
      <w:r w:rsidR="00215009">
        <w:rPr>
          <w:noProof/>
          <w:lang w:val="fr-FR"/>
        </w:rPr>
        <w:t>2</w:t>
      </w:r>
    </w:p>
    <w:p w14:paraId="34C7467A"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Articles 12 et</w:t>
      </w:r>
      <w:r w:rsidRPr="00657EFE">
        <w:rPr>
          <w:noProof/>
          <w:lang w:val="fr-FR"/>
        </w:rPr>
        <w:t xml:space="preserve"> 13</w:t>
      </w:r>
      <w:r w:rsidRPr="00657EFE">
        <w:rPr>
          <w:noProof/>
          <w:lang w:val="fr-FR"/>
        </w:rPr>
        <w:tab/>
      </w:r>
      <w:r w:rsidRPr="00657EFE">
        <w:rPr>
          <w:noProof/>
          <w:lang w:val="fr-FR"/>
        </w:rPr>
        <w:tab/>
        <w:t>3</w:t>
      </w:r>
      <w:r w:rsidR="00215009">
        <w:rPr>
          <w:noProof/>
          <w:lang w:val="fr-FR"/>
        </w:rPr>
        <w:t>2</w:t>
      </w:r>
    </w:p>
    <w:p w14:paraId="5BE784FE"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w:t>
      </w:r>
      <w:r w:rsidRPr="00657EFE">
        <w:rPr>
          <w:noProof/>
          <w:lang w:val="fr-FR"/>
        </w:rPr>
        <w:t xml:space="preserve"> 14</w:t>
      </w:r>
      <w:r w:rsidRPr="00657EFE">
        <w:rPr>
          <w:noProof/>
          <w:lang w:val="fr-FR"/>
        </w:rPr>
        <w:tab/>
      </w:r>
      <w:r w:rsidRPr="00657EFE">
        <w:rPr>
          <w:noProof/>
          <w:lang w:val="fr-FR"/>
        </w:rPr>
        <w:tab/>
        <w:t>3</w:t>
      </w:r>
      <w:r w:rsidR="00215009">
        <w:rPr>
          <w:noProof/>
          <w:lang w:val="fr-FR"/>
        </w:rPr>
        <w:t>5</w:t>
      </w:r>
    </w:p>
    <w:p w14:paraId="5BE5F9D6"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Article</w:t>
      </w:r>
      <w:r w:rsidRPr="00657EFE">
        <w:rPr>
          <w:noProof/>
          <w:lang w:val="fr-FR"/>
        </w:rPr>
        <w:t xml:space="preserve"> 15</w:t>
      </w:r>
      <w:r w:rsidRPr="00657EFE">
        <w:rPr>
          <w:noProof/>
          <w:lang w:val="fr-FR"/>
        </w:rPr>
        <w:tab/>
      </w:r>
      <w:r w:rsidRPr="00657EFE">
        <w:rPr>
          <w:noProof/>
          <w:lang w:val="fr-FR"/>
        </w:rPr>
        <w:tab/>
      </w:r>
      <w:r w:rsidR="00215009">
        <w:rPr>
          <w:noProof/>
          <w:lang w:val="fr-FR"/>
        </w:rPr>
        <w:t>36</w:t>
      </w:r>
    </w:p>
    <w:p w14:paraId="20AE605C"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t>Artic</w:t>
      </w:r>
      <w:r>
        <w:rPr>
          <w:noProof/>
          <w:lang w:val="fr-FR"/>
        </w:rPr>
        <w:t>le</w:t>
      </w:r>
      <w:r w:rsidRPr="00657EFE">
        <w:rPr>
          <w:noProof/>
          <w:lang w:val="fr-FR"/>
        </w:rPr>
        <w:t xml:space="preserve"> 16</w:t>
      </w:r>
      <w:r w:rsidRPr="00657EFE">
        <w:rPr>
          <w:noProof/>
          <w:lang w:val="fr-FR"/>
        </w:rPr>
        <w:tab/>
      </w:r>
      <w:r w:rsidRPr="00657EFE">
        <w:rPr>
          <w:noProof/>
          <w:lang w:val="fr-FR"/>
        </w:rPr>
        <w:tab/>
        <w:t>3</w:t>
      </w:r>
      <w:r w:rsidR="00215009">
        <w:rPr>
          <w:noProof/>
          <w:lang w:val="fr-FR"/>
        </w:rPr>
        <w:t>6</w:t>
      </w:r>
    </w:p>
    <w:p w14:paraId="5CB36630" w14:textId="77777777" w:rsidR="00653B7F" w:rsidRPr="00657EFE" w:rsidRDefault="00653B7F" w:rsidP="00975D23">
      <w:pPr>
        <w:tabs>
          <w:tab w:val="right" w:leader="dot" w:pos="8787"/>
          <w:tab w:val="right" w:pos="9638"/>
        </w:tabs>
        <w:spacing w:after="120"/>
        <w:ind w:left="1559" w:hanging="425"/>
        <w:rPr>
          <w:noProof/>
          <w:lang w:val="fr-FR"/>
        </w:rPr>
      </w:pPr>
      <w:r w:rsidRPr="00657EFE">
        <w:rPr>
          <w:noProof/>
          <w:lang w:val="fr-FR"/>
        </w:rPr>
        <w:tab/>
      </w:r>
      <w:r>
        <w:rPr>
          <w:noProof/>
          <w:lang w:val="fr-FR"/>
        </w:rPr>
        <w:t>Questions diverses</w:t>
      </w:r>
      <w:r w:rsidRPr="00657EFE">
        <w:rPr>
          <w:noProof/>
          <w:lang w:val="fr-FR"/>
        </w:rPr>
        <w:tab/>
      </w:r>
      <w:r w:rsidRPr="00657EFE">
        <w:rPr>
          <w:noProof/>
          <w:lang w:val="fr-FR"/>
        </w:rPr>
        <w:tab/>
      </w:r>
      <w:r w:rsidR="00215009">
        <w:rPr>
          <w:noProof/>
          <w:lang w:val="fr-FR"/>
        </w:rPr>
        <w:t>38</w:t>
      </w:r>
    </w:p>
    <w:p w14:paraId="69642530" w14:textId="77777777" w:rsidR="00653B7F" w:rsidRDefault="00653B7F" w:rsidP="00975D23">
      <w:pPr>
        <w:tabs>
          <w:tab w:val="right" w:pos="850"/>
          <w:tab w:val="right" w:leader="dot" w:pos="8787"/>
          <w:tab w:val="right" w:pos="9638"/>
        </w:tabs>
        <w:spacing w:after="120"/>
        <w:ind w:left="1134" w:hanging="1134"/>
        <w:rPr>
          <w:noProof/>
          <w:lang w:val="fr-FR"/>
        </w:rPr>
      </w:pPr>
      <w:r w:rsidRPr="00657EFE">
        <w:rPr>
          <w:noProof/>
          <w:lang w:val="fr-FR"/>
        </w:rPr>
        <w:tab/>
      </w:r>
      <w:r w:rsidRPr="00657EFE">
        <w:rPr>
          <w:noProof/>
          <w:lang w:val="fr-FR"/>
        </w:rPr>
        <w:tab/>
      </w:r>
      <w:r w:rsidRPr="009E5702">
        <w:rPr>
          <w:noProof/>
          <w:lang w:val="fr-FR"/>
        </w:rPr>
        <w:t>Informations générales sur la situation nationale en matière de droits de l</w:t>
      </w:r>
      <w:r w:rsidR="002A5D78">
        <w:rPr>
          <w:noProof/>
          <w:lang w:val="fr-FR"/>
        </w:rPr>
        <w:t>’</w:t>
      </w:r>
      <w:r w:rsidRPr="009E5702">
        <w:rPr>
          <w:noProof/>
          <w:lang w:val="fr-FR"/>
        </w:rPr>
        <w:t xml:space="preserve">homme, y compris </w:t>
      </w:r>
      <w:r w:rsidR="00975D23">
        <w:rPr>
          <w:noProof/>
          <w:lang w:val="fr-FR"/>
        </w:rPr>
        <w:br/>
      </w:r>
      <w:r w:rsidRPr="009E5702">
        <w:rPr>
          <w:noProof/>
          <w:lang w:val="fr-FR"/>
        </w:rPr>
        <w:t>sur les faits nouveaux et les mesures se rapportant à l</w:t>
      </w:r>
      <w:r w:rsidR="002A5D78">
        <w:rPr>
          <w:noProof/>
          <w:lang w:val="fr-FR"/>
        </w:rPr>
        <w:t>’</w:t>
      </w:r>
      <w:r w:rsidRPr="009E5702">
        <w:rPr>
          <w:noProof/>
          <w:lang w:val="fr-FR"/>
        </w:rPr>
        <w:t>application de la Convention</w:t>
      </w:r>
      <w:r w:rsidRPr="00657EFE">
        <w:rPr>
          <w:noProof/>
          <w:lang w:val="fr-FR"/>
        </w:rPr>
        <w:tab/>
      </w:r>
      <w:r w:rsidRPr="00657EFE">
        <w:rPr>
          <w:noProof/>
          <w:lang w:val="fr-FR"/>
        </w:rPr>
        <w:tab/>
      </w:r>
      <w:r w:rsidR="00215009">
        <w:rPr>
          <w:noProof/>
          <w:lang w:val="fr-FR"/>
        </w:rPr>
        <w:t>39</w:t>
      </w:r>
    </w:p>
    <w:bookmarkEnd w:id="0"/>
    <w:p w14:paraId="41F395E7" w14:textId="77777777" w:rsidR="00653B7F" w:rsidRPr="00657EFE" w:rsidRDefault="00653B7F" w:rsidP="00653B7F">
      <w:pPr>
        <w:pStyle w:val="SingleTxtG"/>
        <w:rPr>
          <w:b/>
          <w:noProof/>
          <w:lang w:val="fr-FR"/>
        </w:rPr>
      </w:pPr>
      <w:r>
        <w:rPr>
          <w:noProof/>
          <w:lang w:val="fr-FR"/>
        </w:rPr>
        <w:br w:type="page"/>
      </w:r>
      <w:bookmarkStart w:id="2" w:name="_Hlk42590810"/>
      <w:r>
        <w:rPr>
          <w:b/>
          <w:noProof/>
          <w:lang w:val="fr-FR"/>
        </w:rPr>
        <w:lastRenderedPageBreak/>
        <w:t>Sigles et acronymes</w:t>
      </w:r>
      <w:bookmarkEnd w:id="2"/>
    </w:p>
    <w:p w14:paraId="38CA953C" w14:textId="77777777" w:rsidR="00653B7F" w:rsidRPr="00657EFE" w:rsidRDefault="00653B7F" w:rsidP="00653B7F">
      <w:pPr>
        <w:pStyle w:val="SingleTxtG"/>
        <w:tabs>
          <w:tab w:val="left" w:pos="3261"/>
        </w:tabs>
        <w:rPr>
          <w:noProof/>
          <w:lang w:val="fr-FR"/>
        </w:rPr>
      </w:pPr>
      <w:r w:rsidRPr="00657EFE">
        <w:rPr>
          <w:noProof/>
          <w:lang w:val="fr-FR"/>
        </w:rPr>
        <w:t>AL</w:t>
      </w:r>
      <w:r w:rsidRPr="00657EFE">
        <w:rPr>
          <w:noProof/>
          <w:lang w:val="fr-FR"/>
        </w:rPr>
        <w:tab/>
      </w:r>
      <w:r>
        <w:rPr>
          <w:noProof/>
          <w:lang w:val="fr-FR"/>
        </w:rPr>
        <w:t>Assemblée législative</w:t>
      </w:r>
    </w:p>
    <w:p w14:paraId="4ECC023A" w14:textId="77777777" w:rsidR="00653B7F" w:rsidRPr="00657EFE" w:rsidRDefault="00653B7F" w:rsidP="00653B7F">
      <w:pPr>
        <w:pStyle w:val="SingleTxtG"/>
        <w:tabs>
          <w:tab w:val="left" w:pos="3261"/>
        </w:tabs>
        <w:rPr>
          <w:noProof/>
          <w:lang w:val="fr-FR"/>
        </w:rPr>
      </w:pPr>
      <w:r w:rsidRPr="00657EFE">
        <w:rPr>
          <w:noProof/>
          <w:lang w:val="fr-FR"/>
        </w:rPr>
        <w:t>ANSP</w:t>
      </w:r>
      <w:r w:rsidRPr="00657EFE">
        <w:rPr>
          <w:noProof/>
          <w:lang w:val="fr-FR"/>
        </w:rPr>
        <w:tab/>
      </w:r>
      <w:r>
        <w:rPr>
          <w:noProof/>
          <w:lang w:val="fr-FR"/>
        </w:rPr>
        <w:t>Académie nationale de sécurité publique</w:t>
      </w:r>
    </w:p>
    <w:p w14:paraId="037E4656" w14:textId="77777777" w:rsidR="00653B7F" w:rsidRPr="00657EFE" w:rsidRDefault="00653B7F" w:rsidP="00653B7F">
      <w:pPr>
        <w:pStyle w:val="SingleTxtG"/>
        <w:tabs>
          <w:tab w:val="left" w:pos="3261"/>
        </w:tabs>
        <w:ind w:left="3261" w:hanging="2127"/>
        <w:rPr>
          <w:noProof/>
          <w:lang w:val="fr-FR"/>
        </w:rPr>
      </w:pPr>
      <w:r w:rsidRPr="00657EFE">
        <w:rPr>
          <w:noProof/>
          <w:lang w:val="fr-FR"/>
        </w:rPr>
        <w:t>CNB</w:t>
      </w:r>
      <w:r w:rsidRPr="00657EFE">
        <w:rPr>
          <w:noProof/>
          <w:lang w:val="fr-FR"/>
        </w:rPr>
        <w:tab/>
      </w:r>
      <w:r w:rsidRPr="009E5702">
        <w:rPr>
          <w:noProof/>
          <w:lang w:val="fr-FR"/>
        </w:rPr>
        <w:t>Commission nationale pour la recherche des enfants disparus pendant le conflit armé interne</w:t>
      </w:r>
    </w:p>
    <w:p w14:paraId="1E5D0DDD" w14:textId="77777777" w:rsidR="00653B7F" w:rsidRPr="00657EFE" w:rsidRDefault="00653B7F" w:rsidP="00653B7F">
      <w:pPr>
        <w:pStyle w:val="SingleTxtG"/>
        <w:tabs>
          <w:tab w:val="left" w:pos="3261"/>
        </w:tabs>
        <w:rPr>
          <w:noProof/>
          <w:lang w:val="fr-FR"/>
        </w:rPr>
      </w:pPr>
      <w:r w:rsidRPr="00657EFE">
        <w:rPr>
          <w:noProof/>
          <w:lang w:val="fr-FR"/>
        </w:rPr>
        <w:t>CNJ</w:t>
      </w:r>
      <w:r w:rsidRPr="00657EFE">
        <w:rPr>
          <w:noProof/>
          <w:lang w:val="fr-FR"/>
        </w:rPr>
        <w:tab/>
      </w:r>
      <w:r>
        <w:rPr>
          <w:noProof/>
          <w:lang w:val="fr-FR"/>
        </w:rPr>
        <w:t>Conseil national de la magistrature</w:t>
      </w:r>
    </w:p>
    <w:p w14:paraId="72E988BC" w14:textId="77777777" w:rsidR="00653B7F" w:rsidRPr="00657EFE" w:rsidRDefault="00653B7F" w:rsidP="00653B7F">
      <w:pPr>
        <w:pStyle w:val="SingleTxtG"/>
        <w:tabs>
          <w:tab w:val="left" w:pos="3261"/>
        </w:tabs>
        <w:rPr>
          <w:noProof/>
          <w:lang w:val="fr-FR"/>
        </w:rPr>
      </w:pPr>
      <w:r w:rsidRPr="00657EFE">
        <w:rPr>
          <w:noProof/>
          <w:lang w:val="fr-FR"/>
        </w:rPr>
        <w:t>CNSSC</w:t>
      </w:r>
      <w:r w:rsidRPr="00657EFE">
        <w:rPr>
          <w:noProof/>
          <w:lang w:val="fr-FR"/>
        </w:rPr>
        <w:tab/>
      </w:r>
      <w:r w:rsidRPr="00B8582C">
        <w:rPr>
          <w:noProof/>
          <w:lang w:val="fr-FR"/>
        </w:rPr>
        <w:t>Conseil national de la sécurité citoyenne et du vivre-ensemble</w:t>
      </w:r>
    </w:p>
    <w:p w14:paraId="042F9002" w14:textId="77777777" w:rsidR="00653B7F" w:rsidRPr="00657EFE" w:rsidRDefault="00653B7F" w:rsidP="00653B7F">
      <w:pPr>
        <w:pStyle w:val="SingleTxtG"/>
        <w:tabs>
          <w:tab w:val="left" w:pos="3261"/>
        </w:tabs>
        <w:ind w:left="3261" w:hanging="2127"/>
        <w:rPr>
          <w:noProof/>
          <w:lang w:val="fr-FR"/>
        </w:rPr>
      </w:pPr>
      <w:r w:rsidRPr="00657EFE">
        <w:rPr>
          <w:noProof/>
          <w:lang w:val="fr-FR"/>
        </w:rPr>
        <w:t>CODER</w:t>
      </w:r>
      <w:r w:rsidRPr="00657EFE">
        <w:rPr>
          <w:noProof/>
          <w:lang w:val="fr-FR"/>
        </w:rPr>
        <w:tab/>
      </w:r>
      <w:r w:rsidRPr="00B8582C">
        <w:rPr>
          <w:noProof/>
          <w:lang w:val="fr-FR"/>
        </w:rPr>
        <w:t>Commission de détermination du statut de réfugié</w:t>
      </w:r>
    </w:p>
    <w:p w14:paraId="2FB44C02" w14:textId="77777777" w:rsidR="00653B7F" w:rsidRPr="00657EFE" w:rsidRDefault="00653B7F" w:rsidP="00653B7F">
      <w:pPr>
        <w:pStyle w:val="SingleTxtG"/>
        <w:tabs>
          <w:tab w:val="left" w:pos="3261"/>
        </w:tabs>
        <w:ind w:left="3261" w:hanging="2127"/>
        <w:rPr>
          <w:noProof/>
          <w:lang w:val="fr-FR"/>
        </w:rPr>
      </w:pPr>
      <w:r w:rsidRPr="00657EFE">
        <w:rPr>
          <w:noProof/>
          <w:lang w:val="fr-FR"/>
        </w:rPr>
        <w:t>CODREVIDH</w:t>
      </w:r>
      <w:r w:rsidRPr="00657EFE">
        <w:rPr>
          <w:noProof/>
          <w:lang w:val="fr-FR"/>
        </w:rPr>
        <w:tab/>
      </w:r>
      <w:r>
        <w:rPr>
          <w:noProof/>
          <w:lang w:val="fr-FR"/>
        </w:rPr>
        <w:t xml:space="preserve">Conseil de direction du Registre </w:t>
      </w:r>
      <w:r w:rsidRPr="00B8582C">
        <w:rPr>
          <w:noProof/>
          <w:lang w:val="fr-FR"/>
        </w:rPr>
        <w:t>des victimes de violations graves des droits de l</w:t>
      </w:r>
      <w:r w:rsidR="002A5D78">
        <w:rPr>
          <w:noProof/>
          <w:lang w:val="fr-FR"/>
        </w:rPr>
        <w:t>’</w:t>
      </w:r>
      <w:r w:rsidRPr="00B8582C">
        <w:rPr>
          <w:noProof/>
          <w:lang w:val="fr-FR"/>
        </w:rPr>
        <w:t>homme commises dans le cadre du conflit armé interne</w:t>
      </w:r>
    </w:p>
    <w:p w14:paraId="32D4B3CE" w14:textId="77777777" w:rsidR="00653B7F" w:rsidRPr="00657EFE" w:rsidRDefault="00653B7F" w:rsidP="00653B7F">
      <w:pPr>
        <w:pStyle w:val="SingleTxtG"/>
        <w:tabs>
          <w:tab w:val="left" w:pos="3261"/>
        </w:tabs>
        <w:ind w:left="3261" w:hanging="2127"/>
        <w:rPr>
          <w:noProof/>
          <w:lang w:val="fr-FR"/>
        </w:rPr>
      </w:pPr>
      <w:r w:rsidRPr="00657EFE">
        <w:rPr>
          <w:noProof/>
          <w:lang w:val="fr-FR"/>
        </w:rPr>
        <w:t>CONABÚSQUEDA</w:t>
      </w:r>
      <w:r w:rsidRPr="00657EFE">
        <w:rPr>
          <w:noProof/>
          <w:lang w:val="fr-FR"/>
        </w:rPr>
        <w:tab/>
      </w:r>
      <w:r w:rsidRPr="00897FE6">
        <w:rPr>
          <w:noProof/>
          <w:lang w:val="fr-FR"/>
        </w:rPr>
        <w:t xml:space="preserve">Commission nationale pour la recherche des adultes disparus </w:t>
      </w:r>
      <w:r>
        <w:rPr>
          <w:noProof/>
          <w:lang w:val="fr-FR"/>
        </w:rPr>
        <w:t>dans le cadre du</w:t>
      </w:r>
      <w:r w:rsidRPr="00897FE6">
        <w:rPr>
          <w:noProof/>
          <w:lang w:val="fr-FR"/>
        </w:rPr>
        <w:t xml:space="preserve"> conflit armé en El Salvador</w:t>
      </w:r>
      <w:r w:rsidRPr="00657EFE">
        <w:rPr>
          <w:noProof/>
          <w:lang w:val="fr-FR"/>
        </w:rPr>
        <w:t xml:space="preserve"> </w:t>
      </w:r>
    </w:p>
    <w:p w14:paraId="2502BFD4" w14:textId="77777777" w:rsidR="00653B7F" w:rsidRPr="00657EFE" w:rsidRDefault="00653B7F" w:rsidP="00653B7F">
      <w:pPr>
        <w:pStyle w:val="SingleTxtG"/>
        <w:tabs>
          <w:tab w:val="left" w:pos="3261"/>
        </w:tabs>
        <w:ind w:left="3261" w:hanging="2127"/>
        <w:rPr>
          <w:noProof/>
          <w:lang w:val="fr-FR"/>
        </w:rPr>
      </w:pPr>
      <w:r w:rsidRPr="00657EFE">
        <w:rPr>
          <w:noProof/>
          <w:lang w:val="fr-FR"/>
        </w:rPr>
        <w:t>CONAVIH</w:t>
      </w:r>
      <w:r w:rsidRPr="00657EFE">
        <w:rPr>
          <w:noProof/>
          <w:lang w:val="fr-FR"/>
        </w:rPr>
        <w:tab/>
      </w:r>
      <w:r>
        <w:rPr>
          <w:noProof/>
          <w:lang w:val="fr-FR"/>
        </w:rPr>
        <w:t>Commission nationale contre le virus de l</w:t>
      </w:r>
      <w:r w:rsidR="002A5D78">
        <w:rPr>
          <w:noProof/>
          <w:lang w:val="fr-FR"/>
        </w:rPr>
        <w:t>’</w:t>
      </w:r>
      <w:r>
        <w:rPr>
          <w:noProof/>
          <w:lang w:val="fr-FR"/>
        </w:rPr>
        <w:t>immunodéficience humaine</w:t>
      </w:r>
    </w:p>
    <w:p w14:paraId="7585E142" w14:textId="77777777" w:rsidR="00653B7F" w:rsidRPr="00657EFE" w:rsidRDefault="00653B7F" w:rsidP="00653B7F">
      <w:pPr>
        <w:pStyle w:val="SingleTxtG"/>
        <w:tabs>
          <w:tab w:val="left" w:pos="3261"/>
        </w:tabs>
        <w:ind w:left="3261" w:hanging="2127"/>
        <w:rPr>
          <w:noProof/>
          <w:lang w:val="fr-FR"/>
        </w:rPr>
      </w:pPr>
      <w:r w:rsidRPr="00657EFE">
        <w:rPr>
          <w:noProof/>
          <w:lang w:val="fr-FR"/>
        </w:rPr>
        <w:t>CONMIGRANTE</w:t>
      </w:r>
      <w:r w:rsidRPr="00657EFE">
        <w:rPr>
          <w:noProof/>
          <w:lang w:val="fr-FR"/>
        </w:rPr>
        <w:tab/>
      </w:r>
      <w:r w:rsidRPr="00D15183">
        <w:rPr>
          <w:noProof/>
          <w:lang w:val="fr-FR"/>
        </w:rPr>
        <w:t>Conseil national pour la protection et la promotion des migrants et des membres de leur famille</w:t>
      </w:r>
    </w:p>
    <w:p w14:paraId="2C1F987D" w14:textId="77777777" w:rsidR="00653B7F" w:rsidRPr="00657EFE" w:rsidRDefault="00653B7F" w:rsidP="00653B7F">
      <w:pPr>
        <w:pStyle w:val="SingleTxtG"/>
        <w:tabs>
          <w:tab w:val="left" w:pos="3261"/>
        </w:tabs>
        <w:rPr>
          <w:noProof/>
          <w:lang w:val="fr-FR"/>
        </w:rPr>
      </w:pPr>
      <w:r w:rsidRPr="00657EFE">
        <w:rPr>
          <w:noProof/>
          <w:lang w:val="fr-FR"/>
        </w:rPr>
        <w:t>CONNA</w:t>
      </w:r>
      <w:r w:rsidRPr="00657EFE">
        <w:rPr>
          <w:noProof/>
          <w:lang w:val="fr-FR"/>
        </w:rPr>
        <w:tab/>
      </w:r>
      <w:r w:rsidRPr="00FE5C98">
        <w:rPr>
          <w:rFonts w:eastAsia="Calibri"/>
          <w:lang w:val="fr-FR"/>
        </w:rPr>
        <w:t>Conseil national de l</w:t>
      </w:r>
      <w:r w:rsidR="002A5D78">
        <w:rPr>
          <w:rFonts w:eastAsia="Calibri"/>
          <w:lang w:val="fr-FR"/>
        </w:rPr>
        <w:t>’</w:t>
      </w:r>
      <w:r w:rsidRPr="00FE5C98">
        <w:rPr>
          <w:rFonts w:eastAsia="Calibri"/>
          <w:lang w:val="fr-FR"/>
        </w:rPr>
        <w:t>enfance et de l</w:t>
      </w:r>
      <w:r w:rsidR="002A5D78">
        <w:rPr>
          <w:rFonts w:eastAsia="Calibri"/>
          <w:lang w:val="fr-FR"/>
        </w:rPr>
        <w:t>’</w:t>
      </w:r>
      <w:r w:rsidRPr="00FE5C98">
        <w:rPr>
          <w:rFonts w:eastAsia="Calibri"/>
          <w:lang w:val="fr-FR"/>
        </w:rPr>
        <w:t>adolescence</w:t>
      </w:r>
    </w:p>
    <w:p w14:paraId="5329C275" w14:textId="77777777" w:rsidR="00653B7F" w:rsidRPr="00657EFE" w:rsidRDefault="00653B7F" w:rsidP="00653B7F">
      <w:pPr>
        <w:pStyle w:val="SingleTxtG"/>
        <w:tabs>
          <w:tab w:val="left" w:pos="3261"/>
        </w:tabs>
        <w:rPr>
          <w:noProof/>
          <w:lang w:val="fr-FR"/>
        </w:rPr>
      </w:pPr>
      <w:r w:rsidRPr="00657EFE">
        <w:rPr>
          <w:noProof/>
          <w:lang w:val="fr-FR"/>
        </w:rPr>
        <w:t>CSJ</w:t>
      </w:r>
      <w:r w:rsidRPr="00657EFE">
        <w:rPr>
          <w:noProof/>
          <w:lang w:val="fr-FR"/>
        </w:rPr>
        <w:tab/>
      </w:r>
      <w:r>
        <w:rPr>
          <w:noProof/>
          <w:lang w:val="fr-FR"/>
        </w:rPr>
        <w:t>Cour suprême de justice</w:t>
      </w:r>
    </w:p>
    <w:p w14:paraId="0415F48C" w14:textId="77777777" w:rsidR="00653B7F" w:rsidRPr="00657EFE" w:rsidRDefault="00653B7F" w:rsidP="00653B7F">
      <w:pPr>
        <w:pStyle w:val="SingleTxtG"/>
        <w:tabs>
          <w:tab w:val="left" w:pos="3261"/>
        </w:tabs>
        <w:rPr>
          <w:noProof/>
          <w:lang w:val="fr-FR"/>
        </w:rPr>
      </w:pPr>
      <w:r w:rsidRPr="00657EFE">
        <w:rPr>
          <w:noProof/>
          <w:lang w:val="fr-FR"/>
        </w:rPr>
        <w:t>CTE</w:t>
      </w:r>
      <w:r w:rsidRPr="00657EFE">
        <w:rPr>
          <w:noProof/>
          <w:lang w:val="fr-FR"/>
        </w:rPr>
        <w:tab/>
      </w:r>
      <w:r>
        <w:rPr>
          <w:noProof/>
          <w:lang w:val="fr-FR"/>
        </w:rPr>
        <w:t>Commission technique spécialisée</w:t>
      </w:r>
    </w:p>
    <w:p w14:paraId="595363DE" w14:textId="77777777" w:rsidR="00653B7F" w:rsidRPr="00657EFE" w:rsidRDefault="00653B7F" w:rsidP="00653B7F">
      <w:pPr>
        <w:pStyle w:val="SingleTxtG"/>
        <w:tabs>
          <w:tab w:val="left" w:pos="3261"/>
        </w:tabs>
        <w:rPr>
          <w:noProof/>
          <w:lang w:val="fr-FR"/>
        </w:rPr>
      </w:pPr>
      <w:r w:rsidRPr="00657EFE">
        <w:rPr>
          <w:noProof/>
          <w:lang w:val="fr-FR"/>
        </w:rPr>
        <w:t>DGCP</w:t>
      </w:r>
      <w:r w:rsidRPr="00657EFE">
        <w:rPr>
          <w:noProof/>
          <w:lang w:val="fr-FR"/>
        </w:rPr>
        <w:tab/>
      </w:r>
      <w:r>
        <w:rPr>
          <w:noProof/>
          <w:lang w:val="fr-FR"/>
        </w:rPr>
        <w:t>Direction générale des établissements pénitentiaires</w:t>
      </w:r>
    </w:p>
    <w:p w14:paraId="6F2B20A6" w14:textId="77777777" w:rsidR="00653B7F" w:rsidRPr="00657EFE" w:rsidRDefault="00653B7F" w:rsidP="00653B7F">
      <w:pPr>
        <w:pStyle w:val="SingleTxtG"/>
        <w:tabs>
          <w:tab w:val="left" w:pos="3261"/>
        </w:tabs>
        <w:rPr>
          <w:noProof/>
          <w:lang w:val="fr-FR"/>
        </w:rPr>
      </w:pPr>
      <w:r w:rsidRPr="00657EFE">
        <w:rPr>
          <w:noProof/>
          <w:lang w:val="fr-FR"/>
        </w:rPr>
        <w:t>DAV</w:t>
      </w:r>
      <w:r w:rsidRPr="00657EFE">
        <w:rPr>
          <w:noProof/>
          <w:lang w:val="fr-FR"/>
        </w:rPr>
        <w:tab/>
      </w:r>
      <w:r>
        <w:rPr>
          <w:noProof/>
          <w:lang w:val="fr-FR"/>
        </w:rPr>
        <w:t>Direction du MJSP chargée de l</w:t>
      </w:r>
      <w:r w:rsidR="002A5D78">
        <w:rPr>
          <w:noProof/>
          <w:lang w:val="fr-FR"/>
        </w:rPr>
        <w:t>’</w:t>
      </w:r>
      <w:r>
        <w:rPr>
          <w:noProof/>
          <w:lang w:val="fr-FR"/>
        </w:rPr>
        <w:t>aide aux victimes</w:t>
      </w:r>
    </w:p>
    <w:p w14:paraId="64907ACF" w14:textId="77777777" w:rsidR="00653B7F" w:rsidRPr="00657EFE" w:rsidRDefault="00653B7F" w:rsidP="00653B7F">
      <w:pPr>
        <w:pStyle w:val="SingleTxtG"/>
        <w:tabs>
          <w:tab w:val="left" w:pos="3261"/>
        </w:tabs>
        <w:rPr>
          <w:noProof/>
          <w:lang w:val="fr-FR"/>
        </w:rPr>
      </w:pPr>
      <w:r w:rsidRPr="00657EFE">
        <w:rPr>
          <w:noProof/>
          <w:lang w:val="fr-FR"/>
        </w:rPr>
        <w:t>DGME</w:t>
      </w:r>
      <w:r w:rsidRPr="00657EFE">
        <w:rPr>
          <w:noProof/>
          <w:lang w:val="fr-FR"/>
        </w:rPr>
        <w:tab/>
      </w:r>
      <w:r>
        <w:rPr>
          <w:noProof/>
          <w:lang w:val="fr-FR"/>
        </w:rPr>
        <w:t>Direction générale des migrations et des étrangers</w:t>
      </w:r>
    </w:p>
    <w:p w14:paraId="15C456CE" w14:textId="77777777" w:rsidR="00653B7F" w:rsidRPr="00657EFE" w:rsidRDefault="00653B7F" w:rsidP="00653B7F">
      <w:pPr>
        <w:pStyle w:val="SingleTxtG"/>
        <w:tabs>
          <w:tab w:val="left" w:pos="3261"/>
        </w:tabs>
        <w:rPr>
          <w:noProof/>
          <w:lang w:val="fr-FR"/>
        </w:rPr>
      </w:pPr>
      <w:r w:rsidRPr="00657EFE">
        <w:rPr>
          <w:noProof/>
          <w:lang w:val="fr-FR"/>
        </w:rPr>
        <w:t>ECOS</w:t>
      </w:r>
      <w:r w:rsidRPr="00657EFE">
        <w:rPr>
          <w:noProof/>
          <w:lang w:val="fr-FR"/>
        </w:rPr>
        <w:tab/>
      </w:r>
      <w:r>
        <w:rPr>
          <w:noProof/>
          <w:lang w:val="fr-FR"/>
        </w:rPr>
        <w:t>Équipes communautaires de santé de la famille</w:t>
      </w:r>
    </w:p>
    <w:p w14:paraId="2842DD20" w14:textId="77777777" w:rsidR="00653B7F" w:rsidRPr="00657EFE" w:rsidRDefault="00653B7F" w:rsidP="00653B7F">
      <w:pPr>
        <w:pStyle w:val="SingleTxtG"/>
        <w:tabs>
          <w:tab w:val="left" w:pos="3261"/>
        </w:tabs>
        <w:rPr>
          <w:noProof/>
          <w:lang w:val="fr-FR"/>
        </w:rPr>
      </w:pPr>
      <w:r w:rsidRPr="00657EFE">
        <w:rPr>
          <w:noProof/>
          <w:lang w:val="fr-FR"/>
        </w:rPr>
        <w:t>FGR</w:t>
      </w:r>
      <w:r w:rsidRPr="00657EFE">
        <w:rPr>
          <w:noProof/>
          <w:lang w:val="fr-FR"/>
        </w:rPr>
        <w:tab/>
      </w:r>
      <w:r>
        <w:rPr>
          <w:noProof/>
          <w:lang w:val="fr-FR"/>
        </w:rPr>
        <w:t xml:space="preserve">Bureau du </w:t>
      </w:r>
      <w:r>
        <w:rPr>
          <w:i/>
          <w:noProof/>
          <w:lang w:val="fr-FR"/>
        </w:rPr>
        <w:t>Fiscal gene</w:t>
      </w:r>
      <w:r w:rsidRPr="008524D1">
        <w:rPr>
          <w:i/>
          <w:noProof/>
          <w:lang w:val="fr-FR"/>
        </w:rPr>
        <w:t>ral</w:t>
      </w:r>
      <w:r>
        <w:rPr>
          <w:noProof/>
          <w:lang w:val="fr-FR"/>
        </w:rPr>
        <w:t xml:space="preserve"> de la République</w:t>
      </w:r>
    </w:p>
    <w:p w14:paraId="2829E89F" w14:textId="77777777" w:rsidR="00653B7F" w:rsidRPr="00657EFE" w:rsidRDefault="00653B7F" w:rsidP="00653B7F">
      <w:pPr>
        <w:pStyle w:val="SingleTxtG"/>
        <w:tabs>
          <w:tab w:val="left" w:pos="3261"/>
        </w:tabs>
        <w:rPr>
          <w:noProof/>
          <w:lang w:val="fr-FR"/>
        </w:rPr>
      </w:pPr>
      <w:r w:rsidRPr="00657EFE">
        <w:rPr>
          <w:noProof/>
          <w:lang w:val="fr-FR"/>
        </w:rPr>
        <w:t>IGSP</w:t>
      </w:r>
      <w:r w:rsidRPr="00657EFE">
        <w:rPr>
          <w:noProof/>
          <w:lang w:val="fr-FR"/>
        </w:rPr>
        <w:tab/>
      </w:r>
      <w:r>
        <w:rPr>
          <w:noProof/>
          <w:lang w:val="fr-FR"/>
        </w:rPr>
        <w:t>Inspection générale de la sécurité publique</w:t>
      </w:r>
      <w:r w:rsidRPr="00657EFE">
        <w:rPr>
          <w:noProof/>
          <w:lang w:val="fr-FR"/>
        </w:rPr>
        <w:t xml:space="preserve"> </w:t>
      </w:r>
    </w:p>
    <w:p w14:paraId="6ACDE6FD" w14:textId="77777777" w:rsidR="00653B7F" w:rsidRPr="00657EFE" w:rsidRDefault="00653B7F" w:rsidP="00653B7F">
      <w:pPr>
        <w:pStyle w:val="SingleTxtG"/>
        <w:tabs>
          <w:tab w:val="left" w:pos="3261"/>
        </w:tabs>
        <w:rPr>
          <w:noProof/>
          <w:lang w:val="fr-FR"/>
        </w:rPr>
      </w:pPr>
      <w:r w:rsidRPr="00657EFE">
        <w:rPr>
          <w:noProof/>
          <w:lang w:val="fr-FR"/>
        </w:rPr>
        <w:t>ISDEMU</w:t>
      </w:r>
      <w:r w:rsidRPr="00657EFE">
        <w:rPr>
          <w:noProof/>
          <w:lang w:val="fr-FR"/>
        </w:rPr>
        <w:tab/>
      </w:r>
      <w:r>
        <w:rPr>
          <w:noProof/>
          <w:lang w:val="fr-FR"/>
        </w:rPr>
        <w:t>Institut salvadorien pour la promotion de la femme </w:t>
      </w:r>
    </w:p>
    <w:p w14:paraId="78235FD5" w14:textId="77777777" w:rsidR="00653B7F" w:rsidRPr="00657EFE" w:rsidRDefault="00653B7F" w:rsidP="00653B7F">
      <w:pPr>
        <w:pStyle w:val="SingleTxtG"/>
        <w:tabs>
          <w:tab w:val="left" w:pos="3261"/>
        </w:tabs>
        <w:ind w:left="3261" w:hanging="2127"/>
        <w:rPr>
          <w:noProof/>
          <w:lang w:val="fr-FR"/>
        </w:rPr>
      </w:pPr>
      <w:r w:rsidRPr="00657EFE">
        <w:rPr>
          <w:noProof/>
          <w:lang w:val="fr-FR"/>
        </w:rPr>
        <w:t>ISNA</w:t>
      </w:r>
      <w:r w:rsidRPr="00657EFE">
        <w:rPr>
          <w:noProof/>
          <w:lang w:val="fr-FR"/>
        </w:rPr>
        <w:tab/>
      </w:r>
      <w:r>
        <w:rPr>
          <w:noProof/>
          <w:lang w:val="fr-FR"/>
        </w:rPr>
        <w:t>Institut salvadorien pour le développement complet de l</w:t>
      </w:r>
      <w:r w:rsidR="002A5D78">
        <w:rPr>
          <w:noProof/>
          <w:lang w:val="fr-FR"/>
        </w:rPr>
        <w:t>’</w:t>
      </w:r>
      <w:r>
        <w:rPr>
          <w:noProof/>
          <w:lang w:val="fr-FR"/>
        </w:rPr>
        <w:t>enfant et de l</w:t>
      </w:r>
      <w:r w:rsidR="002A5D78">
        <w:rPr>
          <w:noProof/>
          <w:lang w:val="fr-FR"/>
        </w:rPr>
        <w:t>’</w:t>
      </w:r>
      <w:r>
        <w:rPr>
          <w:noProof/>
          <w:lang w:val="fr-FR"/>
        </w:rPr>
        <w:t>adolescent</w:t>
      </w:r>
    </w:p>
    <w:p w14:paraId="00206C30" w14:textId="77777777" w:rsidR="00653B7F" w:rsidRPr="00657EFE" w:rsidRDefault="00653B7F" w:rsidP="00653B7F">
      <w:pPr>
        <w:pStyle w:val="SingleTxtG"/>
        <w:tabs>
          <w:tab w:val="left" w:pos="3261"/>
        </w:tabs>
        <w:ind w:left="3261" w:hanging="2127"/>
        <w:rPr>
          <w:noProof/>
          <w:lang w:val="fr-FR"/>
        </w:rPr>
      </w:pPr>
      <w:r w:rsidRPr="00657EFE">
        <w:rPr>
          <w:noProof/>
          <w:lang w:val="fr-FR"/>
        </w:rPr>
        <w:t>LEIV</w:t>
      </w:r>
      <w:r w:rsidRPr="00657EFE">
        <w:rPr>
          <w:noProof/>
          <w:lang w:val="fr-FR"/>
        </w:rPr>
        <w:tab/>
      </w:r>
      <w:r>
        <w:rPr>
          <w:noProof/>
          <w:lang w:val="fr-FR"/>
        </w:rPr>
        <w:t>L</w:t>
      </w:r>
      <w:r w:rsidRPr="0055503C">
        <w:rPr>
          <w:noProof/>
          <w:lang w:val="fr-FR"/>
        </w:rPr>
        <w:t>oi spéciale visant à garantir aux femmes une vie exempte de violence</w:t>
      </w:r>
    </w:p>
    <w:p w14:paraId="76E32003" w14:textId="77777777" w:rsidR="00653B7F" w:rsidRPr="00657EFE" w:rsidRDefault="00653B7F" w:rsidP="00653B7F">
      <w:pPr>
        <w:pStyle w:val="SingleTxtG"/>
        <w:tabs>
          <w:tab w:val="left" w:pos="3261"/>
        </w:tabs>
        <w:rPr>
          <w:noProof/>
          <w:lang w:val="fr-FR"/>
        </w:rPr>
      </w:pPr>
      <w:r w:rsidRPr="00657EFE">
        <w:rPr>
          <w:noProof/>
          <w:lang w:val="fr-FR"/>
        </w:rPr>
        <w:t>LEPINA</w:t>
      </w:r>
      <w:r w:rsidRPr="00657EFE">
        <w:rPr>
          <w:noProof/>
          <w:lang w:val="fr-FR"/>
        </w:rPr>
        <w:tab/>
      </w:r>
      <w:r>
        <w:rPr>
          <w:noProof/>
          <w:lang w:val="fr-FR"/>
        </w:rPr>
        <w:t>L</w:t>
      </w:r>
      <w:r w:rsidRPr="0055503C">
        <w:rPr>
          <w:noProof/>
          <w:lang w:val="fr-FR"/>
        </w:rPr>
        <w:t xml:space="preserve">oi sur la protection </w:t>
      </w:r>
      <w:r>
        <w:rPr>
          <w:noProof/>
          <w:lang w:val="fr-FR"/>
        </w:rPr>
        <w:t xml:space="preserve">intégrale </w:t>
      </w:r>
      <w:r w:rsidRPr="0055503C">
        <w:rPr>
          <w:noProof/>
          <w:lang w:val="fr-FR"/>
        </w:rPr>
        <w:t xml:space="preserve">des enfants et des adolescents  </w:t>
      </w:r>
    </w:p>
    <w:p w14:paraId="0250043D" w14:textId="77777777" w:rsidR="00653B7F" w:rsidRPr="00657EFE" w:rsidRDefault="00653B7F" w:rsidP="00653B7F">
      <w:pPr>
        <w:pStyle w:val="SingleTxtG"/>
        <w:tabs>
          <w:tab w:val="left" w:pos="3261"/>
        </w:tabs>
        <w:ind w:left="3261" w:hanging="2127"/>
        <w:rPr>
          <w:noProof/>
          <w:lang w:val="fr-FR"/>
        </w:rPr>
      </w:pPr>
      <w:r w:rsidRPr="00657EFE">
        <w:rPr>
          <w:noProof/>
          <w:lang w:val="fr-FR"/>
        </w:rPr>
        <w:t>LIE</w:t>
      </w:r>
      <w:r w:rsidRPr="00657EFE">
        <w:rPr>
          <w:noProof/>
          <w:lang w:val="fr-FR"/>
        </w:rPr>
        <w:tab/>
      </w:r>
      <w:r>
        <w:rPr>
          <w:noProof/>
          <w:lang w:val="fr-FR"/>
        </w:rPr>
        <w:t>L</w:t>
      </w:r>
      <w:r w:rsidRPr="00417878">
        <w:rPr>
          <w:noProof/>
          <w:lang w:val="fr-FR"/>
        </w:rPr>
        <w:t>oi sur l</w:t>
      </w:r>
      <w:r w:rsidR="002A5D78">
        <w:rPr>
          <w:noProof/>
          <w:lang w:val="fr-FR"/>
        </w:rPr>
        <w:t>’</w:t>
      </w:r>
      <w:r w:rsidRPr="00417878">
        <w:rPr>
          <w:noProof/>
          <w:lang w:val="fr-FR"/>
        </w:rPr>
        <w:t>égalité, l</w:t>
      </w:r>
      <w:r w:rsidR="002A5D78">
        <w:rPr>
          <w:noProof/>
          <w:lang w:val="fr-FR"/>
        </w:rPr>
        <w:t>’</w:t>
      </w:r>
      <w:r w:rsidRPr="00417878">
        <w:rPr>
          <w:noProof/>
          <w:lang w:val="fr-FR"/>
        </w:rPr>
        <w:t>équité et l</w:t>
      </w:r>
      <w:r w:rsidR="002A5D78">
        <w:rPr>
          <w:noProof/>
          <w:lang w:val="fr-FR"/>
        </w:rPr>
        <w:t>’</w:t>
      </w:r>
      <w:r w:rsidRPr="00417878">
        <w:rPr>
          <w:noProof/>
          <w:lang w:val="fr-FR"/>
        </w:rPr>
        <w:t>élimination de la discrimination à l</w:t>
      </w:r>
      <w:r w:rsidR="002A5D78">
        <w:rPr>
          <w:noProof/>
          <w:lang w:val="fr-FR"/>
        </w:rPr>
        <w:t>’</w:t>
      </w:r>
      <w:r w:rsidRPr="00417878">
        <w:rPr>
          <w:noProof/>
          <w:lang w:val="fr-FR"/>
        </w:rPr>
        <w:t>égard des femmes</w:t>
      </w:r>
    </w:p>
    <w:p w14:paraId="52BF3E4C" w14:textId="77777777" w:rsidR="00653B7F" w:rsidRPr="00657EFE" w:rsidRDefault="00653B7F" w:rsidP="00653B7F">
      <w:pPr>
        <w:pStyle w:val="SingleTxtG"/>
        <w:tabs>
          <w:tab w:val="left" w:pos="3261"/>
        </w:tabs>
        <w:rPr>
          <w:noProof/>
          <w:lang w:val="fr-FR"/>
        </w:rPr>
      </w:pPr>
      <w:r w:rsidRPr="00657EFE">
        <w:rPr>
          <w:noProof/>
          <w:lang w:val="fr-FR"/>
        </w:rPr>
        <w:t>MDN</w:t>
      </w:r>
      <w:r w:rsidRPr="00657EFE">
        <w:rPr>
          <w:noProof/>
          <w:lang w:val="fr-FR"/>
        </w:rPr>
        <w:tab/>
      </w:r>
      <w:r>
        <w:rPr>
          <w:noProof/>
          <w:lang w:val="fr-FR"/>
        </w:rPr>
        <w:t>Ministère de la défense nationale</w:t>
      </w:r>
    </w:p>
    <w:p w14:paraId="0DC5D4EA" w14:textId="77777777" w:rsidR="00653B7F" w:rsidRPr="00657EFE" w:rsidRDefault="00653B7F" w:rsidP="00653B7F">
      <w:pPr>
        <w:pStyle w:val="SingleTxtG"/>
        <w:tabs>
          <w:tab w:val="left" w:pos="3261"/>
        </w:tabs>
        <w:rPr>
          <w:noProof/>
          <w:lang w:val="fr-FR"/>
        </w:rPr>
      </w:pPr>
      <w:r w:rsidRPr="00657EFE">
        <w:rPr>
          <w:noProof/>
          <w:lang w:val="fr-FR"/>
        </w:rPr>
        <w:t>MINEDUCYT</w:t>
      </w:r>
      <w:r w:rsidRPr="00657EFE">
        <w:rPr>
          <w:noProof/>
          <w:lang w:val="fr-FR"/>
        </w:rPr>
        <w:tab/>
      </w:r>
      <w:r>
        <w:rPr>
          <w:noProof/>
          <w:lang w:val="fr-FR"/>
        </w:rPr>
        <w:t>Ministère de l</w:t>
      </w:r>
      <w:r w:rsidR="002A5D78">
        <w:rPr>
          <w:noProof/>
          <w:lang w:val="fr-FR"/>
        </w:rPr>
        <w:t>’</w:t>
      </w:r>
      <w:r>
        <w:rPr>
          <w:noProof/>
          <w:lang w:val="fr-FR"/>
        </w:rPr>
        <w:t>éducation, de la science et de la technologie</w:t>
      </w:r>
    </w:p>
    <w:p w14:paraId="7985BD51" w14:textId="77777777" w:rsidR="00653B7F" w:rsidRPr="00657EFE" w:rsidRDefault="00653B7F" w:rsidP="00653B7F">
      <w:pPr>
        <w:pStyle w:val="SingleTxtG"/>
        <w:tabs>
          <w:tab w:val="left" w:pos="3261"/>
        </w:tabs>
        <w:rPr>
          <w:noProof/>
          <w:lang w:val="fr-FR"/>
        </w:rPr>
      </w:pPr>
      <w:r w:rsidRPr="00657EFE">
        <w:rPr>
          <w:noProof/>
          <w:lang w:val="fr-FR"/>
        </w:rPr>
        <w:t>MINSAL</w:t>
      </w:r>
      <w:r w:rsidRPr="00657EFE">
        <w:rPr>
          <w:noProof/>
          <w:lang w:val="fr-FR"/>
        </w:rPr>
        <w:tab/>
      </w:r>
      <w:r>
        <w:rPr>
          <w:noProof/>
          <w:lang w:val="fr-FR"/>
        </w:rPr>
        <w:t>Ministère de la santé</w:t>
      </w:r>
    </w:p>
    <w:p w14:paraId="1ABCC1FE" w14:textId="77777777" w:rsidR="00653B7F" w:rsidRPr="00657EFE" w:rsidRDefault="00653B7F" w:rsidP="00653B7F">
      <w:pPr>
        <w:pStyle w:val="SingleTxtG"/>
        <w:tabs>
          <w:tab w:val="left" w:pos="3261"/>
        </w:tabs>
        <w:rPr>
          <w:noProof/>
          <w:lang w:val="fr-FR"/>
        </w:rPr>
      </w:pPr>
      <w:r w:rsidRPr="00657EFE">
        <w:rPr>
          <w:noProof/>
          <w:lang w:val="fr-FR"/>
        </w:rPr>
        <w:t>MJSP</w:t>
      </w:r>
      <w:r w:rsidRPr="00657EFE">
        <w:rPr>
          <w:noProof/>
          <w:lang w:val="fr-FR"/>
        </w:rPr>
        <w:tab/>
      </w:r>
      <w:r>
        <w:rPr>
          <w:noProof/>
          <w:lang w:val="fr-FR"/>
        </w:rPr>
        <w:t>Ministère de la justice et de la sécurité publique</w:t>
      </w:r>
    </w:p>
    <w:p w14:paraId="566AE099" w14:textId="77777777" w:rsidR="00653B7F" w:rsidRPr="00657EFE" w:rsidRDefault="00653B7F" w:rsidP="00653B7F">
      <w:pPr>
        <w:pStyle w:val="SingleTxtG"/>
        <w:tabs>
          <w:tab w:val="left" w:pos="3261"/>
        </w:tabs>
        <w:rPr>
          <w:noProof/>
          <w:lang w:val="fr-FR"/>
        </w:rPr>
      </w:pPr>
      <w:r w:rsidRPr="00657EFE">
        <w:rPr>
          <w:noProof/>
          <w:lang w:val="fr-FR"/>
        </w:rPr>
        <w:t>MRREE</w:t>
      </w:r>
      <w:r w:rsidRPr="00657EFE">
        <w:rPr>
          <w:noProof/>
          <w:lang w:val="fr-FR"/>
        </w:rPr>
        <w:tab/>
      </w:r>
      <w:r>
        <w:rPr>
          <w:noProof/>
          <w:lang w:val="fr-FR"/>
        </w:rPr>
        <w:t>Ministère des relations extérieures</w:t>
      </w:r>
    </w:p>
    <w:p w14:paraId="5D3737AE" w14:textId="77777777" w:rsidR="00653B7F" w:rsidRPr="00657EFE" w:rsidRDefault="00653B7F" w:rsidP="00653B7F">
      <w:pPr>
        <w:pStyle w:val="SingleTxtG"/>
        <w:tabs>
          <w:tab w:val="left" w:pos="3261"/>
        </w:tabs>
        <w:rPr>
          <w:noProof/>
          <w:lang w:val="fr-FR"/>
        </w:rPr>
      </w:pPr>
      <w:r w:rsidRPr="00657EFE">
        <w:rPr>
          <w:noProof/>
          <w:lang w:val="fr-FR"/>
        </w:rPr>
        <w:t xml:space="preserve">NNA </w:t>
      </w:r>
      <w:r w:rsidRPr="00657EFE">
        <w:rPr>
          <w:noProof/>
          <w:lang w:val="fr-FR"/>
        </w:rPr>
        <w:tab/>
      </w:r>
      <w:r>
        <w:rPr>
          <w:noProof/>
          <w:lang w:val="fr-FR"/>
        </w:rPr>
        <w:t>Enfants et adolescents</w:t>
      </w:r>
    </w:p>
    <w:p w14:paraId="2A5FEFD8" w14:textId="77777777" w:rsidR="00653B7F" w:rsidRPr="00657EFE" w:rsidRDefault="00653B7F" w:rsidP="00653B7F">
      <w:pPr>
        <w:pStyle w:val="SingleTxtG"/>
        <w:tabs>
          <w:tab w:val="left" w:pos="3261"/>
        </w:tabs>
        <w:rPr>
          <w:noProof/>
          <w:lang w:val="fr-FR"/>
        </w:rPr>
      </w:pPr>
      <w:r w:rsidRPr="00657EFE">
        <w:rPr>
          <w:noProof/>
          <w:lang w:val="fr-FR"/>
        </w:rPr>
        <w:t>OLAV</w:t>
      </w:r>
      <w:r w:rsidRPr="00657EFE">
        <w:rPr>
          <w:noProof/>
          <w:lang w:val="fr-FR"/>
        </w:rPr>
        <w:tab/>
      </w:r>
      <w:r w:rsidRPr="00E700E5">
        <w:rPr>
          <w:noProof/>
          <w:lang w:val="fr-FR"/>
        </w:rPr>
        <w:t>Bureaux locaux d</w:t>
      </w:r>
      <w:r>
        <w:rPr>
          <w:noProof/>
          <w:lang w:val="fr-FR"/>
        </w:rPr>
        <w:t>e prise en charge</w:t>
      </w:r>
      <w:r w:rsidRPr="00E700E5">
        <w:rPr>
          <w:noProof/>
          <w:lang w:val="fr-FR"/>
        </w:rPr>
        <w:t xml:space="preserve"> des victimes</w:t>
      </w:r>
    </w:p>
    <w:p w14:paraId="3D80FEF2" w14:textId="77777777" w:rsidR="00653B7F" w:rsidRPr="00657EFE" w:rsidRDefault="00653B7F" w:rsidP="00653B7F">
      <w:pPr>
        <w:pStyle w:val="SingleTxtG"/>
        <w:tabs>
          <w:tab w:val="left" w:pos="3261"/>
        </w:tabs>
        <w:rPr>
          <w:noProof/>
          <w:lang w:val="fr-FR"/>
        </w:rPr>
      </w:pPr>
      <w:r w:rsidRPr="00657EFE">
        <w:rPr>
          <w:noProof/>
          <w:lang w:val="fr-FR"/>
        </w:rPr>
        <w:t xml:space="preserve">PDDH </w:t>
      </w:r>
      <w:r w:rsidRPr="00657EFE">
        <w:rPr>
          <w:noProof/>
          <w:lang w:val="fr-FR"/>
        </w:rPr>
        <w:tab/>
      </w:r>
      <w:r>
        <w:rPr>
          <w:noProof/>
          <w:lang w:val="fr-FR"/>
        </w:rPr>
        <w:t>Bureau du Procureur pour la défense des droits de l</w:t>
      </w:r>
      <w:r w:rsidR="002A5D78">
        <w:rPr>
          <w:noProof/>
          <w:lang w:val="fr-FR"/>
        </w:rPr>
        <w:t>’</w:t>
      </w:r>
      <w:r>
        <w:rPr>
          <w:noProof/>
          <w:lang w:val="fr-FR"/>
        </w:rPr>
        <w:t>homme</w:t>
      </w:r>
    </w:p>
    <w:p w14:paraId="18C15CB6" w14:textId="77777777" w:rsidR="00653B7F" w:rsidRPr="00B57CA6" w:rsidRDefault="00653B7F" w:rsidP="00653B7F">
      <w:pPr>
        <w:pStyle w:val="SingleTxtG"/>
        <w:tabs>
          <w:tab w:val="left" w:pos="3261"/>
        </w:tabs>
        <w:rPr>
          <w:noProof/>
          <w:lang w:val="en-US"/>
        </w:rPr>
      </w:pPr>
      <w:r w:rsidRPr="00B57CA6">
        <w:rPr>
          <w:noProof/>
          <w:lang w:val="en-US"/>
        </w:rPr>
        <w:t>PESS</w:t>
      </w:r>
      <w:r w:rsidRPr="00B57CA6">
        <w:rPr>
          <w:noProof/>
          <w:lang w:val="en-US"/>
        </w:rPr>
        <w:tab/>
        <w:t>Plan « El Salvador Seguro »</w:t>
      </w:r>
    </w:p>
    <w:p w14:paraId="4D0E80F1" w14:textId="77777777" w:rsidR="00653B7F" w:rsidRPr="00657EFE" w:rsidRDefault="00653B7F" w:rsidP="00653B7F">
      <w:pPr>
        <w:pStyle w:val="SingleTxtG"/>
        <w:tabs>
          <w:tab w:val="left" w:pos="3261"/>
        </w:tabs>
        <w:rPr>
          <w:noProof/>
          <w:lang w:val="fr-FR"/>
        </w:rPr>
      </w:pPr>
      <w:r w:rsidRPr="00657EFE">
        <w:rPr>
          <w:noProof/>
          <w:lang w:val="fr-FR"/>
        </w:rPr>
        <w:lastRenderedPageBreak/>
        <w:t xml:space="preserve">PGR </w:t>
      </w:r>
      <w:r w:rsidRPr="00657EFE">
        <w:rPr>
          <w:noProof/>
          <w:lang w:val="fr-FR"/>
        </w:rPr>
        <w:tab/>
      </w:r>
      <w:r>
        <w:rPr>
          <w:noProof/>
          <w:lang w:val="fr-FR"/>
        </w:rPr>
        <w:t>Bureau du Procureur général de la République</w:t>
      </w:r>
    </w:p>
    <w:p w14:paraId="40757AB0" w14:textId="77777777" w:rsidR="00653B7F" w:rsidRPr="00657EFE" w:rsidRDefault="00653B7F" w:rsidP="00653B7F">
      <w:pPr>
        <w:pStyle w:val="SingleTxtG"/>
        <w:tabs>
          <w:tab w:val="left" w:pos="3261"/>
        </w:tabs>
        <w:rPr>
          <w:noProof/>
          <w:lang w:val="fr-FR"/>
        </w:rPr>
      </w:pPr>
      <w:r w:rsidRPr="00657EFE">
        <w:rPr>
          <w:noProof/>
          <w:lang w:val="fr-FR"/>
        </w:rPr>
        <w:t xml:space="preserve">PNC </w:t>
      </w:r>
      <w:r w:rsidRPr="00657EFE">
        <w:rPr>
          <w:noProof/>
          <w:lang w:val="fr-FR"/>
        </w:rPr>
        <w:tab/>
      </w:r>
      <w:r>
        <w:rPr>
          <w:noProof/>
          <w:lang w:val="fr-FR"/>
        </w:rPr>
        <w:t>Police nationale civile</w:t>
      </w:r>
    </w:p>
    <w:p w14:paraId="75F0834F" w14:textId="77777777" w:rsidR="00653B7F" w:rsidRPr="00657EFE" w:rsidRDefault="00653B7F" w:rsidP="00653B7F">
      <w:pPr>
        <w:pStyle w:val="SingleTxtG"/>
        <w:tabs>
          <w:tab w:val="left" w:pos="3261"/>
        </w:tabs>
        <w:ind w:left="3261" w:hanging="2127"/>
        <w:rPr>
          <w:noProof/>
          <w:lang w:val="fr-FR"/>
        </w:rPr>
      </w:pPr>
      <w:r w:rsidRPr="00657EFE">
        <w:rPr>
          <w:noProof/>
          <w:lang w:val="fr-FR"/>
        </w:rPr>
        <w:t xml:space="preserve">PNPINA </w:t>
      </w:r>
      <w:r w:rsidRPr="00657EFE">
        <w:rPr>
          <w:noProof/>
          <w:lang w:val="fr-FR"/>
        </w:rPr>
        <w:tab/>
      </w:r>
      <w:r>
        <w:rPr>
          <w:noProof/>
          <w:lang w:val="fr-FR"/>
        </w:rPr>
        <w:t>P</w:t>
      </w:r>
      <w:r w:rsidRPr="00DF27D5">
        <w:rPr>
          <w:noProof/>
          <w:lang w:val="fr-FR"/>
        </w:rPr>
        <w:t xml:space="preserve">olitique nationale de protection </w:t>
      </w:r>
      <w:r>
        <w:rPr>
          <w:noProof/>
          <w:lang w:val="fr-FR"/>
        </w:rPr>
        <w:t>intégrale</w:t>
      </w:r>
      <w:r w:rsidRPr="00DF27D5">
        <w:rPr>
          <w:noProof/>
          <w:lang w:val="fr-FR"/>
        </w:rPr>
        <w:t xml:space="preserve"> des enfants et des adolescents</w:t>
      </w:r>
    </w:p>
    <w:p w14:paraId="26EA5195" w14:textId="77777777" w:rsidR="00653B7F" w:rsidRPr="00657EFE" w:rsidRDefault="00653B7F" w:rsidP="00653B7F">
      <w:pPr>
        <w:pStyle w:val="SingleTxtG"/>
        <w:tabs>
          <w:tab w:val="left" w:pos="3261"/>
        </w:tabs>
        <w:rPr>
          <w:noProof/>
          <w:lang w:val="fr-FR"/>
        </w:rPr>
      </w:pPr>
      <w:r w:rsidRPr="00657EFE">
        <w:rPr>
          <w:noProof/>
          <w:lang w:val="fr-FR"/>
        </w:rPr>
        <w:t xml:space="preserve">PNS </w:t>
      </w:r>
      <w:r w:rsidRPr="00657EFE">
        <w:rPr>
          <w:noProof/>
          <w:lang w:val="fr-FR"/>
        </w:rPr>
        <w:tab/>
      </w:r>
      <w:r>
        <w:rPr>
          <w:noProof/>
          <w:lang w:val="fr-FR"/>
        </w:rPr>
        <w:t>Politique nationale de santé</w:t>
      </w:r>
    </w:p>
    <w:p w14:paraId="0648798E" w14:textId="77777777" w:rsidR="00653B7F" w:rsidRPr="00657EFE" w:rsidRDefault="00653B7F" w:rsidP="00653B7F">
      <w:pPr>
        <w:pStyle w:val="SingleTxtG"/>
        <w:tabs>
          <w:tab w:val="left" w:pos="3261"/>
        </w:tabs>
        <w:rPr>
          <w:noProof/>
          <w:lang w:val="fr-FR"/>
        </w:rPr>
      </w:pPr>
      <w:r w:rsidRPr="00657EFE">
        <w:rPr>
          <w:noProof/>
          <w:lang w:val="fr-FR"/>
        </w:rPr>
        <w:t xml:space="preserve">PPP </w:t>
      </w:r>
      <w:r w:rsidRPr="00657EFE">
        <w:rPr>
          <w:noProof/>
          <w:lang w:val="fr-FR"/>
        </w:rPr>
        <w:tab/>
      </w:r>
      <w:r>
        <w:rPr>
          <w:noProof/>
          <w:lang w:val="fr-FR"/>
        </w:rPr>
        <w:t>Politique de poursuite pénale</w:t>
      </w:r>
    </w:p>
    <w:p w14:paraId="256BE772" w14:textId="77777777" w:rsidR="00653B7F" w:rsidRPr="00657EFE" w:rsidRDefault="00653B7F" w:rsidP="00653B7F">
      <w:pPr>
        <w:pStyle w:val="SingleTxtG"/>
        <w:tabs>
          <w:tab w:val="left" w:pos="3261"/>
        </w:tabs>
        <w:rPr>
          <w:noProof/>
          <w:lang w:val="fr-FR"/>
        </w:rPr>
      </w:pPr>
      <w:r w:rsidRPr="00657EFE">
        <w:rPr>
          <w:noProof/>
          <w:lang w:val="fr-FR"/>
        </w:rPr>
        <w:t xml:space="preserve">PSSR </w:t>
      </w:r>
      <w:r w:rsidRPr="00657EFE">
        <w:rPr>
          <w:noProof/>
          <w:lang w:val="fr-FR"/>
        </w:rPr>
        <w:tab/>
      </w:r>
      <w:r>
        <w:rPr>
          <w:noProof/>
          <w:lang w:val="fr-FR"/>
        </w:rPr>
        <w:t>Politique de santé sexuelle et reproductive</w:t>
      </w:r>
    </w:p>
    <w:p w14:paraId="379AD65C" w14:textId="77777777" w:rsidR="00653B7F" w:rsidRPr="00657EFE" w:rsidRDefault="00653B7F" w:rsidP="00653B7F">
      <w:pPr>
        <w:pStyle w:val="SingleTxtG"/>
        <w:tabs>
          <w:tab w:val="left" w:pos="3261"/>
        </w:tabs>
        <w:ind w:left="3261" w:hanging="2127"/>
        <w:rPr>
          <w:noProof/>
          <w:lang w:val="fr-FR"/>
        </w:rPr>
      </w:pPr>
      <w:r w:rsidRPr="00657EFE">
        <w:rPr>
          <w:noProof/>
          <w:lang w:val="fr-FR"/>
        </w:rPr>
        <w:t xml:space="preserve">PVLV </w:t>
      </w:r>
      <w:r w:rsidRPr="00657EFE">
        <w:rPr>
          <w:noProof/>
          <w:lang w:val="fr-FR"/>
        </w:rPr>
        <w:tab/>
      </w:r>
      <w:r>
        <w:rPr>
          <w:noProof/>
          <w:lang w:val="fr-FR"/>
        </w:rPr>
        <w:t>Politique nationale pour une vie libre de violence pour les femmes</w:t>
      </w:r>
    </w:p>
    <w:p w14:paraId="4A1E4803" w14:textId="77777777" w:rsidR="00653B7F" w:rsidRPr="00657EFE" w:rsidRDefault="00653B7F" w:rsidP="00653B7F">
      <w:pPr>
        <w:pStyle w:val="SingleTxtG"/>
        <w:tabs>
          <w:tab w:val="left" w:pos="3261"/>
        </w:tabs>
        <w:rPr>
          <w:noProof/>
          <w:lang w:val="fr-FR"/>
        </w:rPr>
      </w:pPr>
      <w:r w:rsidRPr="00657EFE">
        <w:rPr>
          <w:noProof/>
          <w:lang w:val="fr-FR"/>
        </w:rPr>
        <w:t xml:space="preserve">RNPN </w:t>
      </w:r>
      <w:r w:rsidRPr="00657EFE">
        <w:rPr>
          <w:noProof/>
          <w:lang w:val="fr-FR"/>
        </w:rPr>
        <w:tab/>
      </w:r>
      <w:r>
        <w:rPr>
          <w:noProof/>
          <w:lang w:val="fr-FR"/>
        </w:rPr>
        <w:t>Registre national des personnes physiques</w:t>
      </w:r>
    </w:p>
    <w:p w14:paraId="06BD6499" w14:textId="77777777" w:rsidR="00653B7F" w:rsidRPr="00657EFE" w:rsidRDefault="00653B7F" w:rsidP="00653B7F">
      <w:pPr>
        <w:pStyle w:val="SingleTxtG"/>
        <w:tabs>
          <w:tab w:val="left" w:pos="3261"/>
        </w:tabs>
        <w:rPr>
          <w:noProof/>
          <w:lang w:val="fr-FR"/>
        </w:rPr>
      </w:pPr>
      <w:r w:rsidRPr="00657EFE">
        <w:rPr>
          <w:noProof/>
          <w:lang w:val="fr-FR"/>
        </w:rPr>
        <w:t>SEGOB</w:t>
      </w:r>
      <w:r w:rsidRPr="00657EFE">
        <w:rPr>
          <w:noProof/>
          <w:lang w:val="fr-FR"/>
        </w:rPr>
        <w:tab/>
      </w:r>
      <w:r>
        <w:rPr>
          <w:noProof/>
          <w:lang w:val="fr-FR"/>
        </w:rPr>
        <w:t>Secrétariat à la gouvernabilité de la Présidence de la République</w:t>
      </w:r>
    </w:p>
    <w:p w14:paraId="2AC8FC54" w14:textId="77777777" w:rsidR="00653B7F" w:rsidRPr="00657EFE" w:rsidRDefault="00653B7F" w:rsidP="00653B7F">
      <w:pPr>
        <w:pStyle w:val="SingleTxtG"/>
        <w:tabs>
          <w:tab w:val="left" w:pos="3261"/>
        </w:tabs>
        <w:rPr>
          <w:noProof/>
          <w:lang w:val="fr-FR"/>
        </w:rPr>
      </w:pPr>
      <w:r w:rsidRPr="00657EFE">
        <w:rPr>
          <w:noProof/>
          <w:lang w:val="fr-FR"/>
        </w:rPr>
        <w:t>SIPE</w:t>
      </w:r>
      <w:r w:rsidRPr="00657EFE">
        <w:rPr>
          <w:noProof/>
          <w:lang w:val="fr-FR"/>
        </w:rPr>
        <w:tab/>
      </w:r>
      <w:r>
        <w:rPr>
          <w:noProof/>
          <w:lang w:val="fr-FR"/>
        </w:rPr>
        <w:t>Système d</w:t>
      </w:r>
      <w:r w:rsidR="002A5D78">
        <w:rPr>
          <w:noProof/>
          <w:lang w:val="fr-FR"/>
        </w:rPr>
        <w:t>’</w:t>
      </w:r>
      <w:r>
        <w:rPr>
          <w:noProof/>
          <w:lang w:val="fr-FR"/>
        </w:rPr>
        <w:t>information pénitentiaire</w:t>
      </w:r>
    </w:p>
    <w:p w14:paraId="7B84E593" w14:textId="77777777" w:rsidR="00653B7F" w:rsidRPr="00657EFE" w:rsidRDefault="00653B7F" w:rsidP="00653B7F">
      <w:pPr>
        <w:pStyle w:val="SingleTxtG"/>
        <w:tabs>
          <w:tab w:val="left" w:pos="3261"/>
        </w:tabs>
        <w:rPr>
          <w:noProof/>
          <w:lang w:val="fr-FR"/>
        </w:rPr>
      </w:pPr>
      <w:r w:rsidRPr="00657EFE">
        <w:rPr>
          <w:noProof/>
          <w:lang w:val="fr-FR"/>
        </w:rPr>
        <w:t>SIS</w:t>
      </w:r>
      <w:r w:rsidRPr="00657EFE">
        <w:rPr>
          <w:noProof/>
          <w:lang w:val="fr-FR"/>
        </w:rPr>
        <w:tab/>
      </w:r>
      <w:r>
        <w:rPr>
          <w:noProof/>
          <w:lang w:val="fr-FR"/>
        </w:rPr>
        <w:t>Secrétariat à l</w:t>
      </w:r>
      <w:r w:rsidR="002A5D78">
        <w:rPr>
          <w:noProof/>
          <w:lang w:val="fr-FR"/>
        </w:rPr>
        <w:t>’</w:t>
      </w:r>
      <w:r>
        <w:rPr>
          <w:noProof/>
          <w:lang w:val="fr-FR"/>
        </w:rPr>
        <w:t>inclusion sociale</w:t>
      </w:r>
    </w:p>
    <w:p w14:paraId="3468280C" w14:textId="77777777" w:rsidR="00653B7F" w:rsidRPr="00657EFE" w:rsidRDefault="00653B7F" w:rsidP="00653B7F">
      <w:pPr>
        <w:pStyle w:val="SingleTxtG"/>
        <w:tabs>
          <w:tab w:val="left" w:pos="3261"/>
        </w:tabs>
        <w:rPr>
          <w:noProof/>
          <w:lang w:val="fr-FR"/>
        </w:rPr>
      </w:pPr>
      <w:r w:rsidRPr="00657EFE">
        <w:rPr>
          <w:noProof/>
          <w:lang w:val="fr-FR"/>
        </w:rPr>
        <w:t>SNIS</w:t>
      </w:r>
      <w:r w:rsidRPr="00657EFE">
        <w:rPr>
          <w:noProof/>
          <w:lang w:val="fr-FR"/>
        </w:rPr>
        <w:tab/>
      </w:r>
      <w:r>
        <w:rPr>
          <w:noProof/>
          <w:lang w:val="fr-FR"/>
        </w:rPr>
        <w:t>Système national pour l</w:t>
      </w:r>
      <w:r w:rsidR="002A5D78">
        <w:rPr>
          <w:noProof/>
          <w:lang w:val="fr-FR"/>
        </w:rPr>
        <w:t>’</w:t>
      </w:r>
      <w:r>
        <w:rPr>
          <w:noProof/>
          <w:lang w:val="fr-FR"/>
        </w:rPr>
        <w:t>égalité substantielle</w:t>
      </w:r>
    </w:p>
    <w:p w14:paraId="1AD520B7" w14:textId="77777777" w:rsidR="00653B7F" w:rsidRPr="00657EFE" w:rsidRDefault="00653B7F" w:rsidP="00653B7F">
      <w:pPr>
        <w:pStyle w:val="SingleTxtG"/>
        <w:tabs>
          <w:tab w:val="left" w:pos="3261"/>
        </w:tabs>
        <w:rPr>
          <w:noProof/>
          <w:lang w:val="fr-FR"/>
        </w:rPr>
      </w:pPr>
      <w:r>
        <w:rPr>
          <w:noProof/>
          <w:lang w:val="fr-FR"/>
        </w:rPr>
        <w:t>TB</w:t>
      </w:r>
      <w:r>
        <w:rPr>
          <w:noProof/>
          <w:lang w:val="fr-FR"/>
        </w:rPr>
        <w:tab/>
        <w:t>Tuberculose</w:t>
      </w:r>
    </w:p>
    <w:p w14:paraId="7D54C379" w14:textId="77777777" w:rsidR="00653B7F" w:rsidRPr="00657EFE" w:rsidRDefault="00653B7F" w:rsidP="00653B7F">
      <w:pPr>
        <w:pStyle w:val="SingleTxtG"/>
        <w:tabs>
          <w:tab w:val="left" w:pos="3261"/>
        </w:tabs>
        <w:rPr>
          <w:noProof/>
          <w:lang w:val="fr-FR"/>
        </w:rPr>
      </w:pPr>
      <w:r w:rsidRPr="00657EFE">
        <w:rPr>
          <w:noProof/>
          <w:lang w:val="fr-FR"/>
        </w:rPr>
        <w:t>IAIP</w:t>
      </w:r>
      <w:r w:rsidRPr="00657EFE">
        <w:rPr>
          <w:noProof/>
          <w:lang w:val="fr-FR"/>
        </w:rPr>
        <w:tab/>
      </w:r>
      <w:r w:rsidRPr="00A87E26">
        <w:rPr>
          <w:noProof/>
          <w:lang w:val="fr-FR"/>
        </w:rPr>
        <w:t>Institut pour l</w:t>
      </w:r>
      <w:r w:rsidR="002A5D78">
        <w:rPr>
          <w:noProof/>
          <w:lang w:val="fr-FR"/>
        </w:rPr>
        <w:t>’</w:t>
      </w:r>
      <w:r w:rsidRPr="00A87E26">
        <w:rPr>
          <w:noProof/>
          <w:lang w:val="fr-FR"/>
        </w:rPr>
        <w:t>accès à l</w:t>
      </w:r>
      <w:r w:rsidR="002A5D78">
        <w:rPr>
          <w:noProof/>
          <w:lang w:val="fr-FR"/>
        </w:rPr>
        <w:t>’</w:t>
      </w:r>
      <w:r w:rsidRPr="00A87E26">
        <w:rPr>
          <w:noProof/>
          <w:lang w:val="fr-FR"/>
        </w:rPr>
        <w:t>information publique</w:t>
      </w:r>
    </w:p>
    <w:p w14:paraId="37DC0599" w14:textId="77777777" w:rsidR="00653B7F" w:rsidRPr="00657EFE" w:rsidRDefault="00653B7F" w:rsidP="00653B7F">
      <w:pPr>
        <w:pStyle w:val="SingleTxtG"/>
        <w:tabs>
          <w:tab w:val="left" w:pos="3261"/>
        </w:tabs>
        <w:rPr>
          <w:noProof/>
          <w:lang w:val="fr-FR"/>
        </w:rPr>
      </w:pPr>
      <w:r w:rsidRPr="00657EFE">
        <w:rPr>
          <w:noProof/>
          <w:lang w:val="fr-FR"/>
        </w:rPr>
        <w:t>UCSF</w:t>
      </w:r>
      <w:r w:rsidRPr="00657EFE">
        <w:rPr>
          <w:noProof/>
          <w:lang w:val="fr-FR"/>
        </w:rPr>
        <w:tab/>
      </w:r>
      <w:r>
        <w:rPr>
          <w:noProof/>
          <w:lang w:val="fr-FR"/>
        </w:rPr>
        <w:t>Unité communautaire de santé de la famille</w:t>
      </w:r>
    </w:p>
    <w:p w14:paraId="0ECF962D" w14:textId="77777777" w:rsidR="00653B7F" w:rsidRPr="00657EFE" w:rsidRDefault="00653B7F" w:rsidP="00653B7F">
      <w:pPr>
        <w:pStyle w:val="SingleTxtG"/>
        <w:tabs>
          <w:tab w:val="left" w:pos="3261"/>
        </w:tabs>
        <w:rPr>
          <w:noProof/>
          <w:lang w:val="fr-FR"/>
        </w:rPr>
      </w:pPr>
      <w:r w:rsidRPr="00657EFE">
        <w:rPr>
          <w:noProof/>
          <w:lang w:val="fr-FR"/>
        </w:rPr>
        <w:t>UTE</w:t>
      </w:r>
      <w:r w:rsidRPr="00657EFE">
        <w:rPr>
          <w:noProof/>
          <w:lang w:val="fr-FR"/>
        </w:rPr>
        <w:tab/>
      </w:r>
      <w:r>
        <w:rPr>
          <w:lang w:val="fr-FR"/>
        </w:rPr>
        <w:t xml:space="preserve">Unité technique exécutive </w:t>
      </w:r>
      <w:r w:rsidRPr="007D74F5">
        <w:rPr>
          <w:lang w:val="fr-FR"/>
        </w:rPr>
        <w:t xml:space="preserve">du </w:t>
      </w:r>
      <w:r>
        <w:rPr>
          <w:lang w:val="fr-FR"/>
        </w:rPr>
        <w:t>secteur de la justice</w:t>
      </w:r>
    </w:p>
    <w:p w14:paraId="4CC0FCC9" w14:textId="77777777" w:rsidR="00653B7F" w:rsidRDefault="00653B7F" w:rsidP="00653B7F">
      <w:pPr>
        <w:pStyle w:val="SingleTxtG"/>
        <w:tabs>
          <w:tab w:val="left" w:pos="3261"/>
        </w:tabs>
        <w:rPr>
          <w:noProof/>
          <w:lang w:val="fr-FR"/>
        </w:rPr>
      </w:pPr>
      <w:r w:rsidRPr="00657EFE">
        <w:rPr>
          <w:noProof/>
          <w:lang w:val="fr-FR"/>
        </w:rPr>
        <w:t>VIH</w:t>
      </w:r>
      <w:r w:rsidRPr="00657EFE">
        <w:rPr>
          <w:noProof/>
          <w:lang w:val="fr-FR"/>
        </w:rPr>
        <w:tab/>
      </w:r>
      <w:r w:rsidRPr="00657EFE">
        <w:rPr>
          <w:lang w:val="fr-FR"/>
        </w:rPr>
        <w:t>Virus</w:t>
      </w:r>
      <w:r w:rsidRPr="00657EFE">
        <w:rPr>
          <w:noProof/>
          <w:lang w:val="fr-FR"/>
        </w:rPr>
        <w:t xml:space="preserve"> de </w:t>
      </w:r>
      <w:r>
        <w:rPr>
          <w:noProof/>
          <w:lang w:val="fr-FR"/>
        </w:rPr>
        <w:t>l</w:t>
      </w:r>
      <w:r w:rsidR="002A5D78">
        <w:rPr>
          <w:noProof/>
          <w:lang w:val="fr-FR"/>
        </w:rPr>
        <w:t>’</w:t>
      </w:r>
      <w:r>
        <w:rPr>
          <w:noProof/>
          <w:lang w:val="fr-FR"/>
        </w:rPr>
        <w:t>immunodéficience humaine</w:t>
      </w:r>
    </w:p>
    <w:p w14:paraId="22AE8CF4" w14:textId="77777777" w:rsidR="00653B7F" w:rsidRDefault="00653B7F" w:rsidP="00975D23">
      <w:pPr>
        <w:pStyle w:val="HChG"/>
        <w:rPr>
          <w:lang w:val="es-SV"/>
        </w:rPr>
      </w:pPr>
      <w:r>
        <w:rPr>
          <w:noProof/>
          <w:lang w:val="fr-FR"/>
        </w:rPr>
        <w:br w:type="page"/>
      </w:r>
      <w:r>
        <w:rPr>
          <w:lang w:val="es-SV"/>
        </w:rPr>
        <w:lastRenderedPageBreak/>
        <w:tab/>
      </w:r>
      <w:r>
        <w:rPr>
          <w:lang w:val="es-SV"/>
        </w:rPr>
        <w:tab/>
      </w:r>
      <w:r>
        <w:rPr>
          <w:lang w:val="es-ES_tradnl"/>
        </w:rPr>
        <w:t>Avant</w:t>
      </w:r>
      <w:r w:rsidR="00F15B2B">
        <w:rPr>
          <w:lang w:val="es-ES_tradnl"/>
        </w:rPr>
        <w:t>-</w:t>
      </w:r>
      <w:proofErr w:type="spellStart"/>
      <w:r>
        <w:rPr>
          <w:lang w:val="es-ES_tradnl"/>
        </w:rPr>
        <w:t>propos</w:t>
      </w:r>
      <w:proofErr w:type="spellEnd"/>
    </w:p>
    <w:p w14:paraId="1D622FA1" w14:textId="77777777" w:rsidR="00653B7F" w:rsidRDefault="00653B7F" w:rsidP="00975D23">
      <w:pPr>
        <w:pStyle w:val="SingleTxtG"/>
        <w:rPr>
          <w:noProof/>
          <w:lang w:val="fr-FR"/>
        </w:rPr>
      </w:pPr>
      <w:r w:rsidRPr="00AB45F8">
        <w:rPr>
          <w:lang w:val="es-ES_tradnl"/>
        </w:rPr>
        <w:t>1.</w:t>
      </w:r>
      <w:r>
        <w:rPr>
          <w:lang w:val="es-ES_tradnl"/>
        </w:rPr>
        <w:tab/>
      </w:r>
      <w:r w:rsidRPr="00BB1D38">
        <w:rPr>
          <w:noProof/>
          <w:lang w:val="fr-FR"/>
        </w:rPr>
        <w:t xml:space="preserve">El Salvador </w:t>
      </w:r>
      <w:r>
        <w:rPr>
          <w:noProof/>
          <w:lang w:val="fr-FR"/>
        </w:rPr>
        <w:t>a soumis en 2009 son deuxième rapport au Comité contre la torture (ci</w:t>
      </w:r>
      <w:r w:rsidR="00975D23">
        <w:rPr>
          <w:noProof/>
          <w:lang w:val="fr-FR"/>
        </w:rPr>
        <w:noBreakHyphen/>
      </w:r>
      <w:r>
        <w:rPr>
          <w:noProof/>
          <w:lang w:val="fr-FR"/>
        </w:rPr>
        <w:t xml:space="preserve">après « le Comité ») en application des obligations découlant de la Convention contre la torture et autres peines ou traitements cruels, inhumains et dégradants (ci-après « la Convention »). Publié sous la cote </w:t>
      </w:r>
      <w:r w:rsidRPr="00BB1D38">
        <w:rPr>
          <w:noProof/>
          <w:lang w:val="fr-FR"/>
        </w:rPr>
        <w:t>CAT/C/SLV/2</w:t>
      </w:r>
      <w:r>
        <w:rPr>
          <w:noProof/>
          <w:lang w:val="fr-FR"/>
        </w:rPr>
        <w:t>, ce rapport a été examiné par le Comité les 5 et 6</w:t>
      </w:r>
      <w:r w:rsidR="00F15B2B">
        <w:rPr>
          <w:noProof/>
          <w:lang w:val="fr-FR"/>
        </w:rPr>
        <w:t> </w:t>
      </w:r>
      <w:r>
        <w:rPr>
          <w:noProof/>
          <w:lang w:val="fr-FR"/>
        </w:rPr>
        <w:t>novembre 2009. À l</w:t>
      </w:r>
      <w:r w:rsidR="002A5D78">
        <w:rPr>
          <w:noProof/>
          <w:lang w:val="fr-FR"/>
        </w:rPr>
        <w:t>’</w:t>
      </w:r>
      <w:r>
        <w:rPr>
          <w:noProof/>
          <w:lang w:val="fr-FR"/>
        </w:rPr>
        <w:t>issue de cet examen, le Comité a approuvé et rendu publiques ses conclusions et recommandations à ses 920</w:t>
      </w:r>
      <w:r w:rsidRPr="003D1F25">
        <w:rPr>
          <w:noProof/>
          <w:vertAlign w:val="superscript"/>
          <w:lang w:val="fr-FR"/>
        </w:rPr>
        <w:t>e</w:t>
      </w:r>
      <w:r>
        <w:rPr>
          <w:noProof/>
          <w:lang w:val="fr-FR"/>
        </w:rPr>
        <w:t xml:space="preserve"> et 921</w:t>
      </w:r>
      <w:r w:rsidRPr="003D1F25">
        <w:rPr>
          <w:noProof/>
          <w:vertAlign w:val="superscript"/>
          <w:lang w:val="fr-FR"/>
        </w:rPr>
        <w:t>e</w:t>
      </w:r>
      <w:r w:rsidR="00975D23">
        <w:rPr>
          <w:noProof/>
          <w:lang w:val="fr-FR"/>
        </w:rPr>
        <w:t> </w:t>
      </w:r>
      <w:r>
        <w:rPr>
          <w:noProof/>
          <w:lang w:val="fr-FR"/>
        </w:rPr>
        <w:t>séances, tenues le 18</w:t>
      </w:r>
      <w:r w:rsidR="00975D23">
        <w:rPr>
          <w:noProof/>
          <w:lang w:val="fr-FR"/>
        </w:rPr>
        <w:t> </w:t>
      </w:r>
      <w:r>
        <w:rPr>
          <w:noProof/>
          <w:lang w:val="fr-FR"/>
        </w:rPr>
        <w:t>novembre 2009 (</w:t>
      </w:r>
      <w:r w:rsidRPr="00BB1D38">
        <w:rPr>
          <w:noProof/>
          <w:lang w:val="fr-FR"/>
        </w:rPr>
        <w:t>CAT/C/SR</w:t>
      </w:r>
      <w:r>
        <w:rPr>
          <w:noProof/>
          <w:lang w:val="fr-FR"/>
        </w:rPr>
        <w:t>.920 et</w:t>
      </w:r>
      <w:r w:rsidRPr="00BB1D38">
        <w:rPr>
          <w:noProof/>
          <w:lang w:val="fr-FR"/>
        </w:rPr>
        <w:t xml:space="preserve"> CAT/C/SR</w:t>
      </w:r>
      <w:r>
        <w:rPr>
          <w:noProof/>
          <w:lang w:val="fr-FR"/>
        </w:rPr>
        <w:t>.921</w:t>
      </w:r>
      <w:r w:rsidRPr="00BB1D38">
        <w:rPr>
          <w:noProof/>
          <w:lang w:val="fr-FR"/>
        </w:rPr>
        <w:t>)</w:t>
      </w:r>
      <w:r>
        <w:rPr>
          <w:noProof/>
          <w:lang w:val="fr-FR"/>
        </w:rPr>
        <w:t>.</w:t>
      </w:r>
    </w:p>
    <w:p w14:paraId="5AC9F5CC" w14:textId="77777777" w:rsidR="00653B7F" w:rsidRPr="00D40091" w:rsidRDefault="00653B7F" w:rsidP="00653B7F">
      <w:pPr>
        <w:pStyle w:val="SingleTxtG"/>
        <w:rPr>
          <w:noProof/>
          <w:lang w:val="fr-CA"/>
        </w:rPr>
      </w:pPr>
      <w:r>
        <w:rPr>
          <w:lang w:val="es-ES_tradnl"/>
        </w:rPr>
        <w:t>2.</w:t>
      </w:r>
      <w:r>
        <w:rPr>
          <w:lang w:val="es-ES_tradnl"/>
        </w:rPr>
        <w:tab/>
      </w:r>
      <w:r>
        <w:rPr>
          <w:noProof/>
          <w:lang w:val="fr-CA"/>
        </w:rPr>
        <w:t>Dans le présent</w:t>
      </w:r>
      <w:r w:rsidRPr="00D40091">
        <w:rPr>
          <w:noProof/>
          <w:lang w:val="fr-CA"/>
        </w:rPr>
        <w:t xml:space="preserve"> rapport </w:t>
      </w:r>
      <w:r>
        <w:rPr>
          <w:noProof/>
          <w:lang w:val="fr-CA"/>
        </w:rPr>
        <w:t>valant troisième et quatrième rapports périodiques, El</w:t>
      </w:r>
      <w:r w:rsidR="00975D23">
        <w:rPr>
          <w:noProof/>
          <w:lang w:val="fr-CA"/>
        </w:rPr>
        <w:t> </w:t>
      </w:r>
      <w:r>
        <w:rPr>
          <w:noProof/>
          <w:lang w:val="fr-CA"/>
        </w:rPr>
        <w:t>Salvador décrit les progrès qu</w:t>
      </w:r>
      <w:r w:rsidR="002A5D78">
        <w:rPr>
          <w:noProof/>
          <w:lang w:val="fr-CA"/>
        </w:rPr>
        <w:t>’</w:t>
      </w:r>
      <w:r>
        <w:rPr>
          <w:noProof/>
          <w:lang w:val="fr-CA"/>
        </w:rPr>
        <w:t>il a accomplis dans la promotion des droits de l</w:t>
      </w:r>
      <w:r w:rsidR="002A5D78">
        <w:rPr>
          <w:noProof/>
          <w:lang w:val="fr-CA"/>
        </w:rPr>
        <w:t>’</w:t>
      </w:r>
      <w:r>
        <w:rPr>
          <w:noProof/>
          <w:lang w:val="fr-CA"/>
        </w:rPr>
        <w:t>homme, et en particulier dans l</w:t>
      </w:r>
      <w:r w:rsidR="002A5D78">
        <w:rPr>
          <w:noProof/>
          <w:lang w:val="fr-CA"/>
        </w:rPr>
        <w:t>’</w:t>
      </w:r>
      <w:r>
        <w:rPr>
          <w:noProof/>
          <w:lang w:val="fr-CA"/>
        </w:rPr>
        <w:t>exécution des obligations qu</w:t>
      </w:r>
      <w:r w:rsidR="002A5D78">
        <w:rPr>
          <w:noProof/>
          <w:lang w:val="fr-CA"/>
        </w:rPr>
        <w:t>’</w:t>
      </w:r>
      <w:r>
        <w:rPr>
          <w:noProof/>
          <w:lang w:val="fr-CA"/>
        </w:rPr>
        <w:t>il tient de la Convention, ainsi que les objectifs qu</w:t>
      </w:r>
      <w:r w:rsidR="002A5D78">
        <w:rPr>
          <w:noProof/>
          <w:lang w:val="fr-CA"/>
        </w:rPr>
        <w:t>’</w:t>
      </w:r>
      <w:r>
        <w:rPr>
          <w:noProof/>
          <w:lang w:val="fr-CA"/>
        </w:rPr>
        <w:t>il s</w:t>
      </w:r>
      <w:r w:rsidR="002A5D78">
        <w:rPr>
          <w:noProof/>
          <w:lang w:val="fr-CA"/>
        </w:rPr>
        <w:t>’</w:t>
      </w:r>
      <w:r>
        <w:rPr>
          <w:noProof/>
          <w:lang w:val="fr-CA"/>
        </w:rPr>
        <w:t>est fixé et les défis qu</w:t>
      </w:r>
      <w:r w:rsidR="002A5D78">
        <w:rPr>
          <w:noProof/>
          <w:lang w:val="fr-CA"/>
        </w:rPr>
        <w:t>’</w:t>
      </w:r>
      <w:r>
        <w:rPr>
          <w:noProof/>
          <w:lang w:val="fr-CA"/>
        </w:rPr>
        <w:t>il doit relever, sur la base des recommandations qui lui ont été faites et des engagements qu</w:t>
      </w:r>
      <w:r w:rsidR="002A5D78">
        <w:rPr>
          <w:noProof/>
          <w:lang w:val="fr-CA"/>
        </w:rPr>
        <w:t>’</w:t>
      </w:r>
      <w:r>
        <w:rPr>
          <w:noProof/>
          <w:lang w:val="fr-CA"/>
        </w:rPr>
        <w:t xml:space="preserve">il a pris de lui-même vis-à-vis de sa population. </w:t>
      </w:r>
    </w:p>
    <w:p w14:paraId="10E789CD" w14:textId="77777777" w:rsidR="00653B7F" w:rsidRPr="0084174D" w:rsidRDefault="00653B7F" w:rsidP="00653B7F">
      <w:pPr>
        <w:pStyle w:val="SingleTxtG"/>
        <w:rPr>
          <w:noProof/>
          <w:lang w:val="fr-FR"/>
        </w:rPr>
      </w:pPr>
      <w:r>
        <w:rPr>
          <w:lang w:val="es-ES_tradnl"/>
        </w:rPr>
        <w:t>3.</w:t>
      </w:r>
      <w:r>
        <w:rPr>
          <w:lang w:val="es-ES_tradnl"/>
        </w:rPr>
        <w:tab/>
      </w:r>
      <w:r w:rsidRPr="0084174D">
        <w:rPr>
          <w:noProof/>
          <w:lang w:val="fr-FR"/>
        </w:rPr>
        <w:t>Ce rapport est le</w:t>
      </w:r>
      <w:r>
        <w:rPr>
          <w:noProof/>
          <w:lang w:val="fr-FR"/>
        </w:rPr>
        <w:t xml:space="preserve"> fruit d</w:t>
      </w:r>
      <w:r w:rsidR="002A5D78">
        <w:rPr>
          <w:noProof/>
          <w:lang w:val="fr-FR"/>
        </w:rPr>
        <w:t>’</w:t>
      </w:r>
      <w:r>
        <w:rPr>
          <w:noProof/>
          <w:lang w:val="fr-FR"/>
        </w:rPr>
        <w:t>une collaboration entre plusieurs institutions coordonnée par le Ministère des relations extérieures (MRE) et à laquelle ont participé le Ministère de la justice et de la sécurité publique (MJSP) et les administrations qui lui sont rattachées (Direction générale des migrations et des étrangers (DGME), Direction générale des établissements pénitentiaires (DGCP), Police nationale civile (PNC) et Académie nationale de sécurité publique (ANSP)) ; le Ministère de la santé (MINSAL) ; le Ministère de la défense nationale (MDN) ; l</w:t>
      </w:r>
      <w:r w:rsidR="002A5D78">
        <w:rPr>
          <w:noProof/>
          <w:lang w:val="fr-FR"/>
        </w:rPr>
        <w:t>’</w:t>
      </w:r>
      <w:r>
        <w:rPr>
          <w:noProof/>
          <w:lang w:val="fr-FR"/>
        </w:rPr>
        <w:t>Institut salvadorien pour la promotion de la femme (ISD</w:t>
      </w:r>
      <w:r w:rsidR="00F15B2B">
        <w:rPr>
          <w:noProof/>
          <w:lang w:val="fr-FR"/>
        </w:rPr>
        <w:t>E</w:t>
      </w:r>
      <w:r>
        <w:rPr>
          <w:noProof/>
          <w:lang w:val="fr-FR"/>
        </w:rPr>
        <w:t>MU) ; le Conseil national de l</w:t>
      </w:r>
      <w:r w:rsidR="002A5D78">
        <w:rPr>
          <w:noProof/>
          <w:lang w:val="fr-FR"/>
        </w:rPr>
        <w:t>’</w:t>
      </w:r>
      <w:r>
        <w:rPr>
          <w:noProof/>
          <w:lang w:val="fr-FR"/>
        </w:rPr>
        <w:t>enfance et de l</w:t>
      </w:r>
      <w:r w:rsidR="002A5D78">
        <w:rPr>
          <w:noProof/>
          <w:lang w:val="fr-FR"/>
        </w:rPr>
        <w:t>’</w:t>
      </w:r>
      <w:r>
        <w:rPr>
          <w:noProof/>
          <w:lang w:val="fr-FR"/>
        </w:rPr>
        <w:t>adolescence (CONNA) ; la Présidence de la République représentée par le Secrétariat à l</w:t>
      </w:r>
      <w:r w:rsidR="002A5D78">
        <w:rPr>
          <w:noProof/>
          <w:lang w:val="fr-FR"/>
        </w:rPr>
        <w:t>’</w:t>
      </w:r>
      <w:r>
        <w:rPr>
          <w:noProof/>
          <w:lang w:val="fr-FR"/>
        </w:rPr>
        <w:t xml:space="preserve">inclusion sociale (SIS) ; la Cour suprême de justice (CSJ) ; le Bureau du </w:t>
      </w:r>
      <w:r w:rsidRPr="00E7239A">
        <w:rPr>
          <w:i/>
          <w:noProof/>
          <w:lang w:val="fr-FR"/>
        </w:rPr>
        <w:t xml:space="preserve">Fiscal </w:t>
      </w:r>
      <w:r>
        <w:rPr>
          <w:i/>
          <w:noProof/>
          <w:lang w:val="fr-FR"/>
        </w:rPr>
        <w:t>gene</w:t>
      </w:r>
      <w:r w:rsidRPr="00347354">
        <w:rPr>
          <w:i/>
          <w:noProof/>
          <w:lang w:val="fr-FR"/>
        </w:rPr>
        <w:t>ral</w:t>
      </w:r>
      <w:r w:rsidRPr="00E7239A">
        <w:rPr>
          <w:noProof/>
          <w:lang w:val="fr-FR"/>
        </w:rPr>
        <w:t xml:space="preserve"> </w:t>
      </w:r>
      <w:r>
        <w:rPr>
          <w:noProof/>
          <w:lang w:val="fr-FR"/>
        </w:rPr>
        <w:t>de la République</w:t>
      </w:r>
      <w:r w:rsidRPr="000C6CD1">
        <w:rPr>
          <w:noProof/>
          <w:lang w:val="fr-FR"/>
        </w:rPr>
        <w:t xml:space="preserve"> (FGR)</w:t>
      </w:r>
      <w:r w:rsidR="00F15B2B">
        <w:rPr>
          <w:noProof/>
          <w:lang w:val="fr-FR"/>
        </w:rPr>
        <w:t> </w:t>
      </w:r>
      <w:r w:rsidRPr="000C6CD1">
        <w:rPr>
          <w:noProof/>
          <w:lang w:val="fr-FR"/>
        </w:rPr>
        <w:t>;</w:t>
      </w:r>
      <w:r>
        <w:rPr>
          <w:noProof/>
          <w:lang w:val="fr-FR"/>
        </w:rPr>
        <w:t xml:space="preserve"> le Bureau</w:t>
      </w:r>
      <w:r w:rsidRPr="000C6CD1">
        <w:rPr>
          <w:noProof/>
          <w:lang w:val="fr-FR"/>
        </w:rPr>
        <w:t xml:space="preserve"> du Procureur général de la République (PGR)</w:t>
      </w:r>
      <w:r w:rsidR="00F15B2B">
        <w:rPr>
          <w:noProof/>
          <w:lang w:val="fr-FR"/>
        </w:rPr>
        <w:t> </w:t>
      </w:r>
      <w:r w:rsidRPr="000C6CD1">
        <w:rPr>
          <w:noProof/>
          <w:lang w:val="fr-FR"/>
        </w:rPr>
        <w:t xml:space="preserve">; </w:t>
      </w:r>
      <w:r>
        <w:rPr>
          <w:noProof/>
          <w:lang w:val="fr-FR"/>
        </w:rPr>
        <w:t>le Bureau</w:t>
      </w:r>
      <w:r w:rsidRPr="000C6CD1">
        <w:rPr>
          <w:noProof/>
          <w:lang w:val="fr-FR"/>
        </w:rPr>
        <w:t xml:space="preserve"> du Procureur pour la défense des droits de l</w:t>
      </w:r>
      <w:r w:rsidR="002A5D78">
        <w:rPr>
          <w:noProof/>
          <w:lang w:val="fr-FR"/>
        </w:rPr>
        <w:t>’</w:t>
      </w:r>
      <w:r w:rsidRPr="000C6CD1">
        <w:rPr>
          <w:noProof/>
          <w:lang w:val="fr-FR"/>
        </w:rPr>
        <w:t>homme (PDDH)</w:t>
      </w:r>
      <w:r w:rsidR="00F15B2B">
        <w:rPr>
          <w:noProof/>
          <w:lang w:val="fr-FR"/>
        </w:rPr>
        <w:t> </w:t>
      </w:r>
      <w:r w:rsidRPr="000C6CD1">
        <w:rPr>
          <w:noProof/>
          <w:lang w:val="fr-FR"/>
        </w:rPr>
        <w:t>; le Conseil national de la magistrature (CNJ)</w:t>
      </w:r>
      <w:r w:rsidR="00F15B2B">
        <w:rPr>
          <w:noProof/>
          <w:lang w:val="fr-FR"/>
        </w:rPr>
        <w:t> </w:t>
      </w:r>
      <w:r w:rsidRPr="000C6CD1">
        <w:rPr>
          <w:noProof/>
          <w:lang w:val="fr-FR"/>
        </w:rPr>
        <w:t>;</w:t>
      </w:r>
      <w:r>
        <w:t xml:space="preserve"> la </w:t>
      </w:r>
      <w:r w:rsidRPr="00D51D8C">
        <w:rPr>
          <w:noProof/>
          <w:lang w:val="fr-FR"/>
        </w:rPr>
        <w:t xml:space="preserve">Commission nationale </w:t>
      </w:r>
      <w:r w:rsidRPr="00D51D8C">
        <w:rPr>
          <w:noProof/>
        </w:rPr>
        <w:t>pour la recherche des enfants disparus pendant le conflit armé interne</w:t>
      </w:r>
      <w:r w:rsidRPr="00D51D8C">
        <w:rPr>
          <w:noProof/>
          <w:lang w:val="fr-FR"/>
        </w:rPr>
        <w:t xml:space="preserve"> </w:t>
      </w:r>
      <w:r>
        <w:rPr>
          <w:noProof/>
          <w:lang w:val="fr-FR"/>
        </w:rPr>
        <w:t>(CNB) ; et l</w:t>
      </w:r>
      <w:r w:rsidR="002A5D78">
        <w:rPr>
          <w:noProof/>
          <w:lang w:val="fr-FR"/>
        </w:rPr>
        <w:t>’</w:t>
      </w:r>
      <w:r>
        <w:rPr>
          <w:noProof/>
          <w:lang w:val="fr-FR"/>
        </w:rPr>
        <w:t>Institut pour l</w:t>
      </w:r>
      <w:r w:rsidR="002A5D78">
        <w:rPr>
          <w:noProof/>
          <w:lang w:val="fr-FR"/>
        </w:rPr>
        <w:t>’</w:t>
      </w:r>
      <w:r>
        <w:rPr>
          <w:noProof/>
          <w:lang w:val="fr-FR"/>
        </w:rPr>
        <w:t>accès à l</w:t>
      </w:r>
      <w:r w:rsidR="002A5D78">
        <w:rPr>
          <w:noProof/>
          <w:lang w:val="fr-FR"/>
        </w:rPr>
        <w:t>’</w:t>
      </w:r>
      <w:r>
        <w:rPr>
          <w:noProof/>
          <w:lang w:val="fr-FR"/>
        </w:rPr>
        <w:t>information publique (IAIP).</w:t>
      </w:r>
    </w:p>
    <w:p w14:paraId="1D9E2629" w14:textId="77777777" w:rsidR="00653B7F" w:rsidRPr="00A84F5F" w:rsidRDefault="00653B7F" w:rsidP="00653B7F">
      <w:pPr>
        <w:pStyle w:val="SingleTxtG"/>
        <w:rPr>
          <w:noProof/>
          <w:lang w:val="fr-FR"/>
        </w:rPr>
      </w:pPr>
      <w:r w:rsidRPr="00AB45F8">
        <w:rPr>
          <w:lang w:val="es-ES_tradnl"/>
        </w:rPr>
        <w:t>4.</w:t>
      </w:r>
      <w:r>
        <w:rPr>
          <w:lang w:val="es-ES_tradnl"/>
        </w:rPr>
        <w:tab/>
      </w:r>
      <w:r w:rsidRPr="00A84F5F">
        <w:rPr>
          <w:noProof/>
          <w:lang w:val="fr-FR"/>
        </w:rPr>
        <w:t xml:space="preserve">El Salvador a adhéré à la Convention contre la torture </w:t>
      </w:r>
      <w:r w:rsidRPr="00A84F5F">
        <w:rPr>
          <w:noProof/>
          <w:szCs w:val="24"/>
          <w:lang w:val="fr-FR"/>
        </w:rPr>
        <w:t>en vertu du décret présidentiel n</w:t>
      </w:r>
      <w:r w:rsidRPr="00A84F5F">
        <w:rPr>
          <w:noProof/>
          <w:szCs w:val="24"/>
          <w:vertAlign w:val="superscript"/>
          <w:lang w:val="fr-FR"/>
        </w:rPr>
        <w:t>o</w:t>
      </w:r>
      <w:r w:rsidRPr="00A84F5F">
        <w:rPr>
          <w:noProof/>
          <w:szCs w:val="24"/>
          <w:lang w:val="fr-FR"/>
        </w:rPr>
        <w:t> 688 du 19</w:t>
      </w:r>
      <w:r w:rsidR="00975D23">
        <w:rPr>
          <w:noProof/>
          <w:szCs w:val="24"/>
          <w:lang w:val="fr-FR"/>
        </w:rPr>
        <w:t> </w:t>
      </w:r>
      <w:r w:rsidRPr="00A84F5F">
        <w:rPr>
          <w:noProof/>
          <w:szCs w:val="24"/>
          <w:lang w:val="fr-FR"/>
        </w:rPr>
        <w:t>octobre 1993</w:t>
      </w:r>
      <w:r>
        <w:rPr>
          <w:noProof/>
          <w:szCs w:val="24"/>
          <w:lang w:val="fr-FR"/>
        </w:rPr>
        <w:t>. Il l</w:t>
      </w:r>
      <w:r w:rsidR="002A5D78">
        <w:rPr>
          <w:noProof/>
          <w:szCs w:val="24"/>
          <w:lang w:val="fr-FR"/>
        </w:rPr>
        <w:t>’</w:t>
      </w:r>
      <w:r>
        <w:rPr>
          <w:noProof/>
          <w:szCs w:val="24"/>
          <w:lang w:val="fr-FR"/>
        </w:rPr>
        <w:t>a ensuite ratifiée par</w:t>
      </w:r>
      <w:r w:rsidRPr="00A84F5F">
        <w:rPr>
          <w:noProof/>
          <w:szCs w:val="24"/>
          <w:lang w:val="fr-FR"/>
        </w:rPr>
        <w:t xml:space="preserve"> décret</w:t>
      </w:r>
      <w:r>
        <w:rPr>
          <w:noProof/>
          <w:szCs w:val="24"/>
          <w:lang w:val="fr-FR"/>
        </w:rPr>
        <w:t xml:space="preserve"> législatif</w:t>
      </w:r>
      <w:r w:rsidRPr="00A84F5F">
        <w:rPr>
          <w:noProof/>
          <w:szCs w:val="24"/>
          <w:lang w:val="fr-FR"/>
        </w:rPr>
        <w:t xml:space="preserve"> n</w:t>
      </w:r>
      <w:r w:rsidRPr="00A84F5F">
        <w:rPr>
          <w:noProof/>
          <w:szCs w:val="24"/>
          <w:vertAlign w:val="superscript"/>
          <w:lang w:val="fr-FR"/>
        </w:rPr>
        <w:t>o</w:t>
      </w:r>
      <w:r w:rsidRPr="00A84F5F">
        <w:rPr>
          <w:noProof/>
          <w:szCs w:val="24"/>
          <w:lang w:val="fr-FR"/>
        </w:rPr>
        <w:t> 833 du 23</w:t>
      </w:r>
      <w:r w:rsidR="00975D23">
        <w:rPr>
          <w:noProof/>
          <w:szCs w:val="24"/>
          <w:lang w:val="fr-FR"/>
        </w:rPr>
        <w:t> </w:t>
      </w:r>
      <w:r w:rsidRPr="00A84F5F">
        <w:rPr>
          <w:noProof/>
          <w:szCs w:val="24"/>
          <w:lang w:val="fr-FR"/>
        </w:rPr>
        <w:t>mars 1994, publié au Journal officiel n</w:t>
      </w:r>
      <w:r w:rsidRPr="00A84F5F">
        <w:rPr>
          <w:noProof/>
          <w:szCs w:val="24"/>
          <w:vertAlign w:val="superscript"/>
          <w:lang w:val="fr-FR"/>
        </w:rPr>
        <w:t>o</w:t>
      </w:r>
      <w:r w:rsidR="00975D23">
        <w:rPr>
          <w:noProof/>
          <w:szCs w:val="24"/>
          <w:lang w:val="fr-FR"/>
        </w:rPr>
        <w:t> </w:t>
      </w:r>
      <w:r w:rsidRPr="00A84F5F">
        <w:rPr>
          <w:noProof/>
          <w:szCs w:val="24"/>
          <w:lang w:val="fr-FR"/>
        </w:rPr>
        <w:t>92 du 19</w:t>
      </w:r>
      <w:r w:rsidR="00975D23">
        <w:rPr>
          <w:noProof/>
          <w:szCs w:val="24"/>
          <w:lang w:val="fr-FR"/>
        </w:rPr>
        <w:t> </w:t>
      </w:r>
      <w:r w:rsidRPr="00A84F5F">
        <w:rPr>
          <w:noProof/>
          <w:szCs w:val="24"/>
          <w:lang w:val="fr-FR"/>
        </w:rPr>
        <w:t>mai 1994</w:t>
      </w:r>
      <w:r>
        <w:rPr>
          <w:noProof/>
          <w:szCs w:val="24"/>
          <w:lang w:val="fr-FR"/>
        </w:rPr>
        <w:t>, donnant ainsi plein effet à ses dispositions sur le plan national.</w:t>
      </w:r>
    </w:p>
    <w:p w14:paraId="572ABE92" w14:textId="77777777" w:rsidR="00653B7F" w:rsidRPr="0009603B" w:rsidRDefault="00653B7F" w:rsidP="00F15B2B">
      <w:pPr>
        <w:pStyle w:val="H1G"/>
        <w:rPr>
          <w:noProof/>
          <w:lang w:val="fr-FR"/>
        </w:rPr>
      </w:pPr>
      <w:bookmarkStart w:id="3" w:name="_Toc"/>
      <w:r>
        <w:rPr>
          <w:lang w:val="es-ES_tradnl"/>
        </w:rPr>
        <w:tab/>
      </w:r>
      <w:r>
        <w:rPr>
          <w:lang w:val="es-ES_tradnl"/>
        </w:rPr>
        <w:tab/>
      </w:r>
      <w:r>
        <w:rPr>
          <w:noProof/>
          <w:lang w:val="fr-FR"/>
        </w:rPr>
        <w:t>Application des articles premier à 6 de la Convention, et en particulier des recommandations du Comité</w:t>
      </w:r>
    </w:p>
    <w:bookmarkEnd w:id="3"/>
    <w:p w14:paraId="1DDDD26A" w14:textId="77777777" w:rsidR="00653B7F" w:rsidRPr="0009603B" w:rsidRDefault="00653B7F" w:rsidP="00975D23">
      <w:pPr>
        <w:pStyle w:val="H23G"/>
        <w:rPr>
          <w:noProof/>
          <w:lang w:val="fr-FR"/>
        </w:rPr>
      </w:pPr>
      <w:r>
        <w:rPr>
          <w:lang w:val="es-ES_tradnl"/>
        </w:rPr>
        <w:tab/>
      </w:r>
      <w:r>
        <w:rPr>
          <w:lang w:val="es-ES_tradnl"/>
        </w:rPr>
        <w:tab/>
      </w:r>
      <w:r>
        <w:rPr>
          <w:noProof/>
          <w:lang w:val="fr-FR"/>
        </w:rPr>
        <w:t>Articles premier et 4</w:t>
      </w:r>
      <w:r w:rsidRPr="0009603B">
        <w:rPr>
          <w:noProof/>
          <w:lang w:val="fr-FR"/>
        </w:rPr>
        <w:t xml:space="preserve"> </w:t>
      </w:r>
    </w:p>
    <w:p w14:paraId="61DDEB25" w14:textId="77777777" w:rsidR="00653B7F" w:rsidRDefault="00653B7F" w:rsidP="00653B7F">
      <w:pPr>
        <w:pStyle w:val="SingleTxtG"/>
        <w:rPr>
          <w:noProof/>
          <w:lang w:val="fr-FR"/>
        </w:rPr>
      </w:pPr>
      <w:r w:rsidRPr="0009603B">
        <w:rPr>
          <w:noProof/>
          <w:lang w:val="fr-FR"/>
        </w:rPr>
        <w:t>5.</w:t>
      </w:r>
      <w:r w:rsidRPr="0009603B">
        <w:rPr>
          <w:noProof/>
          <w:lang w:val="fr-FR"/>
        </w:rPr>
        <w:tab/>
      </w:r>
      <w:r>
        <w:rPr>
          <w:noProof/>
          <w:lang w:val="fr-FR"/>
        </w:rPr>
        <w:t xml:space="preserve">Aux fins de mettre la législation nationale en conformité avec la Convention, le Code pénal a été modifié par le décret législatif </w:t>
      </w:r>
      <w:r w:rsidR="00975D23" w:rsidRPr="00975D23">
        <w:rPr>
          <w:rFonts w:eastAsia="MS Mincho"/>
          <w:noProof/>
          <w:szCs w:val="22"/>
          <w:lang w:val="fr-FR"/>
        </w:rPr>
        <w:t>n</w:t>
      </w:r>
      <w:r w:rsidR="00975D23" w:rsidRPr="00975D23">
        <w:rPr>
          <w:rFonts w:eastAsia="MS Mincho"/>
          <w:noProof/>
          <w:szCs w:val="22"/>
          <w:vertAlign w:val="superscript"/>
          <w:lang w:val="fr-FR"/>
        </w:rPr>
        <w:t>o</w:t>
      </w:r>
      <w:r w:rsidR="00975D23">
        <w:rPr>
          <w:noProof/>
          <w:lang w:val="fr-FR"/>
        </w:rPr>
        <w:t> </w:t>
      </w:r>
      <w:r w:rsidRPr="0009603B">
        <w:rPr>
          <w:noProof/>
          <w:lang w:val="fr-FR"/>
        </w:rPr>
        <w:t>575</w:t>
      </w:r>
      <w:r w:rsidR="00706C13">
        <w:rPr>
          <w:rStyle w:val="Appelnotedebasdep"/>
          <w:noProof/>
        </w:rPr>
        <w:footnoteReference w:id="3"/>
      </w:r>
      <w:r>
        <w:rPr>
          <w:noProof/>
          <w:lang w:val="fr-FR"/>
        </w:rPr>
        <w:t xml:space="preserve"> de 2011 portant incrimination de la torture, qui a ajouté un article 366-A au chapitre XIX de ce code, intitulé « Crimes contre l</w:t>
      </w:r>
      <w:r w:rsidR="002A5D78">
        <w:rPr>
          <w:noProof/>
          <w:lang w:val="fr-FR"/>
        </w:rPr>
        <w:t>’</w:t>
      </w:r>
      <w:r>
        <w:rPr>
          <w:noProof/>
          <w:lang w:val="fr-FR"/>
        </w:rPr>
        <w:t>humanité »</w:t>
      </w:r>
      <w:r>
        <w:rPr>
          <w:rStyle w:val="Appelnotedebasdep"/>
          <w:noProof/>
          <w:lang w:val="fr-FR"/>
        </w:rPr>
        <w:footnoteReference w:id="4"/>
      </w:r>
      <w:r>
        <w:rPr>
          <w:noProof/>
          <w:lang w:val="fr-FR"/>
        </w:rPr>
        <w:t>. Cette modification reprend les dispositions des articles premier à 4 de la Convention en incriminant tous les actes de torture, en incluant dans la définition de l</w:t>
      </w:r>
      <w:r w:rsidR="002A5D78">
        <w:rPr>
          <w:noProof/>
          <w:lang w:val="fr-FR"/>
        </w:rPr>
        <w:t>’</w:t>
      </w:r>
      <w:r>
        <w:rPr>
          <w:noProof/>
          <w:lang w:val="fr-FR"/>
        </w:rPr>
        <w:t>infraction le fait d</w:t>
      </w:r>
      <w:r w:rsidR="002A5D78">
        <w:rPr>
          <w:noProof/>
          <w:lang w:val="fr-FR"/>
        </w:rPr>
        <w:t>’</w:t>
      </w:r>
      <w:r>
        <w:rPr>
          <w:noProof/>
          <w:lang w:val="fr-FR"/>
        </w:rPr>
        <w:t>ordonner, d</w:t>
      </w:r>
      <w:r w:rsidR="002A5D78">
        <w:rPr>
          <w:noProof/>
          <w:lang w:val="fr-FR"/>
        </w:rPr>
        <w:t>’</w:t>
      </w:r>
      <w:r>
        <w:rPr>
          <w:noProof/>
          <w:lang w:val="fr-FR"/>
        </w:rPr>
        <w:t>inciter ou d</w:t>
      </w:r>
      <w:r w:rsidR="002A5D78">
        <w:rPr>
          <w:noProof/>
          <w:lang w:val="fr-FR"/>
        </w:rPr>
        <w:t>’</w:t>
      </w:r>
      <w:r>
        <w:rPr>
          <w:noProof/>
          <w:lang w:val="fr-FR"/>
        </w:rPr>
        <w:t>encourager à la commettre, l</w:t>
      </w:r>
      <w:r w:rsidR="002A5D78">
        <w:rPr>
          <w:noProof/>
          <w:lang w:val="fr-FR"/>
        </w:rPr>
        <w:t>’</w:t>
      </w:r>
      <w:r>
        <w:rPr>
          <w:noProof/>
          <w:lang w:val="fr-FR"/>
        </w:rPr>
        <w:t>utilisation de moyens propres à porter atteinte à l</w:t>
      </w:r>
      <w:r w:rsidR="002A5D78">
        <w:rPr>
          <w:noProof/>
          <w:lang w:val="fr-FR"/>
        </w:rPr>
        <w:t>’</w:t>
      </w:r>
      <w:r>
        <w:rPr>
          <w:noProof/>
          <w:lang w:val="fr-FR"/>
        </w:rPr>
        <w:t>intégrité physique ou mentale des victimes et la discrimination comme motif ou raison  pour commettre un acte de torture, et en rendant ces infractions passibles de peines appropriées.</w:t>
      </w:r>
    </w:p>
    <w:p w14:paraId="1992E4F4" w14:textId="77777777" w:rsidR="00653B7F" w:rsidRDefault="00653B7F" w:rsidP="00653B7F">
      <w:pPr>
        <w:pStyle w:val="SingleTxtG"/>
        <w:rPr>
          <w:noProof/>
          <w:lang w:val="fr-FR"/>
        </w:rPr>
      </w:pPr>
      <w:r w:rsidRPr="0009603B">
        <w:rPr>
          <w:noProof/>
          <w:lang w:val="fr-FR"/>
        </w:rPr>
        <w:t>6.</w:t>
      </w:r>
      <w:r w:rsidRPr="0009603B">
        <w:rPr>
          <w:noProof/>
          <w:lang w:val="fr-FR"/>
        </w:rPr>
        <w:tab/>
      </w:r>
      <w:r>
        <w:rPr>
          <w:noProof/>
          <w:lang w:val="fr-FR"/>
        </w:rPr>
        <w:t>Le Code pénal dispose en son article 62 que la tentative de commettre un des actes incriminés est punissable et que la peine correspondante sera fixée entre la moitié de la peine minimum et la moitié de la peine maximum prévue à l</w:t>
      </w:r>
      <w:r w:rsidR="002A5D78">
        <w:rPr>
          <w:noProof/>
          <w:lang w:val="fr-FR"/>
        </w:rPr>
        <w:t>’</w:t>
      </w:r>
      <w:r>
        <w:rPr>
          <w:noProof/>
          <w:lang w:val="fr-FR"/>
        </w:rPr>
        <w:t xml:space="preserve">article 68 du même Code pour </w:t>
      </w:r>
      <w:r>
        <w:rPr>
          <w:noProof/>
          <w:lang w:val="fr-FR"/>
        </w:rPr>
        <w:lastRenderedPageBreak/>
        <w:t>l</w:t>
      </w:r>
      <w:r w:rsidR="002A5D78">
        <w:rPr>
          <w:noProof/>
          <w:lang w:val="fr-FR"/>
        </w:rPr>
        <w:t>’</w:t>
      </w:r>
      <w:r>
        <w:rPr>
          <w:noProof/>
          <w:lang w:val="fr-FR"/>
        </w:rPr>
        <w:t>infraction consommée. Des circonstances aggravantes de la responsabilité pénale sont prévues en cas de consommation de l</w:t>
      </w:r>
      <w:r w:rsidR="002A5D78">
        <w:rPr>
          <w:noProof/>
          <w:lang w:val="fr-FR"/>
        </w:rPr>
        <w:t>’</w:t>
      </w:r>
      <w:r>
        <w:rPr>
          <w:noProof/>
          <w:lang w:val="fr-FR"/>
        </w:rPr>
        <w:t xml:space="preserve">infraction. </w:t>
      </w:r>
    </w:p>
    <w:p w14:paraId="33661771" w14:textId="77777777" w:rsidR="00653B7F" w:rsidRDefault="00653B7F" w:rsidP="00653B7F">
      <w:pPr>
        <w:pStyle w:val="SingleTxtG"/>
        <w:rPr>
          <w:noProof/>
          <w:lang w:val="fr-FR"/>
        </w:rPr>
      </w:pPr>
      <w:r w:rsidRPr="0009603B">
        <w:rPr>
          <w:noProof/>
          <w:lang w:val="fr-FR"/>
        </w:rPr>
        <w:t>7.</w:t>
      </w:r>
      <w:r w:rsidRPr="0009603B">
        <w:rPr>
          <w:noProof/>
          <w:lang w:val="fr-FR"/>
        </w:rPr>
        <w:tab/>
      </w:r>
      <w:r>
        <w:rPr>
          <w:noProof/>
          <w:lang w:val="fr-FR"/>
        </w:rPr>
        <w:t>L</w:t>
      </w:r>
      <w:r w:rsidR="002A5D78">
        <w:rPr>
          <w:noProof/>
          <w:lang w:val="fr-FR"/>
        </w:rPr>
        <w:t>’</w:t>
      </w:r>
      <w:r>
        <w:rPr>
          <w:noProof/>
          <w:lang w:val="fr-FR"/>
        </w:rPr>
        <w:t>article 99 du Code pénal et l</w:t>
      </w:r>
      <w:r w:rsidR="002A5D78">
        <w:rPr>
          <w:noProof/>
          <w:lang w:val="fr-FR"/>
        </w:rPr>
        <w:t>’</w:t>
      </w:r>
      <w:r>
        <w:rPr>
          <w:noProof/>
          <w:lang w:val="fr-FR"/>
        </w:rPr>
        <w:t>article 32, dernier alinéa, du Code de procédure pénale</w:t>
      </w:r>
      <w:r>
        <w:rPr>
          <w:rStyle w:val="Appelnotedebasdep"/>
          <w:noProof/>
          <w:lang w:val="fr-FR"/>
        </w:rPr>
        <w:footnoteReference w:id="5"/>
      </w:r>
      <w:r>
        <w:rPr>
          <w:noProof/>
          <w:lang w:val="fr-FR"/>
        </w:rPr>
        <w:t xml:space="preserve"> disposent que l</w:t>
      </w:r>
      <w:r w:rsidR="002A5D78">
        <w:rPr>
          <w:noProof/>
          <w:lang w:val="fr-FR"/>
        </w:rPr>
        <w:t>’</w:t>
      </w:r>
      <w:r>
        <w:rPr>
          <w:noProof/>
          <w:lang w:val="fr-FR"/>
        </w:rPr>
        <w:t>action pénale ne se prescrit pas pour les faits de torture, sauf lorsque l</w:t>
      </w:r>
      <w:r w:rsidR="002A5D78">
        <w:rPr>
          <w:noProof/>
          <w:lang w:val="fr-FR"/>
        </w:rPr>
        <w:t>’</w:t>
      </w:r>
      <w:r>
        <w:rPr>
          <w:noProof/>
          <w:lang w:val="fr-FR"/>
        </w:rPr>
        <w:t>exécution des faits incriminés a commencé avant l</w:t>
      </w:r>
      <w:r w:rsidR="002A5D78">
        <w:rPr>
          <w:noProof/>
          <w:lang w:val="fr-FR"/>
        </w:rPr>
        <w:t>’</w:t>
      </w:r>
      <w:r>
        <w:rPr>
          <w:noProof/>
          <w:lang w:val="fr-FR"/>
        </w:rPr>
        <w:t>entrée en vigueur desdits codes, en raison du principe de non-rétroactivité des lois inscrit à l</w:t>
      </w:r>
      <w:r w:rsidR="002A5D78">
        <w:rPr>
          <w:noProof/>
          <w:lang w:val="fr-FR"/>
        </w:rPr>
        <w:t>’</w:t>
      </w:r>
      <w:r>
        <w:rPr>
          <w:noProof/>
          <w:lang w:val="fr-FR"/>
        </w:rPr>
        <w:t>article 15 de la Constitution de la République</w:t>
      </w:r>
      <w:r>
        <w:rPr>
          <w:rStyle w:val="Appelnotedebasdep"/>
          <w:noProof/>
          <w:lang w:val="fr-FR"/>
        </w:rPr>
        <w:footnoteReference w:id="6"/>
      </w:r>
      <w:r>
        <w:rPr>
          <w:noProof/>
          <w:lang w:val="fr-FR"/>
        </w:rPr>
        <w:t>. Une caractéristique essentielle du crime de torture est l</w:t>
      </w:r>
      <w:r w:rsidR="002A5D78">
        <w:rPr>
          <w:noProof/>
          <w:lang w:val="fr-FR"/>
        </w:rPr>
        <w:t>’</w:t>
      </w:r>
      <w:r>
        <w:rPr>
          <w:noProof/>
          <w:lang w:val="fr-FR"/>
        </w:rPr>
        <w:t>abus de pouvoir que peuvent commettre des fonctionnaires dans l</w:t>
      </w:r>
      <w:r w:rsidR="002A5D78">
        <w:rPr>
          <w:noProof/>
          <w:lang w:val="fr-FR"/>
        </w:rPr>
        <w:t>’</w:t>
      </w:r>
      <w:r>
        <w:rPr>
          <w:noProof/>
          <w:lang w:val="fr-FR"/>
        </w:rPr>
        <w:t xml:space="preserve">exercice de leurs fonctions ou de leurs attributions ; une autre est le non-respect des garanties </w:t>
      </w:r>
      <w:r w:rsidRPr="005156B1">
        <w:rPr>
          <w:noProof/>
        </w:rPr>
        <w:t>pénales et procédurales</w:t>
      </w:r>
      <w:r>
        <w:rPr>
          <w:noProof/>
        </w:rPr>
        <w:t xml:space="preserve"> par des fonctionnaires qui ont de par leurs fonctions l</w:t>
      </w:r>
      <w:r w:rsidR="002A5D78">
        <w:rPr>
          <w:noProof/>
        </w:rPr>
        <w:t>’</w:t>
      </w:r>
      <w:r>
        <w:rPr>
          <w:noProof/>
        </w:rPr>
        <w:t>obligation de les respecter. La peine qu</w:t>
      </w:r>
      <w:r w:rsidR="002A5D78">
        <w:rPr>
          <w:noProof/>
        </w:rPr>
        <w:t>’</w:t>
      </w:r>
      <w:r>
        <w:rPr>
          <w:noProof/>
        </w:rPr>
        <w:t>encourent ces fonctionnaires est de six à douze années de réclusion criminelle et l</w:t>
      </w:r>
      <w:r w:rsidR="002A5D78">
        <w:rPr>
          <w:noProof/>
        </w:rPr>
        <w:t>’</w:t>
      </w:r>
      <w:r>
        <w:rPr>
          <w:noProof/>
        </w:rPr>
        <w:t>interdiction d</w:t>
      </w:r>
      <w:r w:rsidR="002A5D78">
        <w:rPr>
          <w:noProof/>
        </w:rPr>
        <w:t>’</w:t>
      </w:r>
      <w:r>
        <w:rPr>
          <w:noProof/>
        </w:rPr>
        <w:t>exercer leurs fonctions ou attributions pendant une période de même durée.</w:t>
      </w:r>
    </w:p>
    <w:p w14:paraId="6E9E29BB" w14:textId="77777777" w:rsidR="00653B7F" w:rsidRDefault="00653B7F" w:rsidP="00653B7F">
      <w:pPr>
        <w:pStyle w:val="SingleTxtG"/>
        <w:rPr>
          <w:noProof/>
          <w:lang w:val="fr-FR"/>
        </w:rPr>
      </w:pPr>
      <w:r w:rsidRPr="0009603B">
        <w:rPr>
          <w:noProof/>
          <w:lang w:val="fr-FR"/>
        </w:rPr>
        <w:t>8.</w:t>
      </w:r>
      <w:r w:rsidRPr="0009603B">
        <w:rPr>
          <w:noProof/>
          <w:lang w:val="fr-FR"/>
        </w:rPr>
        <w:tab/>
      </w:r>
      <w:r>
        <w:rPr>
          <w:noProof/>
          <w:lang w:val="fr-FR"/>
        </w:rPr>
        <w:t>L</w:t>
      </w:r>
      <w:r w:rsidR="002A5D78">
        <w:rPr>
          <w:noProof/>
          <w:lang w:val="fr-FR"/>
        </w:rPr>
        <w:t>’</w:t>
      </w:r>
      <w:r>
        <w:rPr>
          <w:noProof/>
          <w:lang w:val="fr-FR"/>
        </w:rPr>
        <w:t>article 37 de la loi sur la protection intégrale des enfants et des adolescents (LEPINA) garantit le droit à l</w:t>
      </w:r>
      <w:r w:rsidR="002A5D78">
        <w:rPr>
          <w:noProof/>
          <w:lang w:val="fr-FR"/>
        </w:rPr>
        <w:t>’</w:t>
      </w:r>
      <w:r>
        <w:rPr>
          <w:noProof/>
          <w:lang w:val="fr-FR"/>
        </w:rPr>
        <w:t>intégrité de la personne des filles, garçons et adolescents, qui comprend l</w:t>
      </w:r>
      <w:r w:rsidR="002A5D78">
        <w:rPr>
          <w:noProof/>
          <w:lang w:val="fr-FR"/>
        </w:rPr>
        <w:t>’</w:t>
      </w:r>
      <w:r>
        <w:rPr>
          <w:noProof/>
          <w:lang w:val="fr-FR"/>
        </w:rPr>
        <w:t>intégrité physique, psychologique, culturelle, morale, affective et sexuelle, ce qui témoigne d</w:t>
      </w:r>
      <w:r w:rsidR="002A5D78">
        <w:rPr>
          <w:noProof/>
          <w:lang w:val="fr-FR"/>
        </w:rPr>
        <w:t>’</w:t>
      </w:r>
      <w:r>
        <w:rPr>
          <w:noProof/>
          <w:lang w:val="fr-FR"/>
        </w:rPr>
        <w:t>une conception très large des différentes formes de violence tant dans leurs manifestations que dans leurs effets. L</w:t>
      </w:r>
      <w:r w:rsidR="002A5D78">
        <w:rPr>
          <w:noProof/>
          <w:lang w:val="fr-FR"/>
        </w:rPr>
        <w:t>’</w:t>
      </w:r>
      <w:r>
        <w:rPr>
          <w:noProof/>
          <w:lang w:val="fr-FR"/>
        </w:rPr>
        <w:t>article 39 de la même loi garantit le droit à la protection contre la torture et les traitements cruels, inhumains ou dégradants</w:t>
      </w:r>
      <w:r>
        <w:rPr>
          <w:rStyle w:val="Appelnotedebasdep"/>
          <w:noProof/>
          <w:lang w:val="fr-FR"/>
        </w:rPr>
        <w:footnoteReference w:id="7"/>
      </w:r>
      <w:r>
        <w:rPr>
          <w:noProof/>
          <w:lang w:val="fr-FR"/>
        </w:rPr>
        <w:t>.</w:t>
      </w:r>
    </w:p>
    <w:p w14:paraId="44B3E96A" w14:textId="77777777" w:rsidR="00653B7F" w:rsidRPr="00D02127" w:rsidRDefault="00653B7F" w:rsidP="007242E5">
      <w:pPr>
        <w:pStyle w:val="H23G"/>
        <w:rPr>
          <w:noProof/>
          <w:lang w:val="fr-FR"/>
        </w:rPr>
      </w:pPr>
      <w:bookmarkStart w:id="4" w:name="_Toc1"/>
      <w:r>
        <w:rPr>
          <w:lang w:val="es-SV"/>
        </w:rPr>
        <w:tab/>
      </w:r>
      <w:r>
        <w:rPr>
          <w:lang w:val="es-SV"/>
        </w:rPr>
        <w:tab/>
      </w:r>
      <w:r w:rsidRPr="00D02127">
        <w:rPr>
          <w:noProof/>
          <w:lang w:val="fr-FR"/>
        </w:rPr>
        <w:t>Art</w:t>
      </w:r>
      <w:r>
        <w:rPr>
          <w:noProof/>
          <w:lang w:val="fr-FR"/>
        </w:rPr>
        <w:t>icle</w:t>
      </w:r>
      <w:r w:rsidRPr="00D02127">
        <w:rPr>
          <w:noProof/>
          <w:lang w:val="fr-FR"/>
        </w:rPr>
        <w:t xml:space="preserve"> 2</w:t>
      </w:r>
      <w:bookmarkEnd w:id="4"/>
    </w:p>
    <w:p w14:paraId="450E525C" w14:textId="77777777" w:rsidR="00653B7F" w:rsidRPr="00AF6B5A" w:rsidRDefault="00653B7F" w:rsidP="00653B7F">
      <w:pPr>
        <w:pStyle w:val="SingleTxtG"/>
        <w:rPr>
          <w:noProof/>
          <w:lang w:val="fr-FR"/>
        </w:rPr>
      </w:pPr>
      <w:r w:rsidRPr="00D02127">
        <w:rPr>
          <w:noProof/>
          <w:lang w:val="fr-FR"/>
        </w:rPr>
        <w:t>9.</w:t>
      </w:r>
      <w:r w:rsidRPr="00D02127">
        <w:rPr>
          <w:noProof/>
          <w:lang w:val="fr-FR"/>
        </w:rPr>
        <w:tab/>
      </w:r>
      <w:r>
        <w:rPr>
          <w:noProof/>
          <w:lang w:val="fr-FR"/>
        </w:rPr>
        <w:t>La Constitution de la République établit que les juges et magistrats sont indépendants et soumis exclusivement à ses propres dispositions et aux lois nationales, en conséquence de quoi les juges, quel que soit leur rang hiérarchique, statuent en toute indépendance dans les affaires dont ils sont saisis. L</w:t>
      </w:r>
      <w:r w:rsidR="002A5D78">
        <w:rPr>
          <w:noProof/>
          <w:lang w:val="fr-FR"/>
        </w:rPr>
        <w:t>’</w:t>
      </w:r>
      <w:r>
        <w:rPr>
          <w:noProof/>
          <w:lang w:val="fr-FR"/>
        </w:rPr>
        <w:t xml:space="preserve">organisation et le fonctionnement du pouvoir judiciaire, arrêtés par la Constitution de la République et la loi </w:t>
      </w:r>
      <w:r w:rsidRPr="00AF6B5A">
        <w:rPr>
          <w:noProof/>
          <w:lang w:val="fr-FR"/>
        </w:rPr>
        <w:t>organique relative au pouvoir judiciaire</w:t>
      </w:r>
      <w:r>
        <w:rPr>
          <w:noProof/>
          <w:lang w:val="fr-FR"/>
        </w:rPr>
        <w:t>, constituent eux aussi une garantie d</w:t>
      </w:r>
      <w:r w:rsidR="002A5D78">
        <w:rPr>
          <w:noProof/>
          <w:lang w:val="fr-FR"/>
        </w:rPr>
        <w:t>’</w:t>
      </w:r>
      <w:r>
        <w:rPr>
          <w:noProof/>
          <w:lang w:val="fr-FR"/>
        </w:rPr>
        <w:t>indépendance ; il en est de même de l</w:t>
      </w:r>
      <w:r w:rsidR="002A5D78">
        <w:rPr>
          <w:noProof/>
          <w:lang w:val="fr-FR"/>
        </w:rPr>
        <w:t>’</w:t>
      </w:r>
      <w:r>
        <w:rPr>
          <w:noProof/>
          <w:lang w:val="fr-FR"/>
        </w:rPr>
        <w:t>organisation de la magistrature, encadrée par une loi sur la profession judiciaire qui consacre le principe de l</w:t>
      </w:r>
      <w:r w:rsidR="002A5D78">
        <w:rPr>
          <w:noProof/>
          <w:lang w:val="fr-FR"/>
        </w:rPr>
        <w:t>’</w:t>
      </w:r>
      <w:r>
        <w:rPr>
          <w:noProof/>
          <w:lang w:val="fr-FR"/>
        </w:rPr>
        <w:t>inamovibilité des juges et régit leur avancement et leurs promotions. L</w:t>
      </w:r>
      <w:r w:rsidR="002A5D78">
        <w:rPr>
          <w:noProof/>
          <w:lang w:val="fr-FR"/>
        </w:rPr>
        <w:t>’</w:t>
      </w:r>
      <w:r>
        <w:rPr>
          <w:noProof/>
          <w:lang w:val="fr-FR"/>
        </w:rPr>
        <w:t>indépendance du pouvoir judiciaire par rapport aux autres organes de l</w:t>
      </w:r>
      <w:r w:rsidR="002A5D78">
        <w:rPr>
          <w:noProof/>
          <w:lang w:val="fr-FR"/>
        </w:rPr>
        <w:t>’</w:t>
      </w:r>
      <w:r>
        <w:rPr>
          <w:noProof/>
          <w:lang w:val="fr-FR"/>
        </w:rPr>
        <w:t>État est garantie par la Constitution, y compris grâce à des dispositions à caractère budgétaire, puisque le budget de la justice ne peut être inférieur à 6</w:t>
      </w:r>
      <w:r w:rsidR="00E26945">
        <w:rPr>
          <w:noProof/>
          <w:lang w:val="fr-FR"/>
        </w:rPr>
        <w:t> </w:t>
      </w:r>
      <w:r>
        <w:rPr>
          <w:noProof/>
          <w:lang w:val="fr-FR"/>
        </w:rPr>
        <w:t>% des recettes courantes de l</w:t>
      </w:r>
      <w:r w:rsidR="002A5D78">
        <w:rPr>
          <w:noProof/>
          <w:lang w:val="fr-FR"/>
        </w:rPr>
        <w:t>’</w:t>
      </w:r>
      <w:r>
        <w:rPr>
          <w:noProof/>
          <w:lang w:val="fr-FR"/>
        </w:rPr>
        <w:t>État.</w:t>
      </w:r>
    </w:p>
    <w:p w14:paraId="517A7EDE" w14:textId="77777777" w:rsidR="00653B7F" w:rsidRDefault="00653B7F" w:rsidP="00653B7F">
      <w:pPr>
        <w:pStyle w:val="SingleTxtG"/>
        <w:rPr>
          <w:noProof/>
          <w:lang w:val="fr-FR"/>
        </w:rPr>
      </w:pPr>
      <w:r w:rsidRPr="00D02127">
        <w:rPr>
          <w:noProof/>
          <w:lang w:val="fr-FR"/>
        </w:rPr>
        <w:t>10.</w:t>
      </w:r>
      <w:r w:rsidRPr="00D02127">
        <w:rPr>
          <w:noProof/>
          <w:lang w:val="fr-FR"/>
        </w:rPr>
        <w:tab/>
      </w:r>
      <w:r>
        <w:rPr>
          <w:noProof/>
          <w:lang w:val="fr-FR"/>
        </w:rPr>
        <w:t>Parmi les mécanismes de défense de l</w:t>
      </w:r>
      <w:r w:rsidR="002A5D78">
        <w:rPr>
          <w:noProof/>
          <w:lang w:val="fr-FR"/>
        </w:rPr>
        <w:t>’</w:t>
      </w:r>
      <w:r>
        <w:rPr>
          <w:noProof/>
          <w:lang w:val="fr-FR"/>
        </w:rPr>
        <w:t>indépendance des magistrats, on mentionnera le mouvement associatif judiciaire ainsi que l</w:t>
      </w:r>
      <w:r w:rsidR="002A5D78">
        <w:rPr>
          <w:noProof/>
          <w:lang w:val="fr-FR"/>
        </w:rPr>
        <w:t>’</w:t>
      </w:r>
      <w:r>
        <w:rPr>
          <w:noProof/>
          <w:lang w:val="fr-FR"/>
        </w:rPr>
        <w:t>activité des organisations de la société civile, qui ont notamment exigé des garanties quant à la nomination des magistrats de la Cour suprême de justice, lesquels sont nommés par l</w:t>
      </w:r>
      <w:r w:rsidR="002A5D78">
        <w:rPr>
          <w:noProof/>
          <w:lang w:val="fr-FR"/>
        </w:rPr>
        <w:t>’</w:t>
      </w:r>
      <w:r>
        <w:rPr>
          <w:noProof/>
          <w:lang w:val="fr-FR"/>
        </w:rPr>
        <w:t>Assemblée législative à partir d</w:t>
      </w:r>
      <w:r w:rsidR="002A5D78">
        <w:rPr>
          <w:noProof/>
          <w:lang w:val="fr-FR"/>
        </w:rPr>
        <w:t>’</w:t>
      </w:r>
      <w:r>
        <w:rPr>
          <w:noProof/>
          <w:lang w:val="fr-FR"/>
        </w:rPr>
        <w:t>une liste composée de candidats proposés par le Conseil national de la magistrature et de candidats élus par la Fédération des barreaux d</w:t>
      </w:r>
      <w:r w:rsidR="002A5D78">
        <w:rPr>
          <w:noProof/>
          <w:lang w:val="fr-FR"/>
        </w:rPr>
        <w:t>’</w:t>
      </w:r>
      <w:r>
        <w:rPr>
          <w:noProof/>
          <w:lang w:val="fr-FR"/>
        </w:rPr>
        <w:t>El Salvador, en tenant compte de la jurisprudence constitutionnelle qui a réaffirmé le principe de la séparation de la fonction judiciaire et des activités partisanes, afin de garantir le respect de l</w:t>
      </w:r>
      <w:r w:rsidR="002A5D78">
        <w:rPr>
          <w:noProof/>
          <w:lang w:val="fr-FR"/>
        </w:rPr>
        <w:t>’</w:t>
      </w:r>
      <w:r>
        <w:rPr>
          <w:noProof/>
          <w:lang w:val="fr-FR"/>
        </w:rPr>
        <w:t>indépendance dans l</w:t>
      </w:r>
      <w:r w:rsidR="002A5D78">
        <w:rPr>
          <w:noProof/>
          <w:lang w:val="fr-FR"/>
        </w:rPr>
        <w:t>’</w:t>
      </w:r>
      <w:r>
        <w:rPr>
          <w:noProof/>
          <w:lang w:val="fr-FR"/>
        </w:rPr>
        <w:t>administration de la justice.</w:t>
      </w:r>
    </w:p>
    <w:p w14:paraId="6361F69E" w14:textId="77777777" w:rsidR="00653B7F" w:rsidRDefault="00653B7F" w:rsidP="00653B7F">
      <w:pPr>
        <w:pStyle w:val="SingleTxtG"/>
        <w:rPr>
          <w:noProof/>
          <w:lang w:val="fr-FR"/>
        </w:rPr>
      </w:pPr>
      <w:r w:rsidRPr="00D02127">
        <w:rPr>
          <w:noProof/>
          <w:lang w:val="fr-FR"/>
        </w:rPr>
        <w:t>11.</w:t>
      </w:r>
      <w:r w:rsidRPr="00D02127">
        <w:rPr>
          <w:noProof/>
          <w:lang w:val="fr-FR"/>
        </w:rPr>
        <w:tab/>
      </w:r>
      <w:r>
        <w:rPr>
          <w:noProof/>
          <w:lang w:val="fr-FR"/>
        </w:rPr>
        <w:t>Entrée en vigueur en 2014, la loi organique sur l</w:t>
      </w:r>
      <w:r w:rsidR="002A5D78">
        <w:rPr>
          <w:noProof/>
          <w:lang w:val="fr-FR"/>
        </w:rPr>
        <w:t>’</w:t>
      </w:r>
      <w:r>
        <w:rPr>
          <w:noProof/>
          <w:lang w:val="fr-FR"/>
        </w:rPr>
        <w:t>Inspection générale de la sécurité publique a doté cette institution d</w:t>
      </w:r>
      <w:r w:rsidR="002A5D78">
        <w:rPr>
          <w:noProof/>
          <w:lang w:val="fr-FR"/>
        </w:rPr>
        <w:t>’</w:t>
      </w:r>
      <w:r>
        <w:rPr>
          <w:noProof/>
          <w:lang w:val="fr-FR"/>
        </w:rPr>
        <w:t>un nouveau statut et lui a conféré l</w:t>
      </w:r>
      <w:r w:rsidR="002A5D78">
        <w:rPr>
          <w:noProof/>
          <w:lang w:val="fr-FR"/>
        </w:rPr>
        <w:t>’</w:t>
      </w:r>
      <w:r>
        <w:rPr>
          <w:noProof/>
          <w:lang w:val="fr-FR"/>
        </w:rPr>
        <w:t>autonomie par rapport à la police en la plaçant sous l</w:t>
      </w:r>
      <w:r w:rsidR="002A5D78">
        <w:rPr>
          <w:noProof/>
          <w:lang w:val="fr-FR"/>
        </w:rPr>
        <w:t>’</w:t>
      </w:r>
      <w:r>
        <w:rPr>
          <w:noProof/>
          <w:lang w:val="fr-FR"/>
        </w:rPr>
        <w:t>autorité du Ministère de la justice et de la sécurité publique, tout en lui conservant le commandement et la direction fonctionnelle des unités chargées des enquêtes et des procédures disciplinaires visant la police, sur lesquelles elle s</w:t>
      </w:r>
      <w:r w:rsidR="002A5D78">
        <w:rPr>
          <w:noProof/>
          <w:lang w:val="fr-FR"/>
        </w:rPr>
        <w:t>’</w:t>
      </w:r>
      <w:r>
        <w:rPr>
          <w:noProof/>
          <w:lang w:val="fr-FR"/>
        </w:rPr>
        <w:t xml:space="preserve">appuie pour mener ses activités. De plus, la nouvelle loi étend </w:t>
      </w:r>
      <w:r w:rsidRPr="002C2030">
        <w:rPr>
          <w:noProof/>
          <w:lang w:val="fr-FR"/>
        </w:rPr>
        <w:t>la compétence de l</w:t>
      </w:r>
      <w:r w:rsidR="002A5D78">
        <w:rPr>
          <w:noProof/>
          <w:lang w:val="fr-FR"/>
        </w:rPr>
        <w:t>’</w:t>
      </w:r>
      <w:r w:rsidRPr="002C2030">
        <w:rPr>
          <w:noProof/>
          <w:lang w:val="fr-FR"/>
        </w:rPr>
        <w:t xml:space="preserve">Inspection générale </w:t>
      </w:r>
      <w:r>
        <w:rPr>
          <w:noProof/>
          <w:lang w:val="fr-FR"/>
        </w:rPr>
        <w:t>à l</w:t>
      </w:r>
      <w:r w:rsidR="002A5D78">
        <w:rPr>
          <w:noProof/>
          <w:lang w:val="fr-FR"/>
        </w:rPr>
        <w:t>’</w:t>
      </w:r>
      <w:r>
        <w:rPr>
          <w:noProof/>
          <w:lang w:val="fr-FR"/>
        </w:rPr>
        <w:t>Académie nationale de sécurité publique (ANSP) afin de renforcer la protection des droits de l</w:t>
      </w:r>
      <w:r w:rsidR="002A5D78">
        <w:rPr>
          <w:noProof/>
          <w:lang w:val="fr-FR"/>
        </w:rPr>
        <w:t>’</w:t>
      </w:r>
      <w:r>
        <w:rPr>
          <w:noProof/>
          <w:lang w:val="fr-FR"/>
        </w:rPr>
        <w:t xml:space="preserve">homme et le respect de la discipline dans cet établissement. La loi portant régime disciplinaire de la police a été révisée en 2015 avec une modification de la composition des </w:t>
      </w:r>
      <w:r>
        <w:rPr>
          <w:noProof/>
          <w:lang w:val="fr-FR"/>
        </w:rPr>
        <w:lastRenderedPageBreak/>
        <w:t>tribunaux disciplinaires tendant à leur conférer un caractère plus civil, si bien qu</w:t>
      </w:r>
      <w:r w:rsidR="002A5D78">
        <w:rPr>
          <w:noProof/>
          <w:lang w:val="fr-FR"/>
        </w:rPr>
        <w:t>’</w:t>
      </w:r>
      <w:r>
        <w:rPr>
          <w:noProof/>
          <w:lang w:val="fr-FR"/>
        </w:rPr>
        <w:t>aujourd</w:t>
      </w:r>
      <w:r w:rsidR="002A5D78">
        <w:rPr>
          <w:noProof/>
          <w:lang w:val="fr-FR"/>
        </w:rPr>
        <w:t>’</w:t>
      </w:r>
      <w:r>
        <w:rPr>
          <w:noProof/>
          <w:lang w:val="fr-FR"/>
        </w:rPr>
        <w:t>hui le tribunal national et les tribunaux régionaux ne comptent qu</w:t>
      </w:r>
      <w:r w:rsidR="002A5D78">
        <w:rPr>
          <w:noProof/>
          <w:lang w:val="fr-FR"/>
        </w:rPr>
        <w:t>’</w:t>
      </w:r>
      <w:r>
        <w:rPr>
          <w:noProof/>
          <w:lang w:val="fr-FR"/>
        </w:rPr>
        <w:t xml:space="preserve">un seul officier de police parmi leurs membres, ainsi que deux membres extérieurs. </w:t>
      </w:r>
    </w:p>
    <w:p w14:paraId="403F01C9" w14:textId="77777777" w:rsidR="00653B7F" w:rsidRDefault="00653B7F" w:rsidP="00653B7F">
      <w:pPr>
        <w:pStyle w:val="SingleTxtG"/>
        <w:rPr>
          <w:noProof/>
          <w:lang w:val="fr-FR"/>
        </w:rPr>
      </w:pPr>
      <w:r w:rsidRPr="00D02127">
        <w:rPr>
          <w:noProof/>
          <w:lang w:val="fr-FR"/>
        </w:rPr>
        <w:t>12.</w:t>
      </w:r>
      <w:r w:rsidRPr="00D02127">
        <w:rPr>
          <w:noProof/>
          <w:lang w:val="fr-FR"/>
        </w:rPr>
        <w:tab/>
      </w:r>
      <w:r>
        <w:rPr>
          <w:noProof/>
          <w:lang w:val="fr-FR"/>
        </w:rPr>
        <w:t>Le 27</w:t>
      </w:r>
      <w:r w:rsidR="0027161E">
        <w:rPr>
          <w:noProof/>
          <w:lang w:val="fr-FR"/>
        </w:rPr>
        <w:t> </w:t>
      </w:r>
      <w:r>
        <w:rPr>
          <w:noProof/>
          <w:lang w:val="fr-FR"/>
        </w:rPr>
        <w:t>juillet 2011, l</w:t>
      </w:r>
      <w:r w:rsidR="002A5D78">
        <w:rPr>
          <w:noProof/>
          <w:lang w:val="fr-FR"/>
        </w:rPr>
        <w:t>’</w:t>
      </w:r>
      <w:r>
        <w:rPr>
          <w:noProof/>
          <w:lang w:val="fr-FR"/>
        </w:rPr>
        <w:t>Assemblée législative a approuvé le décret n</w:t>
      </w:r>
      <w:r w:rsidRPr="0005162C">
        <w:rPr>
          <w:noProof/>
          <w:vertAlign w:val="superscript"/>
          <w:lang w:val="fr-FR"/>
        </w:rPr>
        <w:t>o</w:t>
      </w:r>
      <w:r w:rsidR="0027161E">
        <w:rPr>
          <w:noProof/>
          <w:lang w:val="fr-FR"/>
        </w:rPr>
        <w:t> </w:t>
      </w:r>
      <w:r>
        <w:rPr>
          <w:noProof/>
          <w:lang w:val="fr-FR"/>
        </w:rPr>
        <w:t xml:space="preserve">798 portant abrogation immédiate du décret </w:t>
      </w:r>
      <w:r w:rsidR="0027161E" w:rsidRPr="0027161E">
        <w:rPr>
          <w:rFonts w:eastAsia="MS Mincho"/>
          <w:noProof/>
          <w:szCs w:val="22"/>
          <w:lang w:val="fr-FR"/>
        </w:rPr>
        <w:t>n</w:t>
      </w:r>
      <w:r w:rsidR="0027161E" w:rsidRPr="0027161E">
        <w:rPr>
          <w:rFonts w:eastAsia="MS Mincho"/>
          <w:noProof/>
          <w:szCs w:val="22"/>
          <w:vertAlign w:val="superscript"/>
          <w:lang w:val="fr-FR"/>
        </w:rPr>
        <w:t>o</w:t>
      </w:r>
      <w:r w:rsidR="0027161E">
        <w:rPr>
          <w:noProof/>
          <w:lang w:val="fr-FR"/>
        </w:rPr>
        <w:t> </w:t>
      </w:r>
      <w:r>
        <w:rPr>
          <w:noProof/>
          <w:lang w:val="fr-FR"/>
        </w:rPr>
        <w:t>743 qui imposait que les décisions de la Chambre constitutionnelle de la Cour suprême de justice fussent prises à l</w:t>
      </w:r>
      <w:r w:rsidR="002A5D78">
        <w:rPr>
          <w:noProof/>
          <w:lang w:val="fr-FR"/>
        </w:rPr>
        <w:t>’</w:t>
      </w:r>
      <w:r>
        <w:rPr>
          <w:noProof/>
          <w:lang w:val="fr-FR"/>
        </w:rPr>
        <w:t xml:space="preserve">unanimité de ses membres. Le décret </w:t>
      </w:r>
      <w:r w:rsidR="0027161E" w:rsidRPr="0027161E">
        <w:rPr>
          <w:rFonts w:eastAsia="MS Mincho"/>
          <w:noProof/>
          <w:szCs w:val="22"/>
          <w:lang w:val="fr-FR"/>
        </w:rPr>
        <w:t>n</w:t>
      </w:r>
      <w:r w:rsidR="0027161E" w:rsidRPr="0027161E">
        <w:rPr>
          <w:rFonts w:eastAsia="MS Mincho"/>
          <w:noProof/>
          <w:szCs w:val="22"/>
          <w:vertAlign w:val="superscript"/>
          <w:lang w:val="fr-FR"/>
        </w:rPr>
        <w:t>o</w:t>
      </w:r>
      <w:r w:rsidR="0027161E">
        <w:rPr>
          <w:noProof/>
          <w:lang w:val="fr-FR"/>
        </w:rPr>
        <w:t> </w:t>
      </w:r>
      <w:r>
        <w:rPr>
          <w:noProof/>
          <w:lang w:val="fr-FR"/>
        </w:rPr>
        <w:t>798 est entré en vigueur le jour de sa publication au Journal officiel du 18</w:t>
      </w:r>
      <w:r w:rsidR="0027161E">
        <w:rPr>
          <w:noProof/>
          <w:lang w:val="fr-FR"/>
        </w:rPr>
        <w:t> </w:t>
      </w:r>
      <w:r>
        <w:rPr>
          <w:noProof/>
          <w:lang w:val="fr-FR"/>
        </w:rPr>
        <w:t>août 2011, numéro 152, tome n</w:t>
      </w:r>
      <w:r w:rsidRPr="000F6157">
        <w:rPr>
          <w:noProof/>
          <w:vertAlign w:val="superscript"/>
          <w:lang w:val="fr-FR"/>
        </w:rPr>
        <w:t>o</w:t>
      </w:r>
      <w:r w:rsidR="0027161E">
        <w:rPr>
          <w:noProof/>
          <w:lang w:val="fr-FR"/>
        </w:rPr>
        <w:t> </w:t>
      </w:r>
      <w:r>
        <w:rPr>
          <w:noProof/>
          <w:lang w:val="fr-FR"/>
        </w:rPr>
        <w:t xml:space="preserve">392. </w:t>
      </w:r>
    </w:p>
    <w:p w14:paraId="4C34558F" w14:textId="77777777" w:rsidR="00653B7F" w:rsidRDefault="00653B7F" w:rsidP="00653B7F">
      <w:pPr>
        <w:pStyle w:val="SingleTxtG"/>
        <w:rPr>
          <w:noProof/>
          <w:lang w:val="fr-FR"/>
        </w:rPr>
      </w:pPr>
      <w:r w:rsidRPr="00D02127">
        <w:rPr>
          <w:noProof/>
          <w:lang w:val="fr-FR"/>
        </w:rPr>
        <w:t>13.</w:t>
      </w:r>
      <w:r w:rsidRPr="00D02127">
        <w:rPr>
          <w:noProof/>
          <w:lang w:val="fr-FR"/>
        </w:rPr>
        <w:tab/>
      </w:r>
      <w:r w:rsidRPr="00AF68BC">
        <w:rPr>
          <w:noProof/>
          <w:lang w:val="fr-FR"/>
        </w:rPr>
        <w:t xml:space="preserve">Le délai </w:t>
      </w:r>
      <w:r>
        <w:rPr>
          <w:noProof/>
          <w:lang w:val="fr-FR"/>
        </w:rPr>
        <w:t>maximum de quinze jours</w:t>
      </w:r>
      <w:r w:rsidRPr="00AF68BC">
        <w:rPr>
          <w:noProof/>
          <w:lang w:val="fr-FR"/>
        </w:rPr>
        <w:t xml:space="preserve"> </w:t>
      </w:r>
      <w:r>
        <w:rPr>
          <w:noProof/>
          <w:lang w:val="fr-FR"/>
        </w:rPr>
        <w:t>que</w:t>
      </w:r>
      <w:r w:rsidRPr="00AF68BC">
        <w:rPr>
          <w:noProof/>
          <w:lang w:val="fr-FR"/>
        </w:rPr>
        <w:t xml:space="preserve"> l</w:t>
      </w:r>
      <w:r w:rsidR="002A5D78">
        <w:rPr>
          <w:noProof/>
          <w:lang w:val="fr-FR"/>
        </w:rPr>
        <w:t>’</w:t>
      </w:r>
      <w:r w:rsidRPr="00AF68BC">
        <w:rPr>
          <w:noProof/>
          <w:lang w:val="fr-FR"/>
        </w:rPr>
        <w:t xml:space="preserve">article 45 de la </w:t>
      </w:r>
      <w:r>
        <w:rPr>
          <w:noProof/>
          <w:lang w:val="fr-FR"/>
        </w:rPr>
        <w:t>loi pénitentiaire</w:t>
      </w:r>
      <w:r>
        <w:rPr>
          <w:rStyle w:val="Appelnotedebasdep"/>
          <w:noProof/>
          <w:lang w:val="fr-FR"/>
        </w:rPr>
        <w:footnoteReference w:id="8"/>
      </w:r>
      <w:r>
        <w:rPr>
          <w:noProof/>
          <w:lang w:val="fr-FR"/>
        </w:rPr>
        <w:t xml:space="preserve"> accorde à </w:t>
      </w:r>
      <w:r w:rsidRPr="005A1070">
        <w:rPr>
          <w:noProof/>
          <w:lang w:val="fr-FR"/>
        </w:rPr>
        <w:t>un détenu</w:t>
      </w:r>
      <w:r>
        <w:rPr>
          <w:noProof/>
          <w:lang w:val="fr-FR"/>
        </w:rPr>
        <w:t xml:space="preserve"> pour</w:t>
      </w:r>
      <w:r w:rsidRPr="005A1070">
        <w:rPr>
          <w:noProof/>
          <w:lang w:val="fr-FR"/>
        </w:rPr>
        <w:t xml:space="preserve"> dépose</w:t>
      </w:r>
      <w:r>
        <w:rPr>
          <w:noProof/>
          <w:lang w:val="fr-FR"/>
        </w:rPr>
        <w:t>r</w:t>
      </w:r>
      <w:r w:rsidRPr="005A1070">
        <w:rPr>
          <w:noProof/>
          <w:lang w:val="fr-FR"/>
        </w:rPr>
        <w:t xml:space="preserve"> une plainte en justice</w:t>
      </w:r>
      <w:r w:rsidRPr="00AF68BC">
        <w:rPr>
          <w:noProof/>
          <w:lang w:val="fr-FR"/>
        </w:rPr>
        <w:t xml:space="preserve"> n</w:t>
      </w:r>
      <w:r w:rsidR="002A5D78">
        <w:rPr>
          <w:noProof/>
          <w:lang w:val="fr-FR"/>
        </w:rPr>
        <w:t>’</w:t>
      </w:r>
      <w:r w:rsidRPr="00AF68BC">
        <w:rPr>
          <w:noProof/>
          <w:lang w:val="fr-FR"/>
        </w:rPr>
        <w:t xml:space="preserve">a pas encore été modifié, </w:t>
      </w:r>
      <w:r>
        <w:rPr>
          <w:noProof/>
          <w:lang w:val="fr-FR"/>
        </w:rPr>
        <w:t>mais les personnes en détention provisoire ou détenues en exécution d</w:t>
      </w:r>
      <w:r w:rsidR="002A5D78">
        <w:rPr>
          <w:noProof/>
          <w:lang w:val="fr-FR"/>
        </w:rPr>
        <w:t>’</w:t>
      </w:r>
      <w:r>
        <w:rPr>
          <w:noProof/>
          <w:lang w:val="fr-FR"/>
        </w:rPr>
        <w:t xml:space="preserve">une peine qui auraient dépassé ce délai peuvent déposer une requête en </w:t>
      </w:r>
      <w:r>
        <w:rPr>
          <w:i/>
          <w:noProof/>
          <w:lang w:val="fr-FR"/>
        </w:rPr>
        <w:t>habeas corpus</w:t>
      </w:r>
      <w:r w:rsidRPr="00581A62">
        <w:rPr>
          <w:i/>
          <w:noProof/>
          <w:lang w:val="fr-FR"/>
        </w:rPr>
        <w:t xml:space="preserve"> </w:t>
      </w:r>
      <w:r w:rsidRPr="00581A62">
        <w:rPr>
          <w:noProof/>
          <w:lang w:val="fr-FR"/>
        </w:rPr>
        <w:t>correctif</w:t>
      </w:r>
      <w:r>
        <w:rPr>
          <w:noProof/>
          <w:lang w:val="fr-FR"/>
        </w:rPr>
        <w:t>,</w:t>
      </w:r>
      <w:r w:rsidRPr="00581A62">
        <w:rPr>
          <w:noProof/>
          <w:lang w:val="fr-FR"/>
        </w:rPr>
        <w:t xml:space="preserve"> </w:t>
      </w:r>
      <w:r>
        <w:rPr>
          <w:noProof/>
          <w:lang w:val="fr-FR"/>
        </w:rPr>
        <w:t>pour laquelle il n</w:t>
      </w:r>
      <w:r w:rsidR="002A5D78">
        <w:rPr>
          <w:noProof/>
          <w:lang w:val="fr-FR"/>
        </w:rPr>
        <w:t>’</w:t>
      </w:r>
      <w:r>
        <w:rPr>
          <w:noProof/>
          <w:lang w:val="fr-FR"/>
        </w:rPr>
        <w:t>y a aucune date limite de dépôt et qui nécessite seulement de déclarer les motifs pour lesquels les actes ou les omissions des autorités attentent à la dignité ou à l</w:t>
      </w:r>
      <w:r w:rsidR="002A5D78">
        <w:rPr>
          <w:noProof/>
          <w:lang w:val="fr-FR"/>
        </w:rPr>
        <w:t>’</w:t>
      </w:r>
      <w:r>
        <w:rPr>
          <w:noProof/>
          <w:lang w:val="fr-FR"/>
        </w:rPr>
        <w:t>intégrité physique, psychique ou morale du requérant. La défense publique a en permanence des représentants dans les lieux de détention du pays et des déf</w:t>
      </w:r>
      <w:r w:rsidRPr="00C12DB2">
        <w:rPr>
          <w:noProof/>
          <w:lang w:val="fr-FR"/>
        </w:rPr>
        <w:t>enseurs publics sont</w:t>
      </w:r>
      <w:r>
        <w:rPr>
          <w:noProof/>
          <w:lang w:val="fr-FR"/>
        </w:rPr>
        <w:t xml:space="preserve"> systématiquement</w:t>
      </w:r>
      <w:r w:rsidRPr="00C12DB2">
        <w:rPr>
          <w:noProof/>
          <w:lang w:val="fr-FR"/>
        </w:rPr>
        <w:t xml:space="preserve"> affectés aux </w:t>
      </w:r>
      <w:r>
        <w:rPr>
          <w:noProof/>
          <w:lang w:val="fr-FR"/>
        </w:rPr>
        <w:t>juges</w:t>
      </w:r>
      <w:r w:rsidRPr="00C12DB2">
        <w:rPr>
          <w:noProof/>
          <w:lang w:val="fr-FR"/>
        </w:rPr>
        <w:t xml:space="preserve"> </w:t>
      </w:r>
      <w:r>
        <w:rPr>
          <w:noProof/>
          <w:lang w:val="fr-FR"/>
        </w:rPr>
        <w:t>du contrôle</w:t>
      </w:r>
      <w:r w:rsidRPr="00C12DB2">
        <w:rPr>
          <w:noProof/>
          <w:lang w:val="fr-FR"/>
        </w:rPr>
        <w:t xml:space="preserve"> pénitentiaire et de l</w:t>
      </w:r>
      <w:r w:rsidR="002A5D78">
        <w:rPr>
          <w:noProof/>
          <w:lang w:val="fr-FR"/>
        </w:rPr>
        <w:t>’</w:t>
      </w:r>
      <w:r w:rsidRPr="00C12DB2">
        <w:rPr>
          <w:noProof/>
          <w:lang w:val="fr-FR"/>
        </w:rPr>
        <w:t>application des peines</w:t>
      </w:r>
      <w:r>
        <w:rPr>
          <w:noProof/>
          <w:lang w:val="fr-FR"/>
        </w:rPr>
        <w:t>, ce qui</w:t>
      </w:r>
      <w:r w:rsidRPr="00C12DB2">
        <w:rPr>
          <w:noProof/>
          <w:lang w:val="fr-FR"/>
        </w:rPr>
        <w:t xml:space="preserve"> facilite </w:t>
      </w:r>
      <w:r>
        <w:rPr>
          <w:noProof/>
          <w:lang w:val="fr-FR"/>
        </w:rPr>
        <w:t>les rapports de ces défenseurs</w:t>
      </w:r>
      <w:r w:rsidRPr="00C12DB2">
        <w:rPr>
          <w:noProof/>
          <w:lang w:val="fr-FR"/>
        </w:rPr>
        <w:t xml:space="preserve"> ave</w:t>
      </w:r>
      <w:r>
        <w:rPr>
          <w:noProof/>
          <w:lang w:val="fr-FR"/>
        </w:rPr>
        <w:t>c les familles des détenus ainsi que</w:t>
      </w:r>
      <w:r w:rsidRPr="00C12DB2">
        <w:rPr>
          <w:noProof/>
          <w:lang w:val="fr-FR"/>
        </w:rPr>
        <w:t xml:space="preserve"> </w:t>
      </w:r>
      <w:r>
        <w:rPr>
          <w:noProof/>
          <w:lang w:val="fr-FR"/>
        </w:rPr>
        <w:t>le repérage d</w:t>
      </w:r>
      <w:r w:rsidR="002A5D78">
        <w:rPr>
          <w:noProof/>
          <w:lang w:val="fr-FR"/>
        </w:rPr>
        <w:t>’</w:t>
      </w:r>
      <w:r>
        <w:rPr>
          <w:noProof/>
          <w:lang w:val="fr-FR"/>
        </w:rPr>
        <w:t xml:space="preserve">éventuelles situations illégales ou violations de droits fondamentaux pour lesquelles des plaintes pourront être déposées. </w:t>
      </w:r>
    </w:p>
    <w:p w14:paraId="0EC32B1D" w14:textId="77777777" w:rsidR="00653B7F" w:rsidRDefault="00653B7F" w:rsidP="00653B7F">
      <w:pPr>
        <w:pStyle w:val="SingleTxtG"/>
        <w:rPr>
          <w:noProof/>
          <w:lang w:val="fr-FR"/>
        </w:rPr>
      </w:pPr>
      <w:r w:rsidRPr="00D02127">
        <w:rPr>
          <w:noProof/>
          <w:lang w:val="fr-FR"/>
        </w:rPr>
        <w:t>14.</w:t>
      </w:r>
      <w:r w:rsidRPr="00D02127">
        <w:rPr>
          <w:noProof/>
          <w:lang w:val="fr-FR"/>
        </w:rPr>
        <w:tab/>
      </w:r>
      <w:r>
        <w:rPr>
          <w:noProof/>
          <w:lang w:val="fr-FR"/>
        </w:rPr>
        <w:t>La Constitution confie à la Police nationale civile le maintien de l</w:t>
      </w:r>
      <w:r w:rsidR="002A5D78">
        <w:rPr>
          <w:noProof/>
          <w:lang w:val="fr-FR"/>
        </w:rPr>
        <w:t>’</w:t>
      </w:r>
      <w:r>
        <w:rPr>
          <w:noProof/>
          <w:lang w:val="fr-FR"/>
        </w:rPr>
        <w:t xml:space="preserve">ordre intérieur et de la sécurité des citoyens. Son article 168, paragraphe 17, inclut parmi les attributions du </w:t>
      </w:r>
      <w:r w:rsidR="00A10BC7">
        <w:rPr>
          <w:noProof/>
          <w:lang w:val="fr-FR"/>
        </w:rPr>
        <w:t>P</w:t>
      </w:r>
      <w:r>
        <w:rPr>
          <w:noProof/>
          <w:lang w:val="fr-FR"/>
        </w:rPr>
        <w:t>résident de la République celle d</w:t>
      </w:r>
      <w:r w:rsidR="002A5D78">
        <w:rPr>
          <w:noProof/>
          <w:lang w:val="fr-FR"/>
        </w:rPr>
        <w:t>’</w:t>
      </w:r>
      <w:r>
        <w:rPr>
          <w:noProof/>
          <w:lang w:val="fr-FR"/>
        </w:rPr>
        <w:t>« organiser, diriger et administrer la Police nationale civile aux fins du maintien de la paix, de la tranquillité, de l</w:t>
      </w:r>
      <w:r w:rsidR="002A5D78">
        <w:rPr>
          <w:noProof/>
          <w:lang w:val="fr-FR"/>
        </w:rPr>
        <w:t>’</w:t>
      </w:r>
      <w:r>
        <w:rPr>
          <w:noProof/>
          <w:lang w:val="fr-FR"/>
        </w:rPr>
        <w:t xml:space="preserve">ordre intérieur et de la sécurité publique » ; le même article cependant dispose en son paragraphe 12 que le </w:t>
      </w:r>
      <w:r w:rsidR="00A10BC7">
        <w:rPr>
          <w:noProof/>
          <w:lang w:val="fr-FR"/>
        </w:rPr>
        <w:t>P</w:t>
      </w:r>
      <w:r>
        <w:rPr>
          <w:noProof/>
          <w:lang w:val="fr-FR"/>
        </w:rPr>
        <w:t>résident de la République est habilité à confier aux forces armées des missions de sécurité publique sous certaines conditions telles que le caractère exceptionnel, la subsidiarité, l</w:t>
      </w:r>
      <w:r w:rsidR="002A5D78">
        <w:rPr>
          <w:noProof/>
          <w:lang w:val="fr-FR"/>
        </w:rPr>
        <w:t>’</w:t>
      </w:r>
      <w:r>
        <w:rPr>
          <w:noProof/>
          <w:lang w:val="fr-FR"/>
        </w:rPr>
        <w:t>encadrement dans le temps et la stricte nécessité, ce qui explique que les forces armées ont pu être affectées à des missions de sécurisation dans des situations de criminalité et d</w:t>
      </w:r>
      <w:r w:rsidR="002A5D78">
        <w:rPr>
          <w:noProof/>
          <w:lang w:val="fr-FR"/>
        </w:rPr>
        <w:t>’</w:t>
      </w:r>
      <w:r>
        <w:rPr>
          <w:noProof/>
          <w:lang w:val="fr-FR"/>
        </w:rPr>
        <w:t>insécurité, le cadre légal de ces missions étant assuré par des décrets pris par le pouvoir exécutif.</w:t>
      </w:r>
    </w:p>
    <w:p w14:paraId="7059BB0B" w14:textId="77777777" w:rsidR="00653B7F" w:rsidRPr="00A776A3" w:rsidRDefault="00653B7F" w:rsidP="00653B7F">
      <w:pPr>
        <w:pStyle w:val="SingleTxtG"/>
        <w:rPr>
          <w:noProof/>
          <w:lang w:val="fr-FR"/>
        </w:rPr>
      </w:pPr>
      <w:r w:rsidRPr="00D02127">
        <w:rPr>
          <w:noProof/>
          <w:lang w:val="fr-FR"/>
        </w:rPr>
        <w:t>15.</w:t>
      </w:r>
      <w:r w:rsidRPr="00D02127">
        <w:rPr>
          <w:noProof/>
          <w:lang w:val="fr-FR"/>
        </w:rPr>
        <w:tab/>
      </w:r>
      <w:r>
        <w:rPr>
          <w:noProof/>
          <w:lang w:val="fr-FR"/>
        </w:rPr>
        <w:t>Aux fins de garantir un comportement respectueux des droits de l</w:t>
      </w:r>
      <w:r w:rsidR="002A5D78">
        <w:rPr>
          <w:noProof/>
          <w:lang w:val="fr-FR"/>
        </w:rPr>
        <w:t>’</w:t>
      </w:r>
      <w:r>
        <w:rPr>
          <w:noProof/>
          <w:lang w:val="fr-FR"/>
        </w:rPr>
        <w:t>homme de la part des forces armées, on a créé à l</w:t>
      </w:r>
      <w:r w:rsidR="002A5D78">
        <w:rPr>
          <w:noProof/>
          <w:lang w:val="fr-FR"/>
        </w:rPr>
        <w:t>’</w:t>
      </w:r>
      <w:r>
        <w:rPr>
          <w:noProof/>
          <w:lang w:val="fr-FR"/>
        </w:rPr>
        <w:t>intention des militaires des mécanismes de formation permanente aux droits de l</w:t>
      </w:r>
      <w:r w:rsidR="002A5D78">
        <w:rPr>
          <w:noProof/>
          <w:lang w:val="fr-FR"/>
        </w:rPr>
        <w:t>’</w:t>
      </w:r>
      <w:r>
        <w:rPr>
          <w:noProof/>
          <w:lang w:val="fr-FR"/>
        </w:rPr>
        <w:t>homme qui insistent sur les conditions auxquelles sont soumis l</w:t>
      </w:r>
      <w:r w:rsidR="002A5D78">
        <w:rPr>
          <w:noProof/>
          <w:lang w:val="fr-FR"/>
        </w:rPr>
        <w:t>’</w:t>
      </w:r>
      <w:r>
        <w:rPr>
          <w:noProof/>
          <w:lang w:val="fr-FR"/>
        </w:rPr>
        <w:t>usage de la force et l</w:t>
      </w:r>
      <w:r w:rsidR="002A5D78">
        <w:rPr>
          <w:noProof/>
          <w:lang w:val="fr-FR"/>
        </w:rPr>
        <w:t>’</w:t>
      </w:r>
      <w:r>
        <w:rPr>
          <w:noProof/>
          <w:lang w:val="fr-FR"/>
        </w:rPr>
        <w:t>emploi d</w:t>
      </w:r>
      <w:r w:rsidR="002A5D78">
        <w:rPr>
          <w:noProof/>
          <w:lang w:val="fr-FR"/>
        </w:rPr>
        <w:t>’</w:t>
      </w:r>
      <w:r>
        <w:rPr>
          <w:noProof/>
          <w:lang w:val="fr-FR"/>
        </w:rPr>
        <w:t>armes à feu et qui s</w:t>
      </w:r>
      <w:r w:rsidR="002A5D78">
        <w:rPr>
          <w:noProof/>
          <w:lang w:val="fr-FR"/>
        </w:rPr>
        <w:t>’</w:t>
      </w:r>
      <w:r>
        <w:rPr>
          <w:noProof/>
          <w:lang w:val="fr-FR"/>
        </w:rPr>
        <w:t>adressent tout particulièrement aux éléments appelés à intervenir directement en appui à des missions de sécurité publique. En 2013, le Ministère de la défense nationale a signé avec le B</w:t>
      </w:r>
      <w:r w:rsidRPr="00A667D2">
        <w:rPr>
          <w:noProof/>
          <w:lang w:val="fr-FR"/>
        </w:rPr>
        <w:t>ureau du Procureur pour la défense des droits de l</w:t>
      </w:r>
      <w:r w:rsidR="002A5D78">
        <w:rPr>
          <w:noProof/>
          <w:lang w:val="fr-FR"/>
        </w:rPr>
        <w:t>’</w:t>
      </w:r>
      <w:r w:rsidRPr="00A667D2">
        <w:rPr>
          <w:noProof/>
          <w:lang w:val="fr-FR"/>
        </w:rPr>
        <w:t>homme</w:t>
      </w:r>
      <w:r>
        <w:rPr>
          <w:noProof/>
          <w:lang w:val="fr-FR"/>
        </w:rPr>
        <w:t xml:space="preserve"> une convention pour la formation de formateurs </w:t>
      </w:r>
      <w:r w:rsidRPr="00A667D2">
        <w:rPr>
          <w:noProof/>
          <w:lang w:val="fr-FR"/>
        </w:rPr>
        <w:t xml:space="preserve">appelés à devenir à leur tour des multiplicateurs de formation. Les forces armées </w:t>
      </w:r>
      <w:r>
        <w:rPr>
          <w:noProof/>
          <w:lang w:val="fr-FR"/>
        </w:rPr>
        <w:t xml:space="preserve">ont mis sur pied </w:t>
      </w:r>
      <w:r w:rsidRPr="00A667D2">
        <w:rPr>
          <w:noProof/>
          <w:lang w:val="fr-FR"/>
        </w:rPr>
        <w:t xml:space="preserve">un </w:t>
      </w:r>
      <w:r>
        <w:rPr>
          <w:noProof/>
          <w:szCs w:val="24"/>
          <w:lang w:val="fr-FR"/>
        </w:rPr>
        <w:t>S</w:t>
      </w:r>
      <w:r w:rsidRPr="00A667D2">
        <w:rPr>
          <w:noProof/>
          <w:szCs w:val="24"/>
          <w:lang w:val="fr-FR"/>
        </w:rPr>
        <w:t>ystème éducatif des forces armées (SEFA)</w:t>
      </w:r>
      <w:r>
        <w:rPr>
          <w:noProof/>
          <w:szCs w:val="24"/>
          <w:lang w:val="fr-FR"/>
        </w:rPr>
        <w:t xml:space="preserve"> qui comprend des sous-systèmes éducatifs pour les officiers, pour les sous-officiers et pour le personnel du rang respectivement, ainsi qu</w:t>
      </w:r>
      <w:r w:rsidR="002A5D78">
        <w:rPr>
          <w:noProof/>
          <w:szCs w:val="24"/>
          <w:lang w:val="fr-FR"/>
        </w:rPr>
        <w:t>’</w:t>
      </w:r>
      <w:r>
        <w:rPr>
          <w:noProof/>
          <w:szCs w:val="24"/>
          <w:lang w:val="fr-FR"/>
        </w:rPr>
        <w:t>un sous-système de formation et qui est chargé de dispenser l</w:t>
      </w:r>
      <w:r w:rsidR="002A5D78">
        <w:rPr>
          <w:noProof/>
          <w:szCs w:val="24"/>
          <w:lang w:val="fr-FR"/>
        </w:rPr>
        <w:t>’</w:t>
      </w:r>
      <w:r>
        <w:rPr>
          <w:noProof/>
          <w:szCs w:val="24"/>
          <w:lang w:val="fr-FR"/>
        </w:rPr>
        <w:t>ensemble des enseignements en matière de droits de l</w:t>
      </w:r>
      <w:r w:rsidR="002A5D78">
        <w:rPr>
          <w:noProof/>
          <w:szCs w:val="24"/>
          <w:lang w:val="fr-FR"/>
        </w:rPr>
        <w:t>’</w:t>
      </w:r>
      <w:r>
        <w:rPr>
          <w:noProof/>
          <w:szCs w:val="24"/>
          <w:lang w:val="fr-FR"/>
        </w:rPr>
        <w:t>homme. Les connaissances ainsi acquises sont régulièrement mises à jour dans le cadre de cours, de discussions et de séminaires organisés tant sur le territoire national qu</w:t>
      </w:r>
      <w:r w:rsidR="002A5D78">
        <w:rPr>
          <w:noProof/>
          <w:szCs w:val="24"/>
          <w:lang w:val="fr-FR"/>
        </w:rPr>
        <w:t>’</w:t>
      </w:r>
      <w:r>
        <w:rPr>
          <w:noProof/>
          <w:szCs w:val="24"/>
          <w:lang w:val="fr-FR"/>
        </w:rPr>
        <w:t>à l</w:t>
      </w:r>
      <w:r w:rsidR="002A5D78">
        <w:rPr>
          <w:noProof/>
          <w:szCs w:val="24"/>
          <w:lang w:val="fr-FR"/>
        </w:rPr>
        <w:t>’</w:t>
      </w:r>
      <w:r>
        <w:rPr>
          <w:noProof/>
          <w:szCs w:val="24"/>
          <w:lang w:val="fr-FR"/>
        </w:rPr>
        <w:t>étranger, en collaboration avec d</w:t>
      </w:r>
      <w:r w:rsidR="002A5D78">
        <w:rPr>
          <w:noProof/>
          <w:szCs w:val="24"/>
          <w:lang w:val="fr-FR"/>
        </w:rPr>
        <w:t>’</w:t>
      </w:r>
      <w:r>
        <w:rPr>
          <w:noProof/>
          <w:szCs w:val="24"/>
          <w:lang w:val="fr-FR"/>
        </w:rPr>
        <w:t xml:space="preserve">autres institutions telles que la Escuela de Graduados de Derechos Humanos y Derecho Internacional Humanitario </w:t>
      </w:r>
      <w:r w:rsidR="0027161E">
        <w:rPr>
          <w:noProof/>
          <w:szCs w:val="24"/>
          <w:lang w:val="fr-FR"/>
        </w:rPr>
        <w:t>(</w:t>
      </w:r>
      <w:r>
        <w:rPr>
          <w:noProof/>
          <w:szCs w:val="24"/>
          <w:lang w:val="fr-FR"/>
        </w:rPr>
        <w:t>École supérieure des droits de l</w:t>
      </w:r>
      <w:r w:rsidR="002A5D78">
        <w:rPr>
          <w:noProof/>
          <w:szCs w:val="24"/>
          <w:lang w:val="fr-FR"/>
        </w:rPr>
        <w:t>’</w:t>
      </w:r>
      <w:r>
        <w:rPr>
          <w:noProof/>
          <w:szCs w:val="24"/>
          <w:lang w:val="fr-FR"/>
        </w:rPr>
        <w:t xml:space="preserve">homme et du droit international humanitaire), le </w:t>
      </w:r>
      <w:r>
        <w:rPr>
          <w:noProof/>
          <w:lang w:val="fr-FR"/>
        </w:rPr>
        <w:t>B</w:t>
      </w:r>
      <w:r w:rsidRPr="00A667D2">
        <w:rPr>
          <w:noProof/>
          <w:lang w:val="fr-FR"/>
        </w:rPr>
        <w:t>ureau du Procureur pour la défense des droits de l</w:t>
      </w:r>
      <w:r w:rsidR="002A5D78">
        <w:rPr>
          <w:noProof/>
          <w:lang w:val="fr-FR"/>
        </w:rPr>
        <w:t>’</w:t>
      </w:r>
      <w:r w:rsidRPr="00A667D2">
        <w:rPr>
          <w:noProof/>
          <w:lang w:val="fr-FR"/>
        </w:rPr>
        <w:t>homme</w:t>
      </w:r>
      <w:r>
        <w:rPr>
          <w:noProof/>
          <w:szCs w:val="24"/>
          <w:lang w:val="fr-FR"/>
        </w:rPr>
        <w:t xml:space="preserve">, le </w:t>
      </w:r>
      <w:r w:rsidRPr="00347354">
        <w:rPr>
          <w:noProof/>
          <w:szCs w:val="24"/>
          <w:lang w:val="fr-FR"/>
        </w:rPr>
        <w:t>Bureau du</w:t>
      </w:r>
      <w:r>
        <w:rPr>
          <w:i/>
          <w:noProof/>
          <w:szCs w:val="24"/>
          <w:lang w:val="fr-FR"/>
        </w:rPr>
        <w:t xml:space="preserve"> Fiscal general </w:t>
      </w:r>
      <w:r w:rsidRPr="00347354">
        <w:rPr>
          <w:noProof/>
          <w:szCs w:val="24"/>
          <w:lang w:val="fr-FR"/>
        </w:rPr>
        <w:t>de la République</w:t>
      </w:r>
      <w:r>
        <w:rPr>
          <w:noProof/>
          <w:szCs w:val="24"/>
          <w:lang w:val="fr-FR"/>
        </w:rPr>
        <w:t xml:space="preserve"> et diverses organisations non gouvernementales.</w:t>
      </w:r>
    </w:p>
    <w:p w14:paraId="3D698816" w14:textId="77777777" w:rsidR="00653B7F" w:rsidRPr="00B37E48" w:rsidRDefault="00653B7F" w:rsidP="00653B7F">
      <w:pPr>
        <w:pStyle w:val="SingleTxtG"/>
        <w:rPr>
          <w:noProof/>
          <w:lang w:val="fr-FR"/>
        </w:rPr>
      </w:pPr>
      <w:r w:rsidRPr="00D02127">
        <w:rPr>
          <w:noProof/>
          <w:lang w:val="fr-FR"/>
        </w:rPr>
        <w:t>16.</w:t>
      </w:r>
      <w:r w:rsidRPr="00D02127">
        <w:rPr>
          <w:noProof/>
          <w:lang w:val="fr-FR"/>
        </w:rPr>
        <w:tab/>
      </w:r>
      <w:r>
        <w:rPr>
          <w:noProof/>
          <w:lang w:val="fr-FR"/>
        </w:rPr>
        <w:t>Créé en 2014, le Conseil national de la sécurité citoyenne et du vivre-ensemble est une instance de large composition, plurielle et permanente chargée de promouvoir et faciliter le dialogue et la concertation sur les politiques publiques intéressant la justice, la sécurité citoyenne et le vivre-ensemble. Il réunit des représentants d</w:t>
      </w:r>
      <w:r w:rsidR="002A5D78">
        <w:rPr>
          <w:noProof/>
          <w:lang w:val="fr-FR"/>
        </w:rPr>
        <w:t>’</w:t>
      </w:r>
      <w:r>
        <w:rPr>
          <w:noProof/>
          <w:lang w:val="fr-FR"/>
        </w:rPr>
        <w:t>institutions de l</w:t>
      </w:r>
      <w:r w:rsidR="002A5D78">
        <w:rPr>
          <w:noProof/>
          <w:lang w:val="fr-FR"/>
        </w:rPr>
        <w:t>’</w:t>
      </w:r>
      <w:r>
        <w:rPr>
          <w:noProof/>
          <w:lang w:val="fr-FR"/>
        </w:rPr>
        <w:t>État, des cultes, des médias, des entreprises, des partis politiques, de la société civile, de l</w:t>
      </w:r>
      <w:r w:rsidR="002A5D78">
        <w:rPr>
          <w:noProof/>
          <w:lang w:val="fr-FR"/>
        </w:rPr>
        <w:t>’</w:t>
      </w:r>
      <w:r>
        <w:rPr>
          <w:noProof/>
          <w:lang w:val="fr-FR"/>
        </w:rPr>
        <w:t xml:space="preserve">université et de la </w:t>
      </w:r>
      <w:r>
        <w:rPr>
          <w:noProof/>
          <w:lang w:val="fr-FR"/>
        </w:rPr>
        <w:lastRenderedPageBreak/>
        <w:t>communauté internationale, et il a mis au point un plan nommé « El</w:t>
      </w:r>
      <w:r w:rsidR="0027161E">
        <w:rPr>
          <w:noProof/>
          <w:lang w:val="fr-FR"/>
        </w:rPr>
        <w:t> </w:t>
      </w:r>
      <w:r>
        <w:rPr>
          <w:noProof/>
          <w:lang w:val="fr-FR"/>
        </w:rPr>
        <w:t>Salvador Seguro » et axé sur la prévention de la violence ; le contrôle et les poursuites pénales ; la réintégration et la réinsertion sociales ; la prise en charge et la protection des victimes ; et le renforcement des institutions. Le Conseil national de la sécurité citoyenne et du vivre-ensemble a contribué aux avant-projets de loi suivants : système national de prévention de la violence ; loi spéciale tendant à prévenir l</w:t>
      </w:r>
      <w:r w:rsidR="002A5D78">
        <w:rPr>
          <w:noProof/>
          <w:lang w:val="fr-FR"/>
        </w:rPr>
        <w:t>’</w:t>
      </w:r>
      <w:r>
        <w:rPr>
          <w:noProof/>
          <w:lang w:val="fr-FR"/>
        </w:rPr>
        <w:t xml:space="preserve">adhésion à des </w:t>
      </w:r>
      <w:r>
        <w:rPr>
          <w:i/>
          <w:noProof/>
          <w:lang w:val="fr-FR"/>
        </w:rPr>
        <w:t>maras</w:t>
      </w:r>
      <w:r>
        <w:rPr>
          <w:noProof/>
          <w:lang w:val="fr-FR"/>
        </w:rPr>
        <w:t xml:space="preserve"> (type de bande criminelle) et </w:t>
      </w:r>
      <w:r>
        <w:rPr>
          <w:i/>
          <w:noProof/>
          <w:lang w:val="fr-FR"/>
        </w:rPr>
        <w:t>pandillas</w:t>
      </w:r>
      <w:r>
        <w:rPr>
          <w:noProof/>
          <w:lang w:val="fr-FR"/>
        </w:rPr>
        <w:t xml:space="preserve"> (autre type de bande criminelle) et à faciliter la réintégration, le retrait et la réinsertion sociale des membres et collaborateurs de ces bandes ; révisions des lois portant contribution extraordinaire à la sécurité citoyenne et au vivre-ensemble et portant contribution extraordinaire des grands contribuables ; loi spéciale relative à la prise en charge, la protection et l</w:t>
      </w:r>
      <w:r w:rsidR="002A5D78">
        <w:rPr>
          <w:noProof/>
          <w:lang w:val="fr-FR"/>
        </w:rPr>
        <w:t>’</w:t>
      </w:r>
      <w:r>
        <w:rPr>
          <w:noProof/>
          <w:lang w:val="fr-FR"/>
        </w:rPr>
        <w:t>indemnisation intégrales des victimes ; et révisions de la loi pénitentiaire.</w:t>
      </w:r>
    </w:p>
    <w:p w14:paraId="14968DD6" w14:textId="77777777" w:rsidR="00653B7F" w:rsidRDefault="00653B7F" w:rsidP="00653B7F">
      <w:pPr>
        <w:pStyle w:val="SingleTxtG"/>
        <w:rPr>
          <w:noProof/>
          <w:lang w:val="fr-FR"/>
        </w:rPr>
      </w:pPr>
      <w:r w:rsidRPr="00D02127">
        <w:rPr>
          <w:noProof/>
          <w:lang w:val="fr-FR"/>
        </w:rPr>
        <w:t>17.</w:t>
      </w:r>
      <w:r w:rsidRPr="00D02127">
        <w:rPr>
          <w:noProof/>
          <w:lang w:val="fr-FR"/>
        </w:rPr>
        <w:tab/>
      </w:r>
      <w:r>
        <w:rPr>
          <w:noProof/>
          <w:lang w:val="fr-FR"/>
        </w:rPr>
        <w:t>Le Bureau du Procureur pour la défense des droits de l</w:t>
      </w:r>
      <w:r w:rsidR="002A5D78">
        <w:rPr>
          <w:noProof/>
          <w:lang w:val="fr-FR"/>
        </w:rPr>
        <w:t>’</w:t>
      </w:r>
      <w:r>
        <w:rPr>
          <w:noProof/>
          <w:lang w:val="fr-FR"/>
        </w:rPr>
        <w:t>homme peut s</w:t>
      </w:r>
      <w:r w:rsidR="002A5D78">
        <w:rPr>
          <w:noProof/>
          <w:lang w:val="fr-FR"/>
        </w:rPr>
        <w:t>’</w:t>
      </w:r>
      <w:r>
        <w:rPr>
          <w:noProof/>
          <w:lang w:val="fr-FR"/>
        </w:rPr>
        <w:t>appuyer sur un large mandat constitutionnel de protection des droits de l</w:t>
      </w:r>
      <w:r w:rsidR="002A5D78">
        <w:rPr>
          <w:noProof/>
          <w:lang w:val="fr-FR"/>
        </w:rPr>
        <w:t>’</w:t>
      </w:r>
      <w:r>
        <w:rPr>
          <w:noProof/>
          <w:lang w:val="fr-FR"/>
        </w:rPr>
        <w:t>homme, exerce ses prérogatives à l</w:t>
      </w:r>
      <w:r w:rsidR="002A5D78">
        <w:rPr>
          <w:noProof/>
          <w:lang w:val="fr-FR"/>
        </w:rPr>
        <w:t>’</w:t>
      </w:r>
      <w:r>
        <w:rPr>
          <w:noProof/>
          <w:lang w:val="fr-FR"/>
        </w:rPr>
        <w:t>échelle nationale et se trouve protégé contre toute ingérence ou menace extérieure grâce au rang constitutionnel et au mode de désignation du Procureur, qui est élu par l</w:t>
      </w:r>
      <w:r w:rsidR="002A5D78">
        <w:rPr>
          <w:noProof/>
          <w:lang w:val="fr-FR"/>
        </w:rPr>
        <w:t>’</w:t>
      </w:r>
      <w:r>
        <w:rPr>
          <w:noProof/>
          <w:lang w:val="fr-FR"/>
        </w:rPr>
        <w:t>Assemblée législative. Il dispose en outre d</w:t>
      </w:r>
      <w:r w:rsidR="002A5D78">
        <w:rPr>
          <w:noProof/>
          <w:lang w:val="fr-FR"/>
        </w:rPr>
        <w:t>’</w:t>
      </w:r>
      <w:r>
        <w:rPr>
          <w:noProof/>
          <w:lang w:val="fr-FR"/>
        </w:rPr>
        <w:t>un budget propre en régulière augmentation, puisqu</w:t>
      </w:r>
      <w:r w:rsidR="002A5D78">
        <w:rPr>
          <w:noProof/>
          <w:lang w:val="fr-FR"/>
        </w:rPr>
        <w:t>’</w:t>
      </w:r>
      <w:r>
        <w:rPr>
          <w:noProof/>
          <w:lang w:val="fr-FR"/>
        </w:rPr>
        <w:t>il est passé de 6,8 millions de dollars en 2010 à 7,5 millions de dollars en 2012, 8,9 millions de dollars en 2013, 9,1 millions de dollars en 2014 et 10,1</w:t>
      </w:r>
      <w:r w:rsidR="0027161E">
        <w:rPr>
          <w:noProof/>
          <w:lang w:val="fr-FR"/>
        </w:rPr>
        <w:t> </w:t>
      </w:r>
      <w:r>
        <w:rPr>
          <w:noProof/>
          <w:lang w:val="fr-FR"/>
        </w:rPr>
        <w:t>millions de dollars en 2019. Pendant la période 2014-2019, le pouvoir exécutif a dûment pris en considération les demandes et recommandations du Bureau du Procureur pour la défense des droits de l</w:t>
      </w:r>
      <w:r w:rsidR="002A5D78">
        <w:rPr>
          <w:noProof/>
          <w:lang w:val="fr-FR"/>
        </w:rPr>
        <w:t>’</w:t>
      </w:r>
      <w:r>
        <w:rPr>
          <w:noProof/>
          <w:lang w:val="fr-FR"/>
        </w:rPr>
        <w:t xml:space="preserve">homme, ce qui a aidé à le renforcer. </w:t>
      </w:r>
    </w:p>
    <w:p w14:paraId="6ECBF60C" w14:textId="77777777" w:rsidR="00653B7F" w:rsidRPr="00253AED" w:rsidRDefault="00653B7F" w:rsidP="00653B7F">
      <w:pPr>
        <w:pStyle w:val="SingleTxtG"/>
        <w:rPr>
          <w:noProof/>
          <w:lang w:val="fr-FR"/>
        </w:rPr>
      </w:pPr>
      <w:r w:rsidRPr="00D02127">
        <w:rPr>
          <w:noProof/>
          <w:lang w:val="fr-FR"/>
        </w:rPr>
        <w:t>18.</w:t>
      </w:r>
      <w:r w:rsidRPr="00D02127">
        <w:rPr>
          <w:noProof/>
          <w:lang w:val="fr-FR"/>
        </w:rPr>
        <w:tab/>
      </w:r>
      <w:r w:rsidRPr="00253AED">
        <w:rPr>
          <w:noProof/>
          <w:lang w:val="fr-FR"/>
        </w:rPr>
        <w:t>La loi d</w:t>
      </w:r>
      <w:r w:rsidR="002A5D78">
        <w:rPr>
          <w:noProof/>
          <w:lang w:val="fr-FR"/>
        </w:rPr>
        <w:t>’</w:t>
      </w:r>
      <w:r w:rsidRPr="00253AED">
        <w:rPr>
          <w:noProof/>
          <w:lang w:val="fr-FR"/>
        </w:rPr>
        <w:t>amnistie générale pour la consolidation de la paix de 1993</w:t>
      </w:r>
      <w:r>
        <w:rPr>
          <w:noProof/>
          <w:lang w:val="fr-FR"/>
        </w:rPr>
        <w:t xml:space="preserve"> a été déclarée inconstitutionnelle en juillet 2016, ce qui a permis d</w:t>
      </w:r>
      <w:r w:rsidR="002A5D78">
        <w:rPr>
          <w:noProof/>
          <w:lang w:val="fr-FR"/>
        </w:rPr>
        <w:t>’</w:t>
      </w:r>
      <w:r>
        <w:rPr>
          <w:noProof/>
          <w:lang w:val="fr-FR"/>
        </w:rPr>
        <w:t>ouvrir des enquêtes sur les crimes commis pendant le conflit armé en El Salvador, en particulier ceux qui sont dénoncés dans le rapport de la Commission de la vérité. Les deux principales dispositions de cette déclaration d</w:t>
      </w:r>
      <w:r w:rsidR="002A5D78">
        <w:rPr>
          <w:noProof/>
          <w:lang w:val="fr-FR"/>
        </w:rPr>
        <w:t>’</w:t>
      </w:r>
      <w:r>
        <w:rPr>
          <w:noProof/>
          <w:lang w:val="fr-FR"/>
        </w:rPr>
        <w:t>inconstitutionnalité sont l</w:t>
      </w:r>
      <w:r w:rsidR="002A5D78">
        <w:rPr>
          <w:noProof/>
          <w:lang w:val="fr-FR"/>
        </w:rPr>
        <w:t>’</w:t>
      </w:r>
      <w:r>
        <w:rPr>
          <w:noProof/>
          <w:lang w:val="fr-FR"/>
        </w:rPr>
        <w:t>interdiction d</w:t>
      </w:r>
      <w:r w:rsidR="002A5D78">
        <w:rPr>
          <w:noProof/>
          <w:lang w:val="fr-FR"/>
        </w:rPr>
        <w:t>’</w:t>
      </w:r>
      <w:r>
        <w:rPr>
          <w:noProof/>
          <w:lang w:val="fr-FR"/>
        </w:rPr>
        <w:t>adopter une amnistie empêchant de poursuivre et juger les responsables de ces crimes et la reconnaissance de l</w:t>
      </w:r>
      <w:r w:rsidR="002A5D78">
        <w:rPr>
          <w:noProof/>
          <w:lang w:val="fr-FR"/>
        </w:rPr>
        <w:t>’</w:t>
      </w:r>
      <w:r>
        <w:rPr>
          <w:noProof/>
          <w:lang w:val="fr-FR"/>
        </w:rPr>
        <w:t>imprescribilité desdits crimes. La Chambre constitutionnelle assure une surveillance permanente de l</w:t>
      </w:r>
      <w:r w:rsidR="002A5D78">
        <w:rPr>
          <w:noProof/>
          <w:lang w:val="fr-FR"/>
        </w:rPr>
        <w:t>’</w:t>
      </w:r>
      <w:r>
        <w:rPr>
          <w:noProof/>
          <w:lang w:val="fr-FR"/>
        </w:rPr>
        <w:t>exécution des obligations en matière de justice restaurative et transitionnelle que cette décision met à la charge des institutions de l</w:t>
      </w:r>
      <w:r w:rsidR="002A5D78">
        <w:rPr>
          <w:noProof/>
          <w:lang w:val="fr-FR"/>
        </w:rPr>
        <w:t>’</w:t>
      </w:r>
      <w:r>
        <w:rPr>
          <w:noProof/>
          <w:lang w:val="fr-FR"/>
        </w:rPr>
        <w:t>État.</w:t>
      </w:r>
    </w:p>
    <w:p w14:paraId="21AB2A1D" w14:textId="77777777" w:rsidR="00653B7F" w:rsidRPr="004530E4" w:rsidRDefault="00653B7F" w:rsidP="00653B7F">
      <w:pPr>
        <w:pStyle w:val="SingleTxtG"/>
        <w:rPr>
          <w:noProof/>
          <w:lang w:val="fr-FR"/>
        </w:rPr>
      </w:pPr>
      <w:r w:rsidRPr="00D02127">
        <w:rPr>
          <w:noProof/>
          <w:lang w:val="fr-FR"/>
        </w:rPr>
        <w:t>19.</w:t>
      </w:r>
      <w:r w:rsidRPr="00D02127">
        <w:rPr>
          <w:noProof/>
          <w:lang w:val="fr-FR"/>
        </w:rPr>
        <w:tab/>
      </w:r>
      <w:r>
        <w:rPr>
          <w:noProof/>
          <w:lang w:val="fr-FR"/>
        </w:rPr>
        <w:t xml:space="preserve">En ce qui concerne les affaires de disparition forcée, le </w:t>
      </w:r>
      <w:r w:rsidRPr="006B075F">
        <w:rPr>
          <w:noProof/>
          <w:lang w:val="fr-FR"/>
        </w:rPr>
        <w:t>Bureau du</w:t>
      </w:r>
      <w:r>
        <w:rPr>
          <w:i/>
          <w:noProof/>
          <w:lang w:val="fr-FR"/>
        </w:rPr>
        <w:t xml:space="preserve"> Fiscal general </w:t>
      </w:r>
      <w:r w:rsidRPr="006B075F">
        <w:rPr>
          <w:noProof/>
          <w:lang w:val="fr-FR"/>
        </w:rPr>
        <w:t>de la République</w:t>
      </w:r>
      <w:r>
        <w:rPr>
          <w:noProof/>
          <w:lang w:val="fr-FR"/>
        </w:rPr>
        <w:t xml:space="preserve"> est habilité par la loi à demander des informations à toutes personnes physiques ou morales, qu</w:t>
      </w:r>
      <w:r w:rsidR="002A5D78">
        <w:rPr>
          <w:noProof/>
          <w:lang w:val="fr-FR"/>
        </w:rPr>
        <w:t>’</w:t>
      </w:r>
      <w:r>
        <w:rPr>
          <w:noProof/>
          <w:lang w:val="fr-FR"/>
        </w:rPr>
        <w:t>elles soient publiques ou privées, lesquelles sont tenues de les fournir immédiatement. Le Bureau du Procureur pour la défense des droits de l</w:t>
      </w:r>
      <w:r w:rsidR="002A5D78">
        <w:rPr>
          <w:noProof/>
          <w:lang w:val="fr-FR"/>
        </w:rPr>
        <w:t>’</w:t>
      </w:r>
      <w:r>
        <w:rPr>
          <w:noProof/>
          <w:lang w:val="fr-FR"/>
        </w:rPr>
        <w:t>homme dispose lui aussi d</w:t>
      </w:r>
      <w:r w:rsidR="002A5D78">
        <w:rPr>
          <w:noProof/>
          <w:lang w:val="fr-FR"/>
        </w:rPr>
        <w:t>’</w:t>
      </w:r>
      <w:r>
        <w:rPr>
          <w:noProof/>
          <w:lang w:val="fr-FR"/>
        </w:rPr>
        <w:t>une habilitation constitutionnelle à exiger la remise ou la communication de tout type de documents ou d</w:t>
      </w:r>
      <w:r w:rsidR="002A5D78">
        <w:rPr>
          <w:noProof/>
          <w:lang w:val="fr-FR"/>
        </w:rPr>
        <w:t>’</w:t>
      </w:r>
      <w:r>
        <w:rPr>
          <w:noProof/>
          <w:lang w:val="fr-FR"/>
        </w:rPr>
        <w:t xml:space="preserve">éléments de preuve et à prendre toutes diligences voulues pour élucider les faits. La </w:t>
      </w:r>
      <w:r w:rsidRPr="00D51D8C">
        <w:rPr>
          <w:noProof/>
          <w:lang w:val="fr-FR"/>
        </w:rPr>
        <w:t xml:space="preserve">Commission nationale pour la recherche des enfants disparus pendant le conflit armé interne </w:t>
      </w:r>
      <w:r>
        <w:rPr>
          <w:noProof/>
          <w:lang w:val="fr-FR"/>
        </w:rPr>
        <w:t xml:space="preserve">(2010) et la </w:t>
      </w:r>
      <w:r w:rsidRPr="00D51D8C">
        <w:rPr>
          <w:noProof/>
          <w:lang w:val="fr-FR"/>
        </w:rPr>
        <w:t xml:space="preserve">Commission nationale pour la recherche des adultes disparus </w:t>
      </w:r>
      <w:r>
        <w:rPr>
          <w:noProof/>
          <w:lang w:val="fr-FR"/>
        </w:rPr>
        <w:t>dans le cadre du</w:t>
      </w:r>
      <w:r w:rsidRPr="00D51D8C">
        <w:rPr>
          <w:noProof/>
          <w:lang w:val="fr-FR"/>
        </w:rPr>
        <w:t xml:space="preserve"> conflit armé en El Salvador </w:t>
      </w:r>
      <w:r>
        <w:rPr>
          <w:noProof/>
          <w:lang w:val="fr-FR"/>
        </w:rPr>
        <w:t>(2017) ont parmi leurs attributions celles d</w:t>
      </w:r>
      <w:r w:rsidR="002A5D78">
        <w:rPr>
          <w:noProof/>
          <w:lang w:val="fr-FR"/>
        </w:rPr>
        <w:t>’</w:t>
      </w:r>
      <w:r>
        <w:rPr>
          <w:noProof/>
          <w:lang w:val="fr-FR"/>
        </w:rPr>
        <w:t>inspecter les registres, documents et archives des institutions qui composent le pouvoir exécutif, notamment ceux des institutions militaires et policières, et des centres de détention et d</w:t>
      </w:r>
      <w:r w:rsidR="002A5D78">
        <w:rPr>
          <w:noProof/>
          <w:lang w:val="fr-FR"/>
        </w:rPr>
        <w:t>’</w:t>
      </w:r>
      <w:r>
        <w:rPr>
          <w:noProof/>
          <w:lang w:val="fr-FR"/>
        </w:rPr>
        <w:t>internement qui ont fonctionné jusqu</w:t>
      </w:r>
      <w:r w:rsidR="002A5D78">
        <w:rPr>
          <w:noProof/>
          <w:lang w:val="fr-FR"/>
        </w:rPr>
        <w:t>’</w:t>
      </w:r>
      <w:r>
        <w:rPr>
          <w:noProof/>
          <w:lang w:val="fr-FR"/>
        </w:rPr>
        <w:t>au 16</w:t>
      </w:r>
      <w:r w:rsidR="0027161E">
        <w:rPr>
          <w:noProof/>
          <w:lang w:val="fr-FR"/>
        </w:rPr>
        <w:t> </w:t>
      </w:r>
      <w:r>
        <w:rPr>
          <w:noProof/>
          <w:lang w:val="fr-FR"/>
        </w:rPr>
        <w:t>janvier 1992.</w:t>
      </w:r>
    </w:p>
    <w:p w14:paraId="3E7B68D6" w14:textId="77777777" w:rsidR="00653B7F" w:rsidRDefault="00653B7F" w:rsidP="00653B7F">
      <w:pPr>
        <w:pStyle w:val="SingleTxtG"/>
        <w:rPr>
          <w:noProof/>
          <w:lang w:val="fr-FR"/>
        </w:rPr>
      </w:pPr>
      <w:r w:rsidRPr="00D02127">
        <w:rPr>
          <w:noProof/>
          <w:lang w:val="fr-FR"/>
        </w:rPr>
        <w:t>20.</w:t>
      </w:r>
      <w:r w:rsidRPr="00D02127">
        <w:rPr>
          <w:noProof/>
          <w:lang w:val="fr-FR"/>
        </w:rPr>
        <w:tab/>
      </w:r>
      <w:r>
        <w:rPr>
          <w:noProof/>
          <w:lang w:val="fr-FR"/>
        </w:rPr>
        <w:t>Adoptée en 2011, la loi relative à l</w:t>
      </w:r>
      <w:r w:rsidR="002A5D78">
        <w:rPr>
          <w:noProof/>
          <w:lang w:val="fr-FR"/>
        </w:rPr>
        <w:t>’</w:t>
      </w:r>
      <w:r>
        <w:rPr>
          <w:noProof/>
          <w:lang w:val="fr-FR"/>
        </w:rPr>
        <w:t>accès à l</w:t>
      </w:r>
      <w:r w:rsidR="002A5D78">
        <w:rPr>
          <w:noProof/>
          <w:lang w:val="fr-FR"/>
        </w:rPr>
        <w:t>’</w:t>
      </w:r>
      <w:r>
        <w:rPr>
          <w:noProof/>
          <w:lang w:val="fr-FR"/>
        </w:rPr>
        <w:t>information publique permet à toute personne de demander et recevoir des informations produites, administrées ou détenues par des organismes publics. Elle institue des mécanismes et procédures de demande d</w:t>
      </w:r>
      <w:r w:rsidR="002A5D78">
        <w:rPr>
          <w:noProof/>
          <w:lang w:val="fr-FR"/>
        </w:rPr>
        <w:t>’</w:t>
      </w:r>
      <w:r>
        <w:rPr>
          <w:noProof/>
          <w:lang w:val="fr-FR"/>
        </w:rPr>
        <w:t xml:space="preserve">information qui visent à faciliter son application et a pour objectif de renforcer la transparence des institutions et établissements publics et le respect de leur obligation redditionnelle. </w:t>
      </w:r>
    </w:p>
    <w:p w14:paraId="1F71AC77" w14:textId="77777777" w:rsidR="00653B7F" w:rsidRPr="00020EC0" w:rsidRDefault="00653B7F" w:rsidP="00653B7F">
      <w:pPr>
        <w:pStyle w:val="SingleTxtG"/>
        <w:rPr>
          <w:noProof/>
          <w:lang w:val="fr-FR"/>
        </w:rPr>
      </w:pPr>
      <w:r w:rsidRPr="00D02127">
        <w:rPr>
          <w:noProof/>
          <w:lang w:val="fr-FR"/>
        </w:rPr>
        <w:t>21.</w:t>
      </w:r>
      <w:r w:rsidRPr="00D02127">
        <w:rPr>
          <w:noProof/>
          <w:lang w:val="fr-FR"/>
        </w:rPr>
        <w:tab/>
      </w:r>
      <w:r>
        <w:rPr>
          <w:noProof/>
          <w:lang w:val="fr-FR"/>
        </w:rPr>
        <w:t xml:space="preserve">En ce qui concerne les disparitions forcées, une série de recours en </w:t>
      </w:r>
      <w:r>
        <w:rPr>
          <w:i/>
          <w:noProof/>
          <w:lang w:val="fr-FR"/>
        </w:rPr>
        <w:t xml:space="preserve">habeas </w:t>
      </w:r>
      <w:r w:rsidRPr="00FB5D9E">
        <w:rPr>
          <w:noProof/>
          <w:lang w:val="fr-FR"/>
        </w:rPr>
        <w:t>corpus</w:t>
      </w:r>
      <w:r>
        <w:rPr>
          <w:noProof/>
          <w:lang w:val="fr-FR"/>
        </w:rPr>
        <w:t xml:space="preserve"> a graduellement fait émerger plusieurs innovations et modifications des critères jurisprudentiels relatifs à la protection contre cette violation des droits de l</w:t>
      </w:r>
      <w:r w:rsidR="002A5D78">
        <w:rPr>
          <w:noProof/>
          <w:lang w:val="fr-FR"/>
        </w:rPr>
        <w:t>’</w:t>
      </w:r>
      <w:r>
        <w:rPr>
          <w:noProof/>
          <w:lang w:val="fr-FR"/>
        </w:rPr>
        <w:t xml:space="preserve">homme. De même, la Chambre constitutionnelle saisie de recours en </w:t>
      </w:r>
      <w:r>
        <w:rPr>
          <w:i/>
          <w:noProof/>
          <w:lang w:val="fr-FR"/>
        </w:rPr>
        <w:t>amparo</w:t>
      </w:r>
      <w:r>
        <w:rPr>
          <w:noProof/>
          <w:lang w:val="fr-FR"/>
        </w:rPr>
        <w:t xml:space="preserve"> a statué que l</w:t>
      </w:r>
      <w:r w:rsidR="002A5D78">
        <w:rPr>
          <w:noProof/>
          <w:lang w:val="fr-FR"/>
        </w:rPr>
        <w:t>’</w:t>
      </w:r>
      <w:r>
        <w:rPr>
          <w:noProof/>
          <w:lang w:val="fr-FR"/>
        </w:rPr>
        <w:t>État avait l</w:t>
      </w:r>
      <w:r w:rsidR="002A5D78">
        <w:rPr>
          <w:noProof/>
          <w:lang w:val="fr-FR"/>
        </w:rPr>
        <w:t>’</w:t>
      </w:r>
      <w:r>
        <w:rPr>
          <w:noProof/>
          <w:lang w:val="fr-FR"/>
        </w:rPr>
        <w:t>obligation de procéder à des enquêtes sérieuses, exhaustives, diligentes, probantes et tendant à assurer la manifestation de la vérité sur les graves violations des droits de l</w:t>
      </w:r>
      <w:r w:rsidR="002A5D78">
        <w:rPr>
          <w:noProof/>
          <w:lang w:val="fr-FR"/>
        </w:rPr>
        <w:t>’</w:t>
      </w:r>
      <w:r>
        <w:rPr>
          <w:noProof/>
          <w:lang w:val="fr-FR"/>
        </w:rPr>
        <w:t xml:space="preserve">homme telles que les massacres commis dans le contexte du conflit interne armé. Parmi les décisions pertinentes en la matière rendues par la Chambre constitutionnelle, on citera sa décision </w:t>
      </w:r>
      <w:r>
        <w:rPr>
          <w:noProof/>
          <w:lang w:val="fr-FR"/>
        </w:rPr>
        <w:lastRenderedPageBreak/>
        <w:t xml:space="preserve">définitive dans le recours en </w:t>
      </w:r>
      <w:r>
        <w:rPr>
          <w:i/>
          <w:noProof/>
          <w:lang w:val="fr-FR"/>
        </w:rPr>
        <w:t>habeas corpus</w:t>
      </w:r>
      <w:r>
        <w:rPr>
          <w:noProof/>
          <w:lang w:val="fr-FR"/>
        </w:rPr>
        <w:t xml:space="preserve"> 203/204/205-2007</w:t>
      </w:r>
      <w:r>
        <w:rPr>
          <w:rStyle w:val="Appelnotedebasdep"/>
          <w:noProof/>
          <w:lang w:val="fr-FR"/>
        </w:rPr>
        <w:footnoteReference w:id="9"/>
      </w:r>
      <w:r>
        <w:rPr>
          <w:noProof/>
          <w:lang w:val="fr-FR"/>
        </w:rPr>
        <w:t xml:space="preserve">, où elle a défini les critères autorisant la présomption de disparition forcée ; sa décision définitive dans le recours en </w:t>
      </w:r>
      <w:r w:rsidRPr="005F7A37">
        <w:rPr>
          <w:i/>
          <w:noProof/>
          <w:lang w:val="fr-FR"/>
        </w:rPr>
        <w:t>amparo</w:t>
      </w:r>
      <w:r>
        <w:rPr>
          <w:noProof/>
          <w:lang w:val="fr-FR"/>
        </w:rPr>
        <w:t xml:space="preserve"> 665-2010</w:t>
      </w:r>
      <w:r>
        <w:rPr>
          <w:rStyle w:val="Appelnotedebasdep"/>
          <w:noProof/>
          <w:lang w:val="fr-FR"/>
        </w:rPr>
        <w:footnoteReference w:id="10"/>
      </w:r>
      <w:r>
        <w:rPr>
          <w:noProof/>
          <w:lang w:val="fr-FR"/>
        </w:rPr>
        <w:t>, qui a consacré le droit à la vérité ; sa décision définitive dans le recours en inconstitutionnalité Inc. 91-2007</w:t>
      </w:r>
      <w:r>
        <w:rPr>
          <w:rStyle w:val="Appelnotedebasdep"/>
          <w:noProof/>
          <w:lang w:val="fr-FR"/>
        </w:rPr>
        <w:footnoteReference w:id="11"/>
      </w:r>
      <w:r>
        <w:rPr>
          <w:noProof/>
          <w:lang w:val="fr-FR"/>
        </w:rPr>
        <w:t>, qui a établi le droit d</w:t>
      </w:r>
      <w:r w:rsidR="002A5D78">
        <w:rPr>
          <w:noProof/>
          <w:lang w:val="fr-FR"/>
        </w:rPr>
        <w:t>’</w:t>
      </w:r>
      <w:r>
        <w:rPr>
          <w:noProof/>
          <w:lang w:val="fr-FR"/>
        </w:rPr>
        <w:t>accès à l</w:t>
      </w:r>
      <w:r w:rsidR="002A5D78">
        <w:rPr>
          <w:noProof/>
          <w:lang w:val="fr-FR"/>
        </w:rPr>
        <w:t>’</w:t>
      </w:r>
      <w:r>
        <w:rPr>
          <w:noProof/>
          <w:lang w:val="fr-FR"/>
        </w:rPr>
        <w:t>information publique.</w:t>
      </w:r>
    </w:p>
    <w:p w14:paraId="66F21916" w14:textId="77777777" w:rsidR="00653B7F" w:rsidRPr="00D31127" w:rsidRDefault="00653B7F" w:rsidP="00653B7F">
      <w:pPr>
        <w:pStyle w:val="SingleTxtG"/>
        <w:rPr>
          <w:noProof/>
          <w:lang w:val="fr-FR"/>
        </w:rPr>
      </w:pPr>
      <w:r w:rsidRPr="00D02127">
        <w:rPr>
          <w:noProof/>
          <w:lang w:val="fr-FR"/>
        </w:rPr>
        <w:t>22.</w:t>
      </w:r>
      <w:r w:rsidRPr="00D02127">
        <w:rPr>
          <w:noProof/>
          <w:lang w:val="fr-FR"/>
        </w:rPr>
        <w:tab/>
      </w:r>
      <w:r>
        <w:rPr>
          <w:noProof/>
          <w:lang w:val="fr-FR"/>
        </w:rPr>
        <w:t>Aux termes de l</w:t>
      </w:r>
      <w:r w:rsidR="002A5D78">
        <w:rPr>
          <w:noProof/>
          <w:lang w:val="fr-FR"/>
        </w:rPr>
        <w:t>’</w:t>
      </w:r>
      <w:r>
        <w:rPr>
          <w:noProof/>
          <w:lang w:val="fr-FR"/>
        </w:rPr>
        <w:t>article 144 de la Constitution, les traités internationaux ratifiés par El Salvador ont valeur de lois de la République, et lorsqu</w:t>
      </w:r>
      <w:r w:rsidR="002A5D78">
        <w:rPr>
          <w:noProof/>
          <w:lang w:val="fr-FR"/>
        </w:rPr>
        <w:t>’</w:t>
      </w:r>
      <w:r>
        <w:rPr>
          <w:noProof/>
          <w:lang w:val="fr-FR"/>
        </w:rPr>
        <w:t>il y a conflit entre une loi et un traité, celui-ci l</w:t>
      </w:r>
      <w:r w:rsidR="002A5D78">
        <w:rPr>
          <w:noProof/>
          <w:lang w:val="fr-FR"/>
        </w:rPr>
        <w:t>’</w:t>
      </w:r>
      <w:r>
        <w:rPr>
          <w:noProof/>
          <w:lang w:val="fr-FR"/>
        </w:rPr>
        <w:t>emporte. Les traités sont d</w:t>
      </w:r>
      <w:r w:rsidR="002A5D78">
        <w:rPr>
          <w:noProof/>
          <w:lang w:val="fr-FR"/>
        </w:rPr>
        <w:t>’</w:t>
      </w:r>
      <w:r>
        <w:rPr>
          <w:noProof/>
          <w:lang w:val="fr-FR"/>
        </w:rPr>
        <w:t>application directe en El Salvador, et la Chambre constitutionnelle elle-même a invoqué des traités internationaux pour harmoniser ou compléter des normes secondaires, conformément à l</w:t>
      </w:r>
      <w:r w:rsidR="002A5D78">
        <w:rPr>
          <w:noProof/>
          <w:lang w:val="fr-FR"/>
        </w:rPr>
        <w:t>’</w:t>
      </w:r>
      <w:r>
        <w:rPr>
          <w:noProof/>
          <w:lang w:val="fr-FR"/>
        </w:rPr>
        <w:t>article 144 de la Constitution, et reconnu comme obligatoires le respect et la transposition directe des dispositions des traités quand elles concernent des garanties procédurales essentielles telles que les droits fondamentaux des accusés, ce qui constitue une nette évolution dans l</w:t>
      </w:r>
      <w:r w:rsidR="002A5D78">
        <w:rPr>
          <w:noProof/>
          <w:lang w:val="fr-FR"/>
        </w:rPr>
        <w:t>’</w:t>
      </w:r>
      <w:r>
        <w:rPr>
          <w:noProof/>
          <w:lang w:val="fr-FR"/>
        </w:rPr>
        <w:t>application du droit international. L</w:t>
      </w:r>
      <w:r w:rsidR="002A5D78">
        <w:rPr>
          <w:noProof/>
          <w:lang w:val="fr-FR"/>
        </w:rPr>
        <w:t>’</w:t>
      </w:r>
      <w:r>
        <w:rPr>
          <w:noProof/>
          <w:lang w:val="fr-FR"/>
        </w:rPr>
        <w:t xml:space="preserve">application automatique de dispositions conventionnelles est devenue une pratique de plus en plus courante qui informe les décisions de justice, comme en témoignent par exemple la décision dans le recours en </w:t>
      </w:r>
      <w:r>
        <w:rPr>
          <w:i/>
          <w:noProof/>
          <w:lang w:val="fr-FR"/>
        </w:rPr>
        <w:t>habeas corpus</w:t>
      </w:r>
      <w:r>
        <w:rPr>
          <w:noProof/>
          <w:lang w:val="fr-FR"/>
        </w:rPr>
        <w:t xml:space="preserve"> 125-2005 du 29</w:t>
      </w:r>
      <w:r w:rsidR="00B95E02">
        <w:rPr>
          <w:noProof/>
          <w:lang w:val="fr-FR"/>
        </w:rPr>
        <w:t> </w:t>
      </w:r>
      <w:r>
        <w:rPr>
          <w:noProof/>
          <w:lang w:val="fr-FR"/>
        </w:rPr>
        <w:t>février 2008</w:t>
      </w:r>
      <w:r w:rsidR="00B95E02">
        <w:rPr>
          <w:rStyle w:val="Appelnotedebasdep"/>
          <w:noProof/>
        </w:rPr>
        <w:footnoteReference w:id="12"/>
      </w:r>
      <w:r>
        <w:rPr>
          <w:noProof/>
          <w:lang w:val="fr-FR"/>
        </w:rPr>
        <w:t> ; la décision dans le recours en inconstitutionnalité Inc. 5-2001AC du 23</w:t>
      </w:r>
      <w:r w:rsidR="00B95E02">
        <w:rPr>
          <w:noProof/>
          <w:lang w:val="fr-FR"/>
        </w:rPr>
        <w:t> </w:t>
      </w:r>
      <w:r>
        <w:rPr>
          <w:noProof/>
          <w:lang w:val="fr-FR"/>
        </w:rPr>
        <w:t>décembre 2010</w:t>
      </w:r>
      <w:r>
        <w:rPr>
          <w:rStyle w:val="Appelnotedebasdep"/>
          <w:noProof/>
          <w:lang w:val="fr-FR"/>
        </w:rPr>
        <w:footnoteReference w:id="13"/>
      </w:r>
      <w:r>
        <w:rPr>
          <w:noProof/>
          <w:lang w:val="fr-FR"/>
        </w:rPr>
        <w:t> ; et la décision dans le recours en inconstitutionnalité Inc. 44-2013AC du 13</w:t>
      </w:r>
      <w:r w:rsidR="00B95E02">
        <w:rPr>
          <w:noProof/>
          <w:lang w:val="fr-FR"/>
        </w:rPr>
        <w:t> </w:t>
      </w:r>
      <w:r>
        <w:rPr>
          <w:noProof/>
          <w:lang w:val="fr-FR"/>
        </w:rPr>
        <w:t>juillet 2016</w:t>
      </w:r>
      <w:r>
        <w:rPr>
          <w:rStyle w:val="Appelnotedebasdep"/>
          <w:noProof/>
          <w:lang w:val="fr-FR"/>
        </w:rPr>
        <w:footnoteReference w:id="14"/>
      </w:r>
      <w:r>
        <w:rPr>
          <w:noProof/>
          <w:lang w:val="fr-FR"/>
        </w:rPr>
        <w:t xml:space="preserve">. </w:t>
      </w:r>
    </w:p>
    <w:p w14:paraId="70B9423F" w14:textId="77777777" w:rsidR="00653B7F" w:rsidRDefault="00653B7F" w:rsidP="00653B7F">
      <w:pPr>
        <w:pStyle w:val="SingleTxtG"/>
        <w:rPr>
          <w:noProof/>
          <w:lang w:val="fr-FR"/>
        </w:rPr>
      </w:pPr>
      <w:r w:rsidRPr="00D02127">
        <w:rPr>
          <w:noProof/>
          <w:lang w:val="fr-FR"/>
        </w:rPr>
        <w:t>23.</w:t>
      </w:r>
      <w:r w:rsidRPr="00D02127">
        <w:rPr>
          <w:noProof/>
          <w:lang w:val="fr-FR"/>
        </w:rPr>
        <w:tab/>
      </w:r>
      <w:r>
        <w:rPr>
          <w:noProof/>
          <w:lang w:val="fr-FR"/>
        </w:rPr>
        <w:t xml:space="preserve">En septembre 2010 est entrée en vigueur la loi portant interdiction des </w:t>
      </w:r>
      <w:r>
        <w:rPr>
          <w:i/>
          <w:noProof/>
          <w:lang w:val="fr-FR"/>
        </w:rPr>
        <w:t>maras</w:t>
      </w:r>
      <w:r>
        <w:rPr>
          <w:noProof/>
          <w:lang w:val="fr-FR"/>
        </w:rPr>
        <w:t xml:space="preserve"> [un type de bande criminelle], </w:t>
      </w:r>
      <w:r>
        <w:rPr>
          <w:i/>
          <w:noProof/>
          <w:lang w:val="fr-FR"/>
        </w:rPr>
        <w:t>pandillas</w:t>
      </w:r>
      <w:r>
        <w:rPr>
          <w:noProof/>
          <w:lang w:val="fr-FR"/>
        </w:rPr>
        <w:t xml:space="preserve"> [un autre type de bande criminelle], groupements, associations et autres organismes à caractère criminel</w:t>
      </w:r>
      <w:r>
        <w:rPr>
          <w:rStyle w:val="Appelnotedebasdep"/>
          <w:noProof/>
          <w:lang w:val="fr-FR"/>
        </w:rPr>
        <w:footnoteReference w:id="15"/>
      </w:r>
      <w:r>
        <w:rPr>
          <w:noProof/>
          <w:lang w:val="fr-FR"/>
        </w:rPr>
        <w:t>, dont l</w:t>
      </w:r>
      <w:r w:rsidR="002A5D78">
        <w:rPr>
          <w:noProof/>
          <w:lang w:val="fr-FR"/>
        </w:rPr>
        <w:t>’</w:t>
      </w:r>
      <w:r>
        <w:rPr>
          <w:noProof/>
          <w:lang w:val="fr-FR"/>
        </w:rPr>
        <w:t>article 2 dispose que « tout acte juridique accompli par leurs membres directement ou par personne interposée est illégal et engage leur responsabilité, sur le plan pénal notamment ». Cette loi contient des dispositions qui complètent les sanctions judiciaires ou administratives visant ces bandes, telles que des interdictions civiques ou sociales spéciales, en cas de condamnation ; des mesures visant les biens et des dispositions applicables à ceux de ces biens dont les titres de propriété sont annulés ; et des dispositions instituant un contrôle de leurs opérations de banque. Bien que cette loi soit en vigueur, plusieurs tribunaux rapportent qu</w:t>
      </w:r>
      <w:r w:rsidR="002A5D78">
        <w:rPr>
          <w:noProof/>
          <w:lang w:val="fr-FR"/>
        </w:rPr>
        <w:t>’</w:t>
      </w:r>
      <w:r>
        <w:rPr>
          <w:noProof/>
          <w:lang w:val="fr-FR"/>
        </w:rPr>
        <w:t xml:space="preserve">elle est peu appliquée et que le </w:t>
      </w:r>
      <w:r w:rsidRPr="00321515">
        <w:rPr>
          <w:noProof/>
          <w:lang w:val="fr-FR"/>
        </w:rPr>
        <w:t>Bureau du</w:t>
      </w:r>
      <w:r>
        <w:rPr>
          <w:i/>
          <w:noProof/>
          <w:lang w:val="fr-FR"/>
        </w:rPr>
        <w:t xml:space="preserve"> Fiscal general </w:t>
      </w:r>
      <w:r w:rsidRPr="00321515">
        <w:rPr>
          <w:noProof/>
          <w:lang w:val="fr-FR"/>
        </w:rPr>
        <w:t>de la République</w:t>
      </w:r>
      <w:r>
        <w:rPr>
          <w:noProof/>
          <w:lang w:val="fr-FR"/>
        </w:rPr>
        <w:t xml:space="preserve"> préfère ouvrir des informations judiciaires selon la procédure pénale ordinaire ; il existe cependant des exceptions, et il arrive que la loi soit invoquée pour poursuivre les </w:t>
      </w:r>
      <w:r>
        <w:rPr>
          <w:i/>
          <w:noProof/>
          <w:lang w:val="fr-FR"/>
        </w:rPr>
        <w:t>maras</w:t>
      </w:r>
      <w:r>
        <w:rPr>
          <w:noProof/>
          <w:lang w:val="fr-FR"/>
        </w:rPr>
        <w:t xml:space="preserve"> ou </w:t>
      </w:r>
      <w:r>
        <w:rPr>
          <w:i/>
          <w:noProof/>
          <w:lang w:val="fr-FR"/>
        </w:rPr>
        <w:t>pandillas</w:t>
      </w:r>
      <w:r>
        <w:rPr>
          <w:noProof/>
          <w:lang w:val="fr-FR"/>
        </w:rPr>
        <w:t xml:space="preserve"> du chef de groupement illégal ou association de malfaiteurs.</w:t>
      </w:r>
    </w:p>
    <w:p w14:paraId="0E2F6240" w14:textId="77777777" w:rsidR="00653B7F" w:rsidRDefault="00653B7F" w:rsidP="00653B7F">
      <w:pPr>
        <w:pStyle w:val="SingleTxtG"/>
        <w:rPr>
          <w:noProof/>
          <w:lang w:val="fr-FR"/>
        </w:rPr>
      </w:pPr>
      <w:r w:rsidRPr="00D02127">
        <w:rPr>
          <w:noProof/>
          <w:lang w:val="fr-FR"/>
        </w:rPr>
        <w:t>24.</w:t>
      </w:r>
      <w:r>
        <w:rPr>
          <w:noProof/>
          <w:lang w:val="fr-FR"/>
        </w:rPr>
        <w:tab/>
        <w:t>Saisie d</w:t>
      </w:r>
      <w:r w:rsidR="002A5D78">
        <w:rPr>
          <w:noProof/>
          <w:lang w:val="fr-FR"/>
        </w:rPr>
        <w:t>’</w:t>
      </w:r>
      <w:r>
        <w:rPr>
          <w:noProof/>
          <w:lang w:val="fr-FR"/>
        </w:rPr>
        <w:t>un recours en inconstitutionnalité formé contre la loi spéciale contre les actes de terrorisme, la Chambre constitutionnelle a statué que les bandes et autres organisations criminelles qui prétendent exercer des prérogatives relevant de la souveraineté de l</w:t>
      </w:r>
      <w:r w:rsidR="002A5D78">
        <w:rPr>
          <w:noProof/>
          <w:lang w:val="fr-FR"/>
        </w:rPr>
        <w:t>’</w:t>
      </w:r>
      <w:r>
        <w:rPr>
          <w:noProof/>
          <w:lang w:val="fr-FR"/>
        </w:rPr>
        <w:t>État en terrorisant ou en mettant gravement en danger les populations ou en portant systématiquement et aveuglément atteinte aux droits fondamentaux de la population ou d</w:t>
      </w:r>
      <w:r w:rsidR="002A5D78">
        <w:rPr>
          <w:noProof/>
          <w:lang w:val="fr-FR"/>
        </w:rPr>
        <w:t>’</w:t>
      </w:r>
      <w:r>
        <w:rPr>
          <w:noProof/>
          <w:lang w:val="fr-FR"/>
        </w:rPr>
        <w:t xml:space="preserve">une partie de celle-ci sont réputées être des groupes terroristes. Lors de sa visite de 2018 en El Salvador, la Rapporteuse spéciale sur les exécutions extrajudiciaires, illégales ou arbitraires </w:t>
      </w:r>
      <w:r>
        <w:rPr>
          <w:noProof/>
          <w:lang w:val="fr-FR"/>
        </w:rPr>
        <w:lastRenderedPageBreak/>
        <w:t>a dénoncé dans ces mêmes groupes les principaux responsables des violations des droits de l</w:t>
      </w:r>
      <w:r w:rsidR="002A5D78">
        <w:rPr>
          <w:noProof/>
          <w:lang w:val="fr-FR"/>
        </w:rPr>
        <w:t>’</w:t>
      </w:r>
      <w:r>
        <w:rPr>
          <w:noProof/>
          <w:lang w:val="fr-FR"/>
        </w:rPr>
        <w:t xml:space="preserve">homme dans le pays. </w:t>
      </w:r>
    </w:p>
    <w:p w14:paraId="4AD8F25D" w14:textId="77777777" w:rsidR="00653B7F" w:rsidRDefault="00653B7F" w:rsidP="00653B7F">
      <w:pPr>
        <w:pStyle w:val="SingleTxtG"/>
        <w:rPr>
          <w:noProof/>
          <w:lang w:val="fr-FR"/>
        </w:rPr>
      </w:pPr>
      <w:r w:rsidRPr="00D02127">
        <w:rPr>
          <w:noProof/>
          <w:lang w:val="fr-FR"/>
        </w:rPr>
        <w:t>25.</w:t>
      </w:r>
      <w:r w:rsidRPr="00D02127">
        <w:rPr>
          <w:noProof/>
          <w:lang w:val="fr-FR"/>
        </w:rPr>
        <w:tab/>
      </w:r>
      <w:r>
        <w:rPr>
          <w:noProof/>
          <w:lang w:val="fr-FR"/>
        </w:rPr>
        <w:t xml:space="preserve">Les informations ci-après sont communiquées en réponse aux observations finales formulées par le Comité aux paragraphes 21 et 22 du document publié sous la cote </w:t>
      </w:r>
      <w:r w:rsidRPr="009C3AB1">
        <w:rPr>
          <w:noProof/>
        </w:rPr>
        <w:t>CAT/C/SLV/CO/2</w:t>
      </w:r>
      <w:r w:rsidR="007242E5">
        <w:rPr>
          <w:noProof/>
        </w:rPr>
        <w:t>.</w:t>
      </w:r>
    </w:p>
    <w:p w14:paraId="7FD6ADB4" w14:textId="77777777" w:rsidR="00653B7F" w:rsidRPr="009E136B" w:rsidRDefault="00653B7F" w:rsidP="009E136B">
      <w:pPr>
        <w:pStyle w:val="Titre1"/>
        <w:spacing w:after="120"/>
        <w:ind w:right="1134"/>
        <w:rPr>
          <w:b/>
          <w:bCs/>
          <w:noProof/>
          <w:lang w:val="fr-FR"/>
        </w:rPr>
      </w:pPr>
      <w:r w:rsidRPr="00F024C6">
        <w:t>Tableau</w:t>
      </w:r>
      <w:r w:rsidRPr="00A43FCB">
        <w:rPr>
          <w:noProof/>
          <w:lang w:val="fr-FR"/>
        </w:rPr>
        <w:t xml:space="preserve"> 1</w:t>
      </w:r>
      <w:r w:rsidR="00F024C6">
        <w:rPr>
          <w:noProof/>
          <w:lang w:val="fr-FR"/>
        </w:rPr>
        <w:br/>
      </w:r>
      <w:r w:rsidRPr="009E136B">
        <w:rPr>
          <w:b/>
          <w:bCs/>
          <w:noProof/>
          <w:lang w:val="fr-FR"/>
        </w:rPr>
        <w:t xml:space="preserve">Affaires traitées, affaires poursuivies et jugements portant condamnation </w:t>
      </w:r>
    </w:p>
    <w:tbl>
      <w:tblPr>
        <w:tblW w:w="7370" w:type="dxa"/>
        <w:tblInd w:w="1134" w:type="dxa"/>
        <w:tblLayout w:type="fixed"/>
        <w:tblCellMar>
          <w:left w:w="0" w:type="dxa"/>
          <w:right w:w="0" w:type="dxa"/>
        </w:tblCellMar>
        <w:tblLook w:val="04A0" w:firstRow="1" w:lastRow="0" w:firstColumn="1" w:lastColumn="0" w:noHBand="0" w:noVBand="1"/>
      </w:tblPr>
      <w:tblGrid>
        <w:gridCol w:w="1518"/>
        <w:gridCol w:w="1997"/>
        <w:gridCol w:w="2236"/>
        <w:gridCol w:w="1619"/>
      </w:tblGrid>
      <w:tr w:rsidR="00653B7F" w:rsidRPr="009E136B" w14:paraId="45876AB9" w14:textId="77777777" w:rsidTr="009E136B">
        <w:trPr>
          <w:tblHeader/>
        </w:trPr>
        <w:tc>
          <w:tcPr>
            <w:tcW w:w="171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D2BD03" w14:textId="77777777" w:rsidR="00653B7F" w:rsidRPr="009E136B" w:rsidRDefault="00653B7F" w:rsidP="009E136B">
            <w:pPr>
              <w:suppressAutoHyphens w:val="0"/>
              <w:spacing w:before="80" w:after="80" w:line="200" w:lineRule="exact"/>
              <w:rPr>
                <w:i/>
                <w:noProof/>
                <w:sz w:val="16"/>
                <w:lang w:val="fr-FR"/>
              </w:rPr>
            </w:pPr>
            <w:r w:rsidRPr="009E136B">
              <w:rPr>
                <w:i/>
                <w:noProof/>
                <w:sz w:val="16"/>
                <w:lang w:val="fr-FR"/>
              </w:rPr>
              <w:t>Année</w:t>
            </w:r>
          </w:p>
        </w:tc>
        <w:tc>
          <w:tcPr>
            <w:tcW w:w="22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4AA0836" w14:textId="77777777" w:rsidR="00653B7F" w:rsidRPr="009E136B" w:rsidRDefault="00653B7F" w:rsidP="009E136B">
            <w:pPr>
              <w:suppressAutoHyphens w:val="0"/>
              <w:spacing w:before="80" w:after="80" w:line="200" w:lineRule="exact"/>
              <w:jc w:val="right"/>
              <w:rPr>
                <w:i/>
                <w:noProof/>
                <w:sz w:val="16"/>
                <w:lang w:val="fr-FR"/>
              </w:rPr>
            </w:pPr>
            <w:r w:rsidRPr="009E136B">
              <w:rPr>
                <w:i/>
                <w:noProof/>
                <w:sz w:val="16"/>
                <w:lang w:val="fr-FR"/>
              </w:rPr>
              <w:t>Affaires traitées</w:t>
            </w:r>
          </w:p>
        </w:tc>
        <w:tc>
          <w:tcPr>
            <w:tcW w:w="25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A09DD94" w14:textId="77777777" w:rsidR="00653B7F" w:rsidRPr="009E136B" w:rsidRDefault="00653B7F" w:rsidP="009E136B">
            <w:pPr>
              <w:suppressAutoHyphens w:val="0"/>
              <w:spacing w:before="80" w:after="80" w:line="200" w:lineRule="exact"/>
              <w:jc w:val="right"/>
              <w:rPr>
                <w:i/>
                <w:noProof/>
                <w:sz w:val="16"/>
                <w:lang w:val="fr-FR"/>
              </w:rPr>
            </w:pPr>
            <w:r w:rsidRPr="009E136B">
              <w:rPr>
                <w:i/>
                <w:noProof/>
                <w:sz w:val="16"/>
                <w:lang w:val="fr-FR"/>
              </w:rPr>
              <w:t>Affaires poursuivies</w:t>
            </w:r>
          </w:p>
        </w:tc>
        <w:tc>
          <w:tcPr>
            <w:tcW w:w="18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7864811" w14:textId="77777777" w:rsidR="00653B7F" w:rsidRPr="009E136B" w:rsidRDefault="00653B7F" w:rsidP="009E136B">
            <w:pPr>
              <w:suppressAutoHyphens w:val="0"/>
              <w:spacing w:before="80" w:after="80" w:line="200" w:lineRule="exact"/>
              <w:jc w:val="right"/>
              <w:rPr>
                <w:i/>
                <w:noProof/>
                <w:sz w:val="16"/>
                <w:lang w:val="fr-FR"/>
              </w:rPr>
            </w:pPr>
            <w:r w:rsidRPr="009E136B">
              <w:rPr>
                <w:i/>
                <w:noProof/>
                <w:sz w:val="16"/>
                <w:lang w:val="fr-FR"/>
              </w:rPr>
              <w:t>Jugements portant condamnation</w:t>
            </w:r>
          </w:p>
        </w:tc>
      </w:tr>
      <w:tr w:rsidR="00653B7F" w:rsidRPr="009E136B" w14:paraId="7B45198D" w14:textId="77777777" w:rsidTr="009E136B">
        <w:tc>
          <w:tcPr>
            <w:tcW w:w="1710" w:type="dxa"/>
            <w:tcBorders>
              <w:top w:val="single" w:sz="12" w:space="0" w:color="auto"/>
            </w:tcBorders>
            <w:shd w:val="clear" w:color="auto" w:fill="auto"/>
            <w:tcMar>
              <w:top w:w="0" w:type="dxa"/>
              <w:left w:w="0" w:type="dxa"/>
              <w:bottom w:w="0" w:type="dxa"/>
              <w:right w:w="0" w:type="dxa"/>
            </w:tcMar>
          </w:tcPr>
          <w:p w14:paraId="77161E09"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2012</w:t>
            </w:r>
          </w:p>
        </w:tc>
        <w:tc>
          <w:tcPr>
            <w:tcW w:w="2250" w:type="dxa"/>
            <w:tcBorders>
              <w:top w:val="single" w:sz="12" w:space="0" w:color="auto"/>
            </w:tcBorders>
            <w:shd w:val="clear" w:color="auto" w:fill="auto"/>
            <w:tcMar>
              <w:top w:w="0" w:type="dxa"/>
              <w:left w:w="0" w:type="dxa"/>
              <w:bottom w:w="0" w:type="dxa"/>
              <w:right w:w="0" w:type="dxa"/>
            </w:tcMar>
            <w:vAlign w:val="bottom"/>
          </w:tcPr>
          <w:p w14:paraId="268B2F8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215</w:t>
            </w:r>
          </w:p>
        </w:tc>
        <w:tc>
          <w:tcPr>
            <w:tcW w:w="2520" w:type="dxa"/>
            <w:tcBorders>
              <w:top w:val="single" w:sz="12" w:space="0" w:color="auto"/>
            </w:tcBorders>
            <w:shd w:val="clear" w:color="auto" w:fill="auto"/>
            <w:tcMar>
              <w:top w:w="0" w:type="dxa"/>
              <w:left w:w="0" w:type="dxa"/>
              <w:bottom w:w="0" w:type="dxa"/>
              <w:right w:w="0" w:type="dxa"/>
            </w:tcMar>
            <w:vAlign w:val="bottom"/>
          </w:tcPr>
          <w:p w14:paraId="44AA925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w:t>
            </w:r>
          </w:p>
        </w:tc>
        <w:tc>
          <w:tcPr>
            <w:tcW w:w="1824" w:type="dxa"/>
            <w:tcBorders>
              <w:top w:val="single" w:sz="12" w:space="0" w:color="auto"/>
            </w:tcBorders>
            <w:shd w:val="clear" w:color="auto" w:fill="auto"/>
            <w:tcMar>
              <w:top w:w="0" w:type="dxa"/>
              <w:left w:w="0" w:type="dxa"/>
              <w:bottom w:w="0" w:type="dxa"/>
              <w:right w:w="0" w:type="dxa"/>
            </w:tcMar>
            <w:vAlign w:val="bottom"/>
          </w:tcPr>
          <w:p w14:paraId="5EBC5CE8"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w:t>
            </w:r>
          </w:p>
        </w:tc>
      </w:tr>
      <w:tr w:rsidR="00653B7F" w:rsidRPr="009E136B" w14:paraId="3216AE2C" w14:textId="77777777" w:rsidTr="009E136B">
        <w:tc>
          <w:tcPr>
            <w:tcW w:w="1710" w:type="dxa"/>
            <w:shd w:val="clear" w:color="auto" w:fill="auto"/>
            <w:tcMar>
              <w:top w:w="0" w:type="dxa"/>
              <w:left w:w="0" w:type="dxa"/>
              <w:bottom w:w="0" w:type="dxa"/>
              <w:right w:w="0" w:type="dxa"/>
            </w:tcMar>
          </w:tcPr>
          <w:p w14:paraId="24F23E4B"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2013</w:t>
            </w:r>
          </w:p>
        </w:tc>
        <w:tc>
          <w:tcPr>
            <w:tcW w:w="2250" w:type="dxa"/>
            <w:shd w:val="clear" w:color="auto" w:fill="auto"/>
            <w:tcMar>
              <w:top w:w="0" w:type="dxa"/>
              <w:left w:w="0" w:type="dxa"/>
              <w:bottom w:w="0" w:type="dxa"/>
              <w:right w:w="0" w:type="dxa"/>
            </w:tcMar>
            <w:vAlign w:val="bottom"/>
          </w:tcPr>
          <w:p w14:paraId="7C4C97B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545</w:t>
            </w:r>
          </w:p>
        </w:tc>
        <w:tc>
          <w:tcPr>
            <w:tcW w:w="2520" w:type="dxa"/>
            <w:shd w:val="clear" w:color="auto" w:fill="auto"/>
            <w:tcMar>
              <w:top w:w="0" w:type="dxa"/>
              <w:left w:w="0" w:type="dxa"/>
              <w:bottom w:w="0" w:type="dxa"/>
              <w:right w:w="0" w:type="dxa"/>
            </w:tcMar>
            <w:vAlign w:val="bottom"/>
          </w:tcPr>
          <w:p w14:paraId="21642FFA"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73</w:t>
            </w:r>
          </w:p>
        </w:tc>
        <w:tc>
          <w:tcPr>
            <w:tcW w:w="1824" w:type="dxa"/>
            <w:shd w:val="clear" w:color="auto" w:fill="auto"/>
            <w:tcMar>
              <w:top w:w="0" w:type="dxa"/>
              <w:left w:w="0" w:type="dxa"/>
              <w:bottom w:w="0" w:type="dxa"/>
              <w:right w:w="0" w:type="dxa"/>
            </w:tcMar>
            <w:vAlign w:val="bottom"/>
          </w:tcPr>
          <w:p w14:paraId="1B91592C"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21</w:t>
            </w:r>
          </w:p>
        </w:tc>
      </w:tr>
      <w:tr w:rsidR="00653B7F" w:rsidRPr="009E136B" w14:paraId="2172FE21" w14:textId="77777777" w:rsidTr="009E136B">
        <w:tc>
          <w:tcPr>
            <w:tcW w:w="1710" w:type="dxa"/>
            <w:shd w:val="clear" w:color="auto" w:fill="auto"/>
            <w:tcMar>
              <w:top w:w="0" w:type="dxa"/>
              <w:left w:w="0" w:type="dxa"/>
              <w:bottom w:w="0" w:type="dxa"/>
              <w:right w:w="0" w:type="dxa"/>
            </w:tcMar>
          </w:tcPr>
          <w:p w14:paraId="2B24A8E0"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2014</w:t>
            </w:r>
          </w:p>
        </w:tc>
        <w:tc>
          <w:tcPr>
            <w:tcW w:w="2250" w:type="dxa"/>
            <w:shd w:val="clear" w:color="auto" w:fill="auto"/>
            <w:tcMar>
              <w:top w:w="0" w:type="dxa"/>
              <w:left w:w="0" w:type="dxa"/>
              <w:bottom w:w="0" w:type="dxa"/>
              <w:right w:w="0" w:type="dxa"/>
            </w:tcMar>
            <w:vAlign w:val="bottom"/>
          </w:tcPr>
          <w:p w14:paraId="386F598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1 132</w:t>
            </w:r>
          </w:p>
        </w:tc>
        <w:tc>
          <w:tcPr>
            <w:tcW w:w="2520" w:type="dxa"/>
            <w:shd w:val="clear" w:color="auto" w:fill="auto"/>
            <w:tcMar>
              <w:top w:w="0" w:type="dxa"/>
              <w:left w:w="0" w:type="dxa"/>
              <w:bottom w:w="0" w:type="dxa"/>
              <w:right w:w="0" w:type="dxa"/>
            </w:tcMar>
            <w:vAlign w:val="bottom"/>
          </w:tcPr>
          <w:p w14:paraId="22C9E30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102</w:t>
            </w:r>
          </w:p>
        </w:tc>
        <w:tc>
          <w:tcPr>
            <w:tcW w:w="1824" w:type="dxa"/>
            <w:shd w:val="clear" w:color="auto" w:fill="auto"/>
            <w:tcMar>
              <w:top w:w="0" w:type="dxa"/>
              <w:left w:w="0" w:type="dxa"/>
              <w:bottom w:w="0" w:type="dxa"/>
              <w:right w:w="0" w:type="dxa"/>
            </w:tcMar>
            <w:vAlign w:val="bottom"/>
          </w:tcPr>
          <w:p w14:paraId="3616BD9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34</w:t>
            </w:r>
          </w:p>
        </w:tc>
      </w:tr>
      <w:tr w:rsidR="00653B7F" w:rsidRPr="009E136B" w14:paraId="07FFBD5D" w14:textId="77777777" w:rsidTr="009E136B">
        <w:tc>
          <w:tcPr>
            <w:tcW w:w="1710" w:type="dxa"/>
            <w:shd w:val="clear" w:color="auto" w:fill="auto"/>
            <w:tcMar>
              <w:top w:w="0" w:type="dxa"/>
              <w:left w:w="0" w:type="dxa"/>
              <w:bottom w:w="0" w:type="dxa"/>
              <w:right w:w="0" w:type="dxa"/>
            </w:tcMar>
          </w:tcPr>
          <w:p w14:paraId="538BF009"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2015</w:t>
            </w:r>
          </w:p>
        </w:tc>
        <w:tc>
          <w:tcPr>
            <w:tcW w:w="2250" w:type="dxa"/>
            <w:shd w:val="clear" w:color="auto" w:fill="auto"/>
            <w:tcMar>
              <w:top w:w="0" w:type="dxa"/>
              <w:left w:w="0" w:type="dxa"/>
              <w:bottom w:w="0" w:type="dxa"/>
              <w:right w:w="0" w:type="dxa"/>
            </w:tcMar>
            <w:vAlign w:val="bottom"/>
          </w:tcPr>
          <w:p w14:paraId="3A845E0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1 516</w:t>
            </w:r>
          </w:p>
        </w:tc>
        <w:tc>
          <w:tcPr>
            <w:tcW w:w="2520" w:type="dxa"/>
            <w:shd w:val="clear" w:color="auto" w:fill="auto"/>
            <w:tcMar>
              <w:top w:w="0" w:type="dxa"/>
              <w:left w:w="0" w:type="dxa"/>
              <w:bottom w:w="0" w:type="dxa"/>
              <w:right w:w="0" w:type="dxa"/>
            </w:tcMar>
            <w:vAlign w:val="bottom"/>
          </w:tcPr>
          <w:p w14:paraId="031783A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77</w:t>
            </w:r>
          </w:p>
        </w:tc>
        <w:tc>
          <w:tcPr>
            <w:tcW w:w="1824" w:type="dxa"/>
            <w:shd w:val="clear" w:color="auto" w:fill="auto"/>
            <w:tcMar>
              <w:top w:w="0" w:type="dxa"/>
              <w:left w:w="0" w:type="dxa"/>
              <w:bottom w:w="0" w:type="dxa"/>
              <w:right w:w="0" w:type="dxa"/>
            </w:tcMar>
            <w:vAlign w:val="bottom"/>
          </w:tcPr>
          <w:p w14:paraId="3821E94B"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48</w:t>
            </w:r>
          </w:p>
        </w:tc>
      </w:tr>
      <w:tr w:rsidR="00653B7F" w:rsidRPr="009E136B" w14:paraId="30245EF4" w14:textId="77777777" w:rsidTr="009E136B">
        <w:tc>
          <w:tcPr>
            <w:tcW w:w="1710" w:type="dxa"/>
            <w:shd w:val="clear" w:color="auto" w:fill="auto"/>
            <w:tcMar>
              <w:top w:w="0" w:type="dxa"/>
              <w:left w:w="0" w:type="dxa"/>
              <w:bottom w:w="0" w:type="dxa"/>
              <w:right w:w="0" w:type="dxa"/>
            </w:tcMar>
          </w:tcPr>
          <w:p w14:paraId="79105E77"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2016</w:t>
            </w:r>
          </w:p>
        </w:tc>
        <w:tc>
          <w:tcPr>
            <w:tcW w:w="2250" w:type="dxa"/>
            <w:shd w:val="clear" w:color="auto" w:fill="auto"/>
            <w:tcMar>
              <w:top w:w="0" w:type="dxa"/>
              <w:left w:w="0" w:type="dxa"/>
              <w:bottom w:w="0" w:type="dxa"/>
              <w:right w:w="0" w:type="dxa"/>
            </w:tcMar>
            <w:vAlign w:val="bottom"/>
          </w:tcPr>
          <w:p w14:paraId="0404F897"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2 078</w:t>
            </w:r>
          </w:p>
        </w:tc>
        <w:tc>
          <w:tcPr>
            <w:tcW w:w="2520" w:type="dxa"/>
            <w:shd w:val="clear" w:color="auto" w:fill="auto"/>
            <w:tcMar>
              <w:top w:w="0" w:type="dxa"/>
              <w:left w:w="0" w:type="dxa"/>
              <w:bottom w:w="0" w:type="dxa"/>
              <w:right w:w="0" w:type="dxa"/>
            </w:tcMar>
            <w:vAlign w:val="bottom"/>
          </w:tcPr>
          <w:p w14:paraId="4DC167FC"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136</w:t>
            </w:r>
          </w:p>
        </w:tc>
        <w:tc>
          <w:tcPr>
            <w:tcW w:w="1824" w:type="dxa"/>
            <w:shd w:val="clear" w:color="auto" w:fill="auto"/>
            <w:tcMar>
              <w:top w:w="0" w:type="dxa"/>
              <w:left w:w="0" w:type="dxa"/>
              <w:bottom w:w="0" w:type="dxa"/>
              <w:right w:w="0" w:type="dxa"/>
            </w:tcMar>
            <w:vAlign w:val="bottom"/>
          </w:tcPr>
          <w:p w14:paraId="0FBF120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48</w:t>
            </w:r>
          </w:p>
        </w:tc>
      </w:tr>
      <w:tr w:rsidR="00653B7F" w:rsidRPr="009E136B" w14:paraId="1F7587BB" w14:textId="77777777" w:rsidTr="009E136B">
        <w:tc>
          <w:tcPr>
            <w:tcW w:w="1710" w:type="dxa"/>
            <w:shd w:val="clear" w:color="auto" w:fill="auto"/>
            <w:tcMar>
              <w:top w:w="0" w:type="dxa"/>
              <w:left w:w="0" w:type="dxa"/>
              <w:bottom w:w="0" w:type="dxa"/>
              <w:right w:w="0" w:type="dxa"/>
            </w:tcMar>
          </w:tcPr>
          <w:p w14:paraId="7E5B957F"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2017</w:t>
            </w:r>
          </w:p>
        </w:tc>
        <w:tc>
          <w:tcPr>
            <w:tcW w:w="2250" w:type="dxa"/>
            <w:shd w:val="clear" w:color="auto" w:fill="auto"/>
            <w:tcMar>
              <w:top w:w="0" w:type="dxa"/>
              <w:left w:w="0" w:type="dxa"/>
              <w:bottom w:w="0" w:type="dxa"/>
              <w:right w:w="0" w:type="dxa"/>
            </w:tcMar>
            <w:vAlign w:val="bottom"/>
          </w:tcPr>
          <w:p w14:paraId="1A8327B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3 038</w:t>
            </w:r>
          </w:p>
        </w:tc>
        <w:tc>
          <w:tcPr>
            <w:tcW w:w="2520" w:type="dxa"/>
            <w:shd w:val="clear" w:color="auto" w:fill="auto"/>
            <w:tcMar>
              <w:top w:w="0" w:type="dxa"/>
              <w:left w:w="0" w:type="dxa"/>
              <w:bottom w:w="0" w:type="dxa"/>
              <w:right w:w="0" w:type="dxa"/>
            </w:tcMar>
            <w:vAlign w:val="bottom"/>
          </w:tcPr>
          <w:p w14:paraId="3496833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212</w:t>
            </w:r>
          </w:p>
        </w:tc>
        <w:tc>
          <w:tcPr>
            <w:tcW w:w="1824" w:type="dxa"/>
            <w:shd w:val="clear" w:color="auto" w:fill="auto"/>
            <w:tcMar>
              <w:top w:w="0" w:type="dxa"/>
              <w:left w:w="0" w:type="dxa"/>
              <w:bottom w:w="0" w:type="dxa"/>
              <w:right w:w="0" w:type="dxa"/>
            </w:tcMar>
            <w:vAlign w:val="bottom"/>
          </w:tcPr>
          <w:p w14:paraId="0D34037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61</w:t>
            </w:r>
          </w:p>
        </w:tc>
      </w:tr>
      <w:tr w:rsidR="00653B7F" w:rsidRPr="009E136B" w14:paraId="4F028366" w14:textId="77777777" w:rsidTr="009E136B">
        <w:tc>
          <w:tcPr>
            <w:tcW w:w="1710" w:type="dxa"/>
            <w:shd w:val="clear" w:color="auto" w:fill="auto"/>
            <w:tcMar>
              <w:top w:w="0" w:type="dxa"/>
              <w:left w:w="0" w:type="dxa"/>
              <w:bottom w:w="0" w:type="dxa"/>
              <w:right w:w="0" w:type="dxa"/>
            </w:tcMar>
          </w:tcPr>
          <w:p w14:paraId="7AE4DDCF"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2018</w:t>
            </w:r>
          </w:p>
        </w:tc>
        <w:tc>
          <w:tcPr>
            <w:tcW w:w="2250" w:type="dxa"/>
            <w:shd w:val="clear" w:color="auto" w:fill="auto"/>
            <w:tcMar>
              <w:top w:w="0" w:type="dxa"/>
              <w:left w:w="0" w:type="dxa"/>
              <w:bottom w:w="0" w:type="dxa"/>
              <w:right w:w="0" w:type="dxa"/>
            </w:tcMar>
            <w:vAlign w:val="bottom"/>
          </w:tcPr>
          <w:p w14:paraId="391E35FA"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4 452</w:t>
            </w:r>
          </w:p>
        </w:tc>
        <w:tc>
          <w:tcPr>
            <w:tcW w:w="2520" w:type="dxa"/>
            <w:shd w:val="clear" w:color="auto" w:fill="auto"/>
            <w:tcMar>
              <w:top w:w="0" w:type="dxa"/>
              <w:left w:w="0" w:type="dxa"/>
              <w:bottom w:w="0" w:type="dxa"/>
              <w:right w:w="0" w:type="dxa"/>
            </w:tcMar>
            <w:vAlign w:val="bottom"/>
          </w:tcPr>
          <w:p w14:paraId="5709815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315</w:t>
            </w:r>
          </w:p>
        </w:tc>
        <w:tc>
          <w:tcPr>
            <w:tcW w:w="1824" w:type="dxa"/>
            <w:shd w:val="clear" w:color="auto" w:fill="auto"/>
            <w:tcMar>
              <w:top w:w="0" w:type="dxa"/>
              <w:left w:w="0" w:type="dxa"/>
              <w:bottom w:w="0" w:type="dxa"/>
              <w:right w:w="0" w:type="dxa"/>
            </w:tcMar>
            <w:vAlign w:val="bottom"/>
          </w:tcPr>
          <w:p w14:paraId="22B32E4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85</w:t>
            </w:r>
          </w:p>
        </w:tc>
      </w:tr>
      <w:tr w:rsidR="00653B7F" w:rsidRPr="009E136B" w14:paraId="6BD30608" w14:textId="77777777" w:rsidTr="009E136B">
        <w:tc>
          <w:tcPr>
            <w:tcW w:w="1710" w:type="dxa"/>
            <w:tcBorders>
              <w:bottom w:val="single" w:sz="4" w:space="0" w:color="auto"/>
            </w:tcBorders>
            <w:shd w:val="clear" w:color="auto" w:fill="auto"/>
            <w:tcMar>
              <w:top w:w="0" w:type="dxa"/>
              <w:left w:w="0" w:type="dxa"/>
              <w:bottom w:w="0" w:type="dxa"/>
              <w:right w:w="0" w:type="dxa"/>
            </w:tcMar>
          </w:tcPr>
          <w:p w14:paraId="2E77CFB3"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Janvier-mars 2019</w:t>
            </w:r>
          </w:p>
        </w:tc>
        <w:tc>
          <w:tcPr>
            <w:tcW w:w="2250" w:type="dxa"/>
            <w:tcBorders>
              <w:bottom w:val="single" w:sz="4" w:space="0" w:color="auto"/>
            </w:tcBorders>
            <w:shd w:val="clear" w:color="auto" w:fill="auto"/>
            <w:tcMar>
              <w:top w:w="0" w:type="dxa"/>
              <w:left w:w="0" w:type="dxa"/>
              <w:bottom w:w="0" w:type="dxa"/>
              <w:right w:w="0" w:type="dxa"/>
            </w:tcMar>
            <w:vAlign w:val="bottom"/>
          </w:tcPr>
          <w:p w14:paraId="4567D23B"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971</w:t>
            </w:r>
          </w:p>
        </w:tc>
        <w:tc>
          <w:tcPr>
            <w:tcW w:w="2520" w:type="dxa"/>
            <w:tcBorders>
              <w:bottom w:val="single" w:sz="4" w:space="0" w:color="auto"/>
            </w:tcBorders>
            <w:shd w:val="clear" w:color="auto" w:fill="auto"/>
            <w:tcMar>
              <w:top w:w="0" w:type="dxa"/>
              <w:left w:w="0" w:type="dxa"/>
              <w:bottom w:w="0" w:type="dxa"/>
              <w:right w:w="0" w:type="dxa"/>
            </w:tcMar>
            <w:vAlign w:val="bottom"/>
          </w:tcPr>
          <w:p w14:paraId="3AF8F0DC"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86</w:t>
            </w:r>
          </w:p>
        </w:tc>
        <w:tc>
          <w:tcPr>
            <w:tcW w:w="1824" w:type="dxa"/>
            <w:tcBorders>
              <w:bottom w:val="single" w:sz="4" w:space="0" w:color="auto"/>
            </w:tcBorders>
            <w:shd w:val="clear" w:color="auto" w:fill="auto"/>
            <w:tcMar>
              <w:top w:w="0" w:type="dxa"/>
              <w:left w:w="0" w:type="dxa"/>
              <w:bottom w:w="0" w:type="dxa"/>
              <w:right w:w="0" w:type="dxa"/>
            </w:tcMar>
            <w:vAlign w:val="bottom"/>
          </w:tcPr>
          <w:p w14:paraId="7B3CF01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11</w:t>
            </w:r>
          </w:p>
        </w:tc>
      </w:tr>
      <w:tr w:rsidR="00653B7F" w:rsidRPr="009E136B" w14:paraId="2DF83E98" w14:textId="77777777" w:rsidTr="009E136B">
        <w:tc>
          <w:tcPr>
            <w:tcW w:w="1710" w:type="dxa"/>
            <w:tcBorders>
              <w:top w:val="single" w:sz="4" w:space="0" w:color="auto"/>
              <w:bottom w:val="single" w:sz="12" w:space="0" w:color="auto"/>
            </w:tcBorders>
            <w:shd w:val="clear" w:color="auto" w:fill="auto"/>
            <w:tcMar>
              <w:top w:w="0" w:type="dxa"/>
              <w:left w:w="0" w:type="dxa"/>
              <w:bottom w:w="0" w:type="dxa"/>
              <w:right w:w="0" w:type="dxa"/>
            </w:tcMar>
          </w:tcPr>
          <w:p w14:paraId="199B47EF" w14:textId="77777777" w:rsidR="00653B7F" w:rsidRPr="009E136B" w:rsidRDefault="00653B7F" w:rsidP="00407F8A">
            <w:pPr>
              <w:suppressAutoHyphens w:val="0"/>
              <w:spacing w:before="80" w:after="80" w:line="220" w:lineRule="exact"/>
              <w:ind w:left="284"/>
              <w:rPr>
                <w:b/>
                <w:noProof/>
                <w:sz w:val="18"/>
                <w:lang w:val="fr-FR"/>
              </w:rPr>
            </w:pPr>
            <w:r w:rsidRPr="009E136B">
              <w:rPr>
                <w:b/>
                <w:noProof/>
                <w:sz w:val="18"/>
                <w:lang w:val="fr-FR"/>
              </w:rPr>
              <w:t>Total</w:t>
            </w:r>
          </w:p>
        </w:tc>
        <w:tc>
          <w:tcPr>
            <w:tcW w:w="22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5236C5F" w14:textId="77777777" w:rsidR="00653B7F" w:rsidRPr="009E136B" w:rsidRDefault="00653B7F" w:rsidP="00407F8A">
            <w:pPr>
              <w:suppressAutoHyphens w:val="0"/>
              <w:spacing w:before="80" w:after="80" w:line="220" w:lineRule="exact"/>
              <w:jc w:val="right"/>
              <w:rPr>
                <w:b/>
                <w:noProof/>
                <w:sz w:val="18"/>
                <w:lang w:val="fr-FR"/>
              </w:rPr>
            </w:pPr>
            <w:r w:rsidRPr="009E136B">
              <w:rPr>
                <w:b/>
                <w:noProof/>
                <w:sz w:val="18"/>
                <w:lang w:val="fr-FR"/>
              </w:rPr>
              <w:t>13 947</w:t>
            </w:r>
          </w:p>
        </w:tc>
        <w:tc>
          <w:tcPr>
            <w:tcW w:w="25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015C77" w14:textId="77777777" w:rsidR="00653B7F" w:rsidRPr="009E136B" w:rsidRDefault="00653B7F" w:rsidP="00407F8A">
            <w:pPr>
              <w:suppressAutoHyphens w:val="0"/>
              <w:spacing w:before="80" w:after="80" w:line="220" w:lineRule="exact"/>
              <w:jc w:val="right"/>
              <w:rPr>
                <w:b/>
                <w:noProof/>
                <w:sz w:val="18"/>
                <w:lang w:val="fr-FR"/>
              </w:rPr>
            </w:pPr>
            <w:r w:rsidRPr="009E136B">
              <w:rPr>
                <w:b/>
                <w:noProof/>
                <w:sz w:val="18"/>
                <w:lang w:val="fr-FR"/>
              </w:rPr>
              <w:t>1 001</w:t>
            </w:r>
          </w:p>
        </w:tc>
        <w:tc>
          <w:tcPr>
            <w:tcW w:w="18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E45270F" w14:textId="77777777" w:rsidR="00653B7F" w:rsidRPr="009E136B" w:rsidRDefault="00653B7F" w:rsidP="00407F8A">
            <w:pPr>
              <w:suppressAutoHyphens w:val="0"/>
              <w:spacing w:before="80" w:after="80" w:line="220" w:lineRule="exact"/>
              <w:jc w:val="right"/>
              <w:rPr>
                <w:b/>
                <w:noProof/>
                <w:sz w:val="18"/>
                <w:lang w:val="fr-FR"/>
              </w:rPr>
            </w:pPr>
            <w:r w:rsidRPr="009E136B">
              <w:rPr>
                <w:b/>
                <w:noProof/>
                <w:sz w:val="18"/>
                <w:lang w:val="fr-FR"/>
              </w:rPr>
              <w:t>308</w:t>
            </w:r>
          </w:p>
        </w:tc>
      </w:tr>
    </w:tbl>
    <w:p w14:paraId="27862663" w14:textId="77777777" w:rsidR="00653B7F" w:rsidRPr="00A43FCB" w:rsidRDefault="00653B7F" w:rsidP="009E136B">
      <w:pPr>
        <w:pStyle w:val="Titre1"/>
        <w:spacing w:before="240" w:after="120"/>
        <w:rPr>
          <w:b/>
          <w:noProof/>
          <w:lang w:val="fr-FR"/>
        </w:rPr>
      </w:pPr>
      <w:r w:rsidRPr="009E136B">
        <w:t>Tableau</w:t>
      </w:r>
      <w:r w:rsidRPr="00A43FCB">
        <w:rPr>
          <w:noProof/>
          <w:lang w:val="fr-FR"/>
        </w:rPr>
        <w:t xml:space="preserve"> 2</w:t>
      </w:r>
      <w:r w:rsidR="009E136B">
        <w:rPr>
          <w:noProof/>
          <w:lang w:val="fr-FR"/>
        </w:rPr>
        <w:br/>
      </w:r>
      <w:r>
        <w:rPr>
          <w:b/>
          <w:noProof/>
          <w:lang w:val="fr-FR"/>
        </w:rPr>
        <w:t>Répartition des affaires selon la durée de la peine</w:t>
      </w:r>
    </w:p>
    <w:tbl>
      <w:tblPr>
        <w:tblW w:w="7370" w:type="dxa"/>
        <w:tblInd w:w="1134" w:type="dxa"/>
        <w:tblLayout w:type="fixed"/>
        <w:tblCellMar>
          <w:left w:w="0" w:type="dxa"/>
          <w:right w:w="0" w:type="dxa"/>
        </w:tblCellMar>
        <w:tblLook w:val="04A0" w:firstRow="1" w:lastRow="0" w:firstColumn="1" w:lastColumn="0" w:noHBand="0" w:noVBand="1"/>
      </w:tblPr>
      <w:tblGrid>
        <w:gridCol w:w="1864"/>
        <w:gridCol w:w="595"/>
        <w:gridCol w:w="646"/>
        <w:gridCol w:w="646"/>
        <w:gridCol w:w="646"/>
        <w:gridCol w:w="646"/>
        <w:gridCol w:w="646"/>
        <w:gridCol w:w="646"/>
        <w:gridCol w:w="1035"/>
      </w:tblGrid>
      <w:tr w:rsidR="00653B7F" w:rsidRPr="00DA2FB4" w14:paraId="7449A8B2" w14:textId="77777777" w:rsidTr="00530820">
        <w:trPr>
          <w:tblHeader/>
        </w:trPr>
        <w:tc>
          <w:tcPr>
            <w:tcW w:w="18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607B5D49" w14:textId="77777777" w:rsidR="00653B7F" w:rsidRPr="00DA2FB4" w:rsidRDefault="00653B7F" w:rsidP="00DA2FB4">
            <w:pPr>
              <w:suppressAutoHyphens w:val="0"/>
              <w:spacing w:before="80" w:after="80" w:line="200" w:lineRule="exact"/>
              <w:rPr>
                <w:i/>
                <w:noProof/>
                <w:sz w:val="16"/>
                <w:szCs w:val="16"/>
                <w:lang w:val="fr-FR"/>
              </w:rPr>
            </w:pPr>
            <w:r w:rsidRPr="00DA2FB4">
              <w:rPr>
                <w:i/>
                <w:noProof/>
                <w:sz w:val="16"/>
                <w:szCs w:val="16"/>
                <w:lang w:val="fr-FR"/>
              </w:rPr>
              <w:t>Durée de la peine</w:t>
            </w:r>
          </w:p>
        </w:tc>
        <w:tc>
          <w:tcPr>
            <w:tcW w:w="4471" w:type="dxa"/>
            <w:gridSpan w:val="7"/>
            <w:tcBorders>
              <w:top w:val="single" w:sz="4" w:space="0" w:color="auto"/>
              <w:bottom w:val="single" w:sz="4" w:space="0" w:color="auto"/>
            </w:tcBorders>
            <w:shd w:val="clear" w:color="auto" w:fill="auto"/>
            <w:tcMar>
              <w:top w:w="0" w:type="dxa"/>
              <w:left w:w="0" w:type="dxa"/>
              <w:bottom w:w="0" w:type="dxa"/>
              <w:right w:w="0" w:type="dxa"/>
            </w:tcMar>
            <w:vAlign w:val="bottom"/>
          </w:tcPr>
          <w:p w14:paraId="77B691A2" w14:textId="77777777" w:rsidR="00653B7F" w:rsidRPr="00DA2FB4" w:rsidRDefault="00653B7F" w:rsidP="007B1228">
            <w:pPr>
              <w:suppressAutoHyphens w:val="0"/>
              <w:spacing w:before="80" w:after="80" w:line="200" w:lineRule="exact"/>
              <w:jc w:val="center"/>
              <w:rPr>
                <w:i/>
                <w:noProof/>
                <w:sz w:val="16"/>
                <w:szCs w:val="16"/>
                <w:lang w:val="fr-FR"/>
              </w:rPr>
            </w:pPr>
            <w:r w:rsidRPr="00DA2FB4">
              <w:rPr>
                <w:i/>
                <w:noProof/>
                <w:sz w:val="16"/>
                <w:szCs w:val="16"/>
                <w:lang w:val="fr-FR"/>
              </w:rPr>
              <w:t>Année</w:t>
            </w:r>
          </w:p>
        </w:tc>
        <w:tc>
          <w:tcPr>
            <w:tcW w:w="103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31FDE512" w14:textId="77777777" w:rsidR="00653B7F" w:rsidRPr="00DA2FB4" w:rsidRDefault="00653B7F" w:rsidP="00DA2FB4">
            <w:pPr>
              <w:suppressAutoHyphens w:val="0"/>
              <w:spacing w:before="80" w:after="80" w:line="200" w:lineRule="exact"/>
              <w:jc w:val="right"/>
              <w:rPr>
                <w:b/>
                <w:bCs/>
                <w:i/>
                <w:noProof/>
                <w:sz w:val="16"/>
                <w:szCs w:val="16"/>
                <w:lang w:val="fr-FR"/>
              </w:rPr>
            </w:pPr>
            <w:r w:rsidRPr="00DA2FB4">
              <w:rPr>
                <w:b/>
                <w:bCs/>
                <w:i/>
                <w:noProof/>
                <w:sz w:val="16"/>
                <w:szCs w:val="16"/>
                <w:lang w:val="fr-FR"/>
              </w:rPr>
              <w:t>Total</w:t>
            </w:r>
          </w:p>
        </w:tc>
      </w:tr>
      <w:tr w:rsidR="00653B7F" w:rsidRPr="00DA2FB4" w14:paraId="352DB19F" w14:textId="77777777" w:rsidTr="00DA2FB4">
        <w:trPr>
          <w:tblHeader/>
        </w:trPr>
        <w:tc>
          <w:tcPr>
            <w:tcW w:w="1864" w:type="dxa"/>
            <w:vMerge/>
            <w:tcBorders>
              <w:top w:val="single" w:sz="12" w:space="0" w:color="auto"/>
              <w:bottom w:val="single" w:sz="12" w:space="0" w:color="auto"/>
            </w:tcBorders>
            <w:shd w:val="clear" w:color="auto" w:fill="auto"/>
            <w:vAlign w:val="bottom"/>
          </w:tcPr>
          <w:p w14:paraId="48D9A79B" w14:textId="77777777" w:rsidR="00653B7F" w:rsidRPr="00DA2FB4" w:rsidRDefault="00653B7F" w:rsidP="00DA2FB4">
            <w:pPr>
              <w:suppressAutoHyphens w:val="0"/>
              <w:spacing w:before="80" w:after="80" w:line="220" w:lineRule="exact"/>
              <w:rPr>
                <w:noProof/>
                <w:sz w:val="16"/>
                <w:szCs w:val="16"/>
                <w:lang w:val="fr-FR"/>
              </w:rPr>
            </w:pPr>
          </w:p>
        </w:tc>
        <w:tc>
          <w:tcPr>
            <w:tcW w:w="59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0FFB15C"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2013</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C43FE46"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2014</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77E93D3"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2015</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DFA0208"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2016</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B2CDAD3"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2017</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D3BC7A"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2018</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FF2567C" w14:textId="77777777" w:rsidR="00653B7F" w:rsidRPr="00DA2FB4" w:rsidRDefault="00653B7F" w:rsidP="00DA2FB4">
            <w:pPr>
              <w:suppressAutoHyphens w:val="0"/>
              <w:spacing w:before="80" w:after="80" w:line="220" w:lineRule="exact"/>
              <w:jc w:val="right"/>
              <w:rPr>
                <w:i/>
                <w:iCs/>
                <w:noProof/>
                <w:sz w:val="16"/>
                <w:szCs w:val="16"/>
                <w:lang w:val="fr-FR"/>
              </w:rPr>
            </w:pPr>
            <w:r w:rsidRPr="00DA2FB4">
              <w:rPr>
                <w:i/>
                <w:iCs/>
                <w:noProof/>
                <w:sz w:val="16"/>
                <w:szCs w:val="16"/>
                <w:lang w:val="fr-FR"/>
              </w:rPr>
              <w:t>2019</w:t>
            </w:r>
          </w:p>
        </w:tc>
        <w:tc>
          <w:tcPr>
            <w:tcW w:w="1035" w:type="dxa"/>
            <w:vMerge/>
            <w:tcBorders>
              <w:top w:val="single" w:sz="12" w:space="0" w:color="auto"/>
              <w:bottom w:val="single" w:sz="12" w:space="0" w:color="auto"/>
            </w:tcBorders>
            <w:shd w:val="clear" w:color="auto" w:fill="auto"/>
            <w:vAlign w:val="bottom"/>
          </w:tcPr>
          <w:p w14:paraId="5EEC956F" w14:textId="77777777" w:rsidR="00653B7F" w:rsidRPr="00DA2FB4" w:rsidRDefault="00653B7F" w:rsidP="00DA2FB4">
            <w:pPr>
              <w:suppressAutoHyphens w:val="0"/>
              <w:spacing w:before="80" w:after="80" w:line="220" w:lineRule="exact"/>
              <w:jc w:val="right"/>
              <w:rPr>
                <w:b/>
                <w:bCs/>
                <w:noProof/>
                <w:sz w:val="16"/>
                <w:szCs w:val="16"/>
                <w:lang w:val="fr-FR"/>
              </w:rPr>
            </w:pPr>
          </w:p>
        </w:tc>
      </w:tr>
      <w:tr w:rsidR="00653B7F" w:rsidRPr="009E136B" w14:paraId="184E49E6" w14:textId="77777777" w:rsidTr="00DA2FB4">
        <w:tc>
          <w:tcPr>
            <w:tcW w:w="1864" w:type="dxa"/>
            <w:tcBorders>
              <w:top w:val="single" w:sz="12" w:space="0" w:color="auto"/>
            </w:tcBorders>
            <w:shd w:val="clear" w:color="auto" w:fill="auto"/>
            <w:tcMar>
              <w:top w:w="0" w:type="dxa"/>
              <w:left w:w="0" w:type="dxa"/>
              <w:bottom w:w="0" w:type="dxa"/>
              <w:right w:w="0" w:type="dxa"/>
            </w:tcMar>
          </w:tcPr>
          <w:p w14:paraId="3503E2A0"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Jusqu</w:t>
            </w:r>
            <w:r w:rsidR="002A5D78">
              <w:rPr>
                <w:noProof/>
                <w:sz w:val="18"/>
                <w:lang w:val="fr-FR"/>
              </w:rPr>
              <w:t>’</w:t>
            </w:r>
            <w:r w:rsidRPr="009E136B">
              <w:rPr>
                <w:noProof/>
                <w:sz w:val="18"/>
                <w:lang w:val="fr-FR"/>
              </w:rPr>
              <w:t>à 5 ans</w:t>
            </w:r>
          </w:p>
        </w:tc>
        <w:tc>
          <w:tcPr>
            <w:tcW w:w="595" w:type="dxa"/>
            <w:tcBorders>
              <w:top w:val="single" w:sz="12" w:space="0" w:color="auto"/>
            </w:tcBorders>
            <w:shd w:val="clear" w:color="auto" w:fill="auto"/>
            <w:tcMar>
              <w:top w:w="0" w:type="dxa"/>
              <w:left w:w="0" w:type="dxa"/>
              <w:bottom w:w="0" w:type="dxa"/>
              <w:right w:w="0" w:type="dxa"/>
            </w:tcMar>
            <w:vAlign w:val="bottom"/>
          </w:tcPr>
          <w:p w14:paraId="7119E10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tcBorders>
              <w:top w:val="single" w:sz="12" w:space="0" w:color="auto"/>
            </w:tcBorders>
            <w:shd w:val="clear" w:color="auto" w:fill="auto"/>
            <w:tcMar>
              <w:top w:w="0" w:type="dxa"/>
              <w:left w:w="0" w:type="dxa"/>
              <w:bottom w:w="0" w:type="dxa"/>
              <w:right w:w="0" w:type="dxa"/>
            </w:tcMar>
            <w:vAlign w:val="bottom"/>
          </w:tcPr>
          <w:p w14:paraId="08D9A4C8"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tcBorders>
              <w:top w:val="single" w:sz="12" w:space="0" w:color="auto"/>
            </w:tcBorders>
            <w:shd w:val="clear" w:color="auto" w:fill="auto"/>
            <w:tcMar>
              <w:top w:w="0" w:type="dxa"/>
              <w:left w:w="0" w:type="dxa"/>
              <w:bottom w:w="0" w:type="dxa"/>
              <w:right w:w="0" w:type="dxa"/>
            </w:tcMar>
            <w:vAlign w:val="bottom"/>
          </w:tcPr>
          <w:p w14:paraId="20932FCD"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w:t>
            </w:r>
          </w:p>
        </w:tc>
        <w:tc>
          <w:tcPr>
            <w:tcW w:w="646" w:type="dxa"/>
            <w:tcBorders>
              <w:top w:val="single" w:sz="12" w:space="0" w:color="auto"/>
            </w:tcBorders>
            <w:shd w:val="clear" w:color="auto" w:fill="auto"/>
            <w:tcMar>
              <w:top w:w="0" w:type="dxa"/>
              <w:left w:w="0" w:type="dxa"/>
              <w:bottom w:w="0" w:type="dxa"/>
              <w:right w:w="0" w:type="dxa"/>
            </w:tcMar>
            <w:vAlign w:val="bottom"/>
          </w:tcPr>
          <w:p w14:paraId="499D8637"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9</w:t>
            </w:r>
          </w:p>
        </w:tc>
        <w:tc>
          <w:tcPr>
            <w:tcW w:w="646" w:type="dxa"/>
            <w:tcBorders>
              <w:top w:val="single" w:sz="12" w:space="0" w:color="auto"/>
            </w:tcBorders>
            <w:shd w:val="clear" w:color="auto" w:fill="auto"/>
            <w:tcMar>
              <w:top w:w="0" w:type="dxa"/>
              <w:left w:w="0" w:type="dxa"/>
              <w:bottom w:w="0" w:type="dxa"/>
              <w:right w:w="0" w:type="dxa"/>
            </w:tcMar>
            <w:vAlign w:val="bottom"/>
          </w:tcPr>
          <w:p w14:paraId="3B32D568"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13</w:t>
            </w:r>
          </w:p>
        </w:tc>
        <w:tc>
          <w:tcPr>
            <w:tcW w:w="646" w:type="dxa"/>
            <w:tcBorders>
              <w:top w:val="single" w:sz="12" w:space="0" w:color="auto"/>
            </w:tcBorders>
            <w:shd w:val="clear" w:color="auto" w:fill="auto"/>
            <w:tcMar>
              <w:top w:w="0" w:type="dxa"/>
              <w:left w:w="0" w:type="dxa"/>
              <w:bottom w:w="0" w:type="dxa"/>
              <w:right w:w="0" w:type="dxa"/>
            </w:tcMar>
            <w:vAlign w:val="bottom"/>
          </w:tcPr>
          <w:p w14:paraId="2831C01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18</w:t>
            </w:r>
          </w:p>
        </w:tc>
        <w:tc>
          <w:tcPr>
            <w:tcW w:w="646" w:type="dxa"/>
            <w:tcBorders>
              <w:top w:val="single" w:sz="12" w:space="0" w:color="auto"/>
            </w:tcBorders>
            <w:shd w:val="clear" w:color="auto" w:fill="auto"/>
            <w:tcMar>
              <w:top w:w="0" w:type="dxa"/>
              <w:left w:w="0" w:type="dxa"/>
              <w:bottom w:w="0" w:type="dxa"/>
              <w:right w:w="0" w:type="dxa"/>
            </w:tcMar>
            <w:vAlign w:val="bottom"/>
          </w:tcPr>
          <w:p w14:paraId="17A1F20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w:t>
            </w:r>
          </w:p>
        </w:tc>
        <w:tc>
          <w:tcPr>
            <w:tcW w:w="1035" w:type="dxa"/>
            <w:tcBorders>
              <w:top w:val="single" w:sz="12" w:space="0" w:color="auto"/>
            </w:tcBorders>
            <w:shd w:val="clear" w:color="auto" w:fill="auto"/>
            <w:tcMar>
              <w:top w:w="0" w:type="dxa"/>
              <w:left w:w="0" w:type="dxa"/>
              <w:bottom w:w="0" w:type="dxa"/>
              <w:right w:w="0" w:type="dxa"/>
            </w:tcMar>
            <w:vAlign w:val="bottom"/>
          </w:tcPr>
          <w:p w14:paraId="3ACE52E1"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45</w:t>
            </w:r>
          </w:p>
        </w:tc>
      </w:tr>
      <w:tr w:rsidR="00653B7F" w:rsidRPr="009E136B" w14:paraId="4ECC481B" w14:textId="77777777" w:rsidTr="00DA2FB4">
        <w:tc>
          <w:tcPr>
            <w:tcW w:w="1864" w:type="dxa"/>
            <w:shd w:val="clear" w:color="auto" w:fill="auto"/>
            <w:tcMar>
              <w:top w:w="0" w:type="dxa"/>
              <w:left w:w="0" w:type="dxa"/>
              <w:bottom w:w="0" w:type="dxa"/>
              <w:right w:w="0" w:type="dxa"/>
            </w:tcMar>
          </w:tcPr>
          <w:p w14:paraId="0E75ACF6"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5</w:t>
            </w:r>
            <w:r w:rsidR="00DA2FB4">
              <w:rPr>
                <w:noProof/>
                <w:sz w:val="18"/>
                <w:lang w:val="fr-FR"/>
              </w:rPr>
              <w:t>-</w:t>
            </w:r>
            <w:r w:rsidRPr="009E136B">
              <w:rPr>
                <w:noProof/>
                <w:sz w:val="18"/>
                <w:lang w:val="fr-FR"/>
              </w:rPr>
              <w:t>7,5 ans</w:t>
            </w:r>
          </w:p>
        </w:tc>
        <w:tc>
          <w:tcPr>
            <w:tcW w:w="595" w:type="dxa"/>
            <w:shd w:val="clear" w:color="auto" w:fill="auto"/>
            <w:tcMar>
              <w:top w:w="0" w:type="dxa"/>
              <w:left w:w="0" w:type="dxa"/>
              <w:bottom w:w="0" w:type="dxa"/>
              <w:right w:w="0" w:type="dxa"/>
            </w:tcMar>
            <w:vAlign w:val="bottom"/>
          </w:tcPr>
          <w:p w14:paraId="537919E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67E2B5A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7F5F137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w:t>
            </w:r>
          </w:p>
        </w:tc>
        <w:tc>
          <w:tcPr>
            <w:tcW w:w="646" w:type="dxa"/>
            <w:shd w:val="clear" w:color="auto" w:fill="auto"/>
            <w:tcMar>
              <w:top w:w="0" w:type="dxa"/>
              <w:left w:w="0" w:type="dxa"/>
              <w:bottom w:w="0" w:type="dxa"/>
              <w:right w:w="0" w:type="dxa"/>
            </w:tcMar>
            <w:vAlign w:val="bottom"/>
          </w:tcPr>
          <w:p w14:paraId="7D79BF19"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42A5156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w:t>
            </w:r>
          </w:p>
        </w:tc>
        <w:tc>
          <w:tcPr>
            <w:tcW w:w="646" w:type="dxa"/>
            <w:shd w:val="clear" w:color="auto" w:fill="auto"/>
            <w:tcMar>
              <w:top w:w="0" w:type="dxa"/>
              <w:left w:w="0" w:type="dxa"/>
              <w:bottom w:w="0" w:type="dxa"/>
              <w:right w:w="0" w:type="dxa"/>
            </w:tcMar>
            <w:vAlign w:val="bottom"/>
          </w:tcPr>
          <w:p w14:paraId="5232B282"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646" w:type="dxa"/>
            <w:shd w:val="clear" w:color="auto" w:fill="auto"/>
            <w:tcMar>
              <w:top w:w="0" w:type="dxa"/>
              <w:left w:w="0" w:type="dxa"/>
              <w:bottom w:w="0" w:type="dxa"/>
              <w:right w:w="0" w:type="dxa"/>
            </w:tcMar>
            <w:vAlign w:val="bottom"/>
          </w:tcPr>
          <w:p w14:paraId="7DF717DD"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1035" w:type="dxa"/>
            <w:shd w:val="clear" w:color="auto" w:fill="auto"/>
            <w:tcMar>
              <w:top w:w="0" w:type="dxa"/>
              <w:left w:w="0" w:type="dxa"/>
              <w:bottom w:w="0" w:type="dxa"/>
              <w:right w:w="0" w:type="dxa"/>
            </w:tcMar>
            <w:vAlign w:val="bottom"/>
          </w:tcPr>
          <w:p w14:paraId="0B5B760B"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6</w:t>
            </w:r>
          </w:p>
        </w:tc>
      </w:tr>
      <w:tr w:rsidR="00653B7F" w:rsidRPr="009E136B" w14:paraId="77B96607" w14:textId="77777777" w:rsidTr="00DA2FB4">
        <w:tc>
          <w:tcPr>
            <w:tcW w:w="1864" w:type="dxa"/>
            <w:shd w:val="clear" w:color="auto" w:fill="auto"/>
            <w:tcMar>
              <w:top w:w="0" w:type="dxa"/>
              <w:left w:w="0" w:type="dxa"/>
              <w:bottom w:w="0" w:type="dxa"/>
              <w:right w:w="0" w:type="dxa"/>
            </w:tcMar>
          </w:tcPr>
          <w:p w14:paraId="0DF711EC"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7,5</w:t>
            </w:r>
            <w:r w:rsidR="00DA2FB4">
              <w:rPr>
                <w:noProof/>
                <w:sz w:val="18"/>
                <w:lang w:val="fr-FR"/>
              </w:rPr>
              <w:t>-</w:t>
            </w:r>
            <w:r w:rsidRPr="009E136B">
              <w:rPr>
                <w:noProof/>
                <w:sz w:val="18"/>
                <w:lang w:val="fr-FR"/>
              </w:rPr>
              <w:t>10 ans</w:t>
            </w:r>
          </w:p>
        </w:tc>
        <w:tc>
          <w:tcPr>
            <w:tcW w:w="595" w:type="dxa"/>
            <w:shd w:val="clear" w:color="auto" w:fill="auto"/>
            <w:tcMar>
              <w:top w:w="0" w:type="dxa"/>
              <w:left w:w="0" w:type="dxa"/>
              <w:bottom w:w="0" w:type="dxa"/>
              <w:right w:w="0" w:type="dxa"/>
            </w:tcMar>
            <w:vAlign w:val="bottom"/>
          </w:tcPr>
          <w:p w14:paraId="5A77439B"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2C6965FB"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627A0B6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w:t>
            </w:r>
          </w:p>
        </w:tc>
        <w:tc>
          <w:tcPr>
            <w:tcW w:w="646" w:type="dxa"/>
            <w:shd w:val="clear" w:color="auto" w:fill="auto"/>
            <w:tcMar>
              <w:top w:w="0" w:type="dxa"/>
              <w:left w:w="0" w:type="dxa"/>
              <w:bottom w:w="0" w:type="dxa"/>
              <w:right w:w="0" w:type="dxa"/>
            </w:tcMar>
            <w:vAlign w:val="bottom"/>
          </w:tcPr>
          <w:p w14:paraId="7F14314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w:t>
            </w:r>
          </w:p>
        </w:tc>
        <w:tc>
          <w:tcPr>
            <w:tcW w:w="646" w:type="dxa"/>
            <w:shd w:val="clear" w:color="auto" w:fill="auto"/>
            <w:tcMar>
              <w:top w:w="0" w:type="dxa"/>
              <w:left w:w="0" w:type="dxa"/>
              <w:bottom w:w="0" w:type="dxa"/>
              <w:right w:w="0" w:type="dxa"/>
            </w:tcMar>
            <w:vAlign w:val="bottom"/>
          </w:tcPr>
          <w:p w14:paraId="44B2655A"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w:t>
            </w:r>
          </w:p>
        </w:tc>
        <w:tc>
          <w:tcPr>
            <w:tcW w:w="646" w:type="dxa"/>
            <w:shd w:val="clear" w:color="auto" w:fill="auto"/>
            <w:tcMar>
              <w:top w:w="0" w:type="dxa"/>
              <w:left w:w="0" w:type="dxa"/>
              <w:bottom w:w="0" w:type="dxa"/>
              <w:right w:w="0" w:type="dxa"/>
            </w:tcMar>
            <w:vAlign w:val="bottom"/>
          </w:tcPr>
          <w:p w14:paraId="0AE70657"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w:t>
            </w:r>
          </w:p>
        </w:tc>
        <w:tc>
          <w:tcPr>
            <w:tcW w:w="646" w:type="dxa"/>
            <w:shd w:val="clear" w:color="auto" w:fill="auto"/>
            <w:tcMar>
              <w:top w:w="0" w:type="dxa"/>
              <w:left w:w="0" w:type="dxa"/>
              <w:bottom w:w="0" w:type="dxa"/>
              <w:right w:w="0" w:type="dxa"/>
            </w:tcMar>
            <w:vAlign w:val="bottom"/>
          </w:tcPr>
          <w:p w14:paraId="5BEAE682"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1035" w:type="dxa"/>
            <w:shd w:val="clear" w:color="auto" w:fill="auto"/>
            <w:tcMar>
              <w:top w:w="0" w:type="dxa"/>
              <w:left w:w="0" w:type="dxa"/>
              <w:bottom w:w="0" w:type="dxa"/>
              <w:right w:w="0" w:type="dxa"/>
            </w:tcMar>
            <w:vAlign w:val="bottom"/>
          </w:tcPr>
          <w:p w14:paraId="5D99FE30"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9</w:t>
            </w:r>
          </w:p>
        </w:tc>
      </w:tr>
      <w:tr w:rsidR="00653B7F" w:rsidRPr="009E136B" w14:paraId="2331C89B" w14:textId="77777777" w:rsidTr="00DA2FB4">
        <w:tc>
          <w:tcPr>
            <w:tcW w:w="1864" w:type="dxa"/>
            <w:shd w:val="clear" w:color="auto" w:fill="auto"/>
            <w:tcMar>
              <w:top w:w="0" w:type="dxa"/>
              <w:left w:w="0" w:type="dxa"/>
              <w:bottom w:w="0" w:type="dxa"/>
              <w:right w:w="0" w:type="dxa"/>
            </w:tcMar>
          </w:tcPr>
          <w:p w14:paraId="1E8C1EA5"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10</w:t>
            </w:r>
            <w:r w:rsidR="00DA2FB4">
              <w:rPr>
                <w:noProof/>
                <w:sz w:val="18"/>
                <w:lang w:val="fr-FR"/>
              </w:rPr>
              <w:t>-</w:t>
            </w:r>
            <w:r w:rsidRPr="009E136B">
              <w:rPr>
                <w:noProof/>
                <w:sz w:val="18"/>
                <w:lang w:val="fr-FR"/>
              </w:rPr>
              <w:t>15 ans</w:t>
            </w:r>
          </w:p>
        </w:tc>
        <w:tc>
          <w:tcPr>
            <w:tcW w:w="595" w:type="dxa"/>
            <w:shd w:val="clear" w:color="auto" w:fill="auto"/>
            <w:tcMar>
              <w:top w:w="0" w:type="dxa"/>
              <w:left w:w="0" w:type="dxa"/>
              <w:bottom w:w="0" w:type="dxa"/>
              <w:right w:w="0" w:type="dxa"/>
            </w:tcMar>
            <w:vAlign w:val="bottom"/>
          </w:tcPr>
          <w:p w14:paraId="00805C6A"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5765F20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7D02ADC3"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646" w:type="dxa"/>
            <w:shd w:val="clear" w:color="auto" w:fill="auto"/>
            <w:tcMar>
              <w:top w:w="0" w:type="dxa"/>
              <w:left w:w="0" w:type="dxa"/>
              <w:bottom w:w="0" w:type="dxa"/>
              <w:right w:w="0" w:type="dxa"/>
            </w:tcMar>
            <w:vAlign w:val="bottom"/>
          </w:tcPr>
          <w:p w14:paraId="6AD1187C"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w:t>
            </w:r>
          </w:p>
        </w:tc>
        <w:tc>
          <w:tcPr>
            <w:tcW w:w="646" w:type="dxa"/>
            <w:shd w:val="clear" w:color="auto" w:fill="auto"/>
            <w:tcMar>
              <w:top w:w="0" w:type="dxa"/>
              <w:left w:w="0" w:type="dxa"/>
              <w:bottom w:w="0" w:type="dxa"/>
              <w:right w:w="0" w:type="dxa"/>
            </w:tcMar>
            <w:vAlign w:val="bottom"/>
          </w:tcPr>
          <w:p w14:paraId="72A5369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4</w:t>
            </w:r>
          </w:p>
        </w:tc>
        <w:tc>
          <w:tcPr>
            <w:tcW w:w="646" w:type="dxa"/>
            <w:shd w:val="clear" w:color="auto" w:fill="auto"/>
            <w:tcMar>
              <w:top w:w="0" w:type="dxa"/>
              <w:left w:w="0" w:type="dxa"/>
              <w:bottom w:w="0" w:type="dxa"/>
              <w:right w:w="0" w:type="dxa"/>
            </w:tcMar>
            <w:vAlign w:val="bottom"/>
          </w:tcPr>
          <w:p w14:paraId="472D490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646" w:type="dxa"/>
            <w:shd w:val="clear" w:color="auto" w:fill="auto"/>
            <w:tcMar>
              <w:top w:w="0" w:type="dxa"/>
              <w:left w:w="0" w:type="dxa"/>
              <w:bottom w:w="0" w:type="dxa"/>
              <w:right w:w="0" w:type="dxa"/>
            </w:tcMar>
            <w:vAlign w:val="bottom"/>
          </w:tcPr>
          <w:p w14:paraId="2F586917"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1035" w:type="dxa"/>
            <w:shd w:val="clear" w:color="auto" w:fill="auto"/>
            <w:tcMar>
              <w:top w:w="0" w:type="dxa"/>
              <w:left w:w="0" w:type="dxa"/>
              <w:bottom w:w="0" w:type="dxa"/>
              <w:right w:w="0" w:type="dxa"/>
            </w:tcMar>
            <w:vAlign w:val="bottom"/>
          </w:tcPr>
          <w:p w14:paraId="6DC46A60"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14</w:t>
            </w:r>
          </w:p>
        </w:tc>
      </w:tr>
      <w:tr w:rsidR="00653B7F" w:rsidRPr="009E136B" w14:paraId="6A76BA47" w14:textId="77777777" w:rsidTr="00DA2FB4">
        <w:tc>
          <w:tcPr>
            <w:tcW w:w="1864" w:type="dxa"/>
            <w:shd w:val="clear" w:color="auto" w:fill="auto"/>
            <w:tcMar>
              <w:top w:w="0" w:type="dxa"/>
              <w:left w:w="0" w:type="dxa"/>
              <w:bottom w:w="0" w:type="dxa"/>
              <w:right w:w="0" w:type="dxa"/>
            </w:tcMar>
          </w:tcPr>
          <w:p w14:paraId="47E9B328"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15</w:t>
            </w:r>
            <w:r w:rsidR="00DA2FB4">
              <w:rPr>
                <w:noProof/>
                <w:sz w:val="18"/>
                <w:lang w:val="fr-FR"/>
              </w:rPr>
              <w:t>-</w:t>
            </w:r>
            <w:r w:rsidRPr="009E136B">
              <w:rPr>
                <w:noProof/>
                <w:sz w:val="18"/>
                <w:lang w:val="fr-FR"/>
              </w:rPr>
              <w:t>20 ans</w:t>
            </w:r>
          </w:p>
        </w:tc>
        <w:tc>
          <w:tcPr>
            <w:tcW w:w="595" w:type="dxa"/>
            <w:shd w:val="clear" w:color="auto" w:fill="auto"/>
            <w:tcMar>
              <w:top w:w="0" w:type="dxa"/>
              <w:left w:w="0" w:type="dxa"/>
              <w:bottom w:w="0" w:type="dxa"/>
              <w:right w:w="0" w:type="dxa"/>
            </w:tcMar>
            <w:vAlign w:val="bottom"/>
          </w:tcPr>
          <w:p w14:paraId="6B8ADEF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4999B1D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2848001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6D381F4F"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1D16194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w:t>
            </w:r>
          </w:p>
        </w:tc>
        <w:tc>
          <w:tcPr>
            <w:tcW w:w="646" w:type="dxa"/>
            <w:shd w:val="clear" w:color="auto" w:fill="auto"/>
            <w:tcMar>
              <w:top w:w="0" w:type="dxa"/>
              <w:left w:w="0" w:type="dxa"/>
              <w:bottom w:w="0" w:type="dxa"/>
              <w:right w:w="0" w:type="dxa"/>
            </w:tcMar>
            <w:vAlign w:val="bottom"/>
          </w:tcPr>
          <w:p w14:paraId="73D585B2"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6176FEFD"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w:t>
            </w:r>
          </w:p>
        </w:tc>
        <w:tc>
          <w:tcPr>
            <w:tcW w:w="1035" w:type="dxa"/>
            <w:shd w:val="clear" w:color="auto" w:fill="auto"/>
            <w:tcMar>
              <w:top w:w="0" w:type="dxa"/>
              <w:left w:w="0" w:type="dxa"/>
              <w:bottom w:w="0" w:type="dxa"/>
              <w:right w:w="0" w:type="dxa"/>
            </w:tcMar>
            <w:vAlign w:val="bottom"/>
          </w:tcPr>
          <w:p w14:paraId="2D211D88"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2</w:t>
            </w:r>
          </w:p>
        </w:tc>
      </w:tr>
      <w:tr w:rsidR="00653B7F" w:rsidRPr="009E136B" w14:paraId="7CB5A69F" w14:textId="77777777" w:rsidTr="00DA2FB4">
        <w:tc>
          <w:tcPr>
            <w:tcW w:w="1864" w:type="dxa"/>
            <w:shd w:val="clear" w:color="auto" w:fill="auto"/>
            <w:tcMar>
              <w:top w:w="0" w:type="dxa"/>
              <w:left w:w="0" w:type="dxa"/>
              <w:bottom w:w="0" w:type="dxa"/>
              <w:right w:w="0" w:type="dxa"/>
            </w:tcMar>
          </w:tcPr>
          <w:p w14:paraId="67D527C2"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20</w:t>
            </w:r>
            <w:r w:rsidR="00DA2FB4">
              <w:rPr>
                <w:noProof/>
                <w:sz w:val="18"/>
                <w:lang w:val="fr-FR"/>
              </w:rPr>
              <w:t>-</w:t>
            </w:r>
            <w:r w:rsidRPr="009E136B">
              <w:rPr>
                <w:noProof/>
                <w:sz w:val="18"/>
                <w:lang w:val="fr-FR"/>
              </w:rPr>
              <w:t>40 ans</w:t>
            </w:r>
          </w:p>
        </w:tc>
        <w:tc>
          <w:tcPr>
            <w:tcW w:w="595" w:type="dxa"/>
            <w:shd w:val="clear" w:color="auto" w:fill="auto"/>
            <w:tcMar>
              <w:top w:w="0" w:type="dxa"/>
              <w:left w:w="0" w:type="dxa"/>
              <w:bottom w:w="0" w:type="dxa"/>
              <w:right w:w="0" w:type="dxa"/>
            </w:tcMar>
            <w:vAlign w:val="bottom"/>
          </w:tcPr>
          <w:p w14:paraId="776321E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31179DDD"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720FFB2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7</w:t>
            </w:r>
          </w:p>
        </w:tc>
        <w:tc>
          <w:tcPr>
            <w:tcW w:w="646" w:type="dxa"/>
            <w:shd w:val="clear" w:color="auto" w:fill="auto"/>
            <w:tcMar>
              <w:top w:w="0" w:type="dxa"/>
              <w:left w:w="0" w:type="dxa"/>
              <w:bottom w:w="0" w:type="dxa"/>
              <w:right w:w="0" w:type="dxa"/>
            </w:tcMar>
            <w:vAlign w:val="bottom"/>
          </w:tcPr>
          <w:p w14:paraId="6A2204A4"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9</w:t>
            </w:r>
          </w:p>
        </w:tc>
        <w:tc>
          <w:tcPr>
            <w:tcW w:w="646" w:type="dxa"/>
            <w:shd w:val="clear" w:color="auto" w:fill="auto"/>
            <w:tcMar>
              <w:top w:w="0" w:type="dxa"/>
              <w:left w:w="0" w:type="dxa"/>
              <w:bottom w:w="0" w:type="dxa"/>
              <w:right w:w="0" w:type="dxa"/>
            </w:tcMar>
            <w:vAlign w:val="bottom"/>
          </w:tcPr>
          <w:p w14:paraId="3618F7E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w:t>
            </w:r>
          </w:p>
        </w:tc>
        <w:tc>
          <w:tcPr>
            <w:tcW w:w="646" w:type="dxa"/>
            <w:shd w:val="clear" w:color="auto" w:fill="auto"/>
            <w:tcMar>
              <w:top w:w="0" w:type="dxa"/>
              <w:left w:w="0" w:type="dxa"/>
              <w:bottom w:w="0" w:type="dxa"/>
              <w:right w:w="0" w:type="dxa"/>
            </w:tcMar>
            <w:vAlign w:val="bottom"/>
          </w:tcPr>
          <w:p w14:paraId="76EAF0B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17</w:t>
            </w:r>
          </w:p>
        </w:tc>
        <w:tc>
          <w:tcPr>
            <w:tcW w:w="646" w:type="dxa"/>
            <w:shd w:val="clear" w:color="auto" w:fill="auto"/>
            <w:tcMar>
              <w:top w:w="0" w:type="dxa"/>
              <w:left w:w="0" w:type="dxa"/>
              <w:bottom w:w="0" w:type="dxa"/>
              <w:right w:w="0" w:type="dxa"/>
            </w:tcMar>
            <w:vAlign w:val="bottom"/>
          </w:tcPr>
          <w:p w14:paraId="2E22A01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1035" w:type="dxa"/>
            <w:shd w:val="clear" w:color="auto" w:fill="auto"/>
            <w:tcMar>
              <w:top w:w="0" w:type="dxa"/>
              <w:left w:w="0" w:type="dxa"/>
              <w:bottom w:w="0" w:type="dxa"/>
              <w:right w:w="0" w:type="dxa"/>
            </w:tcMar>
            <w:vAlign w:val="bottom"/>
          </w:tcPr>
          <w:p w14:paraId="01643799"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37</w:t>
            </w:r>
          </w:p>
        </w:tc>
      </w:tr>
      <w:tr w:rsidR="00653B7F" w:rsidRPr="009E136B" w14:paraId="22FE02B9" w14:textId="77777777" w:rsidTr="00DA2FB4">
        <w:tc>
          <w:tcPr>
            <w:tcW w:w="1864" w:type="dxa"/>
            <w:shd w:val="clear" w:color="auto" w:fill="auto"/>
            <w:tcMar>
              <w:top w:w="0" w:type="dxa"/>
              <w:left w:w="0" w:type="dxa"/>
              <w:bottom w:w="0" w:type="dxa"/>
              <w:right w:w="0" w:type="dxa"/>
            </w:tcMar>
          </w:tcPr>
          <w:p w14:paraId="5FC60AE3"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Plus de 40 ans</w:t>
            </w:r>
          </w:p>
        </w:tc>
        <w:tc>
          <w:tcPr>
            <w:tcW w:w="595" w:type="dxa"/>
            <w:shd w:val="clear" w:color="auto" w:fill="auto"/>
            <w:tcMar>
              <w:top w:w="0" w:type="dxa"/>
              <w:left w:w="0" w:type="dxa"/>
              <w:bottom w:w="0" w:type="dxa"/>
              <w:right w:w="0" w:type="dxa"/>
            </w:tcMar>
            <w:vAlign w:val="bottom"/>
          </w:tcPr>
          <w:p w14:paraId="4B9C85D9"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4EC7B87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646" w:type="dxa"/>
            <w:shd w:val="clear" w:color="auto" w:fill="auto"/>
            <w:tcMar>
              <w:top w:w="0" w:type="dxa"/>
              <w:left w:w="0" w:type="dxa"/>
              <w:bottom w:w="0" w:type="dxa"/>
              <w:right w:w="0" w:type="dxa"/>
            </w:tcMar>
            <w:vAlign w:val="bottom"/>
          </w:tcPr>
          <w:p w14:paraId="5EFB7C06"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646" w:type="dxa"/>
            <w:shd w:val="clear" w:color="auto" w:fill="auto"/>
            <w:tcMar>
              <w:top w:w="0" w:type="dxa"/>
              <w:left w:w="0" w:type="dxa"/>
              <w:bottom w:w="0" w:type="dxa"/>
              <w:right w:w="0" w:type="dxa"/>
            </w:tcMar>
            <w:vAlign w:val="bottom"/>
          </w:tcPr>
          <w:p w14:paraId="70D1DC2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646" w:type="dxa"/>
            <w:shd w:val="clear" w:color="auto" w:fill="auto"/>
            <w:tcMar>
              <w:top w:w="0" w:type="dxa"/>
              <w:left w:w="0" w:type="dxa"/>
              <w:bottom w:w="0" w:type="dxa"/>
              <w:right w:w="0" w:type="dxa"/>
            </w:tcMar>
            <w:vAlign w:val="bottom"/>
          </w:tcPr>
          <w:p w14:paraId="3DF6B1AF"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5</w:t>
            </w:r>
          </w:p>
        </w:tc>
        <w:tc>
          <w:tcPr>
            <w:tcW w:w="646" w:type="dxa"/>
            <w:shd w:val="clear" w:color="auto" w:fill="auto"/>
            <w:tcMar>
              <w:top w:w="0" w:type="dxa"/>
              <w:left w:w="0" w:type="dxa"/>
              <w:bottom w:w="0" w:type="dxa"/>
              <w:right w:w="0" w:type="dxa"/>
            </w:tcMar>
            <w:vAlign w:val="bottom"/>
          </w:tcPr>
          <w:p w14:paraId="3C0B5C5E"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w:t>
            </w:r>
          </w:p>
        </w:tc>
        <w:tc>
          <w:tcPr>
            <w:tcW w:w="646" w:type="dxa"/>
            <w:shd w:val="clear" w:color="auto" w:fill="auto"/>
            <w:tcMar>
              <w:top w:w="0" w:type="dxa"/>
              <w:left w:w="0" w:type="dxa"/>
              <w:bottom w:w="0" w:type="dxa"/>
              <w:right w:w="0" w:type="dxa"/>
            </w:tcMar>
            <w:vAlign w:val="bottom"/>
          </w:tcPr>
          <w:p w14:paraId="1AE35B2A"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0</w:t>
            </w:r>
          </w:p>
        </w:tc>
        <w:tc>
          <w:tcPr>
            <w:tcW w:w="1035" w:type="dxa"/>
            <w:shd w:val="clear" w:color="auto" w:fill="auto"/>
            <w:tcMar>
              <w:top w:w="0" w:type="dxa"/>
              <w:left w:w="0" w:type="dxa"/>
              <w:bottom w:w="0" w:type="dxa"/>
              <w:right w:w="0" w:type="dxa"/>
            </w:tcMar>
            <w:vAlign w:val="bottom"/>
          </w:tcPr>
          <w:p w14:paraId="1F2D2C02"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14</w:t>
            </w:r>
          </w:p>
        </w:tc>
      </w:tr>
      <w:tr w:rsidR="00653B7F" w:rsidRPr="009E136B" w14:paraId="440E1449" w14:textId="77777777" w:rsidTr="00DA2FB4">
        <w:tc>
          <w:tcPr>
            <w:tcW w:w="1864" w:type="dxa"/>
            <w:tcBorders>
              <w:bottom w:val="single" w:sz="4" w:space="0" w:color="auto"/>
            </w:tcBorders>
            <w:shd w:val="clear" w:color="auto" w:fill="auto"/>
            <w:tcMar>
              <w:top w:w="0" w:type="dxa"/>
              <w:left w:w="0" w:type="dxa"/>
              <w:bottom w:w="0" w:type="dxa"/>
              <w:right w:w="0" w:type="dxa"/>
            </w:tcMar>
          </w:tcPr>
          <w:p w14:paraId="05BB3D51" w14:textId="77777777" w:rsidR="00653B7F" w:rsidRPr="009E136B" w:rsidRDefault="00653B7F" w:rsidP="009E136B">
            <w:pPr>
              <w:suppressAutoHyphens w:val="0"/>
              <w:spacing w:before="40" w:after="40" w:line="220" w:lineRule="exact"/>
              <w:rPr>
                <w:noProof/>
                <w:sz w:val="18"/>
                <w:lang w:val="fr-FR"/>
              </w:rPr>
            </w:pPr>
            <w:r w:rsidRPr="009E136B">
              <w:rPr>
                <w:noProof/>
                <w:sz w:val="18"/>
                <w:lang w:val="fr-FR"/>
              </w:rPr>
              <w:t>Non disponible</w:t>
            </w:r>
          </w:p>
        </w:tc>
        <w:tc>
          <w:tcPr>
            <w:tcW w:w="595" w:type="dxa"/>
            <w:tcBorders>
              <w:bottom w:val="single" w:sz="4" w:space="0" w:color="auto"/>
            </w:tcBorders>
            <w:shd w:val="clear" w:color="auto" w:fill="auto"/>
            <w:tcMar>
              <w:top w:w="0" w:type="dxa"/>
              <w:left w:w="0" w:type="dxa"/>
              <w:bottom w:w="0" w:type="dxa"/>
              <w:right w:w="0" w:type="dxa"/>
            </w:tcMar>
            <w:vAlign w:val="bottom"/>
          </w:tcPr>
          <w:p w14:paraId="7B2BF230"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21</w:t>
            </w:r>
          </w:p>
        </w:tc>
        <w:tc>
          <w:tcPr>
            <w:tcW w:w="646" w:type="dxa"/>
            <w:tcBorders>
              <w:bottom w:val="single" w:sz="4" w:space="0" w:color="auto"/>
            </w:tcBorders>
            <w:shd w:val="clear" w:color="auto" w:fill="auto"/>
            <w:tcMar>
              <w:top w:w="0" w:type="dxa"/>
              <w:left w:w="0" w:type="dxa"/>
              <w:bottom w:w="0" w:type="dxa"/>
              <w:right w:w="0" w:type="dxa"/>
            </w:tcMar>
            <w:vAlign w:val="bottom"/>
          </w:tcPr>
          <w:p w14:paraId="5FF70A4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34</w:t>
            </w:r>
          </w:p>
        </w:tc>
        <w:tc>
          <w:tcPr>
            <w:tcW w:w="646" w:type="dxa"/>
            <w:tcBorders>
              <w:bottom w:val="single" w:sz="4" w:space="0" w:color="auto"/>
            </w:tcBorders>
            <w:shd w:val="clear" w:color="auto" w:fill="auto"/>
            <w:tcMar>
              <w:top w:w="0" w:type="dxa"/>
              <w:left w:w="0" w:type="dxa"/>
              <w:bottom w:w="0" w:type="dxa"/>
              <w:right w:w="0" w:type="dxa"/>
            </w:tcMar>
            <w:vAlign w:val="bottom"/>
          </w:tcPr>
          <w:p w14:paraId="23515255"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28</w:t>
            </w:r>
          </w:p>
        </w:tc>
        <w:tc>
          <w:tcPr>
            <w:tcW w:w="646" w:type="dxa"/>
            <w:tcBorders>
              <w:bottom w:val="single" w:sz="4" w:space="0" w:color="auto"/>
            </w:tcBorders>
            <w:shd w:val="clear" w:color="auto" w:fill="auto"/>
            <w:tcMar>
              <w:top w:w="0" w:type="dxa"/>
              <w:left w:w="0" w:type="dxa"/>
              <w:bottom w:w="0" w:type="dxa"/>
              <w:right w:w="0" w:type="dxa"/>
            </w:tcMar>
            <w:vAlign w:val="bottom"/>
          </w:tcPr>
          <w:p w14:paraId="01D03DE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21</w:t>
            </w:r>
          </w:p>
        </w:tc>
        <w:tc>
          <w:tcPr>
            <w:tcW w:w="646" w:type="dxa"/>
            <w:tcBorders>
              <w:bottom w:val="single" w:sz="4" w:space="0" w:color="auto"/>
            </w:tcBorders>
            <w:shd w:val="clear" w:color="auto" w:fill="auto"/>
            <w:tcMar>
              <w:top w:w="0" w:type="dxa"/>
              <w:left w:w="0" w:type="dxa"/>
              <w:bottom w:w="0" w:type="dxa"/>
              <w:right w:w="0" w:type="dxa"/>
            </w:tcMar>
            <w:vAlign w:val="bottom"/>
          </w:tcPr>
          <w:p w14:paraId="2CE2A0A7"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34</w:t>
            </w:r>
          </w:p>
        </w:tc>
        <w:tc>
          <w:tcPr>
            <w:tcW w:w="646" w:type="dxa"/>
            <w:tcBorders>
              <w:bottom w:val="single" w:sz="4" w:space="0" w:color="auto"/>
            </w:tcBorders>
            <w:shd w:val="clear" w:color="auto" w:fill="auto"/>
            <w:tcMar>
              <w:top w:w="0" w:type="dxa"/>
              <w:left w:w="0" w:type="dxa"/>
              <w:bottom w:w="0" w:type="dxa"/>
              <w:right w:w="0" w:type="dxa"/>
            </w:tcMar>
            <w:vAlign w:val="bottom"/>
          </w:tcPr>
          <w:p w14:paraId="0D39FE31"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37</w:t>
            </w:r>
          </w:p>
        </w:tc>
        <w:tc>
          <w:tcPr>
            <w:tcW w:w="646" w:type="dxa"/>
            <w:tcBorders>
              <w:bottom w:val="single" w:sz="4" w:space="0" w:color="auto"/>
            </w:tcBorders>
            <w:shd w:val="clear" w:color="auto" w:fill="auto"/>
            <w:tcMar>
              <w:top w:w="0" w:type="dxa"/>
              <w:left w:w="0" w:type="dxa"/>
              <w:bottom w:w="0" w:type="dxa"/>
              <w:right w:w="0" w:type="dxa"/>
            </w:tcMar>
            <w:vAlign w:val="bottom"/>
          </w:tcPr>
          <w:p w14:paraId="04D947EA" w14:textId="77777777" w:rsidR="00653B7F" w:rsidRPr="009E136B" w:rsidRDefault="00653B7F" w:rsidP="009E136B">
            <w:pPr>
              <w:suppressAutoHyphens w:val="0"/>
              <w:spacing w:before="40" w:after="40" w:line="220" w:lineRule="exact"/>
              <w:jc w:val="right"/>
              <w:rPr>
                <w:noProof/>
                <w:sz w:val="18"/>
                <w:lang w:val="fr-FR"/>
              </w:rPr>
            </w:pPr>
            <w:r w:rsidRPr="009E136B">
              <w:rPr>
                <w:noProof/>
                <w:sz w:val="18"/>
                <w:lang w:val="fr-FR"/>
              </w:rPr>
              <w:t>6</w:t>
            </w:r>
          </w:p>
        </w:tc>
        <w:tc>
          <w:tcPr>
            <w:tcW w:w="1035" w:type="dxa"/>
            <w:tcBorders>
              <w:bottom w:val="single" w:sz="4" w:space="0" w:color="auto"/>
            </w:tcBorders>
            <w:shd w:val="clear" w:color="auto" w:fill="auto"/>
            <w:tcMar>
              <w:top w:w="0" w:type="dxa"/>
              <w:left w:w="0" w:type="dxa"/>
              <w:bottom w:w="0" w:type="dxa"/>
              <w:right w:w="0" w:type="dxa"/>
            </w:tcMar>
            <w:vAlign w:val="bottom"/>
          </w:tcPr>
          <w:p w14:paraId="1EA892A2" w14:textId="77777777" w:rsidR="00653B7F" w:rsidRPr="00DA2FB4" w:rsidRDefault="00653B7F" w:rsidP="009E136B">
            <w:pPr>
              <w:suppressAutoHyphens w:val="0"/>
              <w:spacing w:before="40" w:after="40" w:line="220" w:lineRule="exact"/>
              <w:jc w:val="right"/>
              <w:rPr>
                <w:b/>
                <w:bCs/>
                <w:noProof/>
                <w:sz w:val="18"/>
                <w:lang w:val="fr-FR"/>
              </w:rPr>
            </w:pPr>
            <w:r w:rsidRPr="00DA2FB4">
              <w:rPr>
                <w:b/>
                <w:bCs/>
                <w:noProof/>
                <w:sz w:val="18"/>
                <w:lang w:val="fr-FR"/>
              </w:rPr>
              <w:t>181</w:t>
            </w:r>
          </w:p>
        </w:tc>
      </w:tr>
      <w:tr w:rsidR="00653B7F" w:rsidRPr="009E136B" w14:paraId="6CD80CD0" w14:textId="77777777" w:rsidTr="00DA2FB4">
        <w:tc>
          <w:tcPr>
            <w:tcW w:w="1864" w:type="dxa"/>
            <w:tcBorders>
              <w:top w:val="single" w:sz="4" w:space="0" w:color="auto"/>
              <w:bottom w:val="single" w:sz="12" w:space="0" w:color="auto"/>
            </w:tcBorders>
            <w:shd w:val="clear" w:color="auto" w:fill="auto"/>
            <w:tcMar>
              <w:top w:w="0" w:type="dxa"/>
              <w:left w:w="0" w:type="dxa"/>
              <w:bottom w:w="0" w:type="dxa"/>
              <w:right w:w="0" w:type="dxa"/>
            </w:tcMar>
          </w:tcPr>
          <w:p w14:paraId="6B2D20A4" w14:textId="77777777" w:rsidR="00653B7F" w:rsidRPr="009E136B" w:rsidRDefault="00653B7F" w:rsidP="00DA2FB4">
            <w:pPr>
              <w:suppressAutoHyphens w:val="0"/>
              <w:spacing w:before="80" w:after="80" w:line="220" w:lineRule="exact"/>
              <w:ind w:left="284"/>
              <w:rPr>
                <w:b/>
                <w:noProof/>
                <w:sz w:val="18"/>
                <w:lang w:val="fr-FR"/>
              </w:rPr>
            </w:pPr>
            <w:r w:rsidRPr="009E136B">
              <w:rPr>
                <w:b/>
                <w:noProof/>
                <w:sz w:val="18"/>
                <w:lang w:val="fr-FR"/>
              </w:rPr>
              <w:t>Total</w:t>
            </w:r>
          </w:p>
        </w:tc>
        <w:tc>
          <w:tcPr>
            <w:tcW w:w="59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D4A118A"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21</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D8FAC94"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34</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DC949C"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48</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83E25A1"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48</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33635D4"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61</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1BBE386"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85</w:t>
            </w:r>
          </w:p>
        </w:tc>
        <w:tc>
          <w:tcPr>
            <w:tcW w:w="6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0147FE6" w14:textId="77777777" w:rsidR="00653B7F" w:rsidRPr="009E136B" w:rsidRDefault="00653B7F" w:rsidP="00DA2FB4">
            <w:pPr>
              <w:suppressAutoHyphens w:val="0"/>
              <w:spacing w:before="80" w:after="80" w:line="220" w:lineRule="exact"/>
              <w:jc w:val="right"/>
              <w:rPr>
                <w:b/>
                <w:noProof/>
                <w:sz w:val="18"/>
                <w:lang w:val="fr-FR"/>
              </w:rPr>
            </w:pPr>
            <w:r w:rsidRPr="009E136B">
              <w:rPr>
                <w:b/>
                <w:noProof/>
                <w:sz w:val="18"/>
                <w:lang w:val="fr-FR"/>
              </w:rPr>
              <w:t>11</w:t>
            </w:r>
          </w:p>
        </w:tc>
        <w:tc>
          <w:tcPr>
            <w:tcW w:w="103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D7B4378" w14:textId="77777777" w:rsidR="00653B7F" w:rsidRPr="00DA2FB4" w:rsidRDefault="00653B7F" w:rsidP="00DA2FB4">
            <w:pPr>
              <w:suppressAutoHyphens w:val="0"/>
              <w:spacing w:before="80" w:after="80" w:line="220" w:lineRule="exact"/>
              <w:jc w:val="right"/>
              <w:rPr>
                <w:b/>
                <w:bCs/>
                <w:noProof/>
                <w:sz w:val="18"/>
                <w:lang w:val="fr-FR"/>
              </w:rPr>
            </w:pPr>
            <w:r w:rsidRPr="00DA2FB4">
              <w:rPr>
                <w:b/>
                <w:bCs/>
                <w:noProof/>
                <w:sz w:val="18"/>
                <w:lang w:val="fr-FR"/>
              </w:rPr>
              <w:t>308</w:t>
            </w:r>
          </w:p>
        </w:tc>
      </w:tr>
    </w:tbl>
    <w:p w14:paraId="37707436" w14:textId="77777777" w:rsidR="00653B7F" w:rsidRPr="008D7E02" w:rsidRDefault="00653B7F" w:rsidP="00653B7F">
      <w:pPr>
        <w:pStyle w:val="SingleTxtG"/>
        <w:spacing w:before="240"/>
        <w:rPr>
          <w:noProof/>
          <w:lang w:val="fr-FR"/>
        </w:rPr>
      </w:pPr>
      <w:r w:rsidRPr="00A43FCB">
        <w:rPr>
          <w:noProof/>
          <w:lang w:val="fr-FR"/>
        </w:rPr>
        <w:t>26.</w:t>
      </w:r>
      <w:r w:rsidRPr="00A43FCB">
        <w:rPr>
          <w:noProof/>
          <w:lang w:val="fr-FR"/>
        </w:rPr>
        <w:tab/>
      </w:r>
      <w:r>
        <w:rPr>
          <w:noProof/>
          <w:lang w:val="fr-FR"/>
        </w:rPr>
        <w:t xml:space="preserve">Les chiffres figurant dans les tableaux 1 et 2 émanent du Département de statistique du </w:t>
      </w:r>
      <w:r w:rsidRPr="00901C00">
        <w:rPr>
          <w:noProof/>
          <w:lang w:val="fr-FR"/>
        </w:rPr>
        <w:t xml:space="preserve">Bureau du </w:t>
      </w:r>
      <w:r w:rsidRPr="00901C00">
        <w:rPr>
          <w:i/>
          <w:noProof/>
          <w:lang w:val="fr-FR"/>
        </w:rPr>
        <w:t>Fiscal general</w:t>
      </w:r>
      <w:r w:rsidRPr="00901C00">
        <w:rPr>
          <w:noProof/>
          <w:lang w:val="fr-FR"/>
        </w:rPr>
        <w:t xml:space="preserve"> de la République</w:t>
      </w:r>
      <w:r>
        <w:rPr>
          <w:i/>
          <w:noProof/>
          <w:lang w:val="fr-FR"/>
        </w:rPr>
        <w:t xml:space="preserve"> </w:t>
      </w:r>
      <w:r>
        <w:rPr>
          <w:noProof/>
          <w:lang w:val="fr-FR"/>
        </w:rPr>
        <w:t xml:space="preserve">et correspondent aux affaires traitées qui concernent des infractions réprimées par la loi </w:t>
      </w:r>
      <w:r w:rsidRPr="00C25C4B">
        <w:rPr>
          <w:noProof/>
          <w:lang w:val="fr-FR"/>
        </w:rPr>
        <w:t>spéciale visant à garantir aux femmes une vie exempte de violence</w:t>
      </w:r>
      <w:r>
        <w:rPr>
          <w:noProof/>
          <w:lang w:val="fr-FR"/>
        </w:rPr>
        <w:t>, à savoir : féminicide ; féminicide aggravé ; obstruction à l</w:t>
      </w:r>
      <w:r w:rsidR="002A5D78">
        <w:rPr>
          <w:noProof/>
          <w:lang w:val="fr-FR"/>
        </w:rPr>
        <w:t>’</w:t>
      </w:r>
      <w:r>
        <w:rPr>
          <w:noProof/>
          <w:lang w:val="fr-FR"/>
        </w:rPr>
        <w:t>accès à la justice ; incitation ou aide au suicide féminicide ; incitation, provocation et facilitation d</w:t>
      </w:r>
      <w:r w:rsidR="002A5D78">
        <w:rPr>
          <w:noProof/>
          <w:lang w:val="fr-FR"/>
        </w:rPr>
        <w:t>’</w:t>
      </w:r>
      <w:r>
        <w:rPr>
          <w:noProof/>
          <w:lang w:val="fr-FR"/>
        </w:rPr>
        <w:t>actes sexuels ou érotiques par des moyens informatiques ou électroniques ; et autres infractions visées aux articles 50 à 54 de la loi. Chaque affaire peut concerner une ou plusieurs victimes, de sorte que les personnes mises en cause, les affaires poursuivies et les peines prononcées sont comptabilisés indépendamment de la date d</w:t>
      </w:r>
      <w:r w:rsidR="002A5D78">
        <w:rPr>
          <w:noProof/>
          <w:lang w:val="fr-FR"/>
        </w:rPr>
        <w:t>’</w:t>
      </w:r>
      <w:r>
        <w:rPr>
          <w:noProof/>
          <w:lang w:val="fr-FR"/>
        </w:rPr>
        <w:t>ouverture de l</w:t>
      </w:r>
      <w:r w:rsidR="002A5D78">
        <w:rPr>
          <w:noProof/>
          <w:lang w:val="fr-FR"/>
        </w:rPr>
        <w:t>’</w:t>
      </w:r>
      <w:r>
        <w:rPr>
          <w:noProof/>
          <w:lang w:val="fr-FR"/>
        </w:rPr>
        <w:t>information judiciaire. Les informations fournies commencent avec l</w:t>
      </w:r>
      <w:r w:rsidR="002A5D78">
        <w:rPr>
          <w:noProof/>
          <w:lang w:val="fr-FR"/>
        </w:rPr>
        <w:t>’</w:t>
      </w:r>
      <w:r>
        <w:rPr>
          <w:noProof/>
          <w:lang w:val="fr-FR"/>
        </w:rPr>
        <w:t>année 2013 car c</w:t>
      </w:r>
      <w:r w:rsidR="002A5D78">
        <w:rPr>
          <w:noProof/>
          <w:lang w:val="fr-FR"/>
        </w:rPr>
        <w:t>’</w:t>
      </w:r>
      <w:r>
        <w:rPr>
          <w:noProof/>
          <w:lang w:val="fr-FR"/>
        </w:rPr>
        <w:t>est à partir de cette année qu</w:t>
      </w:r>
      <w:r w:rsidR="002A5D78">
        <w:rPr>
          <w:noProof/>
          <w:lang w:val="fr-FR"/>
        </w:rPr>
        <w:t>’</w:t>
      </w:r>
      <w:r>
        <w:rPr>
          <w:noProof/>
          <w:lang w:val="fr-FR"/>
        </w:rPr>
        <w:t xml:space="preserve">elles ont été systématiquement organisées et mises à jour. Le tableau 3 présente le nombre des poursuites engagées devant certains tribunaux pour des faits de violences dans la famille commis contre des femmes et des filles. </w:t>
      </w:r>
    </w:p>
    <w:p w14:paraId="7026FDC7" w14:textId="77777777" w:rsidR="00653B7F" w:rsidRPr="00E51EF5" w:rsidRDefault="00653B7F" w:rsidP="00E51EF5">
      <w:pPr>
        <w:pStyle w:val="Titre1"/>
        <w:spacing w:after="120"/>
        <w:ind w:right="1134"/>
        <w:rPr>
          <w:b/>
          <w:bCs/>
          <w:noProof/>
          <w:lang w:val="fr-FR"/>
        </w:rPr>
      </w:pPr>
      <w:r>
        <w:rPr>
          <w:noProof/>
          <w:lang w:val="fr-FR"/>
        </w:rPr>
        <w:lastRenderedPageBreak/>
        <w:t>Tableau</w:t>
      </w:r>
      <w:r w:rsidRPr="00A43FCB">
        <w:rPr>
          <w:noProof/>
          <w:lang w:val="fr-FR"/>
        </w:rPr>
        <w:t xml:space="preserve"> 3</w:t>
      </w:r>
      <w:r w:rsidR="00E51EF5">
        <w:rPr>
          <w:noProof/>
          <w:lang w:val="fr-FR"/>
        </w:rPr>
        <w:br/>
      </w:r>
      <w:r w:rsidRPr="00E51EF5">
        <w:rPr>
          <w:b/>
          <w:bCs/>
          <w:noProof/>
          <w:lang w:val="fr-FR"/>
        </w:rPr>
        <w:t>Procès pour violences dans la famille contre des femmes et des filles</w:t>
      </w:r>
    </w:p>
    <w:tbl>
      <w:tblPr>
        <w:tblW w:w="7370" w:type="dxa"/>
        <w:tblInd w:w="1134" w:type="dxa"/>
        <w:tblLayout w:type="fixed"/>
        <w:tblCellMar>
          <w:left w:w="0" w:type="dxa"/>
          <w:right w:w="0" w:type="dxa"/>
        </w:tblCellMar>
        <w:tblLook w:val="04A0" w:firstRow="1" w:lastRow="0" w:firstColumn="1" w:lastColumn="0" w:noHBand="0" w:noVBand="1"/>
      </w:tblPr>
      <w:tblGrid>
        <w:gridCol w:w="1731"/>
        <w:gridCol w:w="563"/>
        <w:gridCol w:w="564"/>
        <w:gridCol w:w="564"/>
        <w:gridCol w:w="564"/>
        <w:gridCol w:w="564"/>
        <w:gridCol w:w="564"/>
        <w:gridCol w:w="564"/>
        <w:gridCol w:w="564"/>
        <w:gridCol w:w="564"/>
        <w:gridCol w:w="564"/>
      </w:tblGrid>
      <w:tr w:rsidR="00653B7F" w:rsidRPr="00E51EF5" w14:paraId="1523BB52" w14:textId="77777777" w:rsidTr="00E51EF5">
        <w:trPr>
          <w:tblHeader/>
        </w:trPr>
        <w:tc>
          <w:tcPr>
            <w:tcW w:w="22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2E2A40B" w14:textId="77777777" w:rsidR="00653B7F" w:rsidRPr="00E51EF5" w:rsidRDefault="00653B7F" w:rsidP="00E51EF5">
            <w:pPr>
              <w:suppressAutoHyphens w:val="0"/>
              <w:spacing w:before="80" w:after="80" w:line="200" w:lineRule="exact"/>
              <w:rPr>
                <w:i/>
                <w:noProof/>
                <w:sz w:val="16"/>
                <w:lang w:val="fr-FR"/>
              </w:rPr>
            </w:pPr>
            <w:r w:rsidRPr="00E51EF5">
              <w:rPr>
                <w:i/>
                <w:noProof/>
                <w:sz w:val="16"/>
                <w:lang w:val="fr-FR"/>
              </w:rPr>
              <w:t>Tribunal</w:t>
            </w:r>
          </w:p>
        </w:tc>
        <w:tc>
          <w:tcPr>
            <w:tcW w:w="7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BC116F"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2010</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8F5CE8E"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2011</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901E18B"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2012</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8368808"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2013</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F0D8288"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2014</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557D44"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2015</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EB355B8"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2016</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0EC60A4"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2017</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7444387"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2018</w:t>
            </w:r>
          </w:p>
        </w:tc>
        <w:tc>
          <w:tcPr>
            <w:tcW w:w="7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0DF649E" w14:textId="77777777" w:rsidR="00653B7F" w:rsidRPr="00E51EF5" w:rsidRDefault="00653B7F" w:rsidP="00E51EF5">
            <w:pPr>
              <w:suppressAutoHyphens w:val="0"/>
              <w:spacing w:before="80" w:after="80" w:line="200" w:lineRule="exact"/>
              <w:jc w:val="right"/>
              <w:rPr>
                <w:i/>
                <w:noProof/>
                <w:sz w:val="16"/>
                <w:lang w:val="fr-FR"/>
              </w:rPr>
            </w:pPr>
            <w:r w:rsidRPr="00E51EF5">
              <w:rPr>
                <w:i/>
                <w:noProof/>
                <w:sz w:val="16"/>
                <w:lang w:val="fr-FR"/>
              </w:rPr>
              <w:t>2019</w:t>
            </w:r>
          </w:p>
        </w:tc>
      </w:tr>
      <w:tr w:rsidR="00653B7F" w:rsidRPr="00E51EF5" w14:paraId="65281D64" w14:textId="77777777" w:rsidTr="00E51EF5">
        <w:tc>
          <w:tcPr>
            <w:tcW w:w="2209" w:type="dxa"/>
            <w:tcBorders>
              <w:top w:val="single" w:sz="12" w:space="0" w:color="auto"/>
            </w:tcBorders>
            <w:shd w:val="clear" w:color="auto" w:fill="auto"/>
            <w:tcMar>
              <w:top w:w="0" w:type="dxa"/>
              <w:left w:w="0" w:type="dxa"/>
              <w:bottom w:w="0" w:type="dxa"/>
              <w:right w:w="0" w:type="dxa"/>
            </w:tcMar>
          </w:tcPr>
          <w:p w14:paraId="16D5FBEE"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w:t>
            </w:r>
            <w:r w:rsidRPr="00E51EF5">
              <w:rPr>
                <w:noProof/>
                <w:sz w:val="18"/>
                <w:lang w:val="fr-FR"/>
              </w:rPr>
              <w:t>3 de</w:t>
            </w:r>
            <w:r w:rsidR="00E51EF5">
              <w:rPr>
                <w:noProof/>
                <w:sz w:val="18"/>
                <w:lang w:val="fr-FR"/>
              </w:rPr>
              <w:t> </w:t>
            </w:r>
            <w:r w:rsidRPr="00E51EF5">
              <w:rPr>
                <w:noProof/>
                <w:sz w:val="18"/>
                <w:lang w:val="fr-FR"/>
              </w:rPr>
              <w:t>San Salvador</w:t>
            </w:r>
          </w:p>
        </w:tc>
        <w:tc>
          <w:tcPr>
            <w:tcW w:w="716" w:type="dxa"/>
            <w:tcBorders>
              <w:top w:val="single" w:sz="12" w:space="0" w:color="auto"/>
            </w:tcBorders>
            <w:shd w:val="clear" w:color="auto" w:fill="auto"/>
            <w:tcMar>
              <w:top w:w="0" w:type="dxa"/>
              <w:left w:w="0" w:type="dxa"/>
              <w:bottom w:w="0" w:type="dxa"/>
              <w:right w:w="0" w:type="dxa"/>
            </w:tcMar>
            <w:vAlign w:val="bottom"/>
          </w:tcPr>
          <w:p w14:paraId="2A2E8ED9"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22</w:t>
            </w:r>
          </w:p>
        </w:tc>
        <w:tc>
          <w:tcPr>
            <w:tcW w:w="715" w:type="dxa"/>
            <w:tcBorders>
              <w:top w:val="single" w:sz="12" w:space="0" w:color="auto"/>
            </w:tcBorders>
            <w:shd w:val="clear" w:color="auto" w:fill="auto"/>
            <w:tcMar>
              <w:top w:w="0" w:type="dxa"/>
              <w:left w:w="0" w:type="dxa"/>
              <w:bottom w:w="0" w:type="dxa"/>
              <w:right w:w="0" w:type="dxa"/>
            </w:tcMar>
            <w:vAlign w:val="bottom"/>
          </w:tcPr>
          <w:p w14:paraId="572AF18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20</w:t>
            </w:r>
          </w:p>
        </w:tc>
        <w:tc>
          <w:tcPr>
            <w:tcW w:w="715" w:type="dxa"/>
            <w:tcBorders>
              <w:top w:val="single" w:sz="12" w:space="0" w:color="auto"/>
            </w:tcBorders>
            <w:shd w:val="clear" w:color="auto" w:fill="auto"/>
            <w:tcMar>
              <w:top w:w="0" w:type="dxa"/>
              <w:left w:w="0" w:type="dxa"/>
              <w:bottom w:w="0" w:type="dxa"/>
              <w:right w:w="0" w:type="dxa"/>
            </w:tcMar>
            <w:vAlign w:val="bottom"/>
          </w:tcPr>
          <w:p w14:paraId="2581F186"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42</w:t>
            </w:r>
          </w:p>
        </w:tc>
        <w:tc>
          <w:tcPr>
            <w:tcW w:w="715" w:type="dxa"/>
            <w:tcBorders>
              <w:top w:val="single" w:sz="12" w:space="0" w:color="auto"/>
            </w:tcBorders>
            <w:shd w:val="clear" w:color="auto" w:fill="auto"/>
            <w:tcMar>
              <w:top w:w="0" w:type="dxa"/>
              <w:left w:w="0" w:type="dxa"/>
              <w:bottom w:w="0" w:type="dxa"/>
              <w:right w:w="0" w:type="dxa"/>
            </w:tcMar>
            <w:vAlign w:val="bottom"/>
          </w:tcPr>
          <w:p w14:paraId="051B7980"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44</w:t>
            </w:r>
          </w:p>
        </w:tc>
        <w:tc>
          <w:tcPr>
            <w:tcW w:w="715" w:type="dxa"/>
            <w:tcBorders>
              <w:top w:val="single" w:sz="12" w:space="0" w:color="auto"/>
            </w:tcBorders>
            <w:shd w:val="clear" w:color="auto" w:fill="auto"/>
            <w:tcMar>
              <w:top w:w="0" w:type="dxa"/>
              <w:left w:w="0" w:type="dxa"/>
              <w:bottom w:w="0" w:type="dxa"/>
              <w:right w:w="0" w:type="dxa"/>
            </w:tcMar>
            <w:vAlign w:val="bottom"/>
          </w:tcPr>
          <w:p w14:paraId="0A10D27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48</w:t>
            </w:r>
          </w:p>
        </w:tc>
        <w:tc>
          <w:tcPr>
            <w:tcW w:w="715" w:type="dxa"/>
            <w:tcBorders>
              <w:top w:val="single" w:sz="12" w:space="0" w:color="auto"/>
            </w:tcBorders>
            <w:shd w:val="clear" w:color="auto" w:fill="auto"/>
            <w:tcMar>
              <w:top w:w="0" w:type="dxa"/>
              <w:left w:w="0" w:type="dxa"/>
              <w:bottom w:w="0" w:type="dxa"/>
              <w:right w:w="0" w:type="dxa"/>
            </w:tcMar>
            <w:vAlign w:val="bottom"/>
          </w:tcPr>
          <w:p w14:paraId="42678E40"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34</w:t>
            </w:r>
          </w:p>
        </w:tc>
        <w:tc>
          <w:tcPr>
            <w:tcW w:w="715" w:type="dxa"/>
            <w:tcBorders>
              <w:top w:val="single" w:sz="12" w:space="0" w:color="auto"/>
            </w:tcBorders>
            <w:shd w:val="clear" w:color="auto" w:fill="auto"/>
            <w:tcMar>
              <w:top w:w="0" w:type="dxa"/>
              <w:left w:w="0" w:type="dxa"/>
              <w:bottom w:w="0" w:type="dxa"/>
              <w:right w:w="0" w:type="dxa"/>
            </w:tcMar>
            <w:vAlign w:val="bottom"/>
          </w:tcPr>
          <w:p w14:paraId="19C917B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34</w:t>
            </w:r>
          </w:p>
        </w:tc>
        <w:tc>
          <w:tcPr>
            <w:tcW w:w="715" w:type="dxa"/>
            <w:tcBorders>
              <w:top w:val="single" w:sz="12" w:space="0" w:color="auto"/>
            </w:tcBorders>
            <w:shd w:val="clear" w:color="auto" w:fill="auto"/>
            <w:tcMar>
              <w:top w:w="0" w:type="dxa"/>
              <w:left w:w="0" w:type="dxa"/>
              <w:bottom w:w="0" w:type="dxa"/>
              <w:right w:w="0" w:type="dxa"/>
            </w:tcMar>
            <w:vAlign w:val="bottom"/>
          </w:tcPr>
          <w:p w14:paraId="529FF25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34</w:t>
            </w:r>
          </w:p>
        </w:tc>
        <w:tc>
          <w:tcPr>
            <w:tcW w:w="715" w:type="dxa"/>
            <w:tcBorders>
              <w:top w:val="single" w:sz="12" w:space="0" w:color="auto"/>
            </w:tcBorders>
            <w:shd w:val="clear" w:color="auto" w:fill="auto"/>
            <w:tcMar>
              <w:top w:w="0" w:type="dxa"/>
              <w:left w:w="0" w:type="dxa"/>
              <w:bottom w:w="0" w:type="dxa"/>
              <w:right w:w="0" w:type="dxa"/>
            </w:tcMar>
            <w:vAlign w:val="bottom"/>
          </w:tcPr>
          <w:p w14:paraId="5D1FECA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18</w:t>
            </w:r>
          </w:p>
        </w:tc>
        <w:tc>
          <w:tcPr>
            <w:tcW w:w="715" w:type="dxa"/>
            <w:tcBorders>
              <w:top w:val="single" w:sz="12" w:space="0" w:color="auto"/>
            </w:tcBorders>
            <w:shd w:val="clear" w:color="auto" w:fill="auto"/>
            <w:tcMar>
              <w:top w:w="0" w:type="dxa"/>
              <w:left w:w="0" w:type="dxa"/>
              <w:bottom w:w="0" w:type="dxa"/>
              <w:right w:w="0" w:type="dxa"/>
            </w:tcMar>
            <w:vAlign w:val="bottom"/>
          </w:tcPr>
          <w:p w14:paraId="2CC6E41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14</w:t>
            </w:r>
          </w:p>
        </w:tc>
      </w:tr>
      <w:tr w:rsidR="00653B7F" w:rsidRPr="00E51EF5" w14:paraId="52CBB683" w14:textId="77777777" w:rsidTr="00E51EF5">
        <w:tc>
          <w:tcPr>
            <w:tcW w:w="2209" w:type="dxa"/>
            <w:shd w:val="clear" w:color="auto" w:fill="auto"/>
            <w:tcMar>
              <w:top w:w="0" w:type="dxa"/>
              <w:left w:w="0" w:type="dxa"/>
              <w:bottom w:w="0" w:type="dxa"/>
              <w:right w:w="0" w:type="dxa"/>
            </w:tcMar>
          </w:tcPr>
          <w:p w14:paraId="4EFC6E87"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w:t>
            </w:r>
            <w:r w:rsidRPr="00E51EF5">
              <w:rPr>
                <w:noProof/>
                <w:sz w:val="18"/>
                <w:lang w:val="fr-FR"/>
              </w:rPr>
              <w:t>6 de</w:t>
            </w:r>
            <w:r w:rsidR="00E51EF5">
              <w:rPr>
                <w:noProof/>
                <w:sz w:val="18"/>
                <w:lang w:val="fr-FR"/>
              </w:rPr>
              <w:t> </w:t>
            </w:r>
            <w:r w:rsidRPr="00E51EF5">
              <w:rPr>
                <w:noProof/>
                <w:sz w:val="18"/>
                <w:lang w:val="fr-FR"/>
              </w:rPr>
              <w:t>San Salvador</w:t>
            </w:r>
          </w:p>
        </w:tc>
        <w:tc>
          <w:tcPr>
            <w:tcW w:w="716" w:type="dxa"/>
            <w:shd w:val="clear" w:color="auto" w:fill="auto"/>
            <w:tcMar>
              <w:top w:w="0" w:type="dxa"/>
              <w:left w:w="0" w:type="dxa"/>
              <w:bottom w:w="0" w:type="dxa"/>
              <w:right w:w="0" w:type="dxa"/>
            </w:tcMar>
            <w:vAlign w:val="bottom"/>
          </w:tcPr>
          <w:p w14:paraId="45290BC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35</w:t>
            </w:r>
          </w:p>
        </w:tc>
        <w:tc>
          <w:tcPr>
            <w:tcW w:w="715" w:type="dxa"/>
            <w:shd w:val="clear" w:color="auto" w:fill="auto"/>
            <w:tcMar>
              <w:top w:w="0" w:type="dxa"/>
              <w:left w:w="0" w:type="dxa"/>
              <w:bottom w:w="0" w:type="dxa"/>
              <w:right w:w="0" w:type="dxa"/>
            </w:tcMar>
            <w:vAlign w:val="bottom"/>
          </w:tcPr>
          <w:p w14:paraId="52B5D03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45</w:t>
            </w:r>
          </w:p>
        </w:tc>
        <w:tc>
          <w:tcPr>
            <w:tcW w:w="715" w:type="dxa"/>
            <w:shd w:val="clear" w:color="auto" w:fill="auto"/>
            <w:tcMar>
              <w:top w:w="0" w:type="dxa"/>
              <w:left w:w="0" w:type="dxa"/>
              <w:bottom w:w="0" w:type="dxa"/>
              <w:right w:w="0" w:type="dxa"/>
            </w:tcMar>
            <w:vAlign w:val="bottom"/>
          </w:tcPr>
          <w:p w14:paraId="2401E90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82</w:t>
            </w:r>
          </w:p>
        </w:tc>
        <w:tc>
          <w:tcPr>
            <w:tcW w:w="715" w:type="dxa"/>
            <w:shd w:val="clear" w:color="auto" w:fill="auto"/>
            <w:tcMar>
              <w:top w:w="0" w:type="dxa"/>
              <w:left w:w="0" w:type="dxa"/>
              <w:bottom w:w="0" w:type="dxa"/>
              <w:right w:w="0" w:type="dxa"/>
            </w:tcMar>
            <w:vAlign w:val="bottom"/>
          </w:tcPr>
          <w:p w14:paraId="7854C47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64</w:t>
            </w:r>
          </w:p>
        </w:tc>
        <w:tc>
          <w:tcPr>
            <w:tcW w:w="715" w:type="dxa"/>
            <w:shd w:val="clear" w:color="auto" w:fill="auto"/>
            <w:tcMar>
              <w:top w:w="0" w:type="dxa"/>
              <w:left w:w="0" w:type="dxa"/>
              <w:bottom w:w="0" w:type="dxa"/>
              <w:right w:w="0" w:type="dxa"/>
            </w:tcMar>
            <w:vAlign w:val="bottom"/>
          </w:tcPr>
          <w:p w14:paraId="670137A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54</w:t>
            </w:r>
          </w:p>
        </w:tc>
        <w:tc>
          <w:tcPr>
            <w:tcW w:w="715" w:type="dxa"/>
            <w:shd w:val="clear" w:color="auto" w:fill="auto"/>
            <w:tcMar>
              <w:top w:w="0" w:type="dxa"/>
              <w:left w:w="0" w:type="dxa"/>
              <w:bottom w:w="0" w:type="dxa"/>
              <w:right w:w="0" w:type="dxa"/>
            </w:tcMar>
            <w:vAlign w:val="bottom"/>
          </w:tcPr>
          <w:p w14:paraId="34C0232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39</w:t>
            </w:r>
          </w:p>
        </w:tc>
        <w:tc>
          <w:tcPr>
            <w:tcW w:w="715" w:type="dxa"/>
            <w:shd w:val="clear" w:color="auto" w:fill="auto"/>
            <w:tcMar>
              <w:top w:w="0" w:type="dxa"/>
              <w:left w:w="0" w:type="dxa"/>
              <w:bottom w:w="0" w:type="dxa"/>
              <w:right w:w="0" w:type="dxa"/>
            </w:tcMar>
            <w:vAlign w:val="bottom"/>
          </w:tcPr>
          <w:p w14:paraId="4A129A0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48</w:t>
            </w:r>
          </w:p>
        </w:tc>
        <w:tc>
          <w:tcPr>
            <w:tcW w:w="715" w:type="dxa"/>
            <w:shd w:val="clear" w:color="auto" w:fill="auto"/>
            <w:tcMar>
              <w:top w:w="0" w:type="dxa"/>
              <w:left w:w="0" w:type="dxa"/>
              <w:bottom w:w="0" w:type="dxa"/>
              <w:right w:w="0" w:type="dxa"/>
            </w:tcMar>
            <w:vAlign w:val="bottom"/>
          </w:tcPr>
          <w:p w14:paraId="46AC54E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45</w:t>
            </w:r>
          </w:p>
        </w:tc>
        <w:tc>
          <w:tcPr>
            <w:tcW w:w="715" w:type="dxa"/>
            <w:shd w:val="clear" w:color="auto" w:fill="auto"/>
            <w:tcMar>
              <w:top w:w="0" w:type="dxa"/>
              <w:left w:w="0" w:type="dxa"/>
              <w:bottom w:w="0" w:type="dxa"/>
              <w:right w:w="0" w:type="dxa"/>
            </w:tcMar>
            <w:vAlign w:val="bottom"/>
          </w:tcPr>
          <w:p w14:paraId="5C426255"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36</w:t>
            </w:r>
          </w:p>
        </w:tc>
        <w:tc>
          <w:tcPr>
            <w:tcW w:w="715" w:type="dxa"/>
            <w:shd w:val="clear" w:color="auto" w:fill="auto"/>
            <w:tcMar>
              <w:top w:w="0" w:type="dxa"/>
              <w:left w:w="0" w:type="dxa"/>
              <w:bottom w:w="0" w:type="dxa"/>
              <w:right w:w="0" w:type="dxa"/>
            </w:tcMar>
            <w:vAlign w:val="bottom"/>
          </w:tcPr>
          <w:p w14:paraId="79C34219"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w:t>
            </w:r>
          </w:p>
        </w:tc>
      </w:tr>
      <w:tr w:rsidR="00653B7F" w:rsidRPr="00E51EF5" w14:paraId="036F463F" w14:textId="77777777" w:rsidTr="00E51EF5">
        <w:tc>
          <w:tcPr>
            <w:tcW w:w="2209" w:type="dxa"/>
            <w:shd w:val="clear" w:color="auto" w:fill="auto"/>
            <w:tcMar>
              <w:top w:w="0" w:type="dxa"/>
              <w:left w:w="0" w:type="dxa"/>
              <w:bottom w:w="0" w:type="dxa"/>
              <w:right w:w="0" w:type="dxa"/>
            </w:tcMar>
          </w:tcPr>
          <w:p w14:paraId="6C259C20"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w:t>
            </w:r>
            <w:r w:rsidRPr="00E51EF5">
              <w:rPr>
                <w:noProof/>
                <w:sz w:val="18"/>
                <w:lang w:val="fr-FR"/>
              </w:rPr>
              <w:t>7 de</w:t>
            </w:r>
            <w:r w:rsidR="00E51EF5">
              <w:rPr>
                <w:noProof/>
                <w:sz w:val="18"/>
                <w:lang w:val="fr-FR"/>
              </w:rPr>
              <w:t> </w:t>
            </w:r>
            <w:r w:rsidRPr="00E51EF5">
              <w:rPr>
                <w:noProof/>
                <w:sz w:val="18"/>
                <w:lang w:val="fr-FR"/>
              </w:rPr>
              <w:t>San Salvador</w:t>
            </w:r>
          </w:p>
        </w:tc>
        <w:tc>
          <w:tcPr>
            <w:tcW w:w="716" w:type="dxa"/>
            <w:shd w:val="clear" w:color="auto" w:fill="auto"/>
            <w:tcMar>
              <w:top w:w="0" w:type="dxa"/>
              <w:left w:w="0" w:type="dxa"/>
              <w:bottom w:w="0" w:type="dxa"/>
              <w:right w:w="0" w:type="dxa"/>
            </w:tcMar>
            <w:vAlign w:val="bottom"/>
          </w:tcPr>
          <w:p w14:paraId="79E35DF9"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46</w:t>
            </w:r>
          </w:p>
        </w:tc>
        <w:tc>
          <w:tcPr>
            <w:tcW w:w="715" w:type="dxa"/>
            <w:shd w:val="clear" w:color="auto" w:fill="auto"/>
            <w:tcMar>
              <w:top w:w="0" w:type="dxa"/>
              <w:left w:w="0" w:type="dxa"/>
              <w:bottom w:w="0" w:type="dxa"/>
              <w:right w:w="0" w:type="dxa"/>
            </w:tcMar>
            <w:vAlign w:val="bottom"/>
          </w:tcPr>
          <w:p w14:paraId="22991E75"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35</w:t>
            </w:r>
          </w:p>
        </w:tc>
        <w:tc>
          <w:tcPr>
            <w:tcW w:w="715" w:type="dxa"/>
            <w:shd w:val="clear" w:color="auto" w:fill="auto"/>
            <w:tcMar>
              <w:top w:w="0" w:type="dxa"/>
              <w:left w:w="0" w:type="dxa"/>
              <w:bottom w:w="0" w:type="dxa"/>
              <w:right w:w="0" w:type="dxa"/>
            </w:tcMar>
            <w:vAlign w:val="bottom"/>
          </w:tcPr>
          <w:p w14:paraId="673231DD"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53</w:t>
            </w:r>
          </w:p>
        </w:tc>
        <w:tc>
          <w:tcPr>
            <w:tcW w:w="715" w:type="dxa"/>
            <w:shd w:val="clear" w:color="auto" w:fill="auto"/>
            <w:tcMar>
              <w:top w:w="0" w:type="dxa"/>
              <w:left w:w="0" w:type="dxa"/>
              <w:bottom w:w="0" w:type="dxa"/>
              <w:right w:w="0" w:type="dxa"/>
            </w:tcMar>
            <w:vAlign w:val="bottom"/>
          </w:tcPr>
          <w:p w14:paraId="0BAFD07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32</w:t>
            </w:r>
          </w:p>
        </w:tc>
        <w:tc>
          <w:tcPr>
            <w:tcW w:w="715" w:type="dxa"/>
            <w:shd w:val="clear" w:color="auto" w:fill="auto"/>
            <w:tcMar>
              <w:top w:w="0" w:type="dxa"/>
              <w:left w:w="0" w:type="dxa"/>
              <w:bottom w:w="0" w:type="dxa"/>
              <w:right w:w="0" w:type="dxa"/>
            </w:tcMar>
            <w:vAlign w:val="bottom"/>
          </w:tcPr>
          <w:p w14:paraId="72DC3AC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33</w:t>
            </w:r>
          </w:p>
        </w:tc>
        <w:tc>
          <w:tcPr>
            <w:tcW w:w="715" w:type="dxa"/>
            <w:shd w:val="clear" w:color="auto" w:fill="auto"/>
            <w:tcMar>
              <w:top w:w="0" w:type="dxa"/>
              <w:left w:w="0" w:type="dxa"/>
              <w:bottom w:w="0" w:type="dxa"/>
              <w:right w:w="0" w:type="dxa"/>
            </w:tcMar>
            <w:vAlign w:val="bottom"/>
          </w:tcPr>
          <w:p w14:paraId="05C7687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39</w:t>
            </w:r>
          </w:p>
        </w:tc>
        <w:tc>
          <w:tcPr>
            <w:tcW w:w="715" w:type="dxa"/>
            <w:shd w:val="clear" w:color="auto" w:fill="auto"/>
            <w:tcMar>
              <w:top w:w="0" w:type="dxa"/>
              <w:left w:w="0" w:type="dxa"/>
              <w:bottom w:w="0" w:type="dxa"/>
              <w:right w:w="0" w:type="dxa"/>
            </w:tcMar>
            <w:vAlign w:val="bottom"/>
          </w:tcPr>
          <w:p w14:paraId="4E0063D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30</w:t>
            </w:r>
          </w:p>
        </w:tc>
        <w:tc>
          <w:tcPr>
            <w:tcW w:w="715" w:type="dxa"/>
            <w:shd w:val="clear" w:color="auto" w:fill="auto"/>
            <w:tcMar>
              <w:top w:w="0" w:type="dxa"/>
              <w:left w:w="0" w:type="dxa"/>
              <w:bottom w:w="0" w:type="dxa"/>
              <w:right w:w="0" w:type="dxa"/>
            </w:tcMar>
            <w:vAlign w:val="bottom"/>
          </w:tcPr>
          <w:p w14:paraId="0003268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38</w:t>
            </w:r>
          </w:p>
        </w:tc>
        <w:tc>
          <w:tcPr>
            <w:tcW w:w="715" w:type="dxa"/>
            <w:shd w:val="clear" w:color="auto" w:fill="auto"/>
            <w:tcMar>
              <w:top w:w="0" w:type="dxa"/>
              <w:left w:w="0" w:type="dxa"/>
              <w:bottom w:w="0" w:type="dxa"/>
              <w:right w:w="0" w:type="dxa"/>
            </w:tcMar>
            <w:vAlign w:val="bottom"/>
          </w:tcPr>
          <w:p w14:paraId="13EA6A8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53</w:t>
            </w:r>
          </w:p>
        </w:tc>
        <w:tc>
          <w:tcPr>
            <w:tcW w:w="715" w:type="dxa"/>
            <w:shd w:val="clear" w:color="auto" w:fill="auto"/>
            <w:tcMar>
              <w:top w:w="0" w:type="dxa"/>
              <w:left w:w="0" w:type="dxa"/>
              <w:bottom w:w="0" w:type="dxa"/>
              <w:right w:w="0" w:type="dxa"/>
            </w:tcMar>
            <w:vAlign w:val="bottom"/>
          </w:tcPr>
          <w:p w14:paraId="23049FB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12</w:t>
            </w:r>
          </w:p>
        </w:tc>
      </w:tr>
      <w:tr w:rsidR="00653B7F" w:rsidRPr="00E51EF5" w14:paraId="18970AA0" w14:textId="77777777" w:rsidTr="00E51EF5">
        <w:tc>
          <w:tcPr>
            <w:tcW w:w="2209" w:type="dxa"/>
            <w:shd w:val="clear" w:color="auto" w:fill="auto"/>
            <w:tcMar>
              <w:top w:w="0" w:type="dxa"/>
              <w:left w:w="0" w:type="dxa"/>
              <w:bottom w:w="0" w:type="dxa"/>
              <w:right w:w="0" w:type="dxa"/>
            </w:tcMar>
          </w:tcPr>
          <w:p w14:paraId="5EE6A129"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w:t>
            </w:r>
            <w:r w:rsidRPr="00E51EF5">
              <w:rPr>
                <w:noProof/>
                <w:sz w:val="18"/>
                <w:lang w:val="fr-FR"/>
              </w:rPr>
              <w:t>8 de</w:t>
            </w:r>
            <w:r w:rsidR="00E51EF5">
              <w:rPr>
                <w:noProof/>
                <w:sz w:val="18"/>
                <w:lang w:val="fr-FR"/>
              </w:rPr>
              <w:t> </w:t>
            </w:r>
            <w:r w:rsidRPr="00E51EF5">
              <w:rPr>
                <w:noProof/>
                <w:sz w:val="18"/>
                <w:lang w:val="fr-FR"/>
              </w:rPr>
              <w:t>San Salvador</w:t>
            </w:r>
          </w:p>
        </w:tc>
        <w:tc>
          <w:tcPr>
            <w:tcW w:w="716" w:type="dxa"/>
            <w:shd w:val="clear" w:color="auto" w:fill="auto"/>
            <w:tcMar>
              <w:top w:w="0" w:type="dxa"/>
              <w:left w:w="0" w:type="dxa"/>
              <w:bottom w:w="0" w:type="dxa"/>
              <w:right w:w="0" w:type="dxa"/>
            </w:tcMar>
            <w:vAlign w:val="bottom"/>
          </w:tcPr>
          <w:p w14:paraId="50C181E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31</w:t>
            </w:r>
          </w:p>
        </w:tc>
        <w:tc>
          <w:tcPr>
            <w:tcW w:w="715" w:type="dxa"/>
            <w:shd w:val="clear" w:color="auto" w:fill="auto"/>
            <w:tcMar>
              <w:top w:w="0" w:type="dxa"/>
              <w:left w:w="0" w:type="dxa"/>
              <w:bottom w:w="0" w:type="dxa"/>
              <w:right w:w="0" w:type="dxa"/>
            </w:tcMar>
            <w:vAlign w:val="bottom"/>
          </w:tcPr>
          <w:p w14:paraId="2AA1D243"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34</w:t>
            </w:r>
          </w:p>
        </w:tc>
        <w:tc>
          <w:tcPr>
            <w:tcW w:w="715" w:type="dxa"/>
            <w:shd w:val="clear" w:color="auto" w:fill="auto"/>
            <w:tcMar>
              <w:top w:w="0" w:type="dxa"/>
              <w:left w:w="0" w:type="dxa"/>
              <w:bottom w:w="0" w:type="dxa"/>
              <w:right w:w="0" w:type="dxa"/>
            </w:tcMar>
            <w:vAlign w:val="bottom"/>
          </w:tcPr>
          <w:p w14:paraId="1D0C2F8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49</w:t>
            </w:r>
          </w:p>
        </w:tc>
        <w:tc>
          <w:tcPr>
            <w:tcW w:w="715" w:type="dxa"/>
            <w:shd w:val="clear" w:color="auto" w:fill="auto"/>
            <w:tcMar>
              <w:top w:w="0" w:type="dxa"/>
              <w:left w:w="0" w:type="dxa"/>
              <w:bottom w:w="0" w:type="dxa"/>
              <w:right w:w="0" w:type="dxa"/>
            </w:tcMar>
            <w:vAlign w:val="bottom"/>
          </w:tcPr>
          <w:p w14:paraId="77882A0D"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46</w:t>
            </w:r>
          </w:p>
        </w:tc>
        <w:tc>
          <w:tcPr>
            <w:tcW w:w="715" w:type="dxa"/>
            <w:shd w:val="clear" w:color="auto" w:fill="auto"/>
            <w:tcMar>
              <w:top w:w="0" w:type="dxa"/>
              <w:left w:w="0" w:type="dxa"/>
              <w:bottom w:w="0" w:type="dxa"/>
              <w:right w:w="0" w:type="dxa"/>
            </w:tcMar>
            <w:vAlign w:val="bottom"/>
          </w:tcPr>
          <w:p w14:paraId="3DC23706"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48</w:t>
            </w:r>
          </w:p>
        </w:tc>
        <w:tc>
          <w:tcPr>
            <w:tcW w:w="715" w:type="dxa"/>
            <w:shd w:val="clear" w:color="auto" w:fill="auto"/>
            <w:tcMar>
              <w:top w:w="0" w:type="dxa"/>
              <w:left w:w="0" w:type="dxa"/>
              <w:bottom w:w="0" w:type="dxa"/>
              <w:right w:w="0" w:type="dxa"/>
            </w:tcMar>
            <w:vAlign w:val="bottom"/>
          </w:tcPr>
          <w:p w14:paraId="5EC5B639"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37</w:t>
            </w:r>
          </w:p>
        </w:tc>
        <w:tc>
          <w:tcPr>
            <w:tcW w:w="715" w:type="dxa"/>
            <w:shd w:val="clear" w:color="auto" w:fill="auto"/>
            <w:tcMar>
              <w:top w:w="0" w:type="dxa"/>
              <w:left w:w="0" w:type="dxa"/>
              <w:bottom w:w="0" w:type="dxa"/>
              <w:right w:w="0" w:type="dxa"/>
            </w:tcMar>
            <w:vAlign w:val="bottom"/>
          </w:tcPr>
          <w:p w14:paraId="61EC88C3"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37</w:t>
            </w:r>
          </w:p>
        </w:tc>
        <w:tc>
          <w:tcPr>
            <w:tcW w:w="715" w:type="dxa"/>
            <w:shd w:val="clear" w:color="auto" w:fill="auto"/>
            <w:tcMar>
              <w:top w:w="0" w:type="dxa"/>
              <w:left w:w="0" w:type="dxa"/>
              <w:bottom w:w="0" w:type="dxa"/>
              <w:right w:w="0" w:type="dxa"/>
            </w:tcMar>
            <w:vAlign w:val="bottom"/>
          </w:tcPr>
          <w:p w14:paraId="4A479BC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31</w:t>
            </w:r>
          </w:p>
        </w:tc>
        <w:tc>
          <w:tcPr>
            <w:tcW w:w="715" w:type="dxa"/>
            <w:shd w:val="clear" w:color="auto" w:fill="auto"/>
            <w:tcMar>
              <w:top w:w="0" w:type="dxa"/>
              <w:left w:w="0" w:type="dxa"/>
              <w:bottom w:w="0" w:type="dxa"/>
              <w:right w:w="0" w:type="dxa"/>
            </w:tcMar>
            <w:vAlign w:val="bottom"/>
          </w:tcPr>
          <w:p w14:paraId="3830BDB9"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30</w:t>
            </w:r>
          </w:p>
        </w:tc>
        <w:tc>
          <w:tcPr>
            <w:tcW w:w="715" w:type="dxa"/>
            <w:shd w:val="clear" w:color="auto" w:fill="auto"/>
            <w:tcMar>
              <w:top w:w="0" w:type="dxa"/>
              <w:left w:w="0" w:type="dxa"/>
              <w:bottom w:w="0" w:type="dxa"/>
              <w:right w:w="0" w:type="dxa"/>
            </w:tcMar>
            <w:vAlign w:val="bottom"/>
          </w:tcPr>
          <w:p w14:paraId="40EB292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w:t>
            </w:r>
          </w:p>
        </w:tc>
      </w:tr>
      <w:tr w:rsidR="00653B7F" w:rsidRPr="00E51EF5" w14:paraId="0FDB2A21" w14:textId="77777777" w:rsidTr="00E51EF5">
        <w:tc>
          <w:tcPr>
            <w:tcW w:w="2209" w:type="dxa"/>
            <w:shd w:val="clear" w:color="auto" w:fill="auto"/>
            <w:tcMar>
              <w:top w:w="0" w:type="dxa"/>
              <w:left w:w="0" w:type="dxa"/>
              <w:bottom w:w="0" w:type="dxa"/>
              <w:right w:w="0" w:type="dxa"/>
            </w:tcMar>
          </w:tcPr>
          <w:p w14:paraId="757F51D8"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w:t>
            </w:r>
            <w:r w:rsidRPr="00E51EF5">
              <w:rPr>
                <w:noProof/>
                <w:sz w:val="18"/>
                <w:lang w:val="fr-FR"/>
              </w:rPr>
              <w:t>9 de</w:t>
            </w:r>
            <w:r w:rsidR="00E51EF5">
              <w:rPr>
                <w:noProof/>
                <w:sz w:val="18"/>
                <w:lang w:val="fr-FR"/>
              </w:rPr>
              <w:t> </w:t>
            </w:r>
            <w:r w:rsidRPr="00E51EF5">
              <w:rPr>
                <w:noProof/>
                <w:sz w:val="18"/>
                <w:lang w:val="fr-FR"/>
              </w:rPr>
              <w:t>San Salvador</w:t>
            </w:r>
          </w:p>
        </w:tc>
        <w:tc>
          <w:tcPr>
            <w:tcW w:w="716" w:type="dxa"/>
            <w:shd w:val="clear" w:color="auto" w:fill="auto"/>
            <w:tcMar>
              <w:top w:w="0" w:type="dxa"/>
              <w:left w:w="0" w:type="dxa"/>
              <w:bottom w:w="0" w:type="dxa"/>
              <w:right w:w="0" w:type="dxa"/>
            </w:tcMar>
            <w:vAlign w:val="bottom"/>
          </w:tcPr>
          <w:p w14:paraId="3073D4BD"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28</w:t>
            </w:r>
          </w:p>
        </w:tc>
        <w:tc>
          <w:tcPr>
            <w:tcW w:w="715" w:type="dxa"/>
            <w:shd w:val="clear" w:color="auto" w:fill="auto"/>
            <w:tcMar>
              <w:top w:w="0" w:type="dxa"/>
              <w:left w:w="0" w:type="dxa"/>
              <w:bottom w:w="0" w:type="dxa"/>
              <w:right w:w="0" w:type="dxa"/>
            </w:tcMar>
            <w:vAlign w:val="bottom"/>
          </w:tcPr>
          <w:p w14:paraId="66B5278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47</w:t>
            </w:r>
          </w:p>
        </w:tc>
        <w:tc>
          <w:tcPr>
            <w:tcW w:w="715" w:type="dxa"/>
            <w:shd w:val="clear" w:color="auto" w:fill="auto"/>
            <w:tcMar>
              <w:top w:w="0" w:type="dxa"/>
              <w:left w:w="0" w:type="dxa"/>
              <w:bottom w:w="0" w:type="dxa"/>
              <w:right w:w="0" w:type="dxa"/>
            </w:tcMar>
            <w:vAlign w:val="bottom"/>
          </w:tcPr>
          <w:p w14:paraId="4EB97FB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36</w:t>
            </w:r>
          </w:p>
        </w:tc>
        <w:tc>
          <w:tcPr>
            <w:tcW w:w="715" w:type="dxa"/>
            <w:shd w:val="clear" w:color="auto" w:fill="auto"/>
            <w:tcMar>
              <w:top w:w="0" w:type="dxa"/>
              <w:left w:w="0" w:type="dxa"/>
              <w:bottom w:w="0" w:type="dxa"/>
              <w:right w:w="0" w:type="dxa"/>
            </w:tcMar>
            <w:vAlign w:val="bottom"/>
          </w:tcPr>
          <w:p w14:paraId="3D647E7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52</w:t>
            </w:r>
          </w:p>
        </w:tc>
        <w:tc>
          <w:tcPr>
            <w:tcW w:w="715" w:type="dxa"/>
            <w:shd w:val="clear" w:color="auto" w:fill="auto"/>
            <w:tcMar>
              <w:top w:w="0" w:type="dxa"/>
              <w:left w:w="0" w:type="dxa"/>
              <w:bottom w:w="0" w:type="dxa"/>
              <w:right w:w="0" w:type="dxa"/>
            </w:tcMar>
            <w:vAlign w:val="bottom"/>
          </w:tcPr>
          <w:p w14:paraId="535595C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40</w:t>
            </w:r>
          </w:p>
        </w:tc>
        <w:tc>
          <w:tcPr>
            <w:tcW w:w="715" w:type="dxa"/>
            <w:shd w:val="clear" w:color="auto" w:fill="auto"/>
            <w:tcMar>
              <w:top w:w="0" w:type="dxa"/>
              <w:left w:w="0" w:type="dxa"/>
              <w:bottom w:w="0" w:type="dxa"/>
              <w:right w:w="0" w:type="dxa"/>
            </w:tcMar>
            <w:vAlign w:val="bottom"/>
          </w:tcPr>
          <w:p w14:paraId="155F72E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42</w:t>
            </w:r>
          </w:p>
        </w:tc>
        <w:tc>
          <w:tcPr>
            <w:tcW w:w="715" w:type="dxa"/>
            <w:shd w:val="clear" w:color="auto" w:fill="auto"/>
            <w:tcMar>
              <w:top w:w="0" w:type="dxa"/>
              <w:left w:w="0" w:type="dxa"/>
              <w:bottom w:w="0" w:type="dxa"/>
              <w:right w:w="0" w:type="dxa"/>
            </w:tcMar>
            <w:vAlign w:val="bottom"/>
          </w:tcPr>
          <w:p w14:paraId="09C87EB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21</w:t>
            </w:r>
          </w:p>
        </w:tc>
        <w:tc>
          <w:tcPr>
            <w:tcW w:w="715" w:type="dxa"/>
            <w:shd w:val="clear" w:color="auto" w:fill="auto"/>
            <w:tcMar>
              <w:top w:w="0" w:type="dxa"/>
              <w:left w:w="0" w:type="dxa"/>
              <w:bottom w:w="0" w:type="dxa"/>
              <w:right w:w="0" w:type="dxa"/>
            </w:tcMar>
            <w:vAlign w:val="bottom"/>
          </w:tcPr>
          <w:p w14:paraId="6BB2B235"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33</w:t>
            </w:r>
          </w:p>
        </w:tc>
        <w:tc>
          <w:tcPr>
            <w:tcW w:w="715" w:type="dxa"/>
            <w:shd w:val="clear" w:color="auto" w:fill="auto"/>
            <w:tcMar>
              <w:top w:w="0" w:type="dxa"/>
              <w:left w:w="0" w:type="dxa"/>
              <w:bottom w:w="0" w:type="dxa"/>
              <w:right w:w="0" w:type="dxa"/>
            </w:tcMar>
            <w:vAlign w:val="bottom"/>
          </w:tcPr>
          <w:p w14:paraId="416B992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36</w:t>
            </w:r>
          </w:p>
        </w:tc>
        <w:tc>
          <w:tcPr>
            <w:tcW w:w="715" w:type="dxa"/>
            <w:shd w:val="clear" w:color="auto" w:fill="auto"/>
            <w:tcMar>
              <w:top w:w="0" w:type="dxa"/>
              <w:left w:w="0" w:type="dxa"/>
              <w:bottom w:w="0" w:type="dxa"/>
              <w:right w:w="0" w:type="dxa"/>
            </w:tcMar>
            <w:vAlign w:val="bottom"/>
          </w:tcPr>
          <w:p w14:paraId="57DE8D2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w:t>
            </w:r>
          </w:p>
        </w:tc>
      </w:tr>
      <w:tr w:rsidR="00653B7F" w:rsidRPr="00E51EF5" w14:paraId="2674F70C" w14:textId="77777777" w:rsidTr="00E51EF5">
        <w:tc>
          <w:tcPr>
            <w:tcW w:w="2209" w:type="dxa"/>
            <w:shd w:val="clear" w:color="auto" w:fill="auto"/>
            <w:tcMar>
              <w:top w:w="0" w:type="dxa"/>
              <w:left w:w="0" w:type="dxa"/>
              <w:bottom w:w="0" w:type="dxa"/>
              <w:right w:w="0" w:type="dxa"/>
            </w:tcMar>
          </w:tcPr>
          <w:p w14:paraId="65EBF699"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10</w:t>
            </w:r>
            <w:r w:rsidRPr="00E51EF5">
              <w:rPr>
                <w:noProof/>
                <w:sz w:val="18"/>
                <w:lang w:val="fr-FR"/>
              </w:rPr>
              <w:t xml:space="preserve"> de</w:t>
            </w:r>
            <w:r w:rsidR="00E51EF5">
              <w:rPr>
                <w:noProof/>
                <w:sz w:val="18"/>
                <w:lang w:val="fr-FR"/>
              </w:rPr>
              <w:t> </w:t>
            </w:r>
            <w:r w:rsidRPr="00E51EF5">
              <w:rPr>
                <w:noProof/>
                <w:sz w:val="18"/>
                <w:lang w:val="fr-FR"/>
              </w:rPr>
              <w:t>San Salvador</w:t>
            </w:r>
          </w:p>
        </w:tc>
        <w:tc>
          <w:tcPr>
            <w:tcW w:w="716" w:type="dxa"/>
            <w:shd w:val="clear" w:color="auto" w:fill="auto"/>
            <w:tcMar>
              <w:top w:w="0" w:type="dxa"/>
              <w:left w:w="0" w:type="dxa"/>
              <w:bottom w:w="0" w:type="dxa"/>
              <w:right w:w="0" w:type="dxa"/>
            </w:tcMar>
            <w:vAlign w:val="bottom"/>
          </w:tcPr>
          <w:p w14:paraId="286037C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11</w:t>
            </w:r>
          </w:p>
        </w:tc>
        <w:tc>
          <w:tcPr>
            <w:tcW w:w="715" w:type="dxa"/>
            <w:shd w:val="clear" w:color="auto" w:fill="auto"/>
            <w:tcMar>
              <w:top w:w="0" w:type="dxa"/>
              <w:left w:w="0" w:type="dxa"/>
              <w:bottom w:w="0" w:type="dxa"/>
              <w:right w:w="0" w:type="dxa"/>
            </w:tcMar>
            <w:vAlign w:val="bottom"/>
          </w:tcPr>
          <w:p w14:paraId="0E48B23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16</w:t>
            </w:r>
          </w:p>
        </w:tc>
        <w:tc>
          <w:tcPr>
            <w:tcW w:w="715" w:type="dxa"/>
            <w:shd w:val="clear" w:color="auto" w:fill="auto"/>
            <w:tcMar>
              <w:top w:w="0" w:type="dxa"/>
              <w:left w:w="0" w:type="dxa"/>
              <w:bottom w:w="0" w:type="dxa"/>
              <w:right w:w="0" w:type="dxa"/>
            </w:tcMar>
            <w:vAlign w:val="bottom"/>
          </w:tcPr>
          <w:p w14:paraId="15EA01E3"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31</w:t>
            </w:r>
          </w:p>
        </w:tc>
        <w:tc>
          <w:tcPr>
            <w:tcW w:w="715" w:type="dxa"/>
            <w:shd w:val="clear" w:color="auto" w:fill="auto"/>
            <w:tcMar>
              <w:top w:w="0" w:type="dxa"/>
              <w:left w:w="0" w:type="dxa"/>
              <w:bottom w:w="0" w:type="dxa"/>
              <w:right w:w="0" w:type="dxa"/>
            </w:tcMar>
            <w:vAlign w:val="bottom"/>
          </w:tcPr>
          <w:p w14:paraId="4D571863"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34</w:t>
            </w:r>
          </w:p>
        </w:tc>
        <w:tc>
          <w:tcPr>
            <w:tcW w:w="715" w:type="dxa"/>
            <w:shd w:val="clear" w:color="auto" w:fill="auto"/>
            <w:tcMar>
              <w:top w:w="0" w:type="dxa"/>
              <w:left w:w="0" w:type="dxa"/>
              <w:bottom w:w="0" w:type="dxa"/>
              <w:right w:w="0" w:type="dxa"/>
            </w:tcMar>
            <w:vAlign w:val="bottom"/>
          </w:tcPr>
          <w:p w14:paraId="214F6D47"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39</w:t>
            </w:r>
          </w:p>
        </w:tc>
        <w:tc>
          <w:tcPr>
            <w:tcW w:w="715" w:type="dxa"/>
            <w:shd w:val="clear" w:color="auto" w:fill="auto"/>
            <w:tcMar>
              <w:top w:w="0" w:type="dxa"/>
              <w:left w:w="0" w:type="dxa"/>
              <w:bottom w:w="0" w:type="dxa"/>
              <w:right w:w="0" w:type="dxa"/>
            </w:tcMar>
            <w:vAlign w:val="bottom"/>
          </w:tcPr>
          <w:p w14:paraId="7F1FF210"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34</w:t>
            </w:r>
          </w:p>
        </w:tc>
        <w:tc>
          <w:tcPr>
            <w:tcW w:w="715" w:type="dxa"/>
            <w:shd w:val="clear" w:color="auto" w:fill="auto"/>
            <w:tcMar>
              <w:top w:w="0" w:type="dxa"/>
              <w:left w:w="0" w:type="dxa"/>
              <w:bottom w:w="0" w:type="dxa"/>
              <w:right w:w="0" w:type="dxa"/>
            </w:tcMar>
            <w:vAlign w:val="bottom"/>
          </w:tcPr>
          <w:p w14:paraId="079655A3"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25</w:t>
            </w:r>
          </w:p>
        </w:tc>
        <w:tc>
          <w:tcPr>
            <w:tcW w:w="715" w:type="dxa"/>
            <w:shd w:val="clear" w:color="auto" w:fill="auto"/>
            <w:tcMar>
              <w:top w:w="0" w:type="dxa"/>
              <w:left w:w="0" w:type="dxa"/>
              <w:bottom w:w="0" w:type="dxa"/>
              <w:right w:w="0" w:type="dxa"/>
            </w:tcMar>
            <w:vAlign w:val="bottom"/>
          </w:tcPr>
          <w:p w14:paraId="2D60119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41</w:t>
            </w:r>
          </w:p>
        </w:tc>
        <w:tc>
          <w:tcPr>
            <w:tcW w:w="715" w:type="dxa"/>
            <w:shd w:val="clear" w:color="auto" w:fill="auto"/>
            <w:tcMar>
              <w:top w:w="0" w:type="dxa"/>
              <w:left w:w="0" w:type="dxa"/>
              <w:bottom w:w="0" w:type="dxa"/>
              <w:right w:w="0" w:type="dxa"/>
            </w:tcMar>
            <w:vAlign w:val="bottom"/>
          </w:tcPr>
          <w:p w14:paraId="598F198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32</w:t>
            </w:r>
          </w:p>
        </w:tc>
        <w:tc>
          <w:tcPr>
            <w:tcW w:w="715" w:type="dxa"/>
            <w:shd w:val="clear" w:color="auto" w:fill="auto"/>
            <w:tcMar>
              <w:top w:w="0" w:type="dxa"/>
              <w:left w:w="0" w:type="dxa"/>
              <w:bottom w:w="0" w:type="dxa"/>
              <w:right w:w="0" w:type="dxa"/>
            </w:tcMar>
            <w:vAlign w:val="bottom"/>
          </w:tcPr>
          <w:p w14:paraId="61D43EA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8</w:t>
            </w:r>
          </w:p>
        </w:tc>
      </w:tr>
      <w:tr w:rsidR="00653B7F" w:rsidRPr="00E51EF5" w14:paraId="1E1BF5E0" w14:textId="77777777" w:rsidTr="00E51EF5">
        <w:tc>
          <w:tcPr>
            <w:tcW w:w="2209" w:type="dxa"/>
            <w:shd w:val="clear" w:color="auto" w:fill="auto"/>
            <w:tcMar>
              <w:top w:w="0" w:type="dxa"/>
              <w:left w:w="0" w:type="dxa"/>
              <w:bottom w:w="0" w:type="dxa"/>
              <w:right w:w="0" w:type="dxa"/>
            </w:tcMar>
          </w:tcPr>
          <w:p w14:paraId="7036416D"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Justice de paix n</w:t>
            </w:r>
            <w:r w:rsidRPr="00E51EF5">
              <w:rPr>
                <w:noProof/>
                <w:sz w:val="18"/>
                <w:vertAlign w:val="superscript"/>
                <w:lang w:val="fr-FR"/>
              </w:rPr>
              <w:t>o</w:t>
            </w:r>
            <w:r w:rsidR="00E51EF5">
              <w:rPr>
                <w:noProof/>
                <w:sz w:val="18"/>
                <w:lang w:val="fr-FR"/>
              </w:rPr>
              <w:t> </w:t>
            </w:r>
            <w:r w:rsidRPr="00E51EF5">
              <w:rPr>
                <w:noProof/>
                <w:sz w:val="18"/>
                <w:lang w:val="fr-FR"/>
              </w:rPr>
              <w:t>13 de</w:t>
            </w:r>
            <w:r w:rsidR="00E51EF5">
              <w:rPr>
                <w:noProof/>
                <w:sz w:val="18"/>
                <w:lang w:val="fr-FR"/>
              </w:rPr>
              <w:t> </w:t>
            </w:r>
            <w:r w:rsidRPr="00E51EF5">
              <w:rPr>
                <w:noProof/>
                <w:sz w:val="18"/>
                <w:lang w:val="fr-FR"/>
              </w:rPr>
              <w:t>San Salvador</w:t>
            </w:r>
          </w:p>
        </w:tc>
        <w:tc>
          <w:tcPr>
            <w:tcW w:w="716" w:type="dxa"/>
            <w:shd w:val="clear" w:color="auto" w:fill="auto"/>
            <w:tcMar>
              <w:top w:w="0" w:type="dxa"/>
              <w:left w:w="0" w:type="dxa"/>
              <w:bottom w:w="0" w:type="dxa"/>
              <w:right w:w="0" w:type="dxa"/>
            </w:tcMar>
            <w:vAlign w:val="bottom"/>
          </w:tcPr>
          <w:p w14:paraId="6C78EA0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25</w:t>
            </w:r>
          </w:p>
        </w:tc>
        <w:tc>
          <w:tcPr>
            <w:tcW w:w="715" w:type="dxa"/>
            <w:shd w:val="clear" w:color="auto" w:fill="auto"/>
            <w:tcMar>
              <w:top w:w="0" w:type="dxa"/>
              <w:left w:w="0" w:type="dxa"/>
              <w:bottom w:w="0" w:type="dxa"/>
              <w:right w:w="0" w:type="dxa"/>
            </w:tcMar>
            <w:vAlign w:val="bottom"/>
          </w:tcPr>
          <w:p w14:paraId="75B7236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27</w:t>
            </w:r>
          </w:p>
        </w:tc>
        <w:tc>
          <w:tcPr>
            <w:tcW w:w="715" w:type="dxa"/>
            <w:shd w:val="clear" w:color="auto" w:fill="auto"/>
            <w:tcMar>
              <w:top w:w="0" w:type="dxa"/>
              <w:left w:w="0" w:type="dxa"/>
              <w:bottom w:w="0" w:type="dxa"/>
              <w:right w:w="0" w:type="dxa"/>
            </w:tcMar>
            <w:vAlign w:val="bottom"/>
          </w:tcPr>
          <w:p w14:paraId="0DD6E37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37</w:t>
            </w:r>
          </w:p>
        </w:tc>
        <w:tc>
          <w:tcPr>
            <w:tcW w:w="715" w:type="dxa"/>
            <w:shd w:val="clear" w:color="auto" w:fill="auto"/>
            <w:tcMar>
              <w:top w:w="0" w:type="dxa"/>
              <w:left w:w="0" w:type="dxa"/>
              <w:bottom w:w="0" w:type="dxa"/>
              <w:right w:w="0" w:type="dxa"/>
            </w:tcMar>
            <w:vAlign w:val="bottom"/>
          </w:tcPr>
          <w:p w14:paraId="07E02D9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47</w:t>
            </w:r>
          </w:p>
        </w:tc>
        <w:tc>
          <w:tcPr>
            <w:tcW w:w="715" w:type="dxa"/>
            <w:shd w:val="clear" w:color="auto" w:fill="auto"/>
            <w:tcMar>
              <w:top w:w="0" w:type="dxa"/>
              <w:left w:w="0" w:type="dxa"/>
              <w:bottom w:w="0" w:type="dxa"/>
              <w:right w:w="0" w:type="dxa"/>
            </w:tcMar>
            <w:vAlign w:val="bottom"/>
          </w:tcPr>
          <w:p w14:paraId="3E427F0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39</w:t>
            </w:r>
          </w:p>
        </w:tc>
        <w:tc>
          <w:tcPr>
            <w:tcW w:w="715" w:type="dxa"/>
            <w:shd w:val="clear" w:color="auto" w:fill="auto"/>
            <w:tcMar>
              <w:top w:w="0" w:type="dxa"/>
              <w:left w:w="0" w:type="dxa"/>
              <w:bottom w:w="0" w:type="dxa"/>
              <w:right w:w="0" w:type="dxa"/>
            </w:tcMar>
            <w:vAlign w:val="bottom"/>
          </w:tcPr>
          <w:p w14:paraId="18111D9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30</w:t>
            </w:r>
          </w:p>
        </w:tc>
        <w:tc>
          <w:tcPr>
            <w:tcW w:w="715" w:type="dxa"/>
            <w:shd w:val="clear" w:color="auto" w:fill="auto"/>
            <w:tcMar>
              <w:top w:w="0" w:type="dxa"/>
              <w:left w:w="0" w:type="dxa"/>
              <w:bottom w:w="0" w:type="dxa"/>
              <w:right w:w="0" w:type="dxa"/>
            </w:tcMar>
            <w:vAlign w:val="bottom"/>
          </w:tcPr>
          <w:p w14:paraId="63A8299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28</w:t>
            </w:r>
          </w:p>
        </w:tc>
        <w:tc>
          <w:tcPr>
            <w:tcW w:w="715" w:type="dxa"/>
            <w:shd w:val="clear" w:color="auto" w:fill="auto"/>
            <w:tcMar>
              <w:top w:w="0" w:type="dxa"/>
              <w:left w:w="0" w:type="dxa"/>
              <w:bottom w:w="0" w:type="dxa"/>
              <w:right w:w="0" w:type="dxa"/>
            </w:tcMar>
            <w:vAlign w:val="bottom"/>
          </w:tcPr>
          <w:p w14:paraId="454FEDC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24</w:t>
            </w:r>
          </w:p>
        </w:tc>
        <w:tc>
          <w:tcPr>
            <w:tcW w:w="715" w:type="dxa"/>
            <w:shd w:val="clear" w:color="auto" w:fill="auto"/>
            <w:tcMar>
              <w:top w:w="0" w:type="dxa"/>
              <w:left w:w="0" w:type="dxa"/>
              <w:bottom w:w="0" w:type="dxa"/>
              <w:right w:w="0" w:type="dxa"/>
            </w:tcMar>
            <w:vAlign w:val="bottom"/>
          </w:tcPr>
          <w:p w14:paraId="2662C5E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20</w:t>
            </w:r>
          </w:p>
        </w:tc>
        <w:tc>
          <w:tcPr>
            <w:tcW w:w="715" w:type="dxa"/>
            <w:shd w:val="clear" w:color="auto" w:fill="auto"/>
            <w:tcMar>
              <w:top w:w="0" w:type="dxa"/>
              <w:left w:w="0" w:type="dxa"/>
              <w:bottom w:w="0" w:type="dxa"/>
              <w:right w:w="0" w:type="dxa"/>
            </w:tcMar>
            <w:vAlign w:val="bottom"/>
          </w:tcPr>
          <w:p w14:paraId="364F5FD3"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10</w:t>
            </w:r>
          </w:p>
        </w:tc>
      </w:tr>
      <w:tr w:rsidR="00653B7F" w:rsidRPr="00E51EF5" w14:paraId="6B73B815" w14:textId="77777777" w:rsidTr="00E51EF5">
        <w:tc>
          <w:tcPr>
            <w:tcW w:w="2209" w:type="dxa"/>
            <w:shd w:val="clear" w:color="auto" w:fill="auto"/>
            <w:tcMar>
              <w:top w:w="0" w:type="dxa"/>
              <w:left w:w="0" w:type="dxa"/>
              <w:bottom w:w="0" w:type="dxa"/>
              <w:right w:w="0" w:type="dxa"/>
            </w:tcMar>
          </w:tcPr>
          <w:p w14:paraId="31B44C25"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Tribunal de sentencia n</w:t>
            </w:r>
            <w:r w:rsidRPr="00E51EF5">
              <w:rPr>
                <w:noProof/>
                <w:sz w:val="18"/>
                <w:vertAlign w:val="superscript"/>
                <w:lang w:val="fr-FR"/>
              </w:rPr>
              <w:t>o</w:t>
            </w:r>
            <w:r w:rsidR="00E51EF5">
              <w:rPr>
                <w:noProof/>
                <w:sz w:val="18"/>
                <w:lang w:val="fr-FR"/>
              </w:rPr>
              <w:t> </w:t>
            </w:r>
            <w:r w:rsidRPr="00E51EF5">
              <w:rPr>
                <w:noProof/>
                <w:sz w:val="18"/>
                <w:lang w:val="fr-FR"/>
              </w:rPr>
              <w:t>1 de San Salvador</w:t>
            </w:r>
          </w:p>
        </w:tc>
        <w:tc>
          <w:tcPr>
            <w:tcW w:w="716" w:type="dxa"/>
            <w:shd w:val="clear" w:color="auto" w:fill="auto"/>
            <w:tcMar>
              <w:top w:w="0" w:type="dxa"/>
              <w:left w:w="0" w:type="dxa"/>
              <w:bottom w:w="0" w:type="dxa"/>
              <w:right w:w="0" w:type="dxa"/>
            </w:tcMar>
            <w:vAlign w:val="bottom"/>
          </w:tcPr>
          <w:p w14:paraId="6CDA0300"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w:t>
            </w:r>
          </w:p>
        </w:tc>
        <w:tc>
          <w:tcPr>
            <w:tcW w:w="715" w:type="dxa"/>
            <w:shd w:val="clear" w:color="auto" w:fill="auto"/>
            <w:tcMar>
              <w:top w:w="0" w:type="dxa"/>
              <w:left w:w="0" w:type="dxa"/>
              <w:bottom w:w="0" w:type="dxa"/>
              <w:right w:w="0" w:type="dxa"/>
            </w:tcMar>
            <w:vAlign w:val="bottom"/>
          </w:tcPr>
          <w:p w14:paraId="02B215D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w:t>
            </w:r>
          </w:p>
        </w:tc>
        <w:tc>
          <w:tcPr>
            <w:tcW w:w="715" w:type="dxa"/>
            <w:shd w:val="clear" w:color="auto" w:fill="auto"/>
            <w:tcMar>
              <w:top w:w="0" w:type="dxa"/>
              <w:left w:w="0" w:type="dxa"/>
              <w:bottom w:w="0" w:type="dxa"/>
              <w:right w:w="0" w:type="dxa"/>
            </w:tcMar>
            <w:vAlign w:val="bottom"/>
          </w:tcPr>
          <w:p w14:paraId="04FD39F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w:t>
            </w:r>
          </w:p>
        </w:tc>
        <w:tc>
          <w:tcPr>
            <w:tcW w:w="715" w:type="dxa"/>
            <w:shd w:val="clear" w:color="auto" w:fill="auto"/>
            <w:tcMar>
              <w:top w:w="0" w:type="dxa"/>
              <w:left w:w="0" w:type="dxa"/>
              <w:bottom w:w="0" w:type="dxa"/>
              <w:right w:w="0" w:type="dxa"/>
            </w:tcMar>
            <w:vAlign w:val="bottom"/>
          </w:tcPr>
          <w:p w14:paraId="01A5968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w:t>
            </w:r>
          </w:p>
        </w:tc>
        <w:tc>
          <w:tcPr>
            <w:tcW w:w="715" w:type="dxa"/>
            <w:shd w:val="clear" w:color="auto" w:fill="auto"/>
            <w:tcMar>
              <w:top w:w="0" w:type="dxa"/>
              <w:left w:w="0" w:type="dxa"/>
              <w:bottom w:w="0" w:type="dxa"/>
              <w:right w:w="0" w:type="dxa"/>
            </w:tcMar>
            <w:vAlign w:val="bottom"/>
          </w:tcPr>
          <w:p w14:paraId="488D2CD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7</w:t>
            </w:r>
          </w:p>
        </w:tc>
        <w:tc>
          <w:tcPr>
            <w:tcW w:w="715" w:type="dxa"/>
            <w:shd w:val="clear" w:color="auto" w:fill="auto"/>
            <w:tcMar>
              <w:top w:w="0" w:type="dxa"/>
              <w:left w:w="0" w:type="dxa"/>
              <w:bottom w:w="0" w:type="dxa"/>
              <w:right w:w="0" w:type="dxa"/>
            </w:tcMar>
            <w:vAlign w:val="bottom"/>
          </w:tcPr>
          <w:p w14:paraId="6AFE7406"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w:t>
            </w:r>
          </w:p>
        </w:tc>
        <w:tc>
          <w:tcPr>
            <w:tcW w:w="715" w:type="dxa"/>
            <w:shd w:val="clear" w:color="auto" w:fill="auto"/>
            <w:tcMar>
              <w:top w:w="0" w:type="dxa"/>
              <w:left w:w="0" w:type="dxa"/>
              <w:bottom w:w="0" w:type="dxa"/>
              <w:right w:w="0" w:type="dxa"/>
            </w:tcMar>
            <w:vAlign w:val="bottom"/>
          </w:tcPr>
          <w:p w14:paraId="3EB5FDD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w:t>
            </w:r>
          </w:p>
        </w:tc>
        <w:tc>
          <w:tcPr>
            <w:tcW w:w="715" w:type="dxa"/>
            <w:shd w:val="clear" w:color="auto" w:fill="auto"/>
            <w:tcMar>
              <w:top w:w="0" w:type="dxa"/>
              <w:left w:w="0" w:type="dxa"/>
              <w:bottom w:w="0" w:type="dxa"/>
              <w:right w:w="0" w:type="dxa"/>
            </w:tcMar>
            <w:vAlign w:val="bottom"/>
          </w:tcPr>
          <w:p w14:paraId="66D918D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8</w:t>
            </w:r>
          </w:p>
        </w:tc>
        <w:tc>
          <w:tcPr>
            <w:tcW w:w="715" w:type="dxa"/>
            <w:shd w:val="clear" w:color="auto" w:fill="auto"/>
            <w:tcMar>
              <w:top w:w="0" w:type="dxa"/>
              <w:left w:w="0" w:type="dxa"/>
              <w:bottom w:w="0" w:type="dxa"/>
              <w:right w:w="0" w:type="dxa"/>
            </w:tcMar>
            <w:vAlign w:val="bottom"/>
          </w:tcPr>
          <w:p w14:paraId="319BFA1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7</w:t>
            </w:r>
          </w:p>
        </w:tc>
        <w:tc>
          <w:tcPr>
            <w:tcW w:w="715" w:type="dxa"/>
            <w:shd w:val="clear" w:color="auto" w:fill="auto"/>
            <w:tcMar>
              <w:top w:w="0" w:type="dxa"/>
              <w:left w:w="0" w:type="dxa"/>
              <w:bottom w:w="0" w:type="dxa"/>
              <w:right w:w="0" w:type="dxa"/>
            </w:tcMar>
            <w:vAlign w:val="bottom"/>
          </w:tcPr>
          <w:p w14:paraId="47D5ADA7"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0</w:t>
            </w:r>
          </w:p>
        </w:tc>
      </w:tr>
      <w:tr w:rsidR="00653B7F" w:rsidRPr="00E51EF5" w14:paraId="2ECE5B46" w14:textId="77777777" w:rsidTr="00E51EF5">
        <w:tc>
          <w:tcPr>
            <w:tcW w:w="2209" w:type="dxa"/>
            <w:shd w:val="clear" w:color="auto" w:fill="auto"/>
            <w:tcMar>
              <w:top w:w="0" w:type="dxa"/>
              <w:left w:w="0" w:type="dxa"/>
              <w:bottom w:w="0" w:type="dxa"/>
              <w:right w:w="0" w:type="dxa"/>
            </w:tcMar>
          </w:tcPr>
          <w:p w14:paraId="5169E45B"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Tribunal de sentencia n</w:t>
            </w:r>
            <w:r w:rsidRPr="00E51EF5">
              <w:rPr>
                <w:noProof/>
                <w:sz w:val="18"/>
                <w:vertAlign w:val="superscript"/>
                <w:lang w:val="fr-FR"/>
              </w:rPr>
              <w:t>o</w:t>
            </w:r>
            <w:r w:rsidR="00E51EF5">
              <w:rPr>
                <w:noProof/>
                <w:sz w:val="18"/>
                <w:lang w:val="fr-FR"/>
              </w:rPr>
              <w:t> </w:t>
            </w:r>
            <w:r w:rsidRPr="00E51EF5">
              <w:rPr>
                <w:noProof/>
                <w:sz w:val="18"/>
                <w:lang w:val="fr-FR"/>
              </w:rPr>
              <w:t>3 de San Salvador</w:t>
            </w:r>
          </w:p>
        </w:tc>
        <w:tc>
          <w:tcPr>
            <w:tcW w:w="716" w:type="dxa"/>
            <w:shd w:val="clear" w:color="auto" w:fill="auto"/>
            <w:tcMar>
              <w:top w:w="0" w:type="dxa"/>
              <w:left w:w="0" w:type="dxa"/>
              <w:bottom w:w="0" w:type="dxa"/>
              <w:right w:w="0" w:type="dxa"/>
            </w:tcMar>
            <w:vAlign w:val="bottom"/>
          </w:tcPr>
          <w:p w14:paraId="666A521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17DC5729"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7B087DB5"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0FCB8357"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0D7A5A6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29E9F070"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0EB9D12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099A990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w:t>
            </w:r>
          </w:p>
        </w:tc>
        <w:tc>
          <w:tcPr>
            <w:tcW w:w="715" w:type="dxa"/>
            <w:shd w:val="clear" w:color="auto" w:fill="auto"/>
            <w:tcMar>
              <w:top w:w="0" w:type="dxa"/>
              <w:left w:w="0" w:type="dxa"/>
              <w:bottom w:w="0" w:type="dxa"/>
              <w:right w:w="0" w:type="dxa"/>
            </w:tcMar>
            <w:vAlign w:val="bottom"/>
          </w:tcPr>
          <w:p w14:paraId="0AEE11D7"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6A2F2C96"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r>
      <w:tr w:rsidR="00653B7F" w:rsidRPr="00E51EF5" w14:paraId="0328561E" w14:textId="77777777" w:rsidTr="00E51EF5">
        <w:tc>
          <w:tcPr>
            <w:tcW w:w="2209" w:type="dxa"/>
            <w:shd w:val="clear" w:color="auto" w:fill="auto"/>
            <w:tcMar>
              <w:top w:w="0" w:type="dxa"/>
              <w:left w:w="0" w:type="dxa"/>
              <w:bottom w:w="0" w:type="dxa"/>
              <w:right w:w="0" w:type="dxa"/>
            </w:tcMar>
          </w:tcPr>
          <w:p w14:paraId="3D904BAB"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Tribunal de sentencia n</w:t>
            </w:r>
            <w:r w:rsidRPr="00E51EF5">
              <w:rPr>
                <w:noProof/>
                <w:sz w:val="18"/>
                <w:vertAlign w:val="superscript"/>
                <w:lang w:val="fr-FR"/>
              </w:rPr>
              <w:t>o</w:t>
            </w:r>
            <w:r w:rsidR="00637469">
              <w:rPr>
                <w:noProof/>
                <w:sz w:val="18"/>
                <w:lang w:val="fr-FR"/>
              </w:rPr>
              <w:t> </w:t>
            </w:r>
            <w:r w:rsidRPr="00E51EF5">
              <w:rPr>
                <w:noProof/>
                <w:sz w:val="18"/>
                <w:lang w:val="fr-FR"/>
              </w:rPr>
              <w:t>4 de San Salvador</w:t>
            </w:r>
          </w:p>
        </w:tc>
        <w:tc>
          <w:tcPr>
            <w:tcW w:w="716" w:type="dxa"/>
            <w:shd w:val="clear" w:color="auto" w:fill="auto"/>
            <w:tcMar>
              <w:top w:w="0" w:type="dxa"/>
              <w:left w:w="0" w:type="dxa"/>
              <w:bottom w:w="0" w:type="dxa"/>
              <w:right w:w="0" w:type="dxa"/>
            </w:tcMar>
            <w:vAlign w:val="bottom"/>
          </w:tcPr>
          <w:p w14:paraId="63B3C4A6"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028BF2D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4DF0EAF7"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2E72E80A"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093C9E1B"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w:t>
            </w:r>
            <w:r w:rsidRPr="00E51EF5">
              <w:rPr>
                <w:noProof/>
                <w:sz w:val="18"/>
                <w:lang w:val="fr-FR"/>
              </w:rPr>
              <w:sym w:font="Symbol" w:char="F02A"/>
            </w:r>
          </w:p>
        </w:tc>
        <w:tc>
          <w:tcPr>
            <w:tcW w:w="715" w:type="dxa"/>
            <w:shd w:val="clear" w:color="auto" w:fill="auto"/>
            <w:tcMar>
              <w:top w:w="0" w:type="dxa"/>
              <w:left w:w="0" w:type="dxa"/>
              <w:bottom w:w="0" w:type="dxa"/>
              <w:right w:w="0" w:type="dxa"/>
            </w:tcMar>
            <w:vAlign w:val="bottom"/>
          </w:tcPr>
          <w:p w14:paraId="758A1672"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4D8C0CC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w:t>
            </w:r>
            <w:r w:rsidRPr="00E51EF5">
              <w:rPr>
                <w:noProof/>
                <w:sz w:val="18"/>
                <w:lang w:val="fr-FR"/>
              </w:rPr>
              <w:sym w:font="Symbol" w:char="F02A"/>
            </w:r>
          </w:p>
        </w:tc>
        <w:tc>
          <w:tcPr>
            <w:tcW w:w="715" w:type="dxa"/>
            <w:shd w:val="clear" w:color="auto" w:fill="auto"/>
            <w:tcMar>
              <w:top w:w="0" w:type="dxa"/>
              <w:left w:w="0" w:type="dxa"/>
              <w:bottom w:w="0" w:type="dxa"/>
              <w:right w:w="0" w:type="dxa"/>
            </w:tcMar>
            <w:vAlign w:val="bottom"/>
          </w:tcPr>
          <w:p w14:paraId="10D3D1D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2925F5E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shd w:val="clear" w:color="auto" w:fill="auto"/>
            <w:tcMar>
              <w:top w:w="0" w:type="dxa"/>
              <w:left w:w="0" w:type="dxa"/>
              <w:bottom w:w="0" w:type="dxa"/>
              <w:right w:w="0" w:type="dxa"/>
            </w:tcMar>
            <w:vAlign w:val="bottom"/>
          </w:tcPr>
          <w:p w14:paraId="30568B3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r>
      <w:tr w:rsidR="00653B7F" w:rsidRPr="00E51EF5" w14:paraId="7B264D4A" w14:textId="77777777" w:rsidTr="00E51EF5">
        <w:tc>
          <w:tcPr>
            <w:tcW w:w="2209" w:type="dxa"/>
            <w:shd w:val="clear" w:color="auto" w:fill="auto"/>
            <w:tcMar>
              <w:top w:w="0" w:type="dxa"/>
              <w:left w:w="0" w:type="dxa"/>
              <w:bottom w:w="0" w:type="dxa"/>
              <w:right w:w="0" w:type="dxa"/>
            </w:tcMar>
          </w:tcPr>
          <w:p w14:paraId="3D7C5DCB"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Tribunal n</w:t>
            </w:r>
            <w:r w:rsidRPr="00E51EF5">
              <w:rPr>
                <w:noProof/>
                <w:sz w:val="18"/>
                <w:vertAlign w:val="superscript"/>
                <w:lang w:val="fr-FR"/>
              </w:rPr>
              <w:t>o</w:t>
            </w:r>
            <w:r w:rsidR="00407F8A">
              <w:rPr>
                <w:noProof/>
                <w:sz w:val="18"/>
                <w:lang w:val="fr-FR"/>
              </w:rPr>
              <w:t> </w:t>
            </w:r>
            <w:r w:rsidRPr="00E51EF5">
              <w:rPr>
                <w:noProof/>
                <w:sz w:val="18"/>
                <w:lang w:val="fr-FR"/>
              </w:rPr>
              <w:t>2 du contrôle pénitentiaire et de l</w:t>
            </w:r>
            <w:r w:rsidR="002A5D78">
              <w:rPr>
                <w:noProof/>
                <w:sz w:val="18"/>
                <w:lang w:val="fr-FR"/>
              </w:rPr>
              <w:t>’</w:t>
            </w:r>
            <w:r w:rsidRPr="00E51EF5">
              <w:rPr>
                <w:noProof/>
                <w:sz w:val="18"/>
                <w:lang w:val="fr-FR"/>
              </w:rPr>
              <w:t>application des peines de San Salvador</w:t>
            </w:r>
          </w:p>
        </w:tc>
        <w:tc>
          <w:tcPr>
            <w:tcW w:w="716" w:type="dxa"/>
            <w:shd w:val="clear" w:color="auto" w:fill="auto"/>
            <w:tcMar>
              <w:top w:w="0" w:type="dxa"/>
              <w:left w:w="0" w:type="dxa"/>
              <w:bottom w:w="0" w:type="dxa"/>
              <w:right w:w="0" w:type="dxa"/>
            </w:tcMar>
            <w:vAlign w:val="bottom"/>
          </w:tcPr>
          <w:p w14:paraId="6727049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169</w:t>
            </w:r>
          </w:p>
        </w:tc>
        <w:tc>
          <w:tcPr>
            <w:tcW w:w="715" w:type="dxa"/>
            <w:shd w:val="clear" w:color="auto" w:fill="auto"/>
            <w:tcMar>
              <w:top w:w="0" w:type="dxa"/>
              <w:left w:w="0" w:type="dxa"/>
              <w:bottom w:w="0" w:type="dxa"/>
              <w:right w:w="0" w:type="dxa"/>
            </w:tcMar>
            <w:vAlign w:val="bottom"/>
          </w:tcPr>
          <w:p w14:paraId="5EE92A5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225</w:t>
            </w:r>
          </w:p>
        </w:tc>
        <w:tc>
          <w:tcPr>
            <w:tcW w:w="715" w:type="dxa"/>
            <w:shd w:val="clear" w:color="auto" w:fill="auto"/>
            <w:tcMar>
              <w:top w:w="0" w:type="dxa"/>
              <w:left w:w="0" w:type="dxa"/>
              <w:bottom w:w="0" w:type="dxa"/>
              <w:right w:w="0" w:type="dxa"/>
            </w:tcMar>
            <w:vAlign w:val="bottom"/>
          </w:tcPr>
          <w:p w14:paraId="320B337D"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225</w:t>
            </w:r>
          </w:p>
        </w:tc>
        <w:tc>
          <w:tcPr>
            <w:tcW w:w="715" w:type="dxa"/>
            <w:shd w:val="clear" w:color="auto" w:fill="auto"/>
            <w:tcMar>
              <w:top w:w="0" w:type="dxa"/>
              <w:left w:w="0" w:type="dxa"/>
              <w:bottom w:w="0" w:type="dxa"/>
              <w:right w:w="0" w:type="dxa"/>
            </w:tcMar>
            <w:vAlign w:val="bottom"/>
          </w:tcPr>
          <w:p w14:paraId="72C305FE"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186</w:t>
            </w:r>
          </w:p>
        </w:tc>
        <w:tc>
          <w:tcPr>
            <w:tcW w:w="715" w:type="dxa"/>
            <w:shd w:val="clear" w:color="auto" w:fill="auto"/>
            <w:tcMar>
              <w:top w:w="0" w:type="dxa"/>
              <w:left w:w="0" w:type="dxa"/>
              <w:bottom w:w="0" w:type="dxa"/>
              <w:right w:w="0" w:type="dxa"/>
            </w:tcMar>
            <w:vAlign w:val="bottom"/>
          </w:tcPr>
          <w:p w14:paraId="3EC9DB55"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181</w:t>
            </w:r>
          </w:p>
        </w:tc>
        <w:tc>
          <w:tcPr>
            <w:tcW w:w="715" w:type="dxa"/>
            <w:shd w:val="clear" w:color="auto" w:fill="auto"/>
            <w:tcMar>
              <w:top w:w="0" w:type="dxa"/>
              <w:left w:w="0" w:type="dxa"/>
              <w:bottom w:w="0" w:type="dxa"/>
              <w:right w:w="0" w:type="dxa"/>
            </w:tcMar>
            <w:vAlign w:val="bottom"/>
          </w:tcPr>
          <w:p w14:paraId="60F021A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w:t>
            </w:r>
          </w:p>
        </w:tc>
        <w:tc>
          <w:tcPr>
            <w:tcW w:w="715" w:type="dxa"/>
            <w:shd w:val="clear" w:color="auto" w:fill="auto"/>
            <w:tcMar>
              <w:top w:w="0" w:type="dxa"/>
              <w:left w:w="0" w:type="dxa"/>
              <w:bottom w:w="0" w:type="dxa"/>
              <w:right w:w="0" w:type="dxa"/>
            </w:tcMar>
            <w:vAlign w:val="bottom"/>
          </w:tcPr>
          <w:p w14:paraId="77489C7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51</w:t>
            </w:r>
          </w:p>
        </w:tc>
        <w:tc>
          <w:tcPr>
            <w:tcW w:w="715" w:type="dxa"/>
            <w:shd w:val="clear" w:color="auto" w:fill="auto"/>
            <w:tcMar>
              <w:top w:w="0" w:type="dxa"/>
              <w:left w:w="0" w:type="dxa"/>
              <w:bottom w:w="0" w:type="dxa"/>
              <w:right w:w="0" w:type="dxa"/>
            </w:tcMar>
            <w:vAlign w:val="bottom"/>
          </w:tcPr>
          <w:p w14:paraId="37A8AC3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57</w:t>
            </w:r>
          </w:p>
        </w:tc>
        <w:tc>
          <w:tcPr>
            <w:tcW w:w="715" w:type="dxa"/>
            <w:shd w:val="clear" w:color="auto" w:fill="auto"/>
            <w:tcMar>
              <w:top w:w="0" w:type="dxa"/>
              <w:left w:w="0" w:type="dxa"/>
              <w:bottom w:w="0" w:type="dxa"/>
              <w:right w:w="0" w:type="dxa"/>
            </w:tcMar>
            <w:vAlign w:val="bottom"/>
          </w:tcPr>
          <w:p w14:paraId="5CE4CD51"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119</w:t>
            </w:r>
          </w:p>
        </w:tc>
        <w:tc>
          <w:tcPr>
            <w:tcW w:w="715" w:type="dxa"/>
            <w:shd w:val="clear" w:color="auto" w:fill="auto"/>
            <w:tcMar>
              <w:top w:w="0" w:type="dxa"/>
              <w:left w:w="0" w:type="dxa"/>
              <w:bottom w:w="0" w:type="dxa"/>
              <w:right w:w="0" w:type="dxa"/>
            </w:tcMar>
            <w:vAlign w:val="bottom"/>
          </w:tcPr>
          <w:p w14:paraId="50A593DC"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16</w:t>
            </w:r>
          </w:p>
        </w:tc>
      </w:tr>
      <w:tr w:rsidR="00653B7F" w:rsidRPr="00E51EF5" w14:paraId="2E6B591C" w14:textId="77777777" w:rsidTr="00E51EF5">
        <w:tc>
          <w:tcPr>
            <w:tcW w:w="2209" w:type="dxa"/>
            <w:tcBorders>
              <w:bottom w:val="single" w:sz="12" w:space="0" w:color="auto"/>
            </w:tcBorders>
            <w:shd w:val="clear" w:color="auto" w:fill="auto"/>
            <w:tcMar>
              <w:top w:w="0" w:type="dxa"/>
              <w:left w:w="0" w:type="dxa"/>
              <w:bottom w:w="0" w:type="dxa"/>
              <w:right w:w="0" w:type="dxa"/>
            </w:tcMar>
          </w:tcPr>
          <w:p w14:paraId="076FFF15" w14:textId="77777777" w:rsidR="00653B7F" w:rsidRPr="00E51EF5" w:rsidRDefault="00653B7F" w:rsidP="00E51EF5">
            <w:pPr>
              <w:suppressAutoHyphens w:val="0"/>
              <w:spacing w:before="40" w:after="40" w:line="220" w:lineRule="exact"/>
              <w:rPr>
                <w:noProof/>
                <w:sz w:val="18"/>
                <w:lang w:val="fr-FR"/>
              </w:rPr>
            </w:pPr>
            <w:r w:rsidRPr="00E51EF5">
              <w:rPr>
                <w:noProof/>
                <w:sz w:val="18"/>
                <w:lang w:val="fr-FR"/>
              </w:rPr>
              <w:t>Tribunal n</w:t>
            </w:r>
            <w:r w:rsidRPr="00E51EF5">
              <w:rPr>
                <w:noProof/>
                <w:sz w:val="18"/>
                <w:vertAlign w:val="superscript"/>
                <w:lang w:val="fr-FR"/>
              </w:rPr>
              <w:t>o</w:t>
            </w:r>
            <w:r w:rsidR="00637469">
              <w:rPr>
                <w:noProof/>
                <w:sz w:val="18"/>
                <w:lang w:val="fr-FR"/>
              </w:rPr>
              <w:t> </w:t>
            </w:r>
            <w:r w:rsidRPr="00E51EF5">
              <w:rPr>
                <w:noProof/>
                <w:sz w:val="18"/>
                <w:lang w:val="fr-FR"/>
              </w:rPr>
              <w:t>4 du contrôle pénitentiaire et de l</w:t>
            </w:r>
            <w:r w:rsidR="002A5D78">
              <w:rPr>
                <w:noProof/>
                <w:sz w:val="18"/>
                <w:lang w:val="fr-FR"/>
              </w:rPr>
              <w:t>’</w:t>
            </w:r>
            <w:r w:rsidRPr="00E51EF5">
              <w:rPr>
                <w:noProof/>
                <w:sz w:val="18"/>
                <w:lang w:val="fr-FR"/>
              </w:rPr>
              <w:t>application des peines de San Salvador</w:t>
            </w:r>
          </w:p>
        </w:tc>
        <w:tc>
          <w:tcPr>
            <w:tcW w:w="716" w:type="dxa"/>
            <w:tcBorders>
              <w:bottom w:val="single" w:sz="12" w:space="0" w:color="auto"/>
            </w:tcBorders>
            <w:shd w:val="clear" w:color="auto" w:fill="auto"/>
            <w:tcMar>
              <w:top w:w="0" w:type="dxa"/>
              <w:left w:w="0" w:type="dxa"/>
              <w:bottom w:w="0" w:type="dxa"/>
              <w:right w:w="0" w:type="dxa"/>
            </w:tcMar>
            <w:vAlign w:val="bottom"/>
          </w:tcPr>
          <w:p w14:paraId="6E996B05"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tcBorders>
              <w:bottom w:val="single" w:sz="12" w:space="0" w:color="auto"/>
            </w:tcBorders>
            <w:shd w:val="clear" w:color="auto" w:fill="auto"/>
            <w:tcMar>
              <w:top w:w="0" w:type="dxa"/>
              <w:left w:w="0" w:type="dxa"/>
              <w:bottom w:w="0" w:type="dxa"/>
              <w:right w:w="0" w:type="dxa"/>
            </w:tcMar>
            <w:vAlign w:val="bottom"/>
          </w:tcPr>
          <w:p w14:paraId="0EAB86F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tcBorders>
              <w:bottom w:val="single" w:sz="12" w:space="0" w:color="auto"/>
            </w:tcBorders>
            <w:shd w:val="clear" w:color="auto" w:fill="auto"/>
            <w:tcMar>
              <w:top w:w="0" w:type="dxa"/>
              <w:left w:w="0" w:type="dxa"/>
              <w:bottom w:w="0" w:type="dxa"/>
              <w:right w:w="0" w:type="dxa"/>
            </w:tcMar>
            <w:vAlign w:val="bottom"/>
          </w:tcPr>
          <w:p w14:paraId="65659E26"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tcBorders>
              <w:bottom w:val="single" w:sz="12" w:space="0" w:color="auto"/>
            </w:tcBorders>
            <w:shd w:val="clear" w:color="auto" w:fill="auto"/>
            <w:tcMar>
              <w:top w:w="0" w:type="dxa"/>
              <w:left w:w="0" w:type="dxa"/>
              <w:bottom w:w="0" w:type="dxa"/>
              <w:right w:w="0" w:type="dxa"/>
            </w:tcMar>
            <w:vAlign w:val="bottom"/>
          </w:tcPr>
          <w:p w14:paraId="067111A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_</w:t>
            </w:r>
          </w:p>
        </w:tc>
        <w:tc>
          <w:tcPr>
            <w:tcW w:w="715" w:type="dxa"/>
            <w:tcBorders>
              <w:bottom w:val="single" w:sz="12" w:space="0" w:color="auto"/>
            </w:tcBorders>
            <w:shd w:val="clear" w:color="auto" w:fill="auto"/>
            <w:tcMar>
              <w:top w:w="0" w:type="dxa"/>
              <w:left w:w="0" w:type="dxa"/>
              <w:bottom w:w="0" w:type="dxa"/>
              <w:right w:w="0" w:type="dxa"/>
            </w:tcMar>
            <w:vAlign w:val="bottom"/>
          </w:tcPr>
          <w:p w14:paraId="3ABE8164"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w:t>
            </w:r>
          </w:p>
        </w:tc>
        <w:tc>
          <w:tcPr>
            <w:tcW w:w="715" w:type="dxa"/>
            <w:tcBorders>
              <w:bottom w:val="single" w:sz="12" w:space="0" w:color="auto"/>
            </w:tcBorders>
            <w:shd w:val="clear" w:color="auto" w:fill="auto"/>
            <w:tcMar>
              <w:top w:w="0" w:type="dxa"/>
              <w:left w:w="0" w:type="dxa"/>
              <w:bottom w:w="0" w:type="dxa"/>
              <w:right w:w="0" w:type="dxa"/>
            </w:tcMar>
            <w:vAlign w:val="bottom"/>
          </w:tcPr>
          <w:p w14:paraId="3976B7BD"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12</w:t>
            </w:r>
          </w:p>
        </w:tc>
        <w:tc>
          <w:tcPr>
            <w:tcW w:w="715" w:type="dxa"/>
            <w:tcBorders>
              <w:bottom w:val="single" w:sz="12" w:space="0" w:color="auto"/>
            </w:tcBorders>
            <w:shd w:val="clear" w:color="auto" w:fill="auto"/>
            <w:tcMar>
              <w:top w:w="0" w:type="dxa"/>
              <w:left w:w="0" w:type="dxa"/>
              <w:bottom w:w="0" w:type="dxa"/>
              <w:right w:w="0" w:type="dxa"/>
            </w:tcMar>
            <w:vAlign w:val="bottom"/>
          </w:tcPr>
          <w:p w14:paraId="1A73A268"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2</w:t>
            </w:r>
          </w:p>
        </w:tc>
        <w:tc>
          <w:tcPr>
            <w:tcW w:w="715" w:type="dxa"/>
            <w:tcBorders>
              <w:bottom w:val="single" w:sz="12" w:space="0" w:color="auto"/>
            </w:tcBorders>
            <w:shd w:val="clear" w:color="auto" w:fill="auto"/>
            <w:tcMar>
              <w:top w:w="0" w:type="dxa"/>
              <w:left w:w="0" w:type="dxa"/>
              <w:bottom w:w="0" w:type="dxa"/>
              <w:right w:w="0" w:type="dxa"/>
            </w:tcMar>
            <w:vAlign w:val="bottom"/>
          </w:tcPr>
          <w:p w14:paraId="612A33F7"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4</w:t>
            </w:r>
          </w:p>
        </w:tc>
        <w:tc>
          <w:tcPr>
            <w:tcW w:w="715" w:type="dxa"/>
            <w:tcBorders>
              <w:bottom w:val="single" w:sz="12" w:space="0" w:color="auto"/>
            </w:tcBorders>
            <w:shd w:val="clear" w:color="auto" w:fill="auto"/>
            <w:tcMar>
              <w:top w:w="0" w:type="dxa"/>
              <w:left w:w="0" w:type="dxa"/>
              <w:bottom w:w="0" w:type="dxa"/>
              <w:right w:w="0" w:type="dxa"/>
            </w:tcMar>
            <w:vAlign w:val="bottom"/>
          </w:tcPr>
          <w:p w14:paraId="2B186FC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6</w:t>
            </w:r>
          </w:p>
        </w:tc>
        <w:tc>
          <w:tcPr>
            <w:tcW w:w="715" w:type="dxa"/>
            <w:tcBorders>
              <w:bottom w:val="single" w:sz="12" w:space="0" w:color="auto"/>
            </w:tcBorders>
            <w:shd w:val="clear" w:color="auto" w:fill="auto"/>
            <w:tcMar>
              <w:top w:w="0" w:type="dxa"/>
              <w:left w:w="0" w:type="dxa"/>
              <w:bottom w:w="0" w:type="dxa"/>
              <w:right w:w="0" w:type="dxa"/>
            </w:tcMar>
            <w:vAlign w:val="bottom"/>
          </w:tcPr>
          <w:p w14:paraId="6386334F" w14:textId="77777777" w:rsidR="00653B7F" w:rsidRPr="00E51EF5" w:rsidRDefault="00653B7F" w:rsidP="00E51EF5">
            <w:pPr>
              <w:suppressAutoHyphens w:val="0"/>
              <w:spacing w:before="40" w:after="40" w:line="220" w:lineRule="exact"/>
              <w:jc w:val="right"/>
              <w:rPr>
                <w:noProof/>
                <w:sz w:val="18"/>
                <w:lang w:val="fr-FR"/>
              </w:rPr>
            </w:pPr>
            <w:r w:rsidRPr="00E51EF5">
              <w:rPr>
                <w:noProof/>
                <w:sz w:val="18"/>
                <w:lang w:val="fr-FR"/>
              </w:rPr>
              <w:t>0</w:t>
            </w:r>
          </w:p>
        </w:tc>
      </w:tr>
    </w:tbl>
    <w:p w14:paraId="674640DD" w14:textId="77777777" w:rsidR="00653B7F" w:rsidRPr="00A43FCB" w:rsidRDefault="00653B7F" w:rsidP="00637469">
      <w:pPr>
        <w:pStyle w:val="SingleTxtG"/>
        <w:spacing w:before="120" w:after="240" w:line="220" w:lineRule="exact"/>
        <w:ind w:firstLine="170"/>
        <w:jc w:val="left"/>
        <w:rPr>
          <w:noProof/>
          <w:sz w:val="18"/>
          <w:lang w:val="fr-FR"/>
        </w:rPr>
      </w:pPr>
      <w:r w:rsidRPr="00637469">
        <w:rPr>
          <w:noProof/>
          <w:lang w:val="fr-FR"/>
        </w:rPr>
        <w:t>*</w:t>
      </w:r>
      <w:r w:rsidR="00637469">
        <w:rPr>
          <w:b/>
          <w:bCs/>
          <w:noProof/>
          <w:sz w:val="18"/>
          <w:lang w:val="fr-FR"/>
        </w:rPr>
        <w:t>  </w:t>
      </w:r>
      <w:r>
        <w:rPr>
          <w:noProof/>
          <w:sz w:val="18"/>
          <w:lang w:val="fr-FR"/>
        </w:rPr>
        <w:t>Condamnations pour féminicide</w:t>
      </w:r>
      <w:r w:rsidRPr="00A43FCB">
        <w:rPr>
          <w:noProof/>
          <w:sz w:val="18"/>
          <w:lang w:val="fr-FR"/>
        </w:rPr>
        <w:t>.</w:t>
      </w:r>
    </w:p>
    <w:p w14:paraId="0D33593F" w14:textId="77777777" w:rsidR="00653B7F" w:rsidRDefault="00653B7F" w:rsidP="00653B7F">
      <w:pPr>
        <w:pStyle w:val="SingleTxtG"/>
        <w:rPr>
          <w:noProof/>
          <w:lang w:val="fr-FR"/>
        </w:rPr>
      </w:pPr>
      <w:r w:rsidRPr="00A43FCB">
        <w:rPr>
          <w:noProof/>
          <w:lang w:val="fr-FR"/>
        </w:rPr>
        <w:t>27.</w:t>
      </w:r>
      <w:r w:rsidRPr="00A43FCB">
        <w:rPr>
          <w:noProof/>
          <w:lang w:val="fr-FR"/>
        </w:rPr>
        <w:tab/>
      </w:r>
      <w:r>
        <w:rPr>
          <w:noProof/>
          <w:lang w:val="fr-FR"/>
        </w:rPr>
        <w:t>En février 2016, l</w:t>
      </w:r>
      <w:r w:rsidR="002A5D78">
        <w:rPr>
          <w:noProof/>
          <w:lang w:val="fr-FR"/>
        </w:rPr>
        <w:t>’</w:t>
      </w:r>
      <w:r>
        <w:rPr>
          <w:noProof/>
          <w:lang w:val="fr-FR"/>
        </w:rPr>
        <w:t xml:space="preserve">Assemblée législative a approuvé la création de la Juridiction spécialisée pour une vie libre de violences et de discrimination pour les femmes et les filles, qui est composée de </w:t>
      </w:r>
      <w:r w:rsidR="00637469">
        <w:rPr>
          <w:noProof/>
          <w:lang w:val="fr-FR"/>
        </w:rPr>
        <w:t>3</w:t>
      </w:r>
      <w:r>
        <w:rPr>
          <w:noProof/>
          <w:lang w:val="fr-FR"/>
        </w:rPr>
        <w:t xml:space="preserve"> tribunaux d</w:t>
      </w:r>
      <w:r w:rsidR="002A5D78">
        <w:rPr>
          <w:noProof/>
          <w:lang w:val="fr-FR"/>
        </w:rPr>
        <w:t>’</w:t>
      </w:r>
      <w:r>
        <w:rPr>
          <w:noProof/>
          <w:lang w:val="fr-FR"/>
        </w:rPr>
        <w:t xml:space="preserve">instruction spécialisés, </w:t>
      </w:r>
      <w:r w:rsidR="00637469">
        <w:rPr>
          <w:noProof/>
          <w:lang w:val="fr-FR"/>
        </w:rPr>
        <w:t>3</w:t>
      </w:r>
      <w:r>
        <w:rPr>
          <w:noProof/>
          <w:lang w:val="fr-FR"/>
        </w:rPr>
        <w:t xml:space="preserve"> tribunaux de jugement spécialisés et </w:t>
      </w:r>
      <w:r w:rsidR="00637469">
        <w:rPr>
          <w:noProof/>
          <w:lang w:val="fr-FR"/>
        </w:rPr>
        <w:t>1</w:t>
      </w:r>
      <w:r>
        <w:rPr>
          <w:noProof/>
          <w:lang w:val="fr-FR"/>
        </w:rPr>
        <w:t xml:space="preserve"> chambre d</w:t>
      </w:r>
      <w:r w:rsidR="002A5D78">
        <w:rPr>
          <w:noProof/>
          <w:lang w:val="fr-FR"/>
        </w:rPr>
        <w:t>’</w:t>
      </w:r>
      <w:r>
        <w:rPr>
          <w:noProof/>
          <w:lang w:val="fr-FR"/>
        </w:rPr>
        <w:t xml:space="preserve">appel spécialisée. Ces instances sont compétentes pour connaître des infractions à la loi </w:t>
      </w:r>
      <w:r w:rsidRPr="0055503C">
        <w:rPr>
          <w:noProof/>
          <w:lang w:val="fr-FR"/>
        </w:rPr>
        <w:t>spéciale visant à garantir aux femmes une vie exempte de violence</w:t>
      </w:r>
      <w:r>
        <w:rPr>
          <w:noProof/>
          <w:lang w:val="fr-FR"/>
        </w:rPr>
        <w:t xml:space="preserve"> (loi LEIV) ; pour statuer sur les plaintes pour infractions à la loi relative aux violences dans la famille ; pour assurer le suivi des mesures conservatoires et des mesures de protection prévues par la loi LEIV et la loi relative à l</w:t>
      </w:r>
      <w:r w:rsidR="002A5D78">
        <w:rPr>
          <w:noProof/>
          <w:lang w:val="fr-FR"/>
        </w:rPr>
        <w:t>’</w:t>
      </w:r>
      <w:r>
        <w:rPr>
          <w:noProof/>
          <w:lang w:val="fr-FR"/>
        </w:rPr>
        <w:t>égalité, à l</w:t>
      </w:r>
      <w:r w:rsidR="002A5D78">
        <w:rPr>
          <w:noProof/>
          <w:lang w:val="fr-FR"/>
        </w:rPr>
        <w:t>’</w:t>
      </w:r>
      <w:r>
        <w:rPr>
          <w:noProof/>
          <w:lang w:val="fr-FR"/>
        </w:rPr>
        <w:t>équité et à l</w:t>
      </w:r>
      <w:r w:rsidR="002A5D78">
        <w:rPr>
          <w:noProof/>
          <w:lang w:val="fr-FR"/>
        </w:rPr>
        <w:t>’</w:t>
      </w:r>
      <w:r>
        <w:rPr>
          <w:noProof/>
          <w:lang w:val="fr-FR"/>
        </w:rPr>
        <w:t>élimination de la discrimination à l</w:t>
      </w:r>
      <w:r w:rsidR="002A5D78">
        <w:rPr>
          <w:noProof/>
          <w:lang w:val="fr-FR"/>
        </w:rPr>
        <w:t>’</w:t>
      </w:r>
      <w:r>
        <w:rPr>
          <w:noProof/>
          <w:lang w:val="fr-FR"/>
        </w:rPr>
        <w:t>égard des femmes (loi LIE) ; et pour connaître des infractions de discrimination en matière de travail et des atteintes au droit à l</w:t>
      </w:r>
      <w:r w:rsidR="002A5D78">
        <w:rPr>
          <w:noProof/>
          <w:lang w:val="fr-FR"/>
        </w:rPr>
        <w:t>’</w:t>
      </w:r>
      <w:r>
        <w:rPr>
          <w:noProof/>
          <w:lang w:val="fr-FR"/>
        </w:rPr>
        <w:t>égalité. Ce dispositif a été complété en avril 2015 par l</w:t>
      </w:r>
      <w:r w:rsidR="002A5D78">
        <w:rPr>
          <w:noProof/>
          <w:lang w:val="fr-FR"/>
        </w:rPr>
        <w:t>’</w:t>
      </w:r>
      <w:r>
        <w:rPr>
          <w:noProof/>
          <w:lang w:val="fr-FR"/>
        </w:rPr>
        <w:t>article 16-A du Code de procédure pénale, qui prévoit que ledit Code doit s</w:t>
      </w:r>
      <w:r w:rsidR="002A5D78">
        <w:rPr>
          <w:noProof/>
          <w:lang w:val="fr-FR"/>
        </w:rPr>
        <w:t>’</w:t>
      </w:r>
      <w:r>
        <w:rPr>
          <w:noProof/>
          <w:lang w:val="fr-FR"/>
        </w:rPr>
        <w:t xml:space="preserve">interpréter en accord avec la loi LEIV et la loi LIE. </w:t>
      </w:r>
    </w:p>
    <w:p w14:paraId="05F37C24" w14:textId="77777777" w:rsidR="00653B7F" w:rsidRDefault="00653B7F" w:rsidP="00653B7F">
      <w:pPr>
        <w:pStyle w:val="SingleTxtG"/>
        <w:rPr>
          <w:noProof/>
          <w:lang w:val="fr-FR"/>
        </w:rPr>
      </w:pPr>
      <w:r w:rsidRPr="00A43FCB">
        <w:rPr>
          <w:noProof/>
          <w:lang w:val="fr-FR"/>
        </w:rPr>
        <w:t>28.</w:t>
      </w:r>
      <w:r w:rsidRPr="00A43FCB">
        <w:rPr>
          <w:noProof/>
          <w:lang w:val="fr-FR"/>
        </w:rPr>
        <w:tab/>
      </w:r>
      <w:r>
        <w:rPr>
          <w:noProof/>
          <w:lang w:val="fr-FR"/>
        </w:rPr>
        <w:t>Le Gouvernement salvadorien a inscrit dans sa programmation pour la période 2014-2019 des mesures et des objectifs spécifiques de réduction des homicides et des féminicides. En accord avec cette programmation, le plan « El Salvador Seguro » s</w:t>
      </w:r>
      <w:r w:rsidR="002A5D78">
        <w:rPr>
          <w:noProof/>
          <w:lang w:val="fr-FR"/>
        </w:rPr>
        <w:t>’</w:t>
      </w:r>
      <w:r>
        <w:rPr>
          <w:noProof/>
          <w:lang w:val="fr-FR"/>
        </w:rPr>
        <w:t>attaque à ce phénomène ; le plan d</w:t>
      </w:r>
      <w:r w:rsidR="002A5D78">
        <w:rPr>
          <w:noProof/>
          <w:lang w:val="fr-FR"/>
        </w:rPr>
        <w:t>’</w:t>
      </w:r>
      <w:r>
        <w:rPr>
          <w:noProof/>
          <w:lang w:val="fr-FR"/>
        </w:rPr>
        <w:t>action associé à la politique nationale d</w:t>
      </w:r>
      <w:r w:rsidR="002A5D78">
        <w:rPr>
          <w:noProof/>
          <w:lang w:val="fr-FR"/>
        </w:rPr>
        <w:t>’</w:t>
      </w:r>
      <w:r>
        <w:rPr>
          <w:noProof/>
          <w:lang w:val="fr-FR"/>
        </w:rPr>
        <w:t>accès des femmes à une vie exempte de violences inclut, pour la période 2016-2021, une stratégie de réduction du nombre de féminicides et de morts violentes parmi les femmes ; et le Gouvernement a lancé en 2018 une stratégie de prévention du féminicide et des violences sexuelles.</w:t>
      </w:r>
    </w:p>
    <w:p w14:paraId="68EE11AB" w14:textId="77777777" w:rsidR="00653B7F" w:rsidRDefault="00653B7F" w:rsidP="00653B7F">
      <w:pPr>
        <w:pStyle w:val="SingleTxtG"/>
        <w:rPr>
          <w:noProof/>
          <w:lang w:val="fr-FR"/>
        </w:rPr>
      </w:pPr>
      <w:r w:rsidRPr="00A43FCB">
        <w:rPr>
          <w:noProof/>
          <w:lang w:val="fr-FR"/>
        </w:rPr>
        <w:t>29.</w:t>
      </w:r>
      <w:r w:rsidRPr="00A43FCB">
        <w:rPr>
          <w:noProof/>
          <w:lang w:val="fr-FR"/>
        </w:rPr>
        <w:tab/>
      </w:r>
      <w:r>
        <w:rPr>
          <w:noProof/>
          <w:lang w:val="fr-FR"/>
        </w:rPr>
        <w:t>L</w:t>
      </w:r>
      <w:r w:rsidR="002A5D78">
        <w:rPr>
          <w:noProof/>
          <w:lang w:val="fr-FR"/>
        </w:rPr>
        <w:t>’</w:t>
      </w:r>
      <w:r>
        <w:rPr>
          <w:noProof/>
          <w:lang w:val="fr-FR"/>
        </w:rPr>
        <w:t>Institut salvadorien pour la promotion de la femme (ISDEMU) a élaboré une politique nationale pour une vie exempte de violence pour les femmes, ainsi que les outils suivants : directives municipales pour l</w:t>
      </w:r>
      <w:r w:rsidR="002A5D78">
        <w:rPr>
          <w:noProof/>
          <w:lang w:val="fr-FR"/>
        </w:rPr>
        <w:t>’</w:t>
      </w:r>
      <w:r>
        <w:rPr>
          <w:noProof/>
          <w:lang w:val="fr-FR"/>
        </w:rPr>
        <w:t xml:space="preserve">égalité et une vie exempte de violence pour les </w:t>
      </w:r>
      <w:r>
        <w:rPr>
          <w:noProof/>
          <w:lang w:val="fr-FR"/>
        </w:rPr>
        <w:lastRenderedPageBreak/>
        <w:t>Salvadoriennes ; manuel de directives permettant d</w:t>
      </w:r>
      <w:r w:rsidR="002A5D78">
        <w:rPr>
          <w:noProof/>
          <w:lang w:val="fr-FR"/>
        </w:rPr>
        <w:t>’</w:t>
      </w:r>
      <w:r>
        <w:rPr>
          <w:noProof/>
          <w:lang w:val="fr-FR"/>
        </w:rPr>
        <w:t>identifier les types et modalités de la violence contre les femmes ; guide de lecture de la loi LEIV d</w:t>
      </w:r>
      <w:r w:rsidR="002A5D78">
        <w:rPr>
          <w:noProof/>
          <w:lang w:val="fr-FR"/>
        </w:rPr>
        <w:t>’</w:t>
      </w:r>
      <w:r>
        <w:rPr>
          <w:noProof/>
          <w:lang w:val="fr-FR"/>
        </w:rPr>
        <w:t xml:space="preserve">un point </w:t>
      </w:r>
      <w:r w:rsidR="00637469">
        <w:rPr>
          <w:noProof/>
          <w:lang w:val="fr-FR"/>
        </w:rPr>
        <w:t xml:space="preserve">de </w:t>
      </w:r>
      <w:r>
        <w:rPr>
          <w:noProof/>
          <w:lang w:val="fr-FR"/>
        </w:rPr>
        <w:t>vue psychosocial ; directives pour l</w:t>
      </w:r>
      <w:r w:rsidR="002A5D78">
        <w:rPr>
          <w:noProof/>
          <w:lang w:val="fr-FR"/>
        </w:rPr>
        <w:t>’</w:t>
      </w:r>
      <w:r>
        <w:rPr>
          <w:noProof/>
          <w:lang w:val="fr-FR"/>
        </w:rPr>
        <w:t>accréditation, le suivi et l</w:t>
      </w:r>
      <w:r w:rsidR="002A5D78">
        <w:rPr>
          <w:noProof/>
          <w:lang w:val="fr-FR"/>
        </w:rPr>
        <w:t>’</w:t>
      </w:r>
      <w:r>
        <w:rPr>
          <w:noProof/>
          <w:lang w:val="fr-FR"/>
        </w:rPr>
        <w:t>évaluation des unités spécialisées de prise en charge des femmes</w:t>
      </w:r>
      <w:r w:rsidR="00637469">
        <w:rPr>
          <w:noProof/>
          <w:lang w:val="fr-FR"/>
        </w:rPr>
        <w:t xml:space="preserve"> </w:t>
      </w:r>
      <w:r>
        <w:rPr>
          <w:noProof/>
          <w:lang w:val="fr-FR"/>
        </w:rPr>
        <w:t>exposées à la violence</w:t>
      </w:r>
      <w:r w:rsidR="00637469">
        <w:rPr>
          <w:noProof/>
          <w:lang w:val="fr-FR"/>
        </w:rPr>
        <w:t> </w:t>
      </w:r>
      <w:r>
        <w:rPr>
          <w:noProof/>
          <w:lang w:val="fr-FR"/>
        </w:rPr>
        <w:t>; directives pour l</w:t>
      </w:r>
      <w:r w:rsidR="002A5D78">
        <w:rPr>
          <w:noProof/>
          <w:lang w:val="fr-FR"/>
        </w:rPr>
        <w:t>’</w:t>
      </w:r>
      <w:r>
        <w:rPr>
          <w:noProof/>
          <w:lang w:val="fr-FR"/>
        </w:rPr>
        <w:t>accréditation et le fonctionnement des maisons d</w:t>
      </w:r>
      <w:r w:rsidR="002A5D78">
        <w:rPr>
          <w:noProof/>
          <w:lang w:val="fr-FR"/>
        </w:rPr>
        <w:t>’</w:t>
      </w:r>
      <w:r>
        <w:rPr>
          <w:noProof/>
          <w:lang w:val="fr-FR"/>
        </w:rPr>
        <w:t>accueil ; protocole de prise en charge des femmes victimes de violence ; directives pour la prévention de la violence contre les femmes et la transversalisation des principes d</w:t>
      </w:r>
      <w:r w:rsidR="002A5D78">
        <w:rPr>
          <w:noProof/>
          <w:lang w:val="fr-FR"/>
        </w:rPr>
        <w:t>’</w:t>
      </w:r>
      <w:r>
        <w:rPr>
          <w:noProof/>
          <w:lang w:val="fr-FR"/>
        </w:rPr>
        <w:t>égalité et de non-discrimination dans les communautés éducatives d</w:t>
      </w:r>
      <w:r w:rsidR="002A5D78">
        <w:rPr>
          <w:noProof/>
          <w:lang w:val="fr-FR"/>
        </w:rPr>
        <w:t>’</w:t>
      </w:r>
      <w:r>
        <w:rPr>
          <w:noProof/>
          <w:lang w:val="fr-FR"/>
        </w:rPr>
        <w:t>El Salvador ; protocole d</w:t>
      </w:r>
      <w:r w:rsidR="002A5D78">
        <w:rPr>
          <w:noProof/>
          <w:lang w:val="fr-FR"/>
        </w:rPr>
        <w:t>’</w:t>
      </w:r>
      <w:r>
        <w:rPr>
          <w:noProof/>
          <w:lang w:val="fr-FR"/>
        </w:rPr>
        <w:t>intervention face à la violence sexuelle dans les communautés éducatives d</w:t>
      </w:r>
      <w:r w:rsidR="002A5D78">
        <w:rPr>
          <w:noProof/>
          <w:lang w:val="fr-FR"/>
        </w:rPr>
        <w:t>’</w:t>
      </w:r>
      <w:r>
        <w:rPr>
          <w:noProof/>
          <w:lang w:val="fr-FR"/>
        </w:rPr>
        <w:t>El Salvador, en collaboration avec le Ministère de l</w:t>
      </w:r>
      <w:r w:rsidR="002A5D78">
        <w:rPr>
          <w:noProof/>
          <w:lang w:val="fr-FR"/>
        </w:rPr>
        <w:t>’</w:t>
      </w:r>
      <w:r>
        <w:rPr>
          <w:noProof/>
          <w:lang w:val="fr-FR"/>
        </w:rPr>
        <w:t>éducation, de la science et de la technologie.</w:t>
      </w:r>
    </w:p>
    <w:p w14:paraId="1028CDDA" w14:textId="77777777" w:rsidR="00653B7F" w:rsidRDefault="00653B7F" w:rsidP="00653B7F">
      <w:pPr>
        <w:pStyle w:val="SingleTxtG"/>
        <w:rPr>
          <w:noProof/>
          <w:lang w:val="fr-FR"/>
        </w:rPr>
      </w:pPr>
      <w:r w:rsidRPr="00A43FCB">
        <w:rPr>
          <w:noProof/>
          <w:lang w:val="fr-FR"/>
        </w:rPr>
        <w:t>30.</w:t>
      </w:r>
      <w:r w:rsidRPr="00A43FCB">
        <w:rPr>
          <w:noProof/>
          <w:lang w:val="fr-FR"/>
        </w:rPr>
        <w:tab/>
      </w:r>
      <w:r>
        <w:rPr>
          <w:noProof/>
          <w:lang w:val="fr-FR"/>
        </w:rPr>
        <w:t>En 2016, l</w:t>
      </w:r>
      <w:r w:rsidR="002A5D78">
        <w:rPr>
          <w:noProof/>
          <w:lang w:val="fr-FR"/>
        </w:rPr>
        <w:t>’</w:t>
      </w:r>
      <w:r>
        <w:rPr>
          <w:noProof/>
          <w:lang w:val="fr-FR"/>
        </w:rPr>
        <w:t>ISDEMU a mis en service un système national de prise en charge qui regroupe 88 unités spécialisées de prise en charge des femmes exposées à la violence (dont 15 sont installées dans des locaux du Bureau du Procureur général de la République répartis sur tout le territoire), ainsi que les maisons d</w:t>
      </w:r>
      <w:r w:rsidR="002A5D78">
        <w:rPr>
          <w:noProof/>
          <w:lang w:val="fr-FR"/>
        </w:rPr>
        <w:t>’</w:t>
      </w:r>
      <w:r>
        <w:rPr>
          <w:noProof/>
          <w:lang w:val="fr-FR"/>
        </w:rPr>
        <w:t>accueil de l</w:t>
      </w:r>
      <w:r w:rsidR="002A5D78">
        <w:rPr>
          <w:noProof/>
          <w:lang w:val="fr-FR"/>
        </w:rPr>
        <w:t>’</w:t>
      </w:r>
      <w:r>
        <w:rPr>
          <w:noProof/>
          <w:lang w:val="fr-FR"/>
        </w:rPr>
        <w:t>ISDEMU, la Police nationale civile, l</w:t>
      </w:r>
      <w:r w:rsidR="002A5D78">
        <w:rPr>
          <w:noProof/>
          <w:lang w:val="fr-FR"/>
        </w:rPr>
        <w:t>’</w:t>
      </w:r>
      <w:r>
        <w:rPr>
          <w:noProof/>
          <w:lang w:val="fr-FR"/>
        </w:rPr>
        <w:t>Institut salvadorien pour le développement complet de l</w:t>
      </w:r>
      <w:r w:rsidR="002A5D78">
        <w:rPr>
          <w:noProof/>
          <w:lang w:val="fr-FR"/>
        </w:rPr>
        <w:t>’</w:t>
      </w:r>
      <w:r>
        <w:rPr>
          <w:noProof/>
          <w:lang w:val="fr-FR"/>
        </w:rPr>
        <w:t>enfant et de l</w:t>
      </w:r>
      <w:r w:rsidR="002A5D78">
        <w:rPr>
          <w:noProof/>
          <w:lang w:val="fr-FR"/>
        </w:rPr>
        <w:t>’</w:t>
      </w:r>
      <w:r>
        <w:rPr>
          <w:noProof/>
          <w:lang w:val="fr-FR"/>
        </w:rPr>
        <w:t>adolescent, l</w:t>
      </w:r>
      <w:r w:rsidR="002A5D78">
        <w:rPr>
          <w:noProof/>
          <w:lang w:val="fr-FR"/>
        </w:rPr>
        <w:t>’</w:t>
      </w:r>
      <w:r>
        <w:rPr>
          <w:lang w:val="fr-FR"/>
        </w:rPr>
        <w:t xml:space="preserve">Unité technique exécutive </w:t>
      </w:r>
      <w:r w:rsidRPr="007D74F5">
        <w:rPr>
          <w:lang w:val="fr-FR"/>
        </w:rPr>
        <w:t xml:space="preserve">du </w:t>
      </w:r>
      <w:r>
        <w:rPr>
          <w:lang w:val="fr-FR"/>
        </w:rPr>
        <w:t>secteur de la justice</w:t>
      </w:r>
      <w:r>
        <w:rPr>
          <w:rFonts w:eastAsia="Calibri"/>
          <w:lang w:val="fr-FR"/>
        </w:rPr>
        <w:t xml:space="preserve"> </w:t>
      </w:r>
      <w:r>
        <w:rPr>
          <w:noProof/>
          <w:lang w:val="fr-FR"/>
        </w:rPr>
        <w:t>et le Ministère de la justice et de la sécurité publique. Ce ministère a par ailleurs mis en place 19 bureaux locaux de prise en charge des victimes sur l</w:t>
      </w:r>
      <w:r w:rsidR="002A5D78">
        <w:rPr>
          <w:noProof/>
          <w:lang w:val="fr-FR"/>
        </w:rPr>
        <w:t>’</w:t>
      </w:r>
      <w:r>
        <w:rPr>
          <w:noProof/>
          <w:lang w:val="fr-FR"/>
        </w:rPr>
        <w:t>ensemble du territoire.</w:t>
      </w:r>
    </w:p>
    <w:p w14:paraId="086DD9EC" w14:textId="77777777" w:rsidR="00653B7F" w:rsidRDefault="00653B7F" w:rsidP="00653B7F">
      <w:pPr>
        <w:pStyle w:val="SingleTxtG"/>
        <w:rPr>
          <w:noProof/>
          <w:lang w:val="fr-FR"/>
        </w:rPr>
      </w:pPr>
      <w:r w:rsidRPr="00A43FCB">
        <w:rPr>
          <w:noProof/>
          <w:lang w:val="fr-FR"/>
        </w:rPr>
        <w:t>31.</w:t>
      </w:r>
      <w:r w:rsidRPr="00A43FCB">
        <w:rPr>
          <w:noProof/>
          <w:lang w:val="fr-FR"/>
        </w:rPr>
        <w:tab/>
      </w:r>
      <w:r>
        <w:rPr>
          <w:noProof/>
          <w:lang w:val="fr-FR"/>
        </w:rPr>
        <w:t>Le Ministère de la santé exécute dans tous les établissements de soins de santé primaires un plan de prévention et de prise en charge intégrale de toutes les formes de violence, conformément aux directives techniques pour la prise en charge intégrale de toutes les formes de violence et au plan « El Salvador Seguro ». Des unités hospitalières spécialisées de prise en charge des victimes de violence ont été mises en place dans les hôpitaux nationaux, et le Bureau du Procureur général de la République offre un accompagnement juridique et psychosocial aux femmes victimes de violence. Le Ministère de l</w:t>
      </w:r>
      <w:r w:rsidR="002A5D78">
        <w:rPr>
          <w:noProof/>
          <w:lang w:val="fr-FR"/>
        </w:rPr>
        <w:t>’</w:t>
      </w:r>
      <w:r>
        <w:rPr>
          <w:noProof/>
          <w:lang w:val="fr-FR"/>
        </w:rPr>
        <w:t>éducation, de la science et de la technologie a lancé une étude à l</w:t>
      </w:r>
      <w:r w:rsidR="002A5D78">
        <w:rPr>
          <w:noProof/>
          <w:lang w:val="fr-FR"/>
        </w:rPr>
        <w:t>’</w:t>
      </w:r>
      <w:r>
        <w:rPr>
          <w:noProof/>
          <w:lang w:val="fr-FR"/>
        </w:rPr>
        <w:t>échelle nationale sur la violence à raison du genre ou de l</w:t>
      </w:r>
      <w:r w:rsidR="002A5D78">
        <w:rPr>
          <w:noProof/>
          <w:lang w:val="fr-FR"/>
        </w:rPr>
        <w:t>’</w:t>
      </w:r>
      <w:r>
        <w:rPr>
          <w:noProof/>
          <w:lang w:val="fr-FR"/>
        </w:rPr>
        <w:t>orientation sexuelle et mis en place un mécanisme d</w:t>
      </w:r>
      <w:r w:rsidR="002A5D78">
        <w:rPr>
          <w:noProof/>
          <w:lang w:val="fr-FR"/>
        </w:rPr>
        <w:t>’</w:t>
      </w:r>
      <w:r>
        <w:rPr>
          <w:noProof/>
          <w:lang w:val="fr-FR"/>
        </w:rPr>
        <w:t>intervention sur ce type de violence dans le système éducatif.</w:t>
      </w:r>
    </w:p>
    <w:p w14:paraId="794DEF46" w14:textId="77777777" w:rsidR="00653B7F" w:rsidRDefault="00653B7F" w:rsidP="00653B7F">
      <w:pPr>
        <w:pStyle w:val="SingleTxtG"/>
        <w:rPr>
          <w:noProof/>
          <w:lang w:val="fr-FR"/>
        </w:rPr>
      </w:pPr>
      <w:r w:rsidRPr="00A43FCB">
        <w:rPr>
          <w:noProof/>
          <w:lang w:val="fr-FR"/>
        </w:rPr>
        <w:t>32.</w:t>
      </w:r>
      <w:r w:rsidRPr="00A43FCB">
        <w:rPr>
          <w:noProof/>
          <w:lang w:val="fr-FR"/>
        </w:rPr>
        <w:tab/>
      </w:r>
      <w:r>
        <w:rPr>
          <w:noProof/>
          <w:lang w:val="fr-FR"/>
        </w:rPr>
        <w:t>Des services intégrés et spécialisés d</w:t>
      </w:r>
      <w:r w:rsidR="002A5D78">
        <w:rPr>
          <w:noProof/>
          <w:lang w:val="fr-FR"/>
        </w:rPr>
        <w:t>’</w:t>
      </w:r>
      <w:r>
        <w:rPr>
          <w:noProof/>
          <w:lang w:val="fr-FR"/>
        </w:rPr>
        <w:t>aide aux femmes victimes de violence et des outils pour les aider à acquérir l</w:t>
      </w:r>
      <w:r w:rsidR="002A5D78">
        <w:rPr>
          <w:noProof/>
          <w:lang w:val="fr-FR"/>
        </w:rPr>
        <w:t>’</w:t>
      </w:r>
      <w:r>
        <w:rPr>
          <w:noProof/>
          <w:lang w:val="fr-FR"/>
        </w:rPr>
        <w:t>autonomie économique sont mis à la disposition de ces femmes par le programme « Ciudad Mujer » (Ville Femme) et la Direction de l</w:t>
      </w:r>
      <w:r w:rsidR="002A5D78">
        <w:rPr>
          <w:noProof/>
          <w:lang w:val="fr-FR"/>
        </w:rPr>
        <w:t>’</w:t>
      </w:r>
      <w:r>
        <w:rPr>
          <w:noProof/>
          <w:lang w:val="fr-FR"/>
        </w:rPr>
        <w:t>aide aux victimes du Ministère de la justice et de la sécurité publique. Cette dernière a constitué une plateforme nationale d</w:t>
      </w:r>
      <w:r w:rsidR="002A5D78">
        <w:rPr>
          <w:noProof/>
          <w:lang w:val="fr-FR"/>
        </w:rPr>
        <w:t>’</w:t>
      </w:r>
      <w:r>
        <w:rPr>
          <w:noProof/>
          <w:lang w:val="fr-FR"/>
        </w:rPr>
        <w:t>aide aux victimes à laquelle participent plusieurs institutions. La plateforme nationale a participé à la rédaction de l</w:t>
      </w:r>
      <w:r w:rsidR="002A5D78">
        <w:rPr>
          <w:noProof/>
          <w:lang w:val="fr-FR"/>
        </w:rPr>
        <w:t>’</w:t>
      </w:r>
      <w:r>
        <w:rPr>
          <w:noProof/>
          <w:lang w:val="fr-FR"/>
        </w:rPr>
        <w:t>avant-projet de loi spéciale pour la prise en charge, la protection et l</w:t>
      </w:r>
      <w:r w:rsidR="002A5D78">
        <w:rPr>
          <w:noProof/>
          <w:lang w:val="fr-FR"/>
        </w:rPr>
        <w:t>’</w:t>
      </w:r>
      <w:r>
        <w:rPr>
          <w:noProof/>
          <w:lang w:val="fr-FR"/>
        </w:rPr>
        <w:t>indemnisation intégrale des victimes d</w:t>
      </w:r>
      <w:r w:rsidR="002A5D78">
        <w:rPr>
          <w:noProof/>
          <w:lang w:val="fr-FR"/>
        </w:rPr>
        <w:t>’</w:t>
      </w:r>
      <w:r>
        <w:rPr>
          <w:noProof/>
          <w:lang w:val="fr-FR"/>
        </w:rPr>
        <w:t>infractions et de violences qui a été déposé sur le bureau de l</w:t>
      </w:r>
      <w:r w:rsidR="002A5D78">
        <w:rPr>
          <w:noProof/>
          <w:lang w:val="fr-FR"/>
        </w:rPr>
        <w:t>’</w:t>
      </w:r>
      <w:r>
        <w:rPr>
          <w:noProof/>
          <w:lang w:val="fr-FR"/>
        </w:rPr>
        <w:t>Assemblée législative en novembre 2018, ainsi qu</w:t>
      </w:r>
      <w:r w:rsidR="002A5D78">
        <w:rPr>
          <w:noProof/>
          <w:lang w:val="fr-FR"/>
        </w:rPr>
        <w:t>’</w:t>
      </w:r>
      <w:r>
        <w:rPr>
          <w:noProof/>
          <w:lang w:val="fr-FR"/>
        </w:rPr>
        <w:t>à la rédaction du Protocole général d</w:t>
      </w:r>
      <w:r w:rsidR="002A5D78">
        <w:rPr>
          <w:noProof/>
          <w:lang w:val="fr-FR"/>
        </w:rPr>
        <w:t>’</w:t>
      </w:r>
      <w:r>
        <w:rPr>
          <w:noProof/>
          <w:lang w:val="fr-FR"/>
        </w:rPr>
        <w:t>aide aux victimes d</w:t>
      </w:r>
      <w:r w:rsidR="002A5D78">
        <w:rPr>
          <w:noProof/>
          <w:lang w:val="fr-FR"/>
        </w:rPr>
        <w:t>’</w:t>
      </w:r>
      <w:r>
        <w:rPr>
          <w:noProof/>
          <w:lang w:val="fr-FR"/>
        </w:rPr>
        <w:t>infractions. La Direction de l</w:t>
      </w:r>
      <w:r w:rsidR="002A5D78">
        <w:rPr>
          <w:noProof/>
          <w:lang w:val="fr-FR"/>
        </w:rPr>
        <w:t>’</w:t>
      </w:r>
      <w:r>
        <w:rPr>
          <w:noProof/>
          <w:lang w:val="fr-FR"/>
        </w:rPr>
        <w:t>aide aux victimes a également lancé une campagne intitulée «</w:t>
      </w:r>
      <w:r w:rsidR="00C309D6">
        <w:rPr>
          <w:noProof/>
          <w:lang w:val="fr-FR"/>
        </w:rPr>
        <w:t> </w:t>
      </w:r>
      <w:r>
        <w:rPr>
          <w:noProof/>
          <w:lang w:val="fr-FR"/>
        </w:rPr>
        <w:t>La ayuda es para todos »</w:t>
      </w:r>
      <w:r w:rsidR="00C309D6">
        <w:rPr>
          <w:noProof/>
          <w:lang w:val="fr-FR"/>
        </w:rPr>
        <w:t xml:space="preserve"> </w:t>
      </w:r>
      <w:r>
        <w:rPr>
          <w:noProof/>
          <w:lang w:val="fr-FR"/>
        </w:rPr>
        <w:t>(L</w:t>
      </w:r>
      <w:r w:rsidR="002A5D78">
        <w:rPr>
          <w:noProof/>
          <w:lang w:val="fr-FR"/>
        </w:rPr>
        <w:t>’</w:t>
      </w:r>
      <w:r>
        <w:rPr>
          <w:noProof/>
          <w:lang w:val="fr-FR"/>
        </w:rPr>
        <w:t>aide est pour tout le monde) qui vise les victimes de violence dans la famille et les garçons et filles victimes de violences et d</w:t>
      </w:r>
      <w:r w:rsidR="002A5D78">
        <w:rPr>
          <w:noProof/>
          <w:lang w:val="fr-FR"/>
        </w:rPr>
        <w:t>’</w:t>
      </w:r>
      <w:r>
        <w:rPr>
          <w:noProof/>
          <w:lang w:val="fr-FR"/>
        </w:rPr>
        <w:t>agressions sexuelles, ainsi que les victimes de menaces, d</w:t>
      </w:r>
      <w:r w:rsidR="002A5D78">
        <w:rPr>
          <w:noProof/>
          <w:lang w:val="fr-FR"/>
        </w:rPr>
        <w:t>’</w:t>
      </w:r>
      <w:r>
        <w:rPr>
          <w:noProof/>
          <w:lang w:val="fr-FR"/>
        </w:rPr>
        <w:t>atteintes sexuelles, de traite des personnes et d</w:t>
      </w:r>
      <w:r w:rsidR="002A5D78">
        <w:rPr>
          <w:noProof/>
          <w:lang w:val="fr-FR"/>
        </w:rPr>
        <w:t>’</w:t>
      </w:r>
      <w:r>
        <w:rPr>
          <w:noProof/>
          <w:lang w:val="fr-FR"/>
        </w:rPr>
        <w:t>extorsion. Le centre d</w:t>
      </w:r>
      <w:r w:rsidR="002A5D78">
        <w:rPr>
          <w:noProof/>
          <w:lang w:val="fr-FR"/>
        </w:rPr>
        <w:t>’</w:t>
      </w:r>
      <w:r>
        <w:rPr>
          <w:noProof/>
          <w:lang w:val="fr-FR"/>
        </w:rPr>
        <w:t>appels téléphoniques 123, qui met les victimes en relation avec les institutions compétentes pour les aider, a été mis sur pied dans le cadre de cette stratégie d</w:t>
      </w:r>
      <w:r w:rsidR="002A5D78">
        <w:rPr>
          <w:noProof/>
          <w:lang w:val="fr-FR"/>
        </w:rPr>
        <w:t>’</w:t>
      </w:r>
      <w:r>
        <w:rPr>
          <w:noProof/>
          <w:lang w:val="fr-FR"/>
        </w:rPr>
        <w:t xml:space="preserve">ensemble. </w:t>
      </w:r>
    </w:p>
    <w:p w14:paraId="3DE147A4" w14:textId="77777777" w:rsidR="00653B7F" w:rsidRDefault="00653B7F" w:rsidP="00653B7F">
      <w:pPr>
        <w:pStyle w:val="SingleTxtG"/>
        <w:rPr>
          <w:noProof/>
          <w:lang w:val="fr-FR"/>
        </w:rPr>
      </w:pPr>
      <w:r w:rsidRPr="00A43FCB">
        <w:rPr>
          <w:noProof/>
          <w:lang w:val="fr-FR"/>
        </w:rPr>
        <w:t>33.</w:t>
      </w:r>
      <w:r w:rsidRPr="00A43FCB">
        <w:rPr>
          <w:noProof/>
          <w:lang w:val="fr-FR"/>
        </w:rPr>
        <w:tab/>
      </w:r>
      <w:r w:rsidRPr="00417878">
        <w:rPr>
          <w:noProof/>
          <w:lang w:val="fr-FR"/>
        </w:rPr>
        <w:t xml:space="preserve">La Police nationale civile </w:t>
      </w:r>
      <w:r>
        <w:rPr>
          <w:noProof/>
          <w:lang w:val="fr-FR"/>
        </w:rPr>
        <w:t>applique le</w:t>
      </w:r>
      <w:r w:rsidRPr="00417878">
        <w:rPr>
          <w:noProof/>
          <w:lang w:val="fr-FR"/>
        </w:rPr>
        <w:t xml:space="preserve"> protocole de prise en charge des femmes victimes de violences,</w:t>
      </w:r>
      <w:r>
        <w:rPr>
          <w:noProof/>
          <w:lang w:val="fr-FR"/>
        </w:rPr>
        <w:t xml:space="preserve"> a mis en place</w:t>
      </w:r>
      <w:r w:rsidRPr="00417878">
        <w:rPr>
          <w:noProof/>
          <w:lang w:val="fr-FR"/>
        </w:rPr>
        <w:t xml:space="preserve"> 35 espaces</w:t>
      </w:r>
      <w:r>
        <w:rPr>
          <w:noProof/>
          <w:lang w:val="fr-FR"/>
        </w:rPr>
        <w:t xml:space="preserve"> UNI-MUJER</w:t>
      </w:r>
      <w:r w:rsidRPr="00417878">
        <w:rPr>
          <w:noProof/>
          <w:lang w:val="fr-FR"/>
        </w:rPr>
        <w:t xml:space="preserve"> </w:t>
      </w:r>
      <w:r>
        <w:rPr>
          <w:noProof/>
          <w:lang w:val="fr-FR"/>
        </w:rPr>
        <w:t>réserv</w:t>
      </w:r>
      <w:r w:rsidRPr="00417878">
        <w:rPr>
          <w:noProof/>
          <w:lang w:val="fr-FR"/>
        </w:rPr>
        <w:t>és à celle</w:t>
      </w:r>
      <w:r>
        <w:rPr>
          <w:noProof/>
          <w:lang w:val="fr-FR"/>
        </w:rPr>
        <w:t>s</w:t>
      </w:r>
      <w:r w:rsidRPr="00417878">
        <w:rPr>
          <w:noProof/>
          <w:lang w:val="fr-FR"/>
        </w:rPr>
        <w:t>-ci dans différents postes de police du pays et mené des actions de prévention de la violence à l</w:t>
      </w:r>
      <w:r w:rsidR="002A5D78">
        <w:rPr>
          <w:noProof/>
          <w:lang w:val="fr-FR"/>
        </w:rPr>
        <w:t>’</w:t>
      </w:r>
      <w:r w:rsidRPr="00417878">
        <w:rPr>
          <w:noProof/>
          <w:lang w:val="fr-FR"/>
        </w:rPr>
        <w:t xml:space="preserve">égard des femmes, notamment </w:t>
      </w:r>
      <w:r>
        <w:rPr>
          <w:noProof/>
          <w:lang w:val="fr-FR"/>
        </w:rPr>
        <w:t>en organisant des</w:t>
      </w:r>
      <w:r w:rsidRPr="00417878">
        <w:rPr>
          <w:noProof/>
          <w:lang w:val="fr-FR"/>
        </w:rPr>
        <w:t xml:space="preserve"> formation</w:t>
      </w:r>
      <w:r>
        <w:rPr>
          <w:noProof/>
          <w:lang w:val="fr-FR"/>
        </w:rPr>
        <w:t>s</w:t>
      </w:r>
      <w:r w:rsidRPr="00417878">
        <w:rPr>
          <w:noProof/>
          <w:lang w:val="fr-FR"/>
        </w:rPr>
        <w:t xml:space="preserve"> sur la loi spéciale visant à garantir aux femmes une vie exempte de violence et </w:t>
      </w:r>
      <w:r>
        <w:rPr>
          <w:noProof/>
          <w:lang w:val="fr-FR"/>
        </w:rPr>
        <w:t xml:space="preserve">sur </w:t>
      </w:r>
      <w:r w:rsidRPr="00417878">
        <w:rPr>
          <w:noProof/>
          <w:lang w:val="fr-FR"/>
        </w:rPr>
        <w:t>la loi sur l</w:t>
      </w:r>
      <w:r w:rsidR="002A5D78">
        <w:rPr>
          <w:noProof/>
          <w:lang w:val="fr-FR"/>
        </w:rPr>
        <w:t>’</w:t>
      </w:r>
      <w:r w:rsidRPr="00417878">
        <w:rPr>
          <w:noProof/>
          <w:lang w:val="fr-FR"/>
        </w:rPr>
        <w:t>égalité, l</w:t>
      </w:r>
      <w:r w:rsidR="002A5D78">
        <w:rPr>
          <w:noProof/>
          <w:lang w:val="fr-FR"/>
        </w:rPr>
        <w:t>’</w:t>
      </w:r>
      <w:r w:rsidRPr="00417878">
        <w:rPr>
          <w:noProof/>
          <w:lang w:val="fr-FR"/>
        </w:rPr>
        <w:t>équité et l</w:t>
      </w:r>
      <w:r w:rsidR="002A5D78">
        <w:rPr>
          <w:noProof/>
          <w:lang w:val="fr-FR"/>
        </w:rPr>
        <w:t>’</w:t>
      </w:r>
      <w:r w:rsidRPr="00417878">
        <w:rPr>
          <w:noProof/>
          <w:lang w:val="fr-FR"/>
        </w:rPr>
        <w:t>élimination de la discrimination à l</w:t>
      </w:r>
      <w:r w:rsidR="002A5D78">
        <w:rPr>
          <w:noProof/>
          <w:lang w:val="fr-FR"/>
        </w:rPr>
        <w:t>’</w:t>
      </w:r>
      <w:r w:rsidRPr="00417878">
        <w:rPr>
          <w:noProof/>
          <w:lang w:val="fr-FR"/>
        </w:rPr>
        <w:t>égard des femmes.</w:t>
      </w:r>
    </w:p>
    <w:p w14:paraId="0686381F" w14:textId="77777777" w:rsidR="00653B7F" w:rsidRPr="003B5B85" w:rsidRDefault="00653B7F" w:rsidP="00653B7F">
      <w:pPr>
        <w:pStyle w:val="SingleTxtG"/>
        <w:rPr>
          <w:rFonts w:eastAsia="Calibri"/>
          <w:lang w:val="fr-FR"/>
        </w:rPr>
      </w:pPr>
      <w:r w:rsidRPr="00A43FCB">
        <w:rPr>
          <w:noProof/>
          <w:lang w:val="fr-FR"/>
        </w:rPr>
        <w:t>34.</w:t>
      </w:r>
      <w:r w:rsidRPr="00A43FCB">
        <w:rPr>
          <w:noProof/>
          <w:lang w:val="fr-FR"/>
        </w:rPr>
        <w:tab/>
      </w:r>
      <w:r>
        <w:rPr>
          <w:noProof/>
          <w:lang w:val="fr-FR"/>
        </w:rPr>
        <w:t>À travers l</w:t>
      </w:r>
      <w:r w:rsidR="002A5D78">
        <w:rPr>
          <w:noProof/>
          <w:lang w:val="fr-FR"/>
        </w:rPr>
        <w:t>’</w:t>
      </w:r>
      <w:r>
        <w:rPr>
          <w:lang w:val="fr-FR"/>
        </w:rPr>
        <w:t xml:space="preserve">Unité technique exécutive </w:t>
      </w:r>
      <w:r w:rsidRPr="007D74F5">
        <w:rPr>
          <w:lang w:val="fr-FR"/>
        </w:rPr>
        <w:t xml:space="preserve">du </w:t>
      </w:r>
      <w:r>
        <w:rPr>
          <w:lang w:val="fr-FR"/>
        </w:rPr>
        <w:t>secteur de la justice</w:t>
      </w:r>
      <w:r w:rsidRPr="00CA5E51">
        <w:rPr>
          <w:noProof/>
          <w:lang w:val="fr-FR"/>
        </w:rPr>
        <w:t>, la Commission de coordination du secteur de la justice promeut la formation et la sensibilisation</w:t>
      </w:r>
      <w:r>
        <w:rPr>
          <w:noProof/>
          <w:lang w:val="fr-FR"/>
        </w:rPr>
        <w:t xml:space="preserve"> des fonctionnaires et agents publics de ce secteur. Ainsi, des tutoriels vidéos en langue des signes ont été réalisés pour donner aux sourds et aux malentendants des informations sur les différents types de violence à l</w:t>
      </w:r>
      <w:r w:rsidR="002A5D78">
        <w:rPr>
          <w:noProof/>
          <w:lang w:val="fr-FR"/>
        </w:rPr>
        <w:t>’</w:t>
      </w:r>
      <w:r>
        <w:rPr>
          <w:noProof/>
          <w:lang w:val="fr-FR"/>
        </w:rPr>
        <w:t xml:space="preserve">égard des femmes et sur les moyens de porter plainte. </w:t>
      </w:r>
      <w:r w:rsidRPr="003B5B85">
        <w:rPr>
          <w:rFonts w:eastAsia="Calibri"/>
          <w:lang w:val="fr-FR"/>
        </w:rPr>
        <w:t>En 2018, l</w:t>
      </w:r>
      <w:r w:rsidR="002A5D78">
        <w:rPr>
          <w:rFonts w:eastAsia="Calibri"/>
          <w:lang w:val="fr-FR"/>
        </w:rPr>
        <w:t>’</w:t>
      </w:r>
      <w:r w:rsidRPr="003B5B85">
        <w:rPr>
          <w:rFonts w:eastAsia="Calibri"/>
          <w:lang w:val="fr-FR"/>
        </w:rPr>
        <w:t>Institut salvadorien pour la promotion de la femme, la Commission de coordination</w:t>
      </w:r>
      <w:r>
        <w:rPr>
          <w:rFonts w:eastAsia="Calibri"/>
          <w:lang w:val="fr-FR"/>
        </w:rPr>
        <w:t xml:space="preserve"> du secteur de la justice et l</w:t>
      </w:r>
      <w:r w:rsidR="002A5D78">
        <w:rPr>
          <w:rFonts w:eastAsia="Calibri"/>
          <w:lang w:val="fr-FR"/>
        </w:rPr>
        <w:t>’</w:t>
      </w:r>
      <w:r>
        <w:rPr>
          <w:lang w:val="fr-FR"/>
        </w:rPr>
        <w:t xml:space="preserve">Unité technique exécutive </w:t>
      </w:r>
      <w:r w:rsidRPr="007D74F5">
        <w:rPr>
          <w:lang w:val="fr-FR"/>
        </w:rPr>
        <w:t xml:space="preserve">du </w:t>
      </w:r>
      <w:r>
        <w:rPr>
          <w:lang w:val="fr-FR"/>
        </w:rPr>
        <w:t>secteur de la justice</w:t>
      </w:r>
      <w:r w:rsidRPr="003B5B85">
        <w:rPr>
          <w:rFonts w:eastAsia="Calibri"/>
          <w:lang w:val="fr-FR"/>
        </w:rPr>
        <w:t xml:space="preserve"> ont signé une </w:t>
      </w:r>
      <w:r w:rsidRPr="003B5B85">
        <w:rPr>
          <w:rFonts w:eastAsia="Calibri"/>
          <w:lang w:val="fr-FR"/>
        </w:rPr>
        <w:lastRenderedPageBreak/>
        <w:t>lettre d</w:t>
      </w:r>
      <w:r w:rsidR="002A5D78">
        <w:rPr>
          <w:rFonts w:eastAsia="Calibri"/>
          <w:lang w:val="fr-FR"/>
        </w:rPr>
        <w:t>’</w:t>
      </w:r>
      <w:r w:rsidRPr="003B5B85">
        <w:rPr>
          <w:rFonts w:eastAsia="Calibri"/>
          <w:lang w:val="fr-FR"/>
        </w:rPr>
        <w:t>intention visant à la réalisation d</w:t>
      </w:r>
      <w:r w:rsidR="002A5D78">
        <w:rPr>
          <w:rFonts w:eastAsia="Calibri"/>
          <w:lang w:val="fr-FR"/>
        </w:rPr>
        <w:t>’</w:t>
      </w:r>
      <w:r w:rsidRPr="003B5B85">
        <w:rPr>
          <w:rFonts w:eastAsia="Calibri"/>
          <w:lang w:val="fr-FR"/>
        </w:rPr>
        <w:t xml:space="preserve">un projet </w:t>
      </w:r>
      <w:r>
        <w:rPr>
          <w:rFonts w:eastAsia="Calibri"/>
          <w:lang w:val="fr-FR"/>
        </w:rPr>
        <w:t>de</w:t>
      </w:r>
      <w:r w:rsidRPr="003B5B85">
        <w:rPr>
          <w:rFonts w:eastAsia="Calibri"/>
          <w:lang w:val="fr-FR"/>
        </w:rPr>
        <w:t xml:space="preserve"> système d</w:t>
      </w:r>
      <w:r w:rsidR="002A5D78">
        <w:rPr>
          <w:rFonts w:eastAsia="Calibri"/>
          <w:lang w:val="fr-FR"/>
        </w:rPr>
        <w:t>’</w:t>
      </w:r>
      <w:r w:rsidRPr="003B5B85">
        <w:rPr>
          <w:rFonts w:eastAsia="Calibri"/>
          <w:lang w:val="fr-FR"/>
        </w:rPr>
        <w:t>information pour l</w:t>
      </w:r>
      <w:r w:rsidR="002A5D78">
        <w:rPr>
          <w:rFonts w:eastAsia="Calibri"/>
          <w:lang w:val="fr-FR"/>
        </w:rPr>
        <w:t>’</w:t>
      </w:r>
      <w:r w:rsidRPr="003B5B85">
        <w:rPr>
          <w:rFonts w:eastAsia="Calibri"/>
          <w:lang w:val="fr-FR"/>
        </w:rPr>
        <w:t>analyse qualitative et quantitative du féminicide en El Salvador.</w:t>
      </w:r>
    </w:p>
    <w:p w14:paraId="6623B30F" w14:textId="77777777" w:rsidR="00653B7F" w:rsidRDefault="00653B7F" w:rsidP="00653B7F">
      <w:pPr>
        <w:pStyle w:val="SingleTxtG"/>
        <w:rPr>
          <w:noProof/>
          <w:lang w:val="fr-FR"/>
        </w:rPr>
      </w:pPr>
      <w:r w:rsidRPr="00A43FCB">
        <w:rPr>
          <w:noProof/>
          <w:lang w:val="fr-FR"/>
        </w:rPr>
        <w:t>35.</w:t>
      </w:r>
      <w:r w:rsidRPr="00A43FCB">
        <w:rPr>
          <w:noProof/>
          <w:lang w:val="fr-FR"/>
        </w:rPr>
        <w:tab/>
      </w:r>
      <w:r w:rsidRPr="00FE5C98">
        <w:rPr>
          <w:rFonts w:eastAsia="Calibri"/>
          <w:lang w:val="fr-FR"/>
        </w:rPr>
        <w:t>Le Conseil national de l</w:t>
      </w:r>
      <w:r w:rsidR="002A5D78">
        <w:rPr>
          <w:rFonts w:eastAsia="Calibri"/>
          <w:lang w:val="fr-FR"/>
        </w:rPr>
        <w:t>’</w:t>
      </w:r>
      <w:r w:rsidRPr="00FE5C98">
        <w:rPr>
          <w:rFonts w:eastAsia="Calibri"/>
          <w:lang w:val="fr-FR"/>
        </w:rPr>
        <w:t>enfance et de l</w:t>
      </w:r>
      <w:r w:rsidR="002A5D78">
        <w:rPr>
          <w:rFonts w:eastAsia="Calibri"/>
          <w:lang w:val="fr-FR"/>
        </w:rPr>
        <w:t>’</w:t>
      </w:r>
      <w:r w:rsidRPr="00FE5C98">
        <w:rPr>
          <w:rFonts w:eastAsia="Calibri"/>
          <w:lang w:val="fr-FR"/>
        </w:rPr>
        <w:t xml:space="preserve">adolescence </w:t>
      </w:r>
      <w:r>
        <w:rPr>
          <w:rFonts w:eastAsia="Calibri"/>
          <w:lang w:val="fr-FR"/>
        </w:rPr>
        <w:t>applique</w:t>
      </w:r>
      <w:r w:rsidRPr="00FE5C98">
        <w:rPr>
          <w:rFonts w:eastAsia="Calibri"/>
          <w:lang w:val="fr-FR"/>
        </w:rPr>
        <w:t xml:space="preserve"> une stratégie d</w:t>
      </w:r>
      <w:r w:rsidR="002A5D78">
        <w:rPr>
          <w:rFonts w:eastAsia="Calibri"/>
          <w:lang w:val="fr-FR"/>
        </w:rPr>
        <w:t>’</w:t>
      </w:r>
      <w:r w:rsidRPr="00FE5C98">
        <w:rPr>
          <w:rFonts w:eastAsia="Calibri"/>
          <w:lang w:val="fr-FR"/>
        </w:rPr>
        <w:t xml:space="preserve">information et de sensibilisation </w:t>
      </w:r>
      <w:r>
        <w:rPr>
          <w:rFonts w:eastAsia="Calibri"/>
          <w:lang w:val="fr-FR"/>
        </w:rPr>
        <w:t>aux</w:t>
      </w:r>
      <w:r w:rsidRPr="00FE5C98">
        <w:rPr>
          <w:rFonts w:eastAsia="Calibri"/>
          <w:lang w:val="fr-FR"/>
        </w:rPr>
        <w:t xml:space="preserve"> droits des enfants et des adolescents auprès des agents du Système national de protection</w:t>
      </w:r>
      <w:r>
        <w:rPr>
          <w:rFonts w:eastAsia="Calibri"/>
          <w:lang w:val="fr-FR"/>
        </w:rPr>
        <w:t xml:space="preserve"> des enfants et des adolescents,</w:t>
      </w:r>
      <w:r w:rsidRPr="00FE5C98">
        <w:rPr>
          <w:rFonts w:eastAsia="Calibri"/>
          <w:lang w:val="fr-FR"/>
        </w:rPr>
        <w:t xml:space="preserve"> des intervenants locaux et nationaux, des familles et des collectivités, qui comprend des programmes de sensibilisation et de formation </w:t>
      </w:r>
      <w:r>
        <w:rPr>
          <w:rFonts w:eastAsia="Calibri"/>
          <w:lang w:val="fr-FR"/>
        </w:rPr>
        <w:t>aux</w:t>
      </w:r>
      <w:r w:rsidRPr="00FE5C98">
        <w:rPr>
          <w:rFonts w:eastAsia="Calibri"/>
          <w:lang w:val="fr-FR"/>
        </w:rPr>
        <w:t xml:space="preserve"> principes directeurs et </w:t>
      </w:r>
      <w:r>
        <w:rPr>
          <w:rFonts w:eastAsia="Calibri"/>
          <w:lang w:val="fr-FR"/>
        </w:rPr>
        <w:t xml:space="preserve">aux </w:t>
      </w:r>
      <w:r w:rsidRPr="00FE5C98">
        <w:rPr>
          <w:rFonts w:eastAsia="Calibri"/>
          <w:lang w:val="fr-FR"/>
        </w:rPr>
        <w:t xml:space="preserve">dispositifs de protection. Il a en outre publié des lignes directrices pour la coordination du Système national de </w:t>
      </w:r>
      <w:r>
        <w:rPr>
          <w:rFonts w:eastAsia="Calibri"/>
          <w:lang w:val="fr-FR"/>
        </w:rPr>
        <w:t xml:space="preserve">protection </w:t>
      </w:r>
      <w:r w:rsidRPr="00FE5C98">
        <w:rPr>
          <w:rFonts w:eastAsia="Calibri"/>
          <w:lang w:val="fr-FR"/>
        </w:rPr>
        <w:t>et défini d</w:t>
      </w:r>
      <w:r>
        <w:rPr>
          <w:rFonts w:eastAsia="Calibri"/>
          <w:lang w:val="fr-FR"/>
        </w:rPr>
        <w:t>es réseaux d</w:t>
      </w:r>
      <w:r w:rsidR="002A5D78">
        <w:rPr>
          <w:rFonts w:eastAsia="Calibri"/>
          <w:lang w:val="fr-FR"/>
        </w:rPr>
        <w:t>’</w:t>
      </w:r>
      <w:r>
        <w:rPr>
          <w:rFonts w:eastAsia="Calibri"/>
          <w:lang w:val="fr-FR"/>
        </w:rPr>
        <w:t>orientation pour un</w:t>
      </w:r>
      <w:r w:rsidRPr="00FE5C98">
        <w:rPr>
          <w:rFonts w:eastAsia="Calibri"/>
          <w:lang w:val="fr-FR"/>
        </w:rPr>
        <w:t xml:space="preserve"> traitement efficace des affaires dans lesquelles les droits des enfants et des adolescents </w:t>
      </w:r>
      <w:r>
        <w:rPr>
          <w:rFonts w:eastAsia="Calibri"/>
          <w:lang w:val="fr-FR"/>
        </w:rPr>
        <w:t xml:space="preserve">ont été </w:t>
      </w:r>
      <w:r w:rsidRPr="00FE5C98">
        <w:rPr>
          <w:rFonts w:eastAsia="Calibri"/>
          <w:lang w:val="fr-FR"/>
        </w:rPr>
        <w:t xml:space="preserve">menacés ou violés. </w:t>
      </w:r>
      <w:r>
        <w:rPr>
          <w:rFonts w:eastAsia="Calibri"/>
          <w:lang w:val="fr-FR"/>
        </w:rPr>
        <w:t>L</w:t>
      </w:r>
      <w:r w:rsidRPr="00FE5C98">
        <w:rPr>
          <w:rFonts w:eastAsia="Calibri"/>
          <w:lang w:val="fr-FR"/>
        </w:rPr>
        <w:t xml:space="preserve">es mauvais traitements </w:t>
      </w:r>
      <w:r>
        <w:rPr>
          <w:rFonts w:eastAsia="Calibri"/>
          <w:lang w:val="fr-FR"/>
        </w:rPr>
        <w:t>à enfant constituent une infraction en El Salvador, et</w:t>
      </w:r>
      <w:r w:rsidRPr="00FE5C98">
        <w:rPr>
          <w:rFonts w:eastAsia="Calibri"/>
          <w:lang w:val="fr-FR"/>
        </w:rPr>
        <w:t xml:space="preserve"> le Conseil national de l</w:t>
      </w:r>
      <w:r w:rsidR="002A5D78">
        <w:rPr>
          <w:rFonts w:eastAsia="Calibri"/>
          <w:lang w:val="fr-FR"/>
        </w:rPr>
        <w:t>’</w:t>
      </w:r>
      <w:r w:rsidRPr="00FE5C98">
        <w:rPr>
          <w:rFonts w:eastAsia="Calibri"/>
          <w:lang w:val="fr-FR"/>
        </w:rPr>
        <w:t>enfance et de l</w:t>
      </w:r>
      <w:r w:rsidR="002A5D78">
        <w:rPr>
          <w:rFonts w:eastAsia="Calibri"/>
          <w:lang w:val="fr-FR"/>
        </w:rPr>
        <w:t>’</w:t>
      </w:r>
      <w:r w:rsidRPr="00FE5C98">
        <w:rPr>
          <w:rFonts w:eastAsia="Calibri"/>
          <w:lang w:val="fr-FR"/>
        </w:rPr>
        <w:t xml:space="preserve">adolescence a </w:t>
      </w:r>
      <w:r>
        <w:rPr>
          <w:rFonts w:eastAsia="Calibri"/>
          <w:lang w:val="fr-FR"/>
        </w:rPr>
        <w:t>engagé des actions de prévention dans ce domaine, comme la campagne</w:t>
      </w:r>
      <w:r w:rsidRPr="00FE5C98">
        <w:rPr>
          <w:rFonts w:eastAsia="Calibri"/>
          <w:lang w:val="fr-FR"/>
        </w:rPr>
        <w:t xml:space="preserve"> « </w:t>
      </w:r>
      <w:proofErr w:type="spellStart"/>
      <w:r w:rsidRPr="00FE5C98">
        <w:rPr>
          <w:rFonts w:eastAsia="Calibri"/>
          <w:lang w:val="fr-FR"/>
        </w:rPr>
        <w:t>Marcá</w:t>
      </w:r>
      <w:proofErr w:type="spellEnd"/>
      <w:r w:rsidRPr="00FE5C98">
        <w:rPr>
          <w:rFonts w:eastAsia="Calibri"/>
          <w:lang w:val="fr-FR"/>
        </w:rPr>
        <w:t xml:space="preserve"> mi vida</w:t>
      </w:r>
      <w:r w:rsidRPr="00FE5C98">
        <w:rPr>
          <w:rFonts w:eastAsia="Calibri"/>
        </w:rPr>
        <w:t> »</w:t>
      </w:r>
      <w:r>
        <w:rPr>
          <w:rFonts w:eastAsia="Calibri"/>
        </w:rPr>
        <w:t xml:space="preserve"> (Fais attention à ma vie), qui prône l</w:t>
      </w:r>
      <w:r w:rsidR="002A5D78">
        <w:rPr>
          <w:rFonts w:eastAsia="Calibri"/>
        </w:rPr>
        <w:t>’</w:t>
      </w:r>
      <w:r>
        <w:rPr>
          <w:rFonts w:eastAsia="Calibri"/>
        </w:rPr>
        <w:t>élimination des pratiques susceptibles de provoquer des dommages physiques et psychologiques,</w:t>
      </w:r>
      <w:r w:rsidRPr="00FE5C98">
        <w:rPr>
          <w:rFonts w:eastAsia="Calibri"/>
          <w:lang w:val="fr-FR"/>
        </w:rPr>
        <w:t xml:space="preserve"> et </w:t>
      </w:r>
      <w:r>
        <w:rPr>
          <w:rFonts w:eastAsia="Calibri"/>
          <w:lang w:val="fr-FR"/>
        </w:rPr>
        <w:t xml:space="preserve">la campagne </w:t>
      </w:r>
      <w:r w:rsidRPr="00FE5C98">
        <w:rPr>
          <w:rFonts w:eastAsia="Calibri"/>
          <w:lang w:val="fr-FR"/>
        </w:rPr>
        <w:t xml:space="preserve">« La </w:t>
      </w:r>
      <w:proofErr w:type="spellStart"/>
      <w:r w:rsidRPr="00FE5C98">
        <w:rPr>
          <w:rFonts w:eastAsia="Calibri"/>
          <w:lang w:val="fr-FR"/>
        </w:rPr>
        <w:t>protección</w:t>
      </w:r>
      <w:proofErr w:type="spellEnd"/>
      <w:r w:rsidRPr="00FE5C98">
        <w:rPr>
          <w:rFonts w:eastAsia="Calibri"/>
          <w:lang w:val="fr-FR"/>
        </w:rPr>
        <w:t xml:space="preserve"> </w:t>
      </w:r>
      <w:proofErr w:type="spellStart"/>
      <w:r w:rsidRPr="00FE5C98">
        <w:rPr>
          <w:rFonts w:eastAsia="Calibri"/>
          <w:lang w:val="fr-FR"/>
        </w:rPr>
        <w:t>comienza</w:t>
      </w:r>
      <w:proofErr w:type="spellEnd"/>
      <w:r w:rsidRPr="00FE5C98">
        <w:rPr>
          <w:rFonts w:eastAsia="Calibri"/>
          <w:lang w:val="fr-FR"/>
        </w:rPr>
        <w:t xml:space="preserve"> en el </w:t>
      </w:r>
      <w:proofErr w:type="spellStart"/>
      <w:r w:rsidRPr="00FE5C98">
        <w:rPr>
          <w:rFonts w:eastAsia="Calibri"/>
          <w:lang w:val="fr-FR"/>
        </w:rPr>
        <w:t>hogar</w:t>
      </w:r>
      <w:proofErr w:type="spellEnd"/>
      <w:r w:rsidRPr="00FE5C98">
        <w:rPr>
          <w:rFonts w:eastAsia="Calibri"/>
          <w:lang w:val="fr-FR"/>
        </w:rPr>
        <w:t> »</w:t>
      </w:r>
      <w:r>
        <w:rPr>
          <w:rFonts w:eastAsia="Calibri"/>
          <w:lang w:val="fr-FR"/>
        </w:rPr>
        <w:t xml:space="preserve"> (La protection commence à la maison)</w:t>
      </w:r>
      <w:r w:rsidRPr="00FE5C98">
        <w:rPr>
          <w:rFonts w:eastAsia="Calibri"/>
          <w:lang w:val="fr-FR"/>
        </w:rPr>
        <w:t>. Depuis 2016, il existe une émission radiophonique intitulée « </w:t>
      </w:r>
      <w:proofErr w:type="spellStart"/>
      <w:r w:rsidRPr="00FE5C98">
        <w:rPr>
          <w:rFonts w:eastAsia="Calibri"/>
          <w:lang w:val="fr-FR"/>
        </w:rPr>
        <w:t>Hablá</w:t>
      </w:r>
      <w:proofErr w:type="spellEnd"/>
      <w:r w:rsidRPr="00FE5C98">
        <w:rPr>
          <w:rFonts w:eastAsia="Calibri"/>
          <w:lang w:val="fr-FR"/>
        </w:rPr>
        <w:t xml:space="preserve"> </w:t>
      </w:r>
      <w:proofErr w:type="spellStart"/>
      <w:r w:rsidRPr="00FE5C98">
        <w:rPr>
          <w:rFonts w:eastAsia="Calibri"/>
          <w:lang w:val="fr-FR"/>
        </w:rPr>
        <w:t>Conmigo</w:t>
      </w:r>
      <w:proofErr w:type="spellEnd"/>
      <w:r w:rsidRPr="00FE5C98">
        <w:rPr>
          <w:rFonts w:eastAsia="Calibri"/>
          <w:lang w:val="fr-FR"/>
        </w:rPr>
        <w:t xml:space="preserve"> » </w:t>
      </w:r>
      <w:r>
        <w:rPr>
          <w:rFonts w:eastAsia="Calibri"/>
          <w:lang w:val="fr-FR"/>
        </w:rPr>
        <w:t xml:space="preserve">(Parle avec moi) </w:t>
      </w:r>
      <w:r w:rsidRPr="00FE5C98">
        <w:rPr>
          <w:rFonts w:eastAsia="Calibri"/>
          <w:lang w:val="fr-FR"/>
        </w:rPr>
        <w:t xml:space="preserve">qui </w:t>
      </w:r>
      <w:r>
        <w:rPr>
          <w:rFonts w:eastAsia="Calibri"/>
          <w:lang w:val="fr-FR"/>
        </w:rPr>
        <w:t>promeut</w:t>
      </w:r>
      <w:r w:rsidRPr="00FE5C98">
        <w:rPr>
          <w:rFonts w:eastAsia="Calibri"/>
          <w:lang w:val="fr-FR"/>
        </w:rPr>
        <w:t xml:space="preserve"> des méthodes</w:t>
      </w:r>
      <w:r>
        <w:rPr>
          <w:rFonts w:eastAsia="Calibri"/>
          <w:lang w:val="fr-FR"/>
        </w:rPr>
        <w:t xml:space="preserve"> éducatives basées sur </w:t>
      </w:r>
      <w:r w:rsidRPr="00FE5C98">
        <w:rPr>
          <w:rFonts w:eastAsia="Calibri"/>
          <w:lang w:val="fr-FR"/>
        </w:rPr>
        <w:t xml:space="preserve">la discipline positive. En 2017, la loi sur la </w:t>
      </w:r>
      <w:r>
        <w:rPr>
          <w:rFonts w:eastAsia="Calibri"/>
          <w:lang w:val="fr-FR"/>
        </w:rPr>
        <w:t>protection intégrale des enfants</w:t>
      </w:r>
      <w:r w:rsidRPr="00FE5C98">
        <w:rPr>
          <w:rFonts w:eastAsia="Calibri"/>
          <w:lang w:val="fr-FR"/>
        </w:rPr>
        <w:t xml:space="preserve"> et des adolescents a été modifiée</w:t>
      </w:r>
      <w:r>
        <w:rPr>
          <w:rFonts w:eastAsia="Calibri"/>
          <w:lang w:val="fr-FR"/>
        </w:rPr>
        <w:t xml:space="preserve"> pour lui faire interdire</w:t>
      </w:r>
      <w:r w:rsidRPr="00FE5C98">
        <w:rPr>
          <w:rFonts w:eastAsia="Calibri"/>
          <w:lang w:val="fr-FR"/>
        </w:rPr>
        <w:t xml:space="preserve"> toute forme de violence </w:t>
      </w:r>
      <w:r>
        <w:rPr>
          <w:rFonts w:eastAsia="Calibri"/>
          <w:lang w:val="fr-FR"/>
        </w:rPr>
        <w:t>à l</w:t>
      </w:r>
      <w:r w:rsidR="002A5D78">
        <w:rPr>
          <w:rFonts w:eastAsia="Calibri"/>
          <w:lang w:val="fr-FR"/>
        </w:rPr>
        <w:t>’</w:t>
      </w:r>
      <w:r>
        <w:rPr>
          <w:rFonts w:eastAsia="Calibri"/>
          <w:lang w:val="fr-FR"/>
        </w:rPr>
        <w:t>égard des enfants et d</w:t>
      </w:r>
      <w:r w:rsidRPr="00FE5C98">
        <w:rPr>
          <w:rFonts w:eastAsia="Calibri"/>
          <w:lang w:val="fr-FR"/>
        </w:rPr>
        <w:t>es adolescents dans les établissements d</w:t>
      </w:r>
      <w:r w:rsidR="002A5D78">
        <w:rPr>
          <w:rFonts w:eastAsia="Calibri"/>
          <w:lang w:val="fr-FR"/>
        </w:rPr>
        <w:t>’</w:t>
      </w:r>
      <w:r w:rsidRPr="00FE5C98">
        <w:rPr>
          <w:rFonts w:eastAsia="Calibri"/>
          <w:lang w:val="fr-FR"/>
        </w:rPr>
        <w:t>enseignement tant publics que privés.</w:t>
      </w:r>
    </w:p>
    <w:p w14:paraId="02993054" w14:textId="77777777" w:rsidR="00653B7F" w:rsidRPr="00C04037" w:rsidRDefault="00653B7F" w:rsidP="00653B7F">
      <w:pPr>
        <w:pStyle w:val="SingleTxtG"/>
        <w:rPr>
          <w:noProof/>
          <w:lang w:val="fr-FR"/>
        </w:rPr>
      </w:pPr>
      <w:r w:rsidRPr="00A43FCB">
        <w:rPr>
          <w:noProof/>
          <w:lang w:val="fr-FR"/>
        </w:rPr>
        <w:t>36.</w:t>
      </w:r>
      <w:r w:rsidRPr="00A43FCB">
        <w:rPr>
          <w:noProof/>
          <w:lang w:val="fr-FR"/>
        </w:rPr>
        <w:tab/>
      </w:r>
      <w:r>
        <w:rPr>
          <w:noProof/>
          <w:lang w:val="fr-FR"/>
        </w:rPr>
        <w:t xml:space="preserve">Le Bureau du </w:t>
      </w:r>
      <w:r w:rsidRPr="003A326D">
        <w:rPr>
          <w:i/>
          <w:noProof/>
          <w:lang w:val="fr-FR"/>
        </w:rPr>
        <w:t>Fiscal general</w:t>
      </w:r>
      <w:r>
        <w:rPr>
          <w:noProof/>
          <w:lang w:val="fr-FR"/>
        </w:rPr>
        <w:t xml:space="preserve"> de la République</w:t>
      </w:r>
      <w:r w:rsidRPr="00B060B9">
        <w:rPr>
          <w:i/>
          <w:noProof/>
          <w:lang w:val="es-ES_tradnl"/>
        </w:rPr>
        <w:t xml:space="preserve"> </w:t>
      </w:r>
      <w:r>
        <w:rPr>
          <w:noProof/>
          <w:lang w:val="es-ES_tradnl"/>
        </w:rPr>
        <w:t>compte six unités spécialisées dans la prise en charge des femmes et 19 unités spécialisées dans les infractions contre les enfants, les adolescents et les femmes en milieu familial; ces unités n</w:t>
      </w:r>
      <w:r w:rsidR="002A5D78">
        <w:rPr>
          <w:noProof/>
          <w:lang w:val="es-ES_tradnl"/>
        </w:rPr>
        <w:t>’</w:t>
      </w:r>
      <w:r>
        <w:rPr>
          <w:noProof/>
          <w:lang w:val="es-ES_tradnl"/>
        </w:rPr>
        <w:t>enquêtent et n</w:t>
      </w:r>
      <w:r w:rsidR="002A5D78">
        <w:rPr>
          <w:noProof/>
          <w:lang w:val="es-ES_tradnl"/>
        </w:rPr>
        <w:t>’</w:t>
      </w:r>
      <w:r>
        <w:rPr>
          <w:noProof/>
          <w:lang w:val="es-ES_tradnl"/>
        </w:rPr>
        <w:t>exercent l</w:t>
      </w:r>
      <w:r w:rsidR="002A5D78">
        <w:rPr>
          <w:noProof/>
          <w:lang w:val="es-ES_tradnl"/>
        </w:rPr>
        <w:t>’</w:t>
      </w:r>
      <w:r>
        <w:rPr>
          <w:noProof/>
          <w:lang w:val="es-ES_tradnl"/>
        </w:rPr>
        <w:t xml:space="preserve">action pénale que sur des infractions visant des membres de ce groupe vulnérable. Dans le cadre de la prise en charge intégrale des enfants, des adolescents et des femmes, le </w:t>
      </w:r>
      <w:r>
        <w:rPr>
          <w:noProof/>
          <w:lang w:val="fr-FR"/>
        </w:rPr>
        <w:t xml:space="preserve">Bureau du </w:t>
      </w:r>
      <w:r w:rsidRPr="003A326D">
        <w:rPr>
          <w:i/>
          <w:noProof/>
          <w:lang w:val="fr-FR"/>
        </w:rPr>
        <w:t>Fiscal general</w:t>
      </w:r>
      <w:r>
        <w:rPr>
          <w:noProof/>
          <w:lang w:val="fr-FR"/>
        </w:rPr>
        <w:t xml:space="preserve"> de la République</w:t>
      </w:r>
      <w:r>
        <w:rPr>
          <w:noProof/>
          <w:lang w:val="es-ES_tradnl"/>
        </w:rPr>
        <w:t xml:space="preserve"> s</w:t>
      </w:r>
      <w:r w:rsidR="002A5D78">
        <w:rPr>
          <w:noProof/>
          <w:lang w:val="es-ES_tradnl"/>
        </w:rPr>
        <w:t>’</w:t>
      </w:r>
      <w:r>
        <w:rPr>
          <w:noProof/>
          <w:lang w:val="es-ES_tradnl"/>
        </w:rPr>
        <w:t>appuie sur les outils suivants : un protocole de prise en charge juridique et psychosociale des personnes exposées à la violence qui accorde la priorité aux enfants, aux adolescents, aux femmes et aux autres catégories vulnérables de la population; des consignes pour l</w:t>
      </w:r>
      <w:r w:rsidR="002A5D78">
        <w:rPr>
          <w:noProof/>
          <w:lang w:val="es-ES_tradnl"/>
        </w:rPr>
        <w:t>’</w:t>
      </w:r>
      <w:r>
        <w:rPr>
          <w:noProof/>
          <w:lang w:val="es-ES_tradnl"/>
        </w:rPr>
        <w:t>utilisation du dôme Gesell; un protocole de réalisation des enquêtes sur les crimes de féminicide; des modèles de prise en charge intégrale qui comprennent la fourniture de services psychologiques, médicaux, ludiques et d</w:t>
      </w:r>
      <w:r w:rsidR="002A5D78">
        <w:rPr>
          <w:noProof/>
          <w:lang w:val="es-ES_tradnl"/>
        </w:rPr>
        <w:t>’</w:t>
      </w:r>
      <w:r>
        <w:rPr>
          <w:noProof/>
          <w:lang w:val="es-ES_tradnl"/>
        </w:rPr>
        <w:t>assistance sociale; et le système d</w:t>
      </w:r>
      <w:r w:rsidR="002A5D78">
        <w:rPr>
          <w:noProof/>
          <w:lang w:val="es-ES_tradnl"/>
        </w:rPr>
        <w:t>’</w:t>
      </w:r>
      <w:r>
        <w:rPr>
          <w:noProof/>
          <w:lang w:val="es-ES_tradnl"/>
        </w:rPr>
        <w:t>alerte en cas de disparition d</w:t>
      </w:r>
      <w:r w:rsidR="002A5D78">
        <w:rPr>
          <w:noProof/>
          <w:lang w:val="es-ES_tradnl"/>
        </w:rPr>
        <w:t>’</w:t>
      </w:r>
      <w:r>
        <w:rPr>
          <w:noProof/>
          <w:lang w:val="es-ES_tradnl"/>
        </w:rPr>
        <w:t>enfants et d</w:t>
      </w:r>
      <w:r w:rsidR="002A5D78">
        <w:rPr>
          <w:noProof/>
          <w:lang w:val="es-ES_tradnl"/>
        </w:rPr>
        <w:t>’</w:t>
      </w:r>
      <w:r>
        <w:rPr>
          <w:noProof/>
          <w:lang w:val="es-ES_tradnl"/>
        </w:rPr>
        <w:t xml:space="preserve">adolescents des deux sexes </w:t>
      </w:r>
      <w:r w:rsidRPr="00C04037">
        <w:rPr>
          <w:noProof/>
          <w:lang w:val="fr-FR"/>
        </w:rPr>
        <w:t xml:space="preserve">appelé </w:t>
      </w:r>
      <w:r>
        <w:rPr>
          <w:noProof/>
          <w:lang w:val="fr-FR"/>
        </w:rPr>
        <w:t>« </w:t>
      </w:r>
      <w:r w:rsidRPr="00C04037">
        <w:rPr>
          <w:noProof/>
          <w:lang w:val="fr-FR"/>
        </w:rPr>
        <w:t>Ángel Desaparecido</w:t>
      </w:r>
      <w:r>
        <w:rPr>
          <w:noProof/>
          <w:lang w:val="fr-FR"/>
        </w:rPr>
        <w:t> » (Un ange a disparu).</w:t>
      </w:r>
    </w:p>
    <w:p w14:paraId="49DFACE1" w14:textId="77777777" w:rsidR="00653B7F" w:rsidRDefault="00653B7F" w:rsidP="00653B7F">
      <w:pPr>
        <w:pStyle w:val="SingleTxtG"/>
        <w:rPr>
          <w:noProof/>
          <w:lang w:val="fr-FR"/>
        </w:rPr>
      </w:pPr>
      <w:r w:rsidRPr="00A43FCB">
        <w:rPr>
          <w:noProof/>
          <w:lang w:val="fr-FR"/>
        </w:rPr>
        <w:t>37.</w:t>
      </w:r>
      <w:r w:rsidRPr="00A43FCB">
        <w:rPr>
          <w:noProof/>
          <w:lang w:val="fr-FR"/>
        </w:rPr>
        <w:tab/>
      </w:r>
      <w:r>
        <w:rPr>
          <w:noProof/>
          <w:lang w:val="fr-FR"/>
        </w:rPr>
        <w:t xml:space="preserve">La </w:t>
      </w:r>
      <w:r w:rsidRPr="007414D7">
        <w:rPr>
          <w:noProof/>
          <w:lang w:val="fr-FR"/>
        </w:rPr>
        <w:t>loi spéciale visant à garantir aux femmes une vie exempte de violence</w:t>
      </w:r>
      <w:r>
        <w:rPr>
          <w:rStyle w:val="Appelnotedebasdep"/>
          <w:noProof/>
          <w:lang w:val="fr-FR"/>
        </w:rPr>
        <w:footnoteReference w:id="16"/>
      </w:r>
      <w:r>
        <w:rPr>
          <w:noProof/>
          <w:lang w:val="fr-FR"/>
        </w:rPr>
        <w:t xml:space="preserve"> inscrit le féminicide parmi les infractions les plus significatives des violences faites aux femmes. Elle soumet le féminicide et le féminicide aggravé à l</w:t>
      </w:r>
      <w:r w:rsidR="002A5D78">
        <w:rPr>
          <w:noProof/>
          <w:lang w:val="fr-FR"/>
        </w:rPr>
        <w:t>’</w:t>
      </w:r>
      <w:r>
        <w:rPr>
          <w:noProof/>
          <w:lang w:val="fr-FR"/>
        </w:rPr>
        <w:t>action publique. La violence contre les femmes y est également incriminée dans ses dimensions économique, physique, psychologique et affective, patrimoniale, sexuelle et symbolique ; la loi distingue les modalités de cette violence selon qu</w:t>
      </w:r>
      <w:r w:rsidR="002A5D78">
        <w:rPr>
          <w:noProof/>
          <w:lang w:val="fr-FR"/>
        </w:rPr>
        <w:t>’</w:t>
      </w:r>
      <w:r>
        <w:rPr>
          <w:noProof/>
          <w:lang w:val="fr-FR"/>
        </w:rPr>
        <w:t xml:space="preserve">elle est exercée par la communauté, les institutions ou sur les lieux de travail. Le tableau 4 ci-après présente des données émanant du Département de statistique du </w:t>
      </w:r>
      <w:r w:rsidRPr="006A580C">
        <w:rPr>
          <w:noProof/>
          <w:lang w:val="fr-FR"/>
        </w:rPr>
        <w:t xml:space="preserve">Bureau du </w:t>
      </w:r>
      <w:r w:rsidRPr="006A580C">
        <w:rPr>
          <w:i/>
          <w:noProof/>
          <w:lang w:val="fr-FR"/>
        </w:rPr>
        <w:t>Fiscal general</w:t>
      </w:r>
      <w:r w:rsidRPr="006A580C">
        <w:rPr>
          <w:noProof/>
          <w:lang w:val="fr-FR"/>
        </w:rPr>
        <w:t xml:space="preserve"> de la République</w:t>
      </w:r>
      <w:r>
        <w:rPr>
          <w:i/>
          <w:noProof/>
          <w:lang w:val="fr-FR"/>
        </w:rPr>
        <w:t xml:space="preserve"> </w:t>
      </w:r>
      <w:r>
        <w:rPr>
          <w:noProof/>
          <w:lang w:val="fr-FR"/>
        </w:rPr>
        <w:t xml:space="preserve">sur les affaires de féminicide enregistrées de 2012 à mars 2019. </w:t>
      </w:r>
      <w:r w:rsidRPr="00967F69">
        <w:rPr>
          <w:noProof/>
          <w:lang w:val="fr-FR"/>
        </w:rPr>
        <w:t>Chaque affaire peut concerner une ou plusieurs victimes, de sorte que les personnes mises en cause, les affaires poursuivies et les peines prononcées sont comptabilisé</w:t>
      </w:r>
      <w:r w:rsidR="00967F69" w:rsidRPr="00967F69">
        <w:rPr>
          <w:noProof/>
          <w:lang w:val="fr-FR"/>
        </w:rPr>
        <w:t>e</w:t>
      </w:r>
      <w:r w:rsidRPr="00967F69">
        <w:rPr>
          <w:noProof/>
          <w:lang w:val="fr-FR"/>
        </w:rPr>
        <w:t>s indépendamment les un</w:t>
      </w:r>
      <w:r w:rsidR="00967F69" w:rsidRPr="00967F69">
        <w:rPr>
          <w:noProof/>
          <w:lang w:val="fr-FR"/>
        </w:rPr>
        <w:t>e</w:t>
      </w:r>
      <w:r w:rsidRPr="00967F69">
        <w:rPr>
          <w:noProof/>
          <w:lang w:val="fr-FR"/>
        </w:rPr>
        <w:t>s des autres à la date du traitement de l</w:t>
      </w:r>
      <w:r w:rsidR="002A5D78" w:rsidRPr="00967F69">
        <w:rPr>
          <w:noProof/>
          <w:lang w:val="fr-FR"/>
        </w:rPr>
        <w:t>’</w:t>
      </w:r>
      <w:r w:rsidRPr="00967F69">
        <w:rPr>
          <w:noProof/>
          <w:lang w:val="fr-FR"/>
        </w:rPr>
        <w:t>affaire.</w:t>
      </w:r>
      <w:r w:rsidRPr="00BF05B8">
        <w:rPr>
          <w:noProof/>
          <w:lang w:val="fr-FR"/>
        </w:rPr>
        <w:t xml:space="preserve"> Les informations fournies commencent avec l</w:t>
      </w:r>
      <w:r w:rsidR="002A5D78">
        <w:rPr>
          <w:noProof/>
          <w:lang w:val="fr-FR"/>
        </w:rPr>
        <w:t>’</w:t>
      </w:r>
      <w:r w:rsidRPr="00BF05B8">
        <w:rPr>
          <w:noProof/>
          <w:lang w:val="fr-FR"/>
        </w:rPr>
        <w:t>année 2013 car c</w:t>
      </w:r>
      <w:r w:rsidR="002A5D78">
        <w:rPr>
          <w:noProof/>
          <w:lang w:val="fr-FR"/>
        </w:rPr>
        <w:t>’</w:t>
      </w:r>
      <w:r w:rsidRPr="00BF05B8">
        <w:rPr>
          <w:noProof/>
          <w:lang w:val="fr-FR"/>
        </w:rPr>
        <w:t xml:space="preserve">est à partir de cette </w:t>
      </w:r>
      <w:r>
        <w:rPr>
          <w:noProof/>
          <w:lang w:val="fr-FR"/>
        </w:rPr>
        <w:t>année</w:t>
      </w:r>
      <w:r w:rsidRPr="00BF05B8">
        <w:rPr>
          <w:noProof/>
          <w:lang w:val="fr-FR"/>
        </w:rPr>
        <w:t xml:space="preserve"> qu</w:t>
      </w:r>
      <w:r w:rsidR="002A5D78">
        <w:rPr>
          <w:noProof/>
          <w:lang w:val="fr-FR"/>
        </w:rPr>
        <w:t>’</w:t>
      </w:r>
      <w:r w:rsidRPr="00BF05B8">
        <w:rPr>
          <w:noProof/>
          <w:lang w:val="fr-FR"/>
        </w:rPr>
        <w:t>elles ont été systématiquement organisées et mises à jour.</w:t>
      </w:r>
    </w:p>
    <w:p w14:paraId="24F80D95" w14:textId="77777777" w:rsidR="00653B7F" w:rsidRPr="00A43FCB" w:rsidRDefault="00DA504B" w:rsidP="00DA504B">
      <w:pPr>
        <w:pStyle w:val="Titre1"/>
        <w:spacing w:after="120"/>
        <w:rPr>
          <w:noProof/>
          <w:lang w:val="fr-FR"/>
        </w:rPr>
      </w:pPr>
      <w:r>
        <w:rPr>
          <w:noProof/>
          <w:lang w:val="fr-FR"/>
        </w:rPr>
        <w:lastRenderedPageBreak/>
        <w:t>Tableau</w:t>
      </w:r>
      <w:r w:rsidR="00653B7F" w:rsidRPr="00A43FCB">
        <w:rPr>
          <w:noProof/>
          <w:lang w:val="fr-FR"/>
        </w:rPr>
        <w:t xml:space="preserve"> 4</w:t>
      </w:r>
      <w:r>
        <w:rPr>
          <w:noProof/>
          <w:lang w:val="fr-FR"/>
        </w:rPr>
        <w:br/>
      </w:r>
      <w:r w:rsidR="00653B7F" w:rsidRPr="00DA504B">
        <w:rPr>
          <w:b/>
          <w:bCs/>
          <w:noProof/>
          <w:lang w:val="fr-FR"/>
        </w:rPr>
        <w:t>Affaires de féminicide enregistrées de 2012 à mars 2019</w:t>
      </w:r>
    </w:p>
    <w:tbl>
      <w:tblPr>
        <w:tblW w:w="7370" w:type="dxa"/>
        <w:tblInd w:w="1134" w:type="dxa"/>
        <w:tblLayout w:type="fixed"/>
        <w:tblCellMar>
          <w:left w:w="0" w:type="dxa"/>
          <w:right w:w="0" w:type="dxa"/>
        </w:tblCellMar>
        <w:tblLook w:val="04A0" w:firstRow="1" w:lastRow="0" w:firstColumn="1" w:lastColumn="0" w:noHBand="0" w:noVBand="1"/>
      </w:tblPr>
      <w:tblGrid>
        <w:gridCol w:w="1498"/>
        <w:gridCol w:w="1621"/>
        <w:gridCol w:w="1843"/>
        <w:gridCol w:w="2408"/>
      </w:tblGrid>
      <w:tr w:rsidR="00653B7F" w:rsidRPr="00967F69" w14:paraId="02737D4E" w14:textId="77777777" w:rsidTr="00DA504B">
        <w:trPr>
          <w:tblHeader/>
        </w:trPr>
        <w:tc>
          <w:tcPr>
            <w:tcW w:w="14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B2DCF70" w14:textId="77777777" w:rsidR="00653B7F" w:rsidRPr="00DA504B" w:rsidRDefault="00653B7F" w:rsidP="00DA504B">
            <w:pPr>
              <w:keepNext/>
              <w:suppressAutoHyphens w:val="0"/>
              <w:spacing w:before="80" w:after="80" w:line="200" w:lineRule="exact"/>
              <w:rPr>
                <w:i/>
                <w:noProof/>
                <w:sz w:val="16"/>
                <w:lang w:val="fr-FR"/>
              </w:rPr>
            </w:pPr>
            <w:r w:rsidRPr="00DA504B">
              <w:rPr>
                <w:i/>
                <w:noProof/>
                <w:sz w:val="16"/>
                <w:lang w:val="fr-FR"/>
              </w:rPr>
              <w:t>Année</w:t>
            </w:r>
          </w:p>
        </w:tc>
        <w:tc>
          <w:tcPr>
            <w:tcW w:w="16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77BF261" w14:textId="77777777" w:rsidR="00653B7F" w:rsidRPr="00DA504B" w:rsidRDefault="00653B7F" w:rsidP="00DA504B">
            <w:pPr>
              <w:keepNext/>
              <w:suppressAutoHyphens w:val="0"/>
              <w:spacing w:before="80" w:after="80" w:line="200" w:lineRule="exact"/>
              <w:jc w:val="right"/>
              <w:rPr>
                <w:i/>
                <w:noProof/>
                <w:sz w:val="16"/>
                <w:lang w:val="fr-FR"/>
              </w:rPr>
            </w:pPr>
            <w:r w:rsidRPr="00DA504B">
              <w:rPr>
                <w:i/>
                <w:noProof/>
                <w:sz w:val="16"/>
                <w:lang w:val="fr-FR"/>
              </w:rPr>
              <w:t>Affaires traitées</w:t>
            </w:r>
          </w:p>
        </w:tc>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90E1BED" w14:textId="77777777" w:rsidR="00653B7F" w:rsidRPr="00DA504B" w:rsidRDefault="00653B7F" w:rsidP="00DA504B">
            <w:pPr>
              <w:keepNext/>
              <w:suppressAutoHyphens w:val="0"/>
              <w:spacing w:before="80" w:after="80" w:line="200" w:lineRule="exact"/>
              <w:jc w:val="right"/>
              <w:rPr>
                <w:i/>
                <w:noProof/>
                <w:sz w:val="16"/>
                <w:lang w:val="fr-FR"/>
              </w:rPr>
            </w:pPr>
            <w:r w:rsidRPr="00DA504B">
              <w:rPr>
                <w:i/>
                <w:noProof/>
                <w:sz w:val="16"/>
                <w:lang w:val="fr-FR"/>
              </w:rPr>
              <w:t>Affaires poursuivies</w:t>
            </w:r>
          </w:p>
        </w:tc>
        <w:tc>
          <w:tcPr>
            <w:tcW w:w="240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D521EC6" w14:textId="77777777" w:rsidR="00653B7F" w:rsidRPr="00967F69" w:rsidRDefault="00653B7F" w:rsidP="00DA504B">
            <w:pPr>
              <w:keepNext/>
              <w:suppressAutoHyphens w:val="0"/>
              <w:spacing w:before="80" w:after="80" w:line="200" w:lineRule="exact"/>
              <w:jc w:val="right"/>
              <w:rPr>
                <w:i/>
                <w:noProof/>
                <w:sz w:val="16"/>
                <w:lang w:val="fr-FR"/>
              </w:rPr>
            </w:pPr>
            <w:r w:rsidRPr="00967F69">
              <w:rPr>
                <w:i/>
                <w:noProof/>
                <w:sz w:val="16"/>
                <w:lang w:val="fr-FR"/>
              </w:rPr>
              <w:t>Jugements portant condamnation</w:t>
            </w:r>
          </w:p>
        </w:tc>
      </w:tr>
      <w:tr w:rsidR="00653B7F" w:rsidRPr="00967F69" w14:paraId="1CCC624C" w14:textId="77777777" w:rsidTr="00DA504B">
        <w:tc>
          <w:tcPr>
            <w:tcW w:w="1498" w:type="dxa"/>
            <w:tcBorders>
              <w:top w:val="single" w:sz="12" w:space="0" w:color="auto"/>
            </w:tcBorders>
            <w:shd w:val="clear" w:color="auto" w:fill="auto"/>
            <w:tcMar>
              <w:top w:w="0" w:type="dxa"/>
              <w:left w:w="0" w:type="dxa"/>
              <w:bottom w:w="0" w:type="dxa"/>
              <w:right w:w="0" w:type="dxa"/>
            </w:tcMar>
          </w:tcPr>
          <w:p w14:paraId="239AD80E" w14:textId="77777777" w:rsidR="00653B7F" w:rsidRPr="00DA504B" w:rsidRDefault="00653B7F" w:rsidP="00DA504B">
            <w:pPr>
              <w:keepNext/>
              <w:suppressAutoHyphens w:val="0"/>
              <w:spacing w:before="40" w:after="40" w:line="220" w:lineRule="exact"/>
              <w:rPr>
                <w:noProof/>
                <w:sz w:val="18"/>
                <w:lang w:val="fr-FR"/>
              </w:rPr>
            </w:pPr>
            <w:r w:rsidRPr="00DA504B">
              <w:rPr>
                <w:noProof/>
                <w:sz w:val="18"/>
                <w:lang w:val="fr-FR"/>
              </w:rPr>
              <w:t>2012</w:t>
            </w:r>
          </w:p>
        </w:tc>
        <w:tc>
          <w:tcPr>
            <w:tcW w:w="1621" w:type="dxa"/>
            <w:tcBorders>
              <w:top w:val="single" w:sz="12" w:space="0" w:color="auto"/>
            </w:tcBorders>
            <w:shd w:val="clear" w:color="auto" w:fill="auto"/>
            <w:tcMar>
              <w:top w:w="0" w:type="dxa"/>
              <w:left w:w="0" w:type="dxa"/>
              <w:bottom w:w="0" w:type="dxa"/>
              <w:right w:w="0" w:type="dxa"/>
            </w:tcMar>
            <w:vAlign w:val="bottom"/>
          </w:tcPr>
          <w:p w14:paraId="065F45D7"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31</w:t>
            </w:r>
          </w:p>
        </w:tc>
        <w:tc>
          <w:tcPr>
            <w:tcW w:w="1843" w:type="dxa"/>
            <w:tcBorders>
              <w:top w:val="single" w:sz="12" w:space="0" w:color="auto"/>
            </w:tcBorders>
            <w:shd w:val="clear" w:color="auto" w:fill="auto"/>
            <w:tcMar>
              <w:top w:w="0" w:type="dxa"/>
              <w:left w:w="0" w:type="dxa"/>
              <w:bottom w:w="0" w:type="dxa"/>
              <w:right w:w="0" w:type="dxa"/>
            </w:tcMar>
            <w:vAlign w:val="bottom"/>
          </w:tcPr>
          <w:p w14:paraId="10070ECB"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w:t>
            </w:r>
          </w:p>
        </w:tc>
        <w:tc>
          <w:tcPr>
            <w:tcW w:w="2408" w:type="dxa"/>
            <w:tcBorders>
              <w:top w:val="single" w:sz="12" w:space="0" w:color="auto"/>
            </w:tcBorders>
            <w:shd w:val="clear" w:color="auto" w:fill="auto"/>
            <w:tcMar>
              <w:top w:w="0" w:type="dxa"/>
              <w:left w:w="0" w:type="dxa"/>
              <w:bottom w:w="0" w:type="dxa"/>
              <w:right w:w="0" w:type="dxa"/>
            </w:tcMar>
            <w:vAlign w:val="bottom"/>
          </w:tcPr>
          <w:p w14:paraId="79CF325F" w14:textId="77777777" w:rsidR="00653B7F" w:rsidRPr="00967F69" w:rsidRDefault="00653B7F" w:rsidP="00DA504B">
            <w:pPr>
              <w:keepNext/>
              <w:suppressAutoHyphens w:val="0"/>
              <w:spacing w:before="40" w:after="40" w:line="220" w:lineRule="exact"/>
              <w:jc w:val="right"/>
              <w:rPr>
                <w:noProof/>
                <w:sz w:val="18"/>
                <w:lang w:val="fr-FR"/>
              </w:rPr>
            </w:pPr>
            <w:r w:rsidRPr="00967F69">
              <w:rPr>
                <w:noProof/>
                <w:sz w:val="18"/>
                <w:lang w:val="fr-FR"/>
              </w:rPr>
              <w:t>-</w:t>
            </w:r>
          </w:p>
        </w:tc>
      </w:tr>
      <w:tr w:rsidR="00653B7F" w:rsidRPr="00DA504B" w14:paraId="39D604F1" w14:textId="77777777" w:rsidTr="00DA504B">
        <w:tc>
          <w:tcPr>
            <w:tcW w:w="1498" w:type="dxa"/>
            <w:shd w:val="clear" w:color="auto" w:fill="auto"/>
            <w:tcMar>
              <w:top w:w="0" w:type="dxa"/>
              <w:left w:w="0" w:type="dxa"/>
              <w:bottom w:w="0" w:type="dxa"/>
              <w:right w:w="0" w:type="dxa"/>
            </w:tcMar>
          </w:tcPr>
          <w:p w14:paraId="67E3B3C8" w14:textId="77777777" w:rsidR="00653B7F" w:rsidRPr="00DA504B" w:rsidRDefault="00653B7F" w:rsidP="00DA504B">
            <w:pPr>
              <w:keepNext/>
              <w:suppressAutoHyphens w:val="0"/>
              <w:spacing w:before="40" w:after="40" w:line="220" w:lineRule="exact"/>
              <w:rPr>
                <w:noProof/>
                <w:sz w:val="18"/>
                <w:lang w:val="fr-FR"/>
              </w:rPr>
            </w:pPr>
            <w:r w:rsidRPr="00DA504B">
              <w:rPr>
                <w:noProof/>
                <w:sz w:val="18"/>
                <w:lang w:val="fr-FR"/>
              </w:rPr>
              <w:t>2013</w:t>
            </w:r>
          </w:p>
        </w:tc>
        <w:tc>
          <w:tcPr>
            <w:tcW w:w="1621" w:type="dxa"/>
            <w:shd w:val="clear" w:color="auto" w:fill="auto"/>
            <w:tcMar>
              <w:top w:w="0" w:type="dxa"/>
              <w:left w:w="0" w:type="dxa"/>
              <w:bottom w:w="0" w:type="dxa"/>
              <w:right w:w="0" w:type="dxa"/>
            </w:tcMar>
            <w:vAlign w:val="bottom"/>
          </w:tcPr>
          <w:p w14:paraId="2574E603"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91</w:t>
            </w:r>
          </w:p>
        </w:tc>
        <w:tc>
          <w:tcPr>
            <w:tcW w:w="1843" w:type="dxa"/>
            <w:shd w:val="clear" w:color="auto" w:fill="auto"/>
            <w:tcMar>
              <w:top w:w="0" w:type="dxa"/>
              <w:left w:w="0" w:type="dxa"/>
              <w:bottom w:w="0" w:type="dxa"/>
              <w:right w:w="0" w:type="dxa"/>
            </w:tcMar>
            <w:vAlign w:val="bottom"/>
          </w:tcPr>
          <w:p w14:paraId="10A8B937"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37</w:t>
            </w:r>
          </w:p>
        </w:tc>
        <w:tc>
          <w:tcPr>
            <w:tcW w:w="2408" w:type="dxa"/>
            <w:shd w:val="clear" w:color="auto" w:fill="auto"/>
            <w:tcMar>
              <w:top w:w="0" w:type="dxa"/>
              <w:left w:w="0" w:type="dxa"/>
              <w:bottom w:w="0" w:type="dxa"/>
              <w:right w:w="0" w:type="dxa"/>
            </w:tcMar>
            <w:vAlign w:val="bottom"/>
          </w:tcPr>
          <w:p w14:paraId="33D62855"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12</w:t>
            </w:r>
          </w:p>
        </w:tc>
      </w:tr>
      <w:tr w:rsidR="00653B7F" w:rsidRPr="00DA504B" w14:paraId="76CB9D88" w14:textId="77777777" w:rsidTr="00DA504B">
        <w:tc>
          <w:tcPr>
            <w:tcW w:w="1498" w:type="dxa"/>
            <w:shd w:val="clear" w:color="auto" w:fill="auto"/>
            <w:tcMar>
              <w:top w:w="0" w:type="dxa"/>
              <w:left w:w="0" w:type="dxa"/>
              <w:bottom w:w="0" w:type="dxa"/>
              <w:right w:w="0" w:type="dxa"/>
            </w:tcMar>
          </w:tcPr>
          <w:p w14:paraId="62887700" w14:textId="77777777" w:rsidR="00653B7F" w:rsidRPr="00DA504B" w:rsidRDefault="00653B7F" w:rsidP="00DA504B">
            <w:pPr>
              <w:keepNext/>
              <w:suppressAutoHyphens w:val="0"/>
              <w:spacing w:before="40" w:after="40" w:line="220" w:lineRule="exact"/>
              <w:rPr>
                <w:noProof/>
                <w:sz w:val="18"/>
                <w:lang w:val="fr-FR"/>
              </w:rPr>
            </w:pPr>
            <w:r w:rsidRPr="00DA504B">
              <w:rPr>
                <w:noProof/>
                <w:sz w:val="18"/>
                <w:lang w:val="fr-FR"/>
              </w:rPr>
              <w:t>2014</w:t>
            </w:r>
          </w:p>
        </w:tc>
        <w:tc>
          <w:tcPr>
            <w:tcW w:w="1621" w:type="dxa"/>
            <w:shd w:val="clear" w:color="auto" w:fill="auto"/>
            <w:tcMar>
              <w:top w:w="0" w:type="dxa"/>
              <w:left w:w="0" w:type="dxa"/>
              <w:bottom w:w="0" w:type="dxa"/>
              <w:right w:w="0" w:type="dxa"/>
            </w:tcMar>
            <w:vAlign w:val="bottom"/>
          </w:tcPr>
          <w:p w14:paraId="284A38F5"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165</w:t>
            </w:r>
          </w:p>
        </w:tc>
        <w:tc>
          <w:tcPr>
            <w:tcW w:w="1843" w:type="dxa"/>
            <w:shd w:val="clear" w:color="auto" w:fill="auto"/>
            <w:tcMar>
              <w:top w:w="0" w:type="dxa"/>
              <w:left w:w="0" w:type="dxa"/>
              <w:bottom w:w="0" w:type="dxa"/>
              <w:right w:w="0" w:type="dxa"/>
            </w:tcMar>
            <w:vAlign w:val="bottom"/>
          </w:tcPr>
          <w:p w14:paraId="4277CF71"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49</w:t>
            </w:r>
          </w:p>
        </w:tc>
        <w:tc>
          <w:tcPr>
            <w:tcW w:w="2408" w:type="dxa"/>
            <w:shd w:val="clear" w:color="auto" w:fill="auto"/>
            <w:tcMar>
              <w:top w:w="0" w:type="dxa"/>
              <w:left w:w="0" w:type="dxa"/>
              <w:bottom w:w="0" w:type="dxa"/>
              <w:right w:w="0" w:type="dxa"/>
            </w:tcMar>
            <w:vAlign w:val="bottom"/>
          </w:tcPr>
          <w:p w14:paraId="095E03FC" w14:textId="77777777" w:rsidR="00653B7F" w:rsidRPr="00DA504B" w:rsidRDefault="00653B7F" w:rsidP="00DA504B">
            <w:pPr>
              <w:keepNext/>
              <w:suppressAutoHyphens w:val="0"/>
              <w:spacing w:before="40" w:after="40" w:line="220" w:lineRule="exact"/>
              <w:jc w:val="right"/>
              <w:rPr>
                <w:noProof/>
                <w:sz w:val="18"/>
                <w:lang w:val="fr-FR"/>
              </w:rPr>
            </w:pPr>
            <w:r w:rsidRPr="00DA504B">
              <w:rPr>
                <w:noProof/>
                <w:sz w:val="18"/>
                <w:lang w:val="fr-FR"/>
              </w:rPr>
              <w:t>23</w:t>
            </w:r>
          </w:p>
        </w:tc>
      </w:tr>
      <w:tr w:rsidR="00653B7F" w:rsidRPr="00DA504B" w14:paraId="5E71AC49" w14:textId="77777777" w:rsidTr="00DA504B">
        <w:tc>
          <w:tcPr>
            <w:tcW w:w="1498" w:type="dxa"/>
            <w:shd w:val="clear" w:color="auto" w:fill="auto"/>
            <w:tcMar>
              <w:top w:w="0" w:type="dxa"/>
              <w:left w:w="0" w:type="dxa"/>
              <w:bottom w:w="0" w:type="dxa"/>
              <w:right w:w="0" w:type="dxa"/>
            </w:tcMar>
          </w:tcPr>
          <w:p w14:paraId="7C675314" w14:textId="77777777" w:rsidR="00653B7F" w:rsidRPr="00DA504B" w:rsidRDefault="00653B7F" w:rsidP="00DA504B">
            <w:pPr>
              <w:suppressAutoHyphens w:val="0"/>
              <w:spacing w:before="40" w:after="40" w:line="220" w:lineRule="exact"/>
              <w:rPr>
                <w:noProof/>
                <w:sz w:val="18"/>
                <w:lang w:val="fr-FR"/>
              </w:rPr>
            </w:pPr>
            <w:r w:rsidRPr="00DA504B">
              <w:rPr>
                <w:noProof/>
                <w:sz w:val="18"/>
                <w:lang w:val="fr-FR"/>
              </w:rPr>
              <w:t>2015</w:t>
            </w:r>
          </w:p>
        </w:tc>
        <w:tc>
          <w:tcPr>
            <w:tcW w:w="1621" w:type="dxa"/>
            <w:shd w:val="clear" w:color="auto" w:fill="auto"/>
            <w:tcMar>
              <w:top w:w="0" w:type="dxa"/>
              <w:left w:w="0" w:type="dxa"/>
              <w:bottom w:w="0" w:type="dxa"/>
              <w:right w:w="0" w:type="dxa"/>
            </w:tcMar>
            <w:vAlign w:val="bottom"/>
          </w:tcPr>
          <w:p w14:paraId="22EB1D07"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304</w:t>
            </w:r>
          </w:p>
        </w:tc>
        <w:tc>
          <w:tcPr>
            <w:tcW w:w="1843" w:type="dxa"/>
            <w:shd w:val="clear" w:color="auto" w:fill="auto"/>
            <w:tcMar>
              <w:top w:w="0" w:type="dxa"/>
              <w:left w:w="0" w:type="dxa"/>
              <w:bottom w:w="0" w:type="dxa"/>
              <w:right w:w="0" w:type="dxa"/>
            </w:tcMar>
            <w:vAlign w:val="bottom"/>
          </w:tcPr>
          <w:p w14:paraId="30C56BA3"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38</w:t>
            </w:r>
          </w:p>
        </w:tc>
        <w:tc>
          <w:tcPr>
            <w:tcW w:w="2408" w:type="dxa"/>
            <w:shd w:val="clear" w:color="auto" w:fill="auto"/>
            <w:tcMar>
              <w:top w:w="0" w:type="dxa"/>
              <w:left w:w="0" w:type="dxa"/>
              <w:bottom w:w="0" w:type="dxa"/>
              <w:right w:w="0" w:type="dxa"/>
            </w:tcMar>
            <w:vAlign w:val="bottom"/>
          </w:tcPr>
          <w:p w14:paraId="20BF1ABE"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24</w:t>
            </w:r>
          </w:p>
        </w:tc>
      </w:tr>
      <w:tr w:rsidR="00653B7F" w:rsidRPr="00DA504B" w14:paraId="0171C85E" w14:textId="77777777" w:rsidTr="00DA504B">
        <w:tc>
          <w:tcPr>
            <w:tcW w:w="1498" w:type="dxa"/>
            <w:shd w:val="clear" w:color="auto" w:fill="auto"/>
            <w:tcMar>
              <w:top w:w="0" w:type="dxa"/>
              <w:left w:w="0" w:type="dxa"/>
              <w:bottom w:w="0" w:type="dxa"/>
              <w:right w:w="0" w:type="dxa"/>
            </w:tcMar>
          </w:tcPr>
          <w:p w14:paraId="49EB4E60" w14:textId="77777777" w:rsidR="00653B7F" w:rsidRPr="00DA504B" w:rsidRDefault="00653B7F" w:rsidP="00DA504B">
            <w:pPr>
              <w:suppressAutoHyphens w:val="0"/>
              <w:spacing w:before="40" w:after="40" w:line="220" w:lineRule="exact"/>
              <w:rPr>
                <w:noProof/>
                <w:sz w:val="18"/>
                <w:lang w:val="fr-FR"/>
              </w:rPr>
            </w:pPr>
            <w:r w:rsidRPr="00DA504B">
              <w:rPr>
                <w:noProof/>
                <w:sz w:val="18"/>
                <w:lang w:val="fr-FR"/>
              </w:rPr>
              <w:t>2016</w:t>
            </w:r>
          </w:p>
        </w:tc>
        <w:tc>
          <w:tcPr>
            <w:tcW w:w="1621" w:type="dxa"/>
            <w:shd w:val="clear" w:color="auto" w:fill="auto"/>
            <w:tcMar>
              <w:top w:w="0" w:type="dxa"/>
              <w:left w:w="0" w:type="dxa"/>
              <w:bottom w:w="0" w:type="dxa"/>
              <w:right w:w="0" w:type="dxa"/>
            </w:tcMar>
            <w:vAlign w:val="bottom"/>
          </w:tcPr>
          <w:p w14:paraId="632A9B41"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297</w:t>
            </w:r>
          </w:p>
        </w:tc>
        <w:tc>
          <w:tcPr>
            <w:tcW w:w="1843" w:type="dxa"/>
            <w:shd w:val="clear" w:color="auto" w:fill="auto"/>
            <w:tcMar>
              <w:top w:w="0" w:type="dxa"/>
              <w:left w:w="0" w:type="dxa"/>
              <w:bottom w:w="0" w:type="dxa"/>
              <w:right w:w="0" w:type="dxa"/>
            </w:tcMar>
            <w:vAlign w:val="bottom"/>
          </w:tcPr>
          <w:p w14:paraId="7492F968"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58</w:t>
            </w:r>
          </w:p>
        </w:tc>
        <w:tc>
          <w:tcPr>
            <w:tcW w:w="2408" w:type="dxa"/>
            <w:shd w:val="clear" w:color="auto" w:fill="auto"/>
            <w:tcMar>
              <w:top w:w="0" w:type="dxa"/>
              <w:left w:w="0" w:type="dxa"/>
              <w:bottom w:w="0" w:type="dxa"/>
              <w:right w:w="0" w:type="dxa"/>
            </w:tcMar>
            <w:vAlign w:val="bottom"/>
          </w:tcPr>
          <w:p w14:paraId="45770118"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21</w:t>
            </w:r>
          </w:p>
        </w:tc>
      </w:tr>
      <w:tr w:rsidR="00653B7F" w:rsidRPr="00DA504B" w14:paraId="1C5406EF" w14:textId="77777777" w:rsidTr="00DA504B">
        <w:tc>
          <w:tcPr>
            <w:tcW w:w="1498" w:type="dxa"/>
            <w:shd w:val="clear" w:color="auto" w:fill="auto"/>
            <w:tcMar>
              <w:top w:w="0" w:type="dxa"/>
              <w:left w:w="0" w:type="dxa"/>
              <w:bottom w:w="0" w:type="dxa"/>
              <w:right w:w="0" w:type="dxa"/>
            </w:tcMar>
          </w:tcPr>
          <w:p w14:paraId="05207F0A" w14:textId="77777777" w:rsidR="00653B7F" w:rsidRPr="00DA504B" w:rsidRDefault="00653B7F" w:rsidP="00DA504B">
            <w:pPr>
              <w:suppressAutoHyphens w:val="0"/>
              <w:spacing w:before="40" w:after="40" w:line="220" w:lineRule="exact"/>
              <w:rPr>
                <w:noProof/>
                <w:sz w:val="18"/>
                <w:lang w:val="fr-FR"/>
              </w:rPr>
            </w:pPr>
            <w:r w:rsidRPr="00DA504B">
              <w:rPr>
                <w:noProof/>
                <w:sz w:val="18"/>
                <w:lang w:val="fr-FR"/>
              </w:rPr>
              <w:t>2017</w:t>
            </w:r>
          </w:p>
        </w:tc>
        <w:tc>
          <w:tcPr>
            <w:tcW w:w="1621" w:type="dxa"/>
            <w:shd w:val="clear" w:color="auto" w:fill="auto"/>
            <w:tcMar>
              <w:top w:w="0" w:type="dxa"/>
              <w:left w:w="0" w:type="dxa"/>
              <w:bottom w:w="0" w:type="dxa"/>
              <w:right w:w="0" w:type="dxa"/>
            </w:tcMar>
            <w:vAlign w:val="bottom"/>
          </w:tcPr>
          <w:p w14:paraId="4AB661A6"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313</w:t>
            </w:r>
          </w:p>
        </w:tc>
        <w:tc>
          <w:tcPr>
            <w:tcW w:w="1843" w:type="dxa"/>
            <w:shd w:val="clear" w:color="auto" w:fill="auto"/>
            <w:tcMar>
              <w:top w:w="0" w:type="dxa"/>
              <w:left w:w="0" w:type="dxa"/>
              <w:bottom w:w="0" w:type="dxa"/>
              <w:right w:w="0" w:type="dxa"/>
            </w:tcMar>
            <w:vAlign w:val="bottom"/>
          </w:tcPr>
          <w:p w14:paraId="51CCF96C"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71</w:t>
            </w:r>
          </w:p>
        </w:tc>
        <w:tc>
          <w:tcPr>
            <w:tcW w:w="2408" w:type="dxa"/>
            <w:shd w:val="clear" w:color="auto" w:fill="auto"/>
            <w:tcMar>
              <w:top w:w="0" w:type="dxa"/>
              <w:left w:w="0" w:type="dxa"/>
              <w:bottom w:w="0" w:type="dxa"/>
              <w:right w:w="0" w:type="dxa"/>
            </w:tcMar>
            <w:vAlign w:val="bottom"/>
          </w:tcPr>
          <w:p w14:paraId="3F899633"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22</w:t>
            </w:r>
          </w:p>
        </w:tc>
      </w:tr>
      <w:tr w:rsidR="00653B7F" w:rsidRPr="00DA504B" w14:paraId="0AAB59B6" w14:textId="77777777" w:rsidTr="00DA504B">
        <w:tc>
          <w:tcPr>
            <w:tcW w:w="1498" w:type="dxa"/>
            <w:shd w:val="clear" w:color="auto" w:fill="auto"/>
            <w:tcMar>
              <w:top w:w="0" w:type="dxa"/>
              <w:left w:w="0" w:type="dxa"/>
              <w:bottom w:w="0" w:type="dxa"/>
              <w:right w:w="0" w:type="dxa"/>
            </w:tcMar>
          </w:tcPr>
          <w:p w14:paraId="5E9AC195" w14:textId="77777777" w:rsidR="00653B7F" w:rsidRPr="00DA504B" w:rsidRDefault="00653B7F" w:rsidP="00DA504B">
            <w:pPr>
              <w:suppressAutoHyphens w:val="0"/>
              <w:spacing w:before="40" w:after="40" w:line="220" w:lineRule="exact"/>
              <w:rPr>
                <w:noProof/>
                <w:sz w:val="18"/>
                <w:lang w:val="fr-FR"/>
              </w:rPr>
            </w:pPr>
            <w:r w:rsidRPr="00DA504B">
              <w:rPr>
                <w:noProof/>
                <w:sz w:val="18"/>
                <w:lang w:val="fr-FR"/>
              </w:rPr>
              <w:t>2018</w:t>
            </w:r>
          </w:p>
        </w:tc>
        <w:tc>
          <w:tcPr>
            <w:tcW w:w="1621" w:type="dxa"/>
            <w:shd w:val="clear" w:color="auto" w:fill="auto"/>
            <w:tcMar>
              <w:top w:w="0" w:type="dxa"/>
              <w:left w:w="0" w:type="dxa"/>
              <w:bottom w:w="0" w:type="dxa"/>
              <w:right w:w="0" w:type="dxa"/>
            </w:tcMar>
            <w:vAlign w:val="bottom"/>
          </w:tcPr>
          <w:p w14:paraId="72016B42"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282</w:t>
            </w:r>
          </w:p>
        </w:tc>
        <w:tc>
          <w:tcPr>
            <w:tcW w:w="1843" w:type="dxa"/>
            <w:shd w:val="clear" w:color="auto" w:fill="auto"/>
            <w:tcMar>
              <w:top w:w="0" w:type="dxa"/>
              <w:left w:w="0" w:type="dxa"/>
              <w:bottom w:w="0" w:type="dxa"/>
              <w:right w:w="0" w:type="dxa"/>
            </w:tcMar>
            <w:vAlign w:val="bottom"/>
          </w:tcPr>
          <w:p w14:paraId="3B7CC607"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101</w:t>
            </w:r>
          </w:p>
        </w:tc>
        <w:tc>
          <w:tcPr>
            <w:tcW w:w="2408" w:type="dxa"/>
            <w:shd w:val="clear" w:color="auto" w:fill="auto"/>
            <w:tcMar>
              <w:top w:w="0" w:type="dxa"/>
              <w:left w:w="0" w:type="dxa"/>
              <w:bottom w:w="0" w:type="dxa"/>
              <w:right w:w="0" w:type="dxa"/>
            </w:tcMar>
            <w:vAlign w:val="bottom"/>
          </w:tcPr>
          <w:p w14:paraId="3CC5C88B"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31</w:t>
            </w:r>
          </w:p>
        </w:tc>
      </w:tr>
      <w:tr w:rsidR="00653B7F" w:rsidRPr="00DA504B" w14:paraId="4FCFCD69" w14:textId="77777777" w:rsidTr="00DA504B">
        <w:tc>
          <w:tcPr>
            <w:tcW w:w="1498" w:type="dxa"/>
            <w:tcBorders>
              <w:bottom w:val="single" w:sz="4" w:space="0" w:color="auto"/>
            </w:tcBorders>
            <w:shd w:val="clear" w:color="auto" w:fill="auto"/>
            <w:tcMar>
              <w:top w:w="0" w:type="dxa"/>
              <w:left w:w="0" w:type="dxa"/>
              <w:bottom w:w="0" w:type="dxa"/>
              <w:right w:w="0" w:type="dxa"/>
            </w:tcMar>
          </w:tcPr>
          <w:p w14:paraId="6A9D4D18" w14:textId="77777777" w:rsidR="00653B7F" w:rsidRPr="00DA504B" w:rsidRDefault="00653B7F" w:rsidP="00DA504B">
            <w:pPr>
              <w:suppressAutoHyphens w:val="0"/>
              <w:spacing w:before="40" w:after="40" w:line="220" w:lineRule="exact"/>
              <w:rPr>
                <w:noProof/>
                <w:sz w:val="18"/>
                <w:lang w:val="fr-FR"/>
              </w:rPr>
            </w:pPr>
            <w:r w:rsidRPr="00DA504B">
              <w:rPr>
                <w:noProof/>
                <w:sz w:val="18"/>
                <w:lang w:val="fr-FR"/>
              </w:rPr>
              <w:t>Janvier-mars 2019</w:t>
            </w:r>
          </w:p>
        </w:tc>
        <w:tc>
          <w:tcPr>
            <w:tcW w:w="1621" w:type="dxa"/>
            <w:tcBorders>
              <w:bottom w:val="single" w:sz="4" w:space="0" w:color="auto"/>
            </w:tcBorders>
            <w:shd w:val="clear" w:color="auto" w:fill="auto"/>
            <w:tcMar>
              <w:top w:w="0" w:type="dxa"/>
              <w:left w:w="0" w:type="dxa"/>
              <w:bottom w:w="0" w:type="dxa"/>
              <w:right w:w="0" w:type="dxa"/>
            </w:tcMar>
            <w:vAlign w:val="bottom"/>
          </w:tcPr>
          <w:p w14:paraId="2FA3717A"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45</w:t>
            </w:r>
          </w:p>
        </w:tc>
        <w:tc>
          <w:tcPr>
            <w:tcW w:w="1843" w:type="dxa"/>
            <w:tcBorders>
              <w:bottom w:val="single" w:sz="4" w:space="0" w:color="auto"/>
            </w:tcBorders>
            <w:shd w:val="clear" w:color="auto" w:fill="auto"/>
            <w:tcMar>
              <w:top w:w="0" w:type="dxa"/>
              <w:left w:w="0" w:type="dxa"/>
              <w:bottom w:w="0" w:type="dxa"/>
              <w:right w:w="0" w:type="dxa"/>
            </w:tcMar>
            <w:vAlign w:val="bottom"/>
          </w:tcPr>
          <w:p w14:paraId="2C453468"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29</w:t>
            </w:r>
          </w:p>
        </w:tc>
        <w:tc>
          <w:tcPr>
            <w:tcW w:w="2408" w:type="dxa"/>
            <w:tcBorders>
              <w:bottom w:val="single" w:sz="4" w:space="0" w:color="auto"/>
            </w:tcBorders>
            <w:shd w:val="clear" w:color="auto" w:fill="auto"/>
            <w:tcMar>
              <w:top w:w="0" w:type="dxa"/>
              <w:left w:w="0" w:type="dxa"/>
              <w:bottom w:w="0" w:type="dxa"/>
              <w:right w:w="0" w:type="dxa"/>
            </w:tcMar>
            <w:vAlign w:val="bottom"/>
          </w:tcPr>
          <w:p w14:paraId="75F84083" w14:textId="77777777" w:rsidR="00653B7F" w:rsidRPr="00DA504B" w:rsidRDefault="00653B7F" w:rsidP="00DA504B">
            <w:pPr>
              <w:suppressAutoHyphens w:val="0"/>
              <w:spacing w:before="40" w:after="40" w:line="220" w:lineRule="exact"/>
              <w:jc w:val="right"/>
              <w:rPr>
                <w:noProof/>
                <w:sz w:val="18"/>
                <w:lang w:val="fr-FR"/>
              </w:rPr>
            </w:pPr>
            <w:r w:rsidRPr="00DA504B">
              <w:rPr>
                <w:noProof/>
                <w:sz w:val="18"/>
                <w:lang w:val="fr-FR"/>
              </w:rPr>
              <w:t>4</w:t>
            </w:r>
          </w:p>
        </w:tc>
      </w:tr>
      <w:tr w:rsidR="00653B7F" w:rsidRPr="00DA504B" w14:paraId="6421A689" w14:textId="77777777" w:rsidTr="00DA504B">
        <w:tc>
          <w:tcPr>
            <w:tcW w:w="1498" w:type="dxa"/>
            <w:tcBorders>
              <w:top w:val="single" w:sz="4" w:space="0" w:color="auto"/>
              <w:bottom w:val="single" w:sz="12" w:space="0" w:color="auto"/>
            </w:tcBorders>
            <w:shd w:val="clear" w:color="auto" w:fill="auto"/>
            <w:tcMar>
              <w:top w:w="0" w:type="dxa"/>
              <w:left w:w="0" w:type="dxa"/>
              <w:bottom w:w="0" w:type="dxa"/>
              <w:right w:w="0" w:type="dxa"/>
            </w:tcMar>
          </w:tcPr>
          <w:p w14:paraId="72081DAB" w14:textId="77777777" w:rsidR="00653B7F" w:rsidRPr="00DA504B" w:rsidRDefault="00653B7F" w:rsidP="00853092">
            <w:pPr>
              <w:suppressAutoHyphens w:val="0"/>
              <w:spacing w:before="80" w:after="80" w:line="220" w:lineRule="exact"/>
              <w:ind w:left="284"/>
              <w:rPr>
                <w:b/>
                <w:noProof/>
                <w:sz w:val="18"/>
                <w:lang w:val="fr-FR"/>
              </w:rPr>
            </w:pPr>
            <w:r w:rsidRPr="00DA504B">
              <w:rPr>
                <w:b/>
                <w:noProof/>
                <w:sz w:val="18"/>
                <w:lang w:val="fr-FR"/>
              </w:rPr>
              <w:t>Total</w:t>
            </w:r>
          </w:p>
        </w:tc>
        <w:tc>
          <w:tcPr>
            <w:tcW w:w="16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C6711DF" w14:textId="77777777" w:rsidR="00653B7F" w:rsidRPr="00DA504B" w:rsidRDefault="00653B7F" w:rsidP="00DA504B">
            <w:pPr>
              <w:suppressAutoHyphens w:val="0"/>
              <w:spacing w:before="80" w:after="80" w:line="220" w:lineRule="exact"/>
              <w:jc w:val="right"/>
              <w:rPr>
                <w:b/>
                <w:noProof/>
                <w:sz w:val="18"/>
                <w:lang w:val="fr-FR"/>
              </w:rPr>
            </w:pPr>
            <w:r w:rsidRPr="00DA504B">
              <w:rPr>
                <w:b/>
                <w:noProof/>
                <w:sz w:val="18"/>
                <w:lang w:val="fr-FR"/>
              </w:rPr>
              <w:t>1</w:t>
            </w:r>
            <w:r w:rsidR="00853092">
              <w:rPr>
                <w:b/>
                <w:noProof/>
                <w:sz w:val="18"/>
                <w:lang w:val="fr-FR"/>
              </w:rPr>
              <w:t> </w:t>
            </w:r>
            <w:r w:rsidRPr="00DA504B">
              <w:rPr>
                <w:b/>
                <w:noProof/>
                <w:sz w:val="18"/>
                <w:lang w:val="fr-FR"/>
              </w:rPr>
              <w:t>528</w:t>
            </w:r>
          </w:p>
        </w:tc>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9256F74" w14:textId="77777777" w:rsidR="00653B7F" w:rsidRPr="00DA504B" w:rsidRDefault="00653B7F" w:rsidP="00DA504B">
            <w:pPr>
              <w:suppressAutoHyphens w:val="0"/>
              <w:spacing w:before="80" w:after="80" w:line="220" w:lineRule="exact"/>
              <w:jc w:val="right"/>
              <w:rPr>
                <w:b/>
                <w:noProof/>
                <w:sz w:val="18"/>
                <w:lang w:val="fr-FR"/>
              </w:rPr>
            </w:pPr>
            <w:r w:rsidRPr="00DA504B">
              <w:rPr>
                <w:b/>
                <w:noProof/>
                <w:sz w:val="18"/>
                <w:lang w:val="fr-FR"/>
              </w:rPr>
              <w:t>383</w:t>
            </w:r>
          </w:p>
        </w:tc>
        <w:tc>
          <w:tcPr>
            <w:tcW w:w="240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C318E02" w14:textId="77777777" w:rsidR="00653B7F" w:rsidRPr="00DA504B" w:rsidRDefault="00653B7F" w:rsidP="00DA504B">
            <w:pPr>
              <w:suppressAutoHyphens w:val="0"/>
              <w:spacing w:before="80" w:after="80" w:line="220" w:lineRule="exact"/>
              <w:jc w:val="right"/>
              <w:rPr>
                <w:b/>
                <w:noProof/>
                <w:sz w:val="18"/>
                <w:lang w:val="fr-FR"/>
              </w:rPr>
            </w:pPr>
            <w:r w:rsidRPr="00DA504B">
              <w:rPr>
                <w:b/>
                <w:noProof/>
                <w:sz w:val="18"/>
                <w:lang w:val="fr-FR"/>
              </w:rPr>
              <w:t>137</w:t>
            </w:r>
          </w:p>
        </w:tc>
      </w:tr>
    </w:tbl>
    <w:p w14:paraId="79FEBE5E" w14:textId="77777777" w:rsidR="00653B7F" w:rsidRDefault="00653B7F" w:rsidP="00653B7F">
      <w:pPr>
        <w:pStyle w:val="SingleTxtG"/>
        <w:spacing w:before="240"/>
        <w:rPr>
          <w:noProof/>
          <w:lang w:val="fr-FR"/>
        </w:rPr>
      </w:pPr>
      <w:r w:rsidRPr="00A43FCB">
        <w:rPr>
          <w:noProof/>
          <w:lang w:val="fr-FR"/>
        </w:rPr>
        <w:t>38.</w:t>
      </w:r>
      <w:r w:rsidRPr="00A43FCB">
        <w:rPr>
          <w:noProof/>
          <w:lang w:val="fr-FR"/>
        </w:rPr>
        <w:tab/>
      </w:r>
      <w:r>
        <w:rPr>
          <w:noProof/>
          <w:lang w:val="fr-FR"/>
        </w:rPr>
        <w:t>En ce qui concerne les mesures de protection des défenseurs des droits de l</w:t>
      </w:r>
      <w:r w:rsidR="002A5D78">
        <w:rPr>
          <w:noProof/>
          <w:lang w:val="fr-FR"/>
        </w:rPr>
        <w:t>’</w:t>
      </w:r>
      <w:r>
        <w:rPr>
          <w:noProof/>
          <w:lang w:val="fr-FR"/>
        </w:rPr>
        <w:t>homme et des journalistes, la révision de l</w:t>
      </w:r>
      <w:r w:rsidR="002A5D78">
        <w:rPr>
          <w:noProof/>
          <w:lang w:val="fr-FR"/>
        </w:rPr>
        <w:t>’</w:t>
      </w:r>
      <w:r>
        <w:rPr>
          <w:noProof/>
          <w:lang w:val="fr-FR"/>
        </w:rPr>
        <w:t>article 30 du Code pénal constitue un progrès en ce qu</w:t>
      </w:r>
      <w:r w:rsidR="002A5D78">
        <w:rPr>
          <w:noProof/>
          <w:lang w:val="fr-FR"/>
        </w:rPr>
        <w:t>’</w:t>
      </w:r>
      <w:r>
        <w:rPr>
          <w:noProof/>
          <w:lang w:val="fr-FR"/>
        </w:rPr>
        <w:t>elle qualifie de circonstance aggravante le fait que la victime soit un « travailleur humanitaire</w:t>
      </w:r>
      <w:r w:rsidR="00853092">
        <w:rPr>
          <w:noProof/>
          <w:lang w:val="fr-FR"/>
        </w:rPr>
        <w:t> </w:t>
      </w:r>
      <w:r>
        <w:rPr>
          <w:noProof/>
          <w:lang w:val="fr-FR"/>
        </w:rPr>
        <w:t>» au service de la promotion et de la protection des droits de l</w:t>
      </w:r>
      <w:r w:rsidR="002A5D78">
        <w:rPr>
          <w:noProof/>
          <w:lang w:val="fr-FR"/>
        </w:rPr>
        <w:t>’</w:t>
      </w:r>
      <w:r>
        <w:rPr>
          <w:noProof/>
          <w:lang w:val="fr-FR"/>
        </w:rPr>
        <w:t>homme. De même, la peine</w:t>
      </w:r>
      <w:r w:rsidR="00853092">
        <w:rPr>
          <w:noProof/>
          <w:lang w:val="fr-FR"/>
        </w:rPr>
        <w:t xml:space="preserve"> </w:t>
      </w:r>
      <w:r>
        <w:rPr>
          <w:noProof/>
          <w:lang w:val="fr-FR"/>
        </w:rPr>
        <w:t>d</w:t>
      </w:r>
      <w:r w:rsidR="002A5D78">
        <w:rPr>
          <w:noProof/>
          <w:lang w:val="fr-FR"/>
        </w:rPr>
        <w:t>’</w:t>
      </w:r>
      <w:r>
        <w:rPr>
          <w:noProof/>
          <w:lang w:val="fr-FR"/>
        </w:rPr>
        <w:t>emprisonnement a été supprimée pour les infractions contre l</w:t>
      </w:r>
      <w:r w:rsidR="002A5D78">
        <w:rPr>
          <w:noProof/>
          <w:lang w:val="fr-FR"/>
        </w:rPr>
        <w:t>’</w:t>
      </w:r>
      <w:r>
        <w:rPr>
          <w:noProof/>
          <w:lang w:val="fr-FR"/>
        </w:rPr>
        <w:t xml:space="preserve">honneur </w:t>
      </w:r>
      <w:r w:rsidR="00853092">
        <w:rPr>
          <w:noProof/>
          <w:lang w:val="fr-FR"/>
        </w:rPr>
        <w:t>−</w:t>
      </w:r>
      <w:r>
        <w:rPr>
          <w:noProof/>
          <w:lang w:val="fr-FR"/>
        </w:rPr>
        <w:t xml:space="preserve"> calomnie, diffamation et injure </w:t>
      </w:r>
      <w:r w:rsidR="00853092">
        <w:rPr>
          <w:noProof/>
          <w:lang w:val="fr-FR"/>
        </w:rPr>
        <w:t>−</w:t>
      </w:r>
      <w:r>
        <w:rPr>
          <w:noProof/>
          <w:lang w:val="fr-FR"/>
        </w:rPr>
        <w:t>, ce qui pourrait être favorable à la liberté d</w:t>
      </w:r>
      <w:r w:rsidR="002A5D78">
        <w:rPr>
          <w:noProof/>
          <w:lang w:val="fr-FR"/>
        </w:rPr>
        <w:t>’</w:t>
      </w:r>
      <w:r>
        <w:rPr>
          <w:noProof/>
          <w:lang w:val="fr-FR"/>
        </w:rPr>
        <w:t>expression, compte tenu notamment des dispositions de la loi relative à l</w:t>
      </w:r>
      <w:r w:rsidR="002A5D78">
        <w:rPr>
          <w:noProof/>
          <w:lang w:val="fr-FR"/>
        </w:rPr>
        <w:t>’</w:t>
      </w:r>
      <w:r>
        <w:rPr>
          <w:noProof/>
          <w:lang w:val="fr-FR"/>
        </w:rPr>
        <w:t>exercice du droit à rectification et du droit de réponse, qui vise à protéger les personnes contre les informations fausses ou offensantes diffusées par les médias. En ce qui concerne les dispositifs visant à garantir la sécurité des défenseurs des droits de l</w:t>
      </w:r>
      <w:r w:rsidR="002A5D78">
        <w:rPr>
          <w:noProof/>
          <w:lang w:val="fr-FR"/>
        </w:rPr>
        <w:t>’</w:t>
      </w:r>
      <w:r>
        <w:rPr>
          <w:noProof/>
          <w:lang w:val="fr-FR"/>
        </w:rPr>
        <w:t>homme, la loi spéciale relative à la protection des victimes et des témoins et son règlement d</w:t>
      </w:r>
      <w:r w:rsidR="002A5D78">
        <w:rPr>
          <w:noProof/>
          <w:lang w:val="fr-FR"/>
        </w:rPr>
        <w:t>’</w:t>
      </w:r>
      <w:r>
        <w:rPr>
          <w:noProof/>
          <w:lang w:val="fr-FR"/>
        </w:rPr>
        <w:t>application constituent le cadre normatif d</w:t>
      </w:r>
      <w:r w:rsidR="002A5D78">
        <w:rPr>
          <w:noProof/>
          <w:lang w:val="fr-FR"/>
        </w:rPr>
        <w:t>’</w:t>
      </w:r>
      <w:r>
        <w:rPr>
          <w:noProof/>
          <w:lang w:val="fr-FR"/>
        </w:rPr>
        <w:t>un programme de protection des victimes et témoins nouvellement créé. Ce programme de protection entend assurer la sécurité des défenseurs des droits de l</w:t>
      </w:r>
      <w:r w:rsidR="002A5D78">
        <w:rPr>
          <w:noProof/>
          <w:lang w:val="fr-FR"/>
        </w:rPr>
        <w:t>’</w:t>
      </w:r>
      <w:r>
        <w:rPr>
          <w:noProof/>
          <w:lang w:val="fr-FR"/>
        </w:rPr>
        <w:t>homme se trouvant dans une situation qui laisse craindre pour leur sécurité et qui a justifié l</w:t>
      </w:r>
      <w:r w:rsidR="002A5D78">
        <w:rPr>
          <w:noProof/>
          <w:lang w:val="fr-FR"/>
        </w:rPr>
        <w:t>’</w:t>
      </w:r>
      <w:r>
        <w:rPr>
          <w:noProof/>
          <w:lang w:val="fr-FR"/>
        </w:rPr>
        <w:t>ouverture d</w:t>
      </w:r>
      <w:r w:rsidR="002A5D78">
        <w:rPr>
          <w:noProof/>
          <w:lang w:val="fr-FR"/>
        </w:rPr>
        <w:t>’</w:t>
      </w:r>
      <w:r>
        <w:rPr>
          <w:noProof/>
          <w:lang w:val="fr-FR"/>
        </w:rPr>
        <w:t>une enquête pénale. L</w:t>
      </w:r>
      <w:r w:rsidR="002A5D78">
        <w:rPr>
          <w:noProof/>
          <w:lang w:val="fr-FR"/>
        </w:rPr>
        <w:t>’</w:t>
      </w:r>
      <w:r>
        <w:rPr>
          <w:noProof/>
          <w:lang w:val="fr-FR"/>
        </w:rPr>
        <w:t>Assemblée législative étudie une proposition de loi relative aux défenseurs des droits de l</w:t>
      </w:r>
      <w:r w:rsidR="002A5D78">
        <w:rPr>
          <w:noProof/>
          <w:lang w:val="fr-FR"/>
        </w:rPr>
        <w:t>’</w:t>
      </w:r>
      <w:r>
        <w:rPr>
          <w:noProof/>
          <w:lang w:val="fr-FR"/>
        </w:rPr>
        <w:t>homme présentée par des associations de défense des droits de l</w:t>
      </w:r>
      <w:r w:rsidR="002A5D78">
        <w:rPr>
          <w:noProof/>
          <w:lang w:val="fr-FR"/>
        </w:rPr>
        <w:t>’</w:t>
      </w:r>
      <w:r>
        <w:rPr>
          <w:noProof/>
          <w:lang w:val="fr-FR"/>
        </w:rPr>
        <w:t xml:space="preserve">homme. </w:t>
      </w:r>
    </w:p>
    <w:p w14:paraId="3CDA0BDE" w14:textId="77777777" w:rsidR="00653B7F" w:rsidRDefault="00653B7F" w:rsidP="00653B7F">
      <w:pPr>
        <w:pStyle w:val="SingleTxtG"/>
        <w:rPr>
          <w:noProof/>
          <w:lang w:val="fr-FR"/>
        </w:rPr>
      </w:pPr>
      <w:r w:rsidRPr="00A43FCB">
        <w:rPr>
          <w:noProof/>
          <w:lang w:val="fr-FR"/>
        </w:rPr>
        <w:t>39.</w:t>
      </w:r>
      <w:r w:rsidRPr="00A43FCB">
        <w:rPr>
          <w:noProof/>
          <w:lang w:val="fr-FR"/>
        </w:rPr>
        <w:tab/>
      </w:r>
      <w:r>
        <w:rPr>
          <w:noProof/>
          <w:lang w:val="fr-FR"/>
        </w:rPr>
        <w:t xml:space="preserve">En ce qui concerne la situation des personnes privées de liberté, </w:t>
      </w:r>
      <w:r w:rsidRPr="009C1E6B">
        <w:rPr>
          <w:noProof/>
          <w:lang w:val="fr-FR"/>
        </w:rPr>
        <w:t xml:space="preserve">El Salvador </w:t>
      </w:r>
      <w:r>
        <w:rPr>
          <w:noProof/>
          <w:lang w:val="fr-FR"/>
        </w:rPr>
        <w:t xml:space="preserve">a entrepris </w:t>
      </w:r>
      <w:r w:rsidRPr="009C1E6B">
        <w:rPr>
          <w:noProof/>
          <w:lang w:val="fr-FR"/>
        </w:rPr>
        <w:t xml:space="preserve">une refonte du système pénitentiaire axée sur la réadaptation et la resocialisation effectives </w:t>
      </w:r>
      <w:r>
        <w:rPr>
          <w:noProof/>
          <w:lang w:val="fr-FR"/>
        </w:rPr>
        <w:t>des intéressés</w:t>
      </w:r>
      <w:r w:rsidRPr="009C1E6B">
        <w:rPr>
          <w:noProof/>
          <w:lang w:val="fr-FR"/>
        </w:rPr>
        <w:t>. À cette fin, il a mis en place le programme de gestion pénitentiaire « Yo Cambio »</w:t>
      </w:r>
      <w:r>
        <w:rPr>
          <w:noProof/>
          <w:lang w:val="fr-FR"/>
        </w:rPr>
        <w:t xml:space="preserve"> (Je change)</w:t>
      </w:r>
      <w:r w:rsidRPr="009C1E6B">
        <w:rPr>
          <w:noProof/>
          <w:lang w:val="fr-FR"/>
        </w:rPr>
        <w:t>, qui s</w:t>
      </w:r>
      <w:r w:rsidR="002A5D78">
        <w:rPr>
          <w:noProof/>
          <w:lang w:val="fr-FR"/>
        </w:rPr>
        <w:t>’</w:t>
      </w:r>
      <w:r w:rsidRPr="009C1E6B">
        <w:rPr>
          <w:noProof/>
          <w:lang w:val="fr-FR"/>
        </w:rPr>
        <w:t>articule autour de</w:t>
      </w:r>
      <w:r>
        <w:rPr>
          <w:noProof/>
          <w:lang w:val="fr-FR"/>
        </w:rPr>
        <w:t xml:space="preserve">s </w:t>
      </w:r>
      <w:r w:rsidRPr="009C1E6B">
        <w:rPr>
          <w:noProof/>
          <w:lang w:val="fr-FR"/>
        </w:rPr>
        <w:t>éléments </w:t>
      </w:r>
      <w:r>
        <w:rPr>
          <w:noProof/>
          <w:lang w:val="fr-FR"/>
        </w:rPr>
        <w:t>suivants</w:t>
      </w:r>
      <w:r w:rsidR="00853092">
        <w:rPr>
          <w:noProof/>
          <w:lang w:val="fr-FR"/>
        </w:rPr>
        <w:t> </w:t>
      </w:r>
      <w:r w:rsidRPr="009C1E6B">
        <w:rPr>
          <w:noProof/>
          <w:lang w:val="fr-FR"/>
        </w:rPr>
        <w:t>: participation des détenus aux activités professionnelles, culturelles et sportives, implication dans les soins de santé et la sécurité, transmission de</w:t>
      </w:r>
      <w:r>
        <w:rPr>
          <w:noProof/>
          <w:lang w:val="fr-FR"/>
        </w:rPr>
        <w:t>s</w:t>
      </w:r>
      <w:r w:rsidRPr="009C1E6B">
        <w:rPr>
          <w:noProof/>
          <w:lang w:val="fr-FR"/>
        </w:rPr>
        <w:t xml:space="preserve"> connaissances et participation de la famille et de la collectivité.</w:t>
      </w:r>
      <w:r>
        <w:rPr>
          <w:noProof/>
          <w:lang w:val="fr-FR"/>
        </w:rPr>
        <w:t xml:space="preserve"> Conformément à ce modèle, divers projets sociaux de rapprochement avec la communauté sont en cours d</w:t>
      </w:r>
      <w:r w:rsidR="002A5D78">
        <w:rPr>
          <w:noProof/>
          <w:lang w:val="fr-FR"/>
        </w:rPr>
        <w:t>’</w:t>
      </w:r>
      <w:r>
        <w:rPr>
          <w:noProof/>
          <w:lang w:val="fr-FR"/>
        </w:rPr>
        <w:t>exécution, dans le cadre desquels 1</w:t>
      </w:r>
      <w:r w:rsidR="00853092">
        <w:rPr>
          <w:noProof/>
          <w:lang w:val="fr-FR"/>
        </w:rPr>
        <w:t> </w:t>
      </w:r>
      <w:r>
        <w:rPr>
          <w:noProof/>
          <w:lang w:val="fr-FR"/>
        </w:rPr>
        <w:t>274 détenus en phase de confiance ou de semi-liberté ont été autorisés à participer à des activités communautaires et au moins 9</w:t>
      </w:r>
      <w:r w:rsidR="00853092">
        <w:rPr>
          <w:noProof/>
          <w:lang w:val="fr-FR"/>
        </w:rPr>
        <w:t> </w:t>
      </w:r>
      <w:r>
        <w:rPr>
          <w:noProof/>
          <w:lang w:val="fr-FR"/>
        </w:rPr>
        <w:t>000 détenus étudient pour le baccalauréat, tandis que l</w:t>
      </w:r>
      <w:r w:rsidR="002A5D78">
        <w:rPr>
          <w:noProof/>
          <w:lang w:val="fr-FR"/>
        </w:rPr>
        <w:t>’</w:t>
      </w:r>
      <w:r w:rsidR="00853092">
        <w:rPr>
          <w:noProof/>
          <w:lang w:val="fr-FR"/>
        </w:rPr>
        <w:t>U</w:t>
      </w:r>
      <w:r>
        <w:rPr>
          <w:noProof/>
          <w:lang w:val="fr-FR"/>
        </w:rPr>
        <w:t>niverstité d</w:t>
      </w:r>
      <w:r w:rsidR="002A5D78">
        <w:rPr>
          <w:noProof/>
          <w:lang w:val="fr-FR"/>
        </w:rPr>
        <w:t>’</w:t>
      </w:r>
      <w:r>
        <w:rPr>
          <w:noProof/>
          <w:lang w:val="fr-FR"/>
        </w:rPr>
        <w:t>El</w:t>
      </w:r>
      <w:r w:rsidR="00853092">
        <w:rPr>
          <w:noProof/>
          <w:lang w:val="fr-FR"/>
        </w:rPr>
        <w:t> </w:t>
      </w:r>
      <w:r>
        <w:rPr>
          <w:noProof/>
          <w:lang w:val="fr-FR"/>
        </w:rPr>
        <w:t>Salvador apporte son concours à un plan de formation des personnes privées de liberté.</w:t>
      </w:r>
    </w:p>
    <w:p w14:paraId="140616E6" w14:textId="77777777" w:rsidR="00653B7F" w:rsidRDefault="00653B7F" w:rsidP="00653B7F">
      <w:pPr>
        <w:pStyle w:val="SingleTxtG"/>
        <w:rPr>
          <w:noProof/>
          <w:lang w:val="fr-FR"/>
        </w:rPr>
      </w:pPr>
      <w:r w:rsidRPr="00A43FCB">
        <w:rPr>
          <w:noProof/>
          <w:lang w:val="fr-FR"/>
        </w:rPr>
        <w:t>40.</w:t>
      </w:r>
      <w:r w:rsidRPr="00A43FCB">
        <w:rPr>
          <w:noProof/>
          <w:lang w:val="fr-FR"/>
        </w:rPr>
        <w:tab/>
      </w:r>
      <w:r w:rsidRPr="00B00681">
        <w:rPr>
          <w:noProof/>
          <w:lang w:val="fr-FR"/>
        </w:rPr>
        <w:t>Des centres pénitentiaires agricoles ont été ouverts</w:t>
      </w:r>
      <w:r>
        <w:rPr>
          <w:noProof/>
          <w:lang w:val="fr-FR"/>
        </w:rPr>
        <w:t xml:space="preserve"> et équipés</w:t>
      </w:r>
      <w:r w:rsidRPr="00B00681">
        <w:rPr>
          <w:noProof/>
          <w:lang w:val="fr-FR"/>
        </w:rPr>
        <w:t xml:space="preserve"> </w:t>
      </w:r>
      <w:r>
        <w:rPr>
          <w:noProof/>
          <w:lang w:val="fr-FR"/>
        </w:rPr>
        <w:t>afin de</w:t>
      </w:r>
      <w:r w:rsidRPr="00B00681">
        <w:rPr>
          <w:noProof/>
          <w:lang w:val="fr-FR"/>
        </w:rPr>
        <w:t xml:space="preserve"> </w:t>
      </w:r>
      <w:r>
        <w:rPr>
          <w:noProof/>
          <w:lang w:val="fr-FR"/>
        </w:rPr>
        <w:t xml:space="preserve">réduire </w:t>
      </w:r>
      <w:r w:rsidRPr="00B00681">
        <w:rPr>
          <w:noProof/>
          <w:lang w:val="fr-FR"/>
        </w:rPr>
        <w:t>la surpopulation carcérale</w:t>
      </w:r>
      <w:r>
        <w:rPr>
          <w:noProof/>
          <w:lang w:val="fr-FR"/>
        </w:rPr>
        <w:t>,</w:t>
      </w:r>
      <w:r w:rsidRPr="00B00681">
        <w:rPr>
          <w:noProof/>
          <w:lang w:val="fr-FR"/>
        </w:rPr>
        <w:t xml:space="preserve"> et des «</w:t>
      </w:r>
      <w:r w:rsidR="00853092">
        <w:rPr>
          <w:noProof/>
          <w:lang w:val="fr-FR"/>
        </w:rPr>
        <w:t> </w:t>
      </w:r>
      <w:r w:rsidRPr="00B00681">
        <w:rPr>
          <w:noProof/>
          <w:lang w:val="fr-FR"/>
        </w:rPr>
        <w:t>cuisines-écoles</w:t>
      </w:r>
      <w:r w:rsidR="00853092">
        <w:rPr>
          <w:noProof/>
          <w:lang w:val="fr-FR"/>
        </w:rPr>
        <w:t> </w:t>
      </w:r>
      <w:r w:rsidRPr="00B00681">
        <w:rPr>
          <w:noProof/>
          <w:lang w:val="fr-FR"/>
        </w:rPr>
        <w:t xml:space="preserve">» ont été </w:t>
      </w:r>
      <w:r>
        <w:rPr>
          <w:noProof/>
          <w:lang w:val="fr-FR"/>
        </w:rPr>
        <w:t>aménag</w:t>
      </w:r>
      <w:r w:rsidRPr="00B00681">
        <w:rPr>
          <w:noProof/>
          <w:lang w:val="fr-FR"/>
        </w:rPr>
        <w:t>ées dans d</w:t>
      </w:r>
      <w:r>
        <w:rPr>
          <w:noProof/>
          <w:lang w:val="fr-FR"/>
        </w:rPr>
        <w:t>ifférents établissements pénitentiaires</w:t>
      </w:r>
      <w:r w:rsidRPr="00B00681">
        <w:rPr>
          <w:noProof/>
          <w:lang w:val="fr-FR"/>
        </w:rPr>
        <w:t xml:space="preserve"> pour </w:t>
      </w:r>
      <w:r>
        <w:rPr>
          <w:noProof/>
          <w:lang w:val="fr-FR"/>
        </w:rPr>
        <w:t>offrir des perspectives d</w:t>
      </w:r>
      <w:r w:rsidR="002A5D78">
        <w:rPr>
          <w:noProof/>
          <w:lang w:val="fr-FR"/>
        </w:rPr>
        <w:t>’</w:t>
      </w:r>
      <w:r>
        <w:rPr>
          <w:noProof/>
          <w:lang w:val="fr-FR"/>
        </w:rPr>
        <w:t>emploi aux personnes privées de liberté qu</w:t>
      </w:r>
      <w:r w:rsidR="00853092">
        <w:rPr>
          <w:noProof/>
          <w:lang w:val="fr-FR"/>
        </w:rPr>
        <w:t>i</w:t>
      </w:r>
      <w:r>
        <w:rPr>
          <w:noProof/>
          <w:lang w:val="fr-FR"/>
        </w:rPr>
        <w:t xml:space="preserve"> prennent part à </w:t>
      </w:r>
      <w:r w:rsidRPr="00B00681">
        <w:rPr>
          <w:noProof/>
          <w:lang w:val="fr-FR"/>
        </w:rPr>
        <w:t>la préparation des repas</w:t>
      </w:r>
      <w:r>
        <w:rPr>
          <w:noProof/>
          <w:lang w:val="fr-FR"/>
        </w:rPr>
        <w:t xml:space="preserve"> des autres détenus</w:t>
      </w:r>
      <w:r w:rsidRPr="00B00681">
        <w:rPr>
          <w:noProof/>
          <w:lang w:val="fr-FR"/>
        </w:rPr>
        <w:t>.</w:t>
      </w:r>
      <w:r>
        <w:rPr>
          <w:noProof/>
          <w:lang w:val="fr-FR"/>
        </w:rPr>
        <w:t xml:space="preserve"> Un fonds d</w:t>
      </w:r>
      <w:r w:rsidR="002A5D78">
        <w:rPr>
          <w:noProof/>
          <w:lang w:val="fr-FR"/>
        </w:rPr>
        <w:t>’</w:t>
      </w:r>
      <w:r>
        <w:rPr>
          <w:noProof/>
          <w:lang w:val="fr-FR"/>
        </w:rPr>
        <w:t>activités spécialisées dans la commercialisation des biens et la prestation des services produits dans les ateliers et centres agricoles du système pénitentiaire a été créé.</w:t>
      </w:r>
    </w:p>
    <w:p w14:paraId="48A92176" w14:textId="77777777" w:rsidR="00653B7F" w:rsidRDefault="00653B7F" w:rsidP="00653B7F">
      <w:pPr>
        <w:pStyle w:val="SingleTxtG"/>
        <w:rPr>
          <w:noProof/>
          <w:lang w:val="fr-FR"/>
        </w:rPr>
      </w:pPr>
      <w:r w:rsidRPr="00A43FCB">
        <w:rPr>
          <w:noProof/>
          <w:lang w:val="fr-FR"/>
        </w:rPr>
        <w:t>41.</w:t>
      </w:r>
      <w:r w:rsidRPr="00A43FCB">
        <w:rPr>
          <w:noProof/>
          <w:lang w:val="fr-FR"/>
        </w:rPr>
        <w:tab/>
      </w:r>
      <w:r w:rsidRPr="00CF19C9">
        <w:rPr>
          <w:noProof/>
          <w:lang w:val="fr-FR"/>
        </w:rPr>
        <w:t>El Salvador dispose d</w:t>
      </w:r>
      <w:r w:rsidR="002A5D78">
        <w:rPr>
          <w:noProof/>
          <w:lang w:val="fr-FR"/>
        </w:rPr>
        <w:t>’</w:t>
      </w:r>
      <w:r w:rsidRPr="00CF19C9">
        <w:rPr>
          <w:noProof/>
          <w:lang w:val="fr-FR"/>
        </w:rPr>
        <w:t>un système d</w:t>
      </w:r>
      <w:r w:rsidR="002A5D78">
        <w:rPr>
          <w:noProof/>
          <w:lang w:val="fr-FR"/>
        </w:rPr>
        <w:t>’</w:t>
      </w:r>
      <w:r w:rsidRPr="00CF19C9">
        <w:rPr>
          <w:noProof/>
          <w:lang w:val="fr-FR"/>
        </w:rPr>
        <w:t xml:space="preserve">information pénitentiaire </w:t>
      </w:r>
      <w:r>
        <w:rPr>
          <w:noProof/>
          <w:lang w:val="fr-FR"/>
        </w:rPr>
        <w:t xml:space="preserve">(SIPE) </w:t>
      </w:r>
      <w:r w:rsidRPr="00CF19C9">
        <w:rPr>
          <w:noProof/>
          <w:lang w:val="fr-FR"/>
        </w:rPr>
        <w:t xml:space="preserve">qui enregistre les personnes privées de liberté et </w:t>
      </w:r>
      <w:r>
        <w:rPr>
          <w:noProof/>
          <w:lang w:val="fr-FR"/>
        </w:rPr>
        <w:t>les</w:t>
      </w:r>
      <w:r w:rsidRPr="00CF19C9">
        <w:rPr>
          <w:noProof/>
          <w:lang w:val="fr-FR"/>
        </w:rPr>
        <w:t xml:space="preserve"> informations les concernant (situation juridique, calcul de la peine, programmes mis en place, etc.). Les personnes privées de liberté sont classées suivant leur dangerosité, ce qui détermine dans quel quartier elles </w:t>
      </w:r>
      <w:r>
        <w:rPr>
          <w:noProof/>
          <w:lang w:val="fr-FR"/>
        </w:rPr>
        <w:t>seront</w:t>
      </w:r>
      <w:r w:rsidRPr="00CF19C9">
        <w:rPr>
          <w:noProof/>
          <w:lang w:val="fr-FR"/>
        </w:rPr>
        <w:t xml:space="preserve"> placées et quel traitement pénitentiaire personnalisé</w:t>
      </w:r>
      <w:r>
        <w:rPr>
          <w:noProof/>
          <w:lang w:val="fr-FR"/>
        </w:rPr>
        <w:t xml:space="preserve"> et adapté</w:t>
      </w:r>
      <w:r w:rsidRPr="00CF19C9">
        <w:rPr>
          <w:noProof/>
          <w:lang w:val="fr-FR"/>
        </w:rPr>
        <w:t xml:space="preserve"> </w:t>
      </w:r>
      <w:r>
        <w:rPr>
          <w:noProof/>
          <w:lang w:val="fr-FR"/>
        </w:rPr>
        <w:t xml:space="preserve">leur sera </w:t>
      </w:r>
      <w:r w:rsidRPr="00CF19C9">
        <w:rPr>
          <w:noProof/>
          <w:lang w:val="fr-FR"/>
        </w:rPr>
        <w:t>appliqué.</w:t>
      </w:r>
    </w:p>
    <w:p w14:paraId="1B7596A4" w14:textId="77777777" w:rsidR="00653B7F" w:rsidRDefault="00653B7F" w:rsidP="00653B7F">
      <w:pPr>
        <w:pStyle w:val="SingleTxtG"/>
        <w:rPr>
          <w:noProof/>
          <w:lang w:val="fr-FR"/>
        </w:rPr>
      </w:pPr>
      <w:r w:rsidRPr="00A43FCB">
        <w:rPr>
          <w:noProof/>
          <w:lang w:val="fr-FR"/>
        </w:rPr>
        <w:t>42.</w:t>
      </w:r>
      <w:r w:rsidRPr="00A43FCB">
        <w:rPr>
          <w:noProof/>
          <w:lang w:val="fr-FR"/>
        </w:rPr>
        <w:tab/>
      </w:r>
      <w:r w:rsidRPr="00471F52">
        <w:rPr>
          <w:noProof/>
          <w:lang w:val="fr-FR"/>
        </w:rPr>
        <w:t xml:space="preserve">Le Ministère de la justice et de la sécurité publique </w:t>
      </w:r>
      <w:r>
        <w:rPr>
          <w:noProof/>
          <w:lang w:val="fr-FR"/>
        </w:rPr>
        <w:t>coordonne un</w:t>
      </w:r>
      <w:r w:rsidRPr="00471F52">
        <w:rPr>
          <w:noProof/>
          <w:lang w:val="fr-FR"/>
        </w:rPr>
        <w:t xml:space="preserve"> comité techniq</w:t>
      </w:r>
      <w:r>
        <w:rPr>
          <w:noProof/>
          <w:lang w:val="fr-FR"/>
        </w:rPr>
        <w:t>ue des prisons</w:t>
      </w:r>
      <w:r w:rsidRPr="00471F52">
        <w:rPr>
          <w:noProof/>
          <w:lang w:val="fr-FR"/>
        </w:rPr>
        <w:t xml:space="preserve"> qui est </w:t>
      </w:r>
      <w:r>
        <w:rPr>
          <w:noProof/>
          <w:lang w:val="fr-FR"/>
        </w:rPr>
        <w:t xml:space="preserve">composé de représentants des organisations de la société civile, des cultes </w:t>
      </w:r>
      <w:r>
        <w:rPr>
          <w:noProof/>
          <w:lang w:val="fr-FR"/>
        </w:rPr>
        <w:lastRenderedPageBreak/>
        <w:t xml:space="preserve">et des institutions publiques et </w:t>
      </w:r>
      <w:r w:rsidRPr="00471F52">
        <w:rPr>
          <w:noProof/>
          <w:lang w:val="fr-FR"/>
        </w:rPr>
        <w:t>chargé d</w:t>
      </w:r>
      <w:r w:rsidR="002A5D78">
        <w:rPr>
          <w:noProof/>
          <w:lang w:val="fr-FR"/>
        </w:rPr>
        <w:t>’</w:t>
      </w:r>
      <w:r>
        <w:rPr>
          <w:noProof/>
          <w:lang w:val="fr-FR"/>
        </w:rPr>
        <w:t>analyser</w:t>
      </w:r>
      <w:r w:rsidRPr="00471F52">
        <w:rPr>
          <w:noProof/>
          <w:lang w:val="fr-FR"/>
        </w:rPr>
        <w:t xml:space="preserve"> la situation de la population carcérale </w:t>
      </w:r>
      <w:r>
        <w:rPr>
          <w:noProof/>
          <w:lang w:val="fr-FR"/>
        </w:rPr>
        <w:t>et d</w:t>
      </w:r>
      <w:r w:rsidR="002A5D78">
        <w:rPr>
          <w:noProof/>
          <w:lang w:val="fr-FR"/>
        </w:rPr>
        <w:t>’</w:t>
      </w:r>
      <w:r>
        <w:rPr>
          <w:noProof/>
          <w:lang w:val="fr-FR"/>
        </w:rPr>
        <w:t>améliorer progressivement s</w:t>
      </w:r>
      <w:r w:rsidRPr="00471F52">
        <w:rPr>
          <w:noProof/>
          <w:lang w:val="fr-FR"/>
        </w:rPr>
        <w:t xml:space="preserve">es conditions de détention. </w:t>
      </w:r>
      <w:r>
        <w:rPr>
          <w:noProof/>
          <w:lang w:val="fr-FR"/>
        </w:rPr>
        <w:t>Un c</w:t>
      </w:r>
      <w:r w:rsidRPr="008221A5">
        <w:rPr>
          <w:noProof/>
          <w:lang w:val="fr-FR"/>
        </w:rPr>
        <w:t xml:space="preserve">entre de soins intégrés pour personnes privées de liberté atteintes de maladies dégénératives chroniques </w:t>
      </w:r>
      <w:r>
        <w:rPr>
          <w:noProof/>
          <w:lang w:val="fr-FR"/>
        </w:rPr>
        <w:t>a été inauguré en 2018.</w:t>
      </w:r>
    </w:p>
    <w:p w14:paraId="0920E534" w14:textId="77777777" w:rsidR="00653B7F" w:rsidRDefault="00653B7F" w:rsidP="00653B7F">
      <w:pPr>
        <w:pStyle w:val="SingleTxtG"/>
        <w:rPr>
          <w:noProof/>
          <w:lang w:val="fr-FR"/>
        </w:rPr>
      </w:pPr>
      <w:r w:rsidRPr="00A43FCB">
        <w:rPr>
          <w:noProof/>
          <w:lang w:val="fr-FR"/>
        </w:rPr>
        <w:t>43.</w:t>
      </w:r>
      <w:r w:rsidRPr="00A43FCB">
        <w:rPr>
          <w:noProof/>
          <w:lang w:val="fr-FR"/>
        </w:rPr>
        <w:tab/>
      </w:r>
      <w:r>
        <w:rPr>
          <w:noProof/>
          <w:lang w:val="fr-FR"/>
        </w:rPr>
        <w:t>Un</w:t>
      </w:r>
      <w:r w:rsidR="00853092">
        <w:rPr>
          <w:noProof/>
          <w:lang w:val="fr-FR"/>
        </w:rPr>
        <w:t xml:space="preserve"> </w:t>
      </w:r>
      <w:r w:rsidRPr="00D271DB">
        <w:rPr>
          <w:noProof/>
          <w:lang w:val="fr-FR"/>
        </w:rPr>
        <w:t>programme-cadre</w:t>
      </w:r>
      <w:r>
        <w:rPr>
          <w:noProof/>
          <w:lang w:val="fr-FR"/>
        </w:rPr>
        <w:t xml:space="preserve"> de</w:t>
      </w:r>
      <w:r w:rsidRPr="00D271DB">
        <w:rPr>
          <w:noProof/>
          <w:lang w:val="fr-FR"/>
        </w:rPr>
        <w:t xml:space="preserve"> prise en charge </w:t>
      </w:r>
      <w:r>
        <w:rPr>
          <w:noProof/>
          <w:lang w:val="fr-FR"/>
        </w:rPr>
        <w:t>globale</w:t>
      </w:r>
      <w:r w:rsidRPr="00D271DB">
        <w:rPr>
          <w:noProof/>
          <w:lang w:val="fr-FR"/>
        </w:rPr>
        <w:t xml:space="preserve"> des adolescents</w:t>
      </w:r>
      <w:r>
        <w:rPr>
          <w:noProof/>
          <w:lang w:val="fr-FR"/>
        </w:rPr>
        <w:t xml:space="preserve"> délinquants</w:t>
      </w:r>
      <w:r w:rsidR="00853092">
        <w:rPr>
          <w:noProof/>
          <w:lang w:val="fr-FR"/>
        </w:rPr>
        <w:t xml:space="preserve"> </w:t>
      </w:r>
      <w:r>
        <w:rPr>
          <w:noProof/>
          <w:lang w:val="fr-FR"/>
        </w:rPr>
        <w:t>a été mis en place dans les centres d</w:t>
      </w:r>
      <w:r w:rsidR="002A5D78">
        <w:rPr>
          <w:noProof/>
          <w:lang w:val="fr-FR"/>
        </w:rPr>
        <w:t>’</w:t>
      </w:r>
      <w:r>
        <w:rPr>
          <w:noProof/>
          <w:lang w:val="fr-FR"/>
        </w:rPr>
        <w:t xml:space="preserve">insertion sociale accueillant ces adolescents. </w:t>
      </w:r>
      <w:r w:rsidRPr="0034587E">
        <w:rPr>
          <w:noProof/>
          <w:lang w:val="fr-FR"/>
        </w:rPr>
        <w:t>Le Ministère de la jus</w:t>
      </w:r>
      <w:r>
        <w:rPr>
          <w:noProof/>
          <w:lang w:val="fr-FR"/>
        </w:rPr>
        <w:t xml:space="preserve">tice et de la sécurité publique a lancé </w:t>
      </w:r>
      <w:r w:rsidRPr="0034587E">
        <w:rPr>
          <w:noProof/>
          <w:lang w:val="fr-FR"/>
        </w:rPr>
        <w:t>le programme «</w:t>
      </w:r>
      <w:r w:rsidR="00853092">
        <w:rPr>
          <w:noProof/>
          <w:lang w:val="fr-FR"/>
        </w:rPr>
        <w:t> </w:t>
      </w:r>
      <w:r w:rsidRPr="0034587E">
        <w:rPr>
          <w:noProof/>
          <w:lang w:val="fr-FR"/>
        </w:rPr>
        <w:t>Nuevos Caminos</w:t>
      </w:r>
      <w:r w:rsidR="00853092">
        <w:rPr>
          <w:noProof/>
          <w:lang w:val="fr-FR"/>
        </w:rPr>
        <w:t> </w:t>
      </w:r>
      <w:r w:rsidRPr="0034587E">
        <w:rPr>
          <w:noProof/>
          <w:lang w:val="fr-FR"/>
        </w:rPr>
        <w:t>»</w:t>
      </w:r>
      <w:r>
        <w:rPr>
          <w:noProof/>
          <w:lang w:val="fr-FR"/>
        </w:rPr>
        <w:t xml:space="preserve"> (Nouveaux chemins),</w:t>
      </w:r>
      <w:r w:rsidRPr="0034587E">
        <w:rPr>
          <w:noProof/>
          <w:lang w:val="fr-FR"/>
        </w:rPr>
        <w:t xml:space="preserve"> qui s</w:t>
      </w:r>
      <w:r w:rsidR="002A5D78">
        <w:rPr>
          <w:noProof/>
          <w:lang w:val="fr-FR"/>
        </w:rPr>
        <w:t>’</w:t>
      </w:r>
      <w:r w:rsidRPr="0034587E">
        <w:rPr>
          <w:noProof/>
          <w:lang w:val="fr-FR"/>
        </w:rPr>
        <w:t xml:space="preserve">adresse aux adolescents qui ont eu affaire avec la justice pénale pour mineurs et </w:t>
      </w:r>
      <w:r>
        <w:rPr>
          <w:noProof/>
          <w:lang w:val="fr-FR"/>
        </w:rPr>
        <w:t>qui doivent</w:t>
      </w:r>
      <w:r w:rsidRPr="0034587E">
        <w:rPr>
          <w:noProof/>
          <w:lang w:val="fr-FR"/>
        </w:rPr>
        <w:t xml:space="preserve"> exécuter leur peine en milieu ouvert.</w:t>
      </w:r>
      <w:r>
        <w:rPr>
          <w:noProof/>
          <w:lang w:val="fr-FR"/>
        </w:rPr>
        <w:t xml:space="preserve"> </w:t>
      </w:r>
    </w:p>
    <w:p w14:paraId="4E05A447" w14:textId="77777777" w:rsidR="00653B7F" w:rsidRDefault="00653B7F" w:rsidP="00653B7F">
      <w:pPr>
        <w:pStyle w:val="SingleTxtG"/>
        <w:rPr>
          <w:noProof/>
          <w:lang w:val="fr-FR"/>
        </w:rPr>
      </w:pPr>
      <w:r w:rsidRPr="00A43FCB">
        <w:rPr>
          <w:noProof/>
          <w:lang w:val="fr-FR"/>
        </w:rPr>
        <w:t>44.</w:t>
      </w:r>
      <w:r w:rsidRPr="00A43FCB">
        <w:rPr>
          <w:noProof/>
          <w:lang w:val="fr-FR"/>
        </w:rPr>
        <w:tab/>
      </w:r>
      <w:r w:rsidRPr="00990B82">
        <w:rPr>
          <w:noProof/>
          <w:lang w:val="fr-FR"/>
        </w:rPr>
        <w:t>En 2017, l</w:t>
      </w:r>
      <w:r w:rsidR="002A5D78">
        <w:rPr>
          <w:noProof/>
          <w:lang w:val="fr-FR"/>
        </w:rPr>
        <w:t>’</w:t>
      </w:r>
      <w:r w:rsidRPr="00990B82">
        <w:rPr>
          <w:noProof/>
          <w:lang w:val="fr-FR"/>
        </w:rPr>
        <w:t>Assemblée législative a réformé la loi sur la justice pénale des mineurs, de manière que puissent être créés des centres intermédiaires et des centres de liberté surveillée pour les jeunes majeurs de 18 ans qui ont été jugés et qui ont besoin d</w:t>
      </w:r>
      <w:r w:rsidR="002A5D78">
        <w:rPr>
          <w:noProof/>
          <w:lang w:val="fr-FR"/>
        </w:rPr>
        <w:t>’</w:t>
      </w:r>
      <w:r w:rsidRPr="00990B82">
        <w:rPr>
          <w:noProof/>
          <w:lang w:val="fr-FR"/>
        </w:rPr>
        <w:t xml:space="preserve">un traitement </w:t>
      </w:r>
      <w:r>
        <w:rPr>
          <w:noProof/>
          <w:lang w:val="fr-FR"/>
        </w:rPr>
        <w:t>approprié</w:t>
      </w:r>
      <w:r w:rsidRPr="00990B82">
        <w:rPr>
          <w:noProof/>
          <w:lang w:val="fr-FR"/>
        </w:rPr>
        <w:t xml:space="preserve"> pour pouvoir se réadapter et se réinsérer dans leur famille et dans la société.</w:t>
      </w:r>
    </w:p>
    <w:p w14:paraId="497C0DF6" w14:textId="77777777" w:rsidR="00653B7F" w:rsidRDefault="00653B7F" w:rsidP="00653B7F">
      <w:pPr>
        <w:pStyle w:val="SingleTxtG"/>
        <w:rPr>
          <w:noProof/>
          <w:lang w:val="fr-FR"/>
        </w:rPr>
      </w:pPr>
      <w:r w:rsidRPr="00A43FCB">
        <w:rPr>
          <w:noProof/>
          <w:lang w:val="fr-FR"/>
        </w:rPr>
        <w:t>45.</w:t>
      </w:r>
      <w:r w:rsidRPr="00A43FCB">
        <w:rPr>
          <w:noProof/>
          <w:lang w:val="fr-FR"/>
        </w:rPr>
        <w:tab/>
      </w:r>
      <w:r>
        <w:rPr>
          <w:noProof/>
          <w:lang w:val="fr-FR"/>
        </w:rPr>
        <w:t>En ce qui concerne la sécurité de la population privée de liberté, la Direction générale des établissements pénitentiaires s</w:t>
      </w:r>
      <w:r w:rsidR="002A5D78">
        <w:rPr>
          <w:noProof/>
          <w:lang w:val="fr-FR"/>
        </w:rPr>
        <w:t>’</w:t>
      </w:r>
      <w:r>
        <w:rPr>
          <w:noProof/>
          <w:lang w:val="fr-FR"/>
        </w:rPr>
        <w:t xml:space="preserve">efforce de moderniser les techniques employées dans ce domaine et conduit des activités de renseignement pénitentiaire pour prévenir les homicides en milieu carcéral. Le tableau 5 ci-après présente des données sur les cas de mort violente survenus en 2018 dans des établissements pénitentiaires et assimilés. Certains détenus peuvent bénéficier de mesures de protection comme le placement en cellule de séparation administrative ou le transfèrement vers un autre établissement. De même, il est procédé à des fouilles sélectives ou générales visant à confisquer les armes et objets qui présentent un danger pour la sécurité des détenus et des agents pénitentiaires. Le </w:t>
      </w:r>
      <w:r w:rsidRPr="006E44FF">
        <w:rPr>
          <w:noProof/>
          <w:lang w:val="fr-FR"/>
        </w:rPr>
        <w:t xml:space="preserve">Bureau du </w:t>
      </w:r>
      <w:r w:rsidRPr="006E44FF">
        <w:rPr>
          <w:i/>
          <w:noProof/>
          <w:lang w:val="fr-FR"/>
        </w:rPr>
        <w:t>Fiscal general</w:t>
      </w:r>
      <w:r w:rsidRPr="006E44FF">
        <w:rPr>
          <w:noProof/>
          <w:lang w:val="fr-FR"/>
        </w:rPr>
        <w:t xml:space="preserve"> de la République</w:t>
      </w:r>
      <w:r>
        <w:rPr>
          <w:i/>
          <w:noProof/>
          <w:lang w:val="fr-FR"/>
        </w:rPr>
        <w:t xml:space="preserve"> </w:t>
      </w:r>
      <w:r>
        <w:rPr>
          <w:noProof/>
          <w:lang w:val="fr-FR"/>
        </w:rPr>
        <w:t>est l</w:t>
      </w:r>
      <w:r w:rsidR="002A5D78">
        <w:rPr>
          <w:noProof/>
          <w:lang w:val="fr-FR"/>
        </w:rPr>
        <w:t>’</w:t>
      </w:r>
      <w:r>
        <w:rPr>
          <w:noProof/>
          <w:lang w:val="fr-FR"/>
        </w:rPr>
        <w:t>institution chargée d</w:t>
      </w:r>
      <w:r w:rsidR="002A5D78">
        <w:rPr>
          <w:noProof/>
          <w:lang w:val="fr-FR"/>
        </w:rPr>
        <w:t>’</w:t>
      </w:r>
      <w:r>
        <w:rPr>
          <w:noProof/>
          <w:lang w:val="fr-FR"/>
        </w:rPr>
        <w:t xml:space="preserve">enquêter sur les homicides en milieu carcéral et compte pour cela sur la collaboration des autorités pénitentiaires. </w:t>
      </w:r>
    </w:p>
    <w:p w14:paraId="37306BDC" w14:textId="77777777" w:rsidR="00653B7F" w:rsidRPr="00DE129A" w:rsidRDefault="00653B7F" w:rsidP="00DE129A">
      <w:pPr>
        <w:pStyle w:val="Titre1"/>
        <w:spacing w:after="120"/>
        <w:rPr>
          <w:b/>
          <w:bCs/>
          <w:noProof/>
          <w:lang w:val="fr-FR"/>
        </w:rPr>
      </w:pPr>
      <w:r>
        <w:rPr>
          <w:noProof/>
          <w:lang w:val="fr-FR"/>
        </w:rPr>
        <w:t>Tableau</w:t>
      </w:r>
      <w:r w:rsidRPr="00A43FCB">
        <w:rPr>
          <w:noProof/>
          <w:lang w:val="fr-FR"/>
        </w:rPr>
        <w:t xml:space="preserve"> 5</w:t>
      </w:r>
      <w:r w:rsidR="00DE129A">
        <w:rPr>
          <w:noProof/>
          <w:lang w:val="fr-FR"/>
        </w:rPr>
        <w:br/>
      </w:r>
      <w:r w:rsidRPr="00DE129A">
        <w:rPr>
          <w:b/>
          <w:bCs/>
          <w:noProof/>
          <w:lang w:val="fr-FR"/>
        </w:rPr>
        <w:t>Morts de mort violente en 2018</w:t>
      </w:r>
    </w:p>
    <w:tbl>
      <w:tblPr>
        <w:tblW w:w="7370" w:type="dxa"/>
        <w:tblInd w:w="1134" w:type="dxa"/>
        <w:tblLayout w:type="fixed"/>
        <w:tblCellMar>
          <w:left w:w="0" w:type="dxa"/>
          <w:right w:w="0" w:type="dxa"/>
        </w:tblCellMar>
        <w:tblLook w:val="04A0" w:firstRow="1" w:lastRow="0" w:firstColumn="1" w:lastColumn="0" w:noHBand="0" w:noVBand="1"/>
      </w:tblPr>
      <w:tblGrid>
        <w:gridCol w:w="616"/>
        <w:gridCol w:w="4061"/>
        <w:gridCol w:w="1123"/>
        <w:gridCol w:w="819"/>
        <w:gridCol w:w="751"/>
      </w:tblGrid>
      <w:tr w:rsidR="00653B7F" w:rsidRPr="00A43FCB" w14:paraId="0F916456" w14:textId="77777777" w:rsidTr="00DE129A">
        <w:trPr>
          <w:tblHeader/>
        </w:trPr>
        <w:tc>
          <w:tcPr>
            <w:tcW w:w="7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A6BA6D" w14:textId="77777777" w:rsidR="00653B7F" w:rsidRPr="00A43FCB" w:rsidRDefault="00653B7F" w:rsidP="00DE129A">
            <w:pPr>
              <w:pStyle w:val="SingleTxtG"/>
              <w:spacing w:before="80" w:after="80" w:line="200" w:lineRule="exact"/>
              <w:ind w:left="0" w:right="0"/>
              <w:jc w:val="left"/>
              <w:rPr>
                <w:i/>
                <w:noProof/>
                <w:sz w:val="16"/>
                <w:lang w:val="fr-FR"/>
              </w:rPr>
            </w:pPr>
            <w:r w:rsidRPr="00A43FCB">
              <w:rPr>
                <w:bCs/>
                <w:i/>
                <w:noProof/>
                <w:sz w:val="16"/>
                <w:lang w:val="fr-FR"/>
              </w:rPr>
              <w:t>Nº</w:t>
            </w:r>
          </w:p>
        </w:tc>
        <w:tc>
          <w:tcPr>
            <w:tcW w:w="47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24AC9D4" w14:textId="77777777" w:rsidR="00653B7F" w:rsidRPr="00A43FCB" w:rsidRDefault="00653B7F" w:rsidP="00DE129A">
            <w:pPr>
              <w:pStyle w:val="SingleTxtG"/>
              <w:spacing w:before="80" w:after="80" w:line="200" w:lineRule="exact"/>
              <w:ind w:left="0" w:right="0"/>
              <w:jc w:val="left"/>
              <w:rPr>
                <w:i/>
                <w:noProof/>
                <w:sz w:val="16"/>
                <w:lang w:val="fr-FR"/>
              </w:rPr>
            </w:pPr>
            <w:r>
              <w:rPr>
                <w:bCs/>
                <w:i/>
                <w:noProof/>
                <w:sz w:val="16"/>
                <w:lang w:val="fr-FR"/>
              </w:rPr>
              <w:t>Établissement pénitentiaire</w:t>
            </w:r>
          </w:p>
        </w:tc>
        <w:tc>
          <w:tcPr>
            <w:tcW w:w="131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A2DA8DF" w14:textId="77777777" w:rsidR="00653B7F" w:rsidRPr="00A43FCB" w:rsidRDefault="00653B7F" w:rsidP="00DE129A">
            <w:pPr>
              <w:pStyle w:val="SingleTxtG"/>
              <w:spacing w:before="80" w:after="80" w:line="200" w:lineRule="exact"/>
              <w:ind w:left="0" w:right="0"/>
              <w:jc w:val="right"/>
              <w:rPr>
                <w:bCs/>
                <w:i/>
                <w:noProof/>
                <w:sz w:val="16"/>
                <w:lang w:val="fr-FR"/>
              </w:rPr>
            </w:pPr>
            <w:r>
              <w:rPr>
                <w:bCs/>
                <w:i/>
                <w:noProof/>
                <w:sz w:val="16"/>
                <w:lang w:val="fr-FR"/>
              </w:rPr>
              <w:t>Homicides</w:t>
            </w:r>
          </w:p>
        </w:tc>
        <w:tc>
          <w:tcPr>
            <w:tcW w:w="9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4B47191" w14:textId="77777777" w:rsidR="00653B7F" w:rsidRPr="00A43FCB" w:rsidRDefault="00653B7F" w:rsidP="00DE129A">
            <w:pPr>
              <w:pStyle w:val="SingleTxtG"/>
              <w:spacing w:before="80" w:after="80" w:line="200" w:lineRule="exact"/>
              <w:ind w:left="0" w:right="0"/>
              <w:jc w:val="right"/>
              <w:rPr>
                <w:bCs/>
                <w:i/>
                <w:noProof/>
                <w:sz w:val="16"/>
                <w:lang w:val="fr-FR"/>
              </w:rPr>
            </w:pPr>
            <w:r>
              <w:rPr>
                <w:bCs/>
                <w:i/>
                <w:noProof/>
                <w:sz w:val="16"/>
                <w:lang w:val="fr-FR"/>
              </w:rPr>
              <w:t>Âge</w:t>
            </w:r>
          </w:p>
        </w:tc>
        <w:tc>
          <w:tcPr>
            <w:tcW w:w="88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9759992" w14:textId="77777777" w:rsidR="00653B7F" w:rsidRPr="00A43FCB" w:rsidRDefault="00653B7F" w:rsidP="00DE129A">
            <w:pPr>
              <w:pStyle w:val="SingleTxtG"/>
              <w:spacing w:before="80" w:after="80" w:line="200" w:lineRule="exact"/>
              <w:ind w:left="0" w:right="0"/>
              <w:jc w:val="right"/>
              <w:rPr>
                <w:bCs/>
                <w:i/>
                <w:noProof/>
                <w:sz w:val="16"/>
                <w:lang w:val="fr-FR"/>
              </w:rPr>
            </w:pPr>
            <w:r>
              <w:rPr>
                <w:bCs/>
                <w:i/>
                <w:noProof/>
                <w:sz w:val="16"/>
                <w:lang w:val="fr-FR"/>
              </w:rPr>
              <w:t>Sexe</w:t>
            </w:r>
          </w:p>
        </w:tc>
      </w:tr>
      <w:tr w:rsidR="00653B7F" w:rsidRPr="00A43FCB" w14:paraId="3D36F947" w14:textId="77777777" w:rsidTr="00DE129A">
        <w:tc>
          <w:tcPr>
            <w:tcW w:w="720" w:type="dxa"/>
            <w:tcBorders>
              <w:top w:val="single" w:sz="12" w:space="0" w:color="auto"/>
            </w:tcBorders>
            <w:shd w:val="clear" w:color="auto" w:fill="auto"/>
            <w:tcMar>
              <w:top w:w="0" w:type="dxa"/>
              <w:left w:w="0" w:type="dxa"/>
              <w:bottom w:w="0" w:type="dxa"/>
              <w:right w:w="0" w:type="dxa"/>
            </w:tcMar>
          </w:tcPr>
          <w:p w14:paraId="57C2F91A"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1</w:t>
            </w:r>
          </w:p>
        </w:tc>
        <w:tc>
          <w:tcPr>
            <w:tcW w:w="4772" w:type="dxa"/>
            <w:tcBorders>
              <w:top w:val="single" w:sz="12" w:space="0" w:color="auto"/>
            </w:tcBorders>
            <w:shd w:val="clear" w:color="auto" w:fill="auto"/>
            <w:tcMar>
              <w:top w:w="0" w:type="dxa"/>
              <w:left w:w="0" w:type="dxa"/>
              <w:bottom w:w="0" w:type="dxa"/>
              <w:right w:w="0" w:type="dxa"/>
            </w:tcMar>
            <w:vAlign w:val="bottom"/>
          </w:tcPr>
          <w:p w14:paraId="6DDB4DAF"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de détention provisoire et d</w:t>
            </w:r>
            <w:r w:rsidR="002A5D78">
              <w:rPr>
                <w:noProof/>
                <w:sz w:val="18"/>
                <w:lang w:val="fr-FR"/>
              </w:rPr>
              <w:t>’</w:t>
            </w:r>
            <w:r>
              <w:rPr>
                <w:noProof/>
                <w:sz w:val="18"/>
                <w:lang w:val="fr-FR"/>
              </w:rPr>
              <w:t>exécution des peines de San Francisco Gotera</w:t>
            </w:r>
          </w:p>
        </w:tc>
        <w:tc>
          <w:tcPr>
            <w:tcW w:w="1317" w:type="dxa"/>
            <w:tcBorders>
              <w:top w:val="single" w:sz="12" w:space="0" w:color="auto"/>
            </w:tcBorders>
            <w:shd w:val="clear" w:color="auto" w:fill="auto"/>
            <w:tcMar>
              <w:top w:w="0" w:type="dxa"/>
              <w:left w:w="0" w:type="dxa"/>
              <w:bottom w:w="0" w:type="dxa"/>
              <w:right w:w="0" w:type="dxa"/>
            </w:tcMar>
            <w:vAlign w:val="bottom"/>
          </w:tcPr>
          <w:p w14:paraId="11401A5A"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tcBorders>
              <w:top w:val="single" w:sz="12" w:space="0" w:color="auto"/>
            </w:tcBorders>
            <w:shd w:val="clear" w:color="auto" w:fill="auto"/>
            <w:tcMar>
              <w:top w:w="0" w:type="dxa"/>
              <w:left w:w="0" w:type="dxa"/>
              <w:bottom w:w="0" w:type="dxa"/>
              <w:right w:w="0" w:type="dxa"/>
            </w:tcMar>
            <w:vAlign w:val="bottom"/>
          </w:tcPr>
          <w:p w14:paraId="633FB833"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21</w:t>
            </w:r>
          </w:p>
        </w:tc>
        <w:tc>
          <w:tcPr>
            <w:tcW w:w="880" w:type="dxa"/>
            <w:tcBorders>
              <w:top w:val="single" w:sz="12" w:space="0" w:color="auto"/>
            </w:tcBorders>
            <w:shd w:val="clear" w:color="auto" w:fill="auto"/>
            <w:tcMar>
              <w:top w:w="0" w:type="dxa"/>
              <w:left w:w="0" w:type="dxa"/>
              <w:bottom w:w="0" w:type="dxa"/>
              <w:right w:w="0" w:type="dxa"/>
            </w:tcMar>
            <w:vAlign w:val="bottom"/>
          </w:tcPr>
          <w:p w14:paraId="1E8A5DA3"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21F613EE" w14:textId="77777777" w:rsidTr="00DE129A">
        <w:tc>
          <w:tcPr>
            <w:tcW w:w="720" w:type="dxa"/>
            <w:shd w:val="clear" w:color="auto" w:fill="auto"/>
            <w:tcMar>
              <w:top w:w="0" w:type="dxa"/>
              <w:left w:w="0" w:type="dxa"/>
              <w:bottom w:w="0" w:type="dxa"/>
              <w:right w:w="0" w:type="dxa"/>
            </w:tcMar>
          </w:tcPr>
          <w:p w14:paraId="0105E214"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2</w:t>
            </w:r>
          </w:p>
        </w:tc>
        <w:tc>
          <w:tcPr>
            <w:tcW w:w="4772" w:type="dxa"/>
            <w:shd w:val="clear" w:color="auto" w:fill="auto"/>
            <w:tcMar>
              <w:top w:w="0" w:type="dxa"/>
              <w:left w:w="0" w:type="dxa"/>
              <w:bottom w:w="0" w:type="dxa"/>
              <w:right w:w="0" w:type="dxa"/>
            </w:tcMar>
            <w:vAlign w:val="bottom"/>
          </w:tcPr>
          <w:p w14:paraId="59BEBF1A"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de détention provisoire et d</w:t>
            </w:r>
            <w:r w:rsidR="002A5D78">
              <w:rPr>
                <w:noProof/>
                <w:sz w:val="18"/>
                <w:lang w:val="fr-FR"/>
              </w:rPr>
              <w:t>’</w:t>
            </w:r>
            <w:r>
              <w:rPr>
                <w:noProof/>
                <w:sz w:val="18"/>
                <w:lang w:val="fr-FR"/>
              </w:rPr>
              <w:t>exécution des peines de San Francisco Gotera</w:t>
            </w:r>
          </w:p>
        </w:tc>
        <w:tc>
          <w:tcPr>
            <w:tcW w:w="1317" w:type="dxa"/>
            <w:shd w:val="clear" w:color="auto" w:fill="auto"/>
            <w:tcMar>
              <w:top w:w="0" w:type="dxa"/>
              <w:left w:w="0" w:type="dxa"/>
              <w:bottom w:w="0" w:type="dxa"/>
              <w:right w:w="0" w:type="dxa"/>
            </w:tcMar>
            <w:vAlign w:val="bottom"/>
          </w:tcPr>
          <w:p w14:paraId="05B63E3D"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3B7E576B"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35</w:t>
            </w:r>
          </w:p>
        </w:tc>
        <w:tc>
          <w:tcPr>
            <w:tcW w:w="880" w:type="dxa"/>
            <w:shd w:val="clear" w:color="auto" w:fill="auto"/>
            <w:tcMar>
              <w:top w:w="0" w:type="dxa"/>
              <w:left w:w="0" w:type="dxa"/>
              <w:bottom w:w="0" w:type="dxa"/>
              <w:right w:w="0" w:type="dxa"/>
            </w:tcMar>
            <w:vAlign w:val="bottom"/>
          </w:tcPr>
          <w:p w14:paraId="78EC729E"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7376D4EF" w14:textId="77777777" w:rsidTr="00DE129A">
        <w:tc>
          <w:tcPr>
            <w:tcW w:w="720" w:type="dxa"/>
            <w:shd w:val="clear" w:color="auto" w:fill="auto"/>
            <w:tcMar>
              <w:top w:w="0" w:type="dxa"/>
              <w:left w:w="0" w:type="dxa"/>
              <w:bottom w:w="0" w:type="dxa"/>
              <w:right w:w="0" w:type="dxa"/>
            </w:tcMar>
          </w:tcPr>
          <w:p w14:paraId="7867671A"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3</w:t>
            </w:r>
          </w:p>
        </w:tc>
        <w:tc>
          <w:tcPr>
            <w:tcW w:w="4772" w:type="dxa"/>
            <w:shd w:val="clear" w:color="auto" w:fill="auto"/>
            <w:tcMar>
              <w:top w:w="0" w:type="dxa"/>
              <w:left w:w="0" w:type="dxa"/>
              <w:bottom w:w="0" w:type="dxa"/>
              <w:right w:w="0" w:type="dxa"/>
            </w:tcMar>
            <w:vAlign w:val="bottom"/>
          </w:tcPr>
          <w:p w14:paraId="31EB41E3"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de détention psychiatrique</w:t>
            </w:r>
          </w:p>
        </w:tc>
        <w:tc>
          <w:tcPr>
            <w:tcW w:w="1317" w:type="dxa"/>
            <w:shd w:val="clear" w:color="auto" w:fill="auto"/>
            <w:tcMar>
              <w:top w:w="0" w:type="dxa"/>
              <w:left w:w="0" w:type="dxa"/>
              <w:bottom w:w="0" w:type="dxa"/>
              <w:right w:w="0" w:type="dxa"/>
            </w:tcMar>
            <w:vAlign w:val="bottom"/>
          </w:tcPr>
          <w:p w14:paraId="294B7B9B"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4FD1B07D"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44</w:t>
            </w:r>
          </w:p>
        </w:tc>
        <w:tc>
          <w:tcPr>
            <w:tcW w:w="880" w:type="dxa"/>
            <w:shd w:val="clear" w:color="auto" w:fill="auto"/>
            <w:tcMar>
              <w:top w:w="0" w:type="dxa"/>
              <w:left w:w="0" w:type="dxa"/>
              <w:bottom w:w="0" w:type="dxa"/>
              <w:right w:w="0" w:type="dxa"/>
            </w:tcMar>
            <w:vAlign w:val="bottom"/>
          </w:tcPr>
          <w:p w14:paraId="3A6C9AAE"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6419E308" w14:textId="77777777" w:rsidTr="00DE129A">
        <w:tc>
          <w:tcPr>
            <w:tcW w:w="720" w:type="dxa"/>
            <w:shd w:val="clear" w:color="auto" w:fill="auto"/>
            <w:tcMar>
              <w:top w:w="0" w:type="dxa"/>
              <w:left w:w="0" w:type="dxa"/>
              <w:bottom w:w="0" w:type="dxa"/>
              <w:right w:w="0" w:type="dxa"/>
            </w:tcMar>
          </w:tcPr>
          <w:p w14:paraId="30D3B8DB"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4</w:t>
            </w:r>
          </w:p>
        </w:tc>
        <w:tc>
          <w:tcPr>
            <w:tcW w:w="4772" w:type="dxa"/>
            <w:shd w:val="clear" w:color="auto" w:fill="auto"/>
            <w:tcMar>
              <w:top w:w="0" w:type="dxa"/>
              <w:left w:w="0" w:type="dxa"/>
              <w:bottom w:w="0" w:type="dxa"/>
              <w:right w:w="0" w:type="dxa"/>
            </w:tcMar>
            <w:vAlign w:val="bottom"/>
          </w:tcPr>
          <w:p w14:paraId="45676FEB"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pénitentiaire de sécurité de Q</w:t>
            </w:r>
            <w:r w:rsidRPr="00A43FCB">
              <w:rPr>
                <w:noProof/>
                <w:sz w:val="18"/>
                <w:lang w:val="fr-FR"/>
              </w:rPr>
              <w:t>uezaltepeque</w:t>
            </w:r>
          </w:p>
        </w:tc>
        <w:tc>
          <w:tcPr>
            <w:tcW w:w="1317" w:type="dxa"/>
            <w:shd w:val="clear" w:color="auto" w:fill="auto"/>
            <w:tcMar>
              <w:top w:w="0" w:type="dxa"/>
              <w:left w:w="0" w:type="dxa"/>
              <w:bottom w:w="0" w:type="dxa"/>
              <w:right w:w="0" w:type="dxa"/>
            </w:tcMar>
            <w:vAlign w:val="bottom"/>
          </w:tcPr>
          <w:p w14:paraId="2C3D535A"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47B37A63"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29</w:t>
            </w:r>
          </w:p>
        </w:tc>
        <w:tc>
          <w:tcPr>
            <w:tcW w:w="880" w:type="dxa"/>
            <w:shd w:val="clear" w:color="auto" w:fill="auto"/>
            <w:tcMar>
              <w:top w:w="0" w:type="dxa"/>
              <w:left w:w="0" w:type="dxa"/>
              <w:bottom w:w="0" w:type="dxa"/>
              <w:right w:w="0" w:type="dxa"/>
            </w:tcMar>
            <w:vAlign w:val="bottom"/>
          </w:tcPr>
          <w:p w14:paraId="4B6B07DF"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343B9C14" w14:textId="77777777" w:rsidTr="00DE129A">
        <w:tc>
          <w:tcPr>
            <w:tcW w:w="720" w:type="dxa"/>
            <w:shd w:val="clear" w:color="auto" w:fill="auto"/>
            <w:tcMar>
              <w:top w:w="0" w:type="dxa"/>
              <w:left w:w="0" w:type="dxa"/>
              <w:bottom w:w="0" w:type="dxa"/>
              <w:right w:w="0" w:type="dxa"/>
            </w:tcMar>
          </w:tcPr>
          <w:p w14:paraId="50278EC2"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5</w:t>
            </w:r>
          </w:p>
        </w:tc>
        <w:tc>
          <w:tcPr>
            <w:tcW w:w="4772" w:type="dxa"/>
            <w:shd w:val="clear" w:color="auto" w:fill="auto"/>
            <w:tcMar>
              <w:top w:w="0" w:type="dxa"/>
              <w:left w:w="0" w:type="dxa"/>
              <w:bottom w:w="0" w:type="dxa"/>
              <w:right w:w="0" w:type="dxa"/>
            </w:tcMar>
            <w:vAlign w:val="bottom"/>
          </w:tcPr>
          <w:p w14:paraId="189C950D"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pénitentiaire de sécurité</w:t>
            </w:r>
            <w:r w:rsidRPr="00A43FCB">
              <w:rPr>
                <w:noProof/>
                <w:sz w:val="18"/>
                <w:lang w:val="fr-FR"/>
              </w:rPr>
              <w:t xml:space="preserve"> </w:t>
            </w:r>
            <w:r>
              <w:rPr>
                <w:noProof/>
                <w:sz w:val="18"/>
                <w:lang w:val="fr-FR"/>
              </w:rPr>
              <w:t>de Q</w:t>
            </w:r>
            <w:r w:rsidRPr="00A43FCB">
              <w:rPr>
                <w:noProof/>
                <w:sz w:val="18"/>
                <w:lang w:val="fr-FR"/>
              </w:rPr>
              <w:t>uezaltepeque</w:t>
            </w:r>
          </w:p>
        </w:tc>
        <w:tc>
          <w:tcPr>
            <w:tcW w:w="1317" w:type="dxa"/>
            <w:shd w:val="clear" w:color="auto" w:fill="auto"/>
            <w:tcMar>
              <w:top w:w="0" w:type="dxa"/>
              <w:left w:w="0" w:type="dxa"/>
              <w:bottom w:w="0" w:type="dxa"/>
              <w:right w:w="0" w:type="dxa"/>
            </w:tcMar>
            <w:vAlign w:val="bottom"/>
          </w:tcPr>
          <w:p w14:paraId="4A0ECEC4"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351F1423"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23</w:t>
            </w:r>
          </w:p>
        </w:tc>
        <w:tc>
          <w:tcPr>
            <w:tcW w:w="880" w:type="dxa"/>
            <w:shd w:val="clear" w:color="auto" w:fill="auto"/>
            <w:tcMar>
              <w:top w:w="0" w:type="dxa"/>
              <w:left w:w="0" w:type="dxa"/>
              <w:bottom w:w="0" w:type="dxa"/>
              <w:right w:w="0" w:type="dxa"/>
            </w:tcMar>
            <w:vAlign w:val="bottom"/>
          </w:tcPr>
          <w:p w14:paraId="045461E1"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1710DCCD" w14:textId="77777777" w:rsidTr="00DE129A">
        <w:tc>
          <w:tcPr>
            <w:tcW w:w="720" w:type="dxa"/>
            <w:shd w:val="clear" w:color="auto" w:fill="auto"/>
            <w:tcMar>
              <w:top w:w="0" w:type="dxa"/>
              <w:left w:w="0" w:type="dxa"/>
              <w:bottom w:w="0" w:type="dxa"/>
              <w:right w:w="0" w:type="dxa"/>
            </w:tcMar>
          </w:tcPr>
          <w:p w14:paraId="6DDF6C9A"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6</w:t>
            </w:r>
          </w:p>
        </w:tc>
        <w:tc>
          <w:tcPr>
            <w:tcW w:w="4772" w:type="dxa"/>
            <w:shd w:val="clear" w:color="auto" w:fill="auto"/>
            <w:tcMar>
              <w:top w:w="0" w:type="dxa"/>
              <w:left w:w="0" w:type="dxa"/>
              <w:bottom w:w="0" w:type="dxa"/>
              <w:right w:w="0" w:type="dxa"/>
            </w:tcMar>
            <w:vAlign w:val="bottom"/>
          </w:tcPr>
          <w:p w14:paraId="2F5638C5"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pénitentiaire de sécurité</w:t>
            </w:r>
            <w:r w:rsidRPr="00A43FCB">
              <w:rPr>
                <w:noProof/>
                <w:sz w:val="18"/>
                <w:lang w:val="fr-FR"/>
              </w:rPr>
              <w:t xml:space="preserve"> </w:t>
            </w:r>
            <w:r>
              <w:rPr>
                <w:noProof/>
                <w:sz w:val="18"/>
                <w:lang w:val="fr-FR"/>
              </w:rPr>
              <w:t>de Q</w:t>
            </w:r>
            <w:r w:rsidRPr="00A43FCB">
              <w:rPr>
                <w:noProof/>
                <w:sz w:val="18"/>
                <w:lang w:val="fr-FR"/>
              </w:rPr>
              <w:t>uezaltepeque</w:t>
            </w:r>
          </w:p>
        </w:tc>
        <w:tc>
          <w:tcPr>
            <w:tcW w:w="1317" w:type="dxa"/>
            <w:shd w:val="clear" w:color="auto" w:fill="auto"/>
            <w:tcMar>
              <w:top w:w="0" w:type="dxa"/>
              <w:left w:w="0" w:type="dxa"/>
              <w:bottom w:w="0" w:type="dxa"/>
              <w:right w:w="0" w:type="dxa"/>
            </w:tcMar>
            <w:vAlign w:val="bottom"/>
          </w:tcPr>
          <w:p w14:paraId="19CCBBE7"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5E515AB1"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22</w:t>
            </w:r>
          </w:p>
        </w:tc>
        <w:tc>
          <w:tcPr>
            <w:tcW w:w="880" w:type="dxa"/>
            <w:shd w:val="clear" w:color="auto" w:fill="auto"/>
            <w:tcMar>
              <w:top w:w="0" w:type="dxa"/>
              <w:left w:w="0" w:type="dxa"/>
              <w:bottom w:w="0" w:type="dxa"/>
              <w:right w:w="0" w:type="dxa"/>
            </w:tcMar>
            <w:vAlign w:val="bottom"/>
          </w:tcPr>
          <w:p w14:paraId="721126F8"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598E2F63" w14:textId="77777777" w:rsidTr="00DE129A">
        <w:tc>
          <w:tcPr>
            <w:tcW w:w="720" w:type="dxa"/>
            <w:shd w:val="clear" w:color="auto" w:fill="auto"/>
            <w:tcMar>
              <w:top w:w="0" w:type="dxa"/>
              <w:left w:w="0" w:type="dxa"/>
              <w:bottom w:w="0" w:type="dxa"/>
              <w:right w:w="0" w:type="dxa"/>
            </w:tcMar>
          </w:tcPr>
          <w:p w14:paraId="7CF35CBE"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7</w:t>
            </w:r>
          </w:p>
        </w:tc>
        <w:tc>
          <w:tcPr>
            <w:tcW w:w="4772" w:type="dxa"/>
            <w:shd w:val="clear" w:color="auto" w:fill="auto"/>
            <w:tcMar>
              <w:top w:w="0" w:type="dxa"/>
              <w:left w:w="0" w:type="dxa"/>
              <w:bottom w:w="0" w:type="dxa"/>
              <w:right w:w="0" w:type="dxa"/>
            </w:tcMar>
            <w:vAlign w:val="center"/>
          </w:tcPr>
          <w:p w14:paraId="1F39CEAD"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pénitentiaire de sécurité</w:t>
            </w:r>
            <w:r w:rsidRPr="00A43FCB">
              <w:rPr>
                <w:noProof/>
                <w:sz w:val="18"/>
                <w:lang w:val="fr-FR"/>
              </w:rPr>
              <w:t xml:space="preserve"> </w:t>
            </w:r>
            <w:r>
              <w:rPr>
                <w:noProof/>
                <w:sz w:val="18"/>
                <w:lang w:val="fr-FR"/>
              </w:rPr>
              <w:t>de Q</w:t>
            </w:r>
            <w:r w:rsidRPr="00A43FCB">
              <w:rPr>
                <w:noProof/>
                <w:sz w:val="18"/>
                <w:lang w:val="fr-FR"/>
              </w:rPr>
              <w:t>uezaltepeque</w:t>
            </w:r>
          </w:p>
        </w:tc>
        <w:tc>
          <w:tcPr>
            <w:tcW w:w="1317" w:type="dxa"/>
            <w:shd w:val="clear" w:color="auto" w:fill="auto"/>
            <w:tcMar>
              <w:top w:w="0" w:type="dxa"/>
              <w:left w:w="0" w:type="dxa"/>
              <w:bottom w:w="0" w:type="dxa"/>
              <w:right w:w="0" w:type="dxa"/>
            </w:tcMar>
            <w:vAlign w:val="bottom"/>
          </w:tcPr>
          <w:p w14:paraId="07BA7AD3"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18069811"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31</w:t>
            </w:r>
          </w:p>
        </w:tc>
        <w:tc>
          <w:tcPr>
            <w:tcW w:w="880" w:type="dxa"/>
            <w:shd w:val="clear" w:color="auto" w:fill="auto"/>
            <w:tcMar>
              <w:top w:w="0" w:type="dxa"/>
              <w:left w:w="0" w:type="dxa"/>
              <w:bottom w:w="0" w:type="dxa"/>
              <w:right w:w="0" w:type="dxa"/>
            </w:tcMar>
            <w:vAlign w:val="bottom"/>
          </w:tcPr>
          <w:p w14:paraId="50048C7B"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4F06B99E" w14:textId="77777777" w:rsidTr="00DE129A">
        <w:tc>
          <w:tcPr>
            <w:tcW w:w="720" w:type="dxa"/>
            <w:shd w:val="clear" w:color="auto" w:fill="auto"/>
            <w:tcMar>
              <w:top w:w="0" w:type="dxa"/>
              <w:left w:w="0" w:type="dxa"/>
              <w:bottom w:w="0" w:type="dxa"/>
              <w:right w:w="0" w:type="dxa"/>
            </w:tcMar>
          </w:tcPr>
          <w:p w14:paraId="3EBCC79A"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8</w:t>
            </w:r>
          </w:p>
        </w:tc>
        <w:tc>
          <w:tcPr>
            <w:tcW w:w="4772" w:type="dxa"/>
            <w:shd w:val="clear" w:color="auto" w:fill="auto"/>
            <w:tcMar>
              <w:top w:w="0" w:type="dxa"/>
              <w:left w:w="0" w:type="dxa"/>
              <w:bottom w:w="0" w:type="dxa"/>
              <w:right w:w="0" w:type="dxa"/>
            </w:tcMar>
            <w:vAlign w:val="center"/>
          </w:tcPr>
          <w:p w14:paraId="6B42223B"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pénitentiaire de sécurité</w:t>
            </w:r>
            <w:r w:rsidRPr="00A43FCB">
              <w:rPr>
                <w:noProof/>
                <w:sz w:val="18"/>
                <w:lang w:val="fr-FR"/>
              </w:rPr>
              <w:t xml:space="preserve"> </w:t>
            </w:r>
            <w:r>
              <w:rPr>
                <w:noProof/>
                <w:sz w:val="18"/>
                <w:lang w:val="fr-FR"/>
              </w:rPr>
              <w:t>de Q</w:t>
            </w:r>
            <w:r w:rsidRPr="00A43FCB">
              <w:rPr>
                <w:noProof/>
                <w:sz w:val="18"/>
                <w:lang w:val="fr-FR"/>
              </w:rPr>
              <w:t>uezaltepeque</w:t>
            </w:r>
          </w:p>
        </w:tc>
        <w:tc>
          <w:tcPr>
            <w:tcW w:w="1317" w:type="dxa"/>
            <w:shd w:val="clear" w:color="auto" w:fill="auto"/>
            <w:tcMar>
              <w:top w:w="0" w:type="dxa"/>
              <w:left w:w="0" w:type="dxa"/>
              <w:bottom w:w="0" w:type="dxa"/>
              <w:right w:w="0" w:type="dxa"/>
            </w:tcMar>
            <w:vAlign w:val="bottom"/>
          </w:tcPr>
          <w:p w14:paraId="63280F9E"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shd w:val="clear" w:color="auto" w:fill="auto"/>
            <w:tcMar>
              <w:top w:w="0" w:type="dxa"/>
              <w:left w:w="0" w:type="dxa"/>
              <w:bottom w:w="0" w:type="dxa"/>
              <w:right w:w="0" w:type="dxa"/>
            </w:tcMar>
            <w:vAlign w:val="bottom"/>
          </w:tcPr>
          <w:p w14:paraId="12EC06AE"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30</w:t>
            </w:r>
          </w:p>
        </w:tc>
        <w:tc>
          <w:tcPr>
            <w:tcW w:w="880" w:type="dxa"/>
            <w:shd w:val="clear" w:color="auto" w:fill="auto"/>
            <w:tcMar>
              <w:top w:w="0" w:type="dxa"/>
              <w:left w:w="0" w:type="dxa"/>
              <w:bottom w:w="0" w:type="dxa"/>
              <w:right w:w="0" w:type="dxa"/>
            </w:tcMar>
            <w:vAlign w:val="bottom"/>
          </w:tcPr>
          <w:p w14:paraId="03C8F25E"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1E089F3B" w14:textId="77777777" w:rsidTr="00DE129A">
        <w:tc>
          <w:tcPr>
            <w:tcW w:w="720" w:type="dxa"/>
            <w:tcBorders>
              <w:bottom w:val="single" w:sz="4" w:space="0" w:color="auto"/>
            </w:tcBorders>
            <w:shd w:val="clear" w:color="auto" w:fill="auto"/>
            <w:tcMar>
              <w:top w:w="0" w:type="dxa"/>
              <w:left w:w="0" w:type="dxa"/>
              <w:bottom w:w="0" w:type="dxa"/>
              <w:right w:w="0" w:type="dxa"/>
            </w:tcMar>
          </w:tcPr>
          <w:p w14:paraId="500BC873" w14:textId="77777777" w:rsidR="00653B7F" w:rsidRPr="00A43FCB" w:rsidRDefault="00653B7F" w:rsidP="00653B7F">
            <w:pPr>
              <w:pStyle w:val="SingleTxtG"/>
              <w:spacing w:before="40" w:after="40" w:line="220" w:lineRule="exact"/>
              <w:ind w:left="0" w:right="0"/>
              <w:jc w:val="left"/>
              <w:rPr>
                <w:noProof/>
                <w:sz w:val="18"/>
                <w:lang w:val="fr-FR"/>
              </w:rPr>
            </w:pPr>
            <w:r w:rsidRPr="00A43FCB">
              <w:rPr>
                <w:noProof/>
                <w:sz w:val="18"/>
                <w:lang w:val="fr-FR"/>
              </w:rPr>
              <w:t>9</w:t>
            </w:r>
          </w:p>
        </w:tc>
        <w:tc>
          <w:tcPr>
            <w:tcW w:w="4772" w:type="dxa"/>
            <w:tcBorders>
              <w:bottom w:val="single" w:sz="4" w:space="0" w:color="auto"/>
            </w:tcBorders>
            <w:shd w:val="clear" w:color="auto" w:fill="auto"/>
            <w:tcMar>
              <w:top w:w="0" w:type="dxa"/>
              <w:left w:w="0" w:type="dxa"/>
              <w:bottom w:w="0" w:type="dxa"/>
              <w:right w:w="0" w:type="dxa"/>
            </w:tcMar>
            <w:vAlign w:val="center"/>
          </w:tcPr>
          <w:p w14:paraId="6F15CCC0" w14:textId="77777777" w:rsidR="00653B7F" w:rsidRPr="00A43FCB" w:rsidRDefault="00653B7F" w:rsidP="00653B7F">
            <w:pPr>
              <w:pStyle w:val="SingleTxtG"/>
              <w:spacing w:before="40" w:after="40" w:line="220" w:lineRule="exact"/>
              <w:ind w:left="0" w:right="0"/>
              <w:jc w:val="left"/>
              <w:rPr>
                <w:noProof/>
                <w:sz w:val="18"/>
                <w:lang w:val="fr-FR"/>
              </w:rPr>
            </w:pPr>
            <w:r>
              <w:rPr>
                <w:noProof/>
                <w:sz w:val="18"/>
                <w:lang w:val="fr-FR"/>
              </w:rPr>
              <w:t>Centre pénitentiaire de sécurité</w:t>
            </w:r>
            <w:r w:rsidRPr="00A43FCB">
              <w:rPr>
                <w:noProof/>
                <w:sz w:val="18"/>
                <w:lang w:val="fr-FR"/>
              </w:rPr>
              <w:t xml:space="preserve"> </w:t>
            </w:r>
            <w:r>
              <w:rPr>
                <w:noProof/>
                <w:sz w:val="18"/>
                <w:lang w:val="fr-FR"/>
              </w:rPr>
              <w:t>de Q</w:t>
            </w:r>
            <w:r w:rsidRPr="00A43FCB">
              <w:rPr>
                <w:noProof/>
                <w:sz w:val="18"/>
                <w:lang w:val="fr-FR"/>
              </w:rPr>
              <w:t>uezaltepeque</w:t>
            </w:r>
          </w:p>
        </w:tc>
        <w:tc>
          <w:tcPr>
            <w:tcW w:w="1317" w:type="dxa"/>
            <w:tcBorders>
              <w:bottom w:val="single" w:sz="4" w:space="0" w:color="auto"/>
            </w:tcBorders>
            <w:shd w:val="clear" w:color="auto" w:fill="auto"/>
            <w:tcMar>
              <w:top w:w="0" w:type="dxa"/>
              <w:left w:w="0" w:type="dxa"/>
              <w:bottom w:w="0" w:type="dxa"/>
              <w:right w:w="0" w:type="dxa"/>
            </w:tcMar>
            <w:vAlign w:val="bottom"/>
          </w:tcPr>
          <w:p w14:paraId="325CCDF3"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1</w:t>
            </w:r>
          </w:p>
        </w:tc>
        <w:tc>
          <w:tcPr>
            <w:tcW w:w="960" w:type="dxa"/>
            <w:tcBorders>
              <w:bottom w:val="single" w:sz="4" w:space="0" w:color="auto"/>
            </w:tcBorders>
            <w:shd w:val="clear" w:color="auto" w:fill="auto"/>
            <w:tcMar>
              <w:top w:w="0" w:type="dxa"/>
              <w:left w:w="0" w:type="dxa"/>
              <w:bottom w:w="0" w:type="dxa"/>
              <w:right w:w="0" w:type="dxa"/>
            </w:tcMar>
            <w:vAlign w:val="bottom"/>
          </w:tcPr>
          <w:p w14:paraId="2D55A1D8"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34</w:t>
            </w:r>
          </w:p>
        </w:tc>
        <w:tc>
          <w:tcPr>
            <w:tcW w:w="880" w:type="dxa"/>
            <w:tcBorders>
              <w:bottom w:val="single" w:sz="4" w:space="0" w:color="auto"/>
            </w:tcBorders>
            <w:shd w:val="clear" w:color="auto" w:fill="auto"/>
            <w:tcMar>
              <w:top w:w="0" w:type="dxa"/>
              <w:left w:w="0" w:type="dxa"/>
              <w:bottom w:w="0" w:type="dxa"/>
              <w:right w:w="0" w:type="dxa"/>
            </w:tcMar>
            <w:vAlign w:val="bottom"/>
          </w:tcPr>
          <w:p w14:paraId="492EA8A5" w14:textId="77777777" w:rsidR="00653B7F" w:rsidRPr="00A43FCB" w:rsidRDefault="00653B7F" w:rsidP="00653B7F">
            <w:pPr>
              <w:pStyle w:val="SingleTxtG"/>
              <w:spacing w:before="40" w:after="40" w:line="220" w:lineRule="exact"/>
              <w:ind w:left="0" w:right="0"/>
              <w:jc w:val="right"/>
              <w:rPr>
                <w:noProof/>
                <w:sz w:val="18"/>
                <w:lang w:val="fr-FR"/>
              </w:rPr>
            </w:pPr>
            <w:r w:rsidRPr="00A43FCB">
              <w:rPr>
                <w:noProof/>
                <w:sz w:val="18"/>
                <w:lang w:val="fr-FR"/>
              </w:rPr>
              <w:t>M</w:t>
            </w:r>
          </w:p>
        </w:tc>
      </w:tr>
      <w:tr w:rsidR="00653B7F" w:rsidRPr="00A43FCB" w14:paraId="2A0B12DC" w14:textId="77777777" w:rsidTr="00DE129A">
        <w:tc>
          <w:tcPr>
            <w:tcW w:w="5492" w:type="dxa"/>
            <w:gridSpan w:val="2"/>
            <w:tcBorders>
              <w:top w:val="single" w:sz="4" w:space="0" w:color="auto"/>
              <w:bottom w:val="single" w:sz="12" w:space="0" w:color="auto"/>
            </w:tcBorders>
            <w:shd w:val="clear" w:color="auto" w:fill="auto"/>
            <w:tcMar>
              <w:top w:w="0" w:type="dxa"/>
              <w:left w:w="0" w:type="dxa"/>
              <w:bottom w:w="0" w:type="dxa"/>
              <w:right w:w="0" w:type="dxa"/>
            </w:tcMar>
          </w:tcPr>
          <w:p w14:paraId="4BD15361" w14:textId="77777777" w:rsidR="00653B7F" w:rsidRPr="00A43FCB" w:rsidRDefault="00653B7F" w:rsidP="00DE129A">
            <w:pPr>
              <w:pStyle w:val="SingleTxtG"/>
              <w:spacing w:before="80" w:after="80" w:line="220" w:lineRule="exact"/>
              <w:ind w:left="284" w:right="0"/>
              <w:jc w:val="left"/>
              <w:rPr>
                <w:b/>
                <w:noProof/>
                <w:sz w:val="18"/>
                <w:lang w:val="fr-FR"/>
              </w:rPr>
            </w:pPr>
            <w:r w:rsidRPr="00A43FCB">
              <w:rPr>
                <w:b/>
                <w:bCs/>
                <w:noProof/>
                <w:sz w:val="18"/>
                <w:lang w:val="fr-FR"/>
              </w:rPr>
              <w:t xml:space="preserve">Total </w:t>
            </w:r>
          </w:p>
        </w:tc>
        <w:tc>
          <w:tcPr>
            <w:tcW w:w="131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8788BE0" w14:textId="77777777" w:rsidR="00653B7F" w:rsidRPr="00A43FCB" w:rsidRDefault="00653B7F" w:rsidP="00653B7F">
            <w:pPr>
              <w:pStyle w:val="SingleTxtG"/>
              <w:spacing w:before="80" w:after="80" w:line="220" w:lineRule="exact"/>
              <w:ind w:left="0" w:right="0"/>
              <w:jc w:val="right"/>
              <w:rPr>
                <w:b/>
                <w:noProof/>
                <w:sz w:val="18"/>
                <w:lang w:val="fr-FR"/>
              </w:rPr>
            </w:pPr>
            <w:r w:rsidRPr="00A43FCB">
              <w:rPr>
                <w:b/>
                <w:bCs/>
                <w:noProof/>
                <w:sz w:val="18"/>
                <w:lang w:val="fr-FR"/>
              </w:rPr>
              <w:t>9</w:t>
            </w:r>
          </w:p>
        </w:tc>
        <w:tc>
          <w:tcPr>
            <w:tcW w:w="9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39AEFD6" w14:textId="77777777" w:rsidR="00653B7F" w:rsidRPr="00A43FCB" w:rsidRDefault="00653B7F" w:rsidP="00653B7F">
            <w:pPr>
              <w:pStyle w:val="SingleTxtG"/>
              <w:spacing w:before="80" w:after="80" w:line="220" w:lineRule="exact"/>
              <w:ind w:left="0" w:right="0"/>
              <w:jc w:val="right"/>
              <w:rPr>
                <w:b/>
                <w:noProof/>
                <w:sz w:val="18"/>
                <w:lang w:val="fr-FR"/>
              </w:rPr>
            </w:pPr>
            <w:r w:rsidRPr="00A43FCB">
              <w:rPr>
                <w:b/>
                <w:bCs/>
                <w:noProof/>
                <w:sz w:val="18"/>
                <w:lang w:val="fr-FR"/>
              </w:rPr>
              <w:t> </w:t>
            </w:r>
          </w:p>
        </w:tc>
        <w:tc>
          <w:tcPr>
            <w:tcW w:w="88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EFA7F3" w14:textId="77777777" w:rsidR="00653B7F" w:rsidRPr="00A43FCB" w:rsidRDefault="00653B7F" w:rsidP="00653B7F">
            <w:pPr>
              <w:pStyle w:val="SingleTxtG"/>
              <w:spacing w:before="80" w:after="80" w:line="220" w:lineRule="exact"/>
              <w:ind w:left="0" w:right="0"/>
              <w:jc w:val="right"/>
              <w:rPr>
                <w:b/>
                <w:noProof/>
                <w:sz w:val="18"/>
                <w:lang w:val="fr-FR"/>
              </w:rPr>
            </w:pPr>
            <w:r w:rsidRPr="00A43FCB">
              <w:rPr>
                <w:b/>
                <w:bCs/>
                <w:noProof/>
                <w:sz w:val="18"/>
                <w:lang w:val="fr-FR"/>
              </w:rPr>
              <w:t> </w:t>
            </w:r>
          </w:p>
        </w:tc>
      </w:tr>
    </w:tbl>
    <w:p w14:paraId="05DF45E3" w14:textId="77777777" w:rsidR="00653B7F" w:rsidRPr="0091496A" w:rsidRDefault="00653B7F" w:rsidP="00653B7F">
      <w:pPr>
        <w:pStyle w:val="SingleTxtG"/>
        <w:spacing w:before="240"/>
        <w:rPr>
          <w:noProof/>
          <w:lang w:val="fr-FR"/>
        </w:rPr>
      </w:pPr>
      <w:r w:rsidRPr="00A43FCB">
        <w:rPr>
          <w:noProof/>
          <w:lang w:val="fr-FR"/>
        </w:rPr>
        <w:t>46.</w:t>
      </w:r>
      <w:r w:rsidRPr="00A43FCB">
        <w:rPr>
          <w:noProof/>
          <w:lang w:val="fr-FR"/>
        </w:rPr>
        <w:tab/>
      </w:r>
      <w:r>
        <w:rPr>
          <w:noProof/>
          <w:lang w:val="fr-FR"/>
        </w:rPr>
        <w:t>En ce qui concerne l</w:t>
      </w:r>
      <w:r w:rsidR="002A5D78">
        <w:rPr>
          <w:noProof/>
          <w:lang w:val="fr-FR"/>
        </w:rPr>
        <w:t>’</w:t>
      </w:r>
      <w:r>
        <w:rPr>
          <w:noProof/>
          <w:lang w:val="fr-FR"/>
        </w:rPr>
        <w:t>incident survenu le 28</w:t>
      </w:r>
      <w:r w:rsidR="00A55941">
        <w:rPr>
          <w:noProof/>
          <w:lang w:val="fr-FR"/>
        </w:rPr>
        <w:t> </w:t>
      </w:r>
      <w:r>
        <w:rPr>
          <w:noProof/>
          <w:lang w:val="fr-FR"/>
        </w:rPr>
        <w:t>octobre 2011 au Centre de détention provisoire et d</w:t>
      </w:r>
      <w:r w:rsidR="002A5D78">
        <w:rPr>
          <w:noProof/>
          <w:lang w:val="fr-FR"/>
        </w:rPr>
        <w:t>’</w:t>
      </w:r>
      <w:r>
        <w:rPr>
          <w:noProof/>
          <w:lang w:val="fr-FR"/>
        </w:rPr>
        <w:t xml:space="preserve">exécution des peines de Ciudad Barrios et qui a coûté la vie à </w:t>
      </w:r>
      <w:r w:rsidRPr="00A43FCB">
        <w:rPr>
          <w:noProof/>
          <w:lang w:val="fr-FR"/>
        </w:rPr>
        <w:t xml:space="preserve">Geovany Francisco Mina Olivares, </w:t>
      </w:r>
      <w:r>
        <w:rPr>
          <w:noProof/>
          <w:lang w:val="fr-FR"/>
        </w:rPr>
        <w:t>Efraín Antonio Álvarez Zaracay et</w:t>
      </w:r>
      <w:r w:rsidRPr="00A43FCB">
        <w:rPr>
          <w:noProof/>
          <w:lang w:val="fr-FR"/>
        </w:rPr>
        <w:t xml:space="preserve"> Ernesto Antonio Cortez,</w:t>
      </w:r>
      <w:r>
        <w:rPr>
          <w:noProof/>
          <w:lang w:val="fr-FR"/>
        </w:rPr>
        <w:t xml:space="preserve"> le </w:t>
      </w:r>
      <w:r w:rsidRPr="005A6421">
        <w:rPr>
          <w:noProof/>
          <w:lang w:val="fr-FR"/>
        </w:rPr>
        <w:t xml:space="preserve">Bureau du </w:t>
      </w:r>
      <w:r w:rsidRPr="005A6421">
        <w:rPr>
          <w:i/>
          <w:noProof/>
          <w:lang w:val="fr-FR"/>
        </w:rPr>
        <w:t>Fiscal general</w:t>
      </w:r>
      <w:r w:rsidRPr="005A6421">
        <w:rPr>
          <w:noProof/>
          <w:lang w:val="fr-FR"/>
        </w:rPr>
        <w:t xml:space="preserve"> de la République</w:t>
      </w:r>
      <w:r>
        <w:rPr>
          <w:noProof/>
          <w:lang w:val="fr-FR"/>
        </w:rPr>
        <w:t xml:space="preserve"> a diligenté une enquête qui a entraîné la condamnation des auteurs matériels de l</w:t>
      </w:r>
      <w:r w:rsidR="002A5D78">
        <w:rPr>
          <w:noProof/>
          <w:lang w:val="fr-FR"/>
        </w:rPr>
        <w:t>’</w:t>
      </w:r>
      <w:r>
        <w:rPr>
          <w:noProof/>
          <w:lang w:val="fr-FR"/>
        </w:rPr>
        <w:t xml:space="preserve">infraction à </w:t>
      </w:r>
      <w:r w:rsidR="00A55941">
        <w:rPr>
          <w:noProof/>
          <w:lang w:val="fr-FR"/>
        </w:rPr>
        <w:t>vingt</w:t>
      </w:r>
      <w:r>
        <w:rPr>
          <w:noProof/>
          <w:lang w:val="fr-FR"/>
        </w:rPr>
        <w:t xml:space="preserve"> et </w:t>
      </w:r>
      <w:r w:rsidR="00A55941">
        <w:rPr>
          <w:noProof/>
          <w:lang w:val="fr-FR"/>
        </w:rPr>
        <w:t>trente</w:t>
      </w:r>
      <w:r>
        <w:rPr>
          <w:noProof/>
          <w:lang w:val="fr-FR"/>
        </w:rPr>
        <w:t xml:space="preserve"> années d</w:t>
      </w:r>
      <w:r w:rsidR="002A5D78">
        <w:rPr>
          <w:noProof/>
          <w:lang w:val="fr-FR"/>
        </w:rPr>
        <w:t>’</w:t>
      </w:r>
      <w:r>
        <w:rPr>
          <w:noProof/>
          <w:lang w:val="fr-FR"/>
        </w:rPr>
        <w:t>emprisonnement.</w:t>
      </w:r>
    </w:p>
    <w:p w14:paraId="6188BF46" w14:textId="77777777" w:rsidR="00653B7F" w:rsidRPr="000929EE" w:rsidRDefault="00653B7F" w:rsidP="00653B7F">
      <w:pPr>
        <w:pStyle w:val="SingleTxtG"/>
        <w:rPr>
          <w:noProof/>
          <w:lang w:val="fr-FR"/>
        </w:rPr>
      </w:pPr>
      <w:r w:rsidRPr="00A43FCB">
        <w:rPr>
          <w:noProof/>
          <w:lang w:val="fr-FR"/>
        </w:rPr>
        <w:t>47.</w:t>
      </w:r>
      <w:r w:rsidRPr="00A43FCB">
        <w:rPr>
          <w:noProof/>
          <w:lang w:val="fr-FR"/>
        </w:rPr>
        <w:tab/>
      </w:r>
      <w:r>
        <w:rPr>
          <w:noProof/>
          <w:lang w:val="fr-FR"/>
        </w:rPr>
        <w:t>Pour réduire le niveau de violence dans les établissements pénitentiaires, on a multiplié les possibilités d</w:t>
      </w:r>
      <w:r w:rsidR="002A5D78">
        <w:rPr>
          <w:noProof/>
          <w:lang w:val="fr-FR"/>
        </w:rPr>
        <w:t>’</w:t>
      </w:r>
      <w:r>
        <w:rPr>
          <w:noProof/>
          <w:lang w:val="fr-FR"/>
        </w:rPr>
        <w:t>apprentissage et de travail des détenus au moyen d</w:t>
      </w:r>
      <w:r w:rsidR="002A5D78">
        <w:rPr>
          <w:noProof/>
          <w:lang w:val="fr-FR"/>
        </w:rPr>
        <w:t>’</w:t>
      </w:r>
      <w:r>
        <w:rPr>
          <w:noProof/>
          <w:lang w:val="fr-FR"/>
        </w:rPr>
        <w:t xml:space="preserve">ateliers techniques et de projets exécutés dans le cadre du </w:t>
      </w:r>
      <w:r w:rsidRPr="000929EE">
        <w:rPr>
          <w:noProof/>
          <w:lang w:val="fr-FR"/>
        </w:rPr>
        <w:t>programme de gestion pénitentiaire «</w:t>
      </w:r>
      <w:r w:rsidR="00DE129A">
        <w:rPr>
          <w:noProof/>
          <w:lang w:val="fr-FR"/>
        </w:rPr>
        <w:t xml:space="preserve"> Yo </w:t>
      </w:r>
      <w:r w:rsidR="00A55941">
        <w:rPr>
          <w:noProof/>
          <w:lang w:val="fr-FR"/>
        </w:rPr>
        <w:t>C</w:t>
      </w:r>
      <w:r w:rsidR="00DE129A">
        <w:rPr>
          <w:noProof/>
          <w:lang w:val="fr-FR"/>
        </w:rPr>
        <w:t>ambio</w:t>
      </w:r>
      <w:bookmarkStart w:id="5" w:name="hit3"/>
      <w:bookmarkStart w:id="6" w:name="hit4"/>
      <w:bookmarkEnd w:id="5"/>
      <w:bookmarkEnd w:id="6"/>
      <w:r w:rsidRPr="000929EE">
        <w:rPr>
          <w:noProof/>
          <w:lang w:val="fr-FR"/>
        </w:rPr>
        <w:t> »</w:t>
      </w:r>
      <w:r>
        <w:rPr>
          <w:noProof/>
          <w:lang w:val="fr-FR"/>
        </w:rPr>
        <w:t xml:space="preserve"> et de l</w:t>
      </w:r>
      <w:r w:rsidR="002A5D78">
        <w:rPr>
          <w:noProof/>
          <w:lang w:val="fr-FR"/>
        </w:rPr>
        <w:t>’</w:t>
      </w:r>
      <w:r>
        <w:rPr>
          <w:noProof/>
          <w:lang w:val="fr-FR"/>
        </w:rPr>
        <w:t xml:space="preserve">action spécifique menée par les équipes techniques criminologiques. </w:t>
      </w:r>
    </w:p>
    <w:p w14:paraId="561EC7E8" w14:textId="77777777" w:rsidR="00653B7F" w:rsidRDefault="00653B7F" w:rsidP="00653B7F">
      <w:pPr>
        <w:pStyle w:val="SingleTxtG"/>
        <w:rPr>
          <w:noProof/>
          <w:lang w:val="fr-FR"/>
        </w:rPr>
      </w:pPr>
      <w:r w:rsidRPr="00A43FCB">
        <w:rPr>
          <w:noProof/>
          <w:lang w:val="fr-FR"/>
        </w:rPr>
        <w:t>48.</w:t>
      </w:r>
      <w:r w:rsidRPr="00A43FCB">
        <w:rPr>
          <w:noProof/>
          <w:lang w:val="fr-FR"/>
        </w:rPr>
        <w:tab/>
      </w:r>
      <w:r>
        <w:rPr>
          <w:noProof/>
          <w:lang w:val="fr-FR"/>
        </w:rPr>
        <w:t>Pour améliorer les conditions de la détention provisoire, on s</w:t>
      </w:r>
      <w:r w:rsidR="002A5D78">
        <w:rPr>
          <w:noProof/>
          <w:lang w:val="fr-FR"/>
        </w:rPr>
        <w:t>’</w:t>
      </w:r>
      <w:r>
        <w:rPr>
          <w:noProof/>
          <w:lang w:val="fr-FR"/>
        </w:rPr>
        <w:t xml:space="preserve">est employé à réduire la surpopulation carcérale en créant 17 956 nouvelles places dans </w:t>
      </w:r>
      <w:r w:rsidR="00325D4D">
        <w:rPr>
          <w:noProof/>
          <w:lang w:val="fr-FR"/>
        </w:rPr>
        <w:t>10</w:t>
      </w:r>
      <w:r>
        <w:rPr>
          <w:noProof/>
          <w:lang w:val="fr-FR"/>
        </w:rPr>
        <w:t xml:space="preserve"> centres pénitentiaires et </w:t>
      </w:r>
      <w:r>
        <w:rPr>
          <w:noProof/>
          <w:lang w:val="fr-FR"/>
        </w:rPr>
        <w:lastRenderedPageBreak/>
        <w:t>centres pénitentiaires agricoles ; on a mis en place un système de surveillance électronique avec l</w:t>
      </w:r>
      <w:r w:rsidR="002A5D78">
        <w:rPr>
          <w:noProof/>
          <w:lang w:val="fr-FR"/>
        </w:rPr>
        <w:t>’</w:t>
      </w:r>
      <w:r>
        <w:rPr>
          <w:noProof/>
          <w:lang w:val="fr-FR"/>
        </w:rPr>
        <w:t>acquisition de 2</w:t>
      </w:r>
      <w:r w:rsidR="00325D4D">
        <w:rPr>
          <w:noProof/>
          <w:lang w:val="fr-FR"/>
        </w:rPr>
        <w:t> </w:t>
      </w:r>
      <w:r>
        <w:rPr>
          <w:noProof/>
          <w:lang w:val="fr-FR"/>
        </w:rPr>
        <w:t>840 bracelets électroniques ; et on a lancé des projets d</w:t>
      </w:r>
      <w:r w:rsidR="002A5D78">
        <w:rPr>
          <w:noProof/>
          <w:lang w:val="fr-FR"/>
        </w:rPr>
        <w:t>’</w:t>
      </w:r>
      <w:r>
        <w:rPr>
          <w:noProof/>
          <w:lang w:val="fr-FR"/>
        </w:rPr>
        <w:t xml:space="preserve">accompagnement des détenus dans le cadre du </w:t>
      </w:r>
      <w:r w:rsidRPr="000929EE">
        <w:rPr>
          <w:noProof/>
          <w:lang w:val="fr-FR"/>
        </w:rPr>
        <w:t>programme de gestion pénitentiaire «</w:t>
      </w:r>
      <w:r w:rsidR="00A55941">
        <w:rPr>
          <w:noProof/>
          <w:lang w:val="fr-FR"/>
        </w:rPr>
        <w:t> Yo Cambio</w:t>
      </w:r>
      <w:r w:rsidRPr="000929EE">
        <w:rPr>
          <w:noProof/>
          <w:lang w:val="fr-FR"/>
        </w:rPr>
        <w:t> »</w:t>
      </w:r>
      <w:r>
        <w:rPr>
          <w:noProof/>
          <w:lang w:val="fr-FR"/>
        </w:rPr>
        <w:t>.</w:t>
      </w:r>
    </w:p>
    <w:p w14:paraId="75E7E333" w14:textId="77777777" w:rsidR="00653B7F" w:rsidRDefault="00653B7F" w:rsidP="00653B7F">
      <w:pPr>
        <w:pStyle w:val="SingleTxtG"/>
        <w:rPr>
          <w:noProof/>
          <w:lang w:val="fr-FR"/>
        </w:rPr>
      </w:pPr>
      <w:r w:rsidRPr="00A43FCB">
        <w:rPr>
          <w:noProof/>
          <w:lang w:val="fr-FR"/>
        </w:rPr>
        <w:t>49.</w:t>
      </w:r>
      <w:r w:rsidRPr="00A43FCB">
        <w:rPr>
          <w:noProof/>
          <w:lang w:val="fr-FR"/>
        </w:rPr>
        <w:tab/>
      </w:r>
      <w:r>
        <w:rPr>
          <w:noProof/>
          <w:lang w:val="fr-FR"/>
        </w:rPr>
        <w:t xml:space="preserve">El Salvador a adopté en 2014 une </w:t>
      </w:r>
      <w:r>
        <w:rPr>
          <w:rFonts w:eastAsia="Calibri"/>
          <w:lang w:val="fr-FR"/>
        </w:rPr>
        <w:t>loi spéciale relative à la</w:t>
      </w:r>
      <w:r w:rsidRPr="000A543D">
        <w:rPr>
          <w:rFonts w:eastAsia="Calibri"/>
          <w:lang w:val="fr-FR"/>
        </w:rPr>
        <w:t xml:space="preserve"> lutte contre la traite des personnes</w:t>
      </w:r>
      <w:r>
        <w:rPr>
          <w:rFonts w:eastAsia="Calibri"/>
          <w:lang w:val="fr-FR"/>
        </w:rPr>
        <w:t xml:space="preserve"> qui a créé un Conseil national de lutte contre la traite des personnes. Cet organisme a pour mandat de prendre intégralement en charge les victimes de ce crime, et il s</w:t>
      </w:r>
      <w:r w:rsidR="002A5D78">
        <w:rPr>
          <w:rFonts w:eastAsia="Calibri"/>
          <w:lang w:val="fr-FR"/>
        </w:rPr>
        <w:t>’</w:t>
      </w:r>
      <w:r>
        <w:rPr>
          <w:rFonts w:eastAsia="Calibri"/>
          <w:lang w:val="fr-FR"/>
        </w:rPr>
        <w:t>appuie à cette fin sur un protocole général de prise en charge des victimes de la traite des personnes. El Salvador a également lancé plusieurs campagnes et projets de prévention et de prise en charge et mis à jour sa politique nationale de lutte contre la traite des personnes et le plan d</w:t>
      </w:r>
      <w:r w:rsidR="002A5D78">
        <w:rPr>
          <w:rFonts w:eastAsia="Calibri"/>
          <w:lang w:val="fr-FR"/>
        </w:rPr>
        <w:t>’</w:t>
      </w:r>
      <w:r>
        <w:rPr>
          <w:rFonts w:eastAsia="Calibri"/>
          <w:lang w:val="fr-FR"/>
        </w:rPr>
        <w:t>action qui l</w:t>
      </w:r>
      <w:r w:rsidR="002A5D78">
        <w:rPr>
          <w:rFonts w:eastAsia="Calibri"/>
          <w:lang w:val="fr-FR"/>
        </w:rPr>
        <w:t>’</w:t>
      </w:r>
      <w:r>
        <w:rPr>
          <w:rFonts w:eastAsia="Calibri"/>
          <w:lang w:val="fr-FR"/>
        </w:rPr>
        <w:t>accompagne. On a mené des actions de formation du personnel de diverses institutions publiques et privées ainsi que des activités de diffusion de la loi spéciale auprès des communautés, y compris la campagne de prévention et de lutte dite « </w:t>
      </w:r>
      <w:proofErr w:type="spellStart"/>
      <w:r w:rsidRPr="00A43FCB">
        <w:rPr>
          <w:noProof/>
          <w:lang w:val="fr-FR"/>
        </w:rPr>
        <w:t>Corazón</w:t>
      </w:r>
      <w:proofErr w:type="spellEnd"/>
      <w:r w:rsidRPr="00A43FCB">
        <w:rPr>
          <w:noProof/>
          <w:lang w:val="fr-FR"/>
        </w:rPr>
        <w:t xml:space="preserve"> Azul</w:t>
      </w:r>
      <w:r>
        <w:rPr>
          <w:rFonts w:eastAsia="Calibri"/>
          <w:lang w:val="fr-FR"/>
        </w:rPr>
        <w:t> » (Cœur bleu). On trouvera dans les tableaux 6, 7 et 8 ci-après des données relatives au nombre des victimes de la traite des personnes, au nombre des affaires poursu</w:t>
      </w:r>
      <w:r w:rsidR="00452B62">
        <w:rPr>
          <w:rFonts w:eastAsia="Calibri"/>
          <w:lang w:val="fr-FR"/>
        </w:rPr>
        <w:t>i</w:t>
      </w:r>
      <w:r>
        <w:rPr>
          <w:rFonts w:eastAsia="Calibri"/>
          <w:lang w:val="fr-FR"/>
        </w:rPr>
        <w:t>vies et aux condamnations prononcées.</w:t>
      </w:r>
    </w:p>
    <w:p w14:paraId="5C040626" w14:textId="77777777" w:rsidR="00653B7F" w:rsidRPr="00325D4D" w:rsidRDefault="00653B7F" w:rsidP="00325D4D">
      <w:pPr>
        <w:pStyle w:val="Titre1"/>
        <w:spacing w:after="120"/>
        <w:rPr>
          <w:b/>
          <w:bCs/>
          <w:noProof/>
          <w:lang w:val="fr-FR"/>
        </w:rPr>
      </w:pPr>
      <w:r>
        <w:rPr>
          <w:noProof/>
          <w:lang w:val="fr-FR"/>
        </w:rPr>
        <w:t>Tableau</w:t>
      </w:r>
      <w:r w:rsidRPr="00A43FCB">
        <w:rPr>
          <w:noProof/>
          <w:lang w:val="fr-FR"/>
        </w:rPr>
        <w:t xml:space="preserve"> 6</w:t>
      </w:r>
      <w:r w:rsidR="00325D4D">
        <w:rPr>
          <w:noProof/>
          <w:lang w:val="fr-FR"/>
        </w:rPr>
        <w:br/>
      </w:r>
      <w:r w:rsidRPr="00325D4D">
        <w:rPr>
          <w:b/>
          <w:bCs/>
          <w:noProof/>
          <w:lang w:val="fr-FR"/>
        </w:rPr>
        <w:t>Nombre de victimes de l</w:t>
      </w:r>
      <w:r w:rsidR="002A5D78">
        <w:rPr>
          <w:b/>
          <w:bCs/>
          <w:noProof/>
          <w:lang w:val="fr-FR"/>
        </w:rPr>
        <w:t>’</w:t>
      </w:r>
      <w:r w:rsidRPr="00325D4D">
        <w:rPr>
          <w:b/>
          <w:bCs/>
          <w:noProof/>
          <w:lang w:val="fr-FR"/>
        </w:rPr>
        <w:t xml:space="preserve">infraction de traite des personnes </w:t>
      </w:r>
    </w:p>
    <w:tbl>
      <w:tblPr>
        <w:tblW w:w="8504" w:type="dxa"/>
        <w:tblInd w:w="1134" w:type="dxa"/>
        <w:tblLayout w:type="fixed"/>
        <w:tblCellMar>
          <w:left w:w="0" w:type="dxa"/>
          <w:right w:w="0" w:type="dxa"/>
        </w:tblCellMar>
        <w:tblLook w:val="04A0" w:firstRow="1" w:lastRow="0" w:firstColumn="1" w:lastColumn="0" w:noHBand="0" w:noVBand="1"/>
      </w:tblPr>
      <w:tblGrid>
        <w:gridCol w:w="941"/>
        <w:gridCol w:w="960"/>
        <w:gridCol w:w="604"/>
        <w:gridCol w:w="602"/>
        <w:gridCol w:w="602"/>
        <w:gridCol w:w="602"/>
        <w:gridCol w:w="602"/>
        <w:gridCol w:w="602"/>
        <w:gridCol w:w="602"/>
        <w:gridCol w:w="602"/>
        <w:gridCol w:w="602"/>
        <w:gridCol w:w="627"/>
        <w:gridCol w:w="556"/>
      </w:tblGrid>
      <w:tr w:rsidR="00653B7F" w:rsidRPr="00407F8A" w14:paraId="79368770" w14:textId="77777777" w:rsidTr="00452B62">
        <w:trPr>
          <w:tblHeader/>
        </w:trPr>
        <w:tc>
          <w:tcPr>
            <w:tcW w:w="81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216CCBEE" w14:textId="77777777" w:rsidR="00653B7F" w:rsidRPr="00325D4D" w:rsidRDefault="00653B7F" w:rsidP="00325D4D">
            <w:pPr>
              <w:suppressAutoHyphens w:val="0"/>
              <w:spacing w:before="80" w:after="80" w:line="200" w:lineRule="exact"/>
              <w:rPr>
                <w:i/>
                <w:noProof/>
                <w:sz w:val="16"/>
                <w:lang w:val="fr-FR"/>
              </w:rPr>
            </w:pPr>
            <w:r w:rsidRPr="00325D4D">
              <w:rPr>
                <w:i/>
                <w:noProof/>
                <w:sz w:val="16"/>
                <w:lang w:val="fr-FR"/>
              </w:rPr>
              <w:t xml:space="preserve">Sexe </w:t>
            </w:r>
          </w:p>
        </w:tc>
        <w:tc>
          <w:tcPr>
            <w:tcW w:w="83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65D8210E" w14:textId="77777777" w:rsidR="00653B7F" w:rsidRPr="00325D4D" w:rsidRDefault="00653B7F" w:rsidP="005B1A02">
            <w:pPr>
              <w:suppressAutoHyphens w:val="0"/>
              <w:spacing w:before="80" w:after="80" w:line="200" w:lineRule="exact"/>
              <w:rPr>
                <w:i/>
                <w:noProof/>
                <w:sz w:val="16"/>
                <w:lang w:val="fr-FR"/>
              </w:rPr>
            </w:pPr>
            <w:r w:rsidRPr="00325D4D">
              <w:rPr>
                <w:i/>
                <w:noProof/>
                <w:sz w:val="16"/>
                <w:lang w:val="fr-FR"/>
              </w:rPr>
              <w:t>Âge des victimes</w:t>
            </w:r>
          </w:p>
        </w:tc>
        <w:tc>
          <w:tcPr>
            <w:tcW w:w="5242" w:type="dxa"/>
            <w:gridSpan w:val="10"/>
            <w:tcBorders>
              <w:top w:val="single" w:sz="4" w:space="0" w:color="auto"/>
              <w:bottom w:val="single" w:sz="4" w:space="0" w:color="auto"/>
            </w:tcBorders>
            <w:shd w:val="clear" w:color="auto" w:fill="auto"/>
            <w:tcMar>
              <w:top w:w="0" w:type="dxa"/>
              <w:left w:w="0" w:type="dxa"/>
              <w:bottom w:w="0" w:type="dxa"/>
              <w:right w:w="0" w:type="dxa"/>
            </w:tcMar>
            <w:vAlign w:val="bottom"/>
          </w:tcPr>
          <w:p w14:paraId="2F790DBF" w14:textId="77777777" w:rsidR="00653B7F" w:rsidRPr="00325D4D" w:rsidRDefault="00653B7F" w:rsidP="00325D4D">
            <w:pPr>
              <w:suppressAutoHyphens w:val="0"/>
              <w:spacing w:before="80" w:after="80" w:line="200" w:lineRule="exact"/>
              <w:jc w:val="center"/>
              <w:rPr>
                <w:i/>
                <w:noProof/>
                <w:sz w:val="16"/>
                <w:lang w:val="fr-FR"/>
              </w:rPr>
            </w:pPr>
            <w:r w:rsidRPr="00325D4D">
              <w:rPr>
                <w:i/>
                <w:noProof/>
                <w:sz w:val="16"/>
                <w:lang w:val="fr-FR"/>
              </w:rPr>
              <w:t>Année</w:t>
            </w:r>
          </w:p>
        </w:tc>
        <w:tc>
          <w:tcPr>
            <w:tcW w:w="48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5211354C" w14:textId="77777777" w:rsidR="00653B7F" w:rsidRPr="00407F8A" w:rsidRDefault="00653B7F" w:rsidP="00325D4D">
            <w:pPr>
              <w:suppressAutoHyphens w:val="0"/>
              <w:spacing w:before="80" w:after="80" w:line="200" w:lineRule="exact"/>
              <w:jc w:val="right"/>
              <w:rPr>
                <w:b/>
                <w:bCs/>
                <w:i/>
                <w:noProof/>
                <w:sz w:val="16"/>
                <w:lang w:val="fr-FR"/>
              </w:rPr>
            </w:pPr>
            <w:r w:rsidRPr="00407F8A">
              <w:rPr>
                <w:b/>
                <w:bCs/>
                <w:i/>
                <w:noProof/>
                <w:sz w:val="16"/>
                <w:lang w:val="fr-FR"/>
              </w:rPr>
              <w:t xml:space="preserve">Total </w:t>
            </w:r>
          </w:p>
        </w:tc>
      </w:tr>
      <w:tr w:rsidR="00653B7F" w:rsidRPr="00407F8A" w14:paraId="641907B0" w14:textId="77777777" w:rsidTr="00452B62">
        <w:trPr>
          <w:tblHeader/>
        </w:trPr>
        <w:tc>
          <w:tcPr>
            <w:tcW w:w="815" w:type="dxa"/>
            <w:vMerge/>
            <w:tcBorders>
              <w:top w:val="single" w:sz="12" w:space="0" w:color="auto"/>
              <w:bottom w:val="single" w:sz="12" w:space="0" w:color="auto"/>
            </w:tcBorders>
            <w:shd w:val="clear" w:color="auto" w:fill="auto"/>
            <w:vAlign w:val="bottom"/>
          </w:tcPr>
          <w:p w14:paraId="3BF6C3EE" w14:textId="77777777" w:rsidR="00653B7F" w:rsidRPr="00325D4D" w:rsidRDefault="00653B7F" w:rsidP="00325D4D">
            <w:pPr>
              <w:suppressAutoHyphens w:val="0"/>
              <w:spacing w:before="80" w:after="80" w:line="220" w:lineRule="exact"/>
              <w:rPr>
                <w:noProof/>
                <w:sz w:val="18"/>
                <w:lang w:val="fr-FR"/>
              </w:rPr>
            </w:pPr>
          </w:p>
        </w:tc>
        <w:tc>
          <w:tcPr>
            <w:tcW w:w="831" w:type="dxa"/>
            <w:vMerge/>
            <w:tcBorders>
              <w:top w:val="single" w:sz="12" w:space="0" w:color="auto"/>
              <w:bottom w:val="single" w:sz="12" w:space="0" w:color="auto"/>
            </w:tcBorders>
            <w:shd w:val="clear" w:color="auto" w:fill="auto"/>
            <w:vAlign w:val="bottom"/>
          </w:tcPr>
          <w:p w14:paraId="04C75F33" w14:textId="77777777" w:rsidR="00653B7F" w:rsidRPr="00325D4D" w:rsidRDefault="00653B7F" w:rsidP="005B1A02">
            <w:pPr>
              <w:suppressAutoHyphens w:val="0"/>
              <w:spacing w:before="80" w:after="80" w:line="220" w:lineRule="exact"/>
              <w:rPr>
                <w:noProof/>
                <w:sz w:val="18"/>
                <w:lang w:val="fr-FR"/>
              </w:rPr>
            </w:pPr>
          </w:p>
        </w:tc>
        <w:tc>
          <w:tcPr>
            <w:tcW w:w="52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9BE3EB"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2010</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A8397A5"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2011</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55D76B9"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2012</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DA0729E"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2013</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5A0850"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2014</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FDDAFF"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2015</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C7653F"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2016</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83D80F"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2017</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D049DCE"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2018</w:t>
            </w:r>
          </w:p>
        </w:tc>
        <w:tc>
          <w:tcPr>
            <w:tcW w:w="5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526A01C" w14:textId="77777777" w:rsidR="00653B7F" w:rsidRPr="00F32859" w:rsidRDefault="00653B7F" w:rsidP="00325D4D">
            <w:pPr>
              <w:suppressAutoHyphens w:val="0"/>
              <w:spacing w:before="80" w:after="80" w:line="220" w:lineRule="exact"/>
              <w:jc w:val="right"/>
              <w:rPr>
                <w:i/>
                <w:iCs/>
                <w:noProof/>
                <w:sz w:val="16"/>
                <w:szCs w:val="16"/>
                <w:lang w:val="fr-FR"/>
              </w:rPr>
            </w:pPr>
            <w:r w:rsidRPr="00F32859">
              <w:rPr>
                <w:i/>
                <w:iCs/>
                <w:noProof/>
                <w:sz w:val="16"/>
                <w:szCs w:val="16"/>
                <w:lang w:val="fr-FR"/>
              </w:rPr>
              <w:t>2019</w:t>
            </w:r>
          </w:p>
        </w:tc>
        <w:tc>
          <w:tcPr>
            <w:tcW w:w="482" w:type="dxa"/>
            <w:vMerge/>
            <w:tcBorders>
              <w:top w:val="single" w:sz="12" w:space="0" w:color="auto"/>
              <w:bottom w:val="single" w:sz="12" w:space="0" w:color="auto"/>
            </w:tcBorders>
            <w:shd w:val="clear" w:color="auto" w:fill="auto"/>
            <w:vAlign w:val="bottom"/>
          </w:tcPr>
          <w:p w14:paraId="35D91575" w14:textId="77777777" w:rsidR="00653B7F" w:rsidRPr="00407F8A" w:rsidRDefault="00653B7F" w:rsidP="00325D4D">
            <w:pPr>
              <w:suppressAutoHyphens w:val="0"/>
              <w:spacing w:before="80" w:after="80" w:line="220" w:lineRule="exact"/>
              <w:jc w:val="right"/>
              <w:rPr>
                <w:b/>
                <w:bCs/>
                <w:noProof/>
                <w:sz w:val="18"/>
                <w:lang w:val="fr-FR"/>
              </w:rPr>
            </w:pPr>
          </w:p>
        </w:tc>
      </w:tr>
      <w:tr w:rsidR="00653B7F" w:rsidRPr="00407F8A" w14:paraId="69E6513E" w14:textId="77777777" w:rsidTr="00452B62">
        <w:tc>
          <w:tcPr>
            <w:tcW w:w="815" w:type="dxa"/>
            <w:vMerge w:val="restart"/>
            <w:tcBorders>
              <w:top w:val="single" w:sz="12" w:space="0" w:color="auto"/>
            </w:tcBorders>
            <w:shd w:val="clear" w:color="auto" w:fill="auto"/>
            <w:tcMar>
              <w:top w:w="0" w:type="dxa"/>
              <w:left w:w="0" w:type="dxa"/>
              <w:bottom w:w="0" w:type="dxa"/>
              <w:right w:w="0" w:type="dxa"/>
            </w:tcMar>
          </w:tcPr>
          <w:p w14:paraId="2F48D124" w14:textId="77777777" w:rsidR="00653B7F" w:rsidRPr="00325D4D" w:rsidRDefault="00653B7F" w:rsidP="00325D4D">
            <w:pPr>
              <w:suppressAutoHyphens w:val="0"/>
              <w:spacing w:before="40" w:after="40" w:line="220" w:lineRule="exact"/>
              <w:rPr>
                <w:noProof/>
                <w:sz w:val="18"/>
                <w:lang w:val="fr-FR"/>
              </w:rPr>
            </w:pPr>
            <w:r w:rsidRPr="00325D4D">
              <w:rPr>
                <w:noProof/>
                <w:sz w:val="18"/>
                <w:szCs w:val="16"/>
                <w:lang w:val="fr-FR"/>
              </w:rPr>
              <w:t>Masculin</w:t>
            </w:r>
            <w:r w:rsidRPr="00325D4D">
              <w:rPr>
                <w:noProof/>
                <w:sz w:val="18"/>
                <w:lang w:val="fr-FR"/>
              </w:rPr>
              <w:t xml:space="preserve"> (M)</w:t>
            </w:r>
          </w:p>
        </w:tc>
        <w:tc>
          <w:tcPr>
            <w:tcW w:w="831" w:type="dxa"/>
            <w:tcBorders>
              <w:top w:val="single" w:sz="12" w:space="0" w:color="auto"/>
            </w:tcBorders>
            <w:shd w:val="clear" w:color="auto" w:fill="auto"/>
            <w:tcMar>
              <w:top w:w="0" w:type="dxa"/>
              <w:left w:w="0" w:type="dxa"/>
              <w:bottom w:w="0" w:type="dxa"/>
              <w:right w:w="0" w:type="dxa"/>
            </w:tcMar>
            <w:vAlign w:val="bottom"/>
          </w:tcPr>
          <w:p w14:paraId="178C22A1"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0-12 ans</w:t>
            </w:r>
          </w:p>
        </w:tc>
        <w:tc>
          <w:tcPr>
            <w:tcW w:w="523" w:type="dxa"/>
            <w:tcBorders>
              <w:top w:val="single" w:sz="12" w:space="0" w:color="auto"/>
            </w:tcBorders>
            <w:shd w:val="clear" w:color="auto" w:fill="auto"/>
            <w:tcMar>
              <w:top w:w="0" w:type="dxa"/>
              <w:left w:w="0" w:type="dxa"/>
              <w:bottom w:w="0" w:type="dxa"/>
              <w:right w:w="0" w:type="dxa"/>
            </w:tcMar>
            <w:vAlign w:val="bottom"/>
          </w:tcPr>
          <w:p w14:paraId="7619381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tcBorders>
              <w:top w:val="single" w:sz="12" w:space="0" w:color="auto"/>
            </w:tcBorders>
            <w:shd w:val="clear" w:color="auto" w:fill="auto"/>
            <w:tcMar>
              <w:top w:w="0" w:type="dxa"/>
              <w:left w:w="0" w:type="dxa"/>
              <w:bottom w:w="0" w:type="dxa"/>
              <w:right w:w="0" w:type="dxa"/>
            </w:tcMar>
            <w:vAlign w:val="bottom"/>
          </w:tcPr>
          <w:p w14:paraId="40893CF2"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12" w:space="0" w:color="auto"/>
            </w:tcBorders>
            <w:shd w:val="clear" w:color="auto" w:fill="auto"/>
            <w:tcMar>
              <w:top w:w="0" w:type="dxa"/>
              <w:left w:w="0" w:type="dxa"/>
              <w:bottom w:w="0" w:type="dxa"/>
              <w:right w:w="0" w:type="dxa"/>
            </w:tcMar>
            <w:vAlign w:val="bottom"/>
          </w:tcPr>
          <w:p w14:paraId="6BF3D61F"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12" w:space="0" w:color="auto"/>
            </w:tcBorders>
            <w:shd w:val="clear" w:color="auto" w:fill="auto"/>
            <w:tcMar>
              <w:top w:w="0" w:type="dxa"/>
              <w:left w:w="0" w:type="dxa"/>
              <w:bottom w:w="0" w:type="dxa"/>
              <w:right w:w="0" w:type="dxa"/>
            </w:tcMar>
            <w:vAlign w:val="bottom"/>
          </w:tcPr>
          <w:p w14:paraId="046A44A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tcBorders>
              <w:top w:val="single" w:sz="12" w:space="0" w:color="auto"/>
            </w:tcBorders>
            <w:shd w:val="clear" w:color="auto" w:fill="auto"/>
            <w:tcMar>
              <w:top w:w="0" w:type="dxa"/>
              <w:left w:w="0" w:type="dxa"/>
              <w:bottom w:w="0" w:type="dxa"/>
              <w:right w:w="0" w:type="dxa"/>
            </w:tcMar>
            <w:vAlign w:val="bottom"/>
          </w:tcPr>
          <w:p w14:paraId="7BD9330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tcBorders>
              <w:top w:val="single" w:sz="12" w:space="0" w:color="auto"/>
            </w:tcBorders>
            <w:shd w:val="clear" w:color="auto" w:fill="auto"/>
            <w:tcMar>
              <w:top w:w="0" w:type="dxa"/>
              <w:left w:w="0" w:type="dxa"/>
              <w:bottom w:w="0" w:type="dxa"/>
              <w:right w:w="0" w:type="dxa"/>
            </w:tcMar>
            <w:vAlign w:val="bottom"/>
          </w:tcPr>
          <w:p w14:paraId="56887F3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12" w:space="0" w:color="auto"/>
            </w:tcBorders>
            <w:shd w:val="clear" w:color="auto" w:fill="auto"/>
            <w:tcMar>
              <w:top w:w="0" w:type="dxa"/>
              <w:left w:w="0" w:type="dxa"/>
              <w:bottom w:w="0" w:type="dxa"/>
              <w:right w:w="0" w:type="dxa"/>
            </w:tcMar>
            <w:vAlign w:val="bottom"/>
          </w:tcPr>
          <w:p w14:paraId="4D8661B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5</w:t>
            </w:r>
          </w:p>
        </w:tc>
        <w:tc>
          <w:tcPr>
            <w:tcW w:w="522" w:type="dxa"/>
            <w:tcBorders>
              <w:top w:val="single" w:sz="12" w:space="0" w:color="auto"/>
            </w:tcBorders>
            <w:shd w:val="clear" w:color="auto" w:fill="auto"/>
            <w:tcMar>
              <w:top w:w="0" w:type="dxa"/>
              <w:left w:w="0" w:type="dxa"/>
              <w:bottom w:w="0" w:type="dxa"/>
              <w:right w:w="0" w:type="dxa"/>
            </w:tcMar>
            <w:vAlign w:val="bottom"/>
          </w:tcPr>
          <w:p w14:paraId="37605EEF"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6</w:t>
            </w:r>
          </w:p>
        </w:tc>
        <w:tc>
          <w:tcPr>
            <w:tcW w:w="522" w:type="dxa"/>
            <w:tcBorders>
              <w:top w:val="single" w:sz="12" w:space="0" w:color="auto"/>
            </w:tcBorders>
            <w:shd w:val="clear" w:color="auto" w:fill="auto"/>
            <w:tcMar>
              <w:top w:w="0" w:type="dxa"/>
              <w:left w:w="0" w:type="dxa"/>
              <w:bottom w:w="0" w:type="dxa"/>
              <w:right w:w="0" w:type="dxa"/>
            </w:tcMar>
            <w:vAlign w:val="bottom"/>
          </w:tcPr>
          <w:p w14:paraId="0726D76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43" w:type="dxa"/>
            <w:tcBorders>
              <w:top w:val="single" w:sz="12" w:space="0" w:color="auto"/>
            </w:tcBorders>
            <w:shd w:val="clear" w:color="auto" w:fill="auto"/>
            <w:tcMar>
              <w:top w:w="0" w:type="dxa"/>
              <w:left w:w="0" w:type="dxa"/>
              <w:bottom w:w="0" w:type="dxa"/>
              <w:right w:w="0" w:type="dxa"/>
            </w:tcMar>
            <w:vAlign w:val="bottom"/>
          </w:tcPr>
          <w:p w14:paraId="78228FC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tcBorders>
              <w:top w:val="single" w:sz="12" w:space="0" w:color="auto"/>
            </w:tcBorders>
            <w:shd w:val="clear" w:color="auto" w:fill="auto"/>
            <w:tcMar>
              <w:top w:w="0" w:type="dxa"/>
              <w:left w:w="0" w:type="dxa"/>
              <w:bottom w:w="0" w:type="dxa"/>
              <w:right w:w="0" w:type="dxa"/>
            </w:tcMar>
            <w:vAlign w:val="bottom"/>
          </w:tcPr>
          <w:p w14:paraId="60F31E82"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21</w:t>
            </w:r>
          </w:p>
        </w:tc>
      </w:tr>
      <w:tr w:rsidR="00653B7F" w:rsidRPr="00407F8A" w14:paraId="665C80BD" w14:textId="77777777" w:rsidTr="00325D4D">
        <w:tc>
          <w:tcPr>
            <w:tcW w:w="815" w:type="dxa"/>
            <w:vMerge/>
            <w:shd w:val="clear" w:color="auto" w:fill="auto"/>
          </w:tcPr>
          <w:p w14:paraId="43C7A691"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5D4DE9DB"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13-17 ans</w:t>
            </w:r>
          </w:p>
        </w:tc>
        <w:tc>
          <w:tcPr>
            <w:tcW w:w="523" w:type="dxa"/>
            <w:shd w:val="clear" w:color="auto" w:fill="auto"/>
            <w:tcMar>
              <w:top w:w="0" w:type="dxa"/>
              <w:left w:w="0" w:type="dxa"/>
              <w:bottom w:w="0" w:type="dxa"/>
              <w:right w:w="0" w:type="dxa"/>
            </w:tcMar>
            <w:vAlign w:val="bottom"/>
          </w:tcPr>
          <w:p w14:paraId="111166F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shd w:val="clear" w:color="auto" w:fill="auto"/>
            <w:tcMar>
              <w:top w:w="0" w:type="dxa"/>
              <w:left w:w="0" w:type="dxa"/>
              <w:bottom w:w="0" w:type="dxa"/>
              <w:right w:w="0" w:type="dxa"/>
            </w:tcMar>
            <w:vAlign w:val="bottom"/>
          </w:tcPr>
          <w:p w14:paraId="63A763C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27AC7C0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1F1FCAA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522" w:type="dxa"/>
            <w:shd w:val="clear" w:color="auto" w:fill="auto"/>
            <w:tcMar>
              <w:top w:w="0" w:type="dxa"/>
              <w:left w:w="0" w:type="dxa"/>
              <w:bottom w:w="0" w:type="dxa"/>
              <w:right w:w="0" w:type="dxa"/>
            </w:tcMar>
            <w:vAlign w:val="bottom"/>
          </w:tcPr>
          <w:p w14:paraId="21AD360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522" w:type="dxa"/>
            <w:shd w:val="clear" w:color="auto" w:fill="auto"/>
            <w:tcMar>
              <w:top w:w="0" w:type="dxa"/>
              <w:left w:w="0" w:type="dxa"/>
              <w:bottom w:w="0" w:type="dxa"/>
              <w:right w:w="0" w:type="dxa"/>
            </w:tcMar>
            <w:vAlign w:val="bottom"/>
          </w:tcPr>
          <w:p w14:paraId="0CFEF64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2C3AB0B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522" w:type="dxa"/>
            <w:shd w:val="clear" w:color="auto" w:fill="auto"/>
            <w:tcMar>
              <w:top w:w="0" w:type="dxa"/>
              <w:left w:w="0" w:type="dxa"/>
              <w:bottom w:w="0" w:type="dxa"/>
              <w:right w:w="0" w:type="dxa"/>
            </w:tcMar>
            <w:vAlign w:val="bottom"/>
          </w:tcPr>
          <w:p w14:paraId="629991A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3</w:t>
            </w:r>
          </w:p>
        </w:tc>
        <w:tc>
          <w:tcPr>
            <w:tcW w:w="522" w:type="dxa"/>
            <w:shd w:val="clear" w:color="auto" w:fill="auto"/>
            <w:tcMar>
              <w:top w:w="0" w:type="dxa"/>
              <w:left w:w="0" w:type="dxa"/>
              <w:bottom w:w="0" w:type="dxa"/>
              <w:right w:w="0" w:type="dxa"/>
            </w:tcMar>
            <w:vAlign w:val="bottom"/>
          </w:tcPr>
          <w:p w14:paraId="387495B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43" w:type="dxa"/>
            <w:shd w:val="clear" w:color="auto" w:fill="auto"/>
            <w:tcMar>
              <w:top w:w="0" w:type="dxa"/>
              <w:left w:w="0" w:type="dxa"/>
              <w:bottom w:w="0" w:type="dxa"/>
              <w:right w:w="0" w:type="dxa"/>
            </w:tcMar>
            <w:vAlign w:val="bottom"/>
          </w:tcPr>
          <w:p w14:paraId="6BA0919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482" w:type="dxa"/>
            <w:shd w:val="clear" w:color="auto" w:fill="auto"/>
            <w:tcMar>
              <w:top w:w="0" w:type="dxa"/>
              <w:left w:w="0" w:type="dxa"/>
              <w:bottom w:w="0" w:type="dxa"/>
              <w:right w:w="0" w:type="dxa"/>
            </w:tcMar>
            <w:vAlign w:val="bottom"/>
          </w:tcPr>
          <w:p w14:paraId="09FDBD86"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25</w:t>
            </w:r>
          </w:p>
        </w:tc>
      </w:tr>
      <w:tr w:rsidR="00653B7F" w:rsidRPr="00407F8A" w14:paraId="314BF41C" w14:textId="77777777" w:rsidTr="00F32859">
        <w:tc>
          <w:tcPr>
            <w:tcW w:w="815" w:type="dxa"/>
            <w:vMerge/>
            <w:shd w:val="clear" w:color="auto" w:fill="auto"/>
          </w:tcPr>
          <w:p w14:paraId="05C3C24F"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4201F68A"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18-30 ans</w:t>
            </w:r>
          </w:p>
        </w:tc>
        <w:tc>
          <w:tcPr>
            <w:tcW w:w="523" w:type="dxa"/>
            <w:shd w:val="clear" w:color="auto" w:fill="auto"/>
            <w:tcMar>
              <w:top w:w="0" w:type="dxa"/>
              <w:left w:w="0" w:type="dxa"/>
              <w:bottom w:w="0" w:type="dxa"/>
              <w:right w:w="0" w:type="dxa"/>
            </w:tcMar>
            <w:vAlign w:val="bottom"/>
          </w:tcPr>
          <w:p w14:paraId="605BDB8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3F02C51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6850739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716EB54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3F2D4DB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80A648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1BF781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396EFD8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shd w:val="clear" w:color="auto" w:fill="auto"/>
            <w:tcMar>
              <w:top w:w="0" w:type="dxa"/>
              <w:left w:w="0" w:type="dxa"/>
              <w:bottom w:w="0" w:type="dxa"/>
              <w:right w:w="0" w:type="dxa"/>
            </w:tcMar>
            <w:vAlign w:val="bottom"/>
          </w:tcPr>
          <w:p w14:paraId="7200B81F"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43" w:type="dxa"/>
            <w:shd w:val="clear" w:color="auto" w:fill="auto"/>
            <w:tcMar>
              <w:top w:w="0" w:type="dxa"/>
              <w:left w:w="0" w:type="dxa"/>
              <w:bottom w:w="0" w:type="dxa"/>
              <w:right w:w="0" w:type="dxa"/>
            </w:tcMar>
            <w:vAlign w:val="bottom"/>
          </w:tcPr>
          <w:p w14:paraId="20A4712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5F96A52F"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11</w:t>
            </w:r>
          </w:p>
        </w:tc>
      </w:tr>
      <w:tr w:rsidR="00653B7F" w:rsidRPr="00407F8A" w14:paraId="25DC0571" w14:textId="77777777" w:rsidTr="00F32859">
        <w:tc>
          <w:tcPr>
            <w:tcW w:w="815" w:type="dxa"/>
            <w:vMerge/>
            <w:shd w:val="clear" w:color="auto" w:fill="auto"/>
          </w:tcPr>
          <w:p w14:paraId="49E0AF90"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4BBBF58A"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31-40 ans</w:t>
            </w:r>
          </w:p>
        </w:tc>
        <w:tc>
          <w:tcPr>
            <w:tcW w:w="523" w:type="dxa"/>
            <w:shd w:val="clear" w:color="auto" w:fill="auto"/>
            <w:tcMar>
              <w:top w:w="0" w:type="dxa"/>
              <w:left w:w="0" w:type="dxa"/>
              <w:bottom w:w="0" w:type="dxa"/>
              <w:right w:w="0" w:type="dxa"/>
            </w:tcMar>
            <w:vAlign w:val="bottom"/>
          </w:tcPr>
          <w:p w14:paraId="04C77AE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3C2227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9B029E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6458A6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shd w:val="clear" w:color="auto" w:fill="auto"/>
            <w:tcMar>
              <w:top w:w="0" w:type="dxa"/>
              <w:left w:w="0" w:type="dxa"/>
              <w:bottom w:w="0" w:type="dxa"/>
              <w:right w:w="0" w:type="dxa"/>
            </w:tcMar>
            <w:vAlign w:val="bottom"/>
          </w:tcPr>
          <w:p w14:paraId="64DC078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681AC6F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664F357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07C3D4C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EC5A98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43" w:type="dxa"/>
            <w:shd w:val="clear" w:color="auto" w:fill="auto"/>
            <w:tcMar>
              <w:top w:w="0" w:type="dxa"/>
              <w:left w:w="0" w:type="dxa"/>
              <w:bottom w:w="0" w:type="dxa"/>
              <w:right w:w="0" w:type="dxa"/>
            </w:tcMar>
            <w:vAlign w:val="bottom"/>
          </w:tcPr>
          <w:p w14:paraId="0004BF5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512C26DE"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4</w:t>
            </w:r>
          </w:p>
        </w:tc>
      </w:tr>
      <w:tr w:rsidR="00653B7F" w:rsidRPr="00407F8A" w14:paraId="173A5C3A" w14:textId="77777777" w:rsidTr="00F32859">
        <w:tc>
          <w:tcPr>
            <w:tcW w:w="815" w:type="dxa"/>
            <w:vMerge/>
            <w:shd w:val="clear" w:color="auto" w:fill="auto"/>
          </w:tcPr>
          <w:p w14:paraId="04C98BE2"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430809AF"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41-50 ans</w:t>
            </w:r>
          </w:p>
        </w:tc>
        <w:tc>
          <w:tcPr>
            <w:tcW w:w="523" w:type="dxa"/>
            <w:shd w:val="clear" w:color="auto" w:fill="auto"/>
            <w:tcMar>
              <w:top w:w="0" w:type="dxa"/>
              <w:left w:w="0" w:type="dxa"/>
              <w:bottom w:w="0" w:type="dxa"/>
              <w:right w:w="0" w:type="dxa"/>
            </w:tcMar>
            <w:vAlign w:val="bottom"/>
          </w:tcPr>
          <w:p w14:paraId="26685B5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0C84C72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5CD85BD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347FD9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2BD7F2A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1683D8A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B1AD05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2EB84FE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6FDD719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43" w:type="dxa"/>
            <w:shd w:val="clear" w:color="auto" w:fill="auto"/>
            <w:tcMar>
              <w:top w:w="0" w:type="dxa"/>
              <w:left w:w="0" w:type="dxa"/>
              <w:bottom w:w="0" w:type="dxa"/>
              <w:right w:w="0" w:type="dxa"/>
            </w:tcMar>
            <w:vAlign w:val="bottom"/>
          </w:tcPr>
          <w:p w14:paraId="1D5C45B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77EB4170"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w:t>
            </w:r>
          </w:p>
        </w:tc>
      </w:tr>
      <w:tr w:rsidR="00653B7F" w:rsidRPr="00407F8A" w14:paraId="036F336E" w14:textId="77777777" w:rsidTr="005B1A02">
        <w:tc>
          <w:tcPr>
            <w:tcW w:w="815" w:type="dxa"/>
            <w:vMerge/>
            <w:shd w:val="clear" w:color="auto" w:fill="auto"/>
          </w:tcPr>
          <w:p w14:paraId="34F0DE55"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178E44BD"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51-60 ans</w:t>
            </w:r>
          </w:p>
        </w:tc>
        <w:tc>
          <w:tcPr>
            <w:tcW w:w="523" w:type="dxa"/>
            <w:shd w:val="clear" w:color="auto" w:fill="auto"/>
            <w:tcMar>
              <w:top w:w="0" w:type="dxa"/>
              <w:left w:w="0" w:type="dxa"/>
              <w:bottom w:w="0" w:type="dxa"/>
              <w:right w:w="0" w:type="dxa"/>
            </w:tcMar>
            <w:vAlign w:val="bottom"/>
          </w:tcPr>
          <w:p w14:paraId="47EFC2A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40C53A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7F1B0E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0E1BED6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606F427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2756867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3D720B0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B1EE0E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4AA7602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43" w:type="dxa"/>
            <w:shd w:val="clear" w:color="auto" w:fill="auto"/>
            <w:tcMar>
              <w:top w:w="0" w:type="dxa"/>
              <w:left w:w="0" w:type="dxa"/>
              <w:bottom w:w="0" w:type="dxa"/>
              <w:right w:w="0" w:type="dxa"/>
            </w:tcMar>
            <w:vAlign w:val="bottom"/>
          </w:tcPr>
          <w:p w14:paraId="121F93C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6074FF33"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w:t>
            </w:r>
          </w:p>
        </w:tc>
      </w:tr>
      <w:tr w:rsidR="00653B7F" w:rsidRPr="00407F8A" w14:paraId="42738928" w14:textId="77777777" w:rsidTr="00407F8A">
        <w:tc>
          <w:tcPr>
            <w:tcW w:w="815" w:type="dxa"/>
            <w:vMerge/>
            <w:shd w:val="clear" w:color="auto" w:fill="auto"/>
          </w:tcPr>
          <w:p w14:paraId="5C14A5A7" w14:textId="77777777" w:rsidR="00653B7F" w:rsidRPr="00325D4D" w:rsidRDefault="00653B7F" w:rsidP="00325D4D">
            <w:pPr>
              <w:suppressAutoHyphens w:val="0"/>
              <w:spacing w:before="40" w:after="40" w:line="220" w:lineRule="exact"/>
              <w:rPr>
                <w:noProof/>
                <w:sz w:val="18"/>
                <w:lang w:val="fr-FR"/>
              </w:rPr>
            </w:pPr>
          </w:p>
        </w:tc>
        <w:tc>
          <w:tcPr>
            <w:tcW w:w="831" w:type="dxa"/>
            <w:tcBorders>
              <w:bottom w:val="single" w:sz="4" w:space="0" w:color="auto"/>
            </w:tcBorders>
            <w:shd w:val="clear" w:color="auto" w:fill="auto"/>
            <w:tcMar>
              <w:top w:w="0" w:type="dxa"/>
              <w:left w:w="0" w:type="dxa"/>
              <w:bottom w:w="0" w:type="dxa"/>
              <w:right w:w="0" w:type="dxa"/>
            </w:tcMar>
            <w:vAlign w:val="bottom"/>
          </w:tcPr>
          <w:p w14:paraId="1F23D555"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Âge non consigné</w:t>
            </w:r>
          </w:p>
        </w:tc>
        <w:tc>
          <w:tcPr>
            <w:tcW w:w="523" w:type="dxa"/>
            <w:tcBorders>
              <w:bottom w:val="single" w:sz="4" w:space="0" w:color="auto"/>
            </w:tcBorders>
            <w:shd w:val="clear" w:color="auto" w:fill="auto"/>
            <w:tcMar>
              <w:top w:w="0" w:type="dxa"/>
              <w:left w:w="0" w:type="dxa"/>
              <w:bottom w:w="0" w:type="dxa"/>
              <w:right w:w="0" w:type="dxa"/>
            </w:tcMar>
            <w:vAlign w:val="bottom"/>
          </w:tcPr>
          <w:p w14:paraId="3CBBD34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tcBorders>
              <w:bottom w:val="single" w:sz="4" w:space="0" w:color="auto"/>
            </w:tcBorders>
            <w:shd w:val="clear" w:color="auto" w:fill="auto"/>
            <w:tcMar>
              <w:top w:w="0" w:type="dxa"/>
              <w:left w:w="0" w:type="dxa"/>
              <w:bottom w:w="0" w:type="dxa"/>
              <w:right w:w="0" w:type="dxa"/>
            </w:tcMar>
            <w:vAlign w:val="bottom"/>
          </w:tcPr>
          <w:p w14:paraId="0CA61E5F"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6</w:t>
            </w:r>
          </w:p>
        </w:tc>
        <w:tc>
          <w:tcPr>
            <w:tcW w:w="522" w:type="dxa"/>
            <w:tcBorders>
              <w:bottom w:val="single" w:sz="4" w:space="0" w:color="auto"/>
            </w:tcBorders>
            <w:shd w:val="clear" w:color="auto" w:fill="auto"/>
            <w:tcMar>
              <w:top w:w="0" w:type="dxa"/>
              <w:left w:w="0" w:type="dxa"/>
              <w:bottom w:w="0" w:type="dxa"/>
              <w:right w:w="0" w:type="dxa"/>
            </w:tcMar>
            <w:vAlign w:val="bottom"/>
          </w:tcPr>
          <w:p w14:paraId="5BE7DD7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tcBorders>
              <w:bottom w:val="single" w:sz="4" w:space="0" w:color="auto"/>
            </w:tcBorders>
            <w:shd w:val="clear" w:color="auto" w:fill="auto"/>
            <w:tcMar>
              <w:top w:w="0" w:type="dxa"/>
              <w:left w:w="0" w:type="dxa"/>
              <w:bottom w:w="0" w:type="dxa"/>
              <w:right w:w="0" w:type="dxa"/>
            </w:tcMar>
            <w:vAlign w:val="bottom"/>
          </w:tcPr>
          <w:p w14:paraId="69288FA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tcBorders>
              <w:bottom w:val="single" w:sz="4" w:space="0" w:color="auto"/>
            </w:tcBorders>
            <w:shd w:val="clear" w:color="auto" w:fill="auto"/>
            <w:tcMar>
              <w:top w:w="0" w:type="dxa"/>
              <w:left w:w="0" w:type="dxa"/>
              <w:bottom w:w="0" w:type="dxa"/>
              <w:right w:w="0" w:type="dxa"/>
            </w:tcMar>
            <w:vAlign w:val="bottom"/>
          </w:tcPr>
          <w:p w14:paraId="541BB69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522" w:type="dxa"/>
            <w:tcBorders>
              <w:bottom w:val="single" w:sz="4" w:space="0" w:color="auto"/>
            </w:tcBorders>
            <w:shd w:val="clear" w:color="auto" w:fill="auto"/>
            <w:tcMar>
              <w:top w:w="0" w:type="dxa"/>
              <w:left w:w="0" w:type="dxa"/>
              <w:bottom w:w="0" w:type="dxa"/>
              <w:right w:w="0" w:type="dxa"/>
            </w:tcMar>
            <w:vAlign w:val="bottom"/>
          </w:tcPr>
          <w:p w14:paraId="463865D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bottom w:val="single" w:sz="4" w:space="0" w:color="auto"/>
            </w:tcBorders>
            <w:shd w:val="clear" w:color="auto" w:fill="auto"/>
            <w:tcMar>
              <w:top w:w="0" w:type="dxa"/>
              <w:left w:w="0" w:type="dxa"/>
              <w:bottom w:w="0" w:type="dxa"/>
              <w:right w:w="0" w:type="dxa"/>
            </w:tcMar>
            <w:vAlign w:val="bottom"/>
          </w:tcPr>
          <w:p w14:paraId="7CA6EE2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tcBorders>
              <w:bottom w:val="single" w:sz="4" w:space="0" w:color="auto"/>
            </w:tcBorders>
            <w:shd w:val="clear" w:color="auto" w:fill="auto"/>
            <w:tcMar>
              <w:top w:w="0" w:type="dxa"/>
              <w:left w:w="0" w:type="dxa"/>
              <w:bottom w:w="0" w:type="dxa"/>
              <w:right w:w="0" w:type="dxa"/>
            </w:tcMar>
            <w:vAlign w:val="bottom"/>
          </w:tcPr>
          <w:p w14:paraId="2B0AFEDF"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bottom w:val="single" w:sz="4" w:space="0" w:color="auto"/>
            </w:tcBorders>
            <w:shd w:val="clear" w:color="auto" w:fill="auto"/>
            <w:tcMar>
              <w:top w:w="0" w:type="dxa"/>
              <w:left w:w="0" w:type="dxa"/>
              <w:bottom w:w="0" w:type="dxa"/>
              <w:right w:w="0" w:type="dxa"/>
            </w:tcMar>
            <w:vAlign w:val="bottom"/>
          </w:tcPr>
          <w:p w14:paraId="5FE08D8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5</w:t>
            </w:r>
          </w:p>
        </w:tc>
        <w:tc>
          <w:tcPr>
            <w:tcW w:w="543" w:type="dxa"/>
            <w:tcBorders>
              <w:bottom w:val="single" w:sz="4" w:space="0" w:color="auto"/>
            </w:tcBorders>
            <w:shd w:val="clear" w:color="auto" w:fill="auto"/>
            <w:tcMar>
              <w:top w:w="0" w:type="dxa"/>
              <w:left w:w="0" w:type="dxa"/>
              <w:bottom w:w="0" w:type="dxa"/>
              <w:right w:w="0" w:type="dxa"/>
            </w:tcMar>
            <w:vAlign w:val="bottom"/>
          </w:tcPr>
          <w:p w14:paraId="44A31A3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482" w:type="dxa"/>
            <w:tcBorders>
              <w:bottom w:val="single" w:sz="4" w:space="0" w:color="auto"/>
            </w:tcBorders>
            <w:shd w:val="clear" w:color="auto" w:fill="auto"/>
            <w:tcMar>
              <w:top w:w="0" w:type="dxa"/>
              <w:left w:w="0" w:type="dxa"/>
              <w:bottom w:w="0" w:type="dxa"/>
              <w:right w:w="0" w:type="dxa"/>
            </w:tcMar>
            <w:vAlign w:val="bottom"/>
          </w:tcPr>
          <w:p w14:paraId="4031681A"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24</w:t>
            </w:r>
          </w:p>
        </w:tc>
      </w:tr>
      <w:tr w:rsidR="00653B7F" w:rsidRPr="00325D4D" w14:paraId="26B1B742" w14:textId="77777777" w:rsidTr="00407F8A">
        <w:tc>
          <w:tcPr>
            <w:tcW w:w="815" w:type="dxa"/>
            <w:vMerge/>
            <w:shd w:val="clear" w:color="auto" w:fill="auto"/>
          </w:tcPr>
          <w:p w14:paraId="6561A9F5" w14:textId="77777777" w:rsidR="00653B7F" w:rsidRPr="00325D4D" w:rsidRDefault="00653B7F" w:rsidP="00325D4D">
            <w:pPr>
              <w:suppressAutoHyphens w:val="0"/>
              <w:spacing w:before="40" w:after="40" w:line="220" w:lineRule="exact"/>
              <w:rPr>
                <w:noProof/>
                <w:sz w:val="18"/>
                <w:lang w:val="fr-FR"/>
              </w:rPr>
            </w:pPr>
          </w:p>
        </w:tc>
        <w:tc>
          <w:tcPr>
            <w:tcW w:w="83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EC20174" w14:textId="77777777" w:rsidR="00653B7F" w:rsidRPr="00325D4D" w:rsidRDefault="00653B7F" w:rsidP="00407F8A">
            <w:pPr>
              <w:suppressAutoHyphens w:val="0"/>
              <w:spacing w:before="80" w:after="80" w:line="220" w:lineRule="exact"/>
              <w:ind w:left="284"/>
              <w:rPr>
                <w:b/>
                <w:noProof/>
                <w:sz w:val="18"/>
                <w:lang w:val="fr-FR"/>
              </w:rPr>
            </w:pPr>
            <w:r w:rsidRPr="00325D4D">
              <w:rPr>
                <w:b/>
                <w:noProof/>
                <w:sz w:val="18"/>
                <w:lang w:val="fr-FR"/>
              </w:rPr>
              <w:t xml:space="preserve">Total </w:t>
            </w:r>
          </w:p>
        </w:tc>
        <w:tc>
          <w:tcPr>
            <w:tcW w:w="52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3BEBD19"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5</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7692898"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8</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847381E"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3</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F40BC20"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9</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17E00AD"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9</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9ECB9CC"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2</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9A0B5DB"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12</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56D5804"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17</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ED679E6"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17</w:t>
            </w:r>
          </w:p>
        </w:tc>
        <w:tc>
          <w:tcPr>
            <w:tcW w:w="54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50F74DA"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5</w:t>
            </w:r>
          </w:p>
        </w:tc>
        <w:tc>
          <w:tcPr>
            <w:tcW w:w="48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D029242"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87</w:t>
            </w:r>
          </w:p>
        </w:tc>
      </w:tr>
      <w:tr w:rsidR="00653B7F" w:rsidRPr="00325D4D" w14:paraId="25D5E1B0" w14:textId="77777777" w:rsidTr="00407F8A">
        <w:tc>
          <w:tcPr>
            <w:tcW w:w="815" w:type="dxa"/>
            <w:vMerge w:val="restart"/>
            <w:shd w:val="clear" w:color="auto" w:fill="auto"/>
            <w:tcMar>
              <w:top w:w="0" w:type="dxa"/>
              <w:left w:w="0" w:type="dxa"/>
              <w:bottom w:w="0" w:type="dxa"/>
              <w:right w:w="0" w:type="dxa"/>
            </w:tcMar>
          </w:tcPr>
          <w:p w14:paraId="0AD02B2F" w14:textId="77777777" w:rsidR="00653B7F" w:rsidRPr="00325D4D" w:rsidRDefault="00653B7F" w:rsidP="00325D4D">
            <w:pPr>
              <w:suppressAutoHyphens w:val="0"/>
              <w:spacing w:before="40" w:after="40" w:line="220" w:lineRule="exact"/>
              <w:rPr>
                <w:noProof/>
                <w:sz w:val="18"/>
                <w:lang w:val="fr-FR"/>
              </w:rPr>
            </w:pPr>
            <w:r w:rsidRPr="00325D4D">
              <w:rPr>
                <w:noProof/>
                <w:sz w:val="18"/>
                <w:szCs w:val="16"/>
                <w:lang w:val="fr-FR"/>
              </w:rPr>
              <w:t>Féminin</w:t>
            </w:r>
            <w:r w:rsidRPr="00325D4D">
              <w:rPr>
                <w:noProof/>
                <w:sz w:val="18"/>
                <w:szCs w:val="16"/>
                <w:lang w:val="fr-FR"/>
              </w:rPr>
              <w:br/>
            </w:r>
            <w:r w:rsidRPr="00325D4D">
              <w:rPr>
                <w:noProof/>
                <w:sz w:val="18"/>
                <w:lang w:val="fr-FR"/>
              </w:rPr>
              <w:t>(F)</w:t>
            </w:r>
          </w:p>
        </w:tc>
        <w:tc>
          <w:tcPr>
            <w:tcW w:w="831" w:type="dxa"/>
            <w:tcBorders>
              <w:top w:val="single" w:sz="4" w:space="0" w:color="auto"/>
            </w:tcBorders>
            <w:shd w:val="clear" w:color="auto" w:fill="auto"/>
            <w:tcMar>
              <w:top w:w="0" w:type="dxa"/>
              <w:left w:w="0" w:type="dxa"/>
              <w:bottom w:w="0" w:type="dxa"/>
              <w:right w:w="0" w:type="dxa"/>
            </w:tcMar>
            <w:vAlign w:val="bottom"/>
          </w:tcPr>
          <w:p w14:paraId="6F155322"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0-12</w:t>
            </w:r>
          </w:p>
        </w:tc>
        <w:tc>
          <w:tcPr>
            <w:tcW w:w="523" w:type="dxa"/>
            <w:tcBorders>
              <w:top w:val="single" w:sz="4" w:space="0" w:color="auto"/>
            </w:tcBorders>
            <w:shd w:val="clear" w:color="auto" w:fill="auto"/>
            <w:tcMar>
              <w:top w:w="0" w:type="dxa"/>
              <w:left w:w="0" w:type="dxa"/>
              <w:bottom w:w="0" w:type="dxa"/>
              <w:right w:w="0" w:type="dxa"/>
            </w:tcMar>
            <w:vAlign w:val="bottom"/>
          </w:tcPr>
          <w:p w14:paraId="20232DE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3</w:t>
            </w:r>
          </w:p>
        </w:tc>
        <w:tc>
          <w:tcPr>
            <w:tcW w:w="522" w:type="dxa"/>
            <w:tcBorders>
              <w:top w:val="single" w:sz="4" w:space="0" w:color="auto"/>
            </w:tcBorders>
            <w:shd w:val="clear" w:color="auto" w:fill="auto"/>
            <w:tcMar>
              <w:top w:w="0" w:type="dxa"/>
              <w:left w:w="0" w:type="dxa"/>
              <w:bottom w:w="0" w:type="dxa"/>
              <w:right w:w="0" w:type="dxa"/>
            </w:tcMar>
            <w:vAlign w:val="bottom"/>
          </w:tcPr>
          <w:p w14:paraId="00A39AD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522" w:type="dxa"/>
            <w:tcBorders>
              <w:top w:val="single" w:sz="4" w:space="0" w:color="auto"/>
            </w:tcBorders>
            <w:shd w:val="clear" w:color="auto" w:fill="auto"/>
            <w:tcMar>
              <w:top w:w="0" w:type="dxa"/>
              <w:left w:w="0" w:type="dxa"/>
              <w:bottom w:w="0" w:type="dxa"/>
              <w:right w:w="0" w:type="dxa"/>
            </w:tcMar>
            <w:vAlign w:val="bottom"/>
          </w:tcPr>
          <w:p w14:paraId="1F788B0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3</w:t>
            </w:r>
          </w:p>
        </w:tc>
        <w:tc>
          <w:tcPr>
            <w:tcW w:w="522" w:type="dxa"/>
            <w:tcBorders>
              <w:top w:val="single" w:sz="4" w:space="0" w:color="auto"/>
            </w:tcBorders>
            <w:shd w:val="clear" w:color="auto" w:fill="auto"/>
            <w:tcMar>
              <w:top w:w="0" w:type="dxa"/>
              <w:left w:w="0" w:type="dxa"/>
              <w:bottom w:w="0" w:type="dxa"/>
              <w:right w:w="0" w:type="dxa"/>
            </w:tcMar>
            <w:vAlign w:val="bottom"/>
          </w:tcPr>
          <w:p w14:paraId="6E7AE36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8</w:t>
            </w:r>
          </w:p>
        </w:tc>
        <w:tc>
          <w:tcPr>
            <w:tcW w:w="522" w:type="dxa"/>
            <w:tcBorders>
              <w:top w:val="single" w:sz="4" w:space="0" w:color="auto"/>
            </w:tcBorders>
            <w:shd w:val="clear" w:color="auto" w:fill="auto"/>
            <w:tcMar>
              <w:top w:w="0" w:type="dxa"/>
              <w:left w:w="0" w:type="dxa"/>
              <w:bottom w:w="0" w:type="dxa"/>
              <w:right w:w="0" w:type="dxa"/>
            </w:tcMar>
            <w:vAlign w:val="bottom"/>
          </w:tcPr>
          <w:p w14:paraId="7B73243F"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18</w:t>
            </w:r>
          </w:p>
        </w:tc>
        <w:tc>
          <w:tcPr>
            <w:tcW w:w="522" w:type="dxa"/>
            <w:tcBorders>
              <w:top w:val="single" w:sz="4" w:space="0" w:color="auto"/>
            </w:tcBorders>
            <w:shd w:val="clear" w:color="auto" w:fill="auto"/>
            <w:tcMar>
              <w:top w:w="0" w:type="dxa"/>
              <w:left w:w="0" w:type="dxa"/>
              <w:bottom w:w="0" w:type="dxa"/>
              <w:right w:w="0" w:type="dxa"/>
            </w:tcMar>
            <w:vAlign w:val="bottom"/>
          </w:tcPr>
          <w:p w14:paraId="0B42791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5</w:t>
            </w:r>
          </w:p>
        </w:tc>
        <w:tc>
          <w:tcPr>
            <w:tcW w:w="522" w:type="dxa"/>
            <w:tcBorders>
              <w:top w:val="single" w:sz="4" w:space="0" w:color="auto"/>
            </w:tcBorders>
            <w:shd w:val="clear" w:color="auto" w:fill="auto"/>
            <w:tcMar>
              <w:top w:w="0" w:type="dxa"/>
              <w:left w:w="0" w:type="dxa"/>
              <w:bottom w:w="0" w:type="dxa"/>
              <w:right w:w="0" w:type="dxa"/>
            </w:tcMar>
            <w:vAlign w:val="bottom"/>
          </w:tcPr>
          <w:p w14:paraId="102CA9C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9</w:t>
            </w:r>
          </w:p>
        </w:tc>
        <w:tc>
          <w:tcPr>
            <w:tcW w:w="522" w:type="dxa"/>
            <w:tcBorders>
              <w:top w:val="single" w:sz="4" w:space="0" w:color="auto"/>
            </w:tcBorders>
            <w:shd w:val="clear" w:color="auto" w:fill="auto"/>
            <w:tcMar>
              <w:top w:w="0" w:type="dxa"/>
              <w:left w:w="0" w:type="dxa"/>
              <w:bottom w:w="0" w:type="dxa"/>
              <w:right w:w="0" w:type="dxa"/>
            </w:tcMar>
            <w:vAlign w:val="bottom"/>
          </w:tcPr>
          <w:p w14:paraId="1C7AB84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tcBorders>
              <w:top w:val="single" w:sz="4" w:space="0" w:color="auto"/>
            </w:tcBorders>
            <w:shd w:val="clear" w:color="auto" w:fill="auto"/>
            <w:tcMar>
              <w:top w:w="0" w:type="dxa"/>
              <w:left w:w="0" w:type="dxa"/>
              <w:bottom w:w="0" w:type="dxa"/>
              <w:right w:w="0" w:type="dxa"/>
            </w:tcMar>
            <w:vAlign w:val="bottom"/>
          </w:tcPr>
          <w:p w14:paraId="2AFD168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8</w:t>
            </w:r>
          </w:p>
        </w:tc>
        <w:tc>
          <w:tcPr>
            <w:tcW w:w="543" w:type="dxa"/>
            <w:tcBorders>
              <w:top w:val="single" w:sz="4" w:space="0" w:color="auto"/>
            </w:tcBorders>
            <w:shd w:val="clear" w:color="auto" w:fill="auto"/>
            <w:tcMar>
              <w:top w:w="0" w:type="dxa"/>
              <w:left w:w="0" w:type="dxa"/>
              <w:bottom w:w="0" w:type="dxa"/>
              <w:right w:w="0" w:type="dxa"/>
            </w:tcMar>
            <w:vAlign w:val="bottom"/>
          </w:tcPr>
          <w:p w14:paraId="4A54ECA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tcBorders>
              <w:top w:val="single" w:sz="4" w:space="0" w:color="auto"/>
            </w:tcBorders>
            <w:shd w:val="clear" w:color="auto" w:fill="auto"/>
            <w:tcMar>
              <w:top w:w="0" w:type="dxa"/>
              <w:left w:w="0" w:type="dxa"/>
              <w:bottom w:w="0" w:type="dxa"/>
              <w:right w:w="0" w:type="dxa"/>
            </w:tcMar>
            <w:vAlign w:val="bottom"/>
          </w:tcPr>
          <w:p w14:paraId="370715A3"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65</w:t>
            </w:r>
          </w:p>
        </w:tc>
      </w:tr>
      <w:tr w:rsidR="00653B7F" w:rsidRPr="00325D4D" w14:paraId="5DA0B351" w14:textId="77777777" w:rsidTr="005B1A02">
        <w:tc>
          <w:tcPr>
            <w:tcW w:w="815" w:type="dxa"/>
            <w:vMerge/>
            <w:shd w:val="clear" w:color="auto" w:fill="auto"/>
          </w:tcPr>
          <w:p w14:paraId="193FDDC1"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422AED29"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13-17</w:t>
            </w:r>
          </w:p>
        </w:tc>
        <w:tc>
          <w:tcPr>
            <w:tcW w:w="523" w:type="dxa"/>
            <w:shd w:val="clear" w:color="auto" w:fill="auto"/>
            <w:tcMar>
              <w:top w:w="0" w:type="dxa"/>
              <w:left w:w="0" w:type="dxa"/>
              <w:bottom w:w="0" w:type="dxa"/>
              <w:right w:w="0" w:type="dxa"/>
            </w:tcMar>
            <w:vAlign w:val="bottom"/>
          </w:tcPr>
          <w:p w14:paraId="03D912A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17</w:t>
            </w:r>
          </w:p>
        </w:tc>
        <w:tc>
          <w:tcPr>
            <w:tcW w:w="522" w:type="dxa"/>
            <w:shd w:val="clear" w:color="auto" w:fill="auto"/>
            <w:tcMar>
              <w:top w:w="0" w:type="dxa"/>
              <w:left w:w="0" w:type="dxa"/>
              <w:bottom w:w="0" w:type="dxa"/>
              <w:right w:w="0" w:type="dxa"/>
            </w:tcMar>
            <w:vAlign w:val="bottom"/>
          </w:tcPr>
          <w:p w14:paraId="39ACE1C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23</w:t>
            </w:r>
          </w:p>
        </w:tc>
        <w:tc>
          <w:tcPr>
            <w:tcW w:w="522" w:type="dxa"/>
            <w:shd w:val="clear" w:color="auto" w:fill="auto"/>
            <w:tcMar>
              <w:top w:w="0" w:type="dxa"/>
              <w:left w:w="0" w:type="dxa"/>
              <w:bottom w:w="0" w:type="dxa"/>
              <w:right w:w="0" w:type="dxa"/>
            </w:tcMar>
            <w:vAlign w:val="bottom"/>
          </w:tcPr>
          <w:p w14:paraId="385DDAE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11</w:t>
            </w:r>
          </w:p>
        </w:tc>
        <w:tc>
          <w:tcPr>
            <w:tcW w:w="522" w:type="dxa"/>
            <w:shd w:val="clear" w:color="auto" w:fill="auto"/>
            <w:tcMar>
              <w:top w:w="0" w:type="dxa"/>
              <w:left w:w="0" w:type="dxa"/>
              <w:bottom w:w="0" w:type="dxa"/>
              <w:right w:w="0" w:type="dxa"/>
            </w:tcMar>
            <w:vAlign w:val="bottom"/>
          </w:tcPr>
          <w:p w14:paraId="03A4447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27</w:t>
            </w:r>
          </w:p>
        </w:tc>
        <w:tc>
          <w:tcPr>
            <w:tcW w:w="522" w:type="dxa"/>
            <w:shd w:val="clear" w:color="auto" w:fill="auto"/>
            <w:tcMar>
              <w:top w:w="0" w:type="dxa"/>
              <w:left w:w="0" w:type="dxa"/>
              <w:bottom w:w="0" w:type="dxa"/>
              <w:right w:w="0" w:type="dxa"/>
            </w:tcMar>
            <w:vAlign w:val="bottom"/>
          </w:tcPr>
          <w:p w14:paraId="4FE41E1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39</w:t>
            </w:r>
          </w:p>
        </w:tc>
        <w:tc>
          <w:tcPr>
            <w:tcW w:w="522" w:type="dxa"/>
            <w:shd w:val="clear" w:color="auto" w:fill="auto"/>
            <w:tcMar>
              <w:top w:w="0" w:type="dxa"/>
              <w:left w:w="0" w:type="dxa"/>
              <w:bottom w:w="0" w:type="dxa"/>
              <w:right w:w="0" w:type="dxa"/>
            </w:tcMar>
            <w:vAlign w:val="bottom"/>
          </w:tcPr>
          <w:p w14:paraId="7D63386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18</w:t>
            </w:r>
          </w:p>
        </w:tc>
        <w:tc>
          <w:tcPr>
            <w:tcW w:w="522" w:type="dxa"/>
            <w:shd w:val="clear" w:color="auto" w:fill="auto"/>
            <w:tcMar>
              <w:top w:w="0" w:type="dxa"/>
              <w:left w:w="0" w:type="dxa"/>
              <w:bottom w:w="0" w:type="dxa"/>
              <w:right w:w="0" w:type="dxa"/>
            </w:tcMar>
            <w:vAlign w:val="bottom"/>
          </w:tcPr>
          <w:p w14:paraId="62780F1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21</w:t>
            </w:r>
          </w:p>
        </w:tc>
        <w:tc>
          <w:tcPr>
            <w:tcW w:w="522" w:type="dxa"/>
            <w:shd w:val="clear" w:color="auto" w:fill="auto"/>
            <w:tcMar>
              <w:top w:w="0" w:type="dxa"/>
              <w:left w:w="0" w:type="dxa"/>
              <w:bottom w:w="0" w:type="dxa"/>
              <w:right w:w="0" w:type="dxa"/>
            </w:tcMar>
            <w:vAlign w:val="bottom"/>
          </w:tcPr>
          <w:p w14:paraId="32E83522"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11</w:t>
            </w:r>
          </w:p>
        </w:tc>
        <w:tc>
          <w:tcPr>
            <w:tcW w:w="522" w:type="dxa"/>
            <w:shd w:val="clear" w:color="auto" w:fill="auto"/>
            <w:tcMar>
              <w:top w:w="0" w:type="dxa"/>
              <w:left w:w="0" w:type="dxa"/>
              <w:bottom w:w="0" w:type="dxa"/>
              <w:right w:w="0" w:type="dxa"/>
            </w:tcMar>
            <w:vAlign w:val="bottom"/>
          </w:tcPr>
          <w:p w14:paraId="114B274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13</w:t>
            </w:r>
          </w:p>
        </w:tc>
        <w:tc>
          <w:tcPr>
            <w:tcW w:w="543" w:type="dxa"/>
            <w:shd w:val="clear" w:color="auto" w:fill="auto"/>
            <w:tcMar>
              <w:top w:w="0" w:type="dxa"/>
              <w:left w:w="0" w:type="dxa"/>
              <w:bottom w:w="0" w:type="dxa"/>
              <w:right w:w="0" w:type="dxa"/>
            </w:tcMar>
            <w:vAlign w:val="bottom"/>
          </w:tcPr>
          <w:p w14:paraId="0B2EA50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3</w:t>
            </w:r>
          </w:p>
        </w:tc>
        <w:tc>
          <w:tcPr>
            <w:tcW w:w="482" w:type="dxa"/>
            <w:shd w:val="clear" w:color="auto" w:fill="auto"/>
            <w:tcMar>
              <w:top w:w="0" w:type="dxa"/>
              <w:left w:w="0" w:type="dxa"/>
              <w:bottom w:w="0" w:type="dxa"/>
              <w:right w:w="0" w:type="dxa"/>
            </w:tcMar>
            <w:vAlign w:val="bottom"/>
          </w:tcPr>
          <w:p w14:paraId="177E26BC"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183</w:t>
            </w:r>
          </w:p>
        </w:tc>
      </w:tr>
      <w:tr w:rsidR="00653B7F" w:rsidRPr="00325D4D" w14:paraId="39662523" w14:textId="77777777" w:rsidTr="005B1A02">
        <w:tc>
          <w:tcPr>
            <w:tcW w:w="815" w:type="dxa"/>
            <w:vMerge/>
            <w:shd w:val="clear" w:color="auto" w:fill="auto"/>
          </w:tcPr>
          <w:p w14:paraId="790C0D07"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5E5CC73E"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18-30</w:t>
            </w:r>
          </w:p>
        </w:tc>
        <w:tc>
          <w:tcPr>
            <w:tcW w:w="523" w:type="dxa"/>
            <w:shd w:val="clear" w:color="auto" w:fill="auto"/>
            <w:tcMar>
              <w:top w:w="0" w:type="dxa"/>
              <w:left w:w="0" w:type="dxa"/>
              <w:bottom w:w="0" w:type="dxa"/>
              <w:right w:w="0" w:type="dxa"/>
            </w:tcMar>
            <w:vAlign w:val="bottom"/>
          </w:tcPr>
          <w:p w14:paraId="28547F8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4</w:t>
            </w:r>
          </w:p>
        </w:tc>
        <w:tc>
          <w:tcPr>
            <w:tcW w:w="522" w:type="dxa"/>
            <w:shd w:val="clear" w:color="auto" w:fill="auto"/>
            <w:tcMar>
              <w:top w:w="0" w:type="dxa"/>
              <w:left w:w="0" w:type="dxa"/>
              <w:bottom w:w="0" w:type="dxa"/>
              <w:right w:w="0" w:type="dxa"/>
            </w:tcMar>
            <w:vAlign w:val="bottom"/>
          </w:tcPr>
          <w:p w14:paraId="4CADF88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shd w:val="clear" w:color="auto" w:fill="auto"/>
            <w:tcMar>
              <w:top w:w="0" w:type="dxa"/>
              <w:left w:w="0" w:type="dxa"/>
              <w:bottom w:w="0" w:type="dxa"/>
              <w:right w:w="0" w:type="dxa"/>
            </w:tcMar>
            <w:vAlign w:val="bottom"/>
          </w:tcPr>
          <w:p w14:paraId="4923FE4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shd w:val="clear" w:color="auto" w:fill="auto"/>
            <w:tcMar>
              <w:top w:w="0" w:type="dxa"/>
              <w:left w:w="0" w:type="dxa"/>
              <w:bottom w:w="0" w:type="dxa"/>
              <w:right w:w="0" w:type="dxa"/>
            </w:tcMar>
            <w:vAlign w:val="bottom"/>
          </w:tcPr>
          <w:p w14:paraId="04DEBC3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12</w:t>
            </w:r>
          </w:p>
        </w:tc>
        <w:tc>
          <w:tcPr>
            <w:tcW w:w="522" w:type="dxa"/>
            <w:shd w:val="clear" w:color="auto" w:fill="auto"/>
            <w:tcMar>
              <w:top w:w="0" w:type="dxa"/>
              <w:left w:w="0" w:type="dxa"/>
              <w:bottom w:w="0" w:type="dxa"/>
              <w:right w:w="0" w:type="dxa"/>
            </w:tcMar>
            <w:vAlign w:val="bottom"/>
          </w:tcPr>
          <w:p w14:paraId="6FE75C5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8</w:t>
            </w:r>
          </w:p>
        </w:tc>
        <w:tc>
          <w:tcPr>
            <w:tcW w:w="522" w:type="dxa"/>
            <w:shd w:val="clear" w:color="auto" w:fill="auto"/>
            <w:tcMar>
              <w:top w:w="0" w:type="dxa"/>
              <w:left w:w="0" w:type="dxa"/>
              <w:bottom w:w="0" w:type="dxa"/>
              <w:right w:w="0" w:type="dxa"/>
            </w:tcMar>
            <w:vAlign w:val="bottom"/>
          </w:tcPr>
          <w:p w14:paraId="19CDCDE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15</w:t>
            </w:r>
          </w:p>
        </w:tc>
        <w:tc>
          <w:tcPr>
            <w:tcW w:w="522" w:type="dxa"/>
            <w:shd w:val="clear" w:color="auto" w:fill="auto"/>
            <w:tcMar>
              <w:top w:w="0" w:type="dxa"/>
              <w:left w:w="0" w:type="dxa"/>
              <w:bottom w:w="0" w:type="dxa"/>
              <w:right w:w="0" w:type="dxa"/>
            </w:tcMar>
            <w:vAlign w:val="bottom"/>
          </w:tcPr>
          <w:p w14:paraId="076099D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shd w:val="clear" w:color="auto" w:fill="auto"/>
            <w:tcMar>
              <w:top w:w="0" w:type="dxa"/>
              <w:left w:w="0" w:type="dxa"/>
              <w:bottom w:w="0" w:type="dxa"/>
              <w:right w:w="0" w:type="dxa"/>
            </w:tcMar>
            <w:vAlign w:val="bottom"/>
          </w:tcPr>
          <w:p w14:paraId="1FFAAA2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10</w:t>
            </w:r>
          </w:p>
        </w:tc>
        <w:tc>
          <w:tcPr>
            <w:tcW w:w="522" w:type="dxa"/>
            <w:shd w:val="clear" w:color="auto" w:fill="auto"/>
            <w:tcMar>
              <w:top w:w="0" w:type="dxa"/>
              <w:left w:w="0" w:type="dxa"/>
              <w:bottom w:w="0" w:type="dxa"/>
              <w:right w:w="0" w:type="dxa"/>
            </w:tcMar>
            <w:vAlign w:val="bottom"/>
          </w:tcPr>
          <w:p w14:paraId="6E5EFE0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14</w:t>
            </w:r>
          </w:p>
        </w:tc>
        <w:tc>
          <w:tcPr>
            <w:tcW w:w="543" w:type="dxa"/>
            <w:shd w:val="clear" w:color="auto" w:fill="auto"/>
            <w:tcMar>
              <w:top w:w="0" w:type="dxa"/>
              <w:left w:w="0" w:type="dxa"/>
              <w:bottom w:w="0" w:type="dxa"/>
              <w:right w:w="0" w:type="dxa"/>
            </w:tcMar>
            <w:vAlign w:val="bottom"/>
          </w:tcPr>
          <w:p w14:paraId="4D44142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47C7070C"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84</w:t>
            </w:r>
          </w:p>
        </w:tc>
      </w:tr>
      <w:tr w:rsidR="00653B7F" w:rsidRPr="00325D4D" w14:paraId="3BDBEF3C" w14:textId="77777777" w:rsidTr="005B1A02">
        <w:tc>
          <w:tcPr>
            <w:tcW w:w="815" w:type="dxa"/>
            <w:vMerge/>
            <w:shd w:val="clear" w:color="auto" w:fill="auto"/>
          </w:tcPr>
          <w:p w14:paraId="1EAB7806"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33283C85"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31-40</w:t>
            </w:r>
          </w:p>
        </w:tc>
        <w:tc>
          <w:tcPr>
            <w:tcW w:w="523" w:type="dxa"/>
            <w:shd w:val="clear" w:color="auto" w:fill="auto"/>
            <w:tcMar>
              <w:top w:w="0" w:type="dxa"/>
              <w:left w:w="0" w:type="dxa"/>
              <w:bottom w:w="0" w:type="dxa"/>
              <w:right w:w="0" w:type="dxa"/>
            </w:tcMar>
            <w:vAlign w:val="bottom"/>
          </w:tcPr>
          <w:p w14:paraId="29A698F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7468BE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shd w:val="clear" w:color="auto" w:fill="auto"/>
            <w:tcMar>
              <w:top w:w="0" w:type="dxa"/>
              <w:left w:w="0" w:type="dxa"/>
              <w:bottom w:w="0" w:type="dxa"/>
              <w:right w:w="0" w:type="dxa"/>
            </w:tcMar>
            <w:vAlign w:val="bottom"/>
          </w:tcPr>
          <w:p w14:paraId="6872E14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1A396D7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282812D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w:t>
            </w:r>
          </w:p>
        </w:tc>
        <w:tc>
          <w:tcPr>
            <w:tcW w:w="522" w:type="dxa"/>
            <w:shd w:val="clear" w:color="auto" w:fill="auto"/>
            <w:tcMar>
              <w:top w:w="0" w:type="dxa"/>
              <w:left w:w="0" w:type="dxa"/>
              <w:bottom w:w="0" w:type="dxa"/>
              <w:right w:w="0" w:type="dxa"/>
            </w:tcMar>
            <w:vAlign w:val="bottom"/>
          </w:tcPr>
          <w:p w14:paraId="2467A1F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36BC5A3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5</w:t>
            </w:r>
          </w:p>
        </w:tc>
        <w:tc>
          <w:tcPr>
            <w:tcW w:w="522" w:type="dxa"/>
            <w:shd w:val="clear" w:color="auto" w:fill="auto"/>
            <w:tcMar>
              <w:top w:w="0" w:type="dxa"/>
              <w:left w:w="0" w:type="dxa"/>
              <w:bottom w:w="0" w:type="dxa"/>
              <w:right w:w="0" w:type="dxa"/>
            </w:tcMar>
            <w:vAlign w:val="bottom"/>
          </w:tcPr>
          <w:p w14:paraId="72DEBF22"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6657678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43" w:type="dxa"/>
            <w:shd w:val="clear" w:color="auto" w:fill="auto"/>
            <w:tcMar>
              <w:top w:w="0" w:type="dxa"/>
              <w:left w:w="0" w:type="dxa"/>
              <w:bottom w:w="0" w:type="dxa"/>
              <w:right w:w="0" w:type="dxa"/>
            </w:tcMar>
            <w:vAlign w:val="bottom"/>
          </w:tcPr>
          <w:p w14:paraId="422C4AC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383DF48F"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13</w:t>
            </w:r>
          </w:p>
        </w:tc>
      </w:tr>
      <w:tr w:rsidR="00653B7F" w:rsidRPr="00325D4D" w14:paraId="12C01BCF" w14:textId="77777777" w:rsidTr="005B1A02">
        <w:tc>
          <w:tcPr>
            <w:tcW w:w="815" w:type="dxa"/>
            <w:vMerge/>
            <w:shd w:val="clear" w:color="auto" w:fill="auto"/>
          </w:tcPr>
          <w:p w14:paraId="7F75B01A"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60F1D772"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41-50</w:t>
            </w:r>
          </w:p>
        </w:tc>
        <w:tc>
          <w:tcPr>
            <w:tcW w:w="523" w:type="dxa"/>
            <w:shd w:val="clear" w:color="auto" w:fill="auto"/>
            <w:tcMar>
              <w:top w:w="0" w:type="dxa"/>
              <w:left w:w="0" w:type="dxa"/>
              <w:bottom w:w="0" w:type="dxa"/>
              <w:right w:w="0" w:type="dxa"/>
            </w:tcMar>
            <w:vAlign w:val="bottom"/>
          </w:tcPr>
          <w:p w14:paraId="38E30FF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9E7A77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710069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CDA065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6332A4A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28E475F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F8E348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6D82414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390E8AD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43" w:type="dxa"/>
            <w:shd w:val="clear" w:color="auto" w:fill="auto"/>
            <w:tcMar>
              <w:top w:w="0" w:type="dxa"/>
              <w:left w:w="0" w:type="dxa"/>
              <w:bottom w:w="0" w:type="dxa"/>
              <w:right w:w="0" w:type="dxa"/>
            </w:tcMar>
            <w:vAlign w:val="bottom"/>
          </w:tcPr>
          <w:p w14:paraId="7DF162B2"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30644BE3"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2</w:t>
            </w:r>
          </w:p>
        </w:tc>
      </w:tr>
      <w:tr w:rsidR="00653B7F" w:rsidRPr="00325D4D" w14:paraId="24289346" w14:textId="77777777" w:rsidTr="005B1A02">
        <w:tc>
          <w:tcPr>
            <w:tcW w:w="815" w:type="dxa"/>
            <w:vMerge/>
            <w:shd w:val="clear" w:color="auto" w:fill="auto"/>
          </w:tcPr>
          <w:p w14:paraId="6EF78D97"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29FFDF4E"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51-60</w:t>
            </w:r>
          </w:p>
        </w:tc>
        <w:tc>
          <w:tcPr>
            <w:tcW w:w="523" w:type="dxa"/>
            <w:shd w:val="clear" w:color="auto" w:fill="auto"/>
            <w:tcMar>
              <w:top w:w="0" w:type="dxa"/>
              <w:left w:w="0" w:type="dxa"/>
              <w:bottom w:w="0" w:type="dxa"/>
              <w:right w:w="0" w:type="dxa"/>
            </w:tcMar>
            <w:vAlign w:val="bottom"/>
          </w:tcPr>
          <w:p w14:paraId="58267A2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728A9D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E098DF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F9891F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B24FBB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54D9516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3015BA6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C9D12A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0E0851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43" w:type="dxa"/>
            <w:shd w:val="clear" w:color="auto" w:fill="auto"/>
            <w:tcMar>
              <w:top w:w="0" w:type="dxa"/>
              <w:left w:w="0" w:type="dxa"/>
              <w:bottom w:w="0" w:type="dxa"/>
              <w:right w:w="0" w:type="dxa"/>
            </w:tcMar>
            <w:vAlign w:val="bottom"/>
          </w:tcPr>
          <w:p w14:paraId="005E1AE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353A99BC"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w:t>
            </w:r>
          </w:p>
        </w:tc>
      </w:tr>
      <w:tr w:rsidR="00653B7F" w:rsidRPr="00325D4D" w14:paraId="00D38C58" w14:textId="77777777" w:rsidTr="00F32859">
        <w:trPr>
          <w:trHeight w:val="200"/>
        </w:trPr>
        <w:tc>
          <w:tcPr>
            <w:tcW w:w="815" w:type="dxa"/>
            <w:vMerge/>
            <w:shd w:val="clear" w:color="auto" w:fill="auto"/>
          </w:tcPr>
          <w:p w14:paraId="43A69B5A" w14:textId="77777777" w:rsidR="00653B7F" w:rsidRPr="00325D4D" w:rsidRDefault="00653B7F" w:rsidP="00325D4D">
            <w:pPr>
              <w:suppressAutoHyphens w:val="0"/>
              <w:spacing w:before="40" w:after="40" w:line="220" w:lineRule="exact"/>
              <w:rPr>
                <w:noProof/>
                <w:sz w:val="18"/>
                <w:lang w:val="fr-FR"/>
              </w:rPr>
            </w:pPr>
          </w:p>
        </w:tc>
        <w:tc>
          <w:tcPr>
            <w:tcW w:w="831" w:type="dxa"/>
            <w:shd w:val="clear" w:color="auto" w:fill="auto"/>
            <w:tcMar>
              <w:top w:w="0" w:type="dxa"/>
              <w:left w:w="0" w:type="dxa"/>
              <w:bottom w:w="0" w:type="dxa"/>
              <w:right w:w="0" w:type="dxa"/>
            </w:tcMar>
            <w:vAlign w:val="bottom"/>
          </w:tcPr>
          <w:p w14:paraId="69A2AB00"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71-80</w:t>
            </w:r>
          </w:p>
        </w:tc>
        <w:tc>
          <w:tcPr>
            <w:tcW w:w="523" w:type="dxa"/>
            <w:shd w:val="clear" w:color="auto" w:fill="auto"/>
            <w:tcMar>
              <w:top w:w="0" w:type="dxa"/>
              <w:left w:w="0" w:type="dxa"/>
              <w:bottom w:w="0" w:type="dxa"/>
              <w:right w:w="0" w:type="dxa"/>
            </w:tcMar>
            <w:vAlign w:val="bottom"/>
          </w:tcPr>
          <w:p w14:paraId="2087210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7B09DC7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45B5E1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0034FC9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0BC9C4E2"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shd w:val="clear" w:color="auto" w:fill="auto"/>
            <w:tcMar>
              <w:top w:w="0" w:type="dxa"/>
              <w:left w:w="0" w:type="dxa"/>
              <w:bottom w:w="0" w:type="dxa"/>
              <w:right w:w="0" w:type="dxa"/>
            </w:tcMar>
            <w:vAlign w:val="bottom"/>
          </w:tcPr>
          <w:p w14:paraId="5692B7C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55A1B69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37E7615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shd w:val="clear" w:color="auto" w:fill="auto"/>
            <w:tcMar>
              <w:top w:w="0" w:type="dxa"/>
              <w:left w:w="0" w:type="dxa"/>
              <w:bottom w:w="0" w:type="dxa"/>
              <w:right w:w="0" w:type="dxa"/>
            </w:tcMar>
            <w:vAlign w:val="bottom"/>
          </w:tcPr>
          <w:p w14:paraId="428E9C0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43" w:type="dxa"/>
            <w:shd w:val="clear" w:color="auto" w:fill="auto"/>
            <w:tcMar>
              <w:top w:w="0" w:type="dxa"/>
              <w:left w:w="0" w:type="dxa"/>
              <w:bottom w:w="0" w:type="dxa"/>
              <w:right w:w="0" w:type="dxa"/>
            </w:tcMar>
            <w:vAlign w:val="bottom"/>
          </w:tcPr>
          <w:p w14:paraId="740391D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shd w:val="clear" w:color="auto" w:fill="auto"/>
            <w:tcMar>
              <w:top w:w="0" w:type="dxa"/>
              <w:left w:w="0" w:type="dxa"/>
              <w:bottom w:w="0" w:type="dxa"/>
              <w:right w:w="0" w:type="dxa"/>
            </w:tcMar>
            <w:vAlign w:val="bottom"/>
          </w:tcPr>
          <w:p w14:paraId="47FE4616"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w:t>
            </w:r>
          </w:p>
        </w:tc>
      </w:tr>
      <w:tr w:rsidR="00653B7F" w:rsidRPr="00325D4D" w14:paraId="2BB9F1E5" w14:textId="77777777" w:rsidTr="00407F8A">
        <w:tc>
          <w:tcPr>
            <w:tcW w:w="815" w:type="dxa"/>
            <w:vMerge/>
            <w:shd w:val="clear" w:color="auto" w:fill="auto"/>
          </w:tcPr>
          <w:p w14:paraId="4EBBB0FC" w14:textId="77777777" w:rsidR="00653B7F" w:rsidRPr="00325D4D" w:rsidRDefault="00653B7F" w:rsidP="00325D4D">
            <w:pPr>
              <w:suppressAutoHyphens w:val="0"/>
              <w:spacing w:before="40" w:after="40" w:line="220" w:lineRule="exact"/>
              <w:rPr>
                <w:noProof/>
                <w:sz w:val="18"/>
                <w:lang w:val="fr-FR"/>
              </w:rPr>
            </w:pPr>
          </w:p>
        </w:tc>
        <w:tc>
          <w:tcPr>
            <w:tcW w:w="831" w:type="dxa"/>
            <w:tcBorders>
              <w:bottom w:val="single" w:sz="4" w:space="0" w:color="auto"/>
            </w:tcBorders>
            <w:shd w:val="clear" w:color="auto" w:fill="auto"/>
            <w:tcMar>
              <w:top w:w="0" w:type="dxa"/>
              <w:left w:w="0" w:type="dxa"/>
              <w:bottom w:w="0" w:type="dxa"/>
              <w:right w:w="0" w:type="dxa"/>
            </w:tcMar>
            <w:vAlign w:val="bottom"/>
          </w:tcPr>
          <w:p w14:paraId="1181830D"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Âge non consigné</w:t>
            </w:r>
          </w:p>
        </w:tc>
        <w:tc>
          <w:tcPr>
            <w:tcW w:w="523" w:type="dxa"/>
            <w:tcBorders>
              <w:bottom w:val="single" w:sz="4" w:space="0" w:color="auto"/>
            </w:tcBorders>
            <w:shd w:val="clear" w:color="auto" w:fill="auto"/>
            <w:tcMar>
              <w:top w:w="0" w:type="dxa"/>
              <w:left w:w="0" w:type="dxa"/>
              <w:bottom w:w="0" w:type="dxa"/>
              <w:right w:w="0" w:type="dxa"/>
            </w:tcMar>
            <w:vAlign w:val="bottom"/>
          </w:tcPr>
          <w:p w14:paraId="308D3DF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20</w:t>
            </w:r>
          </w:p>
        </w:tc>
        <w:tc>
          <w:tcPr>
            <w:tcW w:w="522" w:type="dxa"/>
            <w:tcBorders>
              <w:bottom w:val="single" w:sz="4" w:space="0" w:color="auto"/>
            </w:tcBorders>
            <w:shd w:val="clear" w:color="auto" w:fill="auto"/>
            <w:tcMar>
              <w:top w:w="0" w:type="dxa"/>
              <w:left w:w="0" w:type="dxa"/>
              <w:bottom w:w="0" w:type="dxa"/>
              <w:right w:w="0" w:type="dxa"/>
            </w:tcMar>
            <w:vAlign w:val="bottom"/>
          </w:tcPr>
          <w:p w14:paraId="358E5DE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20</w:t>
            </w:r>
          </w:p>
        </w:tc>
        <w:tc>
          <w:tcPr>
            <w:tcW w:w="522" w:type="dxa"/>
            <w:tcBorders>
              <w:bottom w:val="single" w:sz="4" w:space="0" w:color="auto"/>
            </w:tcBorders>
            <w:shd w:val="clear" w:color="auto" w:fill="auto"/>
            <w:tcMar>
              <w:top w:w="0" w:type="dxa"/>
              <w:left w:w="0" w:type="dxa"/>
              <w:bottom w:w="0" w:type="dxa"/>
              <w:right w:w="0" w:type="dxa"/>
            </w:tcMar>
            <w:vAlign w:val="bottom"/>
          </w:tcPr>
          <w:p w14:paraId="31B563D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22</w:t>
            </w:r>
          </w:p>
        </w:tc>
        <w:tc>
          <w:tcPr>
            <w:tcW w:w="522" w:type="dxa"/>
            <w:tcBorders>
              <w:bottom w:val="single" w:sz="4" w:space="0" w:color="auto"/>
            </w:tcBorders>
            <w:shd w:val="clear" w:color="auto" w:fill="auto"/>
            <w:tcMar>
              <w:top w:w="0" w:type="dxa"/>
              <w:left w:w="0" w:type="dxa"/>
              <w:bottom w:w="0" w:type="dxa"/>
              <w:right w:w="0" w:type="dxa"/>
            </w:tcMar>
            <w:vAlign w:val="bottom"/>
          </w:tcPr>
          <w:p w14:paraId="16C367A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21</w:t>
            </w:r>
          </w:p>
        </w:tc>
        <w:tc>
          <w:tcPr>
            <w:tcW w:w="522" w:type="dxa"/>
            <w:tcBorders>
              <w:bottom w:val="single" w:sz="4" w:space="0" w:color="auto"/>
            </w:tcBorders>
            <w:shd w:val="clear" w:color="auto" w:fill="auto"/>
            <w:tcMar>
              <w:top w:w="0" w:type="dxa"/>
              <w:left w:w="0" w:type="dxa"/>
              <w:bottom w:w="0" w:type="dxa"/>
              <w:right w:w="0" w:type="dxa"/>
            </w:tcMar>
            <w:vAlign w:val="bottom"/>
          </w:tcPr>
          <w:p w14:paraId="616B340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16</w:t>
            </w:r>
          </w:p>
        </w:tc>
        <w:tc>
          <w:tcPr>
            <w:tcW w:w="522" w:type="dxa"/>
            <w:tcBorders>
              <w:bottom w:val="single" w:sz="4" w:space="0" w:color="auto"/>
            </w:tcBorders>
            <w:shd w:val="clear" w:color="auto" w:fill="auto"/>
            <w:tcMar>
              <w:top w:w="0" w:type="dxa"/>
              <w:left w:w="0" w:type="dxa"/>
              <w:bottom w:w="0" w:type="dxa"/>
              <w:right w:w="0" w:type="dxa"/>
            </w:tcMar>
            <w:vAlign w:val="bottom"/>
          </w:tcPr>
          <w:p w14:paraId="68B7AE4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5</w:t>
            </w:r>
          </w:p>
        </w:tc>
        <w:tc>
          <w:tcPr>
            <w:tcW w:w="522" w:type="dxa"/>
            <w:tcBorders>
              <w:bottom w:val="single" w:sz="4" w:space="0" w:color="auto"/>
            </w:tcBorders>
            <w:shd w:val="clear" w:color="auto" w:fill="auto"/>
            <w:tcMar>
              <w:top w:w="0" w:type="dxa"/>
              <w:left w:w="0" w:type="dxa"/>
              <w:bottom w:w="0" w:type="dxa"/>
              <w:right w:w="0" w:type="dxa"/>
            </w:tcMar>
            <w:vAlign w:val="bottom"/>
          </w:tcPr>
          <w:p w14:paraId="69A5F3C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tcBorders>
              <w:bottom w:val="single" w:sz="4" w:space="0" w:color="auto"/>
            </w:tcBorders>
            <w:shd w:val="clear" w:color="auto" w:fill="auto"/>
            <w:tcMar>
              <w:top w:w="0" w:type="dxa"/>
              <w:left w:w="0" w:type="dxa"/>
              <w:bottom w:w="0" w:type="dxa"/>
              <w:right w:w="0" w:type="dxa"/>
            </w:tcMar>
            <w:vAlign w:val="bottom"/>
          </w:tcPr>
          <w:p w14:paraId="1E85B0D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8</w:t>
            </w:r>
          </w:p>
        </w:tc>
        <w:tc>
          <w:tcPr>
            <w:tcW w:w="522" w:type="dxa"/>
            <w:tcBorders>
              <w:bottom w:val="single" w:sz="4" w:space="0" w:color="auto"/>
            </w:tcBorders>
            <w:shd w:val="clear" w:color="auto" w:fill="auto"/>
            <w:tcMar>
              <w:top w:w="0" w:type="dxa"/>
              <w:left w:w="0" w:type="dxa"/>
              <w:bottom w:w="0" w:type="dxa"/>
              <w:right w:w="0" w:type="dxa"/>
            </w:tcMar>
            <w:vAlign w:val="bottom"/>
          </w:tcPr>
          <w:p w14:paraId="09DD437B"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8</w:t>
            </w:r>
          </w:p>
        </w:tc>
        <w:tc>
          <w:tcPr>
            <w:tcW w:w="543" w:type="dxa"/>
            <w:tcBorders>
              <w:bottom w:val="single" w:sz="4" w:space="0" w:color="auto"/>
            </w:tcBorders>
            <w:shd w:val="clear" w:color="auto" w:fill="auto"/>
            <w:tcMar>
              <w:top w:w="0" w:type="dxa"/>
              <w:left w:w="0" w:type="dxa"/>
              <w:bottom w:w="0" w:type="dxa"/>
              <w:right w:w="0" w:type="dxa"/>
            </w:tcMar>
            <w:vAlign w:val="bottom"/>
          </w:tcPr>
          <w:p w14:paraId="08727B5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482" w:type="dxa"/>
            <w:tcBorders>
              <w:bottom w:val="single" w:sz="4" w:space="0" w:color="auto"/>
            </w:tcBorders>
            <w:shd w:val="clear" w:color="auto" w:fill="auto"/>
            <w:tcMar>
              <w:top w:w="0" w:type="dxa"/>
              <w:left w:w="0" w:type="dxa"/>
              <w:bottom w:w="0" w:type="dxa"/>
              <w:right w:w="0" w:type="dxa"/>
            </w:tcMar>
            <w:vAlign w:val="bottom"/>
          </w:tcPr>
          <w:p w14:paraId="2AF247D1" w14:textId="77777777" w:rsidR="00653B7F" w:rsidRPr="00407F8A" w:rsidRDefault="00653B7F" w:rsidP="00325D4D">
            <w:pPr>
              <w:suppressAutoHyphens w:val="0"/>
              <w:spacing w:before="40" w:after="40" w:line="220" w:lineRule="exact"/>
              <w:jc w:val="right"/>
              <w:rPr>
                <w:b/>
                <w:bCs/>
                <w:noProof/>
                <w:sz w:val="18"/>
                <w:lang w:val="fr-FR"/>
              </w:rPr>
            </w:pPr>
            <w:r w:rsidRPr="00407F8A">
              <w:rPr>
                <w:b/>
                <w:bCs/>
                <w:noProof/>
                <w:sz w:val="18"/>
                <w:lang w:val="fr-FR"/>
              </w:rPr>
              <w:t>128</w:t>
            </w:r>
          </w:p>
        </w:tc>
      </w:tr>
      <w:tr w:rsidR="00653B7F" w:rsidRPr="00325D4D" w14:paraId="3CBDB60D" w14:textId="77777777" w:rsidTr="00407F8A">
        <w:tc>
          <w:tcPr>
            <w:tcW w:w="815" w:type="dxa"/>
            <w:vMerge/>
            <w:shd w:val="clear" w:color="auto" w:fill="auto"/>
          </w:tcPr>
          <w:p w14:paraId="1781B749" w14:textId="77777777" w:rsidR="00653B7F" w:rsidRPr="00325D4D" w:rsidRDefault="00653B7F" w:rsidP="00325D4D">
            <w:pPr>
              <w:suppressAutoHyphens w:val="0"/>
              <w:spacing w:before="40" w:after="40" w:line="220" w:lineRule="exact"/>
              <w:rPr>
                <w:noProof/>
                <w:sz w:val="18"/>
                <w:lang w:val="fr-FR"/>
              </w:rPr>
            </w:pPr>
          </w:p>
        </w:tc>
        <w:tc>
          <w:tcPr>
            <w:tcW w:w="83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6611DDF" w14:textId="77777777" w:rsidR="00653B7F" w:rsidRPr="00325D4D" w:rsidRDefault="00653B7F" w:rsidP="00407F8A">
            <w:pPr>
              <w:suppressAutoHyphens w:val="0"/>
              <w:spacing w:before="80" w:after="80" w:line="220" w:lineRule="exact"/>
              <w:ind w:left="284"/>
              <w:rPr>
                <w:b/>
                <w:noProof/>
                <w:sz w:val="18"/>
                <w:lang w:val="fr-FR"/>
              </w:rPr>
            </w:pPr>
            <w:r w:rsidRPr="00325D4D">
              <w:rPr>
                <w:b/>
                <w:noProof/>
                <w:sz w:val="18"/>
                <w:lang w:val="fr-FR"/>
              </w:rPr>
              <w:t xml:space="preserve">Total </w:t>
            </w:r>
          </w:p>
        </w:tc>
        <w:tc>
          <w:tcPr>
            <w:tcW w:w="52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6C3D040"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44</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118F1BB"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56</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4FE5B8B"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44</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D0A9759"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68</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A5CFF7C"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86</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CC1FCD5"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44</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90D477B"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50</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D7BF3D3"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37</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745E40F"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44</w:t>
            </w:r>
          </w:p>
        </w:tc>
        <w:tc>
          <w:tcPr>
            <w:tcW w:w="54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F4AD768"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4</w:t>
            </w:r>
          </w:p>
        </w:tc>
        <w:tc>
          <w:tcPr>
            <w:tcW w:w="48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536A752"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447</w:t>
            </w:r>
          </w:p>
        </w:tc>
      </w:tr>
      <w:tr w:rsidR="00653B7F" w:rsidRPr="00325D4D" w14:paraId="77B91280" w14:textId="77777777" w:rsidTr="00407F8A">
        <w:tc>
          <w:tcPr>
            <w:tcW w:w="815" w:type="dxa"/>
            <w:shd w:val="clear" w:color="auto" w:fill="auto"/>
            <w:tcMar>
              <w:top w:w="0" w:type="dxa"/>
              <w:left w:w="0" w:type="dxa"/>
              <w:bottom w:w="0" w:type="dxa"/>
              <w:right w:w="0" w:type="dxa"/>
            </w:tcMar>
          </w:tcPr>
          <w:p w14:paraId="54FDF294" w14:textId="77777777" w:rsidR="00653B7F" w:rsidRPr="00325D4D" w:rsidRDefault="00653B7F" w:rsidP="00325D4D">
            <w:pPr>
              <w:suppressAutoHyphens w:val="0"/>
              <w:spacing w:before="40" w:after="40" w:line="220" w:lineRule="exact"/>
              <w:rPr>
                <w:noProof/>
                <w:sz w:val="18"/>
                <w:lang w:val="fr-FR"/>
              </w:rPr>
            </w:pPr>
            <w:r w:rsidRPr="00325D4D">
              <w:rPr>
                <w:noProof/>
                <w:sz w:val="18"/>
                <w:lang w:val="fr-FR"/>
              </w:rPr>
              <w:t>I</w:t>
            </w:r>
            <w:r w:rsidRPr="003C6317">
              <w:rPr>
                <w:noProof/>
                <w:spacing w:val="-2"/>
                <w:sz w:val="18"/>
                <w:lang w:val="fr-FR"/>
              </w:rPr>
              <w:t>ndéterminé</w:t>
            </w:r>
          </w:p>
        </w:tc>
        <w:tc>
          <w:tcPr>
            <w:tcW w:w="831" w:type="dxa"/>
            <w:tcBorders>
              <w:top w:val="single" w:sz="4" w:space="0" w:color="auto"/>
            </w:tcBorders>
            <w:shd w:val="clear" w:color="auto" w:fill="auto"/>
            <w:tcMar>
              <w:top w:w="0" w:type="dxa"/>
              <w:left w:w="0" w:type="dxa"/>
              <w:bottom w:w="0" w:type="dxa"/>
              <w:right w:w="0" w:type="dxa"/>
            </w:tcMar>
            <w:vAlign w:val="bottom"/>
          </w:tcPr>
          <w:p w14:paraId="2D4FFA26"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13-17</w:t>
            </w:r>
          </w:p>
        </w:tc>
        <w:tc>
          <w:tcPr>
            <w:tcW w:w="523" w:type="dxa"/>
            <w:tcBorders>
              <w:top w:val="single" w:sz="4" w:space="0" w:color="auto"/>
            </w:tcBorders>
            <w:shd w:val="clear" w:color="auto" w:fill="auto"/>
            <w:tcMar>
              <w:top w:w="0" w:type="dxa"/>
              <w:left w:w="0" w:type="dxa"/>
              <w:bottom w:w="0" w:type="dxa"/>
              <w:right w:w="0" w:type="dxa"/>
            </w:tcMar>
            <w:vAlign w:val="bottom"/>
          </w:tcPr>
          <w:p w14:paraId="703C4A3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53F8D61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0C3AC2D2"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4550B32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43F6AAB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522" w:type="dxa"/>
            <w:tcBorders>
              <w:top w:val="single" w:sz="4" w:space="0" w:color="auto"/>
            </w:tcBorders>
            <w:shd w:val="clear" w:color="auto" w:fill="auto"/>
            <w:tcMar>
              <w:top w:w="0" w:type="dxa"/>
              <w:left w:w="0" w:type="dxa"/>
              <w:bottom w:w="0" w:type="dxa"/>
              <w:right w:w="0" w:type="dxa"/>
            </w:tcMar>
            <w:vAlign w:val="bottom"/>
          </w:tcPr>
          <w:p w14:paraId="69007231"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5129ACB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46D416C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22" w:type="dxa"/>
            <w:tcBorders>
              <w:top w:val="single" w:sz="4" w:space="0" w:color="auto"/>
            </w:tcBorders>
            <w:shd w:val="clear" w:color="auto" w:fill="auto"/>
            <w:tcMar>
              <w:top w:w="0" w:type="dxa"/>
              <w:left w:w="0" w:type="dxa"/>
              <w:bottom w:w="0" w:type="dxa"/>
              <w:right w:w="0" w:type="dxa"/>
            </w:tcMar>
            <w:vAlign w:val="bottom"/>
          </w:tcPr>
          <w:p w14:paraId="517A23B6"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543" w:type="dxa"/>
            <w:tcBorders>
              <w:top w:val="single" w:sz="4" w:space="0" w:color="auto"/>
            </w:tcBorders>
            <w:shd w:val="clear" w:color="auto" w:fill="auto"/>
            <w:tcMar>
              <w:top w:w="0" w:type="dxa"/>
              <w:left w:w="0" w:type="dxa"/>
              <w:bottom w:w="0" w:type="dxa"/>
              <w:right w:w="0" w:type="dxa"/>
            </w:tcMar>
            <w:vAlign w:val="bottom"/>
          </w:tcPr>
          <w:p w14:paraId="55B8D408"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0</w:t>
            </w:r>
          </w:p>
        </w:tc>
        <w:tc>
          <w:tcPr>
            <w:tcW w:w="482" w:type="dxa"/>
            <w:tcBorders>
              <w:top w:val="single" w:sz="4" w:space="0" w:color="auto"/>
            </w:tcBorders>
            <w:shd w:val="clear" w:color="auto" w:fill="auto"/>
            <w:tcMar>
              <w:top w:w="0" w:type="dxa"/>
              <w:left w:w="0" w:type="dxa"/>
              <w:bottom w:w="0" w:type="dxa"/>
              <w:right w:w="0" w:type="dxa"/>
            </w:tcMar>
            <w:vAlign w:val="bottom"/>
          </w:tcPr>
          <w:p w14:paraId="2EAB2BB9"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r>
      <w:tr w:rsidR="00653B7F" w:rsidRPr="00325D4D" w14:paraId="0BBB6F7E" w14:textId="77777777" w:rsidTr="00530820">
        <w:tc>
          <w:tcPr>
            <w:tcW w:w="815" w:type="dxa"/>
            <w:shd w:val="clear" w:color="auto" w:fill="auto"/>
            <w:tcMar>
              <w:top w:w="0" w:type="dxa"/>
              <w:left w:w="0" w:type="dxa"/>
              <w:bottom w:w="0" w:type="dxa"/>
              <w:right w:w="0" w:type="dxa"/>
            </w:tcMar>
          </w:tcPr>
          <w:p w14:paraId="12079E7B" w14:textId="77777777" w:rsidR="00653B7F" w:rsidRPr="00325D4D" w:rsidRDefault="00653B7F" w:rsidP="00325D4D">
            <w:pPr>
              <w:suppressAutoHyphens w:val="0"/>
              <w:spacing w:before="40" w:after="40" w:line="220" w:lineRule="exact"/>
              <w:rPr>
                <w:noProof/>
                <w:sz w:val="18"/>
                <w:lang w:val="fr-FR"/>
              </w:rPr>
            </w:pPr>
          </w:p>
        </w:tc>
        <w:tc>
          <w:tcPr>
            <w:tcW w:w="831" w:type="dxa"/>
            <w:tcBorders>
              <w:bottom w:val="single" w:sz="4" w:space="0" w:color="auto"/>
            </w:tcBorders>
            <w:shd w:val="clear" w:color="auto" w:fill="auto"/>
            <w:tcMar>
              <w:top w:w="0" w:type="dxa"/>
              <w:left w:w="0" w:type="dxa"/>
              <w:bottom w:w="0" w:type="dxa"/>
              <w:right w:w="0" w:type="dxa"/>
            </w:tcMar>
            <w:vAlign w:val="bottom"/>
          </w:tcPr>
          <w:p w14:paraId="49579067" w14:textId="77777777" w:rsidR="00653B7F" w:rsidRPr="00325D4D" w:rsidRDefault="00653B7F" w:rsidP="005B1A02">
            <w:pPr>
              <w:suppressAutoHyphens w:val="0"/>
              <w:spacing w:before="40" w:after="40" w:line="220" w:lineRule="exact"/>
              <w:rPr>
                <w:noProof/>
                <w:sz w:val="18"/>
                <w:lang w:val="fr-FR"/>
              </w:rPr>
            </w:pPr>
            <w:r w:rsidRPr="00325D4D">
              <w:rPr>
                <w:noProof/>
                <w:sz w:val="18"/>
                <w:lang w:val="fr-FR"/>
              </w:rPr>
              <w:t>Âge non consigné</w:t>
            </w:r>
          </w:p>
        </w:tc>
        <w:tc>
          <w:tcPr>
            <w:tcW w:w="523" w:type="dxa"/>
            <w:tcBorders>
              <w:bottom w:val="single" w:sz="4" w:space="0" w:color="auto"/>
            </w:tcBorders>
            <w:shd w:val="clear" w:color="auto" w:fill="auto"/>
            <w:tcMar>
              <w:top w:w="0" w:type="dxa"/>
              <w:left w:w="0" w:type="dxa"/>
              <w:bottom w:w="0" w:type="dxa"/>
              <w:right w:w="0" w:type="dxa"/>
            </w:tcMar>
            <w:vAlign w:val="bottom"/>
          </w:tcPr>
          <w:p w14:paraId="3F4B9057"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15</w:t>
            </w:r>
          </w:p>
        </w:tc>
        <w:tc>
          <w:tcPr>
            <w:tcW w:w="522" w:type="dxa"/>
            <w:tcBorders>
              <w:bottom w:val="single" w:sz="4" w:space="0" w:color="auto"/>
            </w:tcBorders>
            <w:shd w:val="clear" w:color="auto" w:fill="auto"/>
            <w:tcMar>
              <w:top w:w="0" w:type="dxa"/>
              <w:left w:w="0" w:type="dxa"/>
              <w:bottom w:w="0" w:type="dxa"/>
              <w:right w:w="0" w:type="dxa"/>
            </w:tcMar>
            <w:vAlign w:val="bottom"/>
          </w:tcPr>
          <w:p w14:paraId="50ED3A0A"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tcBorders>
              <w:bottom w:val="single" w:sz="4" w:space="0" w:color="auto"/>
            </w:tcBorders>
            <w:shd w:val="clear" w:color="auto" w:fill="auto"/>
            <w:tcMar>
              <w:top w:w="0" w:type="dxa"/>
              <w:left w:w="0" w:type="dxa"/>
              <w:bottom w:w="0" w:type="dxa"/>
              <w:right w:w="0" w:type="dxa"/>
            </w:tcMar>
            <w:vAlign w:val="bottom"/>
          </w:tcPr>
          <w:p w14:paraId="37D862B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3</w:t>
            </w:r>
          </w:p>
        </w:tc>
        <w:tc>
          <w:tcPr>
            <w:tcW w:w="522" w:type="dxa"/>
            <w:tcBorders>
              <w:bottom w:val="single" w:sz="4" w:space="0" w:color="auto"/>
            </w:tcBorders>
            <w:shd w:val="clear" w:color="auto" w:fill="auto"/>
            <w:tcMar>
              <w:top w:w="0" w:type="dxa"/>
              <w:left w:w="0" w:type="dxa"/>
              <w:bottom w:w="0" w:type="dxa"/>
              <w:right w:w="0" w:type="dxa"/>
            </w:tcMar>
            <w:vAlign w:val="bottom"/>
          </w:tcPr>
          <w:p w14:paraId="034F81C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7</w:t>
            </w:r>
          </w:p>
        </w:tc>
        <w:tc>
          <w:tcPr>
            <w:tcW w:w="522" w:type="dxa"/>
            <w:tcBorders>
              <w:bottom w:val="single" w:sz="4" w:space="0" w:color="auto"/>
            </w:tcBorders>
            <w:shd w:val="clear" w:color="auto" w:fill="auto"/>
            <w:tcMar>
              <w:top w:w="0" w:type="dxa"/>
              <w:left w:w="0" w:type="dxa"/>
              <w:bottom w:w="0" w:type="dxa"/>
              <w:right w:w="0" w:type="dxa"/>
            </w:tcMar>
            <w:vAlign w:val="bottom"/>
          </w:tcPr>
          <w:p w14:paraId="1C31DEAC"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12</w:t>
            </w:r>
          </w:p>
        </w:tc>
        <w:tc>
          <w:tcPr>
            <w:tcW w:w="522" w:type="dxa"/>
            <w:tcBorders>
              <w:bottom w:val="single" w:sz="4" w:space="0" w:color="auto"/>
            </w:tcBorders>
            <w:shd w:val="clear" w:color="auto" w:fill="auto"/>
            <w:tcMar>
              <w:top w:w="0" w:type="dxa"/>
              <w:left w:w="0" w:type="dxa"/>
              <w:bottom w:w="0" w:type="dxa"/>
              <w:right w:w="0" w:type="dxa"/>
            </w:tcMar>
            <w:vAlign w:val="bottom"/>
          </w:tcPr>
          <w:p w14:paraId="4038353E"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6</w:t>
            </w:r>
          </w:p>
        </w:tc>
        <w:tc>
          <w:tcPr>
            <w:tcW w:w="522" w:type="dxa"/>
            <w:tcBorders>
              <w:bottom w:val="single" w:sz="4" w:space="0" w:color="auto"/>
            </w:tcBorders>
            <w:shd w:val="clear" w:color="auto" w:fill="auto"/>
            <w:tcMar>
              <w:top w:w="0" w:type="dxa"/>
              <w:left w:w="0" w:type="dxa"/>
              <w:bottom w:w="0" w:type="dxa"/>
              <w:right w:w="0" w:type="dxa"/>
            </w:tcMar>
            <w:vAlign w:val="bottom"/>
          </w:tcPr>
          <w:p w14:paraId="475F6450"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11</w:t>
            </w:r>
          </w:p>
        </w:tc>
        <w:tc>
          <w:tcPr>
            <w:tcW w:w="522" w:type="dxa"/>
            <w:tcBorders>
              <w:bottom w:val="single" w:sz="4" w:space="0" w:color="auto"/>
            </w:tcBorders>
            <w:shd w:val="clear" w:color="auto" w:fill="auto"/>
            <w:tcMar>
              <w:top w:w="0" w:type="dxa"/>
              <w:left w:w="0" w:type="dxa"/>
              <w:bottom w:w="0" w:type="dxa"/>
              <w:right w:w="0" w:type="dxa"/>
            </w:tcMar>
            <w:vAlign w:val="bottom"/>
          </w:tcPr>
          <w:p w14:paraId="31983445"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10</w:t>
            </w:r>
          </w:p>
        </w:tc>
        <w:tc>
          <w:tcPr>
            <w:tcW w:w="522" w:type="dxa"/>
            <w:tcBorders>
              <w:bottom w:val="single" w:sz="4" w:space="0" w:color="auto"/>
            </w:tcBorders>
            <w:shd w:val="clear" w:color="auto" w:fill="auto"/>
            <w:tcMar>
              <w:top w:w="0" w:type="dxa"/>
              <w:left w:w="0" w:type="dxa"/>
              <w:bottom w:w="0" w:type="dxa"/>
              <w:right w:w="0" w:type="dxa"/>
            </w:tcMar>
            <w:vAlign w:val="bottom"/>
          </w:tcPr>
          <w:p w14:paraId="371A016D"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11</w:t>
            </w:r>
          </w:p>
        </w:tc>
        <w:tc>
          <w:tcPr>
            <w:tcW w:w="543" w:type="dxa"/>
            <w:tcBorders>
              <w:bottom w:val="single" w:sz="4" w:space="0" w:color="auto"/>
            </w:tcBorders>
            <w:shd w:val="clear" w:color="auto" w:fill="auto"/>
            <w:tcMar>
              <w:top w:w="0" w:type="dxa"/>
              <w:left w:w="0" w:type="dxa"/>
              <w:bottom w:w="0" w:type="dxa"/>
              <w:right w:w="0" w:type="dxa"/>
            </w:tcMar>
            <w:vAlign w:val="bottom"/>
          </w:tcPr>
          <w:p w14:paraId="7BB57B93"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1</w:t>
            </w:r>
          </w:p>
        </w:tc>
        <w:tc>
          <w:tcPr>
            <w:tcW w:w="482" w:type="dxa"/>
            <w:tcBorders>
              <w:bottom w:val="single" w:sz="4" w:space="0" w:color="auto"/>
            </w:tcBorders>
            <w:shd w:val="clear" w:color="auto" w:fill="auto"/>
            <w:tcMar>
              <w:top w:w="0" w:type="dxa"/>
              <w:left w:w="0" w:type="dxa"/>
              <w:bottom w:w="0" w:type="dxa"/>
              <w:right w:w="0" w:type="dxa"/>
            </w:tcMar>
            <w:vAlign w:val="bottom"/>
          </w:tcPr>
          <w:p w14:paraId="7C52B374" w14:textId="77777777" w:rsidR="00653B7F" w:rsidRPr="00325D4D" w:rsidRDefault="00653B7F" w:rsidP="00325D4D">
            <w:pPr>
              <w:suppressAutoHyphens w:val="0"/>
              <w:spacing w:before="40" w:after="40" w:line="220" w:lineRule="exact"/>
              <w:jc w:val="right"/>
              <w:rPr>
                <w:noProof/>
                <w:sz w:val="18"/>
                <w:lang w:val="fr-FR"/>
              </w:rPr>
            </w:pPr>
            <w:r w:rsidRPr="00325D4D">
              <w:rPr>
                <w:noProof/>
                <w:sz w:val="18"/>
                <w:lang w:val="fr-FR"/>
              </w:rPr>
              <w:t>83</w:t>
            </w:r>
          </w:p>
        </w:tc>
      </w:tr>
      <w:tr w:rsidR="00653B7F" w:rsidRPr="00325D4D" w14:paraId="170C4AAC" w14:textId="77777777" w:rsidTr="00F32859">
        <w:tc>
          <w:tcPr>
            <w:tcW w:w="815" w:type="dxa"/>
            <w:tcBorders>
              <w:bottom w:val="single" w:sz="4" w:space="0" w:color="auto"/>
            </w:tcBorders>
            <w:shd w:val="clear" w:color="auto" w:fill="auto"/>
            <w:tcMar>
              <w:top w:w="0" w:type="dxa"/>
              <w:left w:w="0" w:type="dxa"/>
              <w:bottom w:w="0" w:type="dxa"/>
              <w:right w:w="0" w:type="dxa"/>
            </w:tcMar>
          </w:tcPr>
          <w:p w14:paraId="30B0DC1D" w14:textId="77777777" w:rsidR="00653B7F" w:rsidRPr="00325D4D" w:rsidRDefault="00653B7F" w:rsidP="00325D4D">
            <w:pPr>
              <w:suppressAutoHyphens w:val="0"/>
              <w:spacing w:before="40" w:after="40" w:line="220" w:lineRule="exact"/>
              <w:rPr>
                <w:noProof/>
                <w:sz w:val="18"/>
                <w:lang w:val="fr-FR"/>
              </w:rPr>
            </w:pPr>
          </w:p>
        </w:tc>
        <w:tc>
          <w:tcPr>
            <w:tcW w:w="83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BF905E0" w14:textId="77777777" w:rsidR="00653B7F" w:rsidRPr="00325D4D" w:rsidRDefault="00653B7F" w:rsidP="00407F8A">
            <w:pPr>
              <w:suppressAutoHyphens w:val="0"/>
              <w:spacing w:before="80" w:after="80" w:line="220" w:lineRule="exact"/>
              <w:ind w:left="284"/>
              <w:rPr>
                <w:b/>
                <w:noProof/>
                <w:sz w:val="18"/>
                <w:lang w:val="fr-FR"/>
              </w:rPr>
            </w:pPr>
            <w:r w:rsidRPr="00325D4D">
              <w:rPr>
                <w:b/>
                <w:noProof/>
                <w:sz w:val="18"/>
                <w:lang w:val="fr-FR"/>
              </w:rPr>
              <w:t xml:space="preserve">Total </w:t>
            </w:r>
          </w:p>
        </w:tc>
        <w:tc>
          <w:tcPr>
            <w:tcW w:w="52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B6324D6"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15</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5890400"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7</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46B6153"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3</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6816128"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7</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C78F141"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13</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6CC2D84"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6</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1FB1829"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11</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8DADCB9"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10</w:t>
            </w:r>
          </w:p>
        </w:tc>
        <w:tc>
          <w:tcPr>
            <w:tcW w:w="52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F527A8E"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11</w:t>
            </w:r>
          </w:p>
        </w:tc>
        <w:tc>
          <w:tcPr>
            <w:tcW w:w="54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A3448CA"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1</w:t>
            </w:r>
          </w:p>
        </w:tc>
        <w:tc>
          <w:tcPr>
            <w:tcW w:w="48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2D957DA" w14:textId="77777777" w:rsidR="00653B7F" w:rsidRPr="00325D4D" w:rsidRDefault="00653B7F" w:rsidP="00407F8A">
            <w:pPr>
              <w:suppressAutoHyphens w:val="0"/>
              <w:spacing w:before="80" w:after="80" w:line="220" w:lineRule="exact"/>
              <w:jc w:val="right"/>
              <w:rPr>
                <w:b/>
                <w:noProof/>
                <w:sz w:val="18"/>
                <w:lang w:val="fr-FR"/>
              </w:rPr>
            </w:pPr>
            <w:r w:rsidRPr="00325D4D">
              <w:rPr>
                <w:b/>
                <w:noProof/>
                <w:sz w:val="18"/>
                <w:lang w:val="fr-FR"/>
              </w:rPr>
              <w:t>84</w:t>
            </w:r>
          </w:p>
        </w:tc>
      </w:tr>
      <w:tr w:rsidR="00653B7F" w:rsidRPr="00325D4D" w14:paraId="2B24A55E" w14:textId="77777777" w:rsidTr="00F32859">
        <w:tc>
          <w:tcPr>
            <w:tcW w:w="1646" w:type="dxa"/>
            <w:gridSpan w:val="2"/>
            <w:tcBorders>
              <w:top w:val="single" w:sz="4" w:space="0" w:color="auto"/>
              <w:bottom w:val="single" w:sz="12" w:space="0" w:color="auto"/>
            </w:tcBorders>
            <w:shd w:val="clear" w:color="auto" w:fill="auto"/>
            <w:tcMar>
              <w:top w:w="0" w:type="dxa"/>
              <w:left w:w="0" w:type="dxa"/>
              <w:bottom w:w="0" w:type="dxa"/>
              <w:right w:w="0" w:type="dxa"/>
            </w:tcMar>
          </w:tcPr>
          <w:p w14:paraId="4D99615B" w14:textId="77777777" w:rsidR="00653B7F" w:rsidRPr="00325D4D" w:rsidRDefault="00653B7F" w:rsidP="00F32859">
            <w:pPr>
              <w:suppressAutoHyphens w:val="0"/>
              <w:spacing w:before="80" w:after="80" w:line="220" w:lineRule="exact"/>
              <w:ind w:left="284"/>
              <w:rPr>
                <w:b/>
                <w:noProof/>
                <w:sz w:val="18"/>
                <w:lang w:val="fr-FR"/>
              </w:rPr>
            </w:pPr>
            <w:r w:rsidRPr="00325D4D">
              <w:rPr>
                <w:b/>
                <w:noProof/>
                <w:sz w:val="18"/>
                <w:lang w:val="fr-FR"/>
              </w:rPr>
              <w:t xml:space="preserve">Total général </w:t>
            </w:r>
          </w:p>
        </w:tc>
        <w:tc>
          <w:tcPr>
            <w:tcW w:w="52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38B4BB"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64</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A7A2726"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71</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3CC600"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50</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584EF1B"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84</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7D59116"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108</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72BCE43"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52</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694AEF0"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73</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1081BC8"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64</w:t>
            </w:r>
          </w:p>
        </w:tc>
        <w:tc>
          <w:tcPr>
            <w:tcW w:w="5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1EA564"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72</w:t>
            </w:r>
          </w:p>
        </w:tc>
        <w:tc>
          <w:tcPr>
            <w:tcW w:w="5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5BBD016"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10</w:t>
            </w:r>
          </w:p>
        </w:tc>
        <w:tc>
          <w:tcPr>
            <w:tcW w:w="48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12A9F0E" w14:textId="77777777" w:rsidR="00653B7F" w:rsidRPr="00325D4D" w:rsidRDefault="00653B7F" w:rsidP="00F32859">
            <w:pPr>
              <w:suppressAutoHyphens w:val="0"/>
              <w:spacing w:before="80" w:after="80" w:line="220" w:lineRule="exact"/>
              <w:jc w:val="right"/>
              <w:rPr>
                <w:b/>
                <w:noProof/>
                <w:sz w:val="18"/>
                <w:lang w:val="fr-FR"/>
              </w:rPr>
            </w:pPr>
            <w:r w:rsidRPr="00325D4D">
              <w:rPr>
                <w:b/>
                <w:noProof/>
                <w:sz w:val="18"/>
                <w:lang w:val="fr-FR"/>
              </w:rPr>
              <w:t>648</w:t>
            </w:r>
          </w:p>
        </w:tc>
      </w:tr>
    </w:tbl>
    <w:p w14:paraId="37E8D35A" w14:textId="77777777" w:rsidR="00653B7F" w:rsidRPr="00A43FCB" w:rsidRDefault="00653B7F" w:rsidP="00F32859">
      <w:pPr>
        <w:pStyle w:val="SingleTxtG"/>
        <w:spacing w:before="120" w:after="240" w:line="220" w:lineRule="exact"/>
        <w:ind w:right="0" w:firstLine="170"/>
        <w:jc w:val="left"/>
        <w:rPr>
          <w:noProof/>
          <w:sz w:val="18"/>
          <w:lang w:val="fr-FR"/>
        </w:rPr>
      </w:pPr>
      <w:r>
        <w:rPr>
          <w:i/>
          <w:noProof/>
          <w:sz w:val="18"/>
          <w:lang w:val="fr-FR"/>
        </w:rPr>
        <w:t>Source</w:t>
      </w:r>
      <w:r w:rsidR="00F32859">
        <w:rPr>
          <w:i/>
          <w:noProof/>
          <w:sz w:val="18"/>
          <w:lang w:val="fr-FR"/>
        </w:rPr>
        <w:t> </w:t>
      </w:r>
      <w:r w:rsidRPr="00F32859">
        <w:rPr>
          <w:iCs/>
          <w:noProof/>
          <w:sz w:val="18"/>
          <w:lang w:val="fr-FR"/>
        </w:rPr>
        <w:t>:</w:t>
      </w:r>
      <w:r w:rsidRPr="00A43FCB">
        <w:rPr>
          <w:noProof/>
          <w:sz w:val="18"/>
          <w:lang w:val="fr-FR"/>
        </w:rPr>
        <w:t xml:space="preserve"> </w:t>
      </w:r>
      <w:r>
        <w:rPr>
          <w:noProof/>
          <w:sz w:val="18"/>
          <w:lang w:val="fr-FR"/>
        </w:rPr>
        <w:t xml:space="preserve">Département de statistique du </w:t>
      </w:r>
      <w:r w:rsidRPr="005A6421">
        <w:rPr>
          <w:noProof/>
          <w:sz w:val="18"/>
          <w:lang w:val="fr-FR"/>
        </w:rPr>
        <w:t xml:space="preserve">Bureau du </w:t>
      </w:r>
      <w:r w:rsidRPr="005A6421">
        <w:rPr>
          <w:i/>
          <w:noProof/>
          <w:sz w:val="18"/>
          <w:lang w:val="fr-FR"/>
        </w:rPr>
        <w:t>Fiscal general</w:t>
      </w:r>
      <w:r w:rsidRPr="005A6421">
        <w:rPr>
          <w:noProof/>
          <w:sz w:val="18"/>
          <w:lang w:val="fr-FR"/>
        </w:rPr>
        <w:t xml:space="preserve"> de la République</w:t>
      </w:r>
      <w:r>
        <w:rPr>
          <w:i/>
          <w:noProof/>
          <w:sz w:val="18"/>
          <w:lang w:val="fr-FR"/>
        </w:rPr>
        <w:t xml:space="preserve">, </w:t>
      </w:r>
      <w:r>
        <w:rPr>
          <w:noProof/>
          <w:sz w:val="18"/>
          <w:lang w:val="fr-FR"/>
        </w:rPr>
        <w:t>selon les registres du Service d</w:t>
      </w:r>
      <w:r w:rsidR="002A5D78">
        <w:rPr>
          <w:noProof/>
          <w:sz w:val="18"/>
          <w:lang w:val="fr-FR"/>
        </w:rPr>
        <w:t>’</w:t>
      </w:r>
      <w:r>
        <w:rPr>
          <w:noProof/>
          <w:sz w:val="18"/>
          <w:lang w:val="fr-FR"/>
        </w:rPr>
        <w:t xml:space="preserve">informatisation et de gestion </w:t>
      </w:r>
      <w:r>
        <w:rPr>
          <w:noProof/>
          <w:sz w:val="18"/>
          <w:lang w:val="fr-FR"/>
        </w:rPr>
        <w:tab/>
        <w:t>automatisée des procès, arrêtés au mois de mars 2019</w:t>
      </w:r>
      <w:r w:rsidRPr="00A43FCB">
        <w:rPr>
          <w:noProof/>
          <w:sz w:val="18"/>
          <w:lang w:val="fr-FR"/>
        </w:rPr>
        <w:t>.</w:t>
      </w:r>
    </w:p>
    <w:p w14:paraId="7A00F31E" w14:textId="77777777" w:rsidR="00653B7F" w:rsidRDefault="00653B7F" w:rsidP="005D6C25">
      <w:pPr>
        <w:pStyle w:val="Titre1"/>
        <w:kinsoku/>
        <w:overflowPunct/>
        <w:autoSpaceDE/>
        <w:autoSpaceDN/>
        <w:adjustRightInd/>
        <w:snapToGrid/>
        <w:spacing w:before="240" w:after="120"/>
        <w:rPr>
          <w:b/>
          <w:noProof/>
          <w:lang w:val="fr-FR"/>
        </w:rPr>
      </w:pPr>
      <w:r>
        <w:rPr>
          <w:noProof/>
          <w:lang w:val="fr-FR"/>
        </w:rPr>
        <w:lastRenderedPageBreak/>
        <w:t xml:space="preserve">Tableau </w:t>
      </w:r>
      <w:r w:rsidRPr="00A43FCB">
        <w:rPr>
          <w:noProof/>
          <w:lang w:val="fr-FR"/>
        </w:rPr>
        <w:t>7</w:t>
      </w:r>
      <w:r w:rsidR="005D6C25">
        <w:rPr>
          <w:noProof/>
          <w:lang w:val="fr-FR"/>
        </w:rPr>
        <w:br/>
      </w:r>
      <w:r>
        <w:rPr>
          <w:b/>
          <w:noProof/>
          <w:lang w:val="fr-FR"/>
        </w:rPr>
        <w:t>Nombre des affaires de traite des personnes poursuivies</w:t>
      </w:r>
    </w:p>
    <w:tbl>
      <w:tblPr>
        <w:tblW w:w="7370" w:type="dxa"/>
        <w:tblInd w:w="1134" w:type="dxa"/>
        <w:tblLayout w:type="fixed"/>
        <w:tblCellMar>
          <w:left w:w="0" w:type="dxa"/>
          <w:right w:w="0" w:type="dxa"/>
        </w:tblCellMar>
        <w:tblLook w:val="04A0" w:firstRow="1" w:lastRow="0" w:firstColumn="1" w:lastColumn="0" w:noHBand="0" w:noVBand="1"/>
      </w:tblPr>
      <w:tblGrid>
        <w:gridCol w:w="918"/>
        <w:gridCol w:w="1346"/>
        <w:gridCol w:w="637"/>
        <w:gridCol w:w="639"/>
        <w:gridCol w:w="633"/>
        <w:gridCol w:w="645"/>
        <w:gridCol w:w="637"/>
        <w:gridCol w:w="639"/>
        <w:gridCol w:w="638"/>
        <w:gridCol w:w="638"/>
      </w:tblGrid>
      <w:tr w:rsidR="00674990" w:rsidRPr="005D6C25" w14:paraId="5A5B450B" w14:textId="77777777" w:rsidTr="00674990">
        <w:tc>
          <w:tcPr>
            <w:tcW w:w="918" w:type="dxa"/>
            <w:vMerge w:val="restart"/>
            <w:tcBorders>
              <w:top w:val="single" w:sz="4" w:space="0" w:color="auto"/>
            </w:tcBorders>
            <w:shd w:val="clear" w:color="auto" w:fill="auto"/>
            <w:tcMar>
              <w:top w:w="0" w:type="dxa"/>
              <w:left w:w="0" w:type="dxa"/>
              <w:bottom w:w="0" w:type="dxa"/>
              <w:right w:w="0" w:type="dxa"/>
            </w:tcMar>
            <w:vAlign w:val="bottom"/>
          </w:tcPr>
          <w:p w14:paraId="117BB46C" w14:textId="77777777" w:rsidR="00674990" w:rsidRPr="005D6C25" w:rsidRDefault="00674990" w:rsidP="00674990">
            <w:pPr>
              <w:spacing w:before="80" w:after="80" w:line="220" w:lineRule="exact"/>
              <w:rPr>
                <w:i/>
                <w:noProof/>
                <w:sz w:val="16"/>
                <w:szCs w:val="16"/>
                <w:lang w:val="fr-FR"/>
              </w:rPr>
            </w:pPr>
            <w:r w:rsidRPr="005D6C25">
              <w:rPr>
                <w:i/>
                <w:noProof/>
                <w:sz w:val="16"/>
                <w:szCs w:val="16"/>
                <w:lang w:val="fr-FR"/>
              </w:rPr>
              <w:t>Sexe</w:t>
            </w:r>
          </w:p>
        </w:tc>
        <w:tc>
          <w:tcPr>
            <w:tcW w:w="1346" w:type="dxa"/>
            <w:vMerge w:val="restart"/>
            <w:tcBorders>
              <w:top w:val="single" w:sz="4" w:space="0" w:color="auto"/>
            </w:tcBorders>
            <w:shd w:val="clear" w:color="auto" w:fill="auto"/>
            <w:tcMar>
              <w:top w:w="0" w:type="dxa"/>
              <w:left w:w="0" w:type="dxa"/>
              <w:bottom w:w="0" w:type="dxa"/>
              <w:right w:w="0" w:type="dxa"/>
            </w:tcMar>
            <w:vAlign w:val="bottom"/>
          </w:tcPr>
          <w:p w14:paraId="51C543B6" w14:textId="77777777" w:rsidR="00674990" w:rsidRPr="005D6C25" w:rsidRDefault="00674990" w:rsidP="00674990">
            <w:pPr>
              <w:spacing w:before="80" w:after="80" w:line="220" w:lineRule="exact"/>
              <w:rPr>
                <w:i/>
                <w:noProof/>
                <w:sz w:val="16"/>
                <w:szCs w:val="16"/>
                <w:lang w:val="fr-FR"/>
              </w:rPr>
            </w:pPr>
            <w:r w:rsidRPr="005D6C25">
              <w:rPr>
                <w:i/>
                <w:noProof/>
                <w:sz w:val="16"/>
                <w:szCs w:val="16"/>
                <w:lang w:val="fr-FR"/>
              </w:rPr>
              <w:t>Âge des victimes</w:t>
            </w:r>
          </w:p>
        </w:tc>
        <w:tc>
          <w:tcPr>
            <w:tcW w:w="4468" w:type="dxa"/>
            <w:gridSpan w:val="7"/>
            <w:tcBorders>
              <w:top w:val="single" w:sz="4" w:space="0" w:color="auto"/>
              <w:bottom w:val="single" w:sz="4" w:space="0" w:color="auto"/>
            </w:tcBorders>
            <w:shd w:val="clear" w:color="auto" w:fill="auto"/>
            <w:tcMar>
              <w:top w:w="0" w:type="dxa"/>
              <w:left w:w="0" w:type="dxa"/>
              <w:bottom w:w="0" w:type="dxa"/>
              <w:right w:w="0" w:type="dxa"/>
            </w:tcMar>
            <w:vAlign w:val="bottom"/>
          </w:tcPr>
          <w:p w14:paraId="17C38AF7" w14:textId="77777777" w:rsidR="00674990" w:rsidRPr="005D6C25" w:rsidRDefault="00674990" w:rsidP="00674990">
            <w:pPr>
              <w:suppressAutoHyphens w:val="0"/>
              <w:spacing w:before="80" w:after="80" w:line="220" w:lineRule="exact"/>
              <w:jc w:val="center"/>
              <w:rPr>
                <w:i/>
                <w:noProof/>
                <w:sz w:val="16"/>
                <w:szCs w:val="16"/>
                <w:lang w:val="fr-FR"/>
              </w:rPr>
            </w:pPr>
            <w:r w:rsidRPr="005D6C25">
              <w:rPr>
                <w:i/>
                <w:noProof/>
                <w:sz w:val="16"/>
                <w:szCs w:val="16"/>
                <w:lang w:val="fr-FR"/>
              </w:rPr>
              <w:t>Année</w:t>
            </w:r>
          </w:p>
        </w:tc>
        <w:tc>
          <w:tcPr>
            <w:tcW w:w="638" w:type="dxa"/>
            <w:vMerge w:val="restart"/>
            <w:tcBorders>
              <w:top w:val="single" w:sz="4" w:space="0" w:color="auto"/>
            </w:tcBorders>
            <w:shd w:val="clear" w:color="auto" w:fill="auto"/>
            <w:tcMar>
              <w:top w:w="0" w:type="dxa"/>
              <w:left w:w="0" w:type="dxa"/>
              <w:bottom w:w="0" w:type="dxa"/>
              <w:right w:w="0" w:type="dxa"/>
            </w:tcMar>
            <w:vAlign w:val="bottom"/>
          </w:tcPr>
          <w:p w14:paraId="43B6E425" w14:textId="77777777" w:rsidR="00674990" w:rsidRPr="002D3837" w:rsidRDefault="00674990" w:rsidP="00674990">
            <w:pPr>
              <w:suppressAutoHyphens w:val="0"/>
              <w:spacing w:before="80" w:after="80" w:line="200" w:lineRule="exact"/>
              <w:jc w:val="right"/>
              <w:rPr>
                <w:b/>
                <w:bCs/>
                <w:i/>
                <w:noProof/>
                <w:sz w:val="16"/>
                <w:szCs w:val="16"/>
                <w:lang w:val="fr-FR"/>
              </w:rPr>
            </w:pPr>
            <w:r w:rsidRPr="002D3837">
              <w:rPr>
                <w:b/>
                <w:bCs/>
                <w:i/>
                <w:noProof/>
                <w:sz w:val="16"/>
                <w:szCs w:val="16"/>
                <w:lang w:val="fr-FR"/>
              </w:rPr>
              <w:t>Total</w:t>
            </w:r>
          </w:p>
        </w:tc>
      </w:tr>
      <w:tr w:rsidR="00674990" w:rsidRPr="005D6C25" w14:paraId="4C6D0C36" w14:textId="77777777" w:rsidTr="00674990">
        <w:tc>
          <w:tcPr>
            <w:tcW w:w="918" w:type="dxa"/>
            <w:vMerge/>
            <w:shd w:val="clear" w:color="auto" w:fill="auto"/>
            <w:tcMar>
              <w:top w:w="0" w:type="dxa"/>
              <w:left w:w="0" w:type="dxa"/>
              <w:bottom w:w="0" w:type="dxa"/>
              <w:right w:w="0" w:type="dxa"/>
            </w:tcMar>
          </w:tcPr>
          <w:p w14:paraId="7A749C85" w14:textId="77777777" w:rsidR="00674990" w:rsidRPr="005D6C25" w:rsidRDefault="00674990" w:rsidP="00674990">
            <w:pPr>
              <w:suppressAutoHyphens w:val="0"/>
              <w:spacing w:before="80" w:after="80" w:line="220" w:lineRule="exact"/>
              <w:rPr>
                <w:noProof/>
                <w:sz w:val="18"/>
                <w:lang w:val="fr-FR"/>
              </w:rPr>
            </w:pPr>
          </w:p>
        </w:tc>
        <w:tc>
          <w:tcPr>
            <w:tcW w:w="1346" w:type="dxa"/>
            <w:vMerge/>
            <w:shd w:val="clear" w:color="auto" w:fill="auto"/>
            <w:tcMar>
              <w:top w:w="0" w:type="dxa"/>
              <w:left w:w="0" w:type="dxa"/>
              <w:bottom w:w="0" w:type="dxa"/>
              <w:right w:w="0" w:type="dxa"/>
            </w:tcMar>
            <w:vAlign w:val="bottom"/>
          </w:tcPr>
          <w:p w14:paraId="66A59F3D" w14:textId="77777777" w:rsidR="00674990" w:rsidRPr="005D6C25" w:rsidRDefault="00674990" w:rsidP="00674990">
            <w:pPr>
              <w:suppressAutoHyphens w:val="0"/>
              <w:spacing w:before="80" w:after="80" w:line="220" w:lineRule="exact"/>
              <w:rPr>
                <w:noProof/>
                <w:sz w:val="18"/>
                <w:lang w:val="fr-FR"/>
              </w:rPr>
            </w:pP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ADAC9FD" w14:textId="77777777" w:rsidR="00674990" w:rsidRPr="005D6C25" w:rsidRDefault="00674990" w:rsidP="00674990">
            <w:pPr>
              <w:suppressAutoHyphens w:val="0"/>
              <w:spacing w:before="80" w:after="80" w:line="220" w:lineRule="exact"/>
              <w:jc w:val="right"/>
              <w:rPr>
                <w:i/>
                <w:noProof/>
                <w:sz w:val="16"/>
                <w:szCs w:val="16"/>
                <w:lang w:val="fr-FR"/>
              </w:rPr>
            </w:pPr>
            <w:r w:rsidRPr="005D6C25">
              <w:rPr>
                <w:i/>
                <w:noProof/>
                <w:sz w:val="16"/>
                <w:szCs w:val="16"/>
                <w:lang w:val="fr-FR"/>
              </w:rPr>
              <w:t>2013</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683DF27" w14:textId="77777777" w:rsidR="00674990" w:rsidRPr="005D6C25" w:rsidRDefault="00674990" w:rsidP="00674990">
            <w:pPr>
              <w:suppressAutoHyphens w:val="0"/>
              <w:spacing w:before="80" w:after="80" w:line="220" w:lineRule="exact"/>
              <w:jc w:val="right"/>
              <w:rPr>
                <w:i/>
                <w:noProof/>
                <w:sz w:val="16"/>
                <w:szCs w:val="16"/>
                <w:lang w:val="fr-FR"/>
              </w:rPr>
            </w:pPr>
            <w:r w:rsidRPr="005D6C25">
              <w:rPr>
                <w:i/>
                <w:noProof/>
                <w:sz w:val="16"/>
                <w:szCs w:val="16"/>
                <w:lang w:val="fr-FR"/>
              </w:rPr>
              <w:t>2014</w:t>
            </w:r>
          </w:p>
        </w:tc>
        <w:tc>
          <w:tcPr>
            <w:tcW w:w="63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C14B8E6" w14:textId="77777777" w:rsidR="00674990" w:rsidRPr="005D6C25" w:rsidRDefault="00674990" w:rsidP="00674990">
            <w:pPr>
              <w:suppressAutoHyphens w:val="0"/>
              <w:spacing w:before="80" w:after="80" w:line="220" w:lineRule="exact"/>
              <w:ind w:right="-15"/>
              <w:jc w:val="right"/>
              <w:rPr>
                <w:i/>
                <w:noProof/>
                <w:sz w:val="16"/>
                <w:szCs w:val="16"/>
                <w:lang w:val="fr-FR"/>
              </w:rPr>
            </w:pPr>
            <w:r w:rsidRPr="005D6C25">
              <w:rPr>
                <w:i/>
                <w:noProof/>
                <w:sz w:val="16"/>
                <w:szCs w:val="16"/>
                <w:lang w:val="fr-FR"/>
              </w:rPr>
              <w:t>2015</w:t>
            </w:r>
          </w:p>
        </w:tc>
        <w:tc>
          <w:tcPr>
            <w:tcW w:w="64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20658AC" w14:textId="77777777" w:rsidR="00674990" w:rsidRPr="005D6C25" w:rsidRDefault="00674990" w:rsidP="00674990">
            <w:pPr>
              <w:suppressAutoHyphens w:val="0"/>
              <w:spacing w:before="80" w:after="80" w:line="220" w:lineRule="exact"/>
              <w:jc w:val="right"/>
              <w:rPr>
                <w:i/>
                <w:noProof/>
                <w:sz w:val="16"/>
                <w:szCs w:val="16"/>
                <w:lang w:val="fr-FR"/>
              </w:rPr>
            </w:pPr>
            <w:r w:rsidRPr="005D6C25">
              <w:rPr>
                <w:i/>
                <w:noProof/>
                <w:sz w:val="16"/>
                <w:szCs w:val="16"/>
                <w:lang w:val="fr-FR"/>
              </w:rPr>
              <w:t>2016</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884A7EA" w14:textId="77777777" w:rsidR="00674990" w:rsidRPr="005D6C25" w:rsidRDefault="00674990" w:rsidP="00674990">
            <w:pPr>
              <w:suppressAutoHyphens w:val="0"/>
              <w:spacing w:before="80" w:after="80" w:line="220" w:lineRule="exact"/>
              <w:jc w:val="right"/>
              <w:rPr>
                <w:i/>
                <w:noProof/>
                <w:sz w:val="16"/>
                <w:szCs w:val="16"/>
                <w:lang w:val="fr-FR"/>
              </w:rPr>
            </w:pPr>
            <w:r w:rsidRPr="005D6C25">
              <w:rPr>
                <w:i/>
                <w:noProof/>
                <w:sz w:val="16"/>
                <w:szCs w:val="16"/>
                <w:lang w:val="fr-FR"/>
              </w:rPr>
              <w:t>2017</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42A5EEC" w14:textId="77777777" w:rsidR="00674990" w:rsidRPr="005D6C25" w:rsidRDefault="00674990" w:rsidP="00674990">
            <w:pPr>
              <w:suppressAutoHyphens w:val="0"/>
              <w:spacing w:before="80" w:after="80" w:line="220" w:lineRule="exact"/>
              <w:jc w:val="right"/>
              <w:rPr>
                <w:i/>
                <w:noProof/>
                <w:sz w:val="16"/>
                <w:szCs w:val="16"/>
                <w:lang w:val="fr-FR"/>
              </w:rPr>
            </w:pPr>
            <w:r w:rsidRPr="005D6C25">
              <w:rPr>
                <w:i/>
                <w:noProof/>
                <w:sz w:val="16"/>
                <w:szCs w:val="16"/>
                <w:lang w:val="fr-FR"/>
              </w:rPr>
              <w:t>2018</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888764D" w14:textId="77777777" w:rsidR="00674990" w:rsidRPr="005D6C25" w:rsidRDefault="00674990" w:rsidP="00674990">
            <w:pPr>
              <w:suppressAutoHyphens w:val="0"/>
              <w:spacing w:before="80" w:after="80" w:line="220" w:lineRule="exact"/>
              <w:jc w:val="right"/>
              <w:rPr>
                <w:i/>
                <w:noProof/>
                <w:sz w:val="16"/>
                <w:szCs w:val="16"/>
                <w:lang w:val="fr-FR"/>
              </w:rPr>
            </w:pPr>
            <w:r w:rsidRPr="005D6C25">
              <w:rPr>
                <w:i/>
                <w:noProof/>
                <w:sz w:val="16"/>
                <w:szCs w:val="16"/>
                <w:lang w:val="fr-FR"/>
              </w:rPr>
              <w:t>2019</w:t>
            </w:r>
          </w:p>
        </w:tc>
        <w:tc>
          <w:tcPr>
            <w:tcW w:w="638" w:type="dxa"/>
            <w:vMerge/>
            <w:shd w:val="clear" w:color="auto" w:fill="auto"/>
            <w:tcMar>
              <w:top w:w="0" w:type="dxa"/>
              <w:left w:w="0" w:type="dxa"/>
              <w:bottom w:w="0" w:type="dxa"/>
              <w:right w:w="0" w:type="dxa"/>
            </w:tcMar>
            <w:vAlign w:val="bottom"/>
          </w:tcPr>
          <w:p w14:paraId="362F3766" w14:textId="77777777" w:rsidR="00674990" w:rsidRPr="002D3837" w:rsidRDefault="00674990" w:rsidP="00674990">
            <w:pPr>
              <w:suppressAutoHyphens w:val="0"/>
              <w:spacing w:before="80" w:after="80" w:line="220" w:lineRule="exact"/>
              <w:jc w:val="right"/>
              <w:rPr>
                <w:b/>
                <w:bCs/>
                <w:noProof/>
                <w:sz w:val="18"/>
                <w:lang w:val="fr-FR"/>
              </w:rPr>
            </w:pPr>
          </w:p>
        </w:tc>
      </w:tr>
      <w:tr w:rsidR="00674990" w:rsidRPr="005D6C25" w14:paraId="54FF3AC1" w14:textId="77777777" w:rsidTr="00674990">
        <w:tc>
          <w:tcPr>
            <w:tcW w:w="918" w:type="dxa"/>
            <w:vMerge w:val="restart"/>
            <w:tcBorders>
              <w:top w:val="single" w:sz="12" w:space="0" w:color="auto"/>
            </w:tcBorders>
            <w:shd w:val="clear" w:color="auto" w:fill="auto"/>
            <w:tcMar>
              <w:top w:w="0" w:type="dxa"/>
              <w:left w:w="0" w:type="dxa"/>
              <w:bottom w:w="0" w:type="dxa"/>
              <w:right w:w="0" w:type="dxa"/>
            </w:tcMar>
          </w:tcPr>
          <w:p w14:paraId="0E7A4A63"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Masculin</w:t>
            </w:r>
            <w:r w:rsidRPr="005D6C25">
              <w:rPr>
                <w:noProof/>
                <w:sz w:val="18"/>
                <w:lang w:val="fr-FR"/>
              </w:rPr>
              <w:br/>
              <w:t>(M)</w:t>
            </w:r>
          </w:p>
        </w:tc>
        <w:tc>
          <w:tcPr>
            <w:tcW w:w="1346" w:type="dxa"/>
            <w:tcBorders>
              <w:top w:val="single" w:sz="12" w:space="0" w:color="auto"/>
            </w:tcBorders>
            <w:shd w:val="clear" w:color="auto" w:fill="auto"/>
            <w:tcMar>
              <w:top w:w="0" w:type="dxa"/>
              <w:left w:w="0" w:type="dxa"/>
              <w:bottom w:w="0" w:type="dxa"/>
              <w:right w:w="0" w:type="dxa"/>
            </w:tcMar>
            <w:vAlign w:val="bottom"/>
          </w:tcPr>
          <w:p w14:paraId="0484787B"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 xml:space="preserve">0-12 ans </w:t>
            </w:r>
          </w:p>
        </w:tc>
        <w:tc>
          <w:tcPr>
            <w:tcW w:w="637" w:type="dxa"/>
            <w:tcBorders>
              <w:top w:val="single" w:sz="12" w:space="0" w:color="auto"/>
            </w:tcBorders>
            <w:shd w:val="clear" w:color="auto" w:fill="auto"/>
            <w:tcMar>
              <w:top w:w="0" w:type="dxa"/>
              <w:left w:w="0" w:type="dxa"/>
              <w:bottom w:w="0" w:type="dxa"/>
              <w:right w:w="0" w:type="dxa"/>
            </w:tcMar>
            <w:vAlign w:val="bottom"/>
          </w:tcPr>
          <w:p w14:paraId="690EC93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tcBorders>
              <w:top w:val="single" w:sz="12" w:space="0" w:color="auto"/>
            </w:tcBorders>
            <w:shd w:val="clear" w:color="auto" w:fill="auto"/>
            <w:tcMar>
              <w:top w:w="0" w:type="dxa"/>
              <w:left w:w="0" w:type="dxa"/>
              <w:bottom w:w="0" w:type="dxa"/>
              <w:right w:w="0" w:type="dxa"/>
            </w:tcMar>
            <w:vAlign w:val="bottom"/>
          </w:tcPr>
          <w:p w14:paraId="774A4E92"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tcBorders>
              <w:top w:val="single" w:sz="12" w:space="0" w:color="auto"/>
            </w:tcBorders>
            <w:shd w:val="clear" w:color="auto" w:fill="auto"/>
            <w:tcMar>
              <w:top w:w="0" w:type="dxa"/>
              <w:left w:w="0" w:type="dxa"/>
              <w:bottom w:w="0" w:type="dxa"/>
              <w:right w:w="0" w:type="dxa"/>
            </w:tcMar>
            <w:vAlign w:val="bottom"/>
          </w:tcPr>
          <w:p w14:paraId="78B5201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tcBorders>
              <w:top w:val="single" w:sz="12" w:space="0" w:color="auto"/>
            </w:tcBorders>
            <w:shd w:val="clear" w:color="auto" w:fill="auto"/>
            <w:tcMar>
              <w:top w:w="0" w:type="dxa"/>
              <w:left w:w="0" w:type="dxa"/>
              <w:bottom w:w="0" w:type="dxa"/>
              <w:right w:w="0" w:type="dxa"/>
            </w:tcMar>
            <w:vAlign w:val="bottom"/>
          </w:tcPr>
          <w:p w14:paraId="579CDF4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7" w:type="dxa"/>
            <w:tcBorders>
              <w:top w:val="single" w:sz="12" w:space="0" w:color="auto"/>
            </w:tcBorders>
            <w:shd w:val="clear" w:color="auto" w:fill="auto"/>
            <w:tcMar>
              <w:top w:w="0" w:type="dxa"/>
              <w:left w:w="0" w:type="dxa"/>
              <w:bottom w:w="0" w:type="dxa"/>
              <w:right w:w="0" w:type="dxa"/>
            </w:tcMar>
            <w:vAlign w:val="bottom"/>
          </w:tcPr>
          <w:p w14:paraId="382FA22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9" w:type="dxa"/>
            <w:tcBorders>
              <w:top w:val="single" w:sz="12" w:space="0" w:color="auto"/>
            </w:tcBorders>
            <w:shd w:val="clear" w:color="auto" w:fill="auto"/>
            <w:tcMar>
              <w:top w:w="0" w:type="dxa"/>
              <w:left w:w="0" w:type="dxa"/>
              <w:bottom w:w="0" w:type="dxa"/>
              <w:right w:w="0" w:type="dxa"/>
            </w:tcMar>
            <w:vAlign w:val="bottom"/>
          </w:tcPr>
          <w:p w14:paraId="166CA4D0"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60FB6F97"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28F4DE41"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2</w:t>
            </w:r>
          </w:p>
        </w:tc>
      </w:tr>
      <w:tr w:rsidR="00674990" w:rsidRPr="005D6C25" w14:paraId="2996A1B2" w14:textId="77777777" w:rsidTr="00B41197">
        <w:tc>
          <w:tcPr>
            <w:tcW w:w="918" w:type="dxa"/>
            <w:vMerge/>
            <w:shd w:val="clear" w:color="auto" w:fill="auto"/>
          </w:tcPr>
          <w:p w14:paraId="5E7DE177" w14:textId="77777777" w:rsidR="00674990" w:rsidRPr="005D6C25" w:rsidRDefault="00674990" w:rsidP="00674990">
            <w:pPr>
              <w:suppressAutoHyphens w:val="0"/>
              <w:spacing w:before="40" w:after="40" w:line="220" w:lineRule="exact"/>
              <w:rPr>
                <w:noProof/>
                <w:sz w:val="18"/>
                <w:lang w:val="fr-FR"/>
              </w:rPr>
            </w:pPr>
          </w:p>
        </w:tc>
        <w:tc>
          <w:tcPr>
            <w:tcW w:w="1346" w:type="dxa"/>
            <w:shd w:val="clear" w:color="auto" w:fill="auto"/>
            <w:tcMar>
              <w:top w:w="0" w:type="dxa"/>
              <w:left w:w="0" w:type="dxa"/>
              <w:bottom w:w="0" w:type="dxa"/>
              <w:right w:w="0" w:type="dxa"/>
            </w:tcMar>
            <w:vAlign w:val="bottom"/>
          </w:tcPr>
          <w:p w14:paraId="1E3F8CE4"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13-17 ans</w:t>
            </w:r>
          </w:p>
        </w:tc>
        <w:tc>
          <w:tcPr>
            <w:tcW w:w="637" w:type="dxa"/>
            <w:shd w:val="clear" w:color="auto" w:fill="auto"/>
            <w:tcMar>
              <w:top w:w="0" w:type="dxa"/>
              <w:left w:w="0" w:type="dxa"/>
              <w:bottom w:w="0" w:type="dxa"/>
              <w:right w:w="0" w:type="dxa"/>
            </w:tcMar>
            <w:vAlign w:val="bottom"/>
          </w:tcPr>
          <w:p w14:paraId="070CC792"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1050DD1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shd w:val="clear" w:color="auto" w:fill="auto"/>
            <w:tcMar>
              <w:top w:w="0" w:type="dxa"/>
              <w:left w:w="0" w:type="dxa"/>
              <w:bottom w:w="0" w:type="dxa"/>
              <w:right w:w="0" w:type="dxa"/>
            </w:tcMar>
            <w:vAlign w:val="bottom"/>
          </w:tcPr>
          <w:p w14:paraId="093FA0C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shd w:val="clear" w:color="auto" w:fill="auto"/>
            <w:tcMar>
              <w:top w:w="0" w:type="dxa"/>
              <w:left w:w="0" w:type="dxa"/>
              <w:bottom w:w="0" w:type="dxa"/>
              <w:right w:w="0" w:type="dxa"/>
            </w:tcMar>
            <w:vAlign w:val="bottom"/>
          </w:tcPr>
          <w:p w14:paraId="6907430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7" w:type="dxa"/>
            <w:shd w:val="clear" w:color="auto" w:fill="auto"/>
            <w:tcMar>
              <w:top w:w="0" w:type="dxa"/>
              <w:left w:w="0" w:type="dxa"/>
              <w:bottom w:w="0" w:type="dxa"/>
              <w:right w:w="0" w:type="dxa"/>
            </w:tcMar>
            <w:vAlign w:val="bottom"/>
          </w:tcPr>
          <w:p w14:paraId="56A2B2B0"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3AADF9A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shd w:val="clear" w:color="auto" w:fill="auto"/>
            <w:tcMar>
              <w:top w:w="0" w:type="dxa"/>
              <w:left w:w="0" w:type="dxa"/>
              <w:bottom w:w="0" w:type="dxa"/>
              <w:right w:w="0" w:type="dxa"/>
            </w:tcMar>
            <w:vAlign w:val="bottom"/>
          </w:tcPr>
          <w:p w14:paraId="3F4F753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shd w:val="clear" w:color="auto" w:fill="auto"/>
            <w:tcMar>
              <w:top w:w="0" w:type="dxa"/>
              <w:left w:w="0" w:type="dxa"/>
              <w:bottom w:w="0" w:type="dxa"/>
              <w:right w:w="0" w:type="dxa"/>
            </w:tcMar>
            <w:vAlign w:val="bottom"/>
          </w:tcPr>
          <w:p w14:paraId="66501731"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2</w:t>
            </w:r>
          </w:p>
        </w:tc>
      </w:tr>
      <w:tr w:rsidR="00674990" w:rsidRPr="005D6C25" w14:paraId="571F9535" w14:textId="77777777" w:rsidTr="00B41197">
        <w:tc>
          <w:tcPr>
            <w:tcW w:w="918" w:type="dxa"/>
            <w:vMerge/>
            <w:shd w:val="clear" w:color="auto" w:fill="auto"/>
          </w:tcPr>
          <w:p w14:paraId="12C5FCEA" w14:textId="77777777" w:rsidR="00674990" w:rsidRPr="005D6C25" w:rsidRDefault="00674990" w:rsidP="00674990">
            <w:pPr>
              <w:suppressAutoHyphens w:val="0"/>
              <w:spacing w:before="40" w:after="40" w:line="220" w:lineRule="exact"/>
              <w:rPr>
                <w:noProof/>
                <w:sz w:val="18"/>
                <w:lang w:val="fr-FR"/>
              </w:rPr>
            </w:pPr>
          </w:p>
        </w:tc>
        <w:tc>
          <w:tcPr>
            <w:tcW w:w="1346" w:type="dxa"/>
            <w:shd w:val="clear" w:color="auto" w:fill="auto"/>
            <w:tcMar>
              <w:top w:w="0" w:type="dxa"/>
              <w:left w:w="0" w:type="dxa"/>
              <w:bottom w:w="0" w:type="dxa"/>
              <w:right w:w="0" w:type="dxa"/>
            </w:tcMar>
            <w:vAlign w:val="bottom"/>
          </w:tcPr>
          <w:p w14:paraId="508448EA"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18-30 ans</w:t>
            </w:r>
          </w:p>
        </w:tc>
        <w:tc>
          <w:tcPr>
            <w:tcW w:w="637" w:type="dxa"/>
            <w:shd w:val="clear" w:color="auto" w:fill="auto"/>
            <w:tcMar>
              <w:top w:w="0" w:type="dxa"/>
              <w:left w:w="0" w:type="dxa"/>
              <w:bottom w:w="0" w:type="dxa"/>
              <w:right w:w="0" w:type="dxa"/>
            </w:tcMar>
            <w:vAlign w:val="bottom"/>
          </w:tcPr>
          <w:p w14:paraId="7DEE23C7"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33DF8347"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shd w:val="clear" w:color="auto" w:fill="auto"/>
            <w:tcMar>
              <w:top w:w="0" w:type="dxa"/>
              <w:left w:w="0" w:type="dxa"/>
              <w:bottom w:w="0" w:type="dxa"/>
              <w:right w:w="0" w:type="dxa"/>
            </w:tcMar>
            <w:vAlign w:val="bottom"/>
          </w:tcPr>
          <w:p w14:paraId="20BC098B"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shd w:val="clear" w:color="auto" w:fill="auto"/>
            <w:tcMar>
              <w:top w:w="0" w:type="dxa"/>
              <w:left w:w="0" w:type="dxa"/>
              <w:bottom w:w="0" w:type="dxa"/>
              <w:right w:w="0" w:type="dxa"/>
            </w:tcMar>
            <w:vAlign w:val="bottom"/>
          </w:tcPr>
          <w:p w14:paraId="68C6EFA9"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shd w:val="clear" w:color="auto" w:fill="auto"/>
            <w:tcMar>
              <w:top w:w="0" w:type="dxa"/>
              <w:left w:w="0" w:type="dxa"/>
              <w:bottom w:w="0" w:type="dxa"/>
              <w:right w:w="0" w:type="dxa"/>
            </w:tcMar>
            <w:vAlign w:val="bottom"/>
          </w:tcPr>
          <w:p w14:paraId="32E52241"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9" w:type="dxa"/>
            <w:shd w:val="clear" w:color="auto" w:fill="auto"/>
            <w:tcMar>
              <w:top w:w="0" w:type="dxa"/>
              <w:left w:w="0" w:type="dxa"/>
              <w:bottom w:w="0" w:type="dxa"/>
              <w:right w:w="0" w:type="dxa"/>
            </w:tcMar>
            <w:vAlign w:val="bottom"/>
          </w:tcPr>
          <w:p w14:paraId="1B5FD4C2"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shd w:val="clear" w:color="auto" w:fill="auto"/>
            <w:tcMar>
              <w:top w:w="0" w:type="dxa"/>
              <w:left w:w="0" w:type="dxa"/>
              <w:bottom w:w="0" w:type="dxa"/>
              <w:right w:w="0" w:type="dxa"/>
            </w:tcMar>
            <w:vAlign w:val="bottom"/>
          </w:tcPr>
          <w:p w14:paraId="4671D25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shd w:val="clear" w:color="auto" w:fill="auto"/>
            <w:tcMar>
              <w:top w:w="0" w:type="dxa"/>
              <w:left w:w="0" w:type="dxa"/>
              <w:bottom w:w="0" w:type="dxa"/>
              <w:right w:w="0" w:type="dxa"/>
            </w:tcMar>
            <w:vAlign w:val="bottom"/>
          </w:tcPr>
          <w:p w14:paraId="179F58D5"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w:t>
            </w:r>
          </w:p>
        </w:tc>
      </w:tr>
      <w:tr w:rsidR="00674990" w:rsidRPr="005D6C25" w14:paraId="39689AD2" w14:textId="77777777" w:rsidTr="00B41197">
        <w:tc>
          <w:tcPr>
            <w:tcW w:w="918" w:type="dxa"/>
            <w:vMerge/>
            <w:shd w:val="clear" w:color="auto" w:fill="auto"/>
          </w:tcPr>
          <w:p w14:paraId="71ABE413" w14:textId="77777777" w:rsidR="00674990" w:rsidRPr="005D6C25" w:rsidRDefault="00674990" w:rsidP="00674990">
            <w:pPr>
              <w:suppressAutoHyphens w:val="0"/>
              <w:spacing w:before="40" w:after="40" w:line="220" w:lineRule="exact"/>
              <w:rPr>
                <w:noProof/>
                <w:sz w:val="18"/>
                <w:lang w:val="fr-FR"/>
              </w:rPr>
            </w:pPr>
          </w:p>
        </w:tc>
        <w:tc>
          <w:tcPr>
            <w:tcW w:w="1346" w:type="dxa"/>
            <w:shd w:val="clear" w:color="auto" w:fill="auto"/>
            <w:tcMar>
              <w:top w:w="0" w:type="dxa"/>
              <w:left w:w="0" w:type="dxa"/>
              <w:bottom w:w="0" w:type="dxa"/>
              <w:right w:w="0" w:type="dxa"/>
            </w:tcMar>
            <w:vAlign w:val="bottom"/>
          </w:tcPr>
          <w:p w14:paraId="6A59943A"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31-40 ans</w:t>
            </w:r>
          </w:p>
        </w:tc>
        <w:tc>
          <w:tcPr>
            <w:tcW w:w="637" w:type="dxa"/>
            <w:shd w:val="clear" w:color="auto" w:fill="auto"/>
            <w:tcMar>
              <w:top w:w="0" w:type="dxa"/>
              <w:left w:w="0" w:type="dxa"/>
              <w:bottom w:w="0" w:type="dxa"/>
              <w:right w:w="0" w:type="dxa"/>
            </w:tcMar>
            <w:vAlign w:val="bottom"/>
          </w:tcPr>
          <w:p w14:paraId="0998617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35E0F23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shd w:val="clear" w:color="auto" w:fill="auto"/>
            <w:tcMar>
              <w:top w:w="0" w:type="dxa"/>
              <w:left w:w="0" w:type="dxa"/>
              <w:bottom w:w="0" w:type="dxa"/>
              <w:right w:w="0" w:type="dxa"/>
            </w:tcMar>
            <w:vAlign w:val="bottom"/>
          </w:tcPr>
          <w:p w14:paraId="11BA1BB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shd w:val="clear" w:color="auto" w:fill="auto"/>
            <w:tcMar>
              <w:top w:w="0" w:type="dxa"/>
              <w:left w:w="0" w:type="dxa"/>
              <w:bottom w:w="0" w:type="dxa"/>
              <w:right w:w="0" w:type="dxa"/>
            </w:tcMar>
            <w:vAlign w:val="bottom"/>
          </w:tcPr>
          <w:p w14:paraId="2BC58070"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shd w:val="clear" w:color="auto" w:fill="auto"/>
            <w:tcMar>
              <w:top w:w="0" w:type="dxa"/>
              <w:left w:w="0" w:type="dxa"/>
              <w:bottom w:w="0" w:type="dxa"/>
              <w:right w:w="0" w:type="dxa"/>
            </w:tcMar>
            <w:vAlign w:val="bottom"/>
          </w:tcPr>
          <w:p w14:paraId="52DD1D6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07BEEF8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shd w:val="clear" w:color="auto" w:fill="auto"/>
            <w:tcMar>
              <w:top w:w="0" w:type="dxa"/>
              <w:left w:w="0" w:type="dxa"/>
              <w:bottom w:w="0" w:type="dxa"/>
              <w:right w:w="0" w:type="dxa"/>
            </w:tcMar>
            <w:vAlign w:val="bottom"/>
          </w:tcPr>
          <w:p w14:paraId="42F7334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shd w:val="clear" w:color="auto" w:fill="auto"/>
            <w:tcMar>
              <w:top w:w="0" w:type="dxa"/>
              <w:left w:w="0" w:type="dxa"/>
              <w:bottom w:w="0" w:type="dxa"/>
              <w:right w:w="0" w:type="dxa"/>
            </w:tcMar>
            <w:vAlign w:val="bottom"/>
          </w:tcPr>
          <w:p w14:paraId="20781273"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w:t>
            </w:r>
          </w:p>
        </w:tc>
      </w:tr>
      <w:tr w:rsidR="00674990" w:rsidRPr="005D6C25" w14:paraId="4C6E0823" w14:textId="77777777" w:rsidTr="00B41197">
        <w:tc>
          <w:tcPr>
            <w:tcW w:w="918" w:type="dxa"/>
            <w:vMerge/>
            <w:shd w:val="clear" w:color="auto" w:fill="auto"/>
          </w:tcPr>
          <w:p w14:paraId="7D084A58" w14:textId="77777777" w:rsidR="00674990" w:rsidRPr="005D6C25" w:rsidRDefault="00674990" w:rsidP="00674990">
            <w:pPr>
              <w:suppressAutoHyphens w:val="0"/>
              <w:spacing w:before="40" w:after="40" w:line="220" w:lineRule="exact"/>
              <w:rPr>
                <w:noProof/>
                <w:sz w:val="18"/>
                <w:lang w:val="fr-FR"/>
              </w:rPr>
            </w:pPr>
          </w:p>
        </w:tc>
        <w:tc>
          <w:tcPr>
            <w:tcW w:w="1346" w:type="dxa"/>
            <w:shd w:val="clear" w:color="auto" w:fill="auto"/>
            <w:tcMar>
              <w:top w:w="0" w:type="dxa"/>
              <w:left w:w="0" w:type="dxa"/>
              <w:bottom w:w="0" w:type="dxa"/>
              <w:right w:w="0" w:type="dxa"/>
            </w:tcMar>
            <w:vAlign w:val="bottom"/>
          </w:tcPr>
          <w:p w14:paraId="42190CED"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51-60 ans</w:t>
            </w:r>
          </w:p>
        </w:tc>
        <w:tc>
          <w:tcPr>
            <w:tcW w:w="637" w:type="dxa"/>
            <w:shd w:val="clear" w:color="auto" w:fill="auto"/>
            <w:tcMar>
              <w:top w:w="0" w:type="dxa"/>
              <w:left w:w="0" w:type="dxa"/>
              <w:bottom w:w="0" w:type="dxa"/>
              <w:right w:w="0" w:type="dxa"/>
            </w:tcMar>
            <w:vAlign w:val="bottom"/>
          </w:tcPr>
          <w:p w14:paraId="5611BCC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018438F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shd w:val="clear" w:color="auto" w:fill="auto"/>
            <w:tcMar>
              <w:top w:w="0" w:type="dxa"/>
              <w:left w:w="0" w:type="dxa"/>
              <w:bottom w:w="0" w:type="dxa"/>
              <w:right w:w="0" w:type="dxa"/>
            </w:tcMar>
            <w:vAlign w:val="bottom"/>
          </w:tcPr>
          <w:p w14:paraId="4889722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shd w:val="clear" w:color="auto" w:fill="auto"/>
            <w:tcMar>
              <w:top w:w="0" w:type="dxa"/>
              <w:left w:w="0" w:type="dxa"/>
              <w:bottom w:w="0" w:type="dxa"/>
              <w:right w:w="0" w:type="dxa"/>
            </w:tcMar>
            <w:vAlign w:val="bottom"/>
          </w:tcPr>
          <w:p w14:paraId="5BED44F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shd w:val="clear" w:color="auto" w:fill="auto"/>
            <w:tcMar>
              <w:top w:w="0" w:type="dxa"/>
              <w:left w:w="0" w:type="dxa"/>
              <w:bottom w:w="0" w:type="dxa"/>
              <w:right w:w="0" w:type="dxa"/>
            </w:tcMar>
            <w:vAlign w:val="bottom"/>
          </w:tcPr>
          <w:p w14:paraId="387CAF1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shd w:val="clear" w:color="auto" w:fill="auto"/>
            <w:tcMar>
              <w:top w:w="0" w:type="dxa"/>
              <w:left w:w="0" w:type="dxa"/>
              <w:bottom w:w="0" w:type="dxa"/>
              <w:right w:w="0" w:type="dxa"/>
            </w:tcMar>
            <w:vAlign w:val="bottom"/>
          </w:tcPr>
          <w:p w14:paraId="225712DA"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shd w:val="clear" w:color="auto" w:fill="auto"/>
            <w:tcMar>
              <w:top w:w="0" w:type="dxa"/>
              <w:left w:w="0" w:type="dxa"/>
              <w:bottom w:w="0" w:type="dxa"/>
              <w:right w:w="0" w:type="dxa"/>
            </w:tcMar>
            <w:vAlign w:val="bottom"/>
          </w:tcPr>
          <w:p w14:paraId="017AFFD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shd w:val="clear" w:color="auto" w:fill="auto"/>
            <w:tcMar>
              <w:top w:w="0" w:type="dxa"/>
              <w:left w:w="0" w:type="dxa"/>
              <w:bottom w:w="0" w:type="dxa"/>
              <w:right w:w="0" w:type="dxa"/>
            </w:tcMar>
            <w:vAlign w:val="bottom"/>
          </w:tcPr>
          <w:p w14:paraId="66B51831"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w:t>
            </w:r>
          </w:p>
        </w:tc>
      </w:tr>
      <w:tr w:rsidR="00674990" w:rsidRPr="005D6C25" w14:paraId="3314BE1F" w14:textId="77777777" w:rsidTr="00B41197">
        <w:tc>
          <w:tcPr>
            <w:tcW w:w="918" w:type="dxa"/>
            <w:vMerge/>
            <w:shd w:val="clear" w:color="auto" w:fill="auto"/>
          </w:tcPr>
          <w:p w14:paraId="343B0114" w14:textId="77777777" w:rsidR="00674990" w:rsidRPr="005D6C25" w:rsidRDefault="00674990" w:rsidP="00674990">
            <w:pPr>
              <w:suppressAutoHyphens w:val="0"/>
              <w:spacing w:before="40" w:after="40" w:line="220" w:lineRule="exact"/>
              <w:rPr>
                <w:noProof/>
                <w:sz w:val="18"/>
                <w:lang w:val="fr-FR"/>
              </w:rPr>
            </w:pPr>
          </w:p>
        </w:tc>
        <w:tc>
          <w:tcPr>
            <w:tcW w:w="1346" w:type="dxa"/>
            <w:tcBorders>
              <w:bottom w:val="single" w:sz="4" w:space="0" w:color="auto"/>
            </w:tcBorders>
            <w:shd w:val="clear" w:color="auto" w:fill="auto"/>
            <w:tcMar>
              <w:top w:w="0" w:type="dxa"/>
              <w:left w:w="0" w:type="dxa"/>
              <w:bottom w:w="0" w:type="dxa"/>
              <w:right w:w="0" w:type="dxa"/>
            </w:tcMar>
            <w:vAlign w:val="bottom"/>
          </w:tcPr>
          <w:p w14:paraId="56A5385A"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1B6FB79A"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9" w:type="dxa"/>
            <w:tcBorders>
              <w:bottom w:val="single" w:sz="4" w:space="0" w:color="auto"/>
            </w:tcBorders>
            <w:shd w:val="clear" w:color="auto" w:fill="auto"/>
            <w:tcMar>
              <w:top w:w="0" w:type="dxa"/>
              <w:left w:w="0" w:type="dxa"/>
              <w:bottom w:w="0" w:type="dxa"/>
              <w:right w:w="0" w:type="dxa"/>
            </w:tcMar>
            <w:vAlign w:val="bottom"/>
          </w:tcPr>
          <w:p w14:paraId="27E35FCB"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tcBorders>
              <w:bottom w:val="single" w:sz="4" w:space="0" w:color="auto"/>
            </w:tcBorders>
            <w:shd w:val="clear" w:color="auto" w:fill="auto"/>
            <w:tcMar>
              <w:top w:w="0" w:type="dxa"/>
              <w:left w:w="0" w:type="dxa"/>
              <w:bottom w:w="0" w:type="dxa"/>
              <w:right w:w="0" w:type="dxa"/>
            </w:tcMar>
            <w:vAlign w:val="bottom"/>
          </w:tcPr>
          <w:p w14:paraId="58DEC83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tcBorders>
              <w:bottom w:val="single" w:sz="4" w:space="0" w:color="auto"/>
            </w:tcBorders>
            <w:shd w:val="clear" w:color="auto" w:fill="auto"/>
            <w:tcMar>
              <w:top w:w="0" w:type="dxa"/>
              <w:left w:w="0" w:type="dxa"/>
              <w:bottom w:w="0" w:type="dxa"/>
              <w:right w:w="0" w:type="dxa"/>
            </w:tcMar>
            <w:vAlign w:val="bottom"/>
          </w:tcPr>
          <w:p w14:paraId="75B394C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tcBorders>
              <w:bottom w:val="single" w:sz="4" w:space="0" w:color="auto"/>
            </w:tcBorders>
            <w:shd w:val="clear" w:color="auto" w:fill="auto"/>
            <w:tcMar>
              <w:top w:w="0" w:type="dxa"/>
              <w:left w:w="0" w:type="dxa"/>
              <w:bottom w:w="0" w:type="dxa"/>
              <w:right w:w="0" w:type="dxa"/>
            </w:tcMar>
            <w:vAlign w:val="bottom"/>
          </w:tcPr>
          <w:p w14:paraId="0560B73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6A60C58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1D863651"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40DE8157"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w:t>
            </w:r>
          </w:p>
        </w:tc>
      </w:tr>
      <w:tr w:rsidR="00674990" w:rsidRPr="005D6C25" w14:paraId="1F77B132" w14:textId="77777777" w:rsidTr="00B41197">
        <w:tc>
          <w:tcPr>
            <w:tcW w:w="918" w:type="dxa"/>
            <w:vMerge/>
            <w:shd w:val="clear" w:color="auto" w:fill="auto"/>
          </w:tcPr>
          <w:p w14:paraId="3DCE8B18" w14:textId="77777777" w:rsidR="00674990" w:rsidRPr="005D6C25" w:rsidRDefault="00674990" w:rsidP="00674990">
            <w:pPr>
              <w:suppressAutoHyphens w:val="0"/>
              <w:spacing w:before="40" w:after="40" w:line="220" w:lineRule="exact"/>
              <w:rPr>
                <w:noProof/>
                <w:sz w:val="18"/>
                <w:lang w:val="fr-FR"/>
              </w:rPr>
            </w:pPr>
          </w:p>
        </w:tc>
        <w:tc>
          <w:tcPr>
            <w:tcW w:w="1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7BAFDC6" w14:textId="77777777" w:rsidR="00674990" w:rsidRPr="005D6C25" w:rsidRDefault="00674990" w:rsidP="00674990">
            <w:pPr>
              <w:suppressAutoHyphens w:val="0"/>
              <w:spacing w:before="80" w:after="80" w:line="220" w:lineRule="exact"/>
              <w:ind w:left="284"/>
              <w:rPr>
                <w:noProof/>
                <w:sz w:val="18"/>
                <w:lang w:val="fr-FR"/>
              </w:rPr>
            </w:pPr>
            <w:r w:rsidRPr="005D6C25">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BA6578B"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7793554"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0</w:t>
            </w:r>
          </w:p>
        </w:tc>
        <w:tc>
          <w:tcPr>
            <w:tcW w:w="63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FFFBC71"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0</w:t>
            </w:r>
          </w:p>
        </w:tc>
        <w:tc>
          <w:tcPr>
            <w:tcW w:w="64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0ED2E96"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2</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6213424"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2</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2DA2876"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3</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64F197A"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391124B" w14:textId="77777777" w:rsidR="00674990" w:rsidRPr="002D3837" w:rsidRDefault="00674990" w:rsidP="00674990">
            <w:pPr>
              <w:suppressAutoHyphens w:val="0"/>
              <w:spacing w:before="80" w:after="80" w:line="220" w:lineRule="exact"/>
              <w:jc w:val="right"/>
              <w:rPr>
                <w:b/>
                <w:bCs/>
                <w:noProof/>
                <w:sz w:val="18"/>
                <w:lang w:val="fr-FR"/>
              </w:rPr>
            </w:pPr>
            <w:r w:rsidRPr="002D3837">
              <w:rPr>
                <w:b/>
                <w:bCs/>
                <w:noProof/>
                <w:sz w:val="18"/>
                <w:lang w:val="fr-FR"/>
              </w:rPr>
              <w:t>8</w:t>
            </w:r>
          </w:p>
        </w:tc>
      </w:tr>
      <w:tr w:rsidR="00674990" w:rsidRPr="005D6C25" w14:paraId="04701AC2" w14:textId="77777777" w:rsidTr="00B41197">
        <w:tc>
          <w:tcPr>
            <w:tcW w:w="918" w:type="dxa"/>
            <w:vMerge w:val="restart"/>
            <w:shd w:val="clear" w:color="auto" w:fill="auto"/>
            <w:tcMar>
              <w:top w:w="0" w:type="dxa"/>
              <w:left w:w="0" w:type="dxa"/>
              <w:bottom w:w="0" w:type="dxa"/>
              <w:right w:w="0" w:type="dxa"/>
            </w:tcMar>
          </w:tcPr>
          <w:p w14:paraId="4DD59F02"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Féminin</w:t>
            </w:r>
            <w:r>
              <w:rPr>
                <w:noProof/>
                <w:sz w:val="18"/>
                <w:lang w:val="fr-FR"/>
              </w:rPr>
              <w:br/>
            </w:r>
            <w:r w:rsidRPr="005D6C25">
              <w:rPr>
                <w:noProof/>
                <w:sz w:val="18"/>
                <w:lang w:val="fr-FR"/>
              </w:rPr>
              <w:t>(F)</w:t>
            </w:r>
          </w:p>
        </w:tc>
        <w:tc>
          <w:tcPr>
            <w:tcW w:w="1346" w:type="dxa"/>
            <w:tcBorders>
              <w:top w:val="single" w:sz="4" w:space="0" w:color="auto"/>
            </w:tcBorders>
            <w:shd w:val="clear" w:color="auto" w:fill="auto"/>
            <w:tcMar>
              <w:top w:w="0" w:type="dxa"/>
              <w:left w:w="0" w:type="dxa"/>
              <w:bottom w:w="0" w:type="dxa"/>
              <w:right w:w="0" w:type="dxa"/>
            </w:tcMar>
            <w:vAlign w:val="bottom"/>
          </w:tcPr>
          <w:p w14:paraId="1741F362"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0-12 ans</w:t>
            </w:r>
          </w:p>
        </w:tc>
        <w:tc>
          <w:tcPr>
            <w:tcW w:w="637" w:type="dxa"/>
            <w:tcBorders>
              <w:top w:val="single" w:sz="4" w:space="0" w:color="auto"/>
            </w:tcBorders>
            <w:shd w:val="clear" w:color="auto" w:fill="auto"/>
            <w:tcMar>
              <w:top w:w="0" w:type="dxa"/>
              <w:left w:w="0" w:type="dxa"/>
              <w:bottom w:w="0" w:type="dxa"/>
              <w:right w:w="0" w:type="dxa"/>
            </w:tcMar>
            <w:vAlign w:val="bottom"/>
          </w:tcPr>
          <w:p w14:paraId="5822C06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2</w:t>
            </w:r>
          </w:p>
        </w:tc>
        <w:tc>
          <w:tcPr>
            <w:tcW w:w="639" w:type="dxa"/>
            <w:tcBorders>
              <w:top w:val="single" w:sz="4" w:space="0" w:color="auto"/>
            </w:tcBorders>
            <w:shd w:val="clear" w:color="auto" w:fill="auto"/>
            <w:tcMar>
              <w:top w:w="0" w:type="dxa"/>
              <w:left w:w="0" w:type="dxa"/>
              <w:bottom w:w="0" w:type="dxa"/>
              <w:right w:w="0" w:type="dxa"/>
            </w:tcMar>
            <w:vAlign w:val="bottom"/>
          </w:tcPr>
          <w:p w14:paraId="483C2C6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3" w:type="dxa"/>
            <w:tcBorders>
              <w:top w:val="single" w:sz="4" w:space="0" w:color="auto"/>
            </w:tcBorders>
            <w:shd w:val="clear" w:color="auto" w:fill="auto"/>
            <w:tcMar>
              <w:top w:w="0" w:type="dxa"/>
              <w:left w:w="0" w:type="dxa"/>
              <w:bottom w:w="0" w:type="dxa"/>
              <w:right w:w="0" w:type="dxa"/>
            </w:tcMar>
            <w:vAlign w:val="bottom"/>
          </w:tcPr>
          <w:p w14:paraId="47801DF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45" w:type="dxa"/>
            <w:tcBorders>
              <w:top w:val="single" w:sz="4" w:space="0" w:color="auto"/>
            </w:tcBorders>
            <w:shd w:val="clear" w:color="auto" w:fill="auto"/>
            <w:tcMar>
              <w:top w:w="0" w:type="dxa"/>
              <w:left w:w="0" w:type="dxa"/>
              <w:bottom w:w="0" w:type="dxa"/>
              <w:right w:w="0" w:type="dxa"/>
            </w:tcMar>
            <w:vAlign w:val="bottom"/>
          </w:tcPr>
          <w:p w14:paraId="190B8A6B"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tcBorders>
              <w:top w:val="single" w:sz="4" w:space="0" w:color="auto"/>
            </w:tcBorders>
            <w:shd w:val="clear" w:color="auto" w:fill="auto"/>
            <w:tcMar>
              <w:top w:w="0" w:type="dxa"/>
              <w:left w:w="0" w:type="dxa"/>
              <w:bottom w:w="0" w:type="dxa"/>
              <w:right w:w="0" w:type="dxa"/>
            </w:tcMar>
            <w:vAlign w:val="bottom"/>
          </w:tcPr>
          <w:p w14:paraId="6AC9E8FC"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2</w:t>
            </w:r>
          </w:p>
        </w:tc>
        <w:tc>
          <w:tcPr>
            <w:tcW w:w="639" w:type="dxa"/>
            <w:tcBorders>
              <w:top w:val="single" w:sz="4" w:space="0" w:color="auto"/>
            </w:tcBorders>
            <w:shd w:val="clear" w:color="auto" w:fill="auto"/>
            <w:tcMar>
              <w:top w:w="0" w:type="dxa"/>
              <w:left w:w="0" w:type="dxa"/>
              <w:bottom w:w="0" w:type="dxa"/>
              <w:right w:w="0" w:type="dxa"/>
            </w:tcMar>
            <w:vAlign w:val="bottom"/>
          </w:tcPr>
          <w:p w14:paraId="5EFBFBA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3</w:t>
            </w:r>
          </w:p>
        </w:tc>
        <w:tc>
          <w:tcPr>
            <w:tcW w:w="638" w:type="dxa"/>
            <w:tcBorders>
              <w:top w:val="single" w:sz="4" w:space="0" w:color="auto"/>
            </w:tcBorders>
            <w:shd w:val="clear" w:color="auto" w:fill="auto"/>
            <w:tcMar>
              <w:top w:w="0" w:type="dxa"/>
              <w:left w:w="0" w:type="dxa"/>
              <w:bottom w:w="0" w:type="dxa"/>
              <w:right w:w="0" w:type="dxa"/>
            </w:tcMar>
            <w:vAlign w:val="bottom"/>
          </w:tcPr>
          <w:p w14:paraId="03F1923B"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65839821"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8</w:t>
            </w:r>
          </w:p>
        </w:tc>
      </w:tr>
      <w:tr w:rsidR="00674990" w:rsidRPr="005D6C25" w14:paraId="03ED9684" w14:textId="77777777" w:rsidTr="00B41197">
        <w:tc>
          <w:tcPr>
            <w:tcW w:w="918" w:type="dxa"/>
            <w:vMerge/>
            <w:shd w:val="clear" w:color="auto" w:fill="auto"/>
          </w:tcPr>
          <w:p w14:paraId="5BBF461D" w14:textId="77777777" w:rsidR="00674990" w:rsidRPr="005D6C25" w:rsidRDefault="00674990" w:rsidP="00674990">
            <w:pPr>
              <w:suppressAutoHyphens w:val="0"/>
              <w:spacing w:before="40" w:after="40" w:line="220" w:lineRule="exact"/>
              <w:rPr>
                <w:noProof/>
                <w:sz w:val="18"/>
                <w:lang w:val="fr-FR"/>
              </w:rPr>
            </w:pPr>
          </w:p>
        </w:tc>
        <w:tc>
          <w:tcPr>
            <w:tcW w:w="1346" w:type="dxa"/>
            <w:shd w:val="clear" w:color="auto" w:fill="auto"/>
            <w:tcMar>
              <w:top w:w="0" w:type="dxa"/>
              <w:left w:w="0" w:type="dxa"/>
              <w:bottom w:w="0" w:type="dxa"/>
              <w:right w:w="0" w:type="dxa"/>
            </w:tcMar>
            <w:vAlign w:val="bottom"/>
          </w:tcPr>
          <w:p w14:paraId="53F1A4DE"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13-17 ans</w:t>
            </w:r>
          </w:p>
        </w:tc>
        <w:tc>
          <w:tcPr>
            <w:tcW w:w="637" w:type="dxa"/>
            <w:shd w:val="clear" w:color="auto" w:fill="auto"/>
            <w:tcMar>
              <w:top w:w="0" w:type="dxa"/>
              <w:left w:w="0" w:type="dxa"/>
              <w:bottom w:w="0" w:type="dxa"/>
              <w:right w:w="0" w:type="dxa"/>
            </w:tcMar>
            <w:vAlign w:val="bottom"/>
          </w:tcPr>
          <w:p w14:paraId="784ECCC9"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8</w:t>
            </w:r>
          </w:p>
        </w:tc>
        <w:tc>
          <w:tcPr>
            <w:tcW w:w="639" w:type="dxa"/>
            <w:shd w:val="clear" w:color="auto" w:fill="auto"/>
            <w:tcMar>
              <w:top w:w="0" w:type="dxa"/>
              <w:left w:w="0" w:type="dxa"/>
              <w:bottom w:w="0" w:type="dxa"/>
              <w:right w:w="0" w:type="dxa"/>
            </w:tcMar>
            <w:vAlign w:val="bottom"/>
          </w:tcPr>
          <w:p w14:paraId="021329B1"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7</w:t>
            </w:r>
          </w:p>
        </w:tc>
        <w:tc>
          <w:tcPr>
            <w:tcW w:w="633" w:type="dxa"/>
            <w:shd w:val="clear" w:color="auto" w:fill="auto"/>
            <w:tcMar>
              <w:top w:w="0" w:type="dxa"/>
              <w:left w:w="0" w:type="dxa"/>
              <w:bottom w:w="0" w:type="dxa"/>
              <w:right w:w="0" w:type="dxa"/>
            </w:tcMar>
            <w:vAlign w:val="bottom"/>
          </w:tcPr>
          <w:p w14:paraId="343329B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5</w:t>
            </w:r>
          </w:p>
        </w:tc>
        <w:tc>
          <w:tcPr>
            <w:tcW w:w="645" w:type="dxa"/>
            <w:shd w:val="clear" w:color="auto" w:fill="auto"/>
            <w:tcMar>
              <w:top w:w="0" w:type="dxa"/>
              <w:left w:w="0" w:type="dxa"/>
              <w:bottom w:w="0" w:type="dxa"/>
              <w:right w:w="0" w:type="dxa"/>
            </w:tcMar>
            <w:vAlign w:val="bottom"/>
          </w:tcPr>
          <w:p w14:paraId="29D4371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6</w:t>
            </w:r>
          </w:p>
        </w:tc>
        <w:tc>
          <w:tcPr>
            <w:tcW w:w="637" w:type="dxa"/>
            <w:shd w:val="clear" w:color="auto" w:fill="auto"/>
            <w:tcMar>
              <w:top w:w="0" w:type="dxa"/>
              <w:left w:w="0" w:type="dxa"/>
              <w:bottom w:w="0" w:type="dxa"/>
              <w:right w:w="0" w:type="dxa"/>
            </w:tcMar>
            <w:vAlign w:val="bottom"/>
          </w:tcPr>
          <w:p w14:paraId="4D521D29"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5</w:t>
            </w:r>
          </w:p>
        </w:tc>
        <w:tc>
          <w:tcPr>
            <w:tcW w:w="639" w:type="dxa"/>
            <w:shd w:val="clear" w:color="auto" w:fill="auto"/>
            <w:tcMar>
              <w:top w:w="0" w:type="dxa"/>
              <w:left w:w="0" w:type="dxa"/>
              <w:bottom w:w="0" w:type="dxa"/>
              <w:right w:w="0" w:type="dxa"/>
            </w:tcMar>
            <w:vAlign w:val="bottom"/>
          </w:tcPr>
          <w:p w14:paraId="6235836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5</w:t>
            </w:r>
          </w:p>
        </w:tc>
        <w:tc>
          <w:tcPr>
            <w:tcW w:w="638" w:type="dxa"/>
            <w:shd w:val="clear" w:color="auto" w:fill="auto"/>
            <w:tcMar>
              <w:top w:w="0" w:type="dxa"/>
              <w:left w:w="0" w:type="dxa"/>
              <w:bottom w:w="0" w:type="dxa"/>
              <w:right w:w="0" w:type="dxa"/>
            </w:tcMar>
            <w:vAlign w:val="bottom"/>
          </w:tcPr>
          <w:p w14:paraId="39FE507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shd w:val="clear" w:color="auto" w:fill="auto"/>
            <w:tcMar>
              <w:top w:w="0" w:type="dxa"/>
              <w:left w:w="0" w:type="dxa"/>
              <w:bottom w:w="0" w:type="dxa"/>
              <w:right w:w="0" w:type="dxa"/>
            </w:tcMar>
            <w:vAlign w:val="bottom"/>
          </w:tcPr>
          <w:p w14:paraId="6C61EDD3"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37</w:t>
            </w:r>
          </w:p>
        </w:tc>
      </w:tr>
      <w:tr w:rsidR="00674990" w:rsidRPr="005D6C25" w14:paraId="1BEB51BD" w14:textId="77777777" w:rsidTr="00B41197">
        <w:tc>
          <w:tcPr>
            <w:tcW w:w="918" w:type="dxa"/>
            <w:vMerge/>
            <w:shd w:val="clear" w:color="auto" w:fill="auto"/>
          </w:tcPr>
          <w:p w14:paraId="4CB3F7EE" w14:textId="77777777" w:rsidR="00674990" w:rsidRPr="005D6C25" w:rsidRDefault="00674990" w:rsidP="00674990">
            <w:pPr>
              <w:suppressAutoHyphens w:val="0"/>
              <w:spacing w:before="40" w:after="40" w:line="220" w:lineRule="exact"/>
              <w:rPr>
                <w:noProof/>
                <w:sz w:val="18"/>
                <w:lang w:val="fr-FR"/>
              </w:rPr>
            </w:pPr>
          </w:p>
        </w:tc>
        <w:tc>
          <w:tcPr>
            <w:tcW w:w="1346" w:type="dxa"/>
            <w:shd w:val="clear" w:color="auto" w:fill="auto"/>
            <w:tcMar>
              <w:top w:w="0" w:type="dxa"/>
              <w:left w:w="0" w:type="dxa"/>
              <w:bottom w:w="0" w:type="dxa"/>
              <w:right w:w="0" w:type="dxa"/>
            </w:tcMar>
            <w:vAlign w:val="bottom"/>
          </w:tcPr>
          <w:p w14:paraId="2F3B4538"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18-30 ans</w:t>
            </w:r>
          </w:p>
        </w:tc>
        <w:tc>
          <w:tcPr>
            <w:tcW w:w="637" w:type="dxa"/>
            <w:shd w:val="clear" w:color="auto" w:fill="auto"/>
            <w:tcMar>
              <w:top w:w="0" w:type="dxa"/>
              <w:left w:w="0" w:type="dxa"/>
              <w:bottom w:w="0" w:type="dxa"/>
              <w:right w:w="0" w:type="dxa"/>
            </w:tcMar>
            <w:vAlign w:val="bottom"/>
          </w:tcPr>
          <w:p w14:paraId="0FDB546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2</w:t>
            </w:r>
          </w:p>
        </w:tc>
        <w:tc>
          <w:tcPr>
            <w:tcW w:w="639" w:type="dxa"/>
            <w:shd w:val="clear" w:color="auto" w:fill="auto"/>
            <w:tcMar>
              <w:top w:w="0" w:type="dxa"/>
              <w:left w:w="0" w:type="dxa"/>
              <w:bottom w:w="0" w:type="dxa"/>
              <w:right w:w="0" w:type="dxa"/>
            </w:tcMar>
            <w:vAlign w:val="bottom"/>
          </w:tcPr>
          <w:p w14:paraId="6C42C6B1"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3" w:type="dxa"/>
            <w:shd w:val="clear" w:color="auto" w:fill="auto"/>
            <w:tcMar>
              <w:top w:w="0" w:type="dxa"/>
              <w:left w:w="0" w:type="dxa"/>
              <w:bottom w:w="0" w:type="dxa"/>
              <w:right w:w="0" w:type="dxa"/>
            </w:tcMar>
            <w:vAlign w:val="bottom"/>
          </w:tcPr>
          <w:p w14:paraId="58CD601F"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45" w:type="dxa"/>
            <w:shd w:val="clear" w:color="auto" w:fill="auto"/>
            <w:tcMar>
              <w:top w:w="0" w:type="dxa"/>
              <w:left w:w="0" w:type="dxa"/>
              <w:bottom w:w="0" w:type="dxa"/>
              <w:right w:w="0" w:type="dxa"/>
            </w:tcMar>
            <w:vAlign w:val="bottom"/>
          </w:tcPr>
          <w:p w14:paraId="59ED6DC9"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3</w:t>
            </w:r>
          </w:p>
        </w:tc>
        <w:tc>
          <w:tcPr>
            <w:tcW w:w="637" w:type="dxa"/>
            <w:shd w:val="clear" w:color="auto" w:fill="auto"/>
            <w:tcMar>
              <w:top w:w="0" w:type="dxa"/>
              <w:left w:w="0" w:type="dxa"/>
              <w:bottom w:w="0" w:type="dxa"/>
              <w:right w:w="0" w:type="dxa"/>
            </w:tcMar>
            <w:vAlign w:val="bottom"/>
          </w:tcPr>
          <w:p w14:paraId="0499A0C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3</w:t>
            </w:r>
          </w:p>
        </w:tc>
        <w:tc>
          <w:tcPr>
            <w:tcW w:w="639" w:type="dxa"/>
            <w:shd w:val="clear" w:color="auto" w:fill="auto"/>
            <w:tcMar>
              <w:top w:w="0" w:type="dxa"/>
              <w:left w:w="0" w:type="dxa"/>
              <w:bottom w:w="0" w:type="dxa"/>
              <w:right w:w="0" w:type="dxa"/>
            </w:tcMar>
            <w:vAlign w:val="bottom"/>
          </w:tcPr>
          <w:p w14:paraId="14B97CDC"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shd w:val="clear" w:color="auto" w:fill="auto"/>
            <w:tcMar>
              <w:top w:w="0" w:type="dxa"/>
              <w:left w:w="0" w:type="dxa"/>
              <w:bottom w:w="0" w:type="dxa"/>
              <w:right w:w="0" w:type="dxa"/>
            </w:tcMar>
            <w:vAlign w:val="bottom"/>
          </w:tcPr>
          <w:p w14:paraId="2AF7CEDA"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shd w:val="clear" w:color="auto" w:fill="auto"/>
            <w:tcMar>
              <w:top w:w="0" w:type="dxa"/>
              <w:left w:w="0" w:type="dxa"/>
              <w:bottom w:w="0" w:type="dxa"/>
              <w:right w:w="0" w:type="dxa"/>
            </w:tcMar>
            <w:vAlign w:val="bottom"/>
          </w:tcPr>
          <w:p w14:paraId="7FC74D3E"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12</w:t>
            </w:r>
          </w:p>
        </w:tc>
      </w:tr>
      <w:tr w:rsidR="00674990" w:rsidRPr="005D6C25" w14:paraId="2526F3C8" w14:textId="77777777" w:rsidTr="00B41197">
        <w:tc>
          <w:tcPr>
            <w:tcW w:w="918" w:type="dxa"/>
            <w:vMerge/>
            <w:shd w:val="clear" w:color="auto" w:fill="auto"/>
          </w:tcPr>
          <w:p w14:paraId="2DAB9036" w14:textId="77777777" w:rsidR="00674990" w:rsidRPr="005D6C25" w:rsidRDefault="00674990" w:rsidP="00674990">
            <w:pPr>
              <w:suppressAutoHyphens w:val="0"/>
              <w:spacing w:before="40" w:after="40" w:line="220" w:lineRule="exact"/>
              <w:rPr>
                <w:noProof/>
                <w:sz w:val="18"/>
                <w:lang w:val="fr-FR"/>
              </w:rPr>
            </w:pPr>
          </w:p>
        </w:tc>
        <w:tc>
          <w:tcPr>
            <w:tcW w:w="1346" w:type="dxa"/>
            <w:tcBorders>
              <w:bottom w:val="single" w:sz="4" w:space="0" w:color="auto"/>
            </w:tcBorders>
            <w:shd w:val="clear" w:color="auto" w:fill="auto"/>
            <w:tcMar>
              <w:top w:w="0" w:type="dxa"/>
              <w:left w:w="0" w:type="dxa"/>
              <w:bottom w:w="0" w:type="dxa"/>
              <w:right w:w="0" w:type="dxa"/>
            </w:tcMar>
            <w:vAlign w:val="bottom"/>
          </w:tcPr>
          <w:p w14:paraId="29C82536"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7E4847E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3</w:t>
            </w:r>
          </w:p>
        </w:tc>
        <w:tc>
          <w:tcPr>
            <w:tcW w:w="639" w:type="dxa"/>
            <w:tcBorders>
              <w:bottom w:val="single" w:sz="4" w:space="0" w:color="auto"/>
            </w:tcBorders>
            <w:shd w:val="clear" w:color="auto" w:fill="auto"/>
            <w:tcMar>
              <w:top w:w="0" w:type="dxa"/>
              <w:left w:w="0" w:type="dxa"/>
              <w:bottom w:w="0" w:type="dxa"/>
              <w:right w:w="0" w:type="dxa"/>
            </w:tcMar>
            <w:vAlign w:val="bottom"/>
          </w:tcPr>
          <w:p w14:paraId="35FC61F5"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4</w:t>
            </w:r>
          </w:p>
        </w:tc>
        <w:tc>
          <w:tcPr>
            <w:tcW w:w="633" w:type="dxa"/>
            <w:tcBorders>
              <w:bottom w:val="single" w:sz="4" w:space="0" w:color="auto"/>
            </w:tcBorders>
            <w:shd w:val="clear" w:color="auto" w:fill="auto"/>
            <w:tcMar>
              <w:top w:w="0" w:type="dxa"/>
              <w:left w:w="0" w:type="dxa"/>
              <w:bottom w:w="0" w:type="dxa"/>
              <w:right w:w="0" w:type="dxa"/>
            </w:tcMar>
            <w:vAlign w:val="bottom"/>
          </w:tcPr>
          <w:p w14:paraId="2E46CE72"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45" w:type="dxa"/>
            <w:tcBorders>
              <w:bottom w:val="single" w:sz="4" w:space="0" w:color="auto"/>
            </w:tcBorders>
            <w:shd w:val="clear" w:color="auto" w:fill="auto"/>
            <w:tcMar>
              <w:top w:w="0" w:type="dxa"/>
              <w:left w:w="0" w:type="dxa"/>
              <w:bottom w:w="0" w:type="dxa"/>
              <w:right w:w="0" w:type="dxa"/>
            </w:tcMar>
            <w:vAlign w:val="bottom"/>
          </w:tcPr>
          <w:p w14:paraId="6D6AA81B"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tcBorders>
              <w:bottom w:val="single" w:sz="4" w:space="0" w:color="auto"/>
            </w:tcBorders>
            <w:shd w:val="clear" w:color="auto" w:fill="auto"/>
            <w:tcMar>
              <w:top w:w="0" w:type="dxa"/>
              <w:left w:w="0" w:type="dxa"/>
              <w:bottom w:w="0" w:type="dxa"/>
              <w:right w:w="0" w:type="dxa"/>
            </w:tcMar>
            <w:vAlign w:val="bottom"/>
          </w:tcPr>
          <w:p w14:paraId="2FBFF298"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2</w:t>
            </w:r>
          </w:p>
        </w:tc>
        <w:tc>
          <w:tcPr>
            <w:tcW w:w="639" w:type="dxa"/>
            <w:tcBorders>
              <w:bottom w:val="single" w:sz="4" w:space="0" w:color="auto"/>
            </w:tcBorders>
            <w:shd w:val="clear" w:color="auto" w:fill="auto"/>
            <w:tcMar>
              <w:top w:w="0" w:type="dxa"/>
              <w:left w:w="0" w:type="dxa"/>
              <w:bottom w:w="0" w:type="dxa"/>
              <w:right w:w="0" w:type="dxa"/>
            </w:tcMar>
            <w:vAlign w:val="bottom"/>
          </w:tcPr>
          <w:p w14:paraId="71CA8283"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2</w:t>
            </w:r>
          </w:p>
        </w:tc>
        <w:tc>
          <w:tcPr>
            <w:tcW w:w="638" w:type="dxa"/>
            <w:tcBorders>
              <w:bottom w:val="single" w:sz="4" w:space="0" w:color="auto"/>
            </w:tcBorders>
            <w:shd w:val="clear" w:color="auto" w:fill="auto"/>
            <w:tcMar>
              <w:top w:w="0" w:type="dxa"/>
              <w:left w:w="0" w:type="dxa"/>
              <w:bottom w:w="0" w:type="dxa"/>
              <w:right w:w="0" w:type="dxa"/>
            </w:tcMar>
            <w:vAlign w:val="bottom"/>
          </w:tcPr>
          <w:p w14:paraId="00FDDED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265BA71E"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12</w:t>
            </w:r>
          </w:p>
        </w:tc>
      </w:tr>
      <w:tr w:rsidR="00674990" w:rsidRPr="005D6C25" w14:paraId="02C274D2" w14:textId="77777777" w:rsidTr="00B41197">
        <w:tc>
          <w:tcPr>
            <w:tcW w:w="918" w:type="dxa"/>
            <w:vMerge/>
            <w:shd w:val="clear" w:color="auto" w:fill="auto"/>
          </w:tcPr>
          <w:p w14:paraId="62630261" w14:textId="77777777" w:rsidR="00674990" w:rsidRPr="005D6C25" w:rsidRDefault="00674990" w:rsidP="00674990">
            <w:pPr>
              <w:suppressAutoHyphens w:val="0"/>
              <w:spacing w:before="40" w:after="40" w:line="220" w:lineRule="exact"/>
              <w:rPr>
                <w:noProof/>
                <w:sz w:val="18"/>
                <w:lang w:val="fr-FR"/>
              </w:rPr>
            </w:pPr>
          </w:p>
        </w:tc>
        <w:tc>
          <w:tcPr>
            <w:tcW w:w="1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B5F26B6" w14:textId="77777777" w:rsidR="00674990" w:rsidRPr="005D6C25" w:rsidRDefault="00674990" w:rsidP="00674990">
            <w:pPr>
              <w:suppressAutoHyphens w:val="0"/>
              <w:spacing w:before="80" w:after="80" w:line="220" w:lineRule="exact"/>
              <w:ind w:left="284"/>
              <w:rPr>
                <w:noProof/>
                <w:sz w:val="18"/>
                <w:lang w:val="fr-FR"/>
              </w:rPr>
            </w:pPr>
            <w:r w:rsidRPr="005D6C25">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C5CB948"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15</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C3CDC97"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12</w:t>
            </w:r>
          </w:p>
        </w:tc>
        <w:tc>
          <w:tcPr>
            <w:tcW w:w="63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5E77A19"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8</w:t>
            </w:r>
          </w:p>
        </w:tc>
        <w:tc>
          <w:tcPr>
            <w:tcW w:w="64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C440AFD"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9</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9667A21"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12</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B68253F"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11</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569B2E3"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3006F81" w14:textId="77777777" w:rsidR="00674990" w:rsidRPr="002D3837" w:rsidRDefault="00674990" w:rsidP="00674990">
            <w:pPr>
              <w:suppressAutoHyphens w:val="0"/>
              <w:spacing w:before="80" w:after="80" w:line="220" w:lineRule="exact"/>
              <w:jc w:val="right"/>
              <w:rPr>
                <w:b/>
                <w:bCs/>
                <w:noProof/>
                <w:sz w:val="18"/>
                <w:lang w:val="fr-FR"/>
              </w:rPr>
            </w:pPr>
            <w:r w:rsidRPr="002D3837">
              <w:rPr>
                <w:b/>
                <w:bCs/>
                <w:noProof/>
                <w:sz w:val="18"/>
                <w:lang w:val="fr-FR"/>
              </w:rPr>
              <w:t>69</w:t>
            </w:r>
          </w:p>
        </w:tc>
      </w:tr>
      <w:tr w:rsidR="00674990" w:rsidRPr="005D6C25" w14:paraId="5CF8200A" w14:textId="77777777" w:rsidTr="00B41197">
        <w:tc>
          <w:tcPr>
            <w:tcW w:w="918" w:type="dxa"/>
            <w:shd w:val="clear" w:color="auto" w:fill="auto"/>
            <w:tcMar>
              <w:top w:w="0" w:type="dxa"/>
              <w:left w:w="0" w:type="dxa"/>
              <w:bottom w:w="0" w:type="dxa"/>
              <w:right w:w="0" w:type="dxa"/>
            </w:tcMar>
          </w:tcPr>
          <w:p w14:paraId="79083E4E" w14:textId="77777777" w:rsidR="00674990" w:rsidRPr="003C6317" w:rsidRDefault="00674990" w:rsidP="00674990">
            <w:pPr>
              <w:suppressAutoHyphens w:val="0"/>
              <w:spacing w:before="40" w:after="40" w:line="220" w:lineRule="exact"/>
              <w:rPr>
                <w:noProof/>
                <w:spacing w:val="-2"/>
                <w:sz w:val="18"/>
                <w:lang w:val="fr-FR"/>
              </w:rPr>
            </w:pPr>
            <w:r w:rsidRPr="003C6317">
              <w:rPr>
                <w:noProof/>
                <w:spacing w:val="-2"/>
                <w:sz w:val="18"/>
                <w:lang w:val="fr-FR"/>
              </w:rPr>
              <w:t>Indéterminé</w:t>
            </w:r>
          </w:p>
        </w:tc>
        <w:tc>
          <w:tcPr>
            <w:tcW w:w="1346" w:type="dxa"/>
            <w:tcBorders>
              <w:top w:val="single" w:sz="4" w:space="0" w:color="auto"/>
            </w:tcBorders>
            <w:shd w:val="clear" w:color="auto" w:fill="auto"/>
            <w:tcMar>
              <w:top w:w="0" w:type="dxa"/>
              <w:left w:w="0" w:type="dxa"/>
              <w:bottom w:w="0" w:type="dxa"/>
              <w:right w:w="0" w:type="dxa"/>
            </w:tcMar>
            <w:vAlign w:val="bottom"/>
          </w:tcPr>
          <w:p w14:paraId="4C4B2203"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13-17 ans</w:t>
            </w:r>
          </w:p>
        </w:tc>
        <w:tc>
          <w:tcPr>
            <w:tcW w:w="637" w:type="dxa"/>
            <w:tcBorders>
              <w:top w:val="single" w:sz="4" w:space="0" w:color="auto"/>
            </w:tcBorders>
            <w:shd w:val="clear" w:color="auto" w:fill="auto"/>
            <w:tcMar>
              <w:top w:w="0" w:type="dxa"/>
              <w:left w:w="0" w:type="dxa"/>
              <w:bottom w:w="0" w:type="dxa"/>
              <w:right w:w="0" w:type="dxa"/>
            </w:tcMar>
            <w:vAlign w:val="bottom"/>
          </w:tcPr>
          <w:p w14:paraId="7964983D"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tcBorders>
              <w:top w:val="single" w:sz="4" w:space="0" w:color="auto"/>
            </w:tcBorders>
            <w:shd w:val="clear" w:color="auto" w:fill="auto"/>
            <w:tcMar>
              <w:top w:w="0" w:type="dxa"/>
              <w:left w:w="0" w:type="dxa"/>
              <w:bottom w:w="0" w:type="dxa"/>
              <w:right w:w="0" w:type="dxa"/>
            </w:tcMar>
            <w:vAlign w:val="bottom"/>
          </w:tcPr>
          <w:p w14:paraId="2331637C"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3" w:type="dxa"/>
            <w:tcBorders>
              <w:top w:val="single" w:sz="4" w:space="0" w:color="auto"/>
            </w:tcBorders>
            <w:shd w:val="clear" w:color="auto" w:fill="auto"/>
            <w:tcMar>
              <w:top w:w="0" w:type="dxa"/>
              <w:left w:w="0" w:type="dxa"/>
              <w:bottom w:w="0" w:type="dxa"/>
              <w:right w:w="0" w:type="dxa"/>
            </w:tcMar>
            <w:vAlign w:val="bottom"/>
          </w:tcPr>
          <w:p w14:paraId="38C24152"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45" w:type="dxa"/>
            <w:tcBorders>
              <w:top w:val="single" w:sz="4" w:space="0" w:color="auto"/>
            </w:tcBorders>
            <w:shd w:val="clear" w:color="auto" w:fill="auto"/>
            <w:tcMar>
              <w:top w:w="0" w:type="dxa"/>
              <w:left w:w="0" w:type="dxa"/>
              <w:bottom w:w="0" w:type="dxa"/>
              <w:right w:w="0" w:type="dxa"/>
            </w:tcMar>
            <w:vAlign w:val="bottom"/>
          </w:tcPr>
          <w:p w14:paraId="0F50C640"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7" w:type="dxa"/>
            <w:tcBorders>
              <w:top w:val="single" w:sz="4" w:space="0" w:color="auto"/>
            </w:tcBorders>
            <w:shd w:val="clear" w:color="auto" w:fill="auto"/>
            <w:tcMar>
              <w:top w:w="0" w:type="dxa"/>
              <w:left w:w="0" w:type="dxa"/>
              <w:bottom w:w="0" w:type="dxa"/>
              <w:right w:w="0" w:type="dxa"/>
            </w:tcMar>
            <w:vAlign w:val="bottom"/>
          </w:tcPr>
          <w:p w14:paraId="28D2487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9" w:type="dxa"/>
            <w:tcBorders>
              <w:top w:val="single" w:sz="4" w:space="0" w:color="auto"/>
            </w:tcBorders>
            <w:shd w:val="clear" w:color="auto" w:fill="auto"/>
            <w:tcMar>
              <w:top w:w="0" w:type="dxa"/>
              <w:left w:w="0" w:type="dxa"/>
              <w:bottom w:w="0" w:type="dxa"/>
              <w:right w:w="0" w:type="dxa"/>
            </w:tcMar>
            <w:vAlign w:val="bottom"/>
          </w:tcPr>
          <w:p w14:paraId="2632AE16"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014D45F5"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0C8171D1"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1</w:t>
            </w:r>
          </w:p>
        </w:tc>
      </w:tr>
      <w:tr w:rsidR="00674990" w:rsidRPr="005D6C25" w14:paraId="6F5087DE" w14:textId="77777777" w:rsidTr="00B41197">
        <w:tc>
          <w:tcPr>
            <w:tcW w:w="918" w:type="dxa"/>
            <w:tcBorders>
              <w:bottom w:val="single" w:sz="4" w:space="0" w:color="auto"/>
            </w:tcBorders>
            <w:shd w:val="clear" w:color="auto" w:fill="auto"/>
            <w:tcMar>
              <w:top w:w="0" w:type="dxa"/>
              <w:left w:w="0" w:type="dxa"/>
              <w:bottom w:w="0" w:type="dxa"/>
              <w:right w:w="0" w:type="dxa"/>
            </w:tcMar>
          </w:tcPr>
          <w:p w14:paraId="35F1FF0E" w14:textId="77777777" w:rsidR="00674990" w:rsidRPr="005D6C25" w:rsidRDefault="00674990" w:rsidP="00674990">
            <w:pPr>
              <w:suppressAutoHyphens w:val="0"/>
              <w:spacing w:before="40" w:after="40" w:line="220" w:lineRule="exact"/>
              <w:rPr>
                <w:noProof/>
                <w:sz w:val="18"/>
                <w:lang w:val="fr-FR"/>
              </w:rPr>
            </w:pPr>
          </w:p>
        </w:tc>
        <w:tc>
          <w:tcPr>
            <w:tcW w:w="1346" w:type="dxa"/>
            <w:tcBorders>
              <w:bottom w:val="single" w:sz="4" w:space="0" w:color="auto"/>
            </w:tcBorders>
            <w:shd w:val="clear" w:color="auto" w:fill="auto"/>
            <w:tcMar>
              <w:top w:w="0" w:type="dxa"/>
              <w:left w:w="0" w:type="dxa"/>
              <w:bottom w:w="0" w:type="dxa"/>
              <w:right w:w="0" w:type="dxa"/>
            </w:tcMar>
            <w:vAlign w:val="bottom"/>
          </w:tcPr>
          <w:p w14:paraId="1FD28EF5" w14:textId="77777777" w:rsidR="00674990" w:rsidRPr="005D6C25" w:rsidRDefault="00674990" w:rsidP="00674990">
            <w:pPr>
              <w:suppressAutoHyphens w:val="0"/>
              <w:spacing w:before="40" w:after="40" w:line="220" w:lineRule="exact"/>
              <w:rPr>
                <w:noProof/>
                <w:sz w:val="18"/>
                <w:lang w:val="fr-FR"/>
              </w:rPr>
            </w:pPr>
            <w:r w:rsidRPr="005D6C25">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6BC322CB"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9" w:type="dxa"/>
            <w:tcBorders>
              <w:bottom w:val="single" w:sz="4" w:space="0" w:color="auto"/>
            </w:tcBorders>
            <w:shd w:val="clear" w:color="auto" w:fill="auto"/>
            <w:tcMar>
              <w:top w:w="0" w:type="dxa"/>
              <w:left w:w="0" w:type="dxa"/>
              <w:bottom w:w="0" w:type="dxa"/>
              <w:right w:w="0" w:type="dxa"/>
            </w:tcMar>
            <w:vAlign w:val="bottom"/>
          </w:tcPr>
          <w:p w14:paraId="381AC520"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11</w:t>
            </w:r>
          </w:p>
        </w:tc>
        <w:tc>
          <w:tcPr>
            <w:tcW w:w="633" w:type="dxa"/>
            <w:tcBorders>
              <w:bottom w:val="single" w:sz="4" w:space="0" w:color="auto"/>
            </w:tcBorders>
            <w:shd w:val="clear" w:color="auto" w:fill="auto"/>
            <w:tcMar>
              <w:top w:w="0" w:type="dxa"/>
              <w:left w:w="0" w:type="dxa"/>
              <w:bottom w:w="0" w:type="dxa"/>
              <w:right w:w="0" w:type="dxa"/>
            </w:tcMar>
            <w:vAlign w:val="bottom"/>
          </w:tcPr>
          <w:p w14:paraId="76092E5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45" w:type="dxa"/>
            <w:tcBorders>
              <w:bottom w:val="single" w:sz="4" w:space="0" w:color="auto"/>
            </w:tcBorders>
            <w:shd w:val="clear" w:color="auto" w:fill="auto"/>
            <w:tcMar>
              <w:top w:w="0" w:type="dxa"/>
              <w:left w:w="0" w:type="dxa"/>
              <w:bottom w:w="0" w:type="dxa"/>
              <w:right w:w="0" w:type="dxa"/>
            </w:tcMar>
            <w:vAlign w:val="bottom"/>
          </w:tcPr>
          <w:p w14:paraId="5944D2DE"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2</w:t>
            </w:r>
          </w:p>
        </w:tc>
        <w:tc>
          <w:tcPr>
            <w:tcW w:w="637" w:type="dxa"/>
            <w:tcBorders>
              <w:bottom w:val="single" w:sz="4" w:space="0" w:color="auto"/>
            </w:tcBorders>
            <w:shd w:val="clear" w:color="auto" w:fill="auto"/>
            <w:tcMar>
              <w:top w:w="0" w:type="dxa"/>
              <w:left w:w="0" w:type="dxa"/>
              <w:bottom w:w="0" w:type="dxa"/>
              <w:right w:w="0" w:type="dxa"/>
            </w:tcMar>
            <w:vAlign w:val="bottom"/>
          </w:tcPr>
          <w:p w14:paraId="405A7F4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9" w:type="dxa"/>
            <w:tcBorders>
              <w:bottom w:val="single" w:sz="4" w:space="0" w:color="auto"/>
            </w:tcBorders>
            <w:shd w:val="clear" w:color="auto" w:fill="auto"/>
            <w:tcMar>
              <w:top w:w="0" w:type="dxa"/>
              <w:left w:w="0" w:type="dxa"/>
              <w:bottom w:w="0" w:type="dxa"/>
              <w:right w:w="0" w:type="dxa"/>
            </w:tcMar>
            <w:vAlign w:val="bottom"/>
          </w:tcPr>
          <w:p w14:paraId="6AD12DC4"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9</w:t>
            </w:r>
          </w:p>
        </w:tc>
        <w:tc>
          <w:tcPr>
            <w:tcW w:w="638" w:type="dxa"/>
            <w:tcBorders>
              <w:bottom w:val="single" w:sz="4" w:space="0" w:color="auto"/>
            </w:tcBorders>
            <w:shd w:val="clear" w:color="auto" w:fill="auto"/>
            <w:tcMar>
              <w:top w:w="0" w:type="dxa"/>
              <w:left w:w="0" w:type="dxa"/>
              <w:bottom w:w="0" w:type="dxa"/>
              <w:right w:w="0" w:type="dxa"/>
            </w:tcMar>
            <w:vAlign w:val="bottom"/>
          </w:tcPr>
          <w:p w14:paraId="75D59EC7" w14:textId="77777777" w:rsidR="00674990" w:rsidRPr="005D6C25" w:rsidRDefault="00674990" w:rsidP="00674990">
            <w:pPr>
              <w:suppressAutoHyphens w:val="0"/>
              <w:spacing w:before="40" w:after="40" w:line="220" w:lineRule="exact"/>
              <w:jc w:val="right"/>
              <w:rPr>
                <w:noProof/>
                <w:sz w:val="18"/>
                <w:lang w:val="fr-FR"/>
              </w:rPr>
            </w:pPr>
            <w:r w:rsidRPr="005D6C25">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1F392BC3" w14:textId="77777777" w:rsidR="00674990" w:rsidRPr="002D3837" w:rsidRDefault="00674990" w:rsidP="00674990">
            <w:pPr>
              <w:suppressAutoHyphens w:val="0"/>
              <w:spacing w:before="40" w:after="40" w:line="220" w:lineRule="exact"/>
              <w:jc w:val="right"/>
              <w:rPr>
                <w:b/>
                <w:bCs/>
                <w:noProof/>
                <w:sz w:val="18"/>
                <w:lang w:val="fr-FR"/>
              </w:rPr>
            </w:pPr>
            <w:r w:rsidRPr="002D3837">
              <w:rPr>
                <w:b/>
                <w:bCs/>
                <w:noProof/>
                <w:sz w:val="18"/>
                <w:lang w:val="fr-FR"/>
              </w:rPr>
              <w:t>26</w:t>
            </w:r>
          </w:p>
        </w:tc>
      </w:tr>
      <w:tr w:rsidR="00674990" w:rsidRPr="005D6C25" w14:paraId="0AC932B9" w14:textId="77777777" w:rsidTr="00B41197">
        <w:tc>
          <w:tcPr>
            <w:tcW w:w="918" w:type="dxa"/>
            <w:tcBorders>
              <w:top w:val="single" w:sz="4" w:space="0" w:color="auto"/>
              <w:bottom w:val="single" w:sz="4" w:space="0" w:color="auto"/>
            </w:tcBorders>
            <w:shd w:val="clear" w:color="auto" w:fill="auto"/>
            <w:tcMar>
              <w:top w:w="0" w:type="dxa"/>
              <w:left w:w="0" w:type="dxa"/>
              <w:bottom w:w="0" w:type="dxa"/>
              <w:right w:w="0" w:type="dxa"/>
            </w:tcMar>
          </w:tcPr>
          <w:p w14:paraId="7F793A0B" w14:textId="77777777" w:rsidR="00674990" w:rsidRPr="005D6C25" w:rsidRDefault="00674990" w:rsidP="00674990">
            <w:pPr>
              <w:suppressAutoHyphens w:val="0"/>
              <w:spacing w:before="80" w:after="80" w:line="220" w:lineRule="exact"/>
              <w:rPr>
                <w:noProof/>
                <w:sz w:val="18"/>
                <w:lang w:val="fr-FR"/>
              </w:rPr>
            </w:pPr>
          </w:p>
        </w:tc>
        <w:tc>
          <w:tcPr>
            <w:tcW w:w="1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8B4B580" w14:textId="77777777" w:rsidR="00674990" w:rsidRPr="005D6C25" w:rsidRDefault="00674990" w:rsidP="00674990">
            <w:pPr>
              <w:suppressAutoHyphens w:val="0"/>
              <w:spacing w:before="80" w:after="80" w:line="220" w:lineRule="exact"/>
              <w:ind w:left="284"/>
              <w:rPr>
                <w:b/>
                <w:noProof/>
                <w:sz w:val="18"/>
                <w:lang w:val="fr-FR"/>
              </w:rPr>
            </w:pPr>
            <w:r w:rsidRPr="005D6C25">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7A3D2ED"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2DFCFB9"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12</w:t>
            </w:r>
          </w:p>
        </w:tc>
        <w:tc>
          <w:tcPr>
            <w:tcW w:w="63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F30CF56"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w:t>
            </w:r>
          </w:p>
        </w:tc>
        <w:tc>
          <w:tcPr>
            <w:tcW w:w="64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E8EFBFF"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2</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E6632BD"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1B552FB"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9</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43D243F"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8A48683" w14:textId="77777777" w:rsidR="00674990" w:rsidRPr="002D3837" w:rsidRDefault="00674990" w:rsidP="00674990">
            <w:pPr>
              <w:suppressAutoHyphens w:val="0"/>
              <w:spacing w:before="80" w:after="80" w:line="220" w:lineRule="exact"/>
              <w:jc w:val="right"/>
              <w:rPr>
                <w:b/>
                <w:bCs/>
                <w:noProof/>
                <w:sz w:val="18"/>
                <w:lang w:val="fr-FR"/>
              </w:rPr>
            </w:pPr>
            <w:r w:rsidRPr="002D3837">
              <w:rPr>
                <w:b/>
                <w:bCs/>
                <w:noProof/>
                <w:sz w:val="18"/>
                <w:lang w:val="fr-FR"/>
              </w:rPr>
              <w:t>27</w:t>
            </w:r>
          </w:p>
        </w:tc>
      </w:tr>
      <w:tr w:rsidR="00674990" w:rsidRPr="005D6C25" w14:paraId="73A7DB40" w14:textId="77777777" w:rsidTr="00B41197">
        <w:tc>
          <w:tcPr>
            <w:tcW w:w="2264" w:type="dxa"/>
            <w:gridSpan w:val="2"/>
            <w:tcBorders>
              <w:top w:val="single" w:sz="4" w:space="0" w:color="auto"/>
              <w:bottom w:val="single" w:sz="12" w:space="0" w:color="auto"/>
            </w:tcBorders>
            <w:shd w:val="clear" w:color="auto" w:fill="auto"/>
            <w:tcMar>
              <w:top w:w="0" w:type="dxa"/>
              <w:left w:w="0" w:type="dxa"/>
              <w:bottom w:w="0" w:type="dxa"/>
              <w:right w:w="0" w:type="dxa"/>
            </w:tcMar>
          </w:tcPr>
          <w:p w14:paraId="63ABA298" w14:textId="77777777" w:rsidR="00674990" w:rsidRPr="005D6C25" w:rsidRDefault="00674990" w:rsidP="00674990">
            <w:pPr>
              <w:suppressAutoHyphens w:val="0"/>
              <w:spacing w:before="80" w:after="80" w:line="220" w:lineRule="exact"/>
              <w:ind w:left="284"/>
              <w:rPr>
                <w:b/>
                <w:noProof/>
                <w:sz w:val="18"/>
                <w:lang w:val="fr-FR"/>
              </w:rPr>
            </w:pPr>
            <w:r w:rsidRPr="005D6C25">
              <w:rPr>
                <w:b/>
                <w:noProof/>
                <w:sz w:val="18"/>
                <w:lang w:val="fr-FR"/>
              </w:rPr>
              <w:t xml:space="preserve">Total général </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A8994AF"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17</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B19D3E5"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24</w:t>
            </w:r>
          </w:p>
        </w:tc>
        <w:tc>
          <w:tcPr>
            <w:tcW w:w="63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8E2B542"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9</w:t>
            </w:r>
          </w:p>
        </w:tc>
        <w:tc>
          <w:tcPr>
            <w:tcW w:w="64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C50803D"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13</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7548723"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15</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0D147E6"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23</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7BFF188" w14:textId="77777777" w:rsidR="00674990" w:rsidRPr="005D6C25" w:rsidRDefault="00674990" w:rsidP="00674990">
            <w:pPr>
              <w:suppressAutoHyphens w:val="0"/>
              <w:spacing w:before="80" w:after="80" w:line="220" w:lineRule="exact"/>
              <w:jc w:val="right"/>
              <w:rPr>
                <w:b/>
                <w:noProof/>
                <w:sz w:val="18"/>
                <w:lang w:val="fr-FR"/>
              </w:rPr>
            </w:pPr>
            <w:r w:rsidRPr="005D6C25">
              <w:rPr>
                <w:b/>
                <w:noProof/>
                <w:sz w:val="18"/>
                <w:lang w:val="fr-FR"/>
              </w:rPr>
              <w:t>3</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9A1EA57" w14:textId="77777777" w:rsidR="00674990" w:rsidRPr="002D3837" w:rsidRDefault="00674990" w:rsidP="00674990">
            <w:pPr>
              <w:suppressAutoHyphens w:val="0"/>
              <w:spacing w:before="80" w:after="80" w:line="220" w:lineRule="exact"/>
              <w:jc w:val="right"/>
              <w:rPr>
                <w:b/>
                <w:bCs/>
                <w:noProof/>
                <w:sz w:val="18"/>
                <w:lang w:val="fr-FR"/>
              </w:rPr>
            </w:pPr>
            <w:r w:rsidRPr="002D3837">
              <w:rPr>
                <w:b/>
                <w:bCs/>
                <w:noProof/>
                <w:sz w:val="18"/>
                <w:lang w:val="fr-FR"/>
              </w:rPr>
              <w:t>104</w:t>
            </w:r>
          </w:p>
        </w:tc>
      </w:tr>
    </w:tbl>
    <w:p w14:paraId="099329AE" w14:textId="77777777" w:rsidR="00653B7F" w:rsidRPr="00DD5F53" w:rsidRDefault="00653B7F" w:rsidP="00D93189">
      <w:pPr>
        <w:pStyle w:val="Titre1"/>
        <w:kinsoku/>
        <w:overflowPunct/>
        <w:autoSpaceDE/>
        <w:autoSpaceDN/>
        <w:adjustRightInd/>
        <w:snapToGrid/>
        <w:spacing w:before="120" w:after="240"/>
        <w:ind w:right="1134" w:firstLine="170"/>
        <w:rPr>
          <w:noProof/>
          <w:spacing w:val="-2"/>
          <w:sz w:val="18"/>
          <w:lang w:val="fr-FR"/>
        </w:rPr>
      </w:pPr>
      <w:r>
        <w:rPr>
          <w:i/>
          <w:noProof/>
          <w:sz w:val="18"/>
          <w:lang w:val="fr-FR"/>
        </w:rPr>
        <w:t>Source</w:t>
      </w:r>
      <w:r w:rsidR="002D3837">
        <w:rPr>
          <w:i/>
          <w:noProof/>
          <w:sz w:val="18"/>
          <w:lang w:val="fr-FR"/>
        </w:rPr>
        <w:t> </w:t>
      </w:r>
      <w:r w:rsidRPr="002D3837">
        <w:rPr>
          <w:iCs/>
          <w:noProof/>
          <w:sz w:val="18"/>
          <w:lang w:val="fr-FR"/>
        </w:rPr>
        <w:t>:</w:t>
      </w:r>
      <w:r w:rsidRPr="00A43FCB">
        <w:rPr>
          <w:noProof/>
          <w:sz w:val="18"/>
          <w:lang w:val="fr-FR"/>
        </w:rPr>
        <w:t xml:space="preserve"> </w:t>
      </w:r>
      <w:r w:rsidRPr="00DD5F53">
        <w:rPr>
          <w:noProof/>
          <w:spacing w:val="-2"/>
          <w:sz w:val="18"/>
          <w:lang w:val="fr-FR"/>
        </w:rPr>
        <w:t xml:space="preserve">Département de statistique du Bureau du </w:t>
      </w:r>
      <w:r w:rsidRPr="00DD5F53">
        <w:rPr>
          <w:i/>
          <w:noProof/>
          <w:spacing w:val="-2"/>
          <w:sz w:val="18"/>
          <w:lang w:val="fr-FR"/>
        </w:rPr>
        <w:t>Fiscal general</w:t>
      </w:r>
      <w:r w:rsidRPr="00DD5F53">
        <w:rPr>
          <w:noProof/>
          <w:spacing w:val="-2"/>
          <w:sz w:val="18"/>
          <w:lang w:val="fr-FR"/>
        </w:rPr>
        <w:t xml:space="preserve"> de la République</w:t>
      </w:r>
      <w:r w:rsidRPr="00DD5F53">
        <w:rPr>
          <w:i/>
          <w:noProof/>
          <w:spacing w:val="-2"/>
          <w:sz w:val="18"/>
          <w:lang w:val="fr-FR"/>
        </w:rPr>
        <w:t xml:space="preserve">, </w:t>
      </w:r>
      <w:r w:rsidRPr="00DD5F53">
        <w:rPr>
          <w:noProof/>
          <w:spacing w:val="-2"/>
          <w:sz w:val="18"/>
          <w:lang w:val="fr-FR"/>
        </w:rPr>
        <w:t>selon les registres du Service d</w:t>
      </w:r>
      <w:r w:rsidR="002A5D78">
        <w:rPr>
          <w:noProof/>
          <w:spacing w:val="-2"/>
          <w:sz w:val="18"/>
          <w:lang w:val="fr-FR"/>
        </w:rPr>
        <w:t>’</w:t>
      </w:r>
      <w:r w:rsidRPr="00DD5F53">
        <w:rPr>
          <w:noProof/>
          <w:spacing w:val="-2"/>
          <w:sz w:val="18"/>
          <w:lang w:val="fr-FR"/>
        </w:rPr>
        <w:t>informatisation et de gestion automatisée des procès, arrêtés au mois de mars 2019.</w:t>
      </w:r>
    </w:p>
    <w:p w14:paraId="6DB29C66" w14:textId="77777777" w:rsidR="00653B7F" w:rsidRDefault="00653B7F" w:rsidP="00D93189">
      <w:pPr>
        <w:pStyle w:val="Titre1"/>
        <w:kinsoku/>
        <w:overflowPunct/>
        <w:autoSpaceDE/>
        <w:autoSpaceDN/>
        <w:adjustRightInd/>
        <w:snapToGrid/>
        <w:spacing w:before="240" w:after="120"/>
        <w:rPr>
          <w:b/>
          <w:noProof/>
          <w:lang w:val="fr-FR"/>
        </w:rPr>
      </w:pPr>
      <w:r>
        <w:rPr>
          <w:noProof/>
          <w:lang w:val="fr-FR"/>
        </w:rPr>
        <w:t>Tableau</w:t>
      </w:r>
      <w:r w:rsidRPr="00A43FCB">
        <w:rPr>
          <w:noProof/>
          <w:lang w:val="fr-FR"/>
        </w:rPr>
        <w:t xml:space="preserve"> 8</w:t>
      </w:r>
      <w:r w:rsidR="00D93189">
        <w:rPr>
          <w:noProof/>
          <w:lang w:val="fr-FR"/>
        </w:rPr>
        <w:br/>
      </w:r>
      <w:r>
        <w:rPr>
          <w:b/>
          <w:noProof/>
          <w:lang w:val="fr-FR"/>
        </w:rPr>
        <w:t>Nombre de jugements portant condamnation du chef de traite des personnes</w:t>
      </w:r>
    </w:p>
    <w:tbl>
      <w:tblPr>
        <w:tblW w:w="7370" w:type="dxa"/>
        <w:tblInd w:w="1134" w:type="dxa"/>
        <w:tblLayout w:type="fixed"/>
        <w:tblCellMar>
          <w:left w:w="0" w:type="dxa"/>
          <w:right w:w="0" w:type="dxa"/>
        </w:tblCellMar>
        <w:tblLook w:val="04A0" w:firstRow="1" w:lastRow="0" w:firstColumn="1" w:lastColumn="0" w:noHBand="0" w:noVBand="1"/>
      </w:tblPr>
      <w:tblGrid>
        <w:gridCol w:w="914"/>
        <w:gridCol w:w="11"/>
        <w:gridCol w:w="1334"/>
        <w:gridCol w:w="637"/>
        <w:gridCol w:w="639"/>
        <w:gridCol w:w="638"/>
        <w:gridCol w:w="645"/>
        <w:gridCol w:w="637"/>
        <w:gridCol w:w="639"/>
        <w:gridCol w:w="638"/>
        <w:gridCol w:w="638"/>
      </w:tblGrid>
      <w:tr w:rsidR="00674990" w:rsidRPr="005D6C25" w14:paraId="46DBE053" w14:textId="77777777" w:rsidTr="00674990">
        <w:tc>
          <w:tcPr>
            <w:tcW w:w="916" w:type="dxa"/>
            <w:vMerge w:val="restart"/>
            <w:tcBorders>
              <w:top w:val="single" w:sz="4" w:space="0" w:color="auto"/>
            </w:tcBorders>
            <w:shd w:val="clear" w:color="auto" w:fill="auto"/>
            <w:tcMar>
              <w:top w:w="0" w:type="dxa"/>
              <w:left w:w="0" w:type="dxa"/>
              <w:bottom w:w="0" w:type="dxa"/>
              <w:right w:w="0" w:type="dxa"/>
            </w:tcMar>
            <w:vAlign w:val="bottom"/>
          </w:tcPr>
          <w:p w14:paraId="7826EAFD" w14:textId="77777777" w:rsidR="00674990" w:rsidRPr="005D6C25" w:rsidRDefault="00674990" w:rsidP="003C6317">
            <w:pPr>
              <w:spacing w:before="80" w:after="80" w:line="220" w:lineRule="exact"/>
              <w:rPr>
                <w:i/>
                <w:noProof/>
                <w:sz w:val="16"/>
                <w:szCs w:val="16"/>
                <w:lang w:val="fr-FR"/>
              </w:rPr>
            </w:pPr>
            <w:r w:rsidRPr="005D6C25">
              <w:rPr>
                <w:i/>
                <w:noProof/>
                <w:sz w:val="16"/>
                <w:szCs w:val="16"/>
                <w:lang w:val="fr-FR"/>
              </w:rPr>
              <w:t>Sexe</w:t>
            </w:r>
          </w:p>
        </w:tc>
        <w:tc>
          <w:tcPr>
            <w:tcW w:w="1348" w:type="dxa"/>
            <w:gridSpan w:val="2"/>
            <w:vMerge w:val="restart"/>
            <w:tcBorders>
              <w:top w:val="single" w:sz="4" w:space="0" w:color="auto"/>
            </w:tcBorders>
            <w:shd w:val="clear" w:color="auto" w:fill="auto"/>
            <w:tcMar>
              <w:top w:w="0" w:type="dxa"/>
              <w:left w:w="0" w:type="dxa"/>
              <w:bottom w:w="0" w:type="dxa"/>
              <w:right w:w="0" w:type="dxa"/>
            </w:tcMar>
            <w:vAlign w:val="bottom"/>
          </w:tcPr>
          <w:p w14:paraId="0811E885" w14:textId="77777777" w:rsidR="00674990" w:rsidRPr="005D6C25" w:rsidRDefault="00674990" w:rsidP="003C6317">
            <w:pPr>
              <w:spacing w:before="80" w:after="80" w:line="220" w:lineRule="exact"/>
              <w:rPr>
                <w:i/>
                <w:noProof/>
                <w:sz w:val="16"/>
                <w:szCs w:val="16"/>
                <w:lang w:val="fr-FR"/>
              </w:rPr>
            </w:pPr>
            <w:r w:rsidRPr="005D6C25">
              <w:rPr>
                <w:i/>
                <w:noProof/>
                <w:sz w:val="16"/>
                <w:szCs w:val="16"/>
                <w:lang w:val="fr-FR"/>
              </w:rPr>
              <w:t>Âge des victimes</w:t>
            </w:r>
          </w:p>
        </w:tc>
        <w:tc>
          <w:tcPr>
            <w:tcW w:w="4468" w:type="dxa"/>
            <w:gridSpan w:val="7"/>
            <w:tcBorders>
              <w:top w:val="single" w:sz="4" w:space="0" w:color="auto"/>
              <w:bottom w:val="single" w:sz="4" w:space="0" w:color="auto"/>
            </w:tcBorders>
            <w:shd w:val="clear" w:color="auto" w:fill="auto"/>
            <w:tcMar>
              <w:top w:w="0" w:type="dxa"/>
              <w:left w:w="0" w:type="dxa"/>
              <w:bottom w:w="0" w:type="dxa"/>
              <w:right w:w="0" w:type="dxa"/>
            </w:tcMar>
            <w:vAlign w:val="bottom"/>
          </w:tcPr>
          <w:p w14:paraId="3211EC7E" w14:textId="77777777" w:rsidR="00674990" w:rsidRPr="005D6C25" w:rsidRDefault="00674990" w:rsidP="003C6317">
            <w:pPr>
              <w:suppressAutoHyphens w:val="0"/>
              <w:spacing w:before="80" w:after="80" w:line="220" w:lineRule="exact"/>
              <w:jc w:val="center"/>
              <w:rPr>
                <w:i/>
                <w:noProof/>
                <w:sz w:val="16"/>
                <w:szCs w:val="16"/>
                <w:lang w:val="fr-FR"/>
              </w:rPr>
            </w:pPr>
            <w:r w:rsidRPr="005D6C25">
              <w:rPr>
                <w:i/>
                <w:noProof/>
                <w:sz w:val="16"/>
                <w:szCs w:val="16"/>
                <w:lang w:val="fr-FR"/>
              </w:rPr>
              <w:t>Année</w:t>
            </w:r>
          </w:p>
        </w:tc>
        <w:tc>
          <w:tcPr>
            <w:tcW w:w="638" w:type="dxa"/>
            <w:vMerge w:val="restart"/>
            <w:tcBorders>
              <w:top w:val="single" w:sz="4" w:space="0" w:color="auto"/>
            </w:tcBorders>
            <w:shd w:val="clear" w:color="auto" w:fill="auto"/>
            <w:tcMar>
              <w:top w:w="0" w:type="dxa"/>
              <w:left w:w="0" w:type="dxa"/>
              <w:bottom w:w="0" w:type="dxa"/>
              <w:right w:w="0" w:type="dxa"/>
            </w:tcMar>
            <w:vAlign w:val="bottom"/>
          </w:tcPr>
          <w:p w14:paraId="74AA5DC2" w14:textId="77777777" w:rsidR="00674990" w:rsidRPr="002D3837" w:rsidRDefault="00674990" w:rsidP="003C6317">
            <w:pPr>
              <w:suppressAutoHyphens w:val="0"/>
              <w:spacing w:before="80" w:after="80" w:line="200" w:lineRule="exact"/>
              <w:jc w:val="right"/>
              <w:rPr>
                <w:b/>
                <w:bCs/>
                <w:i/>
                <w:noProof/>
                <w:sz w:val="16"/>
                <w:szCs w:val="16"/>
                <w:lang w:val="fr-FR"/>
              </w:rPr>
            </w:pPr>
            <w:r w:rsidRPr="002D3837">
              <w:rPr>
                <w:b/>
                <w:bCs/>
                <w:i/>
                <w:noProof/>
                <w:sz w:val="16"/>
                <w:szCs w:val="16"/>
                <w:lang w:val="fr-FR"/>
              </w:rPr>
              <w:t>Total</w:t>
            </w:r>
          </w:p>
        </w:tc>
      </w:tr>
      <w:tr w:rsidR="00674990" w:rsidRPr="005D6C25" w14:paraId="0C18573A" w14:textId="77777777" w:rsidTr="00674990">
        <w:tc>
          <w:tcPr>
            <w:tcW w:w="916" w:type="dxa"/>
            <w:vMerge/>
            <w:shd w:val="clear" w:color="auto" w:fill="auto"/>
            <w:tcMar>
              <w:top w:w="0" w:type="dxa"/>
              <w:left w:w="0" w:type="dxa"/>
              <w:bottom w:w="0" w:type="dxa"/>
              <w:right w:w="0" w:type="dxa"/>
            </w:tcMar>
          </w:tcPr>
          <w:p w14:paraId="7C39ABF0" w14:textId="77777777" w:rsidR="00674990" w:rsidRPr="005D6C25" w:rsidRDefault="00674990" w:rsidP="003C6317">
            <w:pPr>
              <w:suppressAutoHyphens w:val="0"/>
              <w:spacing w:before="80" w:after="80" w:line="220" w:lineRule="exact"/>
              <w:rPr>
                <w:noProof/>
                <w:sz w:val="18"/>
                <w:lang w:val="fr-FR"/>
              </w:rPr>
            </w:pPr>
          </w:p>
        </w:tc>
        <w:tc>
          <w:tcPr>
            <w:tcW w:w="1348" w:type="dxa"/>
            <w:gridSpan w:val="2"/>
            <w:vMerge/>
            <w:shd w:val="clear" w:color="auto" w:fill="auto"/>
            <w:tcMar>
              <w:top w:w="0" w:type="dxa"/>
              <w:left w:w="0" w:type="dxa"/>
              <w:bottom w:w="0" w:type="dxa"/>
              <w:right w:w="0" w:type="dxa"/>
            </w:tcMar>
            <w:vAlign w:val="bottom"/>
          </w:tcPr>
          <w:p w14:paraId="4B860395" w14:textId="77777777" w:rsidR="00674990" w:rsidRPr="005D6C25" w:rsidRDefault="00674990" w:rsidP="003C6317">
            <w:pPr>
              <w:suppressAutoHyphens w:val="0"/>
              <w:spacing w:before="80" w:after="80" w:line="220" w:lineRule="exact"/>
              <w:rPr>
                <w:noProof/>
                <w:sz w:val="18"/>
                <w:lang w:val="fr-FR"/>
              </w:rPr>
            </w:pP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444C75" w14:textId="77777777" w:rsidR="00674990" w:rsidRPr="005D6C25" w:rsidRDefault="00674990" w:rsidP="003C6317">
            <w:pPr>
              <w:suppressAutoHyphens w:val="0"/>
              <w:spacing w:before="80" w:after="80" w:line="220" w:lineRule="exact"/>
              <w:jc w:val="right"/>
              <w:rPr>
                <w:i/>
                <w:noProof/>
                <w:sz w:val="16"/>
                <w:szCs w:val="16"/>
                <w:lang w:val="fr-FR"/>
              </w:rPr>
            </w:pPr>
            <w:r w:rsidRPr="005D6C25">
              <w:rPr>
                <w:i/>
                <w:noProof/>
                <w:sz w:val="16"/>
                <w:szCs w:val="16"/>
                <w:lang w:val="fr-FR"/>
              </w:rPr>
              <w:t>2013</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A3622D6" w14:textId="77777777" w:rsidR="00674990" w:rsidRPr="005D6C25" w:rsidRDefault="00674990" w:rsidP="003C6317">
            <w:pPr>
              <w:suppressAutoHyphens w:val="0"/>
              <w:spacing w:before="80" w:after="80" w:line="220" w:lineRule="exact"/>
              <w:jc w:val="right"/>
              <w:rPr>
                <w:i/>
                <w:noProof/>
                <w:sz w:val="16"/>
                <w:szCs w:val="16"/>
                <w:lang w:val="fr-FR"/>
              </w:rPr>
            </w:pPr>
            <w:r w:rsidRPr="005D6C25">
              <w:rPr>
                <w:i/>
                <w:noProof/>
                <w:sz w:val="16"/>
                <w:szCs w:val="16"/>
                <w:lang w:val="fr-FR"/>
              </w:rPr>
              <w:t>2014</w:t>
            </w:r>
          </w:p>
        </w:tc>
        <w:tc>
          <w:tcPr>
            <w:tcW w:w="63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9E328CE" w14:textId="77777777" w:rsidR="00674990" w:rsidRPr="005D6C25" w:rsidRDefault="00674990" w:rsidP="003C6317">
            <w:pPr>
              <w:suppressAutoHyphens w:val="0"/>
              <w:spacing w:before="80" w:after="80" w:line="220" w:lineRule="exact"/>
              <w:ind w:right="-15"/>
              <w:jc w:val="right"/>
              <w:rPr>
                <w:i/>
                <w:noProof/>
                <w:sz w:val="16"/>
                <w:szCs w:val="16"/>
                <w:lang w:val="fr-FR"/>
              </w:rPr>
            </w:pPr>
            <w:r w:rsidRPr="005D6C25">
              <w:rPr>
                <w:i/>
                <w:noProof/>
                <w:sz w:val="16"/>
                <w:szCs w:val="16"/>
                <w:lang w:val="fr-FR"/>
              </w:rPr>
              <w:t>2015</w:t>
            </w:r>
          </w:p>
        </w:tc>
        <w:tc>
          <w:tcPr>
            <w:tcW w:w="64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AA16877" w14:textId="77777777" w:rsidR="00674990" w:rsidRPr="005D6C25" w:rsidRDefault="00674990" w:rsidP="003C6317">
            <w:pPr>
              <w:suppressAutoHyphens w:val="0"/>
              <w:spacing w:before="80" w:after="80" w:line="220" w:lineRule="exact"/>
              <w:jc w:val="right"/>
              <w:rPr>
                <w:i/>
                <w:noProof/>
                <w:sz w:val="16"/>
                <w:szCs w:val="16"/>
                <w:lang w:val="fr-FR"/>
              </w:rPr>
            </w:pPr>
            <w:r w:rsidRPr="005D6C25">
              <w:rPr>
                <w:i/>
                <w:noProof/>
                <w:sz w:val="16"/>
                <w:szCs w:val="16"/>
                <w:lang w:val="fr-FR"/>
              </w:rPr>
              <w:t>2016</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D3159FF" w14:textId="77777777" w:rsidR="00674990" w:rsidRPr="005D6C25" w:rsidRDefault="00674990" w:rsidP="003C6317">
            <w:pPr>
              <w:suppressAutoHyphens w:val="0"/>
              <w:spacing w:before="80" w:after="80" w:line="220" w:lineRule="exact"/>
              <w:jc w:val="right"/>
              <w:rPr>
                <w:i/>
                <w:noProof/>
                <w:sz w:val="16"/>
                <w:szCs w:val="16"/>
                <w:lang w:val="fr-FR"/>
              </w:rPr>
            </w:pPr>
            <w:r w:rsidRPr="005D6C25">
              <w:rPr>
                <w:i/>
                <w:noProof/>
                <w:sz w:val="16"/>
                <w:szCs w:val="16"/>
                <w:lang w:val="fr-FR"/>
              </w:rPr>
              <w:t>2017</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9567164" w14:textId="77777777" w:rsidR="00674990" w:rsidRPr="005D6C25" w:rsidRDefault="00674990" w:rsidP="003C6317">
            <w:pPr>
              <w:suppressAutoHyphens w:val="0"/>
              <w:spacing w:before="80" w:after="80" w:line="220" w:lineRule="exact"/>
              <w:jc w:val="right"/>
              <w:rPr>
                <w:i/>
                <w:noProof/>
                <w:sz w:val="16"/>
                <w:szCs w:val="16"/>
                <w:lang w:val="fr-FR"/>
              </w:rPr>
            </w:pPr>
            <w:r w:rsidRPr="005D6C25">
              <w:rPr>
                <w:i/>
                <w:noProof/>
                <w:sz w:val="16"/>
                <w:szCs w:val="16"/>
                <w:lang w:val="fr-FR"/>
              </w:rPr>
              <w:t>2018</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48D66D" w14:textId="77777777" w:rsidR="00674990" w:rsidRPr="005D6C25" w:rsidRDefault="00674990" w:rsidP="003C6317">
            <w:pPr>
              <w:suppressAutoHyphens w:val="0"/>
              <w:spacing w:before="80" w:after="80" w:line="220" w:lineRule="exact"/>
              <w:jc w:val="right"/>
              <w:rPr>
                <w:i/>
                <w:noProof/>
                <w:sz w:val="16"/>
                <w:szCs w:val="16"/>
                <w:lang w:val="fr-FR"/>
              </w:rPr>
            </w:pPr>
            <w:r w:rsidRPr="005D6C25">
              <w:rPr>
                <w:i/>
                <w:noProof/>
                <w:sz w:val="16"/>
                <w:szCs w:val="16"/>
                <w:lang w:val="fr-FR"/>
              </w:rPr>
              <w:t>2019</w:t>
            </w:r>
          </w:p>
        </w:tc>
        <w:tc>
          <w:tcPr>
            <w:tcW w:w="638" w:type="dxa"/>
            <w:vMerge/>
            <w:shd w:val="clear" w:color="auto" w:fill="auto"/>
            <w:tcMar>
              <w:top w:w="0" w:type="dxa"/>
              <w:left w:w="0" w:type="dxa"/>
              <w:bottom w:w="0" w:type="dxa"/>
              <w:right w:w="0" w:type="dxa"/>
            </w:tcMar>
            <w:vAlign w:val="bottom"/>
          </w:tcPr>
          <w:p w14:paraId="29571048" w14:textId="77777777" w:rsidR="00674990" w:rsidRPr="002D3837" w:rsidRDefault="00674990" w:rsidP="003C6317">
            <w:pPr>
              <w:suppressAutoHyphens w:val="0"/>
              <w:spacing w:before="80" w:after="80" w:line="220" w:lineRule="exact"/>
              <w:jc w:val="right"/>
              <w:rPr>
                <w:b/>
                <w:bCs/>
                <w:noProof/>
                <w:sz w:val="18"/>
                <w:lang w:val="fr-FR"/>
              </w:rPr>
            </w:pPr>
          </w:p>
        </w:tc>
      </w:tr>
      <w:tr w:rsidR="00DD5F53" w:rsidRPr="00D93189" w14:paraId="71D7C89F" w14:textId="77777777" w:rsidTr="00674990">
        <w:tc>
          <w:tcPr>
            <w:tcW w:w="928" w:type="dxa"/>
            <w:gridSpan w:val="2"/>
            <w:vMerge w:val="restart"/>
            <w:tcBorders>
              <w:top w:val="single" w:sz="12" w:space="0" w:color="auto"/>
            </w:tcBorders>
            <w:shd w:val="clear" w:color="auto" w:fill="auto"/>
            <w:tcMar>
              <w:top w:w="0" w:type="dxa"/>
              <w:left w:w="0" w:type="dxa"/>
              <w:bottom w:w="0" w:type="dxa"/>
              <w:right w:w="0" w:type="dxa"/>
            </w:tcMar>
          </w:tcPr>
          <w:p w14:paraId="1CD700F9" w14:textId="77777777" w:rsidR="00653B7F" w:rsidRPr="00D93189" w:rsidRDefault="00653B7F" w:rsidP="00D93189">
            <w:pPr>
              <w:suppressAutoHyphens w:val="0"/>
              <w:spacing w:before="40" w:after="40" w:line="220" w:lineRule="exact"/>
              <w:rPr>
                <w:noProof/>
                <w:sz w:val="18"/>
                <w:lang w:val="fr-FR"/>
              </w:rPr>
            </w:pPr>
            <w:r w:rsidRPr="00D93189">
              <w:rPr>
                <w:noProof/>
                <w:sz w:val="18"/>
                <w:lang w:val="fr-FR"/>
              </w:rPr>
              <w:t>Masculin (M)</w:t>
            </w:r>
          </w:p>
        </w:tc>
        <w:tc>
          <w:tcPr>
            <w:tcW w:w="1336" w:type="dxa"/>
            <w:tcBorders>
              <w:top w:val="single" w:sz="12" w:space="0" w:color="auto"/>
            </w:tcBorders>
            <w:shd w:val="clear" w:color="auto" w:fill="auto"/>
            <w:tcMar>
              <w:top w:w="0" w:type="dxa"/>
              <w:left w:w="0" w:type="dxa"/>
              <w:bottom w:w="0" w:type="dxa"/>
              <w:right w:w="0" w:type="dxa"/>
            </w:tcMar>
            <w:vAlign w:val="bottom"/>
          </w:tcPr>
          <w:p w14:paraId="7F4D0D12"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0-12 ans</w:t>
            </w:r>
          </w:p>
        </w:tc>
        <w:tc>
          <w:tcPr>
            <w:tcW w:w="637" w:type="dxa"/>
            <w:tcBorders>
              <w:top w:val="single" w:sz="12" w:space="0" w:color="auto"/>
            </w:tcBorders>
            <w:shd w:val="clear" w:color="auto" w:fill="auto"/>
            <w:tcMar>
              <w:top w:w="0" w:type="dxa"/>
              <w:left w:w="0" w:type="dxa"/>
              <w:bottom w:w="0" w:type="dxa"/>
              <w:right w:w="0" w:type="dxa"/>
            </w:tcMar>
            <w:vAlign w:val="bottom"/>
          </w:tcPr>
          <w:p w14:paraId="49FB69B8"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top w:val="single" w:sz="12" w:space="0" w:color="auto"/>
            </w:tcBorders>
            <w:shd w:val="clear" w:color="auto" w:fill="auto"/>
            <w:tcMar>
              <w:top w:w="0" w:type="dxa"/>
              <w:left w:w="0" w:type="dxa"/>
              <w:bottom w:w="0" w:type="dxa"/>
              <w:right w:w="0" w:type="dxa"/>
            </w:tcMar>
            <w:vAlign w:val="bottom"/>
          </w:tcPr>
          <w:p w14:paraId="4D138D30"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021C4002"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40" w:type="dxa"/>
            <w:tcBorders>
              <w:top w:val="single" w:sz="12" w:space="0" w:color="auto"/>
            </w:tcBorders>
            <w:shd w:val="clear" w:color="auto" w:fill="auto"/>
            <w:tcMar>
              <w:top w:w="0" w:type="dxa"/>
              <w:left w:w="0" w:type="dxa"/>
              <w:bottom w:w="0" w:type="dxa"/>
              <w:right w:w="0" w:type="dxa"/>
            </w:tcMar>
            <w:vAlign w:val="bottom"/>
          </w:tcPr>
          <w:p w14:paraId="10D050D7"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tcBorders>
              <w:top w:val="single" w:sz="12" w:space="0" w:color="auto"/>
            </w:tcBorders>
            <w:shd w:val="clear" w:color="auto" w:fill="auto"/>
            <w:tcMar>
              <w:top w:w="0" w:type="dxa"/>
              <w:left w:w="0" w:type="dxa"/>
              <w:bottom w:w="0" w:type="dxa"/>
              <w:right w:w="0" w:type="dxa"/>
            </w:tcMar>
            <w:vAlign w:val="bottom"/>
          </w:tcPr>
          <w:p w14:paraId="22B9FFDB"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9" w:type="dxa"/>
            <w:tcBorders>
              <w:top w:val="single" w:sz="12" w:space="0" w:color="auto"/>
            </w:tcBorders>
            <w:shd w:val="clear" w:color="auto" w:fill="auto"/>
            <w:tcMar>
              <w:top w:w="0" w:type="dxa"/>
              <w:left w:w="0" w:type="dxa"/>
              <w:bottom w:w="0" w:type="dxa"/>
              <w:right w:w="0" w:type="dxa"/>
            </w:tcMar>
            <w:vAlign w:val="bottom"/>
          </w:tcPr>
          <w:p w14:paraId="5499446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16E321E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8" w:type="dxa"/>
            <w:tcBorders>
              <w:top w:val="single" w:sz="12" w:space="0" w:color="auto"/>
            </w:tcBorders>
            <w:shd w:val="clear" w:color="auto" w:fill="auto"/>
            <w:tcMar>
              <w:top w:w="0" w:type="dxa"/>
              <w:left w:w="0" w:type="dxa"/>
              <w:bottom w:w="0" w:type="dxa"/>
              <w:right w:w="0" w:type="dxa"/>
            </w:tcMar>
            <w:vAlign w:val="bottom"/>
          </w:tcPr>
          <w:p w14:paraId="22996581"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2</w:t>
            </w:r>
          </w:p>
        </w:tc>
      </w:tr>
      <w:tr w:rsidR="00B41197" w:rsidRPr="00D93189" w14:paraId="5C98743E" w14:textId="77777777" w:rsidTr="00674990">
        <w:trPr>
          <w:trHeight w:val="80"/>
        </w:trPr>
        <w:tc>
          <w:tcPr>
            <w:tcW w:w="928" w:type="dxa"/>
            <w:gridSpan w:val="2"/>
            <w:vMerge/>
            <w:shd w:val="clear" w:color="auto" w:fill="auto"/>
          </w:tcPr>
          <w:p w14:paraId="7E3875E4" w14:textId="77777777" w:rsidR="00653B7F" w:rsidRPr="00D93189" w:rsidRDefault="00653B7F" w:rsidP="00D93189">
            <w:pPr>
              <w:suppressAutoHyphens w:val="0"/>
              <w:spacing w:before="40" w:after="40" w:line="220" w:lineRule="exact"/>
              <w:rPr>
                <w:noProof/>
                <w:sz w:val="18"/>
                <w:lang w:val="fr-FR"/>
              </w:rPr>
            </w:pPr>
          </w:p>
        </w:tc>
        <w:tc>
          <w:tcPr>
            <w:tcW w:w="1336" w:type="dxa"/>
            <w:shd w:val="clear" w:color="auto" w:fill="auto"/>
            <w:tcMar>
              <w:top w:w="0" w:type="dxa"/>
              <w:left w:w="0" w:type="dxa"/>
              <w:bottom w:w="0" w:type="dxa"/>
              <w:right w:w="0" w:type="dxa"/>
            </w:tcMar>
            <w:vAlign w:val="bottom"/>
          </w:tcPr>
          <w:p w14:paraId="570FAF07"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13-17 ans</w:t>
            </w:r>
          </w:p>
        </w:tc>
        <w:tc>
          <w:tcPr>
            <w:tcW w:w="637" w:type="dxa"/>
            <w:shd w:val="clear" w:color="auto" w:fill="auto"/>
            <w:tcMar>
              <w:top w:w="0" w:type="dxa"/>
              <w:left w:w="0" w:type="dxa"/>
              <w:bottom w:w="0" w:type="dxa"/>
              <w:right w:w="0" w:type="dxa"/>
            </w:tcMar>
            <w:vAlign w:val="bottom"/>
          </w:tcPr>
          <w:p w14:paraId="0FBA7B7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shd w:val="clear" w:color="auto" w:fill="auto"/>
            <w:tcMar>
              <w:top w:w="0" w:type="dxa"/>
              <w:left w:w="0" w:type="dxa"/>
              <w:bottom w:w="0" w:type="dxa"/>
              <w:right w:w="0" w:type="dxa"/>
            </w:tcMar>
            <w:vAlign w:val="bottom"/>
          </w:tcPr>
          <w:p w14:paraId="001FF2A8"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shd w:val="clear" w:color="auto" w:fill="auto"/>
            <w:tcMar>
              <w:top w:w="0" w:type="dxa"/>
              <w:left w:w="0" w:type="dxa"/>
              <w:bottom w:w="0" w:type="dxa"/>
              <w:right w:w="0" w:type="dxa"/>
            </w:tcMar>
            <w:vAlign w:val="bottom"/>
          </w:tcPr>
          <w:p w14:paraId="64ACC9C1"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40" w:type="dxa"/>
            <w:shd w:val="clear" w:color="auto" w:fill="auto"/>
            <w:tcMar>
              <w:top w:w="0" w:type="dxa"/>
              <w:left w:w="0" w:type="dxa"/>
              <w:bottom w:w="0" w:type="dxa"/>
              <w:right w:w="0" w:type="dxa"/>
            </w:tcMar>
            <w:vAlign w:val="bottom"/>
          </w:tcPr>
          <w:p w14:paraId="53C4F031"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shd w:val="clear" w:color="auto" w:fill="auto"/>
            <w:tcMar>
              <w:top w:w="0" w:type="dxa"/>
              <w:left w:w="0" w:type="dxa"/>
              <w:bottom w:w="0" w:type="dxa"/>
              <w:right w:w="0" w:type="dxa"/>
            </w:tcMar>
            <w:vAlign w:val="bottom"/>
          </w:tcPr>
          <w:p w14:paraId="453F726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9" w:type="dxa"/>
            <w:shd w:val="clear" w:color="auto" w:fill="auto"/>
            <w:tcMar>
              <w:top w:w="0" w:type="dxa"/>
              <w:left w:w="0" w:type="dxa"/>
              <w:bottom w:w="0" w:type="dxa"/>
              <w:right w:w="0" w:type="dxa"/>
            </w:tcMar>
            <w:vAlign w:val="bottom"/>
          </w:tcPr>
          <w:p w14:paraId="2E158548"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shd w:val="clear" w:color="auto" w:fill="auto"/>
            <w:tcMar>
              <w:top w:w="0" w:type="dxa"/>
              <w:left w:w="0" w:type="dxa"/>
              <w:bottom w:w="0" w:type="dxa"/>
              <w:right w:w="0" w:type="dxa"/>
            </w:tcMar>
            <w:vAlign w:val="bottom"/>
          </w:tcPr>
          <w:p w14:paraId="0AA6F227"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8" w:type="dxa"/>
            <w:shd w:val="clear" w:color="auto" w:fill="auto"/>
            <w:tcMar>
              <w:top w:w="0" w:type="dxa"/>
              <w:left w:w="0" w:type="dxa"/>
              <w:bottom w:w="0" w:type="dxa"/>
              <w:right w:w="0" w:type="dxa"/>
            </w:tcMar>
            <w:vAlign w:val="bottom"/>
          </w:tcPr>
          <w:p w14:paraId="41A47139"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2</w:t>
            </w:r>
          </w:p>
        </w:tc>
      </w:tr>
      <w:tr w:rsidR="00B41197" w:rsidRPr="00D93189" w14:paraId="7F457793" w14:textId="77777777" w:rsidTr="00674990">
        <w:tc>
          <w:tcPr>
            <w:tcW w:w="928" w:type="dxa"/>
            <w:gridSpan w:val="2"/>
            <w:vMerge/>
            <w:shd w:val="clear" w:color="auto" w:fill="auto"/>
          </w:tcPr>
          <w:p w14:paraId="5FB054E0" w14:textId="77777777" w:rsidR="00653B7F" w:rsidRPr="00D93189" w:rsidRDefault="00653B7F" w:rsidP="00D93189">
            <w:pPr>
              <w:suppressAutoHyphens w:val="0"/>
              <w:spacing w:before="40" w:after="40" w:line="220" w:lineRule="exact"/>
              <w:rPr>
                <w:noProof/>
                <w:sz w:val="18"/>
                <w:lang w:val="fr-FR"/>
              </w:rPr>
            </w:pPr>
          </w:p>
        </w:tc>
        <w:tc>
          <w:tcPr>
            <w:tcW w:w="1336" w:type="dxa"/>
            <w:tcBorders>
              <w:bottom w:val="single" w:sz="4" w:space="0" w:color="auto"/>
            </w:tcBorders>
            <w:shd w:val="clear" w:color="auto" w:fill="auto"/>
            <w:tcMar>
              <w:top w:w="0" w:type="dxa"/>
              <w:left w:w="0" w:type="dxa"/>
              <w:bottom w:w="0" w:type="dxa"/>
              <w:right w:w="0" w:type="dxa"/>
            </w:tcMar>
            <w:vAlign w:val="bottom"/>
          </w:tcPr>
          <w:p w14:paraId="0AB4F3DD"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5AFC1AA2"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14969F48"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71694C3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40" w:type="dxa"/>
            <w:tcBorders>
              <w:bottom w:val="single" w:sz="4" w:space="0" w:color="auto"/>
            </w:tcBorders>
            <w:shd w:val="clear" w:color="auto" w:fill="auto"/>
            <w:tcMar>
              <w:top w:w="0" w:type="dxa"/>
              <w:left w:w="0" w:type="dxa"/>
              <w:bottom w:w="0" w:type="dxa"/>
              <w:right w:w="0" w:type="dxa"/>
            </w:tcMar>
            <w:vAlign w:val="bottom"/>
          </w:tcPr>
          <w:p w14:paraId="6F9EE47A"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tcBorders>
              <w:bottom w:val="single" w:sz="4" w:space="0" w:color="auto"/>
            </w:tcBorders>
            <w:shd w:val="clear" w:color="auto" w:fill="auto"/>
            <w:tcMar>
              <w:top w:w="0" w:type="dxa"/>
              <w:left w:w="0" w:type="dxa"/>
              <w:bottom w:w="0" w:type="dxa"/>
              <w:right w:w="0" w:type="dxa"/>
            </w:tcMar>
            <w:vAlign w:val="bottom"/>
          </w:tcPr>
          <w:p w14:paraId="3DB00333"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24777E24"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172EF0EA"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7EDCFF92"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1</w:t>
            </w:r>
          </w:p>
        </w:tc>
      </w:tr>
      <w:tr w:rsidR="00B41197" w:rsidRPr="00D93189" w14:paraId="6E73A412" w14:textId="77777777" w:rsidTr="00674990">
        <w:tc>
          <w:tcPr>
            <w:tcW w:w="928" w:type="dxa"/>
            <w:gridSpan w:val="2"/>
            <w:vMerge/>
            <w:shd w:val="clear" w:color="auto" w:fill="auto"/>
          </w:tcPr>
          <w:p w14:paraId="27094634" w14:textId="77777777" w:rsidR="00653B7F" w:rsidRPr="00D93189" w:rsidRDefault="00653B7F" w:rsidP="00D93189">
            <w:pPr>
              <w:suppressAutoHyphens w:val="0"/>
              <w:spacing w:before="40" w:after="40" w:line="220" w:lineRule="exact"/>
              <w:rPr>
                <w:noProof/>
                <w:sz w:val="18"/>
                <w:lang w:val="fr-FR"/>
              </w:rPr>
            </w:pPr>
          </w:p>
        </w:tc>
        <w:tc>
          <w:tcPr>
            <w:tcW w:w="133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9D6FFD9" w14:textId="77777777" w:rsidR="00653B7F" w:rsidRPr="00D93189" w:rsidRDefault="00653B7F" w:rsidP="001A7BAE">
            <w:pPr>
              <w:suppressAutoHyphens w:val="0"/>
              <w:spacing w:before="80" w:after="80" w:line="220" w:lineRule="exact"/>
              <w:ind w:left="284"/>
              <w:rPr>
                <w:noProof/>
                <w:sz w:val="18"/>
                <w:lang w:val="fr-FR"/>
              </w:rPr>
            </w:pPr>
            <w:r w:rsidRPr="00D93189">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8220232"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0</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BBB1441"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1</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304BE28"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0</w:t>
            </w:r>
          </w:p>
        </w:tc>
        <w:tc>
          <w:tcPr>
            <w:tcW w:w="64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7FFD562"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0</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CA9C3B3"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2</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7C5A596"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46E3334" w14:textId="77777777" w:rsidR="00653B7F" w:rsidRPr="00D93189" w:rsidRDefault="00653B7F" w:rsidP="001A7BAE">
            <w:pPr>
              <w:suppressAutoHyphens w:val="0"/>
              <w:spacing w:before="80" w:after="80" w:line="220" w:lineRule="exact"/>
              <w:jc w:val="right"/>
              <w:rPr>
                <w:b/>
                <w:noProof/>
                <w:sz w:val="18"/>
                <w:lang w:val="fr-FR"/>
              </w:rPr>
            </w:pPr>
            <w:r w:rsidRPr="00D93189">
              <w:rPr>
                <w:b/>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2AEFED9" w14:textId="77777777" w:rsidR="00653B7F" w:rsidRPr="00B41197" w:rsidRDefault="00653B7F" w:rsidP="001A7BAE">
            <w:pPr>
              <w:suppressAutoHyphens w:val="0"/>
              <w:spacing w:before="80" w:after="80" w:line="220" w:lineRule="exact"/>
              <w:jc w:val="right"/>
              <w:rPr>
                <w:b/>
                <w:bCs/>
                <w:noProof/>
                <w:sz w:val="18"/>
                <w:lang w:val="fr-FR"/>
              </w:rPr>
            </w:pPr>
            <w:r w:rsidRPr="00B41197">
              <w:rPr>
                <w:b/>
                <w:bCs/>
                <w:noProof/>
                <w:sz w:val="18"/>
                <w:lang w:val="fr-FR"/>
              </w:rPr>
              <w:t>5</w:t>
            </w:r>
          </w:p>
        </w:tc>
      </w:tr>
      <w:tr w:rsidR="00B41197" w:rsidRPr="00D93189" w14:paraId="3982B2A0" w14:textId="77777777" w:rsidTr="00674990">
        <w:tc>
          <w:tcPr>
            <w:tcW w:w="928" w:type="dxa"/>
            <w:gridSpan w:val="2"/>
            <w:vMerge w:val="restart"/>
            <w:shd w:val="clear" w:color="auto" w:fill="auto"/>
            <w:tcMar>
              <w:top w:w="0" w:type="dxa"/>
              <w:left w:w="0" w:type="dxa"/>
              <w:bottom w:w="0" w:type="dxa"/>
              <w:right w:w="0" w:type="dxa"/>
            </w:tcMar>
          </w:tcPr>
          <w:p w14:paraId="656A2D30" w14:textId="77777777" w:rsidR="00653B7F" w:rsidRPr="00D93189" w:rsidRDefault="00653B7F" w:rsidP="00D93189">
            <w:pPr>
              <w:suppressAutoHyphens w:val="0"/>
              <w:spacing w:before="40" w:after="40" w:line="220" w:lineRule="exact"/>
              <w:rPr>
                <w:noProof/>
                <w:sz w:val="18"/>
                <w:lang w:val="fr-FR"/>
              </w:rPr>
            </w:pPr>
            <w:r w:rsidRPr="00D93189">
              <w:rPr>
                <w:noProof/>
                <w:sz w:val="18"/>
                <w:lang w:val="fr-FR"/>
              </w:rPr>
              <w:t>Féminin</w:t>
            </w:r>
            <w:r w:rsidRPr="00D93189">
              <w:rPr>
                <w:noProof/>
                <w:sz w:val="18"/>
                <w:lang w:val="fr-FR"/>
              </w:rPr>
              <w:br/>
              <w:t>(F)</w:t>
            </w:r>
          </w:p>
        </w:tc>
        <w:tc>
          <w:tcPr>
            <w:tcW w:w="1336" w:type="dxa"/>
            <w:tcBorders>
              <w:top w:val="single" w:sz="4" w:space="0" w:color="auto"/>
            </w:tcBorders>
            <w:shd w:val="clear" w:color="auto" w:fill="auto"/>
            <w:tcMar>
              <w:top w:w="0" w:type="dxa"/>
              <w:left w:w="0" w:type="dxa"/>
              <w:bottom w:w="0" w:type="dxa"/>
              <w:right w:w="0" w:type="dxa"/>
            </w:tcMar>
            <w:vAlign w:val="bottom"/>
          </w:tcPr>
          <w:p w14:paraId="355484F2"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0-12 ans</w:t>
            </w:r>
          </w:p>
        </w:tc>
        <w:tc>
          <w:tcPr>
            <w:tcW w:w="637" w:type="dxa"/>
            <w:tcBorders>
              <w:top w:val="single" w:sz="4" w:space="0" w:color="auto"/>
            </w:tcBorders>
            <w:shd w:val="clear" w:color="auto" w:fill="auto"/>
            <w:tcMar>
              <w:top w:w="0" w:type="dxa"/>
              <w:left w:w="0" w:type="dxa"/>
              <w:bottom w:w="0" w:type="dxa"/>
              <w:right w:w="0" w:type="dxa"/>
            </w:tcMar>
            <w:vAlign w:val="bottom"/>
          </w:tcPr>
          <w:p w14:paraId="067D1115"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9" w:type="dxa"/>
            <w:tcBorders>
              <w:top w:val="single" w:sz="4" w:space="0" w:color="auto"/>
            </w:tcBorders>
            <w:shd w:val="clear" w:color="auto" w:fill="auto"/>
            <w:tcMar>
              <w:top w:w="0" w:type="dxa"/>
              <w:left w:w="0" w:type="dxa"/>
              <w:bottom w:w="0" w:type="dxa"/>
              <w:right w:w="0" w:type="dxa"/>
            </w:tcMar>
            <w:vAlign w:val="bottom"/>
          </w:tcPr>
          <w:p w14:paraId="07050BF4"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67A84164"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40" w:type="dxa"/>
            <w:tcBorders>
              <w:top w:val="single" w:sz="4" w:space="0" w:color="auto"/>
            </w:tcBorders>
            <w:shd w:val="clear" w:color="auto" w:fill="auto"/>
            <w:tcMar>
              <w:top w:w="0" w:type="dxa"/>
              <w:left w:w="0" w:type="dxa"/>
              <w:bottom w:w="0" w:type="dxa"/>
              <w:right w:w="0" w:type="dxa"/>
            </w:tcMar>
            <w:vAlign w:val="bottom"/>
          </w:tcPr>
          <w:p w14:paraId="3CE18A8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tcBorders>
              <w:top w:val="single" w:sz="4" w:space="0" w:color="auto"/>
            </w:tcBorders>
            <w:shd w:val="clear" w:color="auto" w:fill="auto"/>
            <w:tcMar>
              <w:top w:w="0" w:type="dxa"/>
              <w:left w:w="0" w:type="dxa"/>
              <w:bottom w:w="0" w:type="dxa"/>
              <w:right w:w="0" w:type="dxa"/>
            </w:tcMar>
            <w:vAlign w:val="bottom"/>
          </w:tcPr>
          <w:p w14:paraId="338CE1F2"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top w:val="single" w:sz="4" w:space="0" w:color="auto"/>
            </w:tcBorders>
            <w:shd w:val="clear" w:color="auto" w:fill="auto"/>
            <w:tcMar>
              <w:top w:w="0" w:type="dxa"/>
              <w:left w:w="0" w:type="dxa"/>
              <w:bottom w:w="0" w:type="dxa"/>
              <w:right w:w="0" w:type="dxa"/>
            </w:tcMar>
            <w:vAlign w:val="bottom"/>
          </w:tcPr>
          <w:p w14:paraId="3EC4C686"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2</w:t>
            </w:r>
          </w:p>
        </w:tc>
        <w:tc>
          <w:tcPr>
            <w:tcW w:w="638" w:type="dxa"/>
            <w:tcBorders>
              <w:top w:val="single" w:sz="4" w:space="0" w:color="auto"/>
            </w:tcBorders>
            <w:shd w:val="clear" w:color="auto" w:fill="auto"/>
            <w:tcMar>
              <w:top w:w="0" w:type="dxa"/>
              <w:left w:w="0" w:type="dxa"/>
              <w:bottom w:w="0" w:type="dxa"/>
              <w:right w:w="0" w:type="dxa"/>
            </w:tcMar>
            <w:vAlign w:val="bottom"/>
          </w:tcPr>
          <w:p w14:paraId="1E00D2B5"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20A01CEF"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3</w:t>
            </w:r>
          </w:p>
        </w:tc>
      </w:tr>
      <w:tr w:rsidR="00B41197" w:rsidRPr="00D93189" w14:paraId="365D81F8" w14:textId="77777777" w:rsidTr="00674990">
        <w:tc>
          <w:tcPr>
            <w:tcW w:w="928" w:type="dxa"/>
            <w:gridSpan w:val="2"/>
            <w:vMerge/>
            <w:shd w:val="clear" w:color="auto" w:fill="auto"/>
          </w:tcPr>
          <w:p w14:paraId="660B67A2" w14:textId="77777777" w:rsidR="00653B7F" w:rsidRPr="00D93189" w:rsidRDefault="00653B7F" w:rsidP="00D93189">
            <w:pPr>
              <w:suppressAutoHyphens w:val="0"/>
              <w:spacing w:before="40" w:after="40" w:line="220" w:lineRule="exact"/>
              <w:rPr>
                <w:noProof/>
                <w:sz w:val="18"/>
                <w:lang w:val="fr-FR"/>
              </w:rPr>
            </w:pPr>
          </w:p>
        </w:tc>
        <w:tc>
          <w:tcPr>
            <w:tcW w:w="1336" w:type="dxa"/>
            <w:shd w:val="clear" w:color="auto" w:fill="auto"/>
            <w:tcMar>
              <w:top w:w="0" w:type="dxa"/>
              <w:left w:w="0" w:type="dxa"/>
              <w:bottom w:w="0" w:type="dxa"/>
              <w:right w:w="0" w:type="dxa"/>
            </w:tcMar>
            <w:vAlign w:val="bottom"/>
          </w:tcPr>
          <w:p w14:paraId="5E93A4F1"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13-17 ans</w:t>
            </w:r>
          </w:p>
        </w:tc>
        <w:tc>
          <w:tcPr>
            <w:tcW w:w="637" w:type="dxa"/>
            <w:shd w:val="clear" w:color="auto" w:fill="auto"/>
            <w:tcMar>
              <w:top w:w="0" w:type="dxa"/>
              <w:left w:w="0" w:type="dxa"/>
              <w:bottom w:w="0" w:type="dxa"/>
              <w:right w:w="0" w:type="dxa"/>
            </w:tcMar>
            <w:vAlign w:val="bottom"/>
          </w:tcPr>
          <w:p w14:paraId="612B8B63"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2</w:t>
            </w:r>
          </w:p>
        </w:tc>
        <w:tc>
          <w:tcPr>
            <w:tcW w:w="639" w:type="dxa"/>
            <w:shd w:val="clear" w:color="auto" w:fill="auto"/>
            <w:tcMar>
              <w:top w:w="0" w:type="dxa"/>
              <w:left w:w="0" w:type="dxa"/>
              <w:bottom w:w="0" w:type="dxa"/>
              <w:right w:w="0" w:type="dxa"/>
            </w:tcMar>
            <w:vAlign w:val="bottom"/>
          </w:tcPr>
          <w:p w14:paraId="5E8F4D00"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2</w:t>
            </w:r>
          </w:p>
        </w:tc>
        <w:tc>
          <w:tcPr>
            <w:tcW w:w="638" w:type="dxa"/>
            <w:shd w:val="clear" w:color="auto" w:fill="auto"/>
            <w:tcMar>
              <w:top w:w="0" w:type="dxa"/>
              <w:left w:w="0" w:type="dxa"/>
              <w:bottom w:w="0" w:type="dxa"/>
              <w:right w:w="0" w:type="dxa"/>
            </w:tcMar>
            <w:vAlign w:val="bottom"/>
          </w:tcPr>
          <w:p w14:paraId="3A89D264"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5</w:t>
            </w:r>
          </w:p>
        </w:tc>
        <w:tc>
          <w:tcPr>
            <w:tcW w:w="640" w:type="dxa"/>
            <w:shd w:val="clear" w:color="auto" w:fill="auto"/>
            <w:tcMar>
              <w:top w:w="0" w:type="dxa"/>
              <w:left w:w="0" w:type="dxa"/>
              <w:bottom w:w="0" w:type="dxa"/>
              <w:right w:w="0" w:type="dxa"/>
            </w:tcMar>
            <w:vAlign w:val="bottom"/>
          </w:tcPr>
          <w:p w14:paraId="5459148D"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4</w:t>
            </w:r>
          </w:p>
        </w:tc>
        <w:tc>
          <w:tcPr>
            <w:tcW w:w="637" w:type="dxa"/>
            <w:shd w:val="clear" w:color="auto" w:fill="auto"/>
            <w:tcMar>
              <w:top w:w="0" w:type="dxa"/>
              <w:left w:w="0" w:type="dxa"/>
              <w:bottom w:w="0" w:type="dxa"/>
              <w:right w:w="0" w:type="dxa"/>
            </w:tcMar>
            <w:vAlign w:val="bottom"/>
          </w:tcPr>
          <w:p w14:paraId="78765756"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9" w:type="dxa"/>
            <w:shd w:val="clear" w:color="auto" w:fill="auto"/>
            <w:tcMar>
              <w:top w:w="0" w:type="dxa"/>
              <w:left w:w="0" w:type="dxa"/>
              <w:bottom w:w="0" w:type="dxa"/>
              <w:right w:w="0" w:type="dxa"/>
            </w:tcMar>
            <w:vAlign w:val="bottom"/>
          </w:tcPr>
          <w:p w14:paraId="6F017095"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8" w:type="dxa"/>
            <w:shd w:val="clear" w:color="auto" w:fill="auto"/>
            <w:tcMar>
              <w:top w:w="0" w:type="dxa"/>
              <w:left w:w="0" w:type="dxa"/>
              <w:bottom w:w="0" w:type="dxa"/>
              <w:right w:w="0" w:type="dxa"/>
            </w:tcMar>
            <w:vAlign w:val="bottom"/>
          </w:tcPr>
          <w:p w14:paraId="2548E52A"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2</w:t>
            </w:r>
          </w:p>
        </w:tc>
        <w:tc>
          <w:tcPr>
            <w:tcW w:w="638" w:type="dxa"/>
            <w:shd w:val="clear" w:color="auto" w:fill="auto"/>
            <w:tcMar>
              <w:top w:w="0" w:type="dxa"/>
              <w:left w:w="0" w:type="dxa"/>
              <w:bottom w:w="0" w:type="dxa"/>
              <w:right w:w="0" w:type="dxa"/>
            </w:tcMar>
            <w:vAlign w:val="bottom"/>
          </w:tcPr>
          <w:p w14:paraId="788C386C"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17</w:t>
            </w:r>
          </w:p>
        </w:tc>
      </w:tr>
      <w:tr w:rsidR="00B41197" w:rsidRPr="00D93189" w14:paraId="5B143B4C" w14:textId="77777777" w:rsidTr="00674990">
        <w:tc>
          <w:tcPr>
            <w:tcW w:w="928" w:type="dxa"/>
            <w:gridSpan w:val="2"/>
            <w:vMerge/>
            <w:shd w:val="clear" w:color="auto" w:fill="auto"/>
          </w:tcPr>
          <w:p w14:paraId="3C4FCEF3" w14:textId="77777777" w:rsidR="00653B7F" w:rsidRPr="00D93189" w:rsidRDefault="00653B7F" w:rsidP="00D93189">
            <w:pPr>
              <w:suppressAutoHyphens w:val="0"/>
              <w:spacing w:before="40" w:after="40" w:line="220" w:lineRule="exact"/>
              <w:rPr>
                <w:noProof/>
                <w:sz w:val="18"/>
                <w:lang w:val="fr-FR"/>
              </w:rPr>
            </w:pPr>
          </w:p>
        </w:tc>
        <w:tc>
          <w:tcPr>
            <w:tcW w:w="1336" w:type="dxa"/>
            <w:shd w:val="clear" w:color="auto" w:fill="auto"/>
            <w:tcMar>
              <w:top w:w="0" w:type="dxa"/>
              <w:left w:w="0" w:type="dxa"/>
              <w:bottom w:w="0" w:type="dxa"/>
              <w:right w:w="0" w:type="dxa"/>
            </w:tcMar>
            <w:vAlign w:val="bottom"/>
          </w:tcPr>
          <w:p w14:paraId="5CC32188"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18-30 ans</w:t>
            </w:r>
          </w:p>
        </w:tc>
        <w:tc>
          <w:tcPr>
            <w:tcW w:w="637" w:type="dxa"/>
            <w:shd w:val="clear" w:color="auto" w:fill="auto"/>
            <w:tcMar>
              <w:top w:w="0" w:type="dxa"/>
              <w:left w:w="0" w:type="dxa"/>
              <w:bottom w:w="0" w:type="dxa"/>
              <w:right w:w="0" w:type="dxa"/>
            </w:tcMar>
            <w:vAlign w:val="bottom"/>
          </w:tcPr>
          <w:p w14:paraId="44EA55C4"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shd w:val="clear" w:color="auto" w:fill="auto"/>
            <w:tcMar>
              <w:top w:w="0" w:type="dxa"/>
              <w:left w:w="0" w:type="dxa"/>
              <w:bottom w:w="0" w:type="dxa"/>
              <w:right w:w="0" w:type="dxa"/>
            </w:tcMar>
            <w:vAlign w:val="bottom"/>
          </w:tcPr>
          <w:p w14:paraId="6CE9279A"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8" w:type="dxa"/>
            <w:shd w:val="clear" w:color="auto" w:fill="auto"/>
            <w:tcMar>
              <w:top w:w="0" w:type="dxa"/>
              <w:left w:w="0" w:type="dxa"/>
              <w:bottom w:w="0" w:type="dxa"/>
              <w:right w:w="0" w:type="dxa"/>
            </w:tcMar>
            <w:vAlign w:val="bottom"/>
          </w:tcPr>
          <w:p w14:paraId="47A13243"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40" w:type="dxa"/>
            <w:shd w:val="clear" w:color="auto" w:fill="auto"/>
            <w:tcMar>
              <w:top w:w="0" w:type="dxa"/>
              <w:left w:w="0" w:type="dxa"/>
              <w:bottom w:w="0" w:type="dxa"/>
              <w:right w:w="0" w:type="dxa"/>
            </w:tcMar>
            <w:vAlign w:val="bottom"/>
          </w:tcPr>
          <w:p w14:paraId="0E11FCCD"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shd w:val="clear" w:color="auto" w:fill="auto"/>
            <w:tcMar>
              <w:top w:w="0" w:type="dxa"/>
              <w:left w:w="0" w:type="dxa"/>
              <w:bottom w:w="0" w:type="dxa"/>
              <w:right w:w="0" w:type="dxa"/>
            </w:tcMar>
            <w:vAlign w:val="bottom"/>
          </w:tcPr>
          <w:p w14:paraId="631BEA62"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2</w:t>
            </w:r>
          </w:p>
        </w:tc>
        <w:tc>
          <w:tcPr>
            <w:tcW w:w="639" w:type="dxa"/>
            <w:shd w:val="clear" w:color="auto" w:fill="auto"/>
            <w:tcMar>
              <w:top w:w="0" w:type="dxa"/>
              <w:left w:w="0" w:type="dxa"/>
              <w:bottom w:w="0" w:type="dxa"/>
              <w:right w:w="0" w:type="dxa"/>
            </w:tcMar>
            <w:vAlign w:val="bottom"/>
          </w:tcPr>
          <w:p w14:paraId="40FBAE5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shd w:val="clear" w:color="auto" w:fill="auto"/>
            <w:tcMar>
              <w:top w:w="0" w:type="dxa"/>
              <w:left w:w="0" w:type="dxa"/>
              <w:bottom w:w="0" w:type="dxa"/>
              <w:right w:w="0" w:type="dxa"/>
            </w:tcMar>
            <w:vAlign w:val="bottom"/>
          </w:tcPr>
          <w:p w14:paraId="125CC376"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shd w:val="clear" w:color="auto" w:fill="auto"/>
            <w:tcMar>
              <w:top w:w="0" w:type="dxa"/>
              <w:left w:w="0" w:type="dxa"/>
              <w:bottom w:w="0" w:type="dxa"/>
              <w:right w:w="0" w:type="dxa"/>
            </w:tcMar>
            <w:vAlign w:val="bottom"/>
          </w:tcPr>
          <w:p w14:paraId="0BC336A6"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4</w:t>
            </w:r>
          </w:p>
        </w:tc>
      </w:tr>
      <w:tr w:rsidR="00B41197" w:rsidRPr="00D93189" w14:paraId="59EDA41F" w14:textId="77777777" w:rsidTr="00674990">
        <w:tc>
          <w:tcPr>
            <w:tcW w:w="928" w:type="dxa"/>
            <w:gridSpan w:val="2"/>
            <w:vMerge/>
            <w:shd w:val="clear" w:color="auto" w:fill="auto"/>
          </w:tcPr>
          <w:p w14:paraId="3233A6E8" w14:textId="77777777" w:rsidR="00653B7F" w:rsidRPr="00D93189" w:rsidRDefault="00653B7F" w:rsidP="00D93189">
            <w:pPr>
              <w:suppressAutoHyphens w:val="0"/>
              <w:spacing w:before="40" w:after="40" w:line="220" w:lineRule="exact"/>
              <w:rPr>
                <w:noProof/>
                <w:sz w:val="18"/>
                <w:lang w:val="fr-FR"/>
              </w:rPr>
            </w:pPr>
          </w:p>
        </w:tc>
        <w:tc>
          <w:tcPr>
            <w:tcW w:w="1336" w:type="dxa"/>
            <w:tcBorders>
              <w:bottom w:val="single" w:sz="4" w:space="0" w:color="auto"/>
            </w:tcBorders>
            <w:shd w:val="clear" w:color="auto" w:fill="auto"/>
            <w:tcMar>
              <w:top w:w="0" w:type="dxa"/>
              <w:left w:w="0" w:type="dxa"/>
              <w:bottom w:w="0" w:type="dxa"/>
              <w:right w:w="0" w:type="dxa"/>
            </w:tcMar>
            <w:vAlign w:val="bottom"/>
          </w:tcPr>
          <w:p w14:paraId="0296D306"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6F2A3E41"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42A342D8"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0C48335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40" w:type="dxa"/>
            <w:tcBorders>
              <w:bottom w:val="single" w:sz="4" w:space="0" w:color="auto"/>
            </w:tcBorders>
            <w:shd w:val="clear" w:color="auto" w:fill="auto"/>
            <w:tcMar>
              <w:top w:w="0" w:type="dxa"/>
              <w:left w:w="0" w:type="dxa"/>
              <w:bottom w:w="0" w:type="dxa"/>
              <w:right w:w="0" w:type="dxa"/>
            </w:tcMar>
            <w:vAlign w:val="bottom"/>
          </w:tcPr>
          <w:p w14:paraId="48E7108F"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37" w:type="dxa"/>
            <w:tcBorders>
              <w:bottom w:val="single" w:sz="4" w:space="0" w:color="auto"/>
            </w:tcBorders>
            <w:shd w:val="clear" w:color="auto" w:fill="auto"/>
            <w:tcMar>
              <w:top w:w="0" w:type="dxa"/>
              <w:left w:w="0" w:type="dxa"/>
              <w:bottom w:w="0" w:type="dxa"/>
              <w:right w:w="0" w:type="dxa"/>
            </w:tcMar>
            <w:vAlign w:val="bottom"/>
          </w:tcPr>
          <w:p w14:paraId="63732A5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542D51FB"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69AEF15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776E34D4"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1</w:t>
            </w:r>
          </w:p>
        </w:tc>
      </w:tr>
      <w:tr w:rsidR="00B41197" w:rsidRPr="00D93189" w14:paraId="4BA35FDC" w14:textId="77777777" w:rsidTr="00674990">
        <w:tc>
          <w:tcPr>
            <w:tcW w:w="928" w:type="dxa"/>
            <w:gridSpan w:val="2"/>
            <w:vMerge/>
            <w:shd w:val="clear" w:color="auto" w:fill="auto"/>
          </w:tcPr>
          <w:p w14:paraId="0CBE23E3" w14:textId="77777777" w:rsidR="00653B7F" w:rsidRPr="00D93189" w:rsidRDefault="00653B7F" w:rsidP="00D93189">
            <w:pPr>
              <w:suppressAutoHyphens w:val="0"/>
              <w:spacing w:before="40" w:after="40" w:line="220" w:lineRule="exact"/>
              <w:rPr>
                <w:noProof/>
                <w:sz w:val="18"/>
                <w:lang w:val="fr-FR"/>
              </w:rPr>
            </w:pPr>
          </w:p>
        </w:tc>
        <w:tc>
          <w:tcPr>
            <w:tcW w:w="133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5738125" w14:textId="77777777" w:rsidR="00653B7F" w:rsidRPr="00D93189" w:rsidRDefault="00653B7F" w:rsidP="00DD5F53">
            <w:pPr>
              <w:suppressAutoHyphens w:val="0"/>
              <w:spacing w:before="80" w:after="80" w:line="220" w:lineRule="exact"/>
              <w:ind w:left="284"/>
              <w:rPr>
                <w:noProof/>
                <w:sz w:val="18"/>
                <w:lang w:val="fr-FR"/>
              </w:rPr>
            </w:pPr>
            <w:r w:rsidRPr="00D93189">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B2E65CB"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3</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E04189A"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3</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E30AF87"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6</w:t>
            </w:r>
          </w:p>
        </w:tc>
        <w:tc>
          <w:tcPr>
            <w:tcW w:w="64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CCA90F5"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5</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227C259"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3</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A57A4C6"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3</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F5934F8" w14:textId="77777777" w:rsidR="00653B7F" w:rsidRPr="00D93189" w:rsidRDefault="00653B7F" w:rsidP="00DD5F53">
            <w:pPr>
              <w:suppressAutoHyphens w:val="0"/>
              <w:spacing w:before="80" w:after="80" w:line="220" w:lineRule="exact"/>
              <w:jc w:val="right"/>
              <w:rPr>
                <w:b/>
                <w:noProof/>
                <w:sz w:val="18"/>
                <w:lang w:val="fr-FR"/>
              </w:rPr>
            </w:pPr>
            <w:r w:rsidRPr="00D93189">
              <w:rPr>
                <w:b/>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C51DD4B" w14:textId="77777777" w:rsidR="00653B7F" w:rsidRPr="00B41197" w:rsidRDefault="00653B7F" w:rsidP="00DD5F53">
            <w:pPr>
              <w:suppressAutoHyphens w:val="0"/>
              <w:spacing w:before="80" w:after="80" w:line="220" w:lineRule="exact"/>
              <w:jc w:val="right"/>
              <w:rPr>
                <w:b/>
                <w:bCs/>
                <w:noProof/>
                <w:sz w:val="18"/>
                <w:lang w:val="fr-FR"/>
              </w:rPr>
            </w:pPr>
            <w:r w:rsidRPr="00B41197">
              <w:rPr>
                <w:b/>
                <w:bCs/>
                <w:noProof/>
                <w:sz w:val="18"/>
                <w:lang w:val="fr-FR"/>
              </w:rPr>
              <w:t>25</w:t>
            </w:r>
          </w:p>
        </w:tc>
      </w:tr>
      <w:tr w:rsidR="00B41197" w:rsidRPr="00D93189" w14:paraId="54EB4494" w14:textId="77777777" w:rsidTr="00674990">
        <w:tc>
          <w:tcPr>
            <w:tcW w:w="928" w:type="dxa"/>
            <w:gridSpan w:val="2"/>
            <w:shd w:val="clear" w:color="auto" w:fill="auto"/>
            <w:tcMar>
              <w:top w:w="0" w:type="dxa"/>
              <w:left w:w="0" w:type="dxa"/>
              <w:bottom w:w="0" w:type="dxa"/>
              <w:right w:w="0" w:type="dxa"/>
            </w:tcMar>
          </w:tcPr>
          <w:p w14:paraId="55A15E0D" w14:textId="77777777" w:rsidR="00653B7F" w:rsidRPr="003C6317" w:rsidRDefault="00653B7F" w:rsidP="00D93189">
            <w:pPr>
              <w:suppressAutoHyphens w:val="0"/>
              <w:spacing w:before="40" w:after="40" w:line="220" w:lineRule="exact"/>
              <w:rPr>
                <w:noProof/>
                <w:spacing w:val="-2"/>
                <w:sz w:val="18"/>
                <w:lang w:val="fr-FR"/>
              </w:rPr>
            </w:pPr>
            <w:r w:rsidRPr="003C6317">
              <w:rPr>
                <w:noProof/>
                <w:spacing w:val="-2"/>
                <w:sz w:val="18"/>
                <w:lang w:val="fr-FR"/>
              </w:rPr>
              <w:t>Indéterminé</w:t>
            </w:r>
          </w:p>
        </w:tc>
        <w:tc>
          <w:tcPr>
            <w:tcW w:w="1336" w:type="dxa"/>
            <w:tcBorders>
              <w:top w:val="single" w:sz="4" w:space="0" w:color="auto"/>
            </w:tcBorders>
            <w:shd w:val="clear" w:color="auto" w:fill="auto"/>
            <w:tcMar>
              <w:top w:w="0" w:type="dxa"/>
              <w:left w:w="0" w:type="dxa"/>
              <w:bottom w:w="0" w:type="dxa"/>
              <w:right w:w="0" w:type="dxa"/>
            </w:tcMar>
            <w:vAlign w:val="bottom"/>
          </w:tcPr>
          <w:p w14:paraId="2AA1FE7A"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13-17 ans</w:t>
            </w:r>
          </w:p>
        </w:tc>
        <w:tc>
          <w:tcPr>
            <w:tcW w:w="637" w:type="dxa"/>
            <w:tcBorders>
              <w:top w:val="single" w:sz="4" w:space="0" w:color="auto"/>
            </w:tcBorders>
            <w:shd w:val="clear" w:color="auto" w:fill="auto"/>
            <w:tcMar>
              <w:top w:w="0" w:type="dxa"/>
              <w:left w:w="0" w:type="dxa"/>
              <w:bottom w:w="0" w:type="dxa"/>
              <w:right w:w="0" w:type="dxa"/>
            </w:tcMar>
            <w:vAlign w:val="bottom"/>
          </w:tcPr>
          <w:p w14:paraId="23AC5B6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top w:val="single" w:sz="4" w:space="0" w:color="auto"/>
            </w:tcBorders>
            <w:shd w:val="clear" w:color="auto" w:fill="auto"/>
            <w:tcMar>
              <w:top w:w="0" w:type="dxa"/>
              <w:left w:w="0" w:type="dxa"/>
              <w:bottom w:w="0" w:type="dxa"/>
              <w:right w:w="0" w:type="dxa"/>
            </w:tcMar>
            <w:vAlign w:val="bottom"/>
          </w:tcPr>
          <w:p w14:paraId="263C148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69ED48A6"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1</w:t>
            </w:r>
          </w:p>
        </w:tc>
        <w:tc>
          <w:tcPr>
            <w:tcW w:w="640" w:type="dxa"/>
            <w:tcBorders>
              <w:top w:val="single" w:sz="4" w:space="0" w:color="auto"/>
            </w:tcBorders>
            <w:shd w:val="clear" w:color="auto" w:fill="auto"/>
            <w:tcMar>
              <w:top w:w="0" w:type="dxa"/>
              <w:left w:w="0" w:type="dxa"/>
              <w:bottom w:w="0" w:type="dxa"/>
              <w:right w:w="0" w:type="dxa"/>
            </w:tcMar>
            <w:vAlign w:val="bottom"/>
          </w:tcPr>
          <w:p w14:paraId="4F0909E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tcBorders>
              <w:top w:val="single" w:sz="4" w:space="0" w:color="auto"/>
            </w:tcBorders>
            <w:shd w:val="clear" w:color="auto" w:fill="auto"/>
            <w:tcMar>
              <w:top w:w="0" w:type="dxa"/>
              <w:left w:w="0" w:type="dxa"/>
              <w:bottom w:w="0" w:type="dxa"/>
              <w:right w:w="0" w:type="dxa"/>
            </w:tcMar>
            <w:vAlign w:val="bottom"/>
          </w:tcPr>
          <w:p w14:paraId="28CED271"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top w:val="single" w:sz="4" w:space="0" w:color="auto"/>
            </w:tcBorders>
            <w:shd w:val="clear" w:color="auto" w:fill="auto"/>
            <w:tcMar>
              <w:top w:w="0" w:type="dxa"/>
              <w:left w:w="0" w:type="dxa"/>
              <w:bottom w:w="0" w:type="dxa"/>
              <w:right w:w="0" w:type="dxa"/>
            </w:tcMar>
            <w:vAlign w:val="bottom"/>
          </w:tcPr>
          <w:p w14:paraId="216C10D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49CFE9FE"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48508AD7"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1</w:t>
            </w:r>
          </w:p>
        </w:tc>
      </w:tr>
      <w:tr w:rsidR="00B41197" w:rsidRPr="00D93189" w14:paraId="197D2FD7" w14:textId="77777777" w:rsidTr="00674990">
        <w:tc>
          <w:tcPr>
            <w:tcW w:w="928" w:type="dxa"/>
            <w:gridSpan w:val="2"/>
            <w:shd w:val="clear" w:color="auto" w:fill="auto"/>
            <w:tcMar>
              <w:top w:w="0" w:type="dxa"/>
              <w:left w:w="0" w:type="dxa"/>
              <w:bottom w:w="0" w:type="dxa"/>
              <w:right w:w="0" w:type="dxa"/>
            </w:tcMar>
          </w:tcPr>
          <w:p w14:paraId="60B2BFE0" w14:textId="77777777" w:rsidR="00653B7F" w:rsidRPr="00D93189" w:rsidRDefault="00653B7F" w:rsidP="00D93189">
            <w:pPr>
              <w:suppressAutoHyphens w:val="0"/>
              <w:spacing w:before="40" w:after="40" w:line="220" w:lineRule="exact"/>
              <w:rPr>
                <w:noProof/>
                <w:sz w:val="18"/>
                <w:lang w:val="fr-FR"/>
              </w:rPr>
            </w:pPr>
          </w:p>
        </w:tc>
        <w:tc>
          <w:tcPr>
            <w:tcW w:w="1336" w:type="dxa"/>
            <w:tcBorders>
              <w:bottom w:val="single" w:sz="4" w:space="0" w:color="auto"/>
            </w:tcBorders>
            <w:shd w:val="clear" w:color="auto" w:fill="auto"/>
            <w:tcMar>
              <w:top w:w="0" w:type="dxa"/>
              <w:left w:w="0" w:type="dxa"/>
              <w:bottom w:w="0" w:type="dxa"/>
              <w:right w:w="0" w:type="dxa"/>
            </w:tcMar>
            <w:vAlign w:val="bottom"/>
          </w:tcPr>
          <w:p w14:paraId="4477D39C" w14:textId="77777777" w:rsidR="00653B7F" w:rsidRPr="00D93189" w:rsidRDefault="00653B7F" w:rsidP="001A7BAE">
            <w:pPr>
              <w:suppressAutoHyphens w:val="0"/>
              <w:spacing w:before="40" w:after="40" w:line="220" w:lineRule="exact"/>
              <w:rPr>
                <w:noProof/>
                <w:sz w:val="18"/>
                <w:lang w:val="fr-FR"/>
              </w:rPr>
            </w:pPr>
            <w:r w:rsidRPr="00D93189">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43FDDC57"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7CFAD92F"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8</w:t>
            </w:r>
          </w:p>
        </w:tc>
        <w:tc>
          <w:tcPr>
            <w:tcW w:w="638" w:type="dxa"/>
            <w:tcBorders>
              <w:bottom w:val="single" w:sz="4" w:space="0" w:color="auto"/>
            </w:tcBorders>
            <w:shd w:val="clear" w:color="auto" w:fill="auto"/>
            <w:tcMar>
              <w:top w:w="0" w:type="dxa"/>
              <w:left w:w="0" w:type="dxa"/>
              <w:bottom w:w="0" w:type="dxa"/>
              <w:right w:w="0" w:type="dxa"/>
            </w:tcMar>
            <w:vAlign w:val="bottom"/>
          </w:tcPr>
          <w:p w14:paraId="3E6AC946"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2</w:t>
            </w:r>
          </w:p>
        </w:tc>
        <w:tc>
          <w:tcPr>
            <w:tcW w:w="640" w:type="dxa"/>
            <w:tcBorders>
              <w:bottom w:val="single" w:sz="4" w:space="0" w:color="auto"/>
            </w:tcBorders>
            <w:shd w:val="clear" w:color="auto" w:fill="auto"/>
            <w:tcMar>
              <w:top w:w="0" w:type="dxa"/>
              <w:left w:w="0" w:type="dxa"/>
              <w:bottom w:w="0" w:type="dxa"/>
              <w:right w:w="0" w:type="dxa"/>
            </w:tcMar>
            <w:vAlign w:val="bottom"/>
          </w:tcPr>
          <w:p w14:paraId="21B85D2C"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7" w:type="dxa"/>
            <w:tcBorders>
              <w:bottom w:val="single" w:sz="4" w:space="0" w:color="auto"/>
            </w:tcBorders>
            <w:shd w:val="clear" w:color="auto" w:fill="auto"/>
            <w:tcMar>
              <w:top w:w="0" w:type="dxa"/>
              <w:left w:w="0" w:type="dxa"/>
              <w:bottom w:w="0" w:type="dxa"/>
              <w:right w:w="0" w:type="dxa"/>
            </w:tcMar>
            <w:vAlign w:val="bottom"/>
          </w:tcPr>
          <w:p w14:paraId="38DB1330"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9" w:type="dxa"/>
            <w:tcBorders>
              <w:bottom w:val="single" w:sz="4" w:space="0" w:color="auto"/>
            </w:tcBorders>
            <w:shd w:val="clear" w:color="auto" w:fill="auto"/>
            <w:tcMar>
              <w:top w:w="0" w:type="dxa"/>
              <w:left w:w="0" w:type="dxa"/>
              <w:bottom w:w="0" w:type="dxa"/>
              <w:right w:w="0" w:type="dxa"/>
            </w:tcMar>
            <w:vAlign w:val="bottom"/>
          </w:tcPr>
          <w:p w14:paraId="477BE6BD"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774FB361" w14:textId="77777777" w:rsidR="00653B7F" w:rsidRPr="00D93189" w:rsidRDefault="00653B7F" w:rsidP="00D93189">
            <w:pPr>
              <w:suppressAutoHyphens w:val="0"/>
              <w:spacing w:before="40" w:after="40" w:line="220" w:lineRule="exact"/>
              <w:jc w:val="right"/>
              <w:rPr>
                <w:noProof/>
                <w:sz w:val="18"/>
                <w:lang w:val="fr-FR"/>
              </w:rPr>
            </w:pPr>
            <w:r w:rsidRPr="00D93189">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47A17E75" w14:textId="77777777" w:rsidR="00653B7F" w:rsidRPr="00B41197" w:rsidRDefault="00653B7F" w:rsidP="00D93189">
            <w:pPr>
              <w:suppressAutoHyphens w:val="0"/>
              <w:spacing w:before="40" w:after="40" w:line="220" w:lineRule="exact"/>
              <w:jc w:val="right"/>
              <w:rPr>
                <w:b/>
                <w:bCs/>
                <w:noProof/>
                <w:sz w:val="18"/>
                <w:lang w:val="fr-FR"/>
              </w:rPr>
            </w:pPr>
            <w:r w:rsidRPr="00B41197">
              <w:rPr>
                <w:b/>
                <w:bCs/>
                <w:noProof/>
                <w:sz w:val="18"/>
                <w:lang w:val="fr-FR"/>
              </w:rPr>
              <w:t>10</w:t>
            </w:r>
          </w:p>
        </w:tc>
      </w:tr>
      <w:tr w:rsidR="00B41197" w:rsidRPr="00D93189" w14:paraId="22245999" w14:textId="77777777" w:rsidTr="00674990">
        <w:tc>
          <w:tcPr>
            <w:tcW w:w="928" w:type="dxa"/>
            <w:gridSpan w:val="2"/>
            <w:tcBorders>
              <w:bottom w:val="single" w:sz="4" w:space="0" w:color="auto"/>
            </w:tcBorders>
            <w:shd w:val="clear" w:color="auto" w:fill="auto"/>
            <w:tcMar>
              <w:top w:w="0" w:type="dxa"/>
              <w:left w:w="0" w:type="dxa"/>
              <w:bottom w:w="0" w:type="dxa"/>
              <w:right w:w="0" w:type="dxa"/>
            </w:tcMar>
          </w:tcPr>
          <w:p w14:paraId="72A0FCB5" w14:textId="77777777" w:rsidR="00653B7F" w:rsidRPr="00D93189" w:rsidRDefault="00653B7F" w:rsidP="00D93189">
            <w:pPr>
              <w:suppressAutoHyphens w:val="0"/>
              <w:spacing w:before="40" w:after="40" w:line="220" w:lineRule="exact"/>
              <w:rPr>
                <w:noProof/>
                <w:sz w:val="18"/>
                <w:lang w:val="fr-FR"/>
              </w:rPr>
            </w:pPr>
          </w:p>
        </w:tc>
        <w:tc>
          <w:tcPr>
            <w:tcW w:w="133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50B8F09" w14:textId="77777777" w:rsidR="00653B7F" w:rsidRPr="00D93189" w:rsidRDefault="00653B7F" w:rsidP="00B41197">
            <w:pPr>
              <w:suppressAutoHyphens w:val="0"/>
              <w:spacing w:before="80" w:after="80" w:line="220" w:lineRule="exact"/>
              <w:ind w:left="284"/>
              <w:rPr>
                <w:noProof/>
                <w:sz w:val="18"/>
                <w:lang w:val="fr-FR"/>
              </w:rPr>
            </w:pPr>
            <w:r w:rsidRPr="00D93189">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77B19AC"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0</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894A750"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8</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9E37B02"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3</w:t>
            </w:r>
          </w:p>
        </w:tc>
        <w:tc>
          <w:tcPr>
            <w:tcW w:w="64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6F2D87E"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0</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D68084E"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0</w:t>
            </w:r>
          </w:p>
        </w:tc>
        <w:tc>
          <w:tcPr>
            <w:tcW w:w="63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B136A76"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2E7E758"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5A2D078" w14:textId="77777777" w:rsidR="00653B7F" w:rsidRPr="00B41197" w:rsidRDefault="00653B7F" w:rsidP="00B41197">
            <w:pPr>
              <w:suppressAutoHyphens w:val="0"/>
              <w:spacing w:before="80" w:after="80" w:line="220" w:lineRule="exact"/>
              <w:jc w:val="right"/>
              <w:rPr>
                <w:b/>
                <w:bCs/>
                <w:noProof/>
                <w:sz w:val="18"/>
                <w:lang w:val="fr-FR"/>
              </w:rPr>
            </w:pPr>
            <w:r w:rsidRPr="00B41197">
              <w:rPr>
                <w:b/>
                <w:bCs/>
                <w:noProof/>
                <w:sz w:val="18"/>
                <w:lang w:val="fr-FR"/>
              </w:rPr>
              <w:t>11</w:t>
            </w:r>
          </w:p>
        </w:tc>
      </w:tr>
      <w:tr w:rsidR="00B41197" w:rsidRPr="00D93189" w14:paraId="4BA68958" w14:textId="77777777" w:rsidTr="00674990">
        <w:tc>
          <w:tcPr>
            <w:tcW w:w="2264" w:type="dxa"/>
            <w:gridSpan w:val="3"/>
            <w:tcBorders>
              <w:top w:val="single" w:sz="4" w:space="0" w:color="auto"/>
              <w:bottom w:val="single" w:sz="12" w:space="0" w:color="auto"/>
            </w:tcBorders>
            <w:shd w:val="clear" w:color="auto" w:fill="auto"/>
            <w:tcMar>
              <w:top w:w="0" w:type="dxa"/>
              <w:left w:w="0" w:type="dxa"/>
              <w:bottom w:w="0" w:type="dxa"/>
              <w:right w:w="0" w:type="dxa"/>
            </w:tcMar>
          </w:tcPr>
          <w:p w14:paraId="678E106E" w14:textId="77777777" w:rsidR="00653B7F" w:rsidRPr="00D93189" w:rsidRDefault="00653B7F" w:rsidP="00B41197">
            <w:pPr>
              <w:suppressAutoHyphens w:val="0"/>
              <w:spacing w:before="80" w:after="80" w:line="220" w:lineRule="exact"/>
              <w:ind w:left="284"/>
              <w:rPr>
                <w:b/>
                <w:noProof/>
                <w:sz w:val="18"/>
                <w:lang w:val="fr-FR"/>
              </w:rPr>
            </w:pPr>
            <w:r w:rsidRPr="00D93189">
              <w:rPr>
                <w:b/>
                <w:noProof/>
                <w:sz w:val="18"/>
                <w:lang w:val="fr-FR"/>
              </w:rPr>
              <w:t>Total général</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0194199"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3</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3F66B29"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12</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F7A0944"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9</w:t>
            </w:r>
          </w:p>
        </w:tc>
        <w:tc>
          <w:tcPr>
            <w:tcW w:w="64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7C25BD5"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5</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649C3F6"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5</w:t>
            </w:r>
          </w:p>
        </w:tc>
        <w:tc>
          <w:tcPr>
            <w:tcW w:w="6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6EF7615"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3</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91C291" w14:textId="77777777" w:rsidR="00653B7F" w:rsidRPr="00D93189" w:rsidRDefault="00653B7F" w:rsidP="00B41197">
            <w:pPr>
              <w:suppressAutoHyphens w:val="0"/>
              <w:spacing w:before="80" w:after="80" w:line="220" w:lineRule="exact"/>
              <w:jc w:val="right"/>
              <w:rPr>
                <w:b/>
                <w:noProof/>
                <w:sz w:val="18"/>
                <w:lang w:val="fr-FR"/>
              </w:rPr>
            </w:pPr>
            <w:r w:rsidRPr="00D93189">
              <w:rPr>
                <w:b/>
                <w:noProof/>
                <w:sz w:val="18"/>
                <w:lang w:val="fr-FR"/>
              </w:rPr>
              <w:t>4</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1E224B2" w14:textId="77777777" w:rsidR="00653B7F" w:rsidRPr="00B41197" w:rsidRDefault="00653B7F" w:rsidP="00B41197">
            <w:pPr>
              <w:suppressAutoHyphens w:val="0"/>
              <w:spacing w:before="80" w:after="80" w:line="220" w:lineRule="exact"/>
              <w:jc w:val="right"/>
              <w:rPr>
                <w:b/>
                <w:bCs/>
                <w:noProof/>
                <w:sz w:val="18"/>
                <w:lang w:val="fr-FR"/>
              </w:rPr>
            </w:pPr>
            <w:r w:rsidRPr="00B41197">
              <w:rPr>
                <w:b/>
                <w:bCs/>
                <w:noProof/>
                <w:sz w:val="18"/>
                <w:lang w:val="fr-FR"/>
              </w:rPr>
              <w:t>41</w:t>
            </w:r>
          </w:p>
        </w:tc>
      </w:tr>
    </w:tbl>
    <w:p w14:paraId="4EEFD626" w14:textId="77777777" w:rsidR="00653B7F" w:rsidRPr="00A43FCB" w:rsidRDefault="00653B7F" w:rsidP="00653B7F">
      <w:pPr>
        <w:pStyle w:val="SingleTxtG"/>
        <w:spacing w:before="120"/>
        <w:ind w:firstLine="170"/>
        <w:rPr>
          <w:noProof/>
          <w:sz w:val="18"/>
          <w:lang w:val="fr-FR"/>
        </w:rPr>
      </w:pPr>
      <w:r>
        <w:rPr>
          <w:i/>
          <w:noProof/>
          <w:sz w:val="18"/>
          <w:lang w:val="fr-FR"/>
        </w:rPr>
        <w:t>Source</w:t>
      </w:r>
      <w:r w:rsidR="00B41197">
        <w:rPr>
          <w:i/>
          <w:noProof/>
          <w:sz w:val="18"/>
          <w:lang w:val="fr-FR"/>
        </w:rPr>
        <w:t> </w:t>
      </w:r>
      <w:r w:rsidRPr="00B41197">
        <w:rPr>
          <w:iCs/>
          <w:noProof/>
          <w:sz w:val="18"/>
          <w:lang w:val="fr-FR"/>
        </w:rPr>
        <w:t>:</w:t>
      </w:r>
      <w:r w:rsidRPr="00A43FCB">
        <w:rPr>
          <w:noProof/>
          <w:sz w:val="18"/>
          <w:lang w:val="fr-FR"/>
        </w:rPr>
        <w:t xml:space="preserve"> </w:t>
      </w:r>
      <w:r>
        <w:rPr>
          <w:noProof/>
          <w:sz w:val="18"/>
          <w:lang w:val="fr-FR"/>
        </w:rPr>
        <w:t xml:space="preserve">Département de statistique du Bureau du </w:t>
      </w:r>
      <w:r>
        <w:rPr>
          <w:i/>
          <w:noProof/>
          <w:sz w:val="18"/>
          <w:lang w:val="fr-FR"/>
        </w:rPr>
        <w:t>Fiscal general</w:t>
      </w:r>
      <w:r>
        <w:rPr>
          <w:noProof/>
          <w:sz w:val="18"/>
          <w:lang w:val="fr-FR"/>
        </w:rPr>
        <w:t xml:space="preserve"> de la République</w:t>
      </w:r>
      <w:r>
        <w:rPr>
          <w:i/>
          <w:noProof/>
          <w:sz w:val="18"/>
          <w:lang w:val="fr-FR"/>
        </w:rPr>
        <w:t xml:space="preserve">, </w:t>
      </w:r>
      <w:r>
        <w:rPr>
          <w:noProof/>
          <w:sz w:val="18"/>
          <w:lang w:val="fr-FR"/>
        </w:rPr>
        <w:t>selon les registres du Service d</w:t>
      </w:r>
      <w:r w:rsidR="002A5D78">
        <w:rPr>
          <w:noProof/>
          <w:sz w:val="18"/>
          <w:lang w:val="fr-FR"/>
        </w:rPr>
        <w:t>’</w:t>
      </w:r>
      <w:r>
        <w:rPr>
          <w:noProof/>
          <w:sz w:val="18"/>
          <w:lang w:val="fr-FR"/>
        </w:rPr>
        <w:t>informatisation et de gestion automatisée des procès, arrêtés au mois de mars 2019</w:t>
      </w:r>
      <w:r w:rsidRPr="00A43FCB">
        <w:rPr>
          <w:noProof/>
          <w:sz w:val="18"/>
          <w:lang w:val="fr-FR"/>
        </w:rPr>
        <w:t>.</w:t>
      </w:r>
    </w:p>
    <w:p w14:paraId="61F76032" w14:textId="77777777" w:rsidR="00653B7F" w:rsidRPr="00A43FCB" w:rsidRDefault="00653B7F" w:rsidP="003C6317">
      <w:pPr>
        <w:spacing w:after="120" w:line="240" w:lineRule="auto"/>
        <w:ind w:left="1134" w:right="1134"/>
        <w:rPr>
          <w:b/>
          <w:bCs/>
          <w:noProof/>
          <w:lang w:val="fr-FR"/>
        </w:rPr>
      </w:pPr>
      <w:r w:rsidRPr="00A43FCB">
        <w:rPr>
          <w:noProof/>
          <w:sz w:val="18"/>
          <w:lang w:val="fr-FR"/>
        </w:rPr>
        <w:br w:type="page"/>
      </w:r>
      <w:r>
        <w:rPr>
          <w:noProof/>
          <w:lang w:val="fr-FR"/>
        </w:rPr>
        <w:lastRenderedPageBreak/>
        <w:t>Tableau</w:t>
      </w:r>
      <w:r w:rsidRPr="00A43FCB">
        <w:rPr>
          <w:noProof/>
          <w:lang w:val="fr-FR"/>
        </w:rPr>
        <w:t xml:space="preserve"> 9</w:t>
      </w:r>
      <w:r w:rsidR="00922CDF">
        <w:rPr>
          <w:noProof/>
          <w:lang w:val="fr-FR"/>
        </w:rPr>
        <w:br/>
      </w:r>
      <w:r>
        <w:rPr>
          <w:b/>
          <w:bCs/>
          <w:noProof/>
          <w:lang w:val="fr-FR"/>
        </w:rPr>
        <w:t>Jugements portant condamnation du chef de traite des personnes, classés selon la</w:t>
      </w:r>
      <w:r w:rsidR="003C6317">
        <w:rPr>
          <w:b/>
          <w:bCs/>
          <w:noProof/>
          <w:lang w:val="fr-FR"/>
        </w:rPr>
        <w:t> </w:t>
      </w:r>
      <w:r>
        <w:rPr>
          <w:b/>
          <w:bCs/>
          <w:noProof/>
          <w:lang w:val="fr-FR"/>
        </w:rPr>
        <w:t>durée de la peine prononcée</w:t>
      </w:r>
    </w:p>
    <w:tbl>
      <w:tblPr>
        <w:tblW w:w="7370" w:type="dxa"/>
        <w:tblInd w:w="1134" w:type="dxa"/>
        <w:tblLayout w:type="fixed"/>
        <w:tblCellMar>
          <w:left w:w="0" w:type="dxa"/>
          <w:right w:w="0" w:type="dxa"/>
        </w:tblCellMar>
        <w:tblLook w:val="04A0" w:firstRow="1" w:lastRow="0" w:firstColumn="1" w:lastColumn="0" w:noHBand="0" w:noVBand="1"/>
      </w:tblPr>
      <w:tblGrid>
        <w:gridCol w:w="1962"/>
        <w:gridCol w:w="670"/>
        <w:gridCol w:w="673"/>
        <w:gridCol w:w="673"/>
        <w:gridCol w:w="678"/>
        <w:gridCol w:w="666"/>
        <w:gridCol w:w="678"/>
        <w:gridCol w:w="673"/>
        <w:gridCol w:w="697"/>
      </w:tblGrid>
      <w:tr w:rsidR="00653B7F" w:rsidRPr="00922CDF" w14:paraId="64160B78" w14:textId="77777777" w:rsidTr="00922CDF">
        <w:trPr>
          <w:tblHeader/>
        </w:trPr>
        <w:tc>
          <w:tcPr>
            <w:tcW w:w="1962" w:type="dxa"/>
            <w:vMerge w:val="restart"/>
            <w:tcBorders>
              <w:top w:val="single" w:sz="4" w:space="0" w:color="auto"/>
              <w:bottom w:val="single" w:sz="4" w:space="0" w:color="auto"/>
            </w:tcBorders>
            <w:shd w:val="clear" w:color="auto" w:fill="auto"/>
            <w:tcMar>
              <w:top w:w="0" w:type="dxa"/>
              <w:left w:w="0" w:type="dxa"/>
              <w:bottom w:w="0" w:type="dxa"/>
              <w:right w:w="0" w:type="dxa"/>
            </w:tcMar>
            <w:vAlign w:val="bottom"/>
          </w:tcPr>
          <w:p w14:paraId="6A3249AF" w14:textId="77777777" w:rsidR="00653B7F" w:rsidRPr="00922CDF" w:rsidRDefault="00653B7F" w:rsidP="00922CDF">
            <w:pPr>
              <w:suppressAutoHyphens w:val="0"/>
              <w:spacing w:before="80" w:after="80" w:line="200" w:lineRule="exact"/>
              <w:rPr>
                <w:i/>
                <w:noProof/>
                <w:sz w:val="16"/>
                <w:lang w:val="fr-FR"/>
              </w:rPr>
            </w:pPr>
            <w:r w:rsidRPr="00922CDF">
              <w:rPr>
                <w:i/>
                <w:noProof/>
                <w:sz w:val="16"/>
                <w:lang w:val="fr-FR"/>
              </w:rPr>
              <w:t>Nombre d</w:t>
            </w:r>
            <w:r w:rsidR="002A5D78">
              <w:rPr>
                <w:i/>
                <w:noProof/>
                <w:sz w:val="16"/>
                <w:lang w:val="fr-FR"/>
              </w:rPr>
              <w:t>’</w:t>
            </w:r>
            <w:r w:rsidRPr="00922CDF">
              <w:rPr>
                <w:i/>
                <w:noProof/>
                <w:sz w:val="16"/>
                <w:lang w:val="fr-FR"/>
              </w:rPr>
              <w:t>années d</w:t>
            </w:r>
            <w:r w:rsidR="002A5D78">
              <w:rPr>
                <w:i/>
                <w:noProof/>
                <w:sz w:val="16"/>
                <w:lang w:val="fr-FR"/>
              </w:rPr>
              <w:t>’</w:t>
            </w:r>
            <w:r w:rsidRPr="00922CDF">
              <w:rPr>
                <w:i/>
                <w:noProof/>
                <w:sz w:val="16"/>
                <w:lang w:val="fr-FR"/>
              </w:rPr>
              <w:t>emprisonnement</w:t>
            </w:r>
          </w:p>
        </w:tc>
        <w:tc>
          <w:tcPr>
            <w:tcW w:w="4711" w:type="dxa"/>
            <w:gridSpan w:val="7"/>
            <w:tcBorders>
              <w:top w:val="single" w:sz="4" w:space="0" w:color="auto"/>
              <w:bottom w:val="single" w:sz="4" w:space="0" w:color="auto"/>
            </w:tcBorders>
            <w:shd w:val="clear" w:color="auto" w:fill="auto"/>
            <w:tcMar>
              <w:top w:w="80" w:type="dxa"/>
              <w:left w:w="80" w:type="dxa"/>
              <w:bottom w:w="80" w:type="dxa"/>
              <w:right w:w="80" w:type="dxa"/>
            </w:tcMar>
            <w:vAlign w:val="bottom"/>
          </w:tcPr>
          <w:p w14:paraId="2641B184" w14:textId="77777777" w:rsidR="00653B7F" w:rsidRPr="00922CDF" w:rsidRDefault="00653B7F" w:rsidP="00922CDF">
            <w:pPr>
              <w:suppressAutoHyphens w:val="0"/>
              <w:spacing w:before="80" w:after="80" w:line="200" w:lineRule="exact"/>
              <w:jc w:val="center"/>
              <w:rPr>
                <w:i/>
                <w:noProof/>
                <w:sz w:val="16"/>
                <w:lang w:val="fr-FR"/>
              </w:rPr>
            </w:pPr>
            <w:r w:rsidRPr="00922CDF">
              <w:rPr>
                <w:i/>
                <w:noProof/>
                <w:sz w:val="16"/>
                <w:lang w:val="fr-FR"/>
              </w:rPr>
              <w:t>Année</w:t>
            </w:r>
          </w:p>
        </w:tc>
        <w:tc>
          <w:tcPr>
            <w:tcW w:w="697" w:type="dxa"/>
            <w:vMerge w:val="restart"/>
            <w:tcBorders>
              <w:top w:val="single" w:sz="4" w:space="0" w:color="auto"/>
              <w:bottom w:val="single" w:sz="4" w:space="0" w:color="auto"/>
            </w:tcBorders>
            <w:shd w:val="clear" w:color="auto" w:fill="auto"/>
            <w:tcMar>
              <w:top w:w="0" w:type="dxa"/>
              <w:left w:w="0" w:type="dxa"/>
              <w:bottom w:w="0" w:type="dxa"/>
              <w:right w:w="0" w:type="dxa"/>
            </w:tcMar>
            <w:vAlign w:val="bottom"/>
          </w:tcPr>
          <w:p w14:paraId="4143E0DB" w14:textId="77777777" w:rsidR="00653B7F" w:rsidRPr="00922CDF" w:rsidRDefault="00653B7F" w:rsidP="00922CDF">
            <w:pPr>
              <w:suppressAutoHyphens w:val="0"/>
              <w:spacing w:before="80" w:after="80" w:line="200" w:lineRule="exact"/>
              <w:jc w:val="right"/>
              <w:rPr>
                <w:b/>
                <w:bCs/>
                <w:i/>
                <w:noProof/>
                <w:sz w:val="16"/>
                <w:lang w:val="fr-FR"/>
              </w:rPr>
            </w:pPr>
            <w:r w:rsidRPr="00922CDF">
              <w:rPr>
                <w:b/>
                <w:bCs/>
                <w:i/>
                <w:noProof/>
                <w:sz w:val="16"/>
                <w:lang w:val="fr-FR"/>
              </w:rPr>
              <w:t xml:space="preserve">Total </w:t>
            </w:r>
          </w:p>
        </w:tc>
      </w:tr>
      <w:tr w:rsidR="00653B7F" w:rsidRPr="00922CDF" w14:paraId="32E3FA0C" w14:textId="77777777" w:rsidTr="00922CDF">
        <w:trPr>
          <w:tblHeader/>
        </w:trPr>
        <w:tc>
          <w:tcPr>
            <w:tcW w:w="1962" w:type="dxa"/>
            <w:vMerge/>
            <w:tcBorders>
              <w:top w:val="single" w:sz="4" w:space="0" w:color="auto"/>
              <w:bottom w:val="single" w:sz="12" w:space="0" w:color="auto"/>
            </w:tcBorders>
            <w:shd w:val="clear" w:color="auto" w:fill="auto"/>
            <w:vAlign w:val="bottom"/>
          </w:tcPr>
          <w:p w14:paraId="3CC2F999" w14:textId="77777777" w:rsidR="00653B7F" w:rsidRPr="00922CDF" w:rsidRDefault="00653B7F" w:rsidP="00922CDF">
            <w:pPr>
              <w:suppressAutoHyphens w:val="0"/>
              <w:spacing w:before="80" w:after="80" w:line="220" w:lineRule="exact"/>
              <w:rPr>
                <w:noProof/>
                <w:sz w:val="18"/>
                <w:lang w:val="fr-FR"/>
              </w:rPr>
            </w:pPr>
          </w:p>
        </w:tc>
        <w:tc>
          <w:tcPr>
            <w:tcW w:w="67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EEE37DA"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2013</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3E174CC"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2014</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4A7E57"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2015</w:t>
            </w:r>
          </w:p>
        </w:tc>
        <w:tc>
          <w:tcPr>
            <w:tcW w:w="6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3DDAD58"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2016</w:t>
            </w:r>
          </w:p>
        </w:tc>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4FC571"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2017</w:t>
            </w:r>
          </w:p>
        </w:tc>
        <w:tc>
          <w:tcPr>
            <w:tcW w:w="6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1562391"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2018</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09F4F43" w14:textId="77777777" w:rsidR="00653B7F" w:rsidRPr="00922CDF" w:rsidRDefault="00653B7F" w:rsidP="00922CDF">
            <w:pPr>
              <w:suppressAutoHyphens w:val="0"/>
              <w:spacing w:before="80" w:after="80" w:line="220" w:lineRule="exact"/>
              <w:jc w:val="right"/>
              <w:rPr>
                <w:noProof/>
                <w:sz w:val="18"/>
                <w:lang w:val="fr-FR"/>
              </w:rPr>
            </w:pPr>
            <w:r w:rsidRPr="00922CDF">
              <w:rPr>
                <w:noProof/>
                <w:sz w:val="18"/>
                <w:lang w:val="fr-FR"/>
              </w:rPr>
              <w:t>2019</w:t>
            </w:r>
          </w:p>
        </w:tc>
        <w:tc>
          <w:tcPr>
            <w:tcW w:w="697" w:type="dxa"/>
            <w:vMerge/>
            <w:tcBorders>
              <w:top w:val="single" w:sz="4" w:space="0" w:color="auto"/>
              <w:bottom w:val="single" w:sz="12" w:space="0" w:color="auto"/>
            </w:tcBorders>
            <w:shd w:val="clear" w:color="auto" w:fill="auto"/>
            <w:vAlign w:val="bottom"/>
          </w:tcPr>
          <w:p w14:paraId="0AB0922A" w14:textId="77777777" w:rsidR="00653B7F" w:rsidRPr="00922CDF" w:rsidRDefault="00653B7F" w:rsidP="00922CDF">
            <w:pPr>
              <w:suppressAutoHyphens w:val="0"/>
              <w:spacing w:before="80" w:after="80" w:line="220" w:lineRule="exact"/>
              <w:jc w:val="right"/>
              <w:rPr>
                <w:b/>
                <w:bCs/>
                <w:noProof/>
                <w:sz w:val="18"/>
                <w:lang w:val="fr-FR"/>
              </w:rPr>
            </w:pPr>
          </w:p>
        </w:tc>
      </w:tr>
      <w:tr w:rsidR="00653B7F" w:rsidRPr="00922CDF" w14:paraId="127892E8" w14:textId="77777777" w:rsidTr="00922CDF">
        <w:tc>
          <w:tcPr>
            <w:tcW w:w="1962" w:type="dxa"/>
            <w:tcBorders>
              <w:top w:val="single" w:sz="12" w:space="0" w:color="auto"/>
            </w:tcBorders>
            <w:shd w:val="clear" w:color="auto" w:fill="auto"/>
            <w:tcMar>
              <w:top w:w="0" w:type="dxa"/>
              <w:left w:w="0" w:type="dxa"/>
              <w:bottom w:w="0" w:type="dxa"/>
              <w:right w:w="0" w:type="dxa"/>
            </w:tcMar>
          </w:tcPr>
          <w:p w14:paraId="6EFC7F50"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Jusqu</w:t>
            </w:r>
            <w:r w:rsidR="002A5D78">
              <w:rPr>
                <w:noProof/>
                <w:sz w:val="18"/>
                <w:lang w:val="fr-FR"/>
              </w:rPr>
              <w:t>’</w:t>
            </w:r>
            <w:r w:rsidRPr="00922CDF">
              <w:rPr>
                <w:noProof/>
                <w:sz w:val="18"/>
                <w:lang w:val="fr-FR"/>
              </w:rPr>
              <w:t xml:space="preserve">à 5 ans </w:t>
            </w:r>
          </w:p>
        </w:tc>
        <w:tc>
          <w:tcPr>
            <w:tcW w:w="670" w:type="dxa"/>
            <w:tcBorders>
              <w:top w:val="single" w:sz="12" w:space="0" w:color="auto"/>
            </w:tcBorders>
            <w:shd w:val="clear" w:color="auto" w:fill="auto"/>
            <w:tcMar>
              <w:top w:w="0" w:type="dxa"/>
              <w:left w:w="0" w:type="dxa"/>
              <w:bottom w:w="0" w:type="dxa"/>
              <w:right w:w="0" w:type="dxa"/>
            </w:tcMar>
            <w:vAlign w:val="bottom"/>
          </w:tcPr>
          <w:p w14:paraId="67AD21E9"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tcBorders>
              <w:top w:val="single" w:sz="12" w:space="0" w:color="auto"/>
            </w:tcBorders>
            <w:shd w:val="clear" w:color="auto" w:fill="auto"/>
            <w:tcMar>
              <w:top w:w="0" w:type="dxa"/>
              <w:left w:w="0" w:type="dxa"/>
              <w:bottom w:w="0" w:type="dxa"/>
              <w:right w:w="0" w:type="dxa"/>
            </w:tcMar>
            <w:vAlign w:val="bottom"/>
          </w:tcPr>
          <w:p w14:paraId="77FADF9A"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tcBorders>
              <w:top w:val="single" w:sz="12" w:space="0" w:color="auto"/>
            </w:tcBorders>
            <w:shd w:val="clear" w:color="auto" w:fill="auto"/>
            <w:tcMar>
              <w:top w:w="0" w:type="dxa"/>
              <w:left w:w="0" w:type="dxa"/>
              <w:bottom w:w="0" w:type="dxa"/>
              <w:right w:w="0" w:type="dxa"/>
            </w:tcMar>
            <w:vAlign w:val="bottom"/>
          </w:tcPr>
          <w:p w14:paraId="6E610FBA"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tcBorders>
              <w:top w:val="single" w:sz="12" w:space="0" w:color="auto"/>
            </w:tcBorders>
            <w:shd w:val="clear" w:color="auto" w:fill="auto"/>
            <w:tcMar>
              <w:top w:w="0" w:type="dxa"/>
              <w:left w:w="0" w:type="dxa"/>
              <w:bottom w:w="0" w:type="dxa"/>
              <w:right w:w="0" w:type="dxa"/>
            </w:tcMar>
            <w:vAlign w:val="bottom"/>
          </w:tcPr>
          <w:p w14:paraId="1CA54B48"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66" w:type="dxa"/>
            <w:tcBorders>
              <w:top w:val="single" w:sz="12" w:space="0" w:color="auto"/>
            </w:tcBorders>
            <w:shd w:val="clear" w:color="auto" w:fill="auto"/>
            <w:tcMar>
              <w:top w:w="0" w:type="dxa"/>
              <w:left w:w="0" w:type="dxa"/>
              <w:bottom w:w="0" w:type="dxa"/>
              <w:right w:w="0" w:type="dxa"/>
            </w:tcMar>
            <w:vAlign w:val="bottom"/>
          </w:tcPr>
          <w:p w14:paraId="0C45D49D"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tcBorders>
              <w:top w:val="single" w:sz="12" w:space="0" w:color="auto"/>
            </w:tcBorders>
            <w:shd w:val="clear" w:color="auto" w:fill="auto"/>
            <w:tcMar>
              <w:top w:w="0" w:type="dxa"/>
              <w:left w:w="0" w:type="dxa"/>
              <w:bottom w:w="0" w:type="dxa"/>
              <w:right w:w="0" w:type="dxa"/>
            </w:tcMar>
            <w:vAlign w:val="bottom"/>
          </w:tcPr>
          <w:p w14:paraId="6DFA3B23"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w:t>
            </w:r>
          </w:p>
        </w:tc>
        <w:tc>
          <w:tcPr>
            <w:tcW w:w="673" w:type="dxa"/>
            <w:tcBorders>
              <w:top w:val="single" w:sz="12" w:space="0" w:color="auto"/>
            </w:tcBorders>
            <w:shd w:val="clear" w:color="auto" w:fill="auto"/>
            <w:tcMar>
              <w:top w:w="0" w:type="dxa"/>
              <w:left w:w="0" w:type="dxa"/>
              <w:bottom w:w="0" w:type="dxa"/>
              <w:right w:w="0" w:type="dxa"/>
            </w:tcMar>
            <w:vAlign w:val="bottom"/>
          </w:tcPr>
          <w:p w14:paraId="33BB9F15"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97" w:type="dxa"/>
            <w:tcBorders>
              <w:top w:val="single" w:sz="12" w:space="0" w:color="auto"/>
            </w:tcBorders>
            <w:shd w:val="clear" w:color="auto" w:fill="auto"/>
            <w:tcMar>
              <w:top w:w="0" w:type="dxa"/>
              <w:left w:w="0" w:type="dxa"/>
              <w:bottom w:w="0" w:type="dxa"/>
              <w:right w:w="0" w:type="dxa"/>
            </w:tcMar>
            <w:vAlign w:val="bottom"/>
          </w:tcPr>
          <w:p w14:paraId="3FD2BBBA"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1</w:t>
            </w:r>
          </w:p>
        </w:tc>
      </w:tr>
      <w:tr w:rsidR="00653B7F" w:rsidRPr="00922CDF" w14:paraId="5CDF1A92" w14:textId="77777777" w:rsidTr="00922CDF">
        <w:tc>
          <w:tcPr>
            <w:tcW w:w="1962" w:type="dxa"/>
            <w:shd w:val="clear" w:color="auto" w:fill="auto"/>
            <w:tcMar>
              <w:top w:w="0" w:type="dxa"/>
              <w:left w:w="0" w:type="dxa"/>
              <w:bottom w:w="0" w:type="dxa"/>
              <w:right w:w="0" w:type="dxa"/>
            </w:tcMar>
          </w:tcPr>
          <w:p w14:paraId="36A89AEF"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5</w:t>
            </w:r>
            <w:r w:rsidR="00922CDF">
              <w:rPr>
                <w:noProof/>
                <w:sz w:val="18"/>
                <w:lang w:val="fr-FR"/>
              </w:rPr>
              <w:t>-</w:t>
            </w:r>
            <w:r w:rsidRPr="00922CDF">
              <w:rPr>
                <w:noProof/>
                <w:sz w:val="18"/>
                <w:lang w:val="fr-FR"/>
              </w:rPr>
              <w:t>7,5 ans</w:t>
            </w:r>
          </w:p>
        </w:tc>
        <w:tc>
          <w:tcPr>
            <w:tcW w:w="670" w:type="dxa"/>
            <w:shd w:val="clear" w:color="auto" w:fill="auto"/>
            <w:tcMar>
              <w:top w:w="0" w:type="dxa"/>
              <w:left w:w="0" w:type="dxa"/>
              <w:bottom w:w="0" w:type="dxa"/>
              <w:right w:w="0" w:type="dxa"/>
            </w:tcMar>
            <w:vAlign w:val="bottom"/>
          </w:tcPr>
          <w:p w14:paraId="7D4C95B1"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7E17A374"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6BE69897"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78" w:type="dxa"/>
            <w:shd w:val="clear" w:color="auto" w:fill="auto"/>
            <w:tcMar>
              <w:top w:w="0" w:type="dxa"/>
              <w:left w:w="0" w:type="dxa"/>
              <w:bottom w:w="0" w:type="dxa"/>
              <w:right w:w="0" w:type="dxa"/>
            </w:tcMar>
            <w:vAlign w:val="bottom"/>
          </w:tcPr>
          <w:p w14:paraId="0878D803"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66" w:type="dxa"/>
            <w:shd w:val="clear" w:color="auto" w:fill="auto"/>
            <w:tcMar>
              <w:top w:w="0" w:type="dxa"/>
              <w:left w:w="0" w:type="dxa"/>
              <w:bottom w:w="0" w:type="dxa"/>
              <w:right w:w="0" w:type="dxa"/>
            </w:tcMar>
            <w:vAlign w:val="bottom"/>
          </w:tcPr>
          <w:p w14:paraId="1F03A802"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shd w:val="clear" w:color="auto" w:fill="auto"/>
            <w:tcMar>
              <w:top w:w="0" w:type="dxa"/>
              <w:left w:w="0" w:type="dxa"/>
              <w:bottom w:w="0" w:type="dxa"/>
              <w:right w:w="0" w:type="dxa"/>
            </w:tcMar>
            <w:vAlign w:val="bottom"/>
          </w:tcPr>
          <w:p w14:paraId="6A51220D"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459437F2"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w:t>
            </w:r>
          </w:p>
        </w:tc>
        <w:tc>
          <w:tcPr>
            <w:tcW w:w="697" w:type="dxa"/>
            <w:shd w:val="clear" w:color="auto" w:fill="auto"/>
            <w:tcMar>
              <w:top w:w="0" w:type="dxa"/>
              <w:left w:w="0" w:type="dxa"/>
              <w:bottom w:w="0" w:type="dxa"/>
              <w:right w:w="0" w:type="dxa"/>
            </w:tcMar>
            <w:vAlign w:val="bottom"/>
          </w:tcPr>
          <w:p w14:paraId="623315FB"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3</w:t>
            </w:r>
          </w:p>
        </w:tc>
      </w:tr>
      <w:tr w:rsidR="00653B7F" w:rsidRPr="00922CDF" w14:paraId="562FDC3E" w14:textId="77777777" w:rsidTr="00922CDF">
        <w:tc>
          <w:tcPr>
            <w:tcW w:w="1962" w:type="dxa"/>
            <w:shd w:val="clear" w:color="auto" w:fill="auto"/>
            <w:tcMar>
              <w:top w:w="0" w:type="dxa"/>
              <w:left w:w="0" w:type="dxa"/>
              <w:bottom w:w="0" w:type="dxa"/>
              <w:right w:w="0" w:type="dxa"/>
            </w:tcMar>
          </w:tcPr>
          <w:p w14:paraId="760B2B74"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7,5</w:t>
            </w:r>
            <w:r w:rsidR="00922CDF">
              <w:rPr>
                <w:noProof/>
                <w:sz w:val="18"/>
                <w:lang w:val="fr-FR"/>
              </w:rPr>
              <w:t>-</w:t>
            </w:r>
            <w:r w:rsidRPr="00922CDF">
              <w:rPr>
                <w:noProof/>
                <w:sz w:val="18"/>
                <w:lang w:val="fr-FR"/>
              </w:rPr>
              <w:t xml:space="preserve">10 ans </w:t>
            </w:r>
          </w:p>
        </w:tc>
        <w:tc>
          <w:tcPr>
            <w:tcW w:w="670" w:type="dxa"/>
            <w:shd w:val="clear" w:color="auto" w:fill="auto"/>
            <w:tcMar>
              <w:top w:w="0" w:type="dxa"/>
              <w:left w:w="0" w:type="dxa"/>
              <w:bottom w:w="0" w:type="dxa"/>
              <w:right w:w="0" w:type="dxa"/>
            </w:tcMar>
            <w:vAlign w:val="bottom"/>
          </w:tcPr>
          <w:p w14:paraId="258EE7D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76620AA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2A40D004"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78" w:type="dxa"/>
            <w:shd w:val="clear" w:color="auto" w:fill="auto"/>
            <w:tcMar>
              <w:top w:w="0" w:type="dxa"/>
              <w:left w:w="0" w:type="dxa"/>
              <w:bottom w:w="0" w:type="dxa"/>
              <w:right w:w="0" w:type="dxa"/>
            </w:tcMar>
            <w:vAlign w:val="bottom"/>
          </w:tcPr>
          <w:p w14:paraId="1378E76C"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66" w:type="dxa"/>
            <w:shd w:val="clear" w:color="auto" w:fill="auto"/>
            <w:tcMar>
              <w:top w:w="0" w:type="dxa"/>
              <w:left w:w="0" w:type="dxa"/>
              <w:bottom w:w="0" w:type="dxa"/>
              <w:right w:w="0" w:type="dxa"/>
            </w:tcMar>
            <w:vAlign w:val="bottom"/>
          </w:tcPr>
          <w:p w14:paraId="2052D608"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w:t>
            </w:r>
          </w:p>
        </w:tc>
        <w:tc>
          <w:tcPr>
            <w:tcW w:w="678" w:type="dxa"/>
            <w:shd w:val="clear" w:color="auto" w:fill="auto"/>
            <w:tcMar>
              <w:top w:w="0" w:type="dxa"/>
              <w:left w:w="0" w:type="dxa"/>
              <w:bottom w:w="0" w:type="dxa"/>
              <w:right w:w="0" w:type="dxa"/>
            </w:tcMar>
            <w:vAlign w:val="bottom"/>
          </w:tcPr>
          <w:p w14:paraId="24E9A270"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320958A3"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97" w:type="dxa"/>
            <w:shd w:val="clear" w:color="auto" w:fill="auto"/>
            <w:tcMar>
              <w:top w:w="0" w:type="dxa"/>
              <w:left w:w="0" w:type="dxa"/>
              <w:bottom w:w="0" w:type="dxa"/>
              <w:right w:w="0" w:type="dxa"/>
            </w:tcMar>
            <w:vAlign w:val="bottom"/>
          </w:tcPr>
          <w:p w14:paraId="2B9A36AA"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5</w:t>
            </w:r>
          </w:p>
        </w:tc>
      </w:tr>
      <w:tr w:rsidR="00653B7F" w:rsidRPr="00922CDF" w14:paraId="5498D0AD" w14:textId="77777777" w:rsidTr="00922CDF">
        <w:tc>
          <w:tcPr>
            <w:tcW w:w="1962" w:type="dxa"/>
            <w:shd w:val="clear" w:color="auto" w:fill="auto"/>
            <w:tcMar>
              <w:top w:w="0" w:type="dxa"/>
              <w:left w:w="0" w:type="dxa"/>
              <w:bottom w:w="0" w:type="dxa"/>
              <w:right w:w="0" w:type="dxa"/>
            </w:tcMar>
          </w:tcPr>
          <w:p w14:paraId="0521111E"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10</w:t>
            </w:r>
            <w:r w:rsidR="00922CDF">
              <w:rPr>
                <w:noProof/>
                <w:sz w:val="18"/>
                <w:lang w:val="fr-FR"/>
              </w:rPr>
              <w:t>-</w:t>
            </w:r>
            <w:r w:rsidRPr="00922CDF">
              <w:rPr>
                <w:noProof/>
                <w:sz w:val="18"/>
                <w:lang w:val="fr-FR"/>
              </w:rPr>
              <w:t xml:space="preserve">15 ans </w:t>
            </w:r>
          </w:p>
        </w:tc>
        <w:tc>
          <w:tcPr>
            <w:tcW w:w="670" w:type="dxa"/>
            <w:shd w:val="clear" w:color="auto" w:fill="auto"/>
            <w:tcMar>
              <w:top w:w="0" w:type="dxa"/>
              <w:left w:w="0" w:type="dxa"/>
              <w:bottom w:w="0" w:type="dxa"/>
              <w:right w:w="0" w:type="dxa"/>
            </w:tcMar>
            <w:vAlign w:val="bottom"/>
          </w:tcPr>
          <w:p w14:paraId="609A5029"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1B0231CD"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3E3D5772"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78" w:type="dxa"/>
            <w:shd w:val="clear" w:color="auto" w:fill="auto"/>
            <w:tcMar>
              <w:top w:w="0" w:type="dxa"/>
              <w:left w:w="0" w:type="dxa"/>
              <w:bottom w:w="0" w:type="dxa"/>
              <w:right w:w="0" w:type="dxa"/>
            </w:tcMar>
            <w:vAlign w:val="bottom"/>
          </w:tcPr>
          <w:p w14:paraId="52507F50"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66" w:type="dxa"/>
            <w:shd w:val="clear" w:color="auto" w:fill="auto"/>
            <w:tcMar>
              <w:top w:w="0" w:type="dxa"/>
              <w:left w:w="0" w:type="dxa"/>
              <w:bottom w:w="0" w:type="dxa"/>
              <w:right w:w="0" w:type="dxa"/>
            </w:tcMar>
            <w:vAlign w:val="bottom"/>
          </w:tcPr>
          <w:p w14:paraId="7531042A"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shd w:val="clear" w:color="auto" w:fill="auto"/>
            <w:tcMar>
              <w:top w:w="0" w:type="dxa"/>
              <w:left w:w="0" w:type="dxa"/>
              <w:bottom w:w="0" w:type="dxa"/>
              <w:right w:w="0" w:type="dxa"/>
            </w:tcMar>
            <w:vAlign w:val="bottom"/>
          </w:tcPr>
          <w:p w14:paraId="7479B2D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7BCFF956"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97" w:type="dxa"/>
            <w:shd w:val="clear" w:color="auto" w:fill="auto"/>
            <w:tcMar>
              <w:top w:w="0" w:type="dxa"/>
              <w:left w:w="0" w:type="dxa"/>
              <w:bottom w:w="0" w:type="dxa"/>
              <w:right w:w="0" w:type="dxa"/>
            </w:tcMar>
            <w:vAlign w:val="bottom"/>
          </w:tcPr>
          <w:p w14:paraId="749D60D5"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4</w:t>
            </w:r>
          </w:p>
        </w:tc>
      </w:tr>
      <w:tr w:rsidR="00653B7F" w:rsidRPr="00922CDF" w14:paraId="0984AAD9" w14:textId="77777777" w:rsidTr="00922CDF">
        <w:tc>
          <w:tcPr>
            <w:tcW w:w="1962" w:type="dxa"/>
            <w:shd w:val="clear" w:color="auto" w:fill="auto"/>
            <w:tcMar>
              <w:top w:w="0" w:type="dxa"/>
              <w:left w:w="0" w:type="dxa"/>
              <w:bottom w:w="0" w:type="dxa"/>
              <w:right w:w="0" w:type="dxa"/>
            </w:tcMar>
          </w:tcPr>
          <w:p w14:paraId="058A5C16"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15</w:t>
            </w:r>
            <w:r w:rsidR="00922CDF">
              <w:rPr>
                <w:noProof/>
                <w:sz w:val="18"/>
                <w:lang w:val="fr-FR"/>
              </w:rPr>
              <w:t>-</w:t>
            </w:r>
            <w:r w:rsidRPr="00922CDF">
              <w:rPr>
                <w:noProof/>
                <w:sz w:val="18"/>
                <w:lang w:val="fr-FR"/>
              </w:rPr>
              <w:t xml:space="preserve">20 ans </w:t>
            </w:r>
          </w:p>
        </w:tc>
        <w:tc>
          <w:tcPr>
            <w:tcW w:w="670" w:type="dxa"/>
            <w:shd w:val="clear" w:color="auto" w:fill="auto"/>
            <w:tcMar>
              <w:top w:w="0" w:type="dxa"/>
              <w:left w:w="0" w:type="dxa"/>
              <w:bottom w:w="0" w:type="dxa"/>
              <w:right w:w="0" w:type="dxa"/>
            </w:tcMar>
            <w:vAlign w:val="bottom"/>
          </w:tcPr>
          <w:p w14:paraId="27FB664D"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72905530"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2620FBA4"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shd w:val="clear" w:color="auto" w:fill="auto"/>
            <w:tcMar>
              <w:top w:w="0" w:type="dxa"/>
              <w:left w:w="0" w:type="dxa"/>
              <w:bottom w:w="0" w:type="dxa"/>
              <w:right w:w="0" w:type="dxa"/>
            </w:tcMar>
            <w:vAlign w:val="bottom"/>
          </w:tcPr>
          <w:p w14:paraId="5A6276F4"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66" w:type="dxa"/>
            <w:shd w:val="clear" w:color="auto" w:fill="auto"/>
            <w:tcMar>
              <w:top w:w="0" w:type="dxa"/>
              <w:left w:w="0" w:type="dxa"/>
              <w:bottom w:w="0" w:type="dxa"/>
              <w:right w:w="0" w:type="dxa"/>
            </w:tcMar>
            <w:vAlign w:val="bottom"/>
          </w:tcPr>
          <w:p w14:paraId="0E7A4736"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shd w:val="clear" w:color="auto" w:fill="auto"/>
            <w:tcMar>
              <w:top w:w="0" w:type="dxa"/>
              <w:left w:w="0" w:type="dxa"/>
              <w:bottom w:w="0" w:type="dxa"/>
              <w:right w:w="0" w:type="dxa"/>
            </w:tcMar>
            <w:vAlign w:val="bottom"/>
          </w:tcPr>
          <w:p w14:paraId="040A8A8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23723C4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w:t>
            </w:r>
          </w:p>
        </w:tc>
        <w:tc>
          <w:tcPr>
            <w:tcW w:w="697" w:type="dxa"/>
            <w:shd w:val="clear" w:color="auto" w:fill="auto"/>
            <w:tcMar>
              <w:top w:w="0" w:type="dxa"/>
              <w:left w:w="0" w:type="dxa"/>
              <w:bottom w:w="0" w:type="dxa"/>
              <w:right w:w="0" w:type="dxa"/>
            </w:tcMar>
            <w:vAlign w:val="bottom"/>
          </w:tcPr>
          <w:p w14:paraId="70806A8E"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1</w:t>
            </w:r>
          </w:p>
        </w:tc>
      </w:tr>
      <w:tr w:rsidR="00653B7F" w:rsidRPr="00922CDF" w14:paraId="0A8A8E43" w14:textId="77777777" w:rsidTr="00922CDF">
        <w:tc>
          <w:tcPr>
            <w:tcW w:w="1962" w:type="dxa"/>
            <w:shd w:val="clear" w:color="auto" w:fill="auto"/>
            <w:tcMar>
              <w:top w:w="0" w:type="dxa"/>
              <w:left w:w="0" w:type="dxa"/>
              <w:bottom w:w="0" w:type="dxa"/>
              <w:right w:w="0" w:type="dxa"/>
            </w:tcMar>
          </w:tcPr>
          <w:p w14:paraId="419AF19E"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20</w:t>
            </w:r>
            <w:r w:rsidR="00922CDF">
              <w:rPr>
                <w:noProof/>
                <w:sz w:val="18"/>
                <w:lang w:val="fr-FR"/>
              </w:rPr>
              <w:t>-</w:t>
            </w:r>
            <w:r w:rsidRPr="00922CDF">
              <w:rPr>
                <w:noProof/>
                <w:sz w:val="18"/>
                <w:lang w:val="fr-FR"/>
              </w:rPr>
              <w:t xml:space="preserve">40 ans </w:t>
            </w:r>
          </w:p>
        </w:tc>
        <w:tc>
          <w:tcPr>
            <w:tcW w:w="670" w:type="dxa"/>
            <w:shd w:val="clear" w:color="auto" w:fill="auto"/>
            <w:tcMar>
              <w:top w:w="0" w:type="dxa"/>
              <w:left w:w="0" w:type="dxa"/>
              <w:bottom w:w="0" w:type="dxa"/>
              <w:right w:w="0" w:type="dxa"/>
            </w:tcMar>
            <w:vAlign w:val="bottom"/>
          </w:tcPr>
          <w:p w14:paraId="7034095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17586C96"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364A7FB3"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w:t>
            </w:r>
          </w:p>
        </w:tc>
        <w:tc>
          <w:tcPr>
            <w:tcW w:w="678" w:type="dxa"/>
            <w:shd w:val="clear" w:color="auto" w:fill="auto"/>
            <w:tcMar>
              <w:top w:w="0" w:type="dxa"/>
              <w:left w:w="0" w:type="dxa"/>
              <w:bottom w:w="0" w:type="dxa"/>
              <w:right w:w="0" w:type="dxa"/>
            </w:tcMar>
            <w:vAlign w:val="bottom"/>
          </w:tcPr>
          <w:p w14:paraId="6311BB42"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66" w:type="dxa"/>
            <w:shd w:val="clear" w:color="auto" w:fill="auto"/>
            <w:tcMar>
              <w:top w:w="0" w:type="dxa"/>
              <w:left w:w="0" w:type="dxa"/>
              <w:bottom w:w="0" w:type="dxa"/>
              <w:right w:w="0" w:type="dxa"/>
            </w:tcMar>
            <w:vAlign w:val="bottom"/>
          </w:tcPr>
          <w:p w14:paraId="3A49CCE3"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8" w:type="dxa"/>
            <w:shd w:val="clear" w:color="auto" w:fill="auto"/>
            <w:tcMar>
              <w:top w:w="0" w:type="dxa"/>
              <w:left w:w="0" w:type="dxa"/>
              <w:bottom w:w="0" w:type="dxa"/>
              <w:right w:w="0" w:type="dxa"/>
            </w:tcMar>
            <w:vAlign w:val="bottom"/>
          </w:tcPr>
          <w:p w14:paraId="3C45E83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73" w:type="dxa"/>
            <w:shd w:val="clear" w:color="auto" w:fill="auto"/>
            <w:tcMar>
              <w:top w:w="0" w:type="dxa"/>
              <w:left w:w="0" w:type="dxa"/>
              <w:bottom w:w="0" w:type="dxa"/>
              <w:right w:w="0" w:type="dxa"/>
            </w:tcMar>
            <w:vAlign w:val="bottom"/>
          </w:tcPr>
          <w:p w14:paraId="60EB932C"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97" w:type="dxa"/>
            <w:shd w:val="clear" w:color="auto" w:fill="auto"/>
            <w:tcMar>
              <w:top w:w="0" w:type="dxa"/>
              <w:left w:w="0" w:type="dxa"/>
              <w:bottom w:w="0" w:type="dxa"/>
              <w:right w:w="0" w:type="dxa"/>
            </w:tcMar>
            <w:vAlign w:val="bottom"/>
          </w:tcPr>
          <w:p w14:paraId="4879FA77"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3</w:t>
            </w:r>
          </w:p>
        </w:tc>
      </w:tr>
      <w:tr w:rsidR="00653B7F" w:rsidRPr="00922CDF" w14:paraId="2B5A59EF" w14:textId="77777777" w:rsidTr="00922CDF">
        <w:tc>
          <w:tcPr>
            <w:tcW w:w="1962" w:type="dxa"/>
            <w:tcBorders>
              <w:bottom w:val="single" w:sz="4" w:space="0" w:color="auto"/>
            </w:tcBorders>
            <w:shd w:val="clear" w:color="auto" w:fill="auto"/>
            <w:tcMar>
              <w:top w:w="0" w:type="dxa"/>
              <w:left w:w="0" w:type="dxa"/>
              <w:bottom w:w="0" w:type="dxa"/>
              <w:right w:w="0" w:type="dxa"/>
            </w:tcMar>
          </w:tcPr>
          <w:p w14:paraId="00804A74" w14:textId="77777777" w:rsidR="00653B7F" w:rsidRPr="00922CDF" w:rsidRDefault="00653B7F" w:rsidP="00922CDF">
            <w:pPr>
              <w:suppressAutoHyphens w:val="0"/>
              <w:spacing w:before="40" w:after="40" w:line="220" w:lineRule="exact"/>
              <w:rPr>
                <w:noProof/>
                <w:sz w:val="18"/>
                <w:lang w:val="fr-FR"/>
              </w:rPr>
            </w:pPr>
            <w:r w:rsidRPr="00922CDF">
              <w:rPr>
                <w:noProof/>
                <w:sz w:val="18"/>
                <w:lang w:val="fr-FR"/>
              </w:rPr>
              <w:t>Non consigné</w:t>
            </w:r>
          </w:p>
        </w:tc>
        <w:tc>
          <w:tcPr>
            <w:tcW w:w="670" w:type="dxa"/>
            <w:tcBorders>
              <w:bottom w:val="single" w:sz="4" w:space="0" w:color="auto"/>
            </w:tcBorders>
            <w:shd w:val="clear" w:color="auto" w:fill="auto"/>
            <w:tcMar>
              <w:top w:w="0" w:type="dxa"/>
              <w:left w:w="0" w:type="dxa"/>
              <w:bottom w:w="0" w:type="dxa"/>
              <w:right w:w="0" w:type="dxa"/>
            </w:tcMar>
            <w:vAlign w:val="bottom"/>
          </w:tcPr>
          <w:p w14:paraId="54B4FAC3"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3</w:t>
            </w:r>
          </w:p>
        </w:tc>
        <w:tc>
          <w:tcPr>
            <w:tcW w:w="673" w:type="dxa"/>
            <w:tcBorders>
              <w:bottom w:val="single" w:sz="4" w:space="0" w:color="auto"/>
            </w:tcBorders>
            <w:shd w:val="clear" w:color="auto" w:fill="auto"/>
            <w:tcMar>
              <w:top w:w="0" w:type="dxa"/>
              <w:left w:w="0" w:type="dxa"/>
              <w:bottom w:w="0" w:type="dxa"/>
              <w:right w:w="0" w:type="dxa"/>
            </w:tcMar>
            <w:vAlign w:val="bottom"/>
          </w:tcPr>
          <w:p w14:paraId="3E04F4A4"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12</w:t>
            </w:r>
          </w:p>
        </w:tc>
        <w:tc>
          <w:tcPr>
            <w:tcW w:w="673" w:type="dxa"/>
            <w:tcBorders>
              <w:bottom w:val="single" w:sz="4" w:space="0" w:color="auto"/>
            </w:tcBorders>
            <w:shd w:val="clear" w:color="auto" w:fill="auto"/>
            <w:tcMar>
              <w:top w:w="0" w:type="dxa"/>
              <w:left w:w="0" w:type="dxa"/>
              <w:bottom w:w="0" w:type="dxa"/>
              <w:right w:w="0" w:type="dxa"/>
            </w:tcMar>
            <w:vAlign w:val="bottom"/>
          </w:tcPr>
          <w:p w14:paraId="5F2A08CC"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78" w:type="dxa"/>
            <w:tcBorders>
              <w:bottom w:val="single" w:sz="4" w:space="0" w:color="auto"/>
            </w:tcBorders>
            <w:shd w:val="clear" w:color="auto" w:fill="auto"/>
            <w:tcMar>
              <w:top w:w="0" w:type="dxa"/>
              <w:left w:w="0" w:type="dxa"/>
              <w:bottom w:w="0" w:type="dxa"/>
              <w:right w:w="0" w:type="dxa"/>
            </w:tcMar>
            <w:vAlign w:val="bottom"/>
          </w:tcPr>
          <w:p w14:paraId="6AA0766A"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1</w:t>
            </w:r>
          </w:p>
        </w:tc>
        <w:tc>
          <w:tcPr>
            <w:tcW w:w="666" w:type="dxa"/>
            <w:tcBorders>
              <w:bottom w:val="single" w:sz="4" w:space="0" w:color="auto"/>
            </w:tcBorders>
            <w:shd w:val="clear" w:color="auto" w:fill="auto"/>
            <w:tcMar>
              <w:top w:w="0" w:type="dxa"/>
              <w:left w:w="0" w:type="dxa"/>
              <w:bottom w:w="0" w:type="dxa"/>
              <w:right w:w="0" w:type="dxa"/>
            </w:tcMar>
            <w:vAlign w:val="bottom"/>
          </w:tcPr>
          <w:p w14:paraId="28EBA776"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4</w:t>
            </w:r>
          </w:p>
        </w:tc>
        <w:tc>
          <w:tcPr>
            <w:tcW w:w="678" w:type="dxa"/>
            <w:tcBorders>
              <w:bottom w:val="single" w:sz="4" w:space="0" w:color="auto"/>
            </w:tcBorders>
            <w:shd w:val="clear" w:color="auto" w:fill="auto"/>
            <w:tcMar>
              <w:top w:w="0" w:type="dxa"/>
              <w:left w:w="0" w:type="dxa"/>
              <w:bottom w:w="0" w:type="dxa"/>
              <w:right w:w="0" w:type="dxa"/>
            </w:tcMar>
            <w:vAlign w:val="bottom"/>
          </w:tcPr>
          <w:p w14:paraId="7384235E"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2</w:t>
            </w:r>
          </w:p>
        </w:tc>
        <w:tc>
          <w:tcPr>
            <w:tcW w:w="673" w:type="dxa"/>
            <w:tcBorders>
              <w:bottom w:val="single" w:sz="4" w:space="0" w:color="auto"/>
            </w:tcBorders>
            <w:shd w:val="clear" w:color="auto" w:fill="auto"/>
            <w:tcMar>
              <w:top w:w="0" w:type="dxa"/>
              <w:left w:w="0" w:type="dxa"/>
              <w:bottom w:w="0" w:type="dxa"/>
              <w:right w:w="0" w:type="dxa"/>
            </w:tcMar>
            <w:vAlign w:val="bottom"/>
          </w:tcPr>
          <w:p w14:paraId="2F4DD49F" w14:textId="77777777" w:rsidR="00653B7F" w:rsidRPr="00922CDF" w:rsidRDefault="00653B7F" w:rsidP="00922CDF">
            <w:pPr>
              <w:suppressAutoHyphens w:val="0"/>
              <w:spacing w:before="40" w:after="40" w:line="220" w:lineRule="exact"/>
              <w:jc w:val="right"/>
              <w:rPr>
                <w:noProof/>
                <w:sz w:val="18"/>
                <w:lang w:val="fr-FR"/>
              </w:rPr>
            </w:pPr>
            <w:r w:rsidRPr="00922CDF">
              <w:rPr>
                <w:noProof/>
                <w:sz w:val="18"/>
                <w:lang w:val="fr-FR"/>
              </w:rPr>
              <w:t>0</w:t>
            </w:r>
          </w:p>
        </w:tc>
        <w:tc>
          <w:tcPr>
            <w:tcW w:w="697" w:type="dxa"/>
            <w:tcBorders>
              <w:bottom w:val="single" w:sz="4" w:space="0" w:color="auto"/>
            </w:tcBorders>
            <w:shd w:val="clear" w:color="auto" w:fill="auto"/>
            <w:tcMar>
              <w:top w:w="0" w:type="dxa"/>
              <w:left w:w="0" w:type="dxa"/>
              <w:bottom w:w="0" w:type="dxa"/>
              <w:right w:w="0" w:type="dxa"/>
            </w:tcMar>
            <w:vAlign w:val="bottom"/>
          </w:tcPr>
          <w:p w14:paraId="57E29AD2" w14:textId="77777777" w:rsidR="00653B7F" w:rsidRPr="00922CDF" w:rsidRDefault="00653B7F" w:rsidP="00922CDF">
            <w:pPr>
              <w:suppressAutoHyphens w:val="0"/>
              <w:spacing w:before="40" w:after="40" w:line="220" w:lineRule="exact"/>
              <w:jc w:val="right"/>
              <w:rPr>
                <w:b/>
                <w:bCs/>
                <w:noProof/>
                <w:sz w:val="18"/>
                <w:lang w:val="fr-FR"/>
              </w:rPr>
            </w:pPr>
            <w:r w:rsidRPr="00922CDF">
              <w:rPr>
                <w:b/>
                <w:bCs/>
                <w:noProof/>
                <w:sz w:val="18"/>
                <w:lang w:val="fr-FR"/>
              </w:rPr>
              <w:t>24</w:t>
            </w:r>
          </w:p>
        </w:tc>
      </w:tr>
      <w:tr w:rsidR="00653B7F" w:rsidRPr="00922CDF" w14:paraId="6D507BE6" w14:textId="77777777" w:rsidTr="00922CDF">
        <w:tc>
          <w:tcPr>
            <w:tcW w:w="1962" w:type="dxa"/>
            <w:tcBorders>
              <w:top w:val="single" w:sz="4" w:space="0" w:color="auto"/>
              <w:bottom w:val="single" w:sz="12" w:space="0" w:color="auto"/>
            </w:tcBorders>
            <w:shd w:val="clear" w:color="auto" w:fill="auto"/>
            <w:tcMar>
              <w:top w:w="0" w:type="dxa"/>
              <w:left w:w="0" w:type="dxa"/>
              <w:bottom w:w="0" w:type="dxa"/>
              <w:right w:w="0" w:type="dxa"/>
            </w:tcMar>
          </w:tcPr>
          <w:p w14:paraId="4438F207" w14:textId="77777777" w:rsidR="00653B7F" w:rsidRPr="00922CDF" w:rsidRDefault="00653B7F" w:rsidP="00922CDF">
            <w:pPr>
              <w:suppressAutoHyphens w:val="0"/>
              <w:spacing w:before="80" w:after="80" w:line="220" w:lineRule="exact"/>
              <w:ind w:left="284"/>
              <w:rPr>
                <w:b/>
                <w:noProof/>
                <w:sz w:val="18"/>
                <w:lang w:val="fr-FR"/>
              </w:rPr>
            </w:pPr>
            <w:r w:rsidRPr="00922CDF">
              <w:rPr>
                <w:b/>
                <w:noProof/>
                <w:sz w:val="18"/>
                <w:lang w:val="fr-FR"/>
              </w:rPr>
              <w:t xml:space="preserve">Total général </w:t>
            </w:r>
          </w:p>
        </w:tc>
        <w:tc>
          <w:tcPr>
            <w:tcW w:w="67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A9C5F7"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3</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71C8340"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12</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BE40505"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9</w:t>
            </w:r>
          </w:p>
        </w:tc>
        <w:tc>
          <w:tcPr>
            <w:tcW w:w="6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5A15154"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5</w:t>
            </w:r>
          </w:p>
        </w:tc>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8B9EC6A"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5</w:t>
            </w:r>
          </w:p>
        </w:tc>
        <w:tc>
          <w:tcPr>
            <w:tcW w:w="6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AF83BC"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3</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B5DAC59" w14:textId="77777777" w:rsidR="00653B7F" w:rsidRPr="00922CDF" w:rsidRDefault="00653B7F" w:rsidP="00922CDF">
            <w:pPr>
              <w:suppressAutoHyphens w:val="0"/>
              <w:spacing w:before="80" w:after="80" w:line="220" w:lineRule="exact"/>
              <w:jc w:val="right"/>
              <w:rPr>
                <w:b/>
                <w:noProof/>
                <w:sz w:val="18"/>
                <w:lang w:val="fr-FR"/>
              </w:rPr>
            </w:pPr>
            <w:r w:rsidRPr="00922CDF">
              <w:rPr>
                <w:b/>
                <w:noProof/>
                <w:sz w:val="18"/>
                <w:lang w:val="fr-FR"/>
              </w:rPr>
              <w:t>4</w:t>
            </w:r>
          </w:p>
        </w:tc>
        <w:tc>
          <w:tcPr>
            <w:tcW w:w="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3A99F49" w14:textId="77777777" w:rsidR="00653B7F" w:rsidRPr="00922CDF" w:rsidRDefault="00653B7F" w:rsidP="00922CDF">
            <w:pPr>
              <w:suppressAutoHyphens w:val="0"/>
              <w:spacing w:before="80" w:after="80" w:line="220" w:lineRule="exact"/>
              <w:jc w:val="right"/>
              <w:rPr>
                <w:b/>
                <w:bCs/>
                <w:noProof/>
                <w:sz w:val="18"/>
                <w:lang w:val="fr-FR"/>
              </w:rPr>
            </w:pPr>
            <w:r w:rsidRPr="00922CDF">
              <w:rPr>
                <w:b/>
                <w:bCs/>
                <w:noProof/>
                <w:sz w:val="18"/>
                <w:lang w:val="fr-FR"/>
              </w:rPr>
              <w:t>41</w:t>
            </w:r>
          </w:p>
        </w:tc>
      </w:tr>
    </w:tbl>
    <w:p w14:paraId="43AE123A" w14:textId="77777777" w:rsidR="00653B7F" w:rsidRPr="00A43FCB" w:rsidRDefault="00653B7F" w:rsidP="002810C8">
      <w:pPr>
        <w:pStyle w:val="SingleTxtG"/>
        <w:spacing w:before="120" w:after="240"/>
        <w:ind w:firstLine="170"/>
        <w:rPr>
          <w:noProof/>
          <w:sz w:val="18"/>
          <w:szCs w:val="18"/>
          <w:lang w:val="fr-FR"/>
        </w:rPr>
      </w:pPr>
      <w:r>
        <w:rPr>
          <w:i/>
          <w:noProof/>
          <w:sz w:val="18"/>
          <w:lang w:val="fr-FR"/>
        </w:rPr>
        <w:t>Source</w:t>
      </w:r>
      <w:r w:rsidR="00922CDF">
        <w:rPr>
          <w:i/>
          <w:noProof/>
          <w:sz w:val="18"/>
          <w:lang w:val="fr-FR"/>
        </w:rPr>
        <w:t> </w:t>
      </w:r>
      <w:r w:rsidRPr="00922CDF">
        <w:rPr>
          <w:iCs/>
          <w:noProof/>
          <w:sz w:val="18"/>
          <w:lang w:val="fr-FR"/>
        </w:rPr>
        <w:t>:</w:t>
      </w:r>
      <w:r w:rsidRPr="00A43FCB">
        <w:rPr>
          <w:noProof/>
          <w:sz w:val="18"/>
          <w:lang w:val="fr-FR"/>
        </w:rPr>
        <w:t xml:space="preserve"> </w:t>
      </w:r>
      <w:r>
        <w:rPr>
          <w:noProof/>
          <w:sz w:val="18"/>
          <w:lang w:val="fr-FR"/>
        </w:rPr>
        <w:t xml:space="preserve">Département de statistique du </w:t>
      </w:r>
      <w:r w:rsidRPr="004623D2">
        <w:rPr>
          <w:noProof/>
          <w:sz w:val="18"/>
          <w:lang w:val="fr-FR"/>
        </w:rPr>
        <w:t xml:space="preserve">Bureau du </w:t>
      </w:r>
      <w:r w:rsidRPr="004623D2">
        <w:rPr>
          <w:i/>
          <w:noProof/>
          <w:sz w:val="18"/>
          <w:lang w:val="fr-FR"/>
        </w:rPr>
        <w:t>Fiscal general</w:t>
      </w:r>
      <w:r w:rsidRPr="004623D2">
        <w:rPr>
          <w:noProof/>
          <w:sz w:val="18"/>
          <w:lang w:val="fr-FR"/>
        </w:rPr>
        <w:t xml:space="preserve"> de la République</w:t>
      </w:r>
      <w:r>
        <w:rPr>
          <w:i/>
          <w:noProof/>
          <w:sz w:val="18"/>
          <w:lang w:val="fr-FR"/>
        </w:rPr>
        <w:t xml:space="preserve">, </w:t>
      </w:r>
      <w:r>
        <w:rPr>
          <w:noProof/>
          <w:sz w:val="18"/>
          <w:lang w:val="fr-FR"/>
        </w:rPr>
        <w:t>selon les registres du Service d</w:t>
      </w:r>
      <w:r w:rsidR="002A5D78">
        <w:rPr>
          <w:noProof/>
          <w:sz w:val="18"/>
          <w:lang w:val="fr-FR"/>
        </w:rPr>
        <w:t>’</w:t>
      </w:r>
      <w:r>
        <w:rPr>
          <w:noProof/>
          <w:sz w:val="18"/>
          <w:lang w:val="fr-FR"/>
        </w:rPr>
        <w:t>informatisation et de gestion automatisée des procès, arrêtés au mois de mars 2019</w:t>
      </w:r>
      <w:r w:rsidRPr="00A43FCB">
        <w:rPr>
          <w:noProof/>
          <w:sz w:val="18"/>
          <w:lang w:val="fr-FR"/>
        </w:rPr>
        <w:t>.</w:t>
      </w:r>
    </w:p>
    <w:p w14:paraId="07FE15AA" w14:textId="77777777" w:rsidR="00653B7F" w:rsidRPr="00F263D5" w:rsidRDefault="00653B7F" w:rsidP="00922CDF">
      <w:pPr>
        <w:pStyle w:val="H23G"/>
        <w:rPr>
          <w:noProof/>
          <w:lang w:val="fr-FR"/>
        </w:rPr>
      </w:pPr>
      <w:r>
        <w:rPr>
          <w:lang w:val="es-ES_tradnl"/>
        </w:rPr>
        <w:tab/>
      </w:r>
      <w:r>
        <w:rPr>
          <w:lang w:val="es-ES_tradnl"/>
        </w:rPr>
        <w:tab/>
      </w:r>
      <w:r w:rsidRPr="00F263D5">
        <w:rPr>
          <w:noProof/>
          <w:lang w:val="fr-FR"/>
        </w:rPr>
        <w:t>Article 3</w:t>
      </w:r>
    </w:p>
    <w:p w14:paraId="3991BF06" w14:textId="77777777" w:rsidR="00653B7F" w:rsidRDefault="00653B7F" w:rsidP="001D4313">
      <w:pPr>
        <w:pStyle w:val="SingleTxtG"/>
        <w:rPr>
          <w:noProof/>
          <w:lang w:val="fr-FR"/>
        </w:rPr>
      </w:pPr>
      <w:r w:rsidRPr="00F263D5">
        <w:rPr>
          <w:noProof/>
          <w:lang w:val="fr-FR"/>
        </w:rPr>
        <w:t>50.</w:t>
      </w:r>
      <w:r w:rsidRPr="00F263D5">
        <w:rPr>
          <w:noProof/>
          <w:lang w:val="fr-FR"/>
        </w:rPr>
        <w:tab/>
      </w:r>
      <w:r>
        <w:rPr>
          <w:noProof/>
          <w:lang w:val="fr-FR"/>
        </w:rPr>
        <w:t xml:space="preserve">El Salvador a adopté une </w:t>
      </w:r>
      <w:r w:rsidRPr="00B7479C">
        <w:rPr>
          <w:noProof/>
          <w:lang w:val="fr-FR"/>
        </w:rPr>
        <w:t>loi relative à la détermination du statut de réfugié</w:t>
      </w:r>
      <w:r>
        <w:rPr>
          <w:rStyle w:val="Appelnotedebasdep"/>
          <w:noProof/>
          <w:lang w:val="fr-FR"/>
        </w:rPr>
        <w:footnoteReference w:id="17"/>
      </w:r>
      <w:r>
        <w:rPr>
          <w:noProof/>
          <w:lang w:val="fr-FR"/>
        </w:rPr>
        <w:t xml:space="preserve"> qui porte création d</w:t>
      </w:r>
      <w:r w:rsidR="002A5D78">
        <w:rPr>
          <w:noProof/>
          <w:lang w:val="fr-FR"/>
        </w:rPr>
        <w:t>’</w:t>
      </w:r>
      <w:r>
        <w:rPr>
          <w:noProof/>
          <w:lang w:val="fr-FR"/>
        </w:rPr>
        <w:t>une c</w:t>
      </w:r>
      <w:r w:rsidRPr="00B7479C">
        <w:rPr>
          <w:noProof/>
          <w:lang w:val="fr-FR"/>
        </w:rPr>
        <w:t>ommission de détermination du statut de réfugié (CODER)</w:t>
      </w:r>
      <w:r>
        <w:rPr>
          <w:noProof/>
          <w:lang w:val="fr-FR"/>
        </w:rPr>
        <w:t>. Cet organisme veille au bon déroulement de la procédure de détermination du statut de réfugié et organise un système de protection des demandeurs d</w:t>
      </w:r>
      <w:r w:rsidR="002A5D78">
        <w:rPr>
          <w:noProof/>
          <w:lang w:val="fr-FR"/>
        </w:rPr>
        <w:t>’</w:t>
      </w:r>
      <w:r>
        <w:rPr>
          <w:noProof/>
          <w:lang w:val="fr-FR"/>
        </w:rPr>
        <w:t>asile axé sur leurs droits et leurs devoirs. La loi précitée applique le principe du non-refoulement et dispose en conséquence que la CODER ne peut ordonner l</w:t>
      </w:r>
      <w:r w:rsidR="002A5D78">
        <w:rPr>
          <w:noProof/>
          <w:lang w:val="fr-FR"/>
        </w:rPr>
        <w:t>’</w:t>
      </w:r>
      <w:r>
        <w:rPr>
          <w:noProof/>
          <w:lang w:val="fr-FR"/>
        </w:rPr>
        <w:t>expulsion d</w:t>
      </w:r>
      <w:r w:rsidR="002A5D78">
        <w:rPr>
          <w:noProof/>
          <w:lang w:val="fr-FR"/>
        </w:rPr>
        <w:t>’</w:t>
      </w:r>
      <w:r>
        <w:rPr>
          <w:noProof/>
          <w:lang w:val="fr-FR"/>
        </w:rPr>
        <w:t>un réfugié que pour des motifs de sécurité nationale ou d</w:t>
      </w:r>
      <w:r w:rsidR="002A5D78">
        <w:rPr>
          <w:noProof/>
          <w:lang w:val="fr-FR"/>
        </w:rPr>
        <w:t>’</w:t>
      </w:r>
      <w:r>
        <w:rPr>
          <w:noProof/>
          <w:lang w:val="fr-FR"/>
        </w:rPr>
        <w:t>ordre public ou lorsque l</w:t>
      </w:r>
      <w:r w:rsidR="002A5D78">
        <w:rPr>
          <w:noProof/>
          <w:lang w:val="fr-FR"/>
        </w:rPr>
        <w:t>’</w:t>
      </w:r>
      <w:r>
        <w:rPr>
          <w:noProof/>
          <w:lang w:val="fr-FR"/>
        </w:rPr>
        <w:t>intéressé, visé par une condamnation définitive, a purgé une peine sanctionnant une grave infraction. La procédure d</w:t>
      </w:r>
      <w:r w:rsidR="002A5D78">
        <w:rPr>
          <w:noProof/>
          <w:lang w:val="fr-FR"/>
        </w:rPr>
        <w:t>’</w:t>
      </w:r>
      <w:r>
        <w:rPr>
          <w:noProof/>
          <w:lang w:val="fr-FR"/>
        </w:rPr>
        <w:t>expulsion respecte les principes du procès équitable et accorde au demandeur d</w:t>
      </w:r>
      <w:r w:rsidR="002A5D78">
        <w:rPr>
          <w:noProof/>
          <w:lang w:val="fr-FR"/>
        </w:rPr>
        <w:t>’</w:t>
      </w:r>
      <w:r>
        <w:rPr>
          <w:noProof/>
          <w:lang w:val="fr-FR"/>
        </w:rPr>
        <w:t>asile débouté un délai de trente jours sur le territoire salvadorien pour qu</w:t>
      </w:r>
      <w:r w:rsidR="002A5D78">
        <w:rPr>
          <w:noProof/>
          <w:lang w:val="fr-FR"/>
        </w:rPr>
        <w:t>’</w:t>
      </w:r>
      <w:r>
        <w:rPr>
          <w:noProof/>
          <w:lang w:val="fr-FR"/>
        </w:rPr>
        <w:t>il puisse organiser son admission légale sur le territoire d</w:t>
      </w:r>
      <w:r w:rsidR="002A5D78">
        <w:rPr>
          <w:noProof/>
          <w:lang w:val="fr-FR"/>
        </w:rPr>
        <w:t>’</w:t>
      </w:r>
      <w:r>
        <w:rPr>
          <w:noProof/>
          <w:lang w:val="fr-FR"/>
        </w:rPr>
        <w:t xml:space="preserve">un autre État. </w:t>
      </w:r>
    </w:p>
    <w:p w14:paraId="275A1FB9" w14:textId="77777777" w:rsidR="00653B7F" w:rsidRDefault="00653B7F" w:rsidP="001D4313">
      <w:pPr>
        <w:pStyle w:val="SingleTxtG"/>
        <w:rPr>
          <w:noProof/>
          <w:lang w:val="fr-FR"/>
        </w:rPr>
      </w:pPr>
      <w:r w:rsidRPr="00F263D5">
        <w:rPr>
          <w:noProof/>
          <w:lang w:val="fr-FR"/>
        </w:rPr>
        <w:t>51.</w:t>
      </w:r>
      <w:r w:rsidRPr="00F263D5">
        <w:rPr>
          <w:noProof/>
          <w:lang w:val="fr-FR"/>
        </w:rPr>
        <w:tab/>
      </w:r>
      <w:r>
        <w:rPr>
          <w:noProof/>
          <w:lang w:val="fr-FR"/>
        </w:rPr>
        <w:t>Les tableaux 10 et 11 ci-après présentent des données sur les demandes de reconnaissance du statut de réfugié et le nombre des demandeurs d</w:t>
      </w:r>
      <w:r w:rsidR="002A5D78">
        <w:rPr>
          <w:noProof/>
          <w:lang w:val="fr-FR"/>
        </w:rPr>
        <w:t>’</w:t>
      </w:r>
      <w:r>
        <w:rPr>
          <w:noProof/>
          <w:lang w:val="fr-FR"/>
        </w:rPr>
        <w:t>asile dont la demande a été accueillie favorablement entre 2010 et le premier trimestre de 2019.</w:t>
      </w:r>
    </w:p>
    <w:p w14:paraId="477FCE2E" w14:textId="77777777" w:rsidR="00653B7F" w:rsidRPr="00F263D5" w:rsidRDefault="00653B7F" w:rsidP="002810C8">
      <w:pPr>
        <w:pStyle w:val="Titre1"/>
        <w:kinsoku/>
        <w:overflowPunct/>
        <w:autoSpaceDE/>
        <w:autoSpaceDN/>
        <w:adjustRightInd/>
        <w:snapToGrid/>
        <w:spacing w:before="240" w:after="120"/>
        <w:rPr>
          <w:noProof/>
          <w:lang w:val="fr-FR"/>
        </w:rPr>
      </w:pPr>
      <w:r>
        <w:rPr>
          <w:noProof/>
          <w:lang w:val="fr-FR"/>
        </w:rPr>
        <w:t>Tableau</w:t>
      </w:r>
      <w:r w:rsidRPr="00F263D5">
        <w:rPr>
          <w:noProof/>
          <w:lang w:val="fr-FR"/>
        </w:rPr>
        <w:t xml:space="preserve"> 10</w:t>
      </w:r>
      <w:r w:rsidR="002810C8">
        <w:rPr>
          <w:noProof/>
          <w:lang w:val="fr-FR"/>
        </w:rPr>
        <w:br/>
      </w:r>
      <w:r>
        <w:rPr>
          <w:b/>
          <w:bCs/>
          <w:noProof/>
          <w:lang w:val="fr-FR"/>
        </w:rPr>
        <w:t>Nombre de demandes de reconnaissance du statut de réfugié</w:t>
      </w:r>
    </w:p>
    <w:tbl>
      <w:tblPr>
        <w:tblW w:w="7370" w:type="dxa"/>
        <w:tblInd w:w="1134" w:type="dxa"/>
        <w:tblLayout w:type="fixed"/>
        <w:tblCellMar>
          <w:left w:w="0" w:type="dxa"/>
          <w:right w:w="0" w:type="dxa"/>
        </w:tblCellMar>
        <w:tblLook w:val="04A0" w:firstRow="1" w:lastRow="0" w:firstColumn="1" w:lastColumn="0" w:noHBand="0" w:noVBand="1"/>
      </w:tblPr>
      <w:tblGrid>
        <w:gridCol w:w="1072"/>
        <w:gridCol w:w="6298"/>
      </w:tblGrid>
      <w:tr w:rsidR="00653B7F" w:rsidRPr="002810C8" w14:paraId="3C7CE48B" w14:textId="77777777" w:rsidTr="002810C8">
        <w:trPr>
          <w:tblHeader/>
        </w:trPr>
        <w:tc>
          <w:tcPr>
            <w:tcW w:w="10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D15899D" w14:textId="77777777" w:rsidR="00653B7F" w:rsidRPr="002810C8" w:rsidRDefault="00653B7F" w:rsidP="002810C8">
            <w:pPr>
              <w:spacing w:before="80" w:after="80" w:line="200" w:lineRule="exact"/>
              <w:ind w:right="113"/>
              <w:rPr>
                <w:i/>
                <w:noProof/>
                <w:sz w:val="16"/>
                <w:lang w:val="fr-FR"/>
              </w:rPr>
            </w:pPr>
            <w:r w:rsidRPr="002810C8">
              <w:rPr>
                <w:i/>
                <w:noProof/>
                <w:sz w:val="16"/>
                <w:lang w:val="fr-FR"/>
              </w:rPr>
              <w:t>Année</w:t>
            </w:r>
          </w:p>
        </w:tc>
        <w:tc>
          <w:tcPr>
            <w:tcW w:w="62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E4D09C8" w14:textId="77777777" w:rsidR="00653B7F" w:rsidRPr="002810C8" w:rsidRDefault="00653B7F" w:rsidP="002810C8">
            <w:pPr>
              <w:spacing w:before="80" w:after="80" w:line="200" w:lineRule="exact"/>
              <w:ind w:right="113"/>
              <w:rPr>
                <w:i/>
                <w:noProof/>
                <w:sz w:val="16"/>
                <w:lang w:val="fr-FR"/>
              </w:rPr>
            </w:pPr>
            <w:r w:rsidRPr="002810C8">
              <w:rPr>
                <w:i/>
                <w:noProof/>
                <w:sz w:val="16"/>
                <w:lang w:val="fr-FR"/>
              </w:rPr>
              <w:t>Nombre de demandes</w:t>
            </w:r>
          </w:p>
        </w:tc>
      </w:tr>
      <w:tr w:rsidR="002810C8" w:rsidRPr="002810C8" w14:paraId="4DF1DF33" w14:textId="77777777" w:rsidTr="002810C8">
        <w:trPr>
          <w:trHeight w:hRule="exact" w:val="110"/>
          <w:tblHeader/>
        </w:trPr>
        <w:tc>
          <w:tcPr>
            <w:tcW w:w="1072" w:type="dxa"/>
            <w:tcBorders>
              <w:top w:val="single" w:sz="12" w:space="0" w:color="auto"/>
            </w:tcBorders>
            <w:shd w:val="clear" w:color="auto" w:fill="auto"/>
            <w:tcMar>
              <w:top w:w="0" w:type="dxa"/>
              <w:left w:w="0" w:type="dxa"/>
              <w:bottom w:w="0" w:type="dxa"/>
              <w:right w:w="0" w:type="dxa"/>
            </w:tcMar>
          </w:tcPr>
          <w:p w14:paraId="1E588CC1" w14:textId="77777777" w:rsidR="002810C8" w:rsidRPr="002810C8" w:rsidRDefault="002810C8" w:rsidP="002810C8">
            <w:pPr>
              <w:spacing w:before="40" w:after="120"/>
              <w:ind w:right="113"/>
              <w:rPr>
                <w:noProof/>
                <w:lang w:val="fr-FR"/>
              </w:rPr>
            </w:pPr>
          </w:p>
        </w:tc>
        <w:tc>
          <w:tcPr>
            <w:tcW w:w="6298" w:type="dxa"/>
            <w:tcBorders>
              <w:top w:val="single" w:sz="12" w:space="0" w:color="auto"/>
            </w:tcBorders>
            <w:shd w:val="clear" w:color="auto" w:fill="auto"/>
            <w:tcMar>
              <w:top w:w="0" w:type="dxa"/>
              <w:left w:w="0" w:type="dxa"/>
              <w:bottom w:w="0" w:type="dxa"/>
              <w:right w:w="0" w:type="dxa"/>
            </w:tcMar>
          </w:tcPr>
          <w:p w14:paraId="461C7CF0" w14:textId="77777777" w:rsidR="002810C8" w:rsidRPr="002810C8" w:rsidRDefault="002810C8" w:rsidP="002810C8">
            <w:pPr>
              <w:spacing w:before="40" w:after="120"/>
              <w:ind w:right="113"/>
              <w:rPr>
                <w:noProof/>
                <w:lang w:val="fr-FR"/>
              </w:rPr>
            </w:pPr>
          </w:p>
        </w:tc>
      </w:tr>
      <w:tr w:rsidR="00653B7F" w:rsidRPr="002810C8" w14:paraId="30FE1A9E" w14:textId="77777777" w:rsidTr="002810C8">
        <w:tc>
          <w:tcPr>
            <w:tcW w:w="1072" w:type="dxa"/>
            <w:shd w:val="clear" w:color="auto" w:fill="auto"/>
            <w:tcMar>
              <w:top w:w="0" w:type="dxa"/>
              <w:left w:w="0" w:type="dxa"/>
              <w:bottom w:w="0" w:type="dxa"/>
              <w:right w:w="0" w:type="dxa"/>
            </w:tcMar>
          </w:tcPr>
          <w:p w14:paraId="530C8377" w14:textId="77777777" w:rsidR="00653B7F" w:rsidRPr="002810C8" w:rsidRDefault="00653B7F" w:rsidP="002810C8">
            <w:pPr>
              <w:spacing w:before="40" w:after="120"/>
              <w:ind w:right="113"/>
              <w:rPr>
                <w:noProof/>
                <w:lang w:val="fr-FR"/>
              </w:rPr>
            </w:pPr>
            <w:r w:rsidRPr="002810C8">
              <w:rPr>
                <w:noProof/>
                <w:lang w:val="fr-FR"/>
              </w:rPr>
              <w:t>2010</w:t>
            </w:r>
          </w:p>
        </w:tc>
        <w:tc>
          <w:tcPr>
            <w:tcW w:w="6298" w:type="dxa"/>
            <w:shd w:val="clear" w:color="auto" w:fill="auto"/>
            <w:tcMar>
              <w:top w:w="0" w:type="dxa"/>
              <w:left w:w="0" w:type="dxa"/>
              <w:bottom w:w="0" w:type="dxa"/>
              <w:right w:w="0" w:type="dxa"/>
            </w:tcMar>
          </w:tcPr>
          <w:p w14:paraId="221C4134" w14:textId="77777777" w:rsidR="00653B7F" w:rsidRPr="002810C8" w:rsidRDefault="00653B7F" w:rsidP="002810C8">
            <w:pPr>
              <w:spacing w:before="40" w:after="120"/>
              <w:ind w:right="113"/>
              <w:rPr>
                <w:noProof/>
                <w:lang w:val="fr-FR"/>
              </w:rPr>
            </w:pPr>
            <w:r w:rsidRPr="002810C8">
              <w:rPr>
                <w:noProof/>
                <w:lang w:val="fr-FR"/>
              </w:rPr>
              <w:t>56 demandeurs</w:t>
            </w:r>
            <w:r w:rsidR="002810C8">
              <w:rPr>
                <w:noProof/>
                <w:lang w:val="fr-FR"/>
              </w:rPr>
              <w:t> </w:t>
            </w:r>
            <w:r w:rsidRPr="002810C8">
              <w:rPr>
                <w:noProof/>
                <w:lang w:val="fr-FR"/>
              </w:rPr>
              <w:t>: 44 hommes et 12 femmes, dont 4 mineurs et 52 majeurs</w:t>
            </w:r>
          </w:p>
        </w:tc>
      </w:tr>
      <w:tr w:rsidR="00653B7F" w:rsidRPr="002810C8" w14:paraId="26041269" w14:textId="77777777" w:rsidTr="002810C8">
        <w:tc>
          <w:tcPr>
            <w:tcW w:w="1072" w:type="dxa"/>
            <w:shd w:val="clear" w:color="auto" w:fill="auto"/>
            <w:tcMar>
              <w:top w:w="0" w:type="dxa"/>
              <w:left w:w="0" w:type="dxa"/>
              <w:bottom w:w="0" w:type="dxa"/>
              <w:right w:w="0" w:type="dxa"/>
            </w:tcMar>
          </w:tcPr>
          <w:p w14:paraId="1F4FF81E" w14:textId="77777777" w:rsidR="00653B7F" w:rsidRPr="002810C8" w:rsidRDefault="00653B7F" w:rsidP="002810C8">
            <w:pPr>
              <w:spacing w:before="40" w:after="120"/>
              <w:ind w:right="113"/>
              <w:rPr>
                <w:noProof/>
                <w:lang w:val="fr-FR"/>
              </w:rPr>
            </w:pPr>
            <w:r w:rsidRPr="002810C8">
              <w:rPr>
                <w:noProof/>
                <w:lang w:val="fr-FR"/>
              </w:rPr>
              <w:t>2011</w:t>
            </w:r>
          </w:p>
        </w:tc>
        <w:tc>
          <w:tcPr>
            <w:tcW w:w="6298" w:type="dxa"/>
            <w:shd w:val="clear" w:color="auto" w:fill="auto"/>
            <w:tcMar>
              <w:top w:w="0" w:type="dxa"/>
              <w:left w:w="0" w:type="dxa"/>
              <w:bottom w:w="0" w:type="dxa"/>
              <w:right w:w="0" w:type="dxa"/>
            </w:tcMar>
          </w:tcPr>
          <w:p w14:paraId="59EE4CC5" w14:textId="77777777" w:rsidR="00653B7F" w:rsidRPr="002810C8" w:rsidRDefault="00653B7F" w:rsidP="002810C8">
            <w:pPr>
              <w:spacing w:before="40" w:after="120"/>
              <w:ind w:right="113"/>
              <w:rPr>
                <w:noProof/>
                <w:lang w:val="fr-FR"/>
              </w:rPr>
            </w:pPr>
            <w:r w:rsidRPr="002810C8">
              <w:rPr>
                <w:noProof/>
                <w:lang w:val="fr-FR"/>
              </w:rPr>
              <w:t>14 demandeurs</w:t>
            </w:r>
            <w:r w:rsidR="002810C8">
              <w:rPr>
                <w:noProof/>
                <w:lang w:val="fr-FR"/>
              </w:rPr>
              <w:t> </w:t>
            </w:r>
            <w:r w:rsidRPr="002810C8">
              <w:rPr>
                <w:noProof/>
                <w:lang w:val="fr-FR"/>
              </w:rPr>
              <w:t xml:space="preserve">: 10 hommes et 4 femmes, dont 1 mineur et 13 majeurs </w:t>
            </w:r>
          </w:p>
        </w:tc>
      </w:tr>
      <w:tr w:rsidR="00653B7F" w:rsidRPr="002810C8" w14:paraId="3BE692E2" w14:textId="77777777" w:rsidTr="002810C8">
        <w:tc>
          <w:tcPr>
            <w:tcW w:w="1072" w:type="dxa"/>
            <w:shd w:val="clear" w:color="auto" w:fill="auto"/>
            <w:tcMar>
              <w:top w:w="0" w:type="dxa"/>
              <w:left w:w="0" w:type="dxa"/>
              <w:bottom w:w="0" w:type="dxa"/>
              <w:right w:w="0" w:type="dxa"/>
            </w:tcMar>
          </w:tcPr>
          <w:p w14:paraId="05430EC1" w14:textId="77777777" w:rsidR="00653B7F" w:rsidRPr="002810C8" w:rsidRDefault="00653B7F" w:rsidP="002810C8">
            <w:pPr>
              <w:spacing w:before="40" w:after="120"/>
              <w:ind w:right="113"/>
              <w:rPr>
                <w:noProof/>
                <w:lang w:val="fr-FR"/>
              </w:rPr>
            </w:pPr>
            <w:r w:rsidRPr="002810C8">
              <w:rPr>
                <w:noProof/>
                <w:lang w:val="fr-FR"/>
              </w:rPr>
              <w:t>2012</w:t>
            </w:r>
          </w:p>
        </w:tc>
        <w:tc>
          <w:tcPr>
            <w:tcW w:w="6298" w:type="dxa"/>
            <w:shd w:val="clear" w:color="auto" w:fill="auto"/>
            <w:tcMar>
              <w:top w:w="0" w:type="dxa"/>
              <w:left w:w="0" w:type="dxa"/>
              <w:bottom w:w="0" w:type="dxa"/>
              <w:right w:w="0" w:type="dxa"/>
            </w:tcMar>
          </w:tcPr>
          <w:p w14:paraId="7899B5F6" w14:textId="77777777" w:rsidR="00653B7F" w:rsidRPr="002810C8" w:rsidRDefault="00653B7F" w:rsidP="002810C8">
            <w:pPr>
              <w:spacing w:before="40" w:after="120"/>
              <w:ind w:right="113"/>
              <w:rPr>
                <w:noProof/>
                <w:lang w:val="fr-FR"/>
              </w:rPr>
            </w:pPr>
            <w:r w:rsidRPr="002810C8">
              <w:rPr>
                <w:noProof/>
                <w:lang w:val="fr-FR"/>
              </w:rPr>
              <w:t xml:space="preserve">6 demandeurs : 6 hommes, tous majeurs </w:t>
            </w:r>
          </w:p>
        </w:tc>
      </w:tr>
      <w:tr w:rsidR="00653B7F" w:rsidRPr="002810C8" w14:paraId="23ABEEB6" w14:textId="77777777" w:rsidTr="002810C8">
        <w:tc>
          <w:tcPr>
            <w:tcW w:w="1072" w:type="dxa"/>
            <w:shd w:val="clear" w:color="auto" w:fill="auto"/>
            <w:tcMar>
              <w:top w:w="0" w:type="dxa"/>
              <w:left w:w="0" w:type="dxa"/>
              <w:bottom w:w="0" w:type="dxa"/>
              <w:right w:w="0" w:type="dxa"/>
            </w:tcMar>
          </w:tcPr>
          <w:p w14:paraId="179DACF7" w14:textId="77777777" w:rsidR="00653B7F" w:rsidRPr="002810C8" w:rsidRDefault="00653B7F" w:rsidP="002810C8">
            <w:pPr>
              <w:spacing w:before="40" w:after="120"/>
              <w:ind w:right="113"/>
              <w:rPr>
                <w:noProof/>
                <w:lang w:val="fr-FR"/>
              </w:rPr>
            </w:pPr>
            <w:r w:rsidRPr="002810C8">
              <w:rPr>
                <w:noProof/>
                <w:lang w:val="fr-FR"/>
              </w:rPr>
              <w:t>2013</w:t>
            </w:r>
          </w:p>
        </w:tc>
        <w:tc>
          <w:tcPr>
            <w:tcW w:w="6298" w:type="dxa"/>
            <w:shd w:val="clear" w:color="auto" w:fill="auto"/>
            <w:tcMar>
              <w:top w:w="0" w:type="dxa"/>
              <w:left w:w="0" w:type="dxa"/>
              <w:bottom w:w="0" w:type="dxa"/>
              <w:right w:w="0" w:type="dxa"/>
            </w:tcMar>
          </w:tcPr>
          <w:p w14:paraId="17013070" w14:textId="77777777" w:rsidR="00653B7F" w:rsidRPr="002810C8" w:rsidRDefault="00653B7F" w:rsidP="002810C8">
            <w:pPr>
              <w:spacing w:before="40" w:after="120"/>
              <w:ind w:right="113"/>
              <w:rPr>
                <w:noProof/>
                <w:lang w:val="fr-FR"/>
              </w:rPr>
            </w:pPr>
            <w:r w:rsidRPr="002810C8">
              <w:rPr>
                <w:noProof/>
                <w:lang w:val="fr-FR"/>
              </w:rPr>
              <w:t xml:space="preserve">8 demandeurs : 6 hommes et 2 femmes, dont 1 mineur et 7 majeurs </w:t>
            </w:r>
          </w:p>
        </w:tc>
      </w:tr>
      <w:tr w:rsidR="00653B7F" w:rsidRPr="002810C8" w14:paraId="67CA4F50" w14:textId="77777777" w:rsidTr="002810C8">
        <w:tc>
          <w:tcPr>
            <w:tcW w:w="1072" w:type="dxa"/>
            <w:shd w:val="clear" w:color="auto" w:fill="auto"/>
            <w:tcMar>
              <w:top w:w="0" w:type="dxa"/>
              <w:left w:w="0" w:type="dxa"/>
              <w:bottom w:w="0" w:type="dxa"/>
              <w:right w:w="0" w:type="dxa"/>
            </w:tcMar>
          </w:tcPr>
          <w:p w14:paraId="15F19489" w14:textId="77777777" w:rsidR="00653B7F" w:rsidRPr="002810C8" w:rsidRDefault="00653B7F" w:rsidP="002810C8">
            <w:pPr>
              <w:spacing w:before="40" w:after="120"/>
              <w:ind w:right="113"/>
              <w:rPr>
                <w:noProof/>
                <w:lang w:val="fr-FR"/>
              </w:rPr>
            </w:pPr>
            <w:r w:rsidRPr="002810C8">
              <w:rPr>
                <w:noProof/>
                <w:lang w:val="fr-FR"/>
              </w:rPr>
              <w:t>2014</w:t>
            </w:r>
          </w:p>
        </w:tc>
        <w:tc>
          <w:tcPr>
            <w:tcW w:w="6298" w:type="dxa"/>
            <w:shd w:val="clear" w:color="auto" w:fill="auto"/>
            <w:tcMar>
              <w:top w:w="0" w:type="dxa"/>
              <w:left w:w="0" w:type="dxa"/>
              <w:bottom w:w="0" w:type="dxa"/>
              <w:right w:w="0" w:type="dxa"/>
            </w:tcMar>
          </w:tcPr>
          <w:p w14:paraId="6FDC0C21" w14:textId="77777777" w:rsidR="00653B7F" w:rsidRPr="002810C8" w:rsidRDefault="00653B7F" w:rsidP="002810C8">
            <w:pPr>
              <w:spacing w:before="40" w:after="120"/>
              <w:ind w:right="113"/>
              <w:rPr>
                <w:noProof/>
                <w:lang w:val="fr-FR"/>
              </w:rPr>
            </w:pPr>
            <w:r w:rsidRPr="002810C8">
              <w:rPr>
                <w:noProof/>
                <w:lang w:val="fr-FR"/>
              </w:rPr>
              <w:t>14 demandeurs</w:t>
            </w:r>
            <w:r w:rsidR="002810C8">
              <w:rPr>
                <w:noProof/>
                <w:lang w:val="fr-FR"/>
              </w:rPr>
              <w:t> </w:t>
            </w:r>
            <w:r w:rsidRPr="002810C8">
              <w:rPr>
                <w:noProof/>
                <w:lang w:val="fr-FR"/>
              </w:rPr>
              <w:t>: 10 hommes et 4 femmes, dont 4 mineurs et 10 majeurs</w:t>
            </w:r>
          </w:p>
        </w:tc>
      </w:tr>
      <w:tr w:rsidR="00653B7F" w:rsidRPr="002810C8" w14:paraId="369F9162" w14:textId="77777777" w:rsidTr="002810C8">
        <w:tc>
          <w:tcPr>
            <w:tcW w:w="1072" w:type="dxa"/>
            <w:shd w:val="clear" w:color="auto" w:fill="auto"/>
            <w:tcMar>
              <w:top w:w="0" w:type="dxa"/>
              <w:left w:w="0" w:type="dxa"/>
              <w:bottom w:w="0" w:type="dxa"/>
              <w:right w:w="0" w:type="dxa"/>
            </w:tcMar>
          </w:tcPr>
          <w:p w14:paraId="57519DAE" w14:textId="77777777" w:rsidR="00653B7F" w:rsidRPr="002810C8" w:rsidRDefault="00653B7F" w:rsidP="002810C8">
            <w:pPr>
              <w:spacing w:before="40" w:after="120"/>
              <w:ind w:right="113"/>
              <w:rPr>
                <w:noProof/>
                <w:lang w:val="fr-FR"/>
              </w:rPr>
            </w:pPr>
            <w:r w:rsidRPr="002810C8">
              <w:rPr>
                <w:noProof/>
                <w:lang w:val="fr-FR"/>
              </w:rPr>
              <w:t>2015</w:t>
            </w:r>
          </w:p>
        </w:tc>
        <w:tc>
          <w:tcPr>
            <w:tcW w:w="6298" w:type="dxa"/>
            <w:shd w:val="clear" w:color="auto" w:fill="auto"/>
            <w:tcMar>
              <w:top w:w="0" w:type="dxa"/>
              <w:left w:w="0" w:type="dxa"/>
              <w:bottom w:w="0" w:type="dxa"/>
              <w:right w:w="0" w:type="dxa"/>
            </w:tcMar>
          </w:tcPr>
          <w:p w14:paraId="711B1272" w14:textId="77777777" w:rsidR="00653B7F" w:rsidRPr="002810C8" w:rsidRDefault="00653B7F" w:rsidP="002810C8">
            <w:pPr>
              <w:spacing w:before="40" w:after="120"/>
              <w:ind w:right="113"/>
              <w:rPr>
                <w:noProof/>
                <w:lang w:val="fr-FR"/>
              </w:rPr>
            </w:pPr>
            <w:r w:rsidRPr="002810C8">
              <w:rPr>
                <w:noProof/>
                <w:lang w:val="fr-FR"/>
              </w:rPr>
              <w:t>20 demandeurs</w:t>
            </w:r>
            <w:r w:rsidR="001B61C7">
              <w:rPr>
                <w:noProof/>
                <w:lang w:val="fr-FR"/>
              </w:rPr>
              <w:t> </w:t>
            </w:r>
            <w:r w:rsidRPr="002810C8">
              <w:rPr>
                <w:noProof/>
                <w:lang w:val="fr-FR"/>
              </w:rPr>
              <w:t xml:space="preserve">: 15 hommes et 5 femmes, dont 3 mineurs et 17 majeurs </w:t>
            </w:r>
          </w:p>
        </w:tc>
      </w:tr>
      <w:tr w:rsidR="00653B7F" w:rsidRPr="002810C8" w14:paraId="0EDBAD0E" w14:textId="77777777" w:rsidTr="002810C8">
        <w:tc>
          <w:tcPr>
            <w:tcW w:w="1072" w:type="dxa"/>
            <w:shd w:val="clear" w:color="auto" w:fill="auto"/>
            <w:tcMar>
              <w:top w:w="0" w:type="dxa"/>
              <w:left w:w="0" w:type="dxa"/>
              <w:bottom w:w="0" w:type="dxa"/>
              <w:right w:w="0" w:type="dxa"/>
            </w:tcMar>
          </w:tcPr>
          <w:p w14:paraId="22991AB8" w14:textId="77777777" w:rsidR="00653B7F" w:rsidRPr="002810C8" w:rsidRDefault="00653B7F" w:rsidP="002810C8">
            <w:pPr>
              <w:spacing w:before="40" w:after="120"/>
              <w:ind w:right="113"/>
              <w:rPr>
                <w:noProof/>
                <w:lang w:val="fr-FR"/>
              </w:rPr>
            </w:pPr>
            <w:r w:rsidRPr="002810C8">
              <w:rPr>
                <w:noProof/>
                <w:lang w:val="fr-FR"/>
              </w:rPr>
              <w:t>2016</w:t>
            </w:r>
          </w:p>
        </w:tc>
        <w:tc>
          <w:tcPr>
            <w:tcW w:w="6298" w:type="dxa"/>
            <w:shd w:val="clear" w:color="auto" w:fill="auto"/>
            <w:tcMar>
              <w:top w:w="0" w:type="dxa"/>
              <w:left w:w="0" w:type="dxa"/>
              <w:bottom w:w="0" w:type="dxa"/>
              <w:right w:w="0" w:type="dxa"/>
            </w:tcMar>
          </w:tcPr>
          <w:p w14:paraId="66A2CE92" w14:textId="77777777" w:rsidR="00653B7F" w:rsidRPr="002810C8" w:rsidRDefault="00653B7F" w:rsidP="002810C8">
            <w:pPr>
              <w:spacing w:before="40" w:after="120"/>
              <w:ind w:right="113"/>
              <w:rPr>
                <w:noProof/>
                <w:lang w:val="fr-FR"/>
              </w:rPr>
            </w:pPr>
            <w:r w:rsidRPr="002810C8">
              <w:rPr>
                <w:noProof/>
                <w:lang w:val="fr-FR"/>
              </w:rPr>
              <w:t>10 demandeurs</w:t>
            </w:r>
            <w:r w:rsidR="001B61C7">
              <w:rPr>
                <w:noProof/>
                <w:lang w:val="fr-FR"/>
              </w:rPr>
              <w:t> </w:t>
            </w:r>
            <w:r w:rsidRPr="002810C8">
              <w:rPr>
                <w:noProof/>
                <w:lang w:val="fr-FR"/>
              </w:rPr>
              <w:t>: 8 hommes et 2 femmes, dont 4 mineurs et 6 majeurs</w:t>
            </w:r>
          </w:p>
        </w:tc>
      </w:tr>
      <w:tr w:rsidR="00653B7F" w:rsidRPr="002810C8" w14:paraId="772FA43B" w14:textId="77777777" w:rsidTr="002810C8">
        <w:tc>
          <w:tcPr>
            <w:tcW w:w="1072" w:type="dxa"/>
            <w:shd w:val="clear" w:color="auto" w:fill="auto"/>
            <w:tcMar>
              <w:top w:w="0" w:type="dxa"/>
              <w:left w:w="0" w:type="dxa"/>
              <w:bottom w:w="0" w:type="dxa"/>
              <w:right w:w="0" w:type="dxa"/>
            </w:tcMar>
          </w:tcPr>
          <w:p w14:paraId="1C8AA8C9" w14:textId="77777777" w:rsidR="00653B7F" w:rsidRPr="002810C8" w:rsidRDefault="00653B7F" w:rsidP="002810C8">
            <w:pPr>
              <w:spacing w:before="40" w:after="120"/>
              <w:ind w:right="113"/>
              <w:rPr>
                <w:noProof/>
                <w:lang w:val="fr-FR"/>
              </w:rPr>
            </w:pPr>
            <w:r w:rsidRPr="002810C8">
              <w:rPr>
                <w:noProof/>
                <w:lang w:val="fr-FR"/>
              </w:rPr>
              <w:t>2017</w:t>
            </w:r>
          </w:p>
        </w:tc>
        <w:tc>
          <w:tcPr>
            <w:tcW w:w="6298" w:type="dxa"/>
            <w:shd w:val="clear" w:color="auto" w:fill="auto"/>
            <w:tcMar>
              <w:top w:w="0" w:type="dxa"/>
              <w:left w:w="0" w:type="dxa"/>
              <w:bottom w:w="0" w:type="dxa"/>
              <w:right w:w="0" w:type="dxa"/>
            </w:tcMar>
          </w:tcPr>
          <w:p w14:paraId="0E79F16D" w14:textId="77777777" w:rsidR="00653B7F" w:rsidRPr="002810C8" w:rsidRDefault="00653B7F" w:rsidP="002810C8">
            <w:pPr>
              <w:spacing w:before="40" w:after="120"/>
              <w:ind w:right="113"/>
              <w:rPr>
                <w:noProof/>
                <w:lang w:val="fr-FR"/>
              </w:rPr>
            </w:pPr>
            <w:r w:rsidRPr="002810C8">
              <w:rPr>
                <w:noProof/>
                <w:lang w:val="fr-FR"/>
              </w:rPr>
              <w:t>6 demandeurs</w:t>
            </w:r>
            <w:r w:rsidR="001B61C7">
              <w:rPr>
                <w:noProof/>
                <w:lang w:val="fr-FR"/>
              </w:rPr>
              <w:t> </w:t>
            </w:r>
            <w:r w:rsidRPr="002810C8">
              <w:rPr>
                <w:noProof/>
                <w:lang w:val="fr-FR"/>
              </w:rPr>
              <w:t>: 5 hommes et 1 femme, dont 1 mineur et 5 majeurs</w:t>
            </w:r>
          </w:p>
        </w:tc>
      </w:tr>
      <w:tr w:rsidR="00653B7F" w:rsidRPr="002810C8" w14:paraId="5C5D183D" w14:textId="77777777" w:rsidTr="002810C8">
        <w:tc>
          <w:tcPr>
            <w:tcW w:w="1072" w:type="dxa"/>
            <w:shd w:val="clear" w:color="auto" w:fill="auto"/>
            <w:tcMar>
              <w:top w:w="0" w:type="dxa"/>
              <w:left w:w="0" w:type="dxa"/>
              <w:bottom w:w="0" w:type="dxa"/>
              <w:right w:w="0" w:type="dxa"/>
            </w:tcMar>
          </w:tcPr>
          <w:p w14:paraId="79BC7021" w14:textId="77777777" w:rsidR="00653B7F" w:rsidRPr="002810C8" w:rsidRDefault="00653B7F" w:rsidP="002810C8">
            <w:pPr>
              <w:spacing w:before="40" w:after="120"/>
              <w:ind w:right="113"/>
              <w:rPr>
                <w:noProof/>
                <w:lang w:val="fr-FR"/>
              </w:rPr>
            </w:pPr>
            <w:r w:rsidRPr="002810C8">
              <w:rPr>
                <w:noProof/>
                <w:lang w:val="fr-FR"/>
              </w:rPr>
              <w:lastRenderedPageBreak/>
              <w:t>2018</w:t>
            </w:r>
          </w:p>
        </w:tc>
        <w:tc>
          <w:tcPr>
            <w:tcW w:w="6298" w:type="dxa"/>
            <w:shd w:val="clear" w:color="auto" w:fill="auto"/>
            <w:tcMar>
              <w:top w:w="0" w:type="dxa"/>
              <w:left w:w="0" w:type="dxa"/>
              <w:bottom w:w="0" w:type="dxa"/>
              <w:right w:w="0" w:type="dxa"/>
            </w:tcMar>
          </w:tcPr>
          <w:p w14:paraId="4D269634" w14:textId="77777777" w:rsidR="00653B7F" w:rsidRPr="002810C8" w:rsidRDefault="00653B7F" w:rsidP="002810C8">
            <w:pPr>
              <w:spacing w:before="40" w:after="120"/>
              <w:ind w:right="113"/>
              <w:rPr>
                <w:noProof/>
                <w:lang w:val="fr-FR"/>
              </w:rPr>
            </w:pPr>
            <w:r w:rsidRPr="002810C8">
              <w:rPr>
                <w:noProof/>
                <w:lang w:val="fr-FR"/>
              </w:rPr>
              <w:t>32 demandeurs</w:t>
            </w:r>
            <w:r w:rsidR="001B61C7">
              <w:rPr>
                <w:noProof/>
                <w:lang w:val="fr-FR"/>
              </w:rPr>
              <w:t> </w:t>
            </w:r>
            <w:r w:rsidRPr="002810C8">
              <w:rPr>
                <w:noProof/>
                <w:lang w:val="fr-FR"/>
              </w:rPr>
              <w:t>: 22 hommes et 10 femmes, dont 9 mineurs et 23 majeurs</w:t>
            </w:r>
          </w:p>
        </w:tc>
      </w:tr>
      <w:tr w:rsidR="00653B7F" w:rsidRPr="002810C8" w14:paraId="7D8624F0" w14:textId="77777777" w:rsidTr="002810C8">
        <w:tc>
          <w:tcPr>
            <w:tcW w:w="1072" w:type="dxa"/>
            <w:tcBorders>
              <w:bottom w:val="single" w:sz="12" w:space="0" w:color="auto"/>
            </w:tcBorders>
            <w:shd w:val="clear" w:color="auto" w:fill="auto"/>
            <w:tcMar>
              <w:top w:w="0" w:type="dxa"/>
              <w:left w:w="0" w:type="dxa"/>
              <w:bottom w:w="0" w:type="dxa"/>
              <w:right w:w="0" w:type="dxa"/>
            </w:tcMar>
          </w:tcPr>
          <w:p w14:paraId="7A77C3B5" w14:textId="77777777" w:rsidR="00653B7F" w:rsidRPr="002810C8" w:rsidRDefault="00653B7F" w:rsidP="002810C8">
            <w:pPr>
              <w:spacing w:before="40" w:after="120"/>
              <w:ind w:right="113"/>
              <w:rPr>
                <w:noProof/>
                <w:lang w:val="fr-FR"/>
              </w:rPr>
            </w:pPr>
            <w:r w:rsidRPr="002810C8">
              <w:rPr>
                <w:noProof/>
                <w:lang w:val="fr-FR"/>
              </w:rPr>
              <w:t>2019</w:t>
            </w:r>
          </w:p>
        </w:tc>
        <w:tc>
          <w:tcPr>
            <w:tcW w:w="6298" w:type="dxa"/>
            <w:tcBorders>
              <w:bottom w:val="single" w:sz="12" w:space="0" w:color="auto"/>
            </w:tcBorders>
            <w:shd w:val="clear" w:color="auto" w:fill="auto"/>
            <w:tcMar>
              <w:top w:w="0" w:type="dxa"/>
              <w:left w:w="0" w:type="dxa"/>
              <w:bottom w:w="0" w:type="dxa"/>
              <w:right w:w="0" w:type="dxa"/>
            </w:tcMar>
          </w:tcPr>
          <w:p w14:paraId="5F9BF801" w14:textId="77777777" w:rsidR="00653B7F" w:rsidRPr="002810C8" w:rsidRDefault="00653B7F" w:rsidP="002810C8">
            <w:pPr>
              <w:spacing w:before="40" w:after="120"/>
              <w:ind w:right="113"/>
              <w:rPr>
                <w:noProof/>
                <w:lang w:val="fr-FR"/>
              </w:rPr>
            </w:pPr>
            <w:r w:rsidRPr="002810C8">
              <w:rPr>
                <w:noProof/>
                <w:lang w:val="fr-FR"/>
              </w:rPr>
              <w:t>13 demandeurs</w:t>
            </w:r>
            <w:r w:rsidR="001B61C7">
              <w:rPr>
                <w:noProof/>
                <w:lang w:val="fr-FR"/>
              </w:rPr>
              <w:t> </w:t>
            </w:r>
            <w:r w:rsidRPr="002810C8">
              <w:rPr>
                <w:noProof/>
                <w:lang w:val="fr-FR"/>
              </w:rPr>
              <w:t xml:space="preserve">: 7 hommes et 6 femmes, dont 3 mineurs et 10 majeurs </w:t>
            </w:r>
          </w:p>
        </w:tc>
      </w:tr>
    </w:tbl>
    <w:p w14:paraId="1E43FE94" w14:textId="77777777" w:rsidR="00653B7F" w:rsidRPr="00F263D5" w:rsidRDefault="00653B7F" w:rsidP="001B61C7">
      <w:pPr>
        <w:pStyle w:val="Titre1"/>
        <w:kinsoku/>
        <w:overflowPunct/>
        <w:autoSpaceDE/>
        <w:autoSpaceDN/>
        <w:adjustRightInd/>
        <w:snapToGrid/>
        <w:spacing w:before="240" w:after="120"/>
        <w:rPr>
          <w:b/>
          <w:noProof/>
          <w:lang w:val="fr-FR"/>
        </w:rPr>
      </w:pPr>
      <w:r>
        <w:rPr>
          <w:noProof/>
          <w:lang w:val="fr-FR"/>
        </w:rPr>
        <w:t>Tableau</w:t>
      </w:r>
      <w:r w:rsidRPr="00F263D5">
        <w:rPr>
          <w:noProof/>
          <w:lang w:val="fr-FR"/>
        </w:rPr>
        <w:t xml:space="preserve"> 11</w:t>
      </w:r>
      <w:r w:rsidR="001B61C7">
        <w:rPr>
          <w:noProof/>
          <w:lang w:val="fr-FR"/>
        </w:rPr>
        <w:br/>
      </w:r>
      <w:r>
        <w:rPr>
          <w:b/>
          <w:noProof/>
          <w:lang w:val="fr-FR"/>
        </w:rPr>
        <w:t>Nombre de demandeurs qui ont reçu une réponse favorable</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6094"/>
      </w:tblGrid>
      <w:tr w:rsidR="00653B7F" w:rsidRPr="001B61C7" w14:paraId="75DA01E1" w14:textId="77777777" w:rsidTr="001B61C7">
        <w:trPr>
          <w:tblHeader/>
        </w:trPr>
        <w:tc>
          <w:tcPr>
            <w:tcW w:w="127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18A431E" w14:textId="77777777" w:rsidR="00653B7F" w:rsidRPr="001B61C7" w:rsidRDefault="00653B7F" w:rsidP="001B61C7">
            <w:pPr>
              <w:suppressAutoHyphens w:val="0"/>
              <w:spacing w:before="80" w:after="80" w:line="200" w:lineRule="exact"/>
              <w:rPr>
                <w:i/>
                <w:noProof/>
                <w:sz w:val="16"/>
                <w:lang w:val="fr-FR"/>
              </w:rPr>
            </w:pPr>
            <w:r w:rsidRPr="001B61C7">
              <w:rPr>
                <w:i/>
                <w:noProof/>
                <w:sz w:val="16"/>
                <w:lang w:val="fr-FR"/>
              </w:rPr>
              <w:t>Année</w:t>
            </w:r>
          </w:p>
        </w:tc>
        <w:tc>
          <w:tcPr>
            <w:tcW w:w="609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03D9717" w14:textId="77777777" w:rsidR="00653B7F" w:rsidRPr="001B61C7" w:rsidRDefault="00653B7F" w:rsidP="001B61C7">
            <w:pPr>
              <w:suppressAutoHyphens w:val="0"/>
              <w:spacing w:before="80" w:after="80" w:line="200" w:lineRule="exact"/>
              <w:jc w:val="right"/>
              <w:rPr>
                <w:i/>
                <w:noProof/>
                <w:sz w:val="16"/>
                <w:lang w:val="fr-FR"/>
              </w:rPr>
            </w:pPr>
            <w:r w:rsidRPr="001B61C7">
              <w:rPr>
                <w:i/>
                <w:noProof/>
                <w:sz w:val="16"/>
                <w:lang w:val="fr-FR"/>
              </w:rPr>
              <w:t>Nombre de reconnaissances du statut de réfugié</w:t>
            </w:r>
          </w:p>
        </w:tc>
      </w:tr>
      <w:tr w:rsidR="00653B7F" w:rsidRPr="001B61C7" w14:paraId="4DD10A99" w14:textId="77777777" w:rsidTr="001B61C7">
        <w:tc>
          <w:tcPr>
            <w:tcW w:w="1276" w:type="dxa"/>
            <w:tcBorders>
              <w:top w:val="single" w:sz="12" w:space="0" w:color="auto"/>
            </w:tcBorders>
            <w:shd w:val="clear" w:color="auto" w:fill="auto"/>
            <w:tcMar>
              <w:top w:w="0" w:type="dxa"/>
              <w:left w:w="0" w:type="dxa"/>
              <w:bottom w:w="0" w:type="dxa"/>
              <w:right w:w="0" w:type="dxa"/>
            </w:tcMar>
          </w:tcPr>
          <w:p w14:paraId="4786FB3D"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2010</w:t>
            </w:r>
          </w:p>
        </w:tc>
        <w:tc>
          <w:tcPr>
            <w:tcW w:w="6094" w:type="dxa"/>
            <w:tcBorders>
              <w:top w:val="single" w:sz="12" w:space="0" w:color="auto"/>
            </w:tcBorders>
            <w:shd w:val="clear" w:color="auto" w:fill="auto"/>
            <w:tcMar>
              <w:top w:w="0" w:type="dxa"/>
              <w:left w:w="0" w:type="dxa"/>
              <w:bottom w:w="0" w:type="dxa"/>
              <w:right w:w="0" w:type="dxa"/>
            </w:tcMar>
            <w:vAlign w:val="bottom"/>
          </w:tcPr>
          <w:p w14:paraId="20613F95"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6</w:t>
            </w:r>
          </w:p>
        </w:tc>
      </w:tr>
      <w:tr w:rsidR="00653B7F" w:rsidRPr="001B61C7" w14:paraId="3495AF36" w14:textId="77777777" w:rsidTr="001B61C7">
        <w:tc>
          <w:tcPr>
            <w:tcW w:w="1276" w:type="dxa"/>
            <w:shd w:val="clear" w:color="auto" w:fill="auto"/>
            <w:tcMar>
              <w:top w:w="0" w:type="dxa"/>
              <w:left w:w="0" w:type="dxa"/>
              <w:bottom w:w="0" w:type="dxa"/>
              <w:right w:w="0" w:type="dxa"/>
            </w:tcMar>
          </w:tcPr>
          <w:p w14:paraId="679076C2"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2011</w:t>
            </w:r>
          </w:p>
        </w:tc>
        <w:tc>
          <w:tcPr>
            <w:tcW w:w="6094" w:type="dxa"/>
            <w:shd w:val="clear" w:color="auto" w:fill="auto"/>
            <w:tcMar>
              <w:top w:w="0" w:type="dxa"/>
              <w:left w:w="0" w:type="dxa"/>
              <w:bottom w:w="0" w:type="dxa"/>
              <w:right w:w="0" w:type="dxa"/>
            </w:tcMar>
            <w:vAlign w:val="bottom"/>
          </w:tcPr>
          <w:p w14:paraId="2C28CEE3"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1</w:t>
            </w:r>
          </w:p>
        </w:tc>
      </w:tr>
      <w:tr w:rsidR="00653B7F" w:rsidRPr="001B61C7" w14:paraId="35FB6369" w14:textId="77777777" w:rsidTr="001B61C7">
        <w:tc>
          <w:tcPr>
            <w:tcW w:w="1276" w:type="dxa"/>
            <w:shd w:val="clear" w:color="auto" w:fill="auto"/>
            <w:tcMar>
              <w:top w:w="0" w:type="dxa"/>
              <w:left w:w="0" w:type="dxa"/>
              <w:bottom w:w="0" w:type="dxa"/>
              <w:right w:w="0" w:type="dxa"/>
            </w:tcMar>
          </w:tcPr>
          <w:p w14:paraId="6D6F6ECD"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2012</w:t>
            </w:r>
          </w:p>
        </w:tc>
        <w:tc>
          <w:tcPr>
            <w:tcW w:w="6094" w:type="dxa"/>
            <w:shd w:val="clear" w:color="auto" w:fill="auto"/>
            <w:tcMar>
              <w:top w:w="0" w:type="dxa"/>
              <w:left w:w="0" w:type="dxa"/>
              <w:bottom w:w="0" w:type="dxa"/>
              <w:right w:w="0" w:type="dxa"/>
            </w:tcMar>
            <w:vAlign w:val="bottom"/>
          </w:tcPr>
          <w:p w14:paraId="66FA938D"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2</w:t>
            </w:r>
          </w:p>
        </w:tc>
      </w:tr>
      <w:tr w:rsidR="00653B7F" w:rsidRPr="001B61C7" w14:paraId="17404991" w14:textId="77777777" w:rsidTr="001B61C7">
        <w:tc>
          <w:tcPr>
            <w:tcW w:w="1276" w:type="dxa"/>
            <w:shd w:val="clear" w:color="auto" w:fill="auto"/>
            <w:tcMar>
              <w:top w:w="0" w:type="dxa"/>
              <w:left w:w="0" w:type="dxa"/>
              <w:bottom w:w="0" w:type="dxa"/>
              <w:right w:w="0" w:type="dxa"/>
            </w:tcMar>
          </w:tcPr>
          <w:p w14:paraId="08218F29"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2013</w:t>
            </w:r>
          </w:p>
        </w:tc>
        <w:tc>
          <w:tcPr>
            <w:tcW w:w="6094" w:type="dxa"/>
            <w:shd w:val="clear" w:color="auto" w:fill="auto"/>
            <w:tcMar>
              <w:top w:w="0" w:type="dxa"/>
              <w:left w:w="0" w:type="dxa"/>
              <w:bottom w:w="0" w:type="dxa"/>
              <w:right w:w="0" w:type="dxa"/>
            </w:tcMar>
            <w:vAlign w:val="bottom"/>
          </w:tcPr>
          <w:p w14:paraId="0A7DCD79"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1</w:t>
            </w:r>
          </w:p>
        </w:tc>
      </w:tr>
      <w:tr w:rsidR="00653B7F" w:rsidRPr="001B61C7" w14:paraId="0AD21E98" w14:textId="77777777" w:rsidTr="001B61C7">
        <w:tc>
          <w:tcPr>
            <w:tcW w:w="1276" w:type="dxa"/>
            <w:shd w:val="clear" w:color="auto" w:fill="auto"/>
            <w:tcMar>
              <w:top w:w="0" w:type="dxa"/>
              <w:left w:w="0" w:type="dxa"/>
              <w:bottom w:w="0" w:type="dxa"/>
              <w:right w:w="0" w:type="dxa"/>
            </w:tcMar>
          </w:tcPr>
          <w:p w14:paraId="1852F268"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2014</w:t>
            </w:r>
          </w:p>
        </w:tc>
        <w:tc>
          <w:tcPr>
            <w:tcW w:w="6094" w:type="dxa"/>
            <w:shd w:val="clear" w:color="auto" w:fill="auto"/>
            <w:tcMar>
              <w:top w:w="0" w:type="dxa"/>
              <w:left w:w="0" w:type="dxa"/>
              <w:bottom w:w="0" w:type="dxa"/>
              <w:right w:w="0" w:type="dxa"/>
            </w:tcMar>
            <w:vAlign w:val="bottom"/>
          </w:tcPr>
          <w:p w14:paraId="412A3222"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7</w:t>
            </w:r>
          </w:p>
        </w:tc>
      </w:tr>
      <w:tr w:rsidR="00653B7F" w:rsidRPr="001B61C7" w14:paraId="243B170C" w14:textId="77777777" w:rsidTr="001B61C7">
        <w:tc>
          <w:tcPr>
            <w:tcW w:w="1276" w:type="dxa"/>
            <w:shd w:val="clear" w:color="auto" w:fill="auto"/>
            <w:tcMar>
              <w:top w:w="0" w:type="dxa"/>
              <w:left w:w="0" w:type="dxa"/>
              <w:bottom w:w="0" w:type="dxa"/>
              <w:right w:w="0" w:type="dxa"/>
            </w:tcMar>
          </w:tcPr>
          <w:p w14:paraId="39EC5156"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2015</w:t>
            </w:r>
          </w:p>
        </w:tc>
        <w:tc>
          <w:tcPr>
            <w:tcW w:w="6094" w:type="dxa"/>
            <w:shd w:val="clear" w:color="auto" w:fill="auto"/>
            <w:tcMar>
              <w:top w:w="0" w:type="dxa"/>
              <w:left w:w="0" w:type="dxa"/>
              <w:bottom w:w="0" w:type="dxa"/>
              <w:right w:w="0" w:type="dxa"/>
            </w:tcMar>
            <w:vAlign w:val="bottom"/>
          </w:tcPr>
          <w:p w14:paraId="39F918D9"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10</w:t>
            </w:r>
          </w:p>
        </w:tc>
      </w:tr>
      <w:tr w:rsidR="00653B7F" w:rsidRPr="001B61C7" w14:paraId="054C9DFA" w14:textId="77777777" w:rsidTr="001B61C7">
        <w:tc>
          <w:tcPr>
            <w:tcW w:w="1276" w:type="dxa"/>
            <w:shd w:val="clear" w:color="auto" w:fill="auto"/>
            <w:tcMar>
              <w:top w:w="0" w:type="dxa"/>
              <w:left w:w="0" w:type="dxa"/>
              <w:bottom w:w="0" w:type="dxa"/>
              <w:right w:w="0" w:type="dxa"/>
            </w:tcMar>
          </w:tcPr>
          <w:p w14:paraId="09EFF583"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2016</w:t>
            </w:r>
          </w:p>
        </w:tc>
        <w:tc>
          <w:tcPr>
            <w:tcW w:w="6094" w:type="dxa"/>
            <w:shd w:val="clear" w:color="auto" w:fill="auto"/>
            <w:tcMar>
              <w:top w:w="0" w:type="dxa"/>
              <w:left w:w="0" w:type="dxa"/>
              <w:bottom w:w="0" w:type="dxa"/>
              <w:right w:w="0" w:type="dxa"/>
            </w:tcMar>
            <w:vAlign w:val="bottom"/>
          </w:tcPr>
          <w:p w14:paraId="55AA675F"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1</w:t>
            </w:r>
          </w:p>
        </w:tc>
      </w:tr>
      <w:tr w:rsidR="00653B7F" w:rsidRPr="001B61C7" w14:paraId="76C7BFD0" w14:textId="77777777" w:rsidTr="001B61C7">
        <w:tc>
          <w:tcPr>
            <w:tcW w:w="1276" w:type="dxa"/>
            <w:shd w:val="clear" w:color="auto" w:fill="auto"/>
            <w:tcMar>
              <w:top w:w="0" w:type="dxa"/>
              <w:left w:w="0" w:type="dxa"/>
              <w:bottom w:w="0" w:type="dxa"/>
              <w:right w:w="0" w:type="dxa"/>
            </w:tcMar>
          </w:tcPr>
          <w:p w14:paraId="675539F6"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2017</w:t>
            </w:r>
          </w:p>
        </w:tc>
        <w:tc>
          <w:tcPr>
            <w:tcW w:w="6094" w:type="dxa"/>
            <w:shd w:val="clear" w:color="auto" w:fill="auto"/>
            <w:tcMar>
              <w:top w:w="0" w:type="dxa"/>
              <w:left w:w="0" w:type="dxa"/>
              <w:bottom w:w="0" w:type="dxa"/>
              <w:right w:w="0" w:type="dxa"/>
            </w:tcMar>
            <w:vAlign w:val="bottom"/>
          </w:tcPr>
          <w:p w14:paraId="4B9D90C5"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5</w:t>
            </w:r>
          </w:p>
        </w:tc>
      </w:tr>
      <w:tr w:rsidR="00653B7F" w:rsidRPr="001B61C7" w14:paraId="6E2064E8" w14:textId="77777777" w:rsidTr="001B61C7">
        <w:tc>
          <w:tcPr>
            <w:tcW w:w="1276" w:type="dxa"/>
            <w:shd w:val="clear" w:color="auto" w:fill="auto"/>
            <w:tcMar>
              <w:top w:w="0" w:type="dxa"/>
              <w:left w:w="0" w:type="dxa"/>
              <w:bottom w:w="0" w:type="dxa"/>
              <w:right w:w="0" w:type="dxa"/>
            </w:tcMar>
          </w:tcPr>
          <w:p w14:paraId="68167E21"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2018</w:t>
            </w:r>
          </w:p>
        </w:tc>
        <w:tc>
          <w:tcPr>
            <w:tcW w:w="6094" w:type="dxa"/>
            <w:shd w:val="clear" w:color="auto" w:fill="auto"/>
            <w:tcMar>
              <w:top w:w="0" w:type="dxa"/>
              <w:left w:w="0" w:type="dxa"/>
              <w:bottom w:w="0" w:type="dxa"/>
              <w:right w:w="0" w:type="dxa"/>
            </w:tcMar>
            <w:vAlign w:val="bottom"/>
          </w:tcPr>
          <w:p w14:paraId="41F1A3A9"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2</w:t>
            </w:r>
          </w:p>
        </w:tc>
      </w:tr>
      <w:tr w:rsidR="00653B7F" w:rsidRPr="001B61C7" w14:paraId="5643C28B" w14:textId="77777777" w:rsidTr="001B61C7">
        <w:tc>
          <w:tcPr>
            <w:tcW w:w="1276" w:type="dxa"/>
            <w:tcBorders>
              <w:bottom w:val="single" w:sz="4" w:space="0" w:color="auto"/>
            </w:tcBorders>
            <w:shd w:val="clear" w:color="auto" w:fill="auto"/>
            <w:tcMar>
              <w:top w:w="0" w:type="dxa"/>
              <w:left w:w="0" w:type="dxa"/>
              <w:bottom w:w="0" w:type="dxa"/>
              <w:right w:w="0" w:type="dxa"/>
            </w:tcMar>
          </w:tcPr>
          <w:p w14:paraId="6BCC024D" w14:textId="77777777" w:rsidR="00653B7F" w:rsidRPr="001B61C7" w:rsidRDefault="00653B7F" w:rsidP="001B61C7">
            <w:pPr>
              <w:suppressAutoHyphens w:val="0"/>
              <w:spacing w:before="40" w:after="40" w:line="220" w:lineRule="exact"/>
              <w:rPr>
                <w:noProof/>
                <w:sz w:val="18"/>
                <w:lang w:val="fr-FR"/>
              </w:rPr>
            </w:pPr>
            <w:r w:rsidRPr="001B61C7">
              <w:rPr>
                <w:noProof/>
                <w:sz w:val="18"/>
                <w:lang w:val="fr-FR"/>
              </w:rPr>
              <w:t>2019</w:t>
            </w:r>
          </w:p>
        </w:tc>
        <w:tc>
          <w:tcPr>
            <w:tcW w:w="6094" w:type="dxa"/>
            <w:tcBorders>
              <w:bottom w:val="single" w:sz="4" w:space="0" w:color="auto"/>
            </w:tcBorders>
            <w:shd w:val="clear" w:color="auto" w:fill="auto"/>
            <w:tcMar>
              <w:top w:w="0" w:type="dxa"/>
              <w:left w:w="0" w:type="dxa"/>
              <w:bottom w:w="0" w:type="dxa"/>
              <w:right w:w="0" w:type="dxa"/>
            </w:tcMar>
            <w:vAlign w:val="bottom"/>
          </w:tcPr>
          <w:p w14:paraId="0C814514" w14:textId="77777777" w:rsidR="00653B7F" w:rsidRPr="001B61C7" w:rsidRDefault="00653B7F" w:rsidP="001B61C7">
            <w:pPr>
              <w:suppressAutoHyphens w:val="0"/>
              <w:spacing w:before="40" w:after="40" w:line="220" w:lineRule="exact"/>
              <w:jc w:val="right"/>
              <w:rPr>
                <w:noProof/>
                <w:sz w:val="18"/>
                <w:lang w:val="fr-FR"/>
              </w:rPr>
            </w:pPr>
            <w:r w:rsidRPr="001B61C7">
              <w:rPr>
                <w:noProof/>
                <w:sz w:val="18"/>
                <w:lang w:val="fr-FR"/>
              </w:rPr>
              <w:t>0</w:t>
            </w:r>
          </w:p>
        </w:tc>
      </w:tr>
      <w:tr w:rsidR="00653B7F" w:rsidRPr="001B61C7" w14:paraId="7F417B10" w14:textId="77777777" w:rsidTr="001B61C7">
        <w:tc>
          <w:tcPr>
            <w:tcW w:w="1276" w:type="dxa"/>
            <w:tcBorders>
              <w:top w:val="single" w:sz="4" w:space="0" w:color="auto"/>
              <w:bottom w:val="single" w:sz="12" w:space="0" w:color="auto"/>
            </w:tcBorders>
            <w:shd w:val="clear" w:color="auto" w:fill="auto"/>
            <w:tcMar>
              <w:top w:w="0" w:type="dxa"/>
              <w:left w:w="0" w:type="dxa"/>
              <w:bottom w:w="0" w:type="dxa"/>
              <w:right w:w="0" w:type="dxa"/>
            </w:tcMar>
          </w:tcPr>
          <w:p w14:paraId="008B23C5" w14:textId="77777777" w:rsidR="00653B7F" w:rsidRPr="001B61C7" w:rsidRDefault="00653B7F" w:rsidP="001B61C7">
            <w:pPr>
              <w:suppressAutoHyphens w:val="0"/>
              <w:spacing w:before="80" w:after="80" w:line="220" w:lineRule="exact"/>
              <w:ind w:left="284"/>
              <w:rPr>
                <w:b/>
                <w:noProof/>
                <w:sz w:val="18"/>
                <w:lang w:val="fr-FR"/>
              </w:rPr>
            </w:pPr>
            <w:r w:rsidRPr="001B61C7">
              <w:rPr>
                <w:b/>
                <w:noProof/>
                <w:sz w:val="18"/>
                <w:lang w:val="fr-FR"/>
              </w:rPr>
              <w:t>Total</w:t>
            </w:r>
          </w:p>
        </w:tc>
        <w:tc>
          <w:tcPr>
            <w:tcW w:w="609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E7E4CD" w14:textId="77777777" w:rsidR="00653B7F" w:rsidRPr="001B61C7" w:rsidRDefault="00653B7F" w:rsidP="001B61C7">
            <w:pPr>
              <w:suppressAutoHyphens w:val="0"/>
              <w:spacing w:before="80" w:after="80" w:line="220" w:lineRule="exact"/>
              <w:jc w:val="right"/>
              <w:rPr>
                <w:b/>
                <w:noProof/>
                <w:sz w:val="18"/>
                <w:lang w:val="fr-FR"/>
              </w:rPr>
            </w:pPr>
            <w:r w:rsidRPr="001B61C7">
              <w:rPr>
                <w:b/>
                <w:noProof/>
                <w:sz w:val="18"/>
                <w:lang w:val="fr-FR"/>
              </w:rPr>
              <w:t>35 (25 hommes et 10 femmes, dont 9 mineurs et 26 majeurs)</w:t>
            </w:r>
          </w:p>
        </w:tc>
      </w:tr>
    </w:tbl>
    <w:p w14:paraId="0E1B2474" w14:textId="77777777" w:rsidR="00653B7F" w:rsidRDefault="00653B7F" w:rsidP="00653B7F">
      <w:pPr>
        <w:pStyle w:val="SingleTxtG"/>
        <w:spacing w:before="240"/>
        <w:rPr>
          <w:noProof/>
          <w:lang w:val="fr-FR"/>
        </w:rPr>
      </w:pPr>
      <w:r w:rsidRPr="00F263D5">
        <w:rPr>
          <w:noProof/>
          <w:lang w:val="fr-FR"/>
        </w:rPr>
        <w:t>52.</w:t>
      </w:r>
      <w:r w:rsidRPr="00F263D5">
        <w:rPr>
          <w:noProof/>
          <w:lang w:val="fr-FR"/>
        </w:rPr>
        <w:tab/>
      </w:r>
      <w:r>
        <w:rPr>
          <w:noProof/>
          <w:lang w:val="fr-FR"/>
        </w:rPr>
        <w:t xml:space="preserve">La </w:t>
      </w:r>
      <w:r w:rsidRPr="00B7479C">
        <w:rPr>
          <w:noProof/>
          <w:lang w:val="fr-FR"/>
        </w:rPr>
        <w:t>Commission de détermination du statut de réfugié</w:t>
      </w:r>
      <w:r>
        <w:rPr>
          <w:noProof/>
          <w:lang w:val="fr-FR"/>
        </w:rPr>
        <w:t xml:space="preserve"> n</w:t>
      </w:r>
      <w:r w:rsidR="002A5D78">
        <w:rPr>
          <w:noProof/>
          <w:lang w:val="fr-FR"/>
        </w:rPr>
        <w:t>’</w:t>
      </w:r>
      <w:r>
        <w:rPr>
          <w:noProof/>
          <w:lang w:val="fr-FR"/>
        </w:rPr>
        <w:t>a été saisie d</w:t>
      </w:r>
      <w:r w:rsidR="002A5D78">
        <w:rPr>
          <w:noProof/>
          <w:lang w:val="fr-FR"/>
        </w:rPr>
        <w:t>’</w:t>
      </w:r>
      <w:r>
        <w:rPr>
          <w:noProof/>
          <w:lang w:val="fr-FR"/>
        </w:rPr>
        <w:t>aucune demande invoquant la torture ou un risque de torture en cas de refoulement vers le pays d</w:t>
      </w:r>
      <w:r w:rsidR="002A5D78">
        <w:rPr>
          <w:noProof/>
          <w:lang w:val="fr-FR"/>
        </w:rPr>
        <w:t>’</w:t>
      </w:r>
      <w:r>
        <w:rPr>
          <w:noProof/>
          <w:lang w:val="fr-FR"/>
        </w:rPr>
        <w:t>origine et n</w:t>
      </w:r>
      <w:r w:rsidR="002A5D78">
        <w:rPr>
          <w:noProof/>
          <w:lang w:val="fr-FR"/>
        </w:rPr>
        <w:t>’</w:t>
      </w:r>
      <w:r>
        <w:rPr>
          <w:noProof/>
          <w:lang w:val="fr-FR"/>
        </w:rPr>
        <w:t>a pris aucune décision de non-refoulement pour cause de risque de torture. Entre 2010 et mars 2019, elle n</w:t>
      </w:r>
      <w:r w:rsidR="002A5D78">
        <w:rPr>
          <w:noProof/>
          <w:lang w:val="fr-FR"/>
        </w:rPr>
        <w:t>’</w:t>
      </w:r>
      <w:r>
        <w:rPr>
          <w:noProof/>
          <w:lang w:val="fr-FR"/>
        </w:rPr>
        <w:t>a enregistré aucune offre ou acceptation de garanties diplomatiques ou autres pour la remise d</w:t>
      </w:r>
      <w:r w:rsidR="002A5D78">
        <w:rPr>
          <w:noProof/>
          <w:lang w:val="fr-FR"/>
        </w:rPr>
        <w:t>’</w:t>
      </w:r>
      <w:r>
        <w:rPr>
          <w:noProof/>
          <w:lang w:val="fr-FR"/>
        </w:rPr>
        <w:t>étrangers ; en tout état de cause, la législation salvadorienne ne permet pas d</w:t>
      </w:r>
      <w:r w:rsidR="002A5D78">
        <w:rPr>
          <w:noProof/>
          <w:lang w:val="fr-FR"/>
        </w:rPr>
        <w:t>’</w:t>
      </w:r>
      <w:r>
        <w:rPr>
          <w:noProof/>
          <w:lang w:val="fr-FR"/>
        </w:rPr>
        <w:t>extrader une personne sur la seule foi d</w:t>
      </w:r>
      <w:r w:rsidR="002A5D78">
        <w:rPr>
          <w:noProof/>
          <w:lang w:val="fr-FR"/>
        </w:rPr>
        <w:t>’</w:t>
      </w:r>
      <w:r>
        <w:rPr>
          <w:noProof/>
          <w:lang w:val="fr-FR"/>
        </w:rPr>
        <w:t>assurances diplomatiques et subordonne l</w:t>
      </w:r>
      <w:r w:rsidR="002A5D78">
        <w:rPr>
          <w:noProof/>
          <w:lang w:val="fr-FR"/>
        </w:rPr>
        <w:t>’</w:t>
      </w:r>
      <w:r>
        <w:rPr>
          <w:noProof/>
          <w:lang w:val="fr-FR"/>
        </w:rPr>
        <w:t xml:space="preserve">extradition au respect des dispositions légales nationales et des traités bilatéraux ou multilatéraux.  </w:t>
      </w:r>
    </w:p>
    <w:p w14:paraId="4252318F" w14:textId="77777777" w:rsidR="00653B7F" w:rsidRDefault="00653B7F" w:rsidP="00653B7F">
      <w:pPr>
        <w:pStyle w:val="SingleTxtG"/>
        <w:rPr>
          <w:noProof/>
          <w:lang w:val="fr-FR"/>
        </w:rPr>
      </w:pPr>
      <w:r w:rsidRPr="00F263D5">
        <w:rPr>
          <w:noProof/>
          <w:lang w:val="fr-FR"/>
        </w:rPr>
        <w:t>53.</w:t>
      </w:r>
      <w:r w:rsidRPr="00F263D5">
        <w:rPr>
          <w:noProof/>
          <w:lang w:val="fr-FR"/>
        </w:rPr>
        <w:tab/>
      </w:r>
      <w:r>
        <w:rPr>
          <w:noProof/>
          <w:lang w:val="fr-FR"/>
        </w:rPr>
        <w:t>En El Salvador, l</w:t>
      </w:r>
      <w:r w:rsidR="002A5D78">
        <w:rPr>
          <w:noProof/>
          <w:lang w:val="fr-FR"/>
        </w:rPr>
        <w:t>’</w:t>
      </w:r>
      <w:r>
        <w:rPr>
          <w:noProof/>
          <w:lang w:val="fr-FR"/>
        </w:rPr>
        <w:t>autorité compétente pour statuer sur les demandes d</w:t>
      </w:r>
      <w:r w:rsidR="002A5D78">
        <w:rPr>
          <w:noProof/>
          <w:lang w:val="fr-FR"/>
        </w:rPr>
        <w:t>’</w:t>
      </w:r>
      <w:r>
        <w:rPr>
          <w:noProof/>
          <w:lang w:val="fr-FR"/>
        </w:rPr>
        <w:t>extradition est la Cour suprême de justice. Dans la pratique, en l</w:t>
      </w:r>
      <w:r w:rsidR="002A5D78">
        <w:rPr>
          <w:noProof/>
          <w:lang w:val="fr-FR"/>
        </w:rPr>
        <w:t>’</w:t>
      </w:r>
      <w:r>
        <w:rPr>
          <w:noProof/>
          <w:lang w:val="fr-FR"/>
        </w:rPr>
        <w:t>absence de norme secondaire qui régisse la procédure d</w:t>
      </w:r>
      <w:r w:rsidR="002A5D78">
        <w:rPr>
          <w:noProof/>
          <w:lang w:val="fr-FR"/>
        </w:rPr>
        <w:t>’</w:t>
      </w:r>
      <w:r>
        <w:rPr>
          <w:noProof/>
          <w:lang w:val="fr-FR"/>
        </w:rPr>
        <w:t>extradition et en application directe des dispositions pertinentes de la Constitution, la Cour suprême de justice a développé une jurisprudence selon laquelle « la procédure d</w:t>
      </w:r>
      <w:r w:rsidR="002A5D78">
        <w:rPr>
          <w:noProof/>
          <w:lang w:val="fr-FR"/>
        </w:rPr>
        <w:t>’</w:t>
      </w:r>
      <w:r>
        <w:rPr>
          <w:noProof/>
          <w:lang w:val="fr-FR"/>
        </w:rPr>
        <w:t>extradition doit offrir à</w:t>
      </w:r>
      <w:r w:rsidR="00A75541">
        <w:rPr>
          <w:noProof/>
          <w:lang w:val="fr-FR"/>
        </w:rPr>
        <w:t xml:space="preserve"> </w:t>
      </w:r>
      <w:r>
        <w:rPr>
          <w:noProof/>
          <w:lang w:val="fr-FR"/>
        </w:rPr>
        <w:t>la personne réclamée toutes les garanties d</w:t>
      </w:r>
      <w:r w:rsidR="002A5D78">
        <w:rPr>
          <w:noProof/>
          <w:lang w:val="fr-FR"/>
        </w:rPr>
        <w:t>’</w:t>
      </w:r>
      <w:r>
        <w:rPr>
          <w:noProof/>
          <w:lang w:val="fr-FR"/>
        </w:rPr>
        <w:t>un procès régulier que la Constitution de la République, la législation interne et les instruments internationaux applicables prévoient. » (</w:t>
      </w:r>
      <w:r w:rsidRPr="00D23AE5">
        <w:rPr>
          <w:i/>
          <w:noProof/>
          <w:lang w:val="fr-FR"/>
        </w:rPr>
        <w:t>Expedientes suplicatorios penales</w:t>
      </w:r>
      <w:r>
        <w:rPr>
          <w:noProof/>
          <w:lang w:val="fr-FR"/>
        </w:rPr>
        <w:t xml:space="preserve"> (commissions rogatoires pénales) 17-S-2008, 53</w:t>
      </w:r>
      <w:r w:rsidRPr="00F263D5">
        <w:rPr>
          <w:noProof/>
          <w:lang w:val="fr-FR"/>
        </w:rPr>
        <w:t>-S-2010, 99-S-2012).</w:t>
      </w:r>
      <w:r>
        <w:rPr>
          <w:noProof/>
          <w:lang w:val="fr-FR"/>
        </w:rPr>
        <w:t xml:space="preserve"> Les personnes visées par une demande d</w:t>
      </w:r>
      <w:r w:rsidR="002A5D78">
        <w:rPr>
          <w:noProof/>
          <w:lang w:val="fr-FR"/>
        </w:rPr>
        <w:t>’</w:t>
      </w:r>
      <w:r>
        <w:rPr>
          <w:noProof/>
          <w:lang w:val="fr-FR"/>
        </w:rPr>
        <w:t>extradition sont par conséquent assurées que leurs droits en matière de défense seront respectés. Si la Cour suprême de justice estime que la situation visée à l</w:t>
      </w:r>
      <w:r w:rsidR="002A5D78">
        <w:rPr>
          <w:noProof/>
          <w:lang w:val="fr-FR"/>
        </w:rPr>
        <w:t>’</w:t>
      </w:r>
      <w:r>
        <w:rPr>
          <w:noProof/>
          <w:lang w:val="fr-FR"/>
        </w:rPr>
        <w:t>article 3 de la Convention contre la torture existe, elle doit en tenir compte lorsqu</w:t>
      </w:r>
      <w:r w:rsidR="002A5D78">
        <w:rPr>
          <w:noProof/>
          <w:lang w:val="fr-FR"/>
        </w:rPr>
        <w:t>’</w:t>
      </w:r>
      <w:r>
        <w:rPr>
          <w:noProof/>
          <w:lang w:val="fr-FR"/>
        </w:rPr>
        <w:t>elle statue sur la demande.</w:t>
      </w:r>
    </w:p>
    <w:p w14:paraId="6644165C" w14:textId="77777777" w:rsidR="00653B7F" w:rsidRDefault="00653B7F" w:rsidP="00653B7F">
      <w:pPr>
        <w:pStyle w:val="SingleTxtG"/>
        <w:rPr>
          <w:noProof/>
          <w:lang w:val="fr-FR"/>
        </w:rPr>
      </w:pPr>
      <w:r w:rsidRPr="00F263D5">
        <w:rPr>
          <w:noProof/>
          <w:lang w:val="fr-FR"/>
        </w:rPr>
        <w:t>54.</w:t>
      </w:r>
      <w:r w:rsidRPr="00F263D5">
        <w:rPr>
          <w:noProof/>
          <w:lang w:val="fr-FR"/>
        </w:rPr>
        <w:tab/>
      </w:r>
      <w:r>
        <w:rPr>
          <w:noProof/>
          <w:lang w:val="fr-FR"/>
        </w:rPr>
        <w:t>En ce qui concerne la formation de ses fonctionnaires, El Salvador a été pendant quatre ans l</w:t>
      </w:r>
      <w:r w:rsidR="002A5D78">
        <w:rPr>
          <w:noProof/>
          <w:lang w:val="fr-FR"/>
        </w:rPr>
        <w:t>’</w:t>
      </w:r>
      <w:r>
        <w:rPr>
          <w:noProof/>
          <w:lang w:val="fr-FR"/>
        </w:rPr>
        <w:t>un des États bénéficiaires du « projet régional au service des droits de l</w:t>
      </w:r>
      <w:r w:rsidR="002A5D78">
        <w:rPr>
          <w:noProof/>
          <w:lang w:val="fr-FR"/>
        </w:rPr>
        <w:t>’</w:t>
      </w:r>
      <w:r>
        <w:rPr>
          <w:noProof/>
          <w:lang w:val="fr-FR"/>
        </w:rPr>
        <w:t>homme et de la démocratie » exécuté par la Commission interaméricaine des droits de l</w:t>
      </w:r>
      <w:r w:rsidR="002A5D78">
        <w:rPr>
          <w:noProof/>
          <w:lang w:val="fr-FR"/>
        </w:rPr>
        <w:t>’</w:t>
      </w:r>
      <w:r>
        <w:rPr>
          <w:noProof/>
          <w:lang w:val="fr-FR"/>
        </w:rPr>
        <w:t>homme. Dans le cadre de ce projet, il a reçu un appui technique sous forme de formations dispensées à des agents de son système judiciaire, de la Direction générale des migrations et des étrangers et du Bureau du Procureur pour la défense des droits de l</w:t>
      </w:r>
      <w:r w:rsidR="002A5D78">
        <w:rPr>
          <w:noProof/>
          <w:lang w:val="fr-FR"/>
        </w:rPr>
        <w:t>’</w:t>
      </w:r>
      <w:r>
        <w:rPr>
          <w:noProof/>
          <w:lang w:val="fr-FR"/>
        </w:rPr>
        <w:t>homme, entre autres administrations. Ces formations portaient sur les normes et principes des droits de l</w:t>
      </w:r>
      <w:r w:rsidR="002A5D78">
        <w:rPr>
          <w:noProof/>
          <w:lang w:val="fr-FR"/>
        </w:rPr>
        <w:t>’</w:t>
      </w:r>
      <w:r>
        <w:rPr>
          <w:noProof/>
          <w:lang w:val="fr-FR"/>
        </w:rPr>
        <w:t xml:space="preserve">homme dans le contexte de la mobilité humaine et sur les migrations et les déplacements internes. </w:t>
      </w:r>
    </w:p>
    <w:p w14:paraId="5D1AB856" w14:textId="77777777" w:rsidR="00653B7F" w:rsidRDefault="00653B7F" w:rsidP="00653B7F">
      <w:pPr>
        <w:pStyle w:val="SingleTxtG"/>
        <w:rPr>
          <w:noProof/>
          <w:lang w:val="fr-FR"/>
        </w:rPr>
      </w:pPr>
      <w:r w:rsidRPr="00F263D5">
        <w:rPr>
          <w:noProof/>
          <w:lang w:val="fr-FR"/>
        </w:rPr>
        <w:lastRenderedPageBreak/>
        <w:t>55.</w:t>
      </w:r>
      <w:r w:rsidRPr="00F263D5">
        <w:rPr>
          <w:noProof/>
          <w:lang w:val="fr-FR"/>
        </w:rPr>
        <w:tab/>
      </w:r>
      <w:r>
        <w:rPr>
          <w:noProof/>
          <w:lang w:val="fr-FR"/>
        </w:rPr>
        <w:t>En avril 2019, l</w:t>
      </w:r>
      <w:r w:rsidR="002A5D78">
        <w:rPr>
          <w:noProof/>
          <w:lang w:val="fr-FR"/>
        </w:rPr>
        <w:t>’</w:t>
      </w:r>
      <w:r>
        <w:rPr>
          <w:noProof/>
          <w:lang w:val="fr-FR"/>
        </w:rPr>
        <w:t>Assemblée législative a adopté la loi spéciale sur les migrations et les étrangers</w:t>
      </w:r>
      <w:r>
        <w:rPr>
          <w:rStyle w:val="Appelnotedebasdep"/>
          <w:noProof/>
          <w:lang w:val="fr-FR"/>
        </w:rPr>
        <w:footnoteReference w:id="18"/>
      </w:r>
      <w:r>
        <w:rPr>
          <w:noProof/>
          <w:lang w:val="fr-FR"/>
        </w:rPr>
        <w:t>. Cette loi reconnaît la contribution positive des migrations et organise la protection des droits des migrants, leur intégration et leur promotion. Elle institue une filière professionnelle spécialisée dans l</w:t>
      </w:r>
      <w:r w:rsidR="002A5D78">
        <w:rPr>
          <w:noProof/>
          <w:lang w:val="fr-FR"/>
        </w:rPr>
        <w:t>’</w:t>
      </w:r>
      <w:r>
        <w:rPr>
          <w:noProof/>
          <w:lang w:val="fr-FR"/>
        </w:rPr>
        <w:t>administration des migrations, notamment aux fins d</w:t>
      </w:r>
      <w:r w:rsidR="002A5D78">
        <w:rPr>
          <w:noProof/>
          <w:lang w:val="fr-FR"/>
        </w:rPr>
        <w:t>’</w:t>
      </w:r>
      <w:r>
        <w:rPr>
          <w:noProof/>
          <w:lang w:val="fr-FR"/>
        </w:rPr>
        <w:t>assurer la formation et le perfectionnement des fonctionnaires compétents en cette matière.</w:t>
      </w:r>
    </w:p>
    <w:p w14:paraId="651EB12D" w14:textId="77777777" w:rsidR="00653B7F" w:rsidRPr="00F263D5" w:rsidRDefault="00653B7F" w:rsidP="00653B7F">
      <w:pPr>
        <w:pStyle w:val="H23G"/>
        <w:rPr>
          <w:noProof/>
          <w:lang w:val="fr-FR"/>
        </w:rPr>
      </w:pPr>
      <w:bookmarkStart w:id="7" w:name="_Toc2"/>
      <w:r w:rsidRPr="00F263D5">
        <w:rPr>
          <w:noProof/>
          <w:lang w:val="fr-FR"/>
        </w:rPr>
        <w:tab/>
      </w:r>
      <w:r w:rsidRPr="00F263D5">
        <w:rPr>
          <w:noProof/>
          <w:lang w:val="fr-FR"/>
        </w:rPr>
        <w:tab/>
        <w:t>Art</w:t>
      </w:r>
      <w:r>
        <w:rPr>
          <w:noProof/>
          <w:lang w:val="fr-FR"/>
        </w:rPr>
        <w:t>icles 5, 6, 7, 8 et</w:t>
      </w:r>
      <w:r w:rsidRPr="00F263D5">
        <w:rPr>
          <w:noProof/>
          <w:lang w:val="fr-FR"/>
        </w:rPr>
        <w:t xml:space="preserve"> 9</w:t>
      </w:r>
      <w:bookmarkEnd w:id="7"/>
    </w:p>
    <w:p w14:paraId="658007CD" w14:textId="77777777" w:rsidR="00653B7F" w:rsidRDefault="00653B7F" w:rsidP="00653B7F">
      <w:pPr>
        <w:pStyle w:val="SingleTxtG"/>
        <w:rPr>
          <w:noProof/>
          <w:lang w:val="fr-FR"/>
        </w:rPr>
      </w:pPr>
      <w:r w:rsidRPr="00F263D5">
        <w:rPr>
          <w:noProof/>
          <w:lang w:val="fr-FR"/>
        </w:rPr>
        <w:t>56.</w:t>
      </w:r>
      <w:r w:rsidRPr="00F263D5">
        <w:rPr>
          <w:noProof/>
          <w:lang w:val="fr-FR"/>
        </w:rPr>
        <w:tab/>
      </w:r>
      <w:r>
        <w:rPr>
          <w:noProof/>
          <w:lang w:val="fr-FR"/>
        </w:rPr>
        <w:t>El Salvador est État partie aux traités d</w:t>
      </w:r>
      <w:r w:rsidR="002A5D78">
        <w:rPr>
          <w:noProof/>
          <w:lang w:val="fr-FR"/>
        </w:rPr>
        <w:t>’</w:t>
      </w:r>
      <w:r>
        <w:rPr>
          <w:noProof/>
          <w:lang w:val="fr-FR"/>
        </w:rPr>
        <w:t>extradition bilatéraux suivants : Convention d</w:t>
      </w:r>
      <w:r w:rsidR="002A5D78">
        <w:rPr>
          <w:noProof/>
          <w:lang w:val="fr-FR"/>
        </w:rPr>
        <w:t>’</w:t>
      </w:r>
      <w:r>
        <w:rPr>
          <w:noProof/>
          <w:lang w:val="fr-FR"/>
        </w:rPr>
        <w:t>extradition avec la Belgique, Traité d</w:t>
      </w:r>
      <w:r w:rsidR="002A5D78">
        <w:rPr>
          <w:noProof/>
          <w:lang w:val="fr-FR"/>
        </w:rPr>
        <w:t>’</w:t>
      </w:r>
      <w:r>
        <w:rPr>
          <w:noProof/>
          <w:lang w:val="fr-FR"/>
        </w:rPr>
        <w:t>extradition entre la République d</w:t>
      </w:r>
      <w:r w:rsidR="002A5D78">
        <w:rPr>
          <w:noProof/>
          <w:lang w:val="fr-FR"/>
        </w:rPr>
        <w:t>’</w:t>
      </w:r>
      <w:r>
        <w:rPr>
          <w:noProof/>
          <w:lang w:val="fr-FR"/>
        </w:rPr>
        <w:t>El Salvador et le Royaume d</w:t>
      </w:r>
      <w:r w:rsidR="002A5D78">
        <w:rPr>
          <w:noProof/>
          <w:lang w:val="fr-FR"/>
        </w:rPr>
        <w:t>’</w:t>
      </w:r>
      <w:r>
        <w:rPr>
          <w:noProof/>
          <w:lang w:val="fr-FR"/>
        </w:rPr>
        <w:t>Espagne, Traité d</w:t>
      </w:r>
      <w:r w:rsidR="002A5D78">
        <w:rPr>
          <w:noProof/>
          <w:lang w:val="fr-FR"/>
        </w:rPr>
        <w:t>’</w:t>
      </w:r>
      <w:r>
        <w:rPr>
          <w:noProof/>
          <w:lang w:val="fr-FR"/>
        </w:rPr>
        <w:t>extradition conclu entre la République d</w:t>
      </w:r>
      <w:r w:rsidR="002A5D78">
        <w:rPr>
          <w:noProof/>
          <w:lang w:val="fr-FR"/>
        </w:rPr>
        <w:t>’</w:t>
      </w:r>
      <w:r>
        <w:rPr>
          <w:noProof/>
          <w:lang w:val="fr-FR"/>
        </w:rPr>
        <w:t>El Salvador et les États-Unis d</w:t>
      </w:r>
      <w:r w:rsidR="002A5D78">
        <w:rPr>
          <w:noProof/>
          <w:lang w:val="fr-FR"/>
        </w:rPr>
        <w:t>’</w:t>
      </w:r>
      <w:r>
        <w:rPr>
          <w:noProof/>
          <w:lang w:val="fr-FR"/>
        </w:rPr>
        <w:t>Amérique, Traité d</w:t>
      </w:r>
      <w:r w:rsidR="002A5D78">
        <w:rPr>
          <w:noProof/>
          <w:lang w:val="fr-FR"/>
        </w:rPr>
        <w:t>’</w:t>
      </w:r>
      <w:r>
        <w:rPr>
          <w:noProof/>
          <w:lang w:val="fr-FR"/>
        </w:rPr>
        <w:t>extradition entre le Gouvernement d</w:t>
      </w:r>
      <w:r w:rsidR="002A5D78">
        <w:rPr>
          <w:noProof/>
          <w:lang w:val="fr-FR"/>
        </w:rPr>
        <w:t>’</w:t>
      </w:r>
      <w:r>
        <w:rPr>
          <w:noProof/>
          <w:lang w:val="fr-FR"/>
        </w:rPr>
        <w:t>El Salvador et le Gouvernement des États unis mexicains, Traité d</w:t>
      </w:r>
      <w:r w:rsidR="002A5D78">
        <w:rPr>
          <w:noProof/>
          <w:lang w:val="fr-FR"/>
        </w:rPr>
        <w:t>’</w:t>
      </w:r>
      <w:r>
        <w:rPr>
          <w:noProof/>
          <w:lang w:val="fr-FR"/>
        </w:rPr>
        <w:t>extradition de malfaiteurs avec la Grande-Bretagne, Convention d</w:t>
      </w:r>
      <w:r w:rsidR="002A5D78">
        <w:rPr>
          <w:noProof/>
          <w:lang w:val="fr-FR"/>
        </w:rPr>
        <w:t>’</w:t>
      </w:r>
      <w:r>
        <w:rPr>
          <w:noProof/>
          <w:lang w:val="fr-FR"/>
        </w:rPr>
        <w:t>extradition avec l</w:t>
      </w:r>
      <w:r w:rsidR="002A5D78">
        <w:rPr>
          <w:noProof/>
          <w:lang w:val="fr-FR"/>
        </w:rPr>
        <w:t>’</w:t>
      </w:r>
      <w:r>
        <w:rPr>
          <w:noProof/>
          <w:lang w:val="fr-FR"/>
        </w:rPr>
        <w:t xml:space="preserve">Italie et </w:t>
      </w:r>
      <w:r w:rsidRPr="004111A8">
        <w:rPr>
          <w:noProof/>
          <w:lang w:val="fr-FR"/>
        </w:rPr>
        <w:t>Convention sur l</w:t>
      </w:r>
      <w:r w:rsidR="002A5D78">
        <w:rPr>
          <w:noProof/>
          <w:lang w:val="fr-FR"/>
        </w:rPr>
        <w:t>’</w:t>
      </w:r>
      <w:r w:rsidRPr="004111A8">
        <w:rPr>
          <w:noProof/>
          <w:lang w:val="fr-FR"/>
        </w:rPr>
        <w:t>extradition réciproque des malfaiteurs</w:t>
      </w:r>
      <w:r>
        <w:rPr>
          <w:noProof/>
          <w:lang w:val="fr-FR"/>
        </w:rPr>
        <w:t xml:space="preserve"> avec la Suisse. </w:t>
      </w:r>
    </w:p>
    <w:p w14:paraId="7BB8385C" w14:textId="77777777" w:rsidR="00653B7F" w:rsidRDefault="00653B7F" w:rsidP="00653B7F">
      <w:pPr>
        <w:pStyle w:val="SingleTxtG"/>
        <w:rPr>
          <w:noProof/>
        </w:rPr>
      </w:pPr>
      <w:r w:rsidRPr="00F263D5">
        <w:rPr>
          <w:noProof/>
          <w:lang w:val="fr-FR"/>
        </w:rPr>
        <w:t>57.</w:t>
      </w:r>
      <w:r w:rsidRPr="00F263D5">
        <w:rPr>
          <w:noProof/>
          <w:lang w:val="fr-FR"/>
        </w:rPr>
        <w:tab/>
      </w:r>
      <w:r>
        <w:rPr>
          <w:noProof/>
          <w:lang w:val="fr-FR"/>
        </w:rPr>
        <w:t>El Salvador est État partie aux traités d</w:t>
      </w:r>
      <w:r w:rsidR="002A5D78">
        <w:rPr>
          <w:noProof/>
          <w:lang w:val="fr-FR"/>
        </w:rPr>
        <w:t>’</w:t>
      </w:r>
      <w:r>
        <w:rPr>
          <w:noProof/>
          <w:lang w:val="fr-FR"/>
        </w:rPr>
        <w:t xml:space="preserve">extradition multilatéraux suivants : </w:t>
      </w:r>
      <w:r w:rsidRPr="00136DEB">
        <w:rPr>
          <w:noProof/>
          <w:lang w:val="fr-FR"/>
        </w:rPr>
        <w:t>Convention centraméricaine sur</w:t>
      </w:r>
      <w:r>
        <w:rPr>
          <w:noProof/>
          <w:lang w:val="fr-FR"/>
        </w:rPr>
        <w:t xml:space="preserve"> </w:t>
      </w:r>
      <w:r w:rsidRPr="00136DEB">
        <w:rPr>
          <w:noProof/>
          <w:lang w:val="fr-FR"/>
        </w:rPr>
        <w:t>l</w:t>
      </w:r>
      <w:r w:rsidR="002A5D78">
        <w:rPr>
          <w:noProof/>
          <w:lang w:val="fr-FR"/>
        </w:rPr>
        <w:t>’</w:t>
      </w:r>
      <w:r w:rsidRPr="00136DEB">
        <w:rPr>
          <w:noProof/>
          <w:lang w:val="fr-FR"/>
        </w:rPr>
        <w:t>extradition de 1923</w:t>
      </w:r>
      <w:r>
        <w:rPr>
          <w:noProof/>
          <w:lang w:val="fr-FR"/>
        </w:rPr>
        <w:t xml:space="preserve">, </w:t>
      </w:r>
      <w:r w:rsidRPr="00EA7A7C">
        <w:rPr>
          <w:noProof/>
        </w:rPr>
        <w:t>Conve</w:t>
      </w:r>
      <w:r>
        <w:rPr>
          <w:noProof/>
        </w:rPr>
        <w:t>ntion relative à l</w:t>
      </w:r>
      <w:r w:rsidR="002A5D78">
        <w:rPr>
          <w:noProof/>
        </w:rPr>
        <w:t>’</w:t>
      </w:r>
      <w:r>
        <w:rPr>
          <w:noProof/>
        </w:rPr>
        <w:t xml:space="preserve">extradition, </w:t>
      </w:r>
      <w:r w:rsidRPr="00EA7A7C">
        <w:rPr>
          <w:noProof/>
        </w:rPr>
        <w:t>Montevideo</w:t>
      </w:r>
      <w:r>
        <w:rPr>
          <w:noProof/>
        </w:rPr>
        <w:t>, République orientale de l</w:t>
      </w:r>
      <w:r w:rsidR="002A5D78">
        <w:rPr>
          <w:noProof/>
        </w:rPr>
        <w:t>’</w:t>
      </w:r>
      <w:r>
        <w:rPr>
          <w:noProof/>
        </w:rPr>
        <w:t xml:space="preserve">Uruguay, </w:t>
      </w:r>
      <w:r w:rsidRPr="00EA7A7C">
        <w:rPr>
          <w:noProof/>
        </w:rPr>
        <w:t>Convention cen</w:t>
      </w:r>
      <w:r>
        <w:rPr>
          <w:noProof/>
        </w:rPr>
        <w:t>traméricaine sur l</w:t>
      </w:r>
      <w:r w:rsidR="002A5D78">
        <w:rPr>
          <w:noProof/>
        </w:rPr>
        <w:t>’</w:t>
      </w:r>
      <w:r>
        <w:rPr>
          <w:noProof/>
        </w:rPr>
        <w:t xml:space="preserve">extradition, </w:t>
      </w:r>
      <w:r w:rsidRPr="00EA7A7C">
        <w:rPr>
          <w:noProof/>
        </w:rPr>
        <w:t>Washington,</w:t>
      </w:r>
      <w:r>
        <w:rPr>
          <w:noProof/>
        </w:rPr>
        <w:t xml:space="preserve"> États-Unis d</w:t>
      </w:r>
      <w:r w:rsidR="002A5D78">
        <w:rPr>
          <w:noProof/>
        </w:rPr>
        <w:t>’</w:t>
      </w:r>
      <w:r>
        <w:rPr>
          <w:noProof/>
        </w:rPr>
        <w:t xml:space="preserve">Amérique, </w:t>
      </w:r>
      <w:r w:rsidRPr="005C1368">
        <w:rPr>
          <w:noProof/>
        </w:rPr>
        <w:t>Convention des Nations Unies contre le trafic illicite de stupéfiants</w:t>
      </w:r>
      <w:r>
        <w:rPr>
          <w:noProof/>
        </w:rPr>
        <w:t xml:space="preserve"> et de substances psychotropes, </w:t>
      </w:r>
      <w:r w:rsidRPr="005C1368">
        <w:rPr>
          <w:noProof/>
        </w:rPr>
        <w:t>Vienne</w:t>
      </w:r>
      <w:r>
        <w:rPr>
          <w:noProof/>
        </w:rPr>
        <w:t xml:space="preserve">, Autriche, </w:t>
      </w:r>
      <w:r w:rsidRPr="006B6CFA">
        <w:rPr>
          <w:noProof/>
        </w:rPr>
        <w:t>Convention des Nations Unies contre la corruption</w:t>
      </w:r>
      <w:r>
        <w:rPr>
          <w:noProof/>
        </w:rPr>
        <w:t xml:space="preserve">, Mérida, Mexique, </w:t>
      </w:r>
      <w:r w:rsidRPr="006B6CFA">
        <w:rPr>
          <w:noProof/>
        </w:rPr>
        <w:t>Convention des Nations Unies contre la criminalité transnationale organisée</w:t>
      </w:r>
      <w:r>
        <w:rPr>
          <w:noProof/>
        </w:rPr>
        <w:t xml:space="preserve">, Palerme, Italie, </w:t>
      </w:r>
      <w:r w:rsidRPr="00C65E10">
        <w:rPr>
          <w:noProof/>
        </w:rPr>
        <w:t>Convention interaméricaine contre la corruption</w:t>
      </w:r>
      <w:r>
        <w:rPr>
          <w:noProof/>
        </w:rPr>
        <w:t xml:space="preserve">, Caracas, Venezuela, </w:t>
      </w:r>
      <w:r w:rsidRPr="00C65E10">
        <w:rPr>
          <w:noProof/>
        </w:rPr>
        <w:t>Convention interaméricaine pour la prévention et la répression de la torture</w:t>
      </w:r>
      <w:r>
        <w:rPr>
          <w:noProof/>
        </w:rPr>
        <w:t xml:space="preserve">, Carthagène, Colombie, et </w:t>
      </w:r>
      <w:r w:rsidRPr="00C65E10">
        <w:rPr>
          <w:noProof/>
        </w:rPr>
        <w:t>Co</w:t>
      </w:r>
      <w:r>
        <w:rPr>
          <w:noProof/>
        </w:rPr>
        <w:t>de de droit international privé ou Code Bustamante, en sa partie relative à l</w:t>
      </w:r>
      <w:r w:rsidR="002A5D78">
        <w:rPr>
          <w:noProof/>
        </w:rPr>
        <w:t>’</w:t>
      </w:r>
      <w:r>
        <w:rPr>
          <w:noProof/>
        </w:rPr>
        <w:t>extradition, La Havane, Cuba.</w:t>
      </w:r>
    </w:p>
    <w:p w14:paraId="6557090C" w14:textId="77777777" w:rsidR="00653B7F" w:rsidRDefault="00653B7F" w:rsidP="00653B7F">
      <w:pPr>
        <w:pStyle w:val="SingleTxtG"/>
        <w:rPr>
          <w:noProof/>
          <w:lang w:val="fr-FR"/>
        </w:rPr>
      </w:pPr>
      <w:r w:rsidRPr="00F263D5">
        <w:rPr>
          <w:noProof/>
          <w:lang w:val="fr-FR"/>
        </w:rPr>
        <w:t>58.</w:t>
      </w:r>
      <w:r w:rsidRPr="00F263D5">
        <w:rPr>
          <w:noProof/>
          <w:lang w:val="fr-FR"/>
        </w:rPr>
        <w:tab/>
      </w:r>
      <w:r>
        <w:rPr>
          <w:noProof/>
          <w:lang w:val="fr-FR"/>
        </w:rPr>
        <w:t>El Salvador est État partie aux traités d</w:t>
      </w:r>
      <w:r w:rsidR="002A5D78">
        <w:rPr>
          <w:noProof/>
          <w:lang w:val="fr-FR"/>
        </w:rPr>
        <w:t>’</w:t>
      </w:r>
      <w:r>
        <w:rPr>
          <w:noProof/>
          <w:lang w:val="fr-FR"/>
        </w:rPr>
        <w:t xml:space="preserve">extradition bilatéraux suivants : </w:t>
      </w:r>
      <w:r w:rsidRPr="00056C0D">
        <w:rPr>
          <w:noProof/>
          <w:lang w:val="fr-FR"/>
        </w:rPr>
        <w:t>Traité d</w:t>
      </w:r>
      <w:r w:rsidR="002A5D78">
        <w:rPr>
          <w:noProof/>
          <w:lang w:val="fr-FR"/>
        </w:rPr>
        <w:t>’</w:t>
      </w:r>
      <w:r w:rsidRPr="00056C0D">
        <w:rPr>
          <w:noProof/>
          <w:lang w:val="fr-FR"/>
        </w:rPr>
        <w:t>extradition entre la République d</w:t>
      </w:r>
      <w:r w:rsidR="002A5D78">
        <w:rPr>
          <w:noProof/>
          <w:lang w:val="fr-FR"/>
        </w:rPr>
        <w:t>’</w:t>
      </w:r>
      <w:r w:rsidRPr="00056C0D">
        <w:rPr>
          <w:noProof/>
          <w:lang w:val="fr-FR"/>
        </w:rPr>
        <w:t>El Salvador et les États-Unis d</w:t>
      </w:r>
      <w:r w:rsidR="002A5D78">
        <w:rPr>
          <w:noProof/>
          <w:lang w:val="fr-FR"/>
        </w:rPr>
        <w:t>’</w:t>
      </w:r>
      <w:r w:rsidRPr="00056C0D">
        <w:rPr>
          <w:noProof/>
          <w:lang w:val="fr-FR"/>
        </w:rPr>
        <w:t>Amérique,</w:t>
      </w:r>
      <w:r>
        <w:rPr>
          <w:noProof/>
          <w:lang w:val="fr-FR"/>
        </w:rPr>
        <w:t xml:space="preserve"> Traité d</w:t>
      </w:r>
      <w:r w:rsidR="002A5D78">
        <w:rPr>
          <w:noProof/>
          <w:lang w:val="fr-FR"/>
        </w:rPr>
        <w:t>’</w:t>
      </w:r>
      <w:r>
        <w:rPr>
          <w:noProof/>
          <w:lang w:val="fr-FR"/>
        </w:rPr>
        <w:t xml:space="preserve">extradition entre El Salvador et les États unis mexicains, </w:t>
      </w:r>
      <w:r w:rsidRPr="00056C0D">
        <w:rPr>
          <w:noProof/>
          <w:lang w:val="fr-FR"/>
        </w:rPr>
        <w:t>Traité d</w:t>
      </w:r>
      <w:r w:rsidR="002A5D78">
        <w:rPr>
          <w:noProof/>
          <w:lang w:val="fr-FR"/>
        </w:rPr>
        <w:t>’</w:t>
      </w:r>
      <w:r w:rsidRPr="00056C0D">
        <w:rPr>
          <w:noProof/>
          <w:lang w:val="fr-FR"/>
        </w:rPr>
        <w:t>extradition de malfaiteurs avec la Grande-Bretagne,</w:t>
      </w:r>
      <w:r>
        <w:rPr>
          <w:noProof/>
          <w:lang w:val="fr-FR"/>
        </w:rPr>
        <w:t xml:space="preserve"> Traité d</w:t>
      </w:r>
      <w:r w:rsidR="002A5D78">
        <w:rPr>
          <w:noProof/>
          <w:lang w:val="fr-FR"/>
        </w:rPr>
        <w:t>’</w:t>
      </w:r>
      <w:r>
        <w:rPr>
          <w:noProof/>
          <w:lang w:val="fr-FR"/>
        </w:rPr>
        <w:t>extradition entre la République d</w:t>
      </w:r>
      <w:r w:rsidR="002A5D78">
        <w:rPr>
          <w:noProof/>
          <w:lang w:val="fr-FR"/>
        </w:rPr>
        <w:t>’</w:t>
      </w:r>
      <w:r>
        <w:rPr>
          <w:noProof/>
          <w:lang w:val="fr-FR"/>
        </w:rPr>
        <w:t>El Salvador et le Royaume d</w:t>
      </w:r>
      <w:r w:rsidR="002A5D78">
        <w:rPr>
          <w:noProof/>
          <w:lang w:val="fr-FR"/>
        </w:rPr>
        <w:t>’</w:t>
      </w:r>
      <w:r>
        <w:rPr>
          <w:noProof/>
          <w:lang w:val="fr-FR"/>
        </w:rPr>
        <w:t xml:space="preserve">Espagne, </w:t>
      </w:r>
      <w:r w:rsidRPr="00056C0D">
        <w:rPr>
          <w:noProof/>
          <w:lang w:val="fr-FR"/>
        </w:rPr>
        <w:t>Convention sur l</w:t>
      </w:r>
      <w:r w:rsidR="002A5D78">
        <w:rPr>
          <w:noProof/>
          <w:lang w:val="fr-FR"/>
        </w:rPr>
        <w:t>’</w:t>
      </w:r>
      <w:r w:rsidRPr="00056C0D">
        <w:rPr>
          <w:noProof/>
          <w:lang w:val="fr-FR"/>
        </w:rPr>
        <w:t xml:space="preserve">extradition réciproque des malfaiteurs </w:t>
      </w:r>
      <w:r>
        <w:rPr>
          <w:noProof/>
          <w:lang w:val="fr-FR"/>
        </w:rPr>
        <w:t>entre</w:t>
      </w:r>
      <w:r w:rsidRPr="00056C0D">
        <w:rPr>
          <w:noProof/>
          <w:lang w:val="fr-FR"/>
        </w:rPr>
        <w:t xml:space="preserve"> la Suisse</w:t>
      </w:r>
      <w:r>
        <w:rPr>
          <w:noProof/>
          <w:lang w:val="fr-FR"/>
        </w:rPr>
        <w:t xml:space="preserve"> et El Salvador, Convention d</w:t>
      </w:r>
      <w:r w:rsidR="002A5D78">
        <w:rPr>
          <w:noProof/>
          <w:lang w:val="fr-FR"/>
        </w:rPr>
        <w:t>’</w:t>
      </w:r>
      <w:r>
        <w:rPr>
          <w:noProof/>
          <w:lang w:val="fr-FR"/>
        </w:rPr>
        <w:t>extradition entre la Belgique et le Salvador, Convention d</w:t>
      </w:r>
      <w:r w:rsidR="002A5D78">
        <w:rPr>
          <w:noProof/>
          <w:lang w:val="fr-FR"/>
        </w:rPr>
        <w:t>’</w:t>
      </w:r>
      <w:r>
        <w:rPr>
          <w:noProof/>
          <w:lang w:val="fr-FR"/>
        </w:rPr>
        <w:t>extradition entre l</w:t>
      </w:r>
      <w:r w:rsidR="002A5D78">
        <w:rPr>
          <w:noProof/>
          <w:lang w:val="fr-FR"/>
        </w:rPr>
        <w:t>’</w:t>
      </w:r>
      <w:r>
        <w:rPr>
          <w:noProof/>
          <w:lang w:val="fr-FR"/>
        </w:rPr>
        <w:t xml:space="preserve">Italie et El Salvador. </w:t>
      </w:r>
    </w:p>
    <w:p w14:paraId="5702F34A" w14:textId="77777777" w:rsidR="00653B7F" w:rsidRPr="00F263D5" w:rsidRDefault="00653B7F" w:rsidP="00653B7F">
      <w:pPr>
        <w:pStyle w:val="SingleTxtG"/>
        <w:rPr>
          <w:noProof/>
          <w:lang w:val="fr-FR"/>
        </w:rPr>
      </w:pPr>
      <w:r w:rsidRPr="00F263D5">
        <w:rPr>
          <w:noProof/>
          <w:lang w:val="fr-FR"/>
        </w:rPr>
        <w:t>59.</w:t>
      </w:r>
      <w:r w:rsidRPr="00F263D5">
        <w:rPr>
          <w:noProof/>
          <w:lang w:val="fr-FR"/>
        </w:rPr>
        <w:tab/>
      </w:r>
      <w:r>
        <w:rPr>
          <w:noProof/>
          <w:lang w:val="fr-FR"/>
        </w:rPr>
        <w:t>On trouvera ci-après une description succincte de quelques affaires d</w:t>
      </w:r>
      <w:r w:rsidR="002A5D78">
        <w:rPr>
          <w:noProof/>
          <w:lang w:val="fr-FR"/>
        </w:rPr>
        <w:t>’</w:t>
      </w:r>
      <w:r>
        <w:rPr>
          <w:noProof/>
          <w:lang w:val="fr-FR"/>
        </w:rPr>
        <w:t>extradition active ou passive traitées par El Salvador</w:t>
      </w:r>
      <w:r w:rsidR="0079411E">
        <w:rPr>
          <w:noProof/>
          <w:lang w:val="fr-FR"/>
        </w:rPr>
        <w:t> </w:t>
      </w:r>
      <w:r w:rsidRPr="00F263D5">
        <w:rPr>
          <w:noProof/>
          <w:lang w:val="fr-FR"/>
        </w:rPr>
        <w:t>:</w:t>
      </w:r>
    </w:p>
    <w:p w14:paraId="273C473C" w14:textId="77777777" w:rsidR="00653B7F" w:rsidRDefault="00653B7F" w:rsidP="006A3A5E">
      <w:pPr>
        <w:pStyle w:val="SingleTxtG"/>
        <w:numPr>
          <w:ilvl w:val="0"/>
          <w:numId w:val="2"/>
        </w:numPr>
        <w:suppressAutoHyphens w:val="0"/>
        <w:kinsoku/>
        <w:overflowPunct/>
        <w:autoSpaceDE/>
        <w:autoSpaceDN/>
        <w:adjustRightInd/>
        <w:snapToGrid/>
        <w:ind w:left="1134" w:firstLine="567"/>
        <w:rPr>
          <w:noProof/>
          <w:lang w:val="fr-FR"/>
        </w:rPr>
      </w:pPr>
      <w:r>
        <w:rPr>
          <w:noProof/>
          <w:lang w:val="fr-FR"/>
        </w:rPr>
        <w:t xml:space="preserve">Affaire </w:t>
      </w:r>
      <w:r w:rsidRPr="00F263D5">
        <w:rPr>
          <w:noProof/>
          <w:lang w:val="fr-FR"/>
        </w:rPr>
        <w:t>Carlos Augusto Perla Parada</w:t>
      </w:r>
      <w:r>
        <w:rPr>
          <w:noProof/>
          <w:lang w:val="fr-FR"/>
        </w:rPr>
        <w:t>, citoyen salvadorien accusé de détournement de fonds, concussion et association de malfaiteurs, réclamé par El Salvador à la France au titre du principe de réciprocité. Par décret pris le 6</w:t>
      </w:r>
      <w:r w:rsidR="0079411E">
        <w:rPr>
          <w:noProof/>
          <w:lang w:val="fr-FR"/>
        </w:rPr>
        <w:t> </w:t>
      </w:r>
      <w:r>
        <w:rPr>
          <w:noProof/>
          <w:lang w:val="fr-FR"/>
        </w:rPr>
        <w:t>septembre 2005, le Ministère français de la justice, se fondant sur la loi française relative à l</w:t>
      </w:r>
      <w:r w:rsidR="002A5D78">
        <w:rPr>
          <w:noProof/>
          <w:lang w:val="fr-FR"/>
        </w:rPr>
        <w:t>’</w:t>
      </w:r>
      <w:r>
        <w:rPr>
          <w:noProof/>
          <w:lang w:val="fr-FR"/>
        </w:rPr>
        <w:t>extradition des étrangers et sur le principe de réciprocité, a autorisé l</w:t>
      </w:r>
      <w:r w:rsidR="002A5D78">
        <w:rPr>
          <w:noProof/>
          <w:lang w:val="fr-FR"/>
        </w:rPr>
        <w:t>’</w:t>
      </w:r>
      <w:r>
        <w:rPr>
          <w:noProof/>
          <w:lang w:val="fr-FR"/>
        </w:rPr>
        <w:t>extradition de l</w:t>
      </w:r>
      <w:r w:rsidR="002A5D78">
        <w:rPr>
          <w:noProof/>
          <w:lang w:val="fr-FR"/>
        </w:rPr>
        <w:t>’</w:t>
      </w:r>
      <w:r>
        <w:rPr>
          <w:noProof/>
          <w:lang w:val="fr-FR"/>
        </w:rPr>
        <w:t>intéressé, qui a eu lieu le 28</w:t>
      </w:r>
      <w:r w:rsidR="0079411E">
        <w:rPr>
          <w:noProof/>
          <w:lang w:val="fr-FR"/>
        </w:rPr>
        <w:t> </w:t>
      </w:r>
      <w:r>
        <w:rPr>
          <w:noProof/>
          <w:lang w:val="fr-FR"/>
        </w:rPr>
        <w:t>novembre 2006 ;</w:t>
      </w:r>
    </w:p>
    <w:p w14:paraId="4E858B1C" w14:textId="77777777" w:rsidR="00653B7F" w:rsidRDefault="00653B7F" w:rsidP="006A3A5E">
      <w:pPr>
        <w:pStyle w:val="SingleTxtG"/>
        <w:numPr>
          <w:ilvl w:val="0"/>
          <w:numId w:val="2"/>
        </w:numPr>
        <w:suppressAutoHyphens w:val="0"/>
        <w:kinsoku/>
        <w:overflowPunct/>
        <w:autoSpaceDE/>
        <w:autoSpaceDN/>
        <w:adjustRightInd/>
        <w:snapToGrid/>
        <w:ind w:left="1134" w:firstLine="567"/>
        <w:rPr>
          <w:noProof/>
          <w:lang w:val="fr-FR"/>
        </w:rPr>
      </w:pPr>
      <w:r>
        <w:rPr>
          <w:noProof/>
          <w:lang w:val="fr-FR"/>
        </w:rPr>
        <w:t xml:space="preserve">Affaire </w:t>
      </w:r>
      <w:r w:rsidRPr="00F263D5">
        <w:rPr>
          <w:noProof/>
          <w:lang w:val="fr-FR"/>
        </w:rPr>
        <w:t>José Marvin Martínez</w:t>
      </w:r>
      <w:r>
        <w:rPr>
          <w:noProof/>
          <w:lang w:val="fr-FR"/>
        </w:rPr>
        <w:t>, citoyen salvadorien accusé d</w:t>
      </w:r>
      <w:r w:rsidR="002A5D78">
        <w:rPr>
          <w:noProof/>
          <w:lang w:val="fr-FR"/>
        </w:rPr>
        <w:t>’</w:t>
      </w:r>
      <w:r>
        <w:rPr>
          <w:noProof/>
          <w:lang w:val="fr-FR"/>
        </w:rPr>
        <w:t>agression sexuelle et d</w:t>
      </w:r>
      <w:r w:rsidR="002A5D78">
        <w:rPr>
          <w:noProof/>
          <w:lang w:val="fr-FR"/>
        </w:rPr>
        <w:t>’</w:t>
      </w:r>
      <w:r>
        <w:rPr>
          <w:noProof/>
          <w:lang w:val="fr-FR"/>
        </w:rPr>
        <w:t>attentat à la pudeur commis sur mineure, réclamé par les autorités états-uniennes</w:t>
      </w:r>
      <w:r w:rsidR="0079411E">
        <w:rPr>
          <w:noProof/>
          <w:lang w:val="fr-FR"/>
        </w:rPr>
        <w:t xml:space="preserve"> </w:t>
      </w:r>
      <w:r>
        <w:rPr>
          <w:noProof/>
          <w:lang w:val="fr-FR"/>
        </w:rPr>
        <w:t>en vertu du traité d</w:t>
      </w:r>
      <w:r w:rsidR="002A5D78">
        <w:rPr>
          <w:noProof/>
          <w:lang w:val="fr-FR"/>
        </w:rPr>
        <w:t>’</w:t>
      </w:r>
      <w:r>
        <w:rPr>
          <w:noProof/>
          <w:lang w:val="fr-FR"/>
        </w:rPr>
        <w:t>extradition entre El Salvador et les États-Unis d</w:t>
      </w:r>
      <w:r w:rsidR="002A5D78">
        <w:rPr>
          <w:noProof/>
          <w:lang w:val="fr-FR"/>
        </w:rPr>
        <w:t>’</w:t>
      </w:r>
      <w:r>
        <w:rPr>
          <w:noProof/>
          <w:lang w:val="fr-FR"/>
        </w:rPr>
        <w:t>Amérique. Par décision du 22</w:t>
      </w:r>
      <w:r w:rsidR="0079411E">
        <w:rPr>
          <w:noProof/>
          <w:lang w:val="fr-FR"/>
        </w:rPr>
        <w:t> </w:t>
      </w:r>
      <w:r>
        <w:rPr>
          <w:noProof/>
          <w:lang w:val="fr-FR"/>
        </w:rPr>
        <w:t>décembre 2009, la Cour suprême de justice a autorisé son extradition vers l</w:t>
      </w:r>
      <w:r w:rsidR="002A5D78">
        <w:rPr>
          <w:noProof/>
          <w:lang w:val="fr-FR"/>
        </w:rPr>
        <w:t>’</w:t>
      </w:r>
      <w:r>
        <w:rPr>
          <w:noProof/>
          <w:lang w:val="fr-FR"/>
        </w:rPr>
        <w:t>État requérant</w:t>
      </w:r>
      <w:r w:rsidR="0079411E">
        <w:rPr>
          <w:noProof/>
          <w:lang w:val="fr-FR"/>
        </w:rPr>
        <w:t> ;</w:t>
      </w:r>
    </w:p>
    <w:p w14:paraId="7436817E" w14:textId="77777777" w:rsidR="00653B7F" w:rsidRPr="00A307CC" w:rsidRDefault="00653B7F" w:rsidP="006A3A5E">
      <w:pPr>
        <w:pStyle w:val="SingleTxtG"/>
        <w:numPr>
          <w:ilvl w:val="0"/>
          <w:numId w:val="2"/>
        </w:numPr>
        <w:suppressAutoHyphens w:val="0"/>
        <w:kinsoku/>
        <w:overflowPunct/>
        <w:autoSpaceDE/>
        <w:autoSpaceDN/>
        <w:adjustRightInd/>
        <w:snapToGrid/>
        <w:ind w:left="1134" w:firstLine="567"/>
        <w:rPr>
          <w:noProof/>
          <w:lang w:val="fr-FR"/>
        </w:rPr>
      </w:pPr>
      <w:r>
        <w:rPr>
          <w:noProof/>
          <w:lang w:val="fr-FR"/>
        </w:rPr>
        <w:t>Affaire Clé</w:t>
      </w:r>
      <w:r w:rsidRPr="00F263D5">
        <w:rPr>
          <w:noProof/>
          <w:lang w:val="fr-FR"/>
        </w:rPr>
        <w:t>mence Kamdem Djimi</w:t>
      </w:r>
      <w:r>
        <w:rPr>
          <w:noProof/>
          <w:lang w:val="fr-FR"/>
        </w:rPr>
        <w:t>, ressortissante de la République du Cameroun accusée d</w:t>
      </w:r>
      <w:r w:rsidR="002A5D78">
        <w:rPr>
          <w:noProof/>
          <w:lang w:val="fr-FR"/>
        </w:rPr>
        <w:t>’</w:t>
      </w:r>
      <w:r>
        <w:rPr>
          <w:noProof/>
          <w:lang w:val="fr-FR"/>
        </w:rPr>
        <w:t>escroquerie, réclamée par les autorités costariciennes en vertu  de la Convention centraméricaine d</w:t>
      </w:r>
      <w:r w:rsidR="002A5D78">
        <w:rPr>
          <w:noProof/>
          <w:lang w:val="fr-FR"/>
        </w:rPr>
        <w:t>’</w:t>
      </w:r>
      <w:r>
        <w:rPr>
          <w:noProof/>
          <w:lang w:val="fr-FR"/>
        </w:rPr>
        <w:t>extradition. Condamnée pour blanchiment d</w:t>
      </w:r>
      <w:r w:rsidR="002A5D78">
        <w:rPr>
          <w:noProof/>
          <w:lang w:val="fr-FR"/>
        </w:rPr>
        <w:t>’</w:t>
      </w:r>
      <w:r>
        <w:rPr>
          <w:noProof/>
          <w:lang w:val="fr-FR"/>
        </w:rPr>
        <w:t xml:space="preserve">argent et recel, </w:t>
      </w:r>
      <w:r w:rsidR="00C10584">
        <w:rPr>
          <w:noProof/>
          <w:lang w:val="fr-FR"/>
        </w:rPr>
        <w:t>M</w:t>
      </w:r>
      <w:r w:rsidR="00C10584" w:rsidRPr="00C10584">
        <w:rPr>
          <w:noProof/>
          <w:vertAlign w:val="superscript"/>
          <w:lang w:val="fr-FR"/>
        </w:rPr>
        <w:t>me</w:t>
      </w:r>
      <w:r w:rsidR="00C10584">
        <w:rPr>
          <w:noProof/>
          <w:lang w:val="fr-FR"/>
        </w:rPr>
        <w:t> </w:t>
      </w:r>
      <w:r>
        <w:rPr>
          <w:noProof/>
          <w:lang w:val="fr-FR"/>
        </w:rPr>
        <w:t>Kamdem Djimi a purgé sa peine en El Salvador, après quoi la Cour suprême de justice a autorisé, par décision du 18</w:t>
      </w:r>
      <w:r w:rsidR="00C10584">
        <w:rPr>
          <w:noProof/>
          <w:lang w:val="fr-FR"/>
        </w:rPr>
        <w:t> </w:t>
      </w:r>
      <w:r>
        <w:rPr>
          <w:noProof/>
          <w:lang w:val="fr-FR"/>
        </w:rPr>
        <w:t>mars 2001, l</w:t>
      </w:r>
      <w:r w:rsidR="002A5D78">
        <w:rPr>
          <w:noProof/>
          <w:lang w:val="fr-FR"/>
        </w:rPr>
        <w:t>’</w:t>
      </w:r>
      <w:r>
        <w:rPr>
          <w:noProof/>
          <w:lang w:val="fr-FR"/>
        </w:rPr>
        <w:t>extradition de l</w:t>
      </w:r>
      <w:r w:rsidR="002A5D78">
        <w:rPr>
          <w:noProof/>
          <w:lang w:val="fr-FR"/>
        </w:rPr>
        <w:t>’</w:t>
      </w:r>
      <w:r>
        <w:rPr>
          <w:noProof/>
          <w:lang w:val="fr-FR"/>
        </w:rPr>
        <w:t>intéressée vers le Costa Rica, qui a eu lieu le 10</w:t>
      </w:r>
      <w:r w:rsidR="00C10584">
        <w:rPr>
          <w:noProof/>
          <w:lang w:val="fr-FR"/>
        </w:rPr>
        <w:t> </w:t>
      </w:r>
      <w:r>
        <w:rPr>
          <w:noProof/>
          <w:lang w:val="fr-FR"/>
        </w:rPr>
        <w:t>mai 2011 ;</w:t>
      </w:r>
    </w:p>
    <w:p w14:paraId="6A12B42F" w14:textId="77777777" w:rsidR="00653B7F" w:rsidRDefault="00653B7F" w:rsidP="006A3A5E">
      <w:pPr>
        <w:pStyle w:val="SingleTxtG"/>
        <w:numPr>
          <w:ilvl w:val="0"/>
          <w:numId w:val="2"/>
        </w:numPr>
        <w:suppressAutoHyphens w:val="0"/>
        <w:kinsoku/>
        <w:overflowPunct/>
        <w:autoSpaceDE/>
        <w:autoSpaceDN/>
        <w:adjustRightInd/>
        <w:snapToGrid/>
        <w:ind w:left="1134" w:firstLine="567"/>
        <w:rPr>
          <w:noProof/>
          <w:lang w:val="fr-FR"/>
        </w:rPr>
      </w:pPr>
      <w:r>
        <w:rPr>
          <w:noProof/>
          <w:lang w:val="fr-FR"/>
        </w:rPr>
        <w:t xml:space="preserve">Affaire </w:t>
      </w:r>
      <w:r w:rsidRPr="00F263D5">
        <w:rPr>
          <w:noProof/>
          <w:lang w:val="fr-FR"/>
        </w:rPr>
        <w:t>Evelyn del Rosario Hernández Umaña de Torres</w:t>
      </w:r>
      <w:r>
        <w:rPr>
          <w:noProof/>
          <w:lang w:val="fr-FR"/>
        </w:rPr>
        <w:t>, citoyenne salvadorienne accusée de meurtre aggravé en qualité de coauteur et réclamée par El</w:t>
      </w:r>
      <w:r w:rsidR="00C10584">
        <w:rPr>
          <w:noProof/>
          <w:lang w:val="fr-FR"/>
        </w:rPr>
        <w:t> </w:t>
      </w:r>
      <w:r>
        <w:rPr>
          <w:noProof/>
          <w:lang w:val="fr-FR"/>
        </w:rPr>
        <w:t>Salvador au Royaume d</w:t>
      </w:r>
      <w:r w:rsidR="002A5D78">
        <w:rPr>
          <w:noProof/>
          <w:lang w:val="fr-FR"/>
        </w:rPr>
        <w:t>’</w:t>
      </w:r>
      <w:r>
        <w:rPr>
          <w:noProof/>
          <w:lang w:val="fr-FR"/>
        </w:rPr>
        <w:t>Espagne en vertu du traité d</w:t>
      </w:r>
      <w:r w:rsidR="002A5D78">
        <w:rPr>
          <w:noProof/>
          <w:lang w:val="fr-FR"/>
        </w:rPr>
        <w:t>’</w:t>
      </w:r>
      <w:r>
        <w:rPr>
          <w:noProof/>
          <w:lang w:val="fr-FR"/>
        </w:rPr>
        <w:t xml:space="preserve">extradition entre ces deux pays. Par décision du </w:t>
      </w:r>
      <w:r>
        <w:rPr>
          <w:noProof/>
          <w:lang w:val="fr-FR"/>
        </w:rPr>
        <w:lastRenderedPageBreak/>
        <w:t>18</w:t>
      </w:r>
      <w:r w:rsidR="00C10584">
        <w:rPr>
          <w:noProof/>
          <w:lang w:val="fr-FR"/>
        </w:rPr>
        <w:t> </w:t>
      </w:r>
      <w:r>
        <w:rPr>
          <w:noProof/>
          <w:lang w:val="fr-FR"/>
        </w:rPr>
        <w:t>mai 2011, la troisième section de la chambre pénale de l</w:t>
      </w:r>
      <w:r w:rsidR="002A5D78">
        <w:rPr>
          <w:noProof/>
          <w:lang w:val="fr-FR"/>
        </w:rPr>
        <w:t>’</w:t>
      </w:r>
      <w:r>
        <w:rPr>
          <w:i/>
          <w:noProof/>
          <w:lang w:val="fr-FR"/>
        </w:rPr>
        <w:t>Audiencía Nacional</w:t>
      </w:r>
      <w:r>
        <w:rPr>
          <w:noProof/>
          <w:lang w:val="fr-FR"/>
        </w:rPr>
        <w:t xml:space="preserve"> du Royaume d</w:t>
      </w:r>
      <w:r w:rsidR="002A5D78">
        <w:rPr>
          <w:noProof/>
          <w:lang w:val="fr-FR"/>
        </w:rPr>
        <w:t>’</w:t>
      </w:r>
      <w:r>
        <w:rPr>
          <w:noProof/>
          <w:lang w:val="fr-FR"/>
        </w:rPr>
        <w:t>Espagne a fait droit à la demande d</w:t>
      </w:r>
      <w:r w:rsidR="002A5D78">
        <w:rPr>
          <w:noProof/>
          <w:lang w:val="fr-FR"/>
        </w:rPr>
        <w:t>’</w:t>
      </w:r>
      <w:r>
        <w:rPr>
          <w:noProof/>
          <w:lang w:val="fr-FR"/>
        </w:rPr>
        <w:t>extradition, laquelle a été exécutée le 19</w:t>
      </w:r>
      <w:r w:rsidR="00C10584">
        <w:rPr>
          <w:noProof/>
          <w:lang w:val="fr-FR"/>
        </w:rPr>
        <w:t> </w:t>
      </w:r>
      <w:r>
        <w:rPr>
          <w:noProof/>
          <w:lang w:val="fr-FR"/>
        </w:rPr>
        <w:t xml:space="preserve">janvier 2012 ; </w:t>
      </w:r>
    </w:p>
    <w:p w14:paraId="6A976130" w14:textId="77777777" w:rsidR="00653B7F" w:rsidRDefault="00653B7F" w:rsidP="006A3A5E">
      <w:pPr>
        <w:pStyle w:val="SingleTxtG"/>
        <w:numPr>
          <w:ilvl w:val="0"/>
          <w:numId w:val="2"/>
        </w:numPr>
        <w:suppressAutoHyphens w:val="0"/>
        <w:kinsoku/>
        <w:overflowPunct/>
        <w:autoSpaceDE/>
        <w:autoSpaceDN/>
        <w:adjustRightInd/>
        <w:snapToGrid/>
        <w:ind w:left="1134" w:firstLine="567"/>
        <w:rPr>
          <w:noProof/>
          <w:lang w:val="fr-FR"/>
        </w:rPr>
      </w:pPr>
      <w:r>
        <w:rPr>
          <w:noProof/>
          <w:lang w:val="fr-FR"/>
        </w:rPr>
        <w:t xml:space="preserve">Affaire </w:t>
      </w:r>
      <w:r w:rsidRPr="00F263D5">
        <w:rPr>
          <w:noProof/>
          <w:lang w:val="fr-FR"/>
        </w:rPr>
        <w:t>Antonio Ramiro Ávalos Vargas</w:t>
      </w:r>
      <w:r>
        <w:rPr>
          <w:noProof/>
          <w:lang w:val="fr-FR"/>
        </w:rPr>
        <w:t xml:space="preserve">, </w:t>
      </w:r>
      <w:r w:rsidRPr="00C62AAA">
        <w:rPr>
          <w:noProof/>
          <w:lang w:val="fr-FR"/>
        </w:rPr>
        <w:t>citoyen salvadorien accusé</w:t>
      </w:r>
      <w:r>
        <w:rPr>
          <w:noProof/>
          <w:lang w:val="fr-FR"/>
        </w:rPr>
        <w:t xml:space="preserve"> d</w:t>
      </w:r>
      <w:r w:rsidR="002A5D78">
        <w:rPr>
          <w:noProof/>
          <w:lang w:val="fr-FR"/>
        </w:rPr>
        <w:t>’</w:t>
      </w:r>
      <w:r>
        <w:rPr>
          <w:noProof/>
          <w:lang w:val="fr-FR"/>
        </w:rPr>
        <w:t>assassinat, d</w:t>
      </w:r>
      <w:r w:rsidR="002A5D78">
        <w:rPr>
          <w:noProof/>
          <w:lang w:val="fr-FR"/>
        </w:rPr>
        <w:t>’</w:t>
      </w:r>
      <w:r>
        <w:rPr>
          <w:noProof/>
          <w:lang w:val="fr-FR"/>
        </w:rPr>
        <w:t>activités terroristes et de crimes contre l</w:t>
      </w:r>
      <w:r w:rsidR="002A5D78">
        <w:rPr>
          <w:noProof/>
          <w:lang w:val="fr-FR"/>
        </w:rPr>
        <w:t>’</w:t>
      </w:r>
      <w:r>
        <w:rPr>
          <w:noProof/>
          <w:lang w:val="fr-FR"/>
        </w:rPr>
        <w:t>humanité et faisant l</w:t>
      </w:r>
      <w:r w:rsidR="002A5D78">
        <w:rPr>
          <w:noProof/>
          <w:lang w:val="fr-FR"/>
        </w:rPr>
        <w:t>’</w:t>
      </w:r>
      <w:r>
        <w:rPr>
          <w:noProof/>
          <w:lang w:val="fr-FR"/>
        </w:rPr>
        <w:t>objet d</w:t>
      </w:r>
      <w:r w:rsidR="002A5D78">
        <w:rPr>
          <w:noProof/>
          <w:lang w:val="fr-FR"/>
        </w:rPr>
        <w:t>’</w:t>
      </w:r>
      <w:r>
        <w:rPr>
          <w:noProof/>
          <w:lang w:val="fr-FR"/>
        </w:rPr>
        <w:t>une notice rouge d</w:t>
      </w:r>
      <w:r w:rsidR="002A5D78">
        <w:rPr>
          <w:noProof/>
          <w:lang w:val="fr-FR"/>
        </w:rPr>
        <w:t>’</w:t>
      </w:r>
      <w:r>
        <w:rPr>
          <w:noProof/>
          <w:lang w:val="fr-FR"/>
        </w:rPr>
        <w:t>INTERPOL diffusée à la demande des autorités espagnoles, réclamé par le Royaume d</w:t>
      </w:r>
      <w:r w:rsidR="002A5D78">
        <w:rPr>
          <w:noProof/>
          <w:lang w:val="fr-FR"/>
        </w:rPr>
        <w:t>’</w:t>
      </w:r>
      <w:r>
        <w:rPr>
          <w:noProof/>
          <w:lang w:val="fr-FR"/>
        </w:rPr>
        <w:t>Espagne en vertu du traité d</w:t>
      </w:r>
      <w:r w:rsidR="002A5D78">
        <w:rPr>
          <w:noProof/>
          <w:lang w:val="fr-FR"/>
        </w:rPr>
        <w:t>’</w:t>
      </w:r>
      <w:r>
        <w:rPr>
          <w:noProof/>
          <w:lang w:val="fr-FR"/>
        </w:rPr>
        <w:t>extradition entre ce pays et El Salvador. La Cour suprême de justice réunie en formation plénière s</w:t>
      </w:r>
      <w:r w:rsidR="002A5D78">
        <w:rPr>
          <w:noProof/>
          <w:lang w:val="fr-FR"/>
        </w:rPr>
        <w:t>’</w:t>
      </w:r>
      <w:r>
        <w:rPr>
          <w:noProof/>
          <w:lang w:val="fr-FR"/>
        </w:rPr>
        <w:t>est déclarée tenue de rejeter la demande d</w:t>
      </w:r>
      <w:r w:rsidR="002A5D78">
        <w:rPr>
          <w:noProof/>
          <w:lang w:val="fr-FR"/>
        </w:rPr>
        <w:t>’</w:t>
      </w:r>
      <w:r>
        <w:rPr>
          <w:noProof/>
          <w:lang w:val="fr-FR"/>
        </w:rPr>
        <w:t>extradition au motif que M.</w:t>
      </w:r>
      <w:r w:rsidR="00C10584">
        <w:rPr>
          <w:noProof/>
          <w:lang w:val="fr-FR"/>
        </w:rPr>
        <w:t> </w:t>
      </w:r>
      <w:r w:rsidRPr="00F263D5">
        <w:rPr>
          <w:noProof/>
          <w:lang w:val="fr-FR"/>
        </w:rPr>
        <w:t>Ávalos Vargas</w:t>
      </w:r>
      <w:r>
        <w:rPr>
          <w:noProof/>
          <w:lang w:val="fr-FR"/>
        </w:rPr>
        <w:t xml:space="preserve"> avait déjà été traduit en justice et jugé. </w:t>
      </w:r>
    </w:p>
    <w:p w14:paraId="4C7860C7" w14:textId="77777777" w:rsidR="00653B7F" w:rsidRPr="00F263D5" w:rsidRDefault="00653B7F" w:rsidP="00653B7F">
      <w:pPr>
        <w:pStyle w:val="H23G"/>
        <w:rPr>
          <w:noProof/>
          <w:lang w:val="fr-FR"/>
        </w:rPr>
      </w:pPr>
      <w:bookmarkStart w:id="8" w:name="_Toc3"/>
      <w:r w:rsidRPr="00F263D5">
        <w:rPr>
          <w:noProof/>
          <w:lang w:val="fr-FR"/>
        </w:rPr>
        <w:tab/>
      </w:r>
      <w:r w:rsidRPr="00F263D5">
        <w:rPr>
          <w:noProof/>
          <w:lang w:val="fr-FR"/>
        </w:rPr>
        <w:tab/>
      </w:r>
      <w:r>
        <w:rPr>
          <w:noProof/>
          <w:lang w:val="fr-FR"/>
        </w:rPr>
        <w:t>Article</w:t>
      </w:r>
      <w:r w:rsidRPr="00F263D5">
        <w:rPr>
          <w:noProof/>
          <w:lang w:val="fr-FR"/>
        </w:rPr>
        <w:t xml:space="preserve"> 10</w:t>
      </w:r>
      <w:bookmarkEnd w:id="8"/>
    </w:p>
    <w:p w14:paraId="4125932D" w14:textId="77777777" w:rsidR="00653B7F" w:rsidRDefault="00653B7F" w:rsidP="00653B7F">
      <w:pPr>
        <w:pStyle w:val="SingleTxtG"/>
        <w:rPr>
          <w:noProof/>
          <w:lang w:val="fr-FR"/>
        </w:rPr>
      </w:pPr>
      <w:r w:rsidRPr="00F263D5">
        <w:rPr>
          <w:noProof/>
          <w:lang w:val="fr-FR"/>
        </w:rPr>
        <w:t>60.</w:t>
      </w:r>
      <w:r w:rsidRPr="00F263D5">
        <w:rPr>
          <w:noProof/>
          <w:lang w:val="fr-FR"/>
        </w:rPr>
        <w:tab/>
      </w:r>
      <w:r>
        <w:rPr>
          <w:noProof/>
          <w:lang w:val="fr-FR"/>
        </w:rPr>
        <w:t>L</w:t>
      </w:r>
      <w:r w:rsidR="002A5D78">
        <w:rPr>
          <w:noProof/>
          <w:lang w:val="fr-FR"/>
        </w:rPr>
        <w:t>’</w:t>
      </w:r>
      <w:r>
        <w:rPr>
          <w:noProof/>
          <w:lang w:val="fr-FR"/>
        </w:rPr>
        <w:t>État salvadorien a mis en place des programmes de formation aux droits de l</w:t>
      </w:r>
      <w:r w:rsidR="002A5D78">
        <w:rPr>
          <w:noProof/>
          <w:lang w:val="fr-FR"/>
        </w:rPr>
        <w:t>’</w:t>
      </w:r>
      <w:r>
        <w:rPr>
          <w:noProof/>
          <w:lang w:val="fr-FR"/>
        </w:rPr>
        <w:t>homme à l</w:t>
      </w:r>
      <w:r w:rsidR="002A5D78">
        <w:rPr>
          <w:noProof/>
          <w:lang w:val="fr-FR"/>
        </w:rPr>
        <w:t>’</w:t>
      </w:r>
      <w:r>
        <w:rPr>
          <w:noProof/>
          <w:lang w:val="fr-FR"/>
        </w:rPr>
        <w:t>intention des personnels de police, des procureurs, des juges et des défenseurs publics, et ceci dans le cadre d</w:t>
      </w:r>
      <w:r w:rsidR="002A5D78">
        <w:rPr>
          <w:noProof/>
          <w:lang w:val="fr-FR"/>
        </w:rPr>
        <w:t>’</w:t>
      </w:r>
      <w:r>
        <w:rPr>
          <w:noProof/>
          <w:lang w:val="fr-FR"/>
        </w:rPr>
        <w:t>un processus de formation et de perfectionnement continus des fonctionnaires et autres agents publics. Parmi ces programmes figure l</w:t>
      </w:r>
      <w:r w:rsidR="002A5D78">
        <w:rPr>
          <w:noProof/>
          <w:lang w:val="fr-FR"/>
        </w:rPr>
        <w:t>’</w:t>
      </w:r>
      <w:r>
        <w:rPr>
          <w:noProof/>
          <w:lang w:val="fr-FR"/>
        </w:rPr>
        <w:t xml:space="preserve">étude du </w:t>
      </w:r>
      <w:r w:rsidRPr="009C74E8">
        <w:rPr>
          <w:noProof/>
          <w:lang w:val="fr-FR"/>
        </w:rPr>
        <w:t>Manuel pour enquêter efficacement sur la torture et autres peines</w:t>
      </w:r>
      <w:r>
        <w:rPr>
          <w:noProof/>
          <w:lang w:val="fr-FR"/>
        </w:rPr>
        <w:t xml:space="preserve"> </w:t>
      </w:r>
      <w:r w:rsidRPr="009C74E8">
        <w:rPr>
          <w:noProof/>
          <w:lang w:val="fr-FR"/>
        </w:rPr>
        <w:t>ou traitements cruels, inhumains ou dégradants</w:t>
      </w:r>
      <w:r>
        <w:rPr>
          <w:noProof/>
          <w:lang w:val="fr-FR"/>
        </w:rPr>
        <w:t xml:space="preserve"> (Protocole d</w:t>
      </w:r>
      <w:r w:rsidR="002A5D78">
        <w:rPr>
          <w:noProof/>
          <w:lang w:val="fr-FR"/>
        </w:rPr>
        <w:t>’</w:t>
      </w:r>
      <w:r>
        <w:rPr>
          <w:noProof/>
          <w:lang w:val="fr-FR"/>
        </w:rPr>
        <w:t xml:space="preserve">Istanbul) ; de la </w:t>
      </w:r>
      <w:r w:rsidRPr="005D6B66">
        <w:rPr>
          <w:noProof/>
          <w:lang w:val="fr-FR"/>
        </w:rPr>
        <w:t>Convention interaméricaine pour la prévention et la répression de la torture</w:t>
      </w:r>
      <w:r>
        <w:rPr>
          <w:noProof/>
          <w:lang w:val="fr-FR"/>
        </w:rPr>
        <w:t> ; de la C</w:t>
      </w:r>
      <w:r w:rsidRPr="005D6B66">
        <w:rPr>
          <w:noProof/>
          <w:lang w:val="fr-FR"/>
        </w:rPr>
        <w:t>onvention contre la torture et autres peines ou traitements cruels,</w:t>
      </w:r>
      <w:r>
        <w:rPr>
          <w:noProof/>
          <w:lang w:val="fr-FR"/>
        </w:rPr>
        <w:t xml:space="preserve"> </w:t>
      </w:r>
      <w:r w:rsidRPr="005D6B66">
        <w:rPr>
          <w:noProof/>
          <w:lang w:val="fr-FR"/>
        </w:rPr>
        <w:t>inhumains ou d</w:t>
      </w:r>
      <w:r>
        <w:rPr>
          <w:noProof/>
          <w:lang w:val="fr-FR"/>
        </w:rPr>
        <w:t>é</w:t>
      </w:r>
      <w:r w:rsidRPr="005D6B66">
        <w:rPr>
          <w:noProof/>
          <w:lang w:val="fr-FR"/>
        </w:rPr>
        <w:t>gradants</w:t>
      </w:r>
      <w:r>
        <w:rPr>
          <w:noProof/>
          <w:lang w:val="fr-FR"/>
        </w:rPr>
        <w:t> ; ainsi que l</w:t>
      </w:r>
      <w:r w:rsidR="002A5D78">
        <w:rPr>
          <w:noProof/>
          <w:lang w:val="fr-FR"/>
        </w:rPr>
        <w:t>’</w:t>
      </w:r>
      <w:r>
        <w:rPr>
          <w:noProof/>
          <w:lang w:val="fr-FR"/>
        </w:rPr>
        <w:t>étude des normes internationales des  droits de l</w:t>
      </w:r>
      <w:r w:rsidR="002A5D78">
        <w:rPr>
          <w:noProof/>
          <w:lang w:val="fr-FR"/>
        </w:rPr>
        <w:t>’</w:t>
      </w:r>
      <w:r>
        <w:rPr>
          <w:noProof/>
          <w:lang w:val="fr-FR"/>
        </w:rPr>
        <w:t>homme, et en particulier celles qui garantissent un procès régulier et les droits de la défense, y compris la jurisprudence de la Cour interaméricaine des droits de l</w:t>
      </w:r>
      <w:r w:rsidR="002A5D78">
        <w:rPr>
          <w:noProof/>
          <w:lang w:val="fr-FR"/>
        </w:rPr>
        <w:t>’</w:t>
      </w:r>
      <w:r>
        <w:rPr>
          <w:noProof/>
          <w:lang w:val="fr-FR"/>
        </w:rPr>
        <w:t>homme.</w:t>
      </w:r>
    </w:p>
    <w:p w14:paraId="598BF9DE" w14:textId="77777777" w:rsidR="00653B7F" w:rsidRDefault="00653B7F" w:rsidP="00653B7F">
      <w:pPr>
        <w:pStyle w:val="SingleTxtG"/>
        <w:rPr>
          <w:noProof/>
          <w:lang w:val="fr-FR"/>
        </w:rPr>
      </w:pPr>
      <w:r w:rsidRPr="00F263D5">
        <w:rPr>
          <w:noProof/>
          <w:lang w:val="fr-FR"/>
        </w:rPr>
        <w:t>61.</w:t>
      </w:r>
      <w:r w:rsidRPr="00F263D5">
        <w:rPr>
          <w:noProof/>
          <w:lang w:val="fr-FR"/>
        </w:rPr>
        <w:tab/>
      </w:r>
      <w:r>
        <w:rPr>
          <w:noProof/>
          <w:lang w:val="fr-FR"/>
        </w:rPr>
        <w:t>L</w:t>
      </w:r>
      <w:r w:rsidR="002A5D78">
        <w:rPr>
          <w:noProof/>
          <w:lang w:val="fr-FR"/>
        </w:rPr>
        <w:t>’</w:t>
      </w:r>
      <w:r>
        <w:rPr>
          <w:noProof/>
          <w:lang w:val="fr-FR"/>
        </w:rPr>
        <w:t>Académie nationale de sécurité publique, qui est chargée de la formation initiale et continue des agents de la Police nationale civile, s</w:t>
      </w:r>
      <w:r w:rsidR="002A5D78">
        <w:rPr>
          <w:noProof/>
          <w:lang w:val="fr-FR"/>
        </w:rPr>
        <w:t>’</w:t>
      </w:r>
      <w:r>
        <w:rPr>
          <w:noProof/>
          <w:lang w:val="fr-FR"/>
        </w:rPr>
        <w:t>assure que cette formation est centrée sur le respect des droits de l</w:t>
      </w:r>
      <w:r w:rsidR="002A5D78">
        <w:rPr>
          <w:noProof/>
          <w:lang w:val="fr-FR"/>
        </w:rPr>
        <w:t>’</w:t>
      </w:r>
      <w:r>
        <w:rPr>
          <w:noProof/>
          <w:lang w:val="fr-FR"/>
        </w:rPr>
        <w:t>homme. Elle a renforcé ses programmes en ce sens, et notamment l</w:t>
      </w:r>
      <w:r w:rsidR="002A5D78">
        <w:rPr>
          <w:noProof/>
          <w:lang w:val="fr-FR"/>
        </w:rPr>
        <w:t>’</w:t>
      </w:r>
      <w:r>
        <w:rPr>
          <w:noProof/>
          <w:lang w:val="fr-FR"/>
        </w:rPr>
        <w:t>étude du Protocole d</w:t>
      </w:r>
      <w:r w:rsidR="002A5D78">
        <w:rPr>
          <w:noProof/>
          <w:lang w:val="fr-FR"/>
        </w:rPr>
        <w:t>’</w:t>
      </w:r>
      <w:r>
        <w:rPr>
          <w:noProof/>
          <w:lang w:val="fr-FR"/>
        </w:rPr>
        <w:t>Istanbul, de la</w:t>
      </w:r>
      <w:r w:rsidRPr="00D70E55">
        <w:rPr>
          <w:noProof/>
          <w:lang w:val="fr-FR"/>
        </w:rPr>
        <w:t xml:space="preserve"> Convention interaméricaine pour la prévention </w:t>
      </w:r>
      <w:r>
        <w:rPr>
          <w:noProof/>
          <w:lang w:val="fr-FR"/>
        </w:rPr>
        <w:t>et la répression de la torture et</w:t>
      </w:r>
      <w:r w:rsidRPr="00D70E55">
        <w:rPr>
          <w:noProof/>
          <w:lang w:val="fr-FR"/>
        </w:rPr>
        <w:t xml:space="preserve"> de la Convention contre la torture et autres peines ou traitements cruels, inhumains ou dégradants</w:t>
      </w:r>
      <w:r>
        <w:rPr>
          <w:noProof/>
          <w:lang w:val="fr-FR"/>
        </w:rPr>
        <w:t>. Ces programmes sont complétés par des cours spécialisés de formation et de perfectionnement des personnels de police, comme le cours élémentaire sur les droits de l</w:t>
      </w:r>
      <w:r w:rsidR="002A5D78">
        <w:rPr>
          <w:noProof/>
          <w:lang w:val="fr-FR"/>
        </w:rPr>
        <w:t>’</w:t>
      </w:r>
      <w:r>
        <w:rPr>
          <w:noProof/>
          <w:lang w:val="fr-FR"/>
        </w:rPr>
        <w:t>homme, le cours sur les interventions de police et le cours de mise à niveau sur les lois spéciales, dans lesquels sont traitées des questions concernant les droits humains, les violations de ces droits, la Convention contre la torture et l</w:t>
      </w:r>
      <w:r w:rsidR="002A5D78">
        <w:rPr>
          <w:noProof/>
          <w:lang w:val="fr-FR"/>
        </w:rPr>
        <w:t>’</w:t>
      </w:r>
      <w:r>
        <w:rPr>
          <w:noProof/>
          <w:lang w:val="fr-FR"/>
        </w:rPr>
        <w:t xml:space="preserve">usage raisonnable de la force. </w:t>
      </w:r>
    </w:p>
    <w:p w14:paraId="69FD8F4A" w14:textId="77777777" w:rsidR="00653B7F" w:rsidRDefault="00653B7F" w:rsidP="00653B7F">
      <w:pPr>
        <w:pStyle w:val="SingleTxtG"/>
        <w:rPr>
          <w:noProof/>
          <w:lang w:val="fr-FR"/>
        </w:rPr>
      </w:pPr>
      <w:r w:rsidRPr="00F263D5">
        <w:rPr>
          <w:noProof/>
          <w:lang w:val="fr-FR"/>
        </w:rPr>
        <w:t>62.</w:t>
      </w:r>
      <w:r w:rsidRPr="00F263D5">
        <w:rPr>
          <w:noProof/>
          <w:lang w:val="fr-FR"/>
        </w:rPr>
        <w:tab/>
      </w:r>
      <w:r>
        <w:rPr>
          <w:noProof/>
          <w:lang w:val="fr-FR"/>
        </w:rPr>
        <w:t>La Police nationale civile assure la formation continue de son personnel aux normes et principes de la protection des droits de l</w:t>
      </w:r>
      <w:r w:rsidR="002A5D78">
        <w:rPr>
          <w:noProof/>
          <w:lang w:val="fr-FR"/>
        </w:rPr>
        <w:t>’</w:t>
      </w:r>
      <w:r>
        <w:rPr>
          <w:noProof/>
          <w:lang w:val="fr-FR"/>
        </w:rPr>
        <w:t>homme, y compris en l</w:t>
      </w:r>
      <w:r w:rsidR="002A5D78">
        <w:rPr>
          <w:noProof/>
          <w:lang w:val="fr-FR"/>
        </w:rPr>
        <w:t>’</w:t>
      </w:r>
      <w:r>
        <w:rPr>
          <w:noProof/>
          <w:lang w:val="fr-FR"/>
        </w:rPr>
        <w:t>initiant aux méthodes d</w:t>
      </w:r>
      <w:r w:rsidR="002A5D78">
        <w:rPr>
          <w:noProof/>
          <w:lang w:val="fr-FR"/>
        </w:rPr>
        <w:t>’</w:t>
      </w:r>
      <w:r>
        <w:rPr>
          <w:noProof/>
          <w:lang w:val="fr-FR"/>
        </w:rPr>
        <w:t>enquête et de collecte des preuves dans les affaires de torture et autres peines ou traitements cruels, inhumains ou dégradants. Les cours de préparation à une promotion hiérarchique comprennent eux aussi l</w:t>
      </w:r>
      <w:r w:rsidR="002A5D78">
        <w:rPr>
          <w:noProof/>
          <w:lang w:val="fr-FR"/>
        </w:rPr>
        <w:t>’</w:t>
      </w:r>
      <w:r>
        <w:rPr>
          <w:noProof/>
          <w:lang w:val="fr-FR"/>
        </w:rPr>
        <w:t>étude de questions intéressant les droits de l</w:t>
      </w:r>
      <w:r w:rsidR="002A5D78">
        <w:rPr>
          <w:noProof/>
          <w:lang w:val="fr-FR"/>
        </w:rPr>
        <w:t>’</w:t>
      </w:r>
      <w:r>
        <w:rPr>
          <w:noProof/>
          <w:lang w:val="fr-FR"/>
        </w:rPr>
        <w:t>homme, les missions de la police, la torture et les activités de prévention et d</w:t>
      </w:r>
      <w:r w:rsidR="002A5D78">
        <w:rPr>
          <w:noProof/>
          <w:lang w:val="fr-FR"/>
        </w:rPr>
        <w:t>’</w:t>
      </w:r>
      <w:r>
        <w:rPr>
          <w:noProof/>
          <w:lang w:val="fr-FR"/>
        </w:rPr>
        <w:t>investigation des affaires de torture, comme le prescrit le Protocole d</w:t>
      </w:r>
      <w:r w:rsidR="002A5D78">
        <w:rPr>
          <w:noProof/>
          <w:lang w:val="fr-FR"/>
        </w:rPr>
        <w:t>’</w:t>
      </w:r>
      <w:r>
        <w:rPr>
          <w:noProof/>
          <w:lang w:val="fr-FR"/>
        </w:rPr>
        <w:t>Istanbul. La Police nationale civile a également mis en place un cursus de technicien en sciences policières qui s</w:t>
      </w:r>
      <w:r w:rsidR="002A5D78">
        <w:rPr>
          <w:noProof/>
          <w:lang w:val="fr-FR"/>
        </w:rPr>
        <w:t>’</w:t>
      </w:r>
      <w:r>
        <w:rPr>
          <w:noProof/>
          <w:lang w:val="fr-FR"/>
        </w:rPr>
        <w:t>adresse aussi bien à l</w:t>
      </w:r>
      <w:r w:rsidR="002A5D78">
        <w:rPr>
          <w:noProof/>
          <w:lang w:val="fr-FR"/>
        </w:rPr>
        <w:t>’</w:t>
      </w:r>
      <w:r>
        <w:rPr>
          <w:noProof/>
          <w:lang w:val="fr-FR"/>
        </w:rPr>
        <w:t>ensemble du personnel policier qu</w:t>
      </w:r>
      <w:r w:rsidR="002A5D78">
        <w:rPr>
          <w:noProof/>
          <w:lang w:val="fr-FR"/>
        </w:rPr>
        <w:t>’</w:t>
      </w:r>
      <w:r>
        <w:rPr>
          <w:noProof/>
          <w:lang w:val="fr-FR"/>
        </w:rPr>
        <w:t>aux nouvelles recrues. Le programme de ce cursus comprend des cours sur les missions de la police, l</w:t>
      </w:r>
      <w:r w:rsidR="002A5D78">
        <w:rPr>
          <w:noProof/>
          <w:lang w:val="fr-FR"/>
        </w:rPr>
        <w:t>’</w:t>
      </w:r>
      <w:r>
        <w:rPr>
          <w:noProof/>
          <w:lang w:val="fr-FR"/>
        </w:rPr>
        <w:t>usage de la force, les techniques de fouille et de perquisition, les droits de l</w:t>
      </w:r>
      <w:r w:rsidR="002A5D78">
        <w:rPr>
          <w:noProof/>
          <w:lang w:val="fr-FR"/>
        </w:rPr>
        <w:t>’</w:t>
      </w:r>
      <w:r>
        <w:rPr>
          <w:noProof/>
          <w:lang w:val="fr-FR"/>
        </w:rPr>
        <w:t>homme, la protection nationale et internationale des droits de l</w:t>
      </w:r>
      <w:r w:rsidR="002A5D78">
        <w:rPr>
          <w:noProof/>
          <w:lang w:val="fr-FR"/>
        </w:rPr>
        <w:t>’</w:t>
      </w:r>
      <w:r>
        <w:rPr>
          <w:noProof/>
          <w:lang w:val="fr-FR"/>
        </w:rPr>
        <w:t>homme et les principaux instruments de protection des droits de l</w:t>
      </w:r>
      <w:r w:rsidR="002A5D78">
        <w:rPr>
          <w:noProof/>
          <w:lang w:val="fr-FR"/>
        </w:rPr>
        <w:t>’</w:t>
      </w:r>
      <w:r>
        <w:rPr>
          <w:noProof/>
          <w:lang w:val="fr-FR"/>
        </w:rPr>
        <w:t>homme.</w:t>
      </w:r>
    </w:p>
    <w:p w14:paraId="3F6EFB53" w14:textId="77777777" w:rsidR="00653B7F" w:rsidRPr="00203AAD" w:rsidRDefault="00653B7F" w:rsidP="00653B7F">
      <w:pPr>
        <w:pStyle w:val="SingleTxtG"/>
        <w:rPr>
          <w:noProof/>
          <w:lang w:val="fr-FR"/>
        </w:rPr>
      </w:pPr>
      <w:r w:rsidRPr="00F263D5">
        <w:rPr>
          <w:noProof/>
          <w:lang w:val="fr-FR"/>
        </w:rPr>
        <w:t>63.</w:t>
      </w:r>
      <w:r w:rsidRPr="00F263D5">
        <w:rPr>
          <w:noProof/>
          <w:lang w:val="fr-FR"/>
        </w:rPr>
        <w:tab/>
      </w:r>
      <w:r>
        <w:rPr>
          <w:noProof/>
          <w:lang w:val="fr-FR"/>
        </w:rPr>
        <w:t xml:space="preserve">Le </w:t>
      </w:r>
      <w:r w:rsidRPr="006E44FF">
        <w:rPr>
          <w:noProof/>
          <w:lang w:val="fr-FR"/>
        </w:rPr>
        <w:t xml:space="preserve">Bureau du </w:t>
      </w:r>
      <w:r w:rsidRPr="006E44FF">
        <w:rPr>
          <w:i/>
          <w:noProof/>
          <w:lang w:val="fr-FR"/>
        </w:rPr>
        <w:t>Fiscal general</w:t>
      </w:r>
      <w:r w:rsidRPr="006E44FF">
        <w:rPr>
          <w:noProof/>
          <w:lang w:val="fr-FR"/>
        </w:rPr>
        <w:t xml:space="preserve"> de la République</w:t>
      </w:r>
      <w:r>
        <w:rPr>
          <w:i/>
          <w:noProof/>
          <w:lang w:val="fr-FR"/>
        </w:rPr>
        <w:t xml:space="preserve"> </w:t>
      </w:r>
      <w:r>
        <w:rPr>
          <w:noProof/>
          <w:lang w:val="fr-FR"/>
        </w:rPr>
        <w:t xml:space="preserve"> dispose d</w:t>
      </w:r>
      <w:r w:rsidR="002A5D78">
        <w:rPr>
          <w:noProof/>
          <w:lang w:val="fr-FR"/>
        </w:rPr>
        <w:t>’</w:t>
      </w:r>
      <w:r>
        <w:rPr>
          <w:noProof/>
          <w:lang w:val="fr-FR"/>
        </w:rPr>
        <w:t>une École de formation au ministère public qui assure la formation continue de ses agents. Son programme de formation aux droits de l</w:t>
      </w:r>
      <w:r w:rsidR="002A5D78">
        <w:rPr>
          <w:noProof/>
          <w:lang w:val="fr-FR"/>
        </w:rPr>
        <w:t>’</w:t>
      </w:r>
      <w:r>
        <w:rPr>
          <w:noProof/>
          <w:lang w:val="fr-FR"/>
        </w:rPr>
        <w:t>homme comprend l</w:t>
      </w:r>
      <w:r w:rsidR="002A5D78">
        <w:rPr>
          <w:noProof/>
          <w:lang w:val="fr-FR"/>
        </w:rPr>
        <w:t>’</w:t>
      </w:r>
      <w:r>
        <w:rPr>
          <w:noProof/>
          <w:lang w:val="fr-FR"/>
        </w:rPr>
        <w:t xml:space="preserve">étude du </w:t>
      </w:r>
      <w:r w:rsidRPr="00203AAD">
        <w:rPr>
          <w:noProof/>
          <w:lang w:val="fr-FR"/>
        </w:rPr>
        <w:t>Manuel pour enquêter efficacement sur la torture et autres peines ou traitements c</w:t>
      </w:r>
      <w:r>
        <w:rPr>
          <w:noProof/>
          <w:lang w:val="fr-FR"/>
        </w:rPr>
        <w:t>ruels, inhumains ou dégradants.</w:t>
      </w:r>
    </w:p>
    <w:p w14:paraId="1FAC7925" w14:textId="77777777" w:rsidR="00653B7F" w:rsidRPr="00857A76" w:rsidRDefault="00653B7F" w:rsidP="00653B7F">
      <w:pPr>
        <w:pStyle w:val="SingleTxtG"/>
        <w:rPr>
          <w:noProof/>
          <w:lang w:val="fr-FR"/>
        </w:rPr>
      </w:pPr>
      <w:r w:rsidRPr="00F263D5">
        <w:rPr>
          <w:noProof/>
          <w:lang w:val="fr-FR"/>
        </w:rPr>
        <w:t>64.</w:t>
      </w:r>
      <w:r w:rsidRPr="00F263D5">
        <w:rPr>
          <w:noProof/>
          <w:lang w:val="fr-FR"/>
        </w:rPr>
        <w:tab/>
      </w:r>
      <w:r>
        <w:rPr>
          <w:noProof/>
          <w:lang w:val="fr-FR"/>
        </w:rPr>
        <w:t>L</w:t>
      </w:r>
      <w:r w:rsidR="002A5D78">
        <w:rPr>
          <w:noProof/>
          <w:lang w:val="fr-FR"/>
        </w:rPr>
        <w:t>’</w:t>
      </w:r>
      <w:r>
        <w:rPr>
          <w:noProof/>
          <w:lang w:val="fr-FR"/>
        </w:rPr>
        <w:t>École de formation judiciaire du Conseil national de la magistrature assure elle aussi la formation et le perfectionnement des acteurs de la justice et autres fonctionnaires concernés. Elle dispense des cours sur les principes et normes de protection des droits de l</w:t>
      </w:r>
      <w:r w:rsidR="002A5D78">
        <w:rPr>
          <w:noProof/>
          <w:lang w:val="fr-FR"/>
        </w:rPr>
        <w:t>’</w:t>
      </w:r>
      <w:r>
        <w:rPr>
          <w:noProof/>
          <w:lang w:val="fr-FR"/>
        </w:rPr>
        <w:t>homme et les normes internationales contre la torture et autres traitements cruels, inhumains ou dégradants, dont un cours intitulé « Les instruments internationaux de protection des droits de l</w:t>
      </w:r>
      <w:r w:rsidR="002A5D78">
        <w:rPr>
          <w:noProof/>
          <w:lang w:val="fr-FR"/>
        </w:rPr>
        <w:t>’</w:t>
      </w:r>
      <w:r>
        <w:rPr>
          <w:noProof/>
          <w:lang w:val="fr-FR"/>
        </w:rPr>
        <w:t>homme ». Ce cours permet d</w:t>
      </w:r>
      <w:r w:rsidR="002A5D78">
        <w:rPr>
          <w:noProof/>
          <w:lang w:val="fr-FR"/>
        </w:rPr>
        <w:t>’</w:t>
      </w:r>
      <w:r>
        <w:rPr>
          <w:noProof/>
          <w:lang w:val="fr-FR"/>
        </w:rPr>
        <w:t>étudier le rôle des instruments assurant la protection internationale des droits de l</w:t>
      </w:r>
      <w:r w:rsidR="002A5D78">
        <w:rPr>
          <w:noProof/>
          <w:lang w:val="fr-FR"/>
        </w:rPr>
        <w:t>’</w:t>
      </w:r>
      <w:r>
        <w:rPr>
          <w:noProof/>
          <w:lang w:val="fr-FR"/>
        </w:rPr>
        <w:t>homme considérée sous l</w:t>
      </w:r>
      <w:r w:rsidR="002A5D78">
        <w:rPr>
          <w:noProof/>
          <w:lang w:val="fr-FR"/>
        </w:rPr>
        <w:t>’</w:t>
      </w:r>
      <w:r>
        <w:rPr>
          <w:noProof/>
          <w:lang w:val="fr-FR"/>
        </w:rPr>
        <w:t>angle pénal dans les affaires de crimes contre l</w:t>
      </w:r>
      <w:r w:rsidR="002A5D78">
        <w:rPr>
          <w:noProof/>
          <w:lang w:val="fr-FR"/>
        </w:rPr>
        <w:t>’</w:t>
      </w:r>
      <w:r>
        <w:rPr>
          <w:noProof/>
          <w:lang w:val="fr-FR"/>
        </w:rPr>
        <w:t>humanité et conduit les étudiants à analyser la Convention contre la torture et autres traitements cruels, inhumains ou dégradants et son Protocole.</w:t>
      </w:r>
    </w:p>
    <w:p w14:paraId="36B039B0" w14:textId="77777777" w:rsidR="00653B7F" w:rsidRDefault="00653B7F" w:rsidP="00653B7F">
      <w:pPr>
        <w:pStyle w:val="SingleTxtG"/>
        <w:rPr>
          <w:noProof/>
          <w:lang w:val="fr-FR"/>
        </w:rPr>
      </w:pPr>
      <w:r w:rsidRPr="00F263D5">
        <w:rPr>
          <w:noProof/>
          <w:lang w:val="fr-FR"/>
        </w:rPr>
        <w:lastRenderedPageBreak/>
        <w:t>65.</w:t>
      </w:r>
      <w:r w:rsidRPr="00F263D5">
        <w:rPr>
          <w:noProof/>
          <w:lang w:val="fr-FR"/>
        </w:rPr>
        <w:tab/>
      </w:r>
      <w:r>
        <w:rPr>
          <w:noProof/>
          <w:lang w:val="fr-FR"/>
        </w:rPr>
        <w:t>En ce qui concerne la formation du personnel qui travaille au contact des personnes détenues, la Direction générale des établissements pénitentiaires administre une École pénitentiaire chargée de dispenser une formation spécialisée aux candidats aux fonctions d</w:t>
      </w:r>
      <w:r w:rsidR="002A5D78">
        <w:rPr>
          <w:noProof/>
          <w:lang w:val="fr-FR"/>
        </w:rPr>
        <w:t>’</w:t>
      </w:r>
      <w:r>
        <w:rPr>
          <w:noProof/>
          <w:lang w:val="fr-FR"/>
        </w:rPr>
        <w:t>agent pénitentiaire. Cette formation comprend un module juridique intitulé « Droit et éthique pénitentiaire » dans lequel sont traitées les questions relatives aux droits de l</w:t>
      </w:r>
      <w:r w:rsidR="002A5D78">
        <w:rPr>
          <w:noProof/>
          <w:lang w:val="fr-FR"/>
        </w:rPr>
        <w:t>’</w:t>
      </w:r>
      <w:r>
        <w:rPr>
          <w:noProof/>
          <w:lang w:val="fr-FR"/>
        </w:rPr>
        <w:t xml:space="preserve">homme, notamment du point de vue de la </w:t>
      </w:r>
      <w:r w:rsidRPr="000719BF">
        <w:rPr>
          <w:noProof/>
          <w:lang w:val="fr-FR"/>
        </w:rPr>
        <w:t>Convention contre la torture et autres traitements cruels, inhumains ou dégradants</w:t>
      </w:r>
      <w:r>
        <w:rPr>
          <w:noProof/>
          <w:lang w:val="fr-FR"/>
        </w:rPr>
        <w:t>. Elle prône l</w:t>
      </w:r>
      <w:r w:rsidR="002A5D78">
        <w:rPr>
          <w:noProof/>
          <w:lang w:val="fr-FR"/>
        </w:rPr>
        <w:t>’</w:t>
      </w:r>
      <w:r>
        <w:rPr>
          <w:noProof/>
          <w:lang w:val="fr-FR"/>
        </w:rPr>
        <w:t>application et organise la diffusion de l</w:t>
      </w:r>
      <w:r w:rsidR="002A5D78">
        <w:rPr>
          <w:noProof/>
          <w:lang w:val="fr-FR"/>
        </w:rPr>
        <w:t>’</w:t>
      </w:r>
      <w:r w:rsidRPr="000719BF">
        <w:rPr>
          <w:noProof/>
          <w:lang w:val="fr-FR"/>
        </w:rPr>
        <w:t>Ensemble de règles minima pour</w:t>
      </w:r>
      <w:r>
        <w:rPr>
          <w:noProof/>
          <w:lang w:val="fr-FR"/>
        </w:rPr>
        <w:t xml:space="preserve"> </w:t>
      </w:r>
      <w:r w:rsidRPr="000719BF">
        <w:rPr>
          <w:noProof/>
          <w:lang w:val="fr-FR"/>
        </w:rPr>
        <w:t>le traitement des détenus</w:t>
      </w:r>
      <w:r>
        <w:rPr>
          <w:noProof/>
          <w:lang w:val="fr-FR"/>
        </w:rPr>
        <w:t>. L</w:t>
      </w:r>
      <w:r w:rsidR="002A5D78">
        <w:rPr>
          <w:noProof/>
          <w:lang w:val="fr-FR"/>
        </w:rPr>
        <w:t>’</w:t>
      </w:r>
      <w:r>
        <w:rPr>
          <w:noProof/>
          <w:lang w:val="fr-FR"/>
        </w:rPr>
        <w:t xml:space="preserve">École pénitentiaire donne également des cours de préparation à une promotion hiérarchique. Les nouveaux agents pénitentiaires et les agents candidats à une promotion doivent suivre des stages dans deux ou trois établissements pénitentiaires ; de même, tous les membres du personnel de la Direction générale doivent suivre des formations spécialisées telles que, par exemple, un cours supérieur de gestion pénitentiaire et de criminologie. </w:t>
      </w:r>
    </w:p>
    <w:p w14:paraId="21A1E616" w14:textId="77777777" w:rsidR="00653B7F" w:rsidRDefault="00653B7F" w:rsidP="00653B7F">
      <w:pPr>
        <w:pStyle w:val="SingleTxtG"/>
        <w:rPr>
          <w:noProof/>
          <w:lang w:val="fr-FR"/>
        </w:rPr>
      </w:pPr>
      <w:r w:rsidRPr="00F263D5">
        <w:rPr>
          <w:noProof/>
          <w:lang w:val="fr-FR"/>
        </w:rPr>
        <w:t>66.</w:t>
      </w:r>
      <w:r w:rsidRPr="00F263D5">
        <w:rPr>
          <w:noProof/>
          <w:lang w:val="fr-FR"/>
        </w:rPr>
        <w:tab/>
      </w:r>
      <w:r>
        <w:rPr>
          <w:noProof/>
          <w:lang w:val="fr-FR"/>
        </w:rPr>
        <w:t>La question des femmes victimes d</w:t>
      </w:r>
      <w:r w:rsidR="002A5D78">
        <w:rPr>
          <w:noProof/>
          <w:lang w:val="fr-FR"/>
        </w:rPr>
        <w:t>’</w:t>
      </w:r>
      <w:r>
        <w:rPr>
          <w:noProof/>
          <w:lang w:val="fr-FR"/>
        </w:rPr>
        <w:t>urgences obstétricales est traitée principalement sur la base des « lignes directrices techniques opérationnelles pour la stratégie du plan d</w:t>
      </w:r>
      <w:r w:rsidR="002A5D78">
        <w:rPr>
          <w:noProof/>
          <w:lang w:val="fr-FR"/>
        </w:rPr>
        <w:t>’</w:t>
      </w:r>
      <w:r>
        <w:rPr>
          <w:noProof/>
          <w:lang w:val="fr-FR"/>
        </w:rPr>
        <w:t>accouchement » que le Ministère de la santé a publiées en 2011 et qui contiennent les informations nécessaires pour exécuter ladite stratégie avec la femme enceinte, sa famille et sa communauté, et dans le « guide clinique de gynécologie et d</w:t>
      </w:r>
      <w:r w:rsidR="002A5D78">
        <w:rPr>
          <w:noProof/>
          <w:lang w:val="fr-FR"/>
        </w:rPr>
        <w:t>’</w:t>
      </w:r>
      <w:r>
        <w:rPr>
          <w:noProof/>
          <w:lang w:val="fr-FR"/>
        </w:rPr>
        <w:t xml:space="preserve">obstétrique (2012) », qui décrit la marche à suivre face aux urgences obstétricales, en les classant comme suit : avortement spontané (fausse couche), avortement </w:t>
      </w:r>
      <w:r w:rsidRPr="00A643D2">
        <w:rPr>
          <w:noProof/>
          <w:lang w:val="fr-FR"/>
        </w:rPr>
        <w:t>manqué (ou rétention d</w:t>
      </w:r>
      <w:r w:rsidR="002A5D78">
        <w:rPr>
          <w:noProof/>
          <w:lang w:val="fr-FR"/>
        </w:rPr>
        <w:t>’</w:t>
      </w:r>
      <w:r w:rsidRPr="00A643D2">
        <w:rPr>
          <w:noProof/>
          <w:lang w:val="fr-FR"/>
        </w:rPr>
        <w:t>une grossesse arrêtée)</w:t>
      </w:r>
      <w:r>
        <w:rPr>
          <w:noProof/>
          <w:lang w:val="fr-FR"/>
        </w:rPr>
        <w:t>, avortement imminent, avortement inévitable, avortement incomplet et avortement septique. Les lignes directrices techniques et le guide clinique précités sont alignés sur la politique nationale de santé sexuelle et reproductive et le plan d</w:t>
      </w:r>
      <w:r w:rsidR="002A5D78">
        <w:rPr>
          <w:noProof/>
          <w:lang w:val="fr-FR"/>
        </w:rPr>
        <w:t>’</w:t>
      </w:r>
      <w:r>
        <w:rPr>
          <w:noProof/>
          <w:lang w:val="fr-FR"/>
        </w:rPr>
        <w:t>action correspondant, qui visent à assurer la santé sexuelle et reproductive de la population salvadorienne aux différents âges de la vie, en mettant l</w:t>
      </w:r>
      <w:r w:rsidR="002A5D78">
        <w:rPr>
          <w:noProof/>
          <w:lang w:val="fr-FR"/>
        </w:rPr>
        <w:t>’</w:t>
      </w:r>
      <w:r>
        <w:rPr>
          <w:noProof/>
          <w:lang w:val="fr-FR"/>
        </w:rPr>
        <w:t>accent sur l</w:t>
      </w:r>
      <w:r w:rsidR="002A5D78">
        <w:rPr>
          <w:noProof/>
          <w:lang w:val="fr-FR"/>
        </w:rPr>
        <w:t>’</w:t>
      </w:r>
      <w:r>
        <w:rPr>
          <w:noProof/>
          <w:lang w:val="fr-FR"/>
        </w:rPr>
        <w:t>inclusion, le genre et les droits, dans un environnement sain, sûr et équitable et en privilégiant la qualité, la chaleur humaine et la responsabilité partagée. Le Ministère de la santé a organisé des formations en milieu hospitalier pour une gestion sans risque</w:t>
      </w:r>
      <w:r w:rsidR="00901851">
        <w:rPr>
          <w:noProof/>
          <w:lang w:val="fr-FR"/>
        </w:rPr>
        <w:t>s</w:t>
      </w:r>
      <w:r>
        <w:rPr>
          <w:noProof/>
          <w:lang w:val="fr-FR"/>
        </w:rPr>
        <w:t xml:space="preserve"> des avortements et mené dans plusieurs institutions des actions de formation et de sensibilisation aux soins postavortement qui soulignent les droits des intéressées.</w:t>
      </w:r>
    </w:p>
    <w:p w14:paraId="5B04A8F7" w14:textId="77777777" w:rsidR="00653B7F" w:rsidRDefault="00653B7F" w:rsidP="00653B7F">
      <w:pPr>
        <w:pStyle w:val="SingleTxtG"/>
        <w:rPr>
          <w:noProof/>
          <w:lang w:val="fr-FR"/>
        </w:rPr>
      </w:pPr>
      <w:r w:rsidRPr="00F263D5">
        <w:rPr>
          <w:noProof/>
          <w:lang w:val="fr-FR"/>
        </w:rPr>
        <w:t>67.</w:t>
      </w:r>
      <w:r w:rsidRPr="00F263D5">
        <w:rPr>
          <w:noProof/>
          <w:lang w:val="fr-FR"/>
        </w:rPr>
        <w:tab/>
      </w:r>
      <w:r>
        <w:rPr>
          <w:noProof/>
          <w:lang w:val="fr-FR"/>
        </w:rPr>
        <w:t>En juillet 2016, l</w:t>
      </w:r>
      <w:r w:rsidR="002A5D78">
        <w:rPr>
          <w:noProof/>
          <w:lang w:val="fr-FR"/>
        </w:rPr>
        <w:t>’</w:t>
      </w:r>
      <w:r>
        <w:rPr>
          <w:noProof/>
          <w:lang w:val="fr-FR"/>
        </w:rPr>
        <w:t>Assemblée législative a été saisie d</w:t>
      </w:r>
      <w:r w:rsidR="002A5D78">
        <w:rPr>
          <w:noProof/>
          <w:lang w:val="fr-FR"/>
        </w:rPr>
        <w:t>’</w:t>
      </w:r>
      <w:r>
        <w:rPr>
          <w:noProof/>
          <w:lang w:val="fr-FR"/>
        </w:rPr>
        <w:t>une proposition de réforme des dispositions du Code pénal relatives à l</w:t>
      </w:r>
      <w:r w:rsidR="002A5D78">
        <w:rPr>
          <w:noProof/>
          <w:lang w:val="fr-FR"/>
        </w:rPr>
        <w:t>’</w:t>
      </w:r>
      <w:r>
        <w:rPr>
          <w:noProof/>
          <w:lang w:val="fr-FR"/>
        </w:rPr>
        <w:t>avortement consenti et à l</w:t>
      </w:r>
      <w:r w:rsidR="002A5D78">
        <w:rPr>
          <w:noProof/>
          <w:lang w:val="fr-FR"/>
        </w:rPr>
        <w:t>’</w:t>
      </w:r>
      <w:r>
        <w:rPr>
          <w:noProof/>
          <w:lang w:val="fr-FR"/>
        </w:rPr>
        <w:t>auto-avortement aux termes de laquelle ces actes ne seraient plus passibles de sanctions pénales dans les cas suivants : lorsque les femmes, les filles et les adolescentes concernées ont été victimes d</w:t>
      </w:r>
      <w:r w:rsidR="002A5D78">
        <w:rPr>
          <w:noProof/>
          <w:lang w:val="fr-FR"/>
        </w:rPr>
        <w:t>’</w:t>
      </w:r>
      <w:r>
        <w:rPr>
          <w:noProof/>
          <w:lang w:val="fr-FR"/>
        </w:rPr>
        <w:t>atteintes sexuelles ; pour sauver la vie de la femme enceinte et protéger sa santé ; et en cas de malformation du fœtus qui le rendrait non viable en milieu extra-utérin. En 2018, la Cour suprême de justice a accordé une commutation de leur peine (</w:t>
      </w:r>
      <w:r w:rsidRPr="003A7B5F">
        <w:rPr>
          <w:i/>
          <w:noProof/>
          <w:lang w:val="fr-FR"/>
        </w:rPr>
        <w:t>indulto</w:t>
      </w:r>
      <w:r>
        <w:rPr>
          <w:noProof/>
          <w:lang w:val="fr-FR"/>
        </w:rPr>
        <w:t>)</w:t>
      </w:r>
      <w:r w:rsidRPr="00976B2B">
        <w:rPr>
          <w:noProof/>
          <w:lang w:val="fr-FR"/>
        </w:rPr>
        <w:t xml:space="preserve"> à</w:t>
      </w:r>
      <w:r>
        <w:rPr>
          <w:noProof/>
          <w:lang w:val="fr-FR"/>
        </w:rPr>
        <w:t xml:space="preserve"> deux femmes qui avaient été condamnées pour des faits liés à des urgences obstétricales, et depuis 2016 le Ministère de la justice et de la sécurité publique a ordonné 21 commutations de peine au bénéfice de femmes condamnées du chef de meurtre aggravé pour des urgences obstétricales et mis en oeuvre un plan de réinsertion sociale et de réparation en faveur des femmes ayant eu à répondre du même chef devant la justice. </w:t>
      </w:r>
    </w:p>
    <w:p w14:paraId="5CD2F6CD" w14:textId="77777777" w:rsidR="00653B7F" w:rsidRPr="00BB6F7D" w:rsidRDefault="00653B7F" w:rsidP="00653B7F">
      <w:pPr>
        <w:pStyle w:val="H23G"/>
        <w:rPr>
          <w:noProof/>
          <w:lang w:val="fr-FR"/>
        </w:rPr>
      </w:pPr>
      <w:bookmarkStart w:id="9" w:name="_Toc4"/>
      <w:r>
        <w:rPr>
          <w:lang w:val="es-SV"/>
        </w:rPr>
        <w:tab/>
      </w:r>
      <w:r>
        <w:rPr>
          <w:lang w:val="es-SV"/>
        </w:rPr>
        <w:tab/>
      </w:r>
      <w:r w:rsidRPr="00BB6F7D">
        <w:rPr>
          <w:noProof/>
          <w:lang w:val="fr-FR"/>
        </w:rPr>
        <w:t>Artícle 11</w:t>
      </w:r>
      <w:bookmarkEnd w:id="9"/>
    </w:p>
    <w:p w14:paraId="245305F8" w14:textId="77777777" w:rsidR="00653B7F" w:rsidRPr="00BB6F7D" w:rsidRDefault="00653B7F" w:rsidP="00653B7F">
      <w:pPr>
        <w:pStyle w:val="SingleTxtG"/>
        <w:rPr>
          <w:noProof/>
          <w:lang w:val="fr-FR"/>
        </w:rPr>
      </w:pPr>
      <w:r w:rsidRPr="00BB6F7D">
        <w:rPr>
          <w:noProof/>
          <w:lang w:val="fr-FR"/>
        </w:rPr>
        <w:t>68.</w:t>
      </w:r>
      <w:r w:rsidRPr="00BB6F7D">
        <w:rPr>
          <w:noProof/>
          <w:lang w:val="fr-FR"/>
        </w:rPr>
        <w:tab/>
      </w:r>
      <w:r>
        <w:rPr>
          <w:noProof/>
          <w:lang w:val="fr-FR"/>
        </w:rPr>
        <w:t>En réponse à la demande de statistiques sur la population privée de liberté, les tableaux 12, 13, 14 et 15 ci-après donnent le nombre des condamnés et des détenus provisoires par établissement pénitentiaire, ainsi que le nombre des personnes privées de liberté réparti selon le sexe, selon l</w:t>
      </w:r>
      <w:r w:rsidR="002A5D78">
        <w:rPr>
          <w:noProof/>
          <w:lang w:val="fr-FR"/>
        </w:rPr>
        <w:t>’</w:t>
      </w:r>
      <w:r>
        <w:rPr>
          <w:noProof/>
          <w:lang w:val="fr-FR"/>
        </w:rPr>
        <w:t>âge et selon le chef de condamnation.</w:t>
      </w:r>
    </w:p>
    <w:p w14:paraId="2018B95D" w14:textId="77777777" w:rsidR="00653B7F" w:rsidRPr="00901851" w:rsidRDefault="00653B7F" w:rsidP="00901851">
      <w:pPr>
        <w:pStyle w:val="Titre1"/>
        <w:spacing w:after="120"/>
        <w:rPr>
          <w:b/>
          <w:bCs/>
          <w:noProof/>
          <w:sz w:val="24"/>
          <w:szCs w:val="24"/>
          <w:lang w:val="fr-FR"/>
        </w:rPr>
      </w:pPr>
      <w:bookmarkStart w:id="10" w:name="_Hlk42500199"/>
      <w:r>
        <w:rPr>
          <w:noProof/>
          <w:lang w:val="fr-FR"/>
        </w:rPr>
        <w:t>Tableau</w:t>
      </w:r>
      <w:r w:rsidRPr="00BB6F7D">
        <w:rPr>
          <w:bCs/>
          <w:noProof/>
          <w:szCs w:val="24"/>
          <w:lang w:val="fr-FR"/>
        </w:rPr>
        <w:t xml:space="preserve"> </w:t>
      </w:r>
      <w:r w:rsidRPr="00BB6F7D">
        <w:rPr>
          <w:noProof/>
          <w:lang w:val="fr-FR"/>
        </w:rPr>
        <w:t>12</w:t>
      </w:r>
      <w:r w:rsidR="00901851">
        <w:rPr>
          <w:bCs/>
          <w:noProof/>
          <w:sz w:val="24"/>
          <w:szCs w:val="24"/>
          <w:lang w:val="fr-FR"/>
        </w:rPr>
        <w:br/>
      </w:r>
      <w:r w:rsidRPr="00901851">
        <w:rPr>
          <w:b/>
          <w:bCs/>
          <w:noProof/>
          <w:lang w:val="fr-FR"/>
        </w:rPr>
        <w:t>Nombre de condamnés ou de détenus provisoires, par établissement pénitentiaire, arrêté au 25</w:t>
      </w:r>
      <w:r w:rsidR="00901851">
        <w:rPr>
          <w:b/>
          <w:bCs/>
          <w:noProof/>
          <w:lang w:val="fr-FR"/>
        </w:rPr>
        <w:t> </w:t>
      </w:r>
      <w:r w:rsidRPr="00901851">
        <w:rPr>
          <w:b/>
          <w:bCs/>
          <w:noProof/>
          <w:lang w:val="fr-FR"/>
        </w:rPr>
        <w:t>février 2019</w:t>
      </w:r>
    </w:p>
    <w:tbl>
      <w:tblPr>
        <w:tblW w:w="8504" w:type="dxa"/>
        <w:tblInd w:w="1134" w:type="dxa"/>
        <w:tblLayout w:type="fixed"/>
        <w:tblCellMar>
          <w:left w:w="0" w:type="dxa"/>
          <w:right w:w="0" w:type="dxa"/>
        </w:tblCellMar>
        <w:tblLook w:val="04A0" w:firstRow="1" w:lastRow="0" w:firstColumn="1" w:lastColumn="0" w:noHBand="0" w:noVBand="1"/>
      </w:tblPr>
      <w:tblGrid>
        <w:gridCol w:w="426"/>
        <w:gridCol w:w="5386"/>
        <w:gridCol w:w="851"/>
        <w:gridCol w:w="821"/>
        <w:gridCol w:w="1020"/>
      </w:tblGrid>
      <w:tr w:rsidR="00653B7F" w:rsidRPr="00901851" w14:paraId="24E51AF3" w14:textId="77777777" w:rsidTr="00196533">
        <w:trPr>
          <w:tblHeader/>
        </w:trPr>
        <w:tc>
          <w:tcPr>
            <w:tcW w:w="4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8BD616" w14:textId="77777777" w:rsidR="00653B7F" w:rsidRPr="00901851" w:rsidRDefault="00653B7F" w:rsidP="00901851">
            <w:pPr>
              <w:suppressAutoHyphens w:val="0"/>
              <w:spacing w:before="80" w:after="80" w:line="200" w:lineRule="exact"/>
              <w:rPr>
                <w:i/>
                <w:noProof/>
                <w:sz w:val="16"/>
                <w:lang w:val="fr-FR"/>
              </w:rPr>
            </w:pPr>
          </w:p>
        </w:tc>
        <w:tc>
          <w:tcPr>
            <w:tcW w:w="538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2A0F7C3" w14:textId="77777777" w:rsidR="00653B7F" w:rsidRPr="00901851" w:rsidRDefault="00653B7F" w:rsidP="006318F1">
            <w:pPr>
              <w:suppressAutoHyphens w:val="0"/>
              <w:spacing w:before="80" w:after="80" w:line="200" w:lineRule="exact"/>
              <w:rPr>
                <w:i/>
                <w:noProof/>
                <w:sz w:val="16"/>
                <w:lang w:val="fr-FR"/>
              </w:rPr>
            </w:pPr>
            <w:r w:rsidRPr="00901851">
              <w:rPr>
                <w:bCs/>
                <w:i/>
                <w:noProof/>
                <w:sz w:val="16"/>
                <w:szCs w:val="18"/>
                <w:lang w:val="fr-FR"/>
              </w:rPr>
              <w:t>Établissement pénitentiaire</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44DD1B9" w14:textId="77777777" w:rsidR="00653B7F" w:rsidRPr="00901851" w:rsidRDefault="00653B7F" w:rsidP="00901851">
            <w:pPr>
              <w:suppressAutoHyphens w:val="0"/>
              <w:spacing w:before="80" w:after="80" w:line="200" w:lineRule="exact"/>
              <w:jc w:val="right"/>
              <w:rPr>
                <w:i/>
                <w:noProof/>
                <w:sz w:val="16"/>
                <w:lang w:val="fr-FR"/>
              </w:rPr>
            </w:pPr>
            <w:r w:rsidRPr="00901851">
              <w:rPr>
                <w:bCs/>
                <w:i/>
                <w:noProof/>
                <w:sz w:val="16"/>
                <w:szCs w:val="18"/>
                <w:lang w:val="fr-FR"/>
              </w:rPr>
              <w:t>Condamnés</w:t>
            </w:r>
          </w:p>
        </w:tc>
        <w:tc>
          <w:tcPr>
            <w:tcW w:w="8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87396E6" w14:textId="77777777" w:rsidR="00653B7F" w:rsidRPr="00901851" w:rsidRDefault="00653B7F" w:rsidP="00901851">
            <w:pPr>
              <w:suppressAutoHyphens w:val="0"/>
              <w:spacing w:before="80" w:after="80" w:line="200" w:lineRule="exact"/>
              <w:jc w:val="right"/>
              <w:rPr>
                <w:i/>
                <w:noProof/>
                <w:sz w:val="16"/>
                <w:lang w:val="fr-FR"/>
              </w:rPr>
            </w:pPr>
            <w:r w:rsidRPr="00901851">
              <w:rPr>
                <w:bCs/>
                <w:i/>
                <w:noProof/>
                <w:sz w:val="16"/>
                <w:szCs w:val="18"/>
                <w:lang w:val="fr-FR"/>
              </w:rPr>
              <w:t>Détenus provisoires</w:t>
            </w:r>
          </w:p>
        </w:tc>
        <w:tc>
          <w:tcPr>
            <w:tcW w:w="10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570D697" w14:textId="77777777" w:rsidR="00653B7F" w:rsidRPr="00901851" w:rsidRDefault="00653B7F" w:rsidP="00901851">
            <w:pPr>
              <w:suppressAutoHyphens w:val="0"/>
              <w:spacing w:before="80" w:after="80" w:line="200" w:lineRule="exact"/>
              <w:jc w:val="right"/>
              <w:rPr>
                <w:i/>
                <w:noProof/>
                <w:sz w:val="16"/>
                <w:lang w:val="fr-FR"/>
              </w:rPr>
            </w:pPr>
            <w:r w:rsidRPr="00901851">
              <w:rPr>
                <w:bCs/>
                <w:i/>
                <w:noProof/>
                <w:sz w:val="16"/>
                <w:szCs w:val="18"/>
                <w:lang w:val="fr-FR"/>
              </w:rPr>
              <w:t>Total par établissement</w:t>
            </w:r>
          </w:p>
        </w:tc>
      </w:tr>
      <w:tr w:rsidR="00653B7F" w:rsidRPr="00901851" w14:paraId="7192344E" w14:textId="77777777" w:rsidTr="00196533">
        <w:tc>
          <w:tcPr>
            <w:tcW w:w="426" w:type="dxa"/>
            <w:tcBorders>
              <w:top w:val="single" w:sz="12" w:space="0" w:color="auto"/>
            </w:tcBorders>
            <w:shd w:val="clear" w:color="auto" w:fill="auto"/>
            <w:tcMar>
              <w:top w:w="0" w:type="dxa"/>
              <w:left w:w="0" w:type="dxa"/>
              <w:bottom w:w="0" w:type="dxa"/>
              <w:right w:w="0" w:type="dxa"/>
            </w:tcMar>
          </w:tcPr>
          <w:p w14:paraId="0447A9AF"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w:t>
            </w:r>
          </w:p>
        </w:tc>
        <w:tc>
          <w:tcPr>
            <w:tcW w:w="5386" w:type="dxa"/>
            <w:tcBorders>
              <w:top w:val="single" w:sz="12" w:space="0" w:color="auto"/>
            </w:tcBorders>
            <w:shd w:val="clear" w:color="auto" w:fill="auto"/>
            <w:tcMar>
              <w:top w:w="0" w:type="dxa"/>
              <w:left w:w="0" w:type="dxa"/>
              <w:bottom w:w="0" w:type="dxa"/>
              <w:right w:w="0" w:type="dxa"/>
            </w:tcMar>
            <w:vAlign w:val="bottom"/>
          </w:tcPr>
          <w:p w14:paraId="4C45440A"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La Esperanza, Penitenciaría Central</w:t>
            </w:r>
          </w:p>
        </w:tc>
        <w:tc>
          <w:tcPr>
            <w:tcW w:w="851" w:type="dxa"/>
            <w:tcBorders>
              <w:top w:val="single" w:sz="12" w:space="0" w:color="auto"/>
            </w:tcBorders>
            <w:shd w:val="clear" w:color="auto" w:fill="auto"/>
            <w:tcMar>
              <w:top w:w="0" w:type="dxa"/>
              <w:left w:w="0" w:type="dxa"/>
              <w:bottom w:w="0" w:type="dxa"/>
              <w:right w:w="0" w:type="dxa"/>
            </w:tcMar>
            <w:vAlign w:val="bottom"/>
          </w:tcPr>
          <w:p w14:paraId="18500695"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3 513</w:t>
            </w:r>
          </w:p>
        </w:tc>
        <w:tc>
          <w:tcPr>
            <w:tcW w:w="821" w:type="dxa"/>
            <w:tcBorders>
              <w:top w:val="single" w:sz="12" w:space="0" w:color="auto"/>
            </w:tcBorders>
            <w:shd w:val="clear" w:color="auto" w:fill="auto"/>
            <w:tcMar>
              <w:top w:w="0" w:type="dxa"/>
              <w:left w:w="0" w:type="dxa"/>
              <w:bottom w:w="0" w:type="dxa"/>
              <w:right w:w="0" w:type="dxa"/>
            </w:tcMar>
            <w:vAlign w:val="bottom"/>
          </w:tcPr>
          <w:p w14:paraId="51193887"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1 913</w:t>
            </w:r>
          </w:p>
        </w:tc>
        <w:tc>
          <w:tcPr>
            <w:tcW w:w="1020" w:type="dxa"/>
            <w:tcBorders>
              <w:top w:val="single" w:sz="12" w:space="0" w:color="auto"/>
            </w:tcBorders>
            <w:shd w:val="clear" w:color="auto" w:fill="auto"/>
            <w:tcMar>
              <w:top w:w="0" w:type="dxa"/>
              <w:left w:w="0" w:type="dxa"/>
              <w:bottom w:w="0" w:type="dxa"/>
              <w:right w:w="0" w:type="dxa"/>
            </w:tcMar>
            <w:vAlign w:val="bottom"/>
          </w:tcPr>
          <w:p w14:paraId="4F9A67F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5 426</w:t>
            </w:r>
          </w:p>
        </w:tc>
      </w:tr>
      <w:bookmarkEnd w:id="10"/>
      <w:tr w:rsidR="00653B7F" w:rsidRPr="00901851" w14:paraId="58CB1C63" w14:textId="77777777" w:rsidTr="00196533">
        <w:tc>
          <w:tcPr>
            <w:tcW w:w="426" w:type="dxa"/>
            <w:shd w:val="clear" w:color="auto" w:fill="auto"/>
            <w:tcMar>
              <w:top w:w="0" w:type="dxa"/>
              <w:left w:w="0" w:type="dxa"/>
              <w:bottom w:w="0" w:type="dxa"/>
              <w:right w:w="0" w:type="dxa"/>
            </w:tcMar>
          </w:tcPr>
          <w:p w14:paraId="10ED978A"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w:t>
            </w:r>
          </w:p>
        </w:tc>
        <w:tc>
          <w:tcPr>
            <w:tcW w:w="5386" w:type="dxa"/>
            <w:shd w:val="clear" w:color="auto" w:fill="auto"/>
            <w:tcMar>
              <w:top w:w="0" w:type="dxa"/>
              <w:left w:w="0" w:type="dxa"/>
              <w:bottom w:w="0" w:type="dxa"/>
              <w:right w:w="0" w:type="dxa"/>
            </w:tcMar>
            <w:vAlign w:val="bottom"/>
          </w:tcPr>
          <w:p w14:paraId="05DB3EB6"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w:t>
            </w:r>
            <w:r w:rsidR="002A5D78">
              <w:rPr>
                <w:noProof/>
                <w:sz w:val="18"/>
                <w:szCs w:val="18"/>
                <w:lang w:val="fr-FR"/>
              </w:rPr>
              <w:t>’</w:t>
            </w:r>
            <w:r w:rsidRPr="00901851">
              <w:rPr>
                <w:noProof/>
                <w:sz w:val="18"/>
                <w:szCs w:val="18"/>
                <w:lang w:val="fr-FR"/>
              </w:rPr>
              <w:t>Apanteos</w:t>
            </w:r>
          </w:p>
        </w:tc>
        <w:tc>
          <w:tcPr>
            <w:tcW w:w="851" w:type="dxa"/>
            <w:shd w:val="clear" w:color="auto" w:fill="auto"/>
            <w:tcMar>
              <w:top w:w="0" w:type="dxa"/>
              <w:left w:w="0" w:type="dxa"/>
              <w:bottom w:w="0" w:type="dxa"/>
              <w:right w:w="0" w:type="dxa"/>
            </w:tcMar>
            <w:vAlign w:val="bottom"/>
          </w:tcPr>
          <w:p w14:paraId="47017AB9"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2 682</w:t>
            </w:r>
          </w:p>
        </w:tc>
        <w:tc>
          <w:tcPr>
            <w:tcW w:w="821" w:type="dxa"/>
            <w:shd w:val="clear" w:color="auto" w:fill="auto"/>
            <w:tcMar>
              <w:top w:w="0" w:type="dxa"/>
              <w:left w:w="0" w:type="dxa"/>
              <w:bottom w:w="0" w:type="dxa"/>
              <w:right w:w="0" w:type="dxa"/>
            </w:tcMar>
            <w:vAlign w:val="bottom"/>
          </w:tcPr>
          <w:p w14:paraId="1ECDE44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2 021</w:t>
            </w:r>
          </w:p>
        </w:tc>
        <w:tc>
          <w:tcPr>
            <w:tcW w:w="1020" w:type="dxa"/>
            <w:shd w:val="clear" w:color="auto" w:fill="auto"/>
            <w:tcMar>
              <w:top w:w="0" w:type="dxa"/>
              <w:left w:w="0" w:type="dxa"/>
              <w:bottom w:w="0" w:type="dxa"/>
              <w:right w:w="0" w:type="dxa"/>
            </w:tcMar>
            <w:vAlign w:val="bottom"/>
          </w:tcPr>
          <w:p w14:paraId="5BBC105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4 703</w:t>
            </w:r>
          </w:p>
        </w:tc>
      </w:tr>
      <w:tr w:rsidR="00653B7F" w:rsidRPr="00901851" w14:paraId="66CBB32A" w14:textId="77777777" w:rsidTr="00196533">
        <w:tc>
          <w:tcPr>
            <w:tcW w:w="426" w:type="dxa"/>
            <w:shd w:val="clear" w:color="auto" w:fill="auto"/>
            <w:tcMar>
              <w:top w:w="0" w:type="dxa"/>
              <w:left w:w="0" w:type="dxa"/>
              <w:bottom w:w="0" w:type="dxa"/>
              <w:right w:w="0" w:type="dxa"/>
            </w:tcMar>
          </w:tcPr>
          <w:p w14:paraId="030CF2D0"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lastRenderedPageBreak/>
              <w:t>3</w:t>
            </w:r>
          </w:p>
        </w:tc>
        <w:tc>
          <w:tcPr>
            <w:tcW w:w="5386" w:type="dxa"/>
            <w:shd w:val="clear" w:color="auto" w:fill="auto"/>
            <w:tcMar>
              <w:top w:w="0" w:type="dxa"/>
              <w:left w:w="0" w:type="dxa"/>
              <w:bottom w:w="0" w:type="dxa"/>
              <w:right w:w="0" w:type="dxa"/>
            </w:tcMar>
            <w:vAlign w:val="bottom"/>
          </w:tcPr>
          <w:p w14:paraId="22CBB7CF"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de Ciudad Barrios</w:t>
            </w:r>
          </w:p>
        </w:tc>
        <w:tc>
          <w:tcPr>
            <w:tcW w:w="851" w:type="dxa"/>
            <w:shd w:val="clear" w:color="auto" w:fill="auto"/>
            <w:tcMar>
              <w:top w:w="0" w:type="dxa"/>
              <w:left w:w="0" w:type="dxa"/>
              <w:bottom w:w="0" w:type="dxa"/>
              <w:right w:w="0" w:type="dxa"/>
            </w:tcMar>
            <w:vAlign w:val="bottom"/>
          </w:tcPr>
          <w:p w14:paraId="7C57340C"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1 901</w:t>
            </w:r>
          </w:p>
        </w:tc>
        <w:tc>
          <w:tcPr>
            <w:tcW w:w="821" w:type="dxa"/>
            <w:shd w:val="clear" w:color="auto" w:fill="auto"/>
            <w:tcMar>
              <w:top w:w="0" w:type="dxa"/>
              <w:left w:w="0" w:type="dxa"/>
              <w:bottom w:w="0" w:type="dxa"/>
              <w:right w:w="0" w:type="dxa"/>
            </w:tcMar>
            <w:vAlign w:val="bottom"/>
          </w:tcPr>
          <w:p w14:paraId="3874BBE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1 347</w:t>
            </w:r>
          </w:p>
        </w:tc>
        <w:tc>
          <w:tcPr>
            <w:tcW w:w="1020" w:type="dxa"/>
            <w:shd w:val="clear" w:color="auto" w:fill="auto"/>
            <w:tcMar>
              <w:top w:w="0" w:type="dxa"/>
              <w:left w:w="0" w:type="dxa"/>
              <w:bottom w:w="0" w:type="dxa"/>
              <w:right w:w="0" w:type="dxa"/>
            </w:tcMar>
            <w:vAlign w:val="bottom"/>
          </w:tcPr>
          <w:p w14:paraId="7158629A"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3 248</w:t>
            </w:r>
          </w:p>
        </w:tc>
      </w:tr>
      <w:tr w:rsidR="00653B7F" w:rsidRPr="00901851" w14:paraId="2A753B03" w14:textId="77777777" w:rsidTr="00196533">
        <w:tc>
          <w:tcPr>
            <w:tcW w:w="426" w:type="dxa"/>
            <w:shd w:val="clear" w:color="auto" w:fill="auto"/>
            <w:tcMar>
              <w:top w:w="0" w:type="dxa"/>
              <w:left w:w="0" w:type="dxa"/>
              <w:bottom w:w="0" w:type="dxa"/>
              <w:right w:w="0" w:type="dxa"/>
            </w:tcMar>
          </w:tcPr>
          <w:p w14:paraId="2FA550F6"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4</w:t>
            </w:r>
          </w:p>
        </w:tc>
        <w:tc>
          <w:tcPr>
            <w:tcW w:w="5386" w:type="dxa"/>
            <w:shd w:val="clear" w:color="auto" w:fill="auto"/>
            <w:tcMar>
              <w:top w:w="0" w:type="dxa"/>
              <w:left w:w="0" w:type="dxa"/>
              <w:bottom w:w="0" w:type="dxa"/>
              <w:right w:w="0" w:type="dxa"/>
            </w:tcMar>
            <w:vAlign w:val="bottom"/>
          </w:tcPr>
          <w:p w14:paraId="741FCD1F"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pénitentiaire d</w:t>
            </w:r>
            <w:r w:rsidR="002A5D78">
              <w:rPr>
                <w:noProof/>
                <w:sz w:val="18"/>
                <w:szCs w:val="18"/>
                <w:lang w:val="fr-FR"/>
              </w:rPr>
              <w:t>’</w:t>
            </w:r>
            <w:r w:rsidRPr="00901851">
              <w:rPr>
                <w:noProof/>
                <w:sz w:val="18"/>
                <w:szCs w:val="18"/>
                <w:lang w:val="fr-FR"/>
              </w:rPr>
              <w:t>Izalco, phase III</w:t>
            </w:r>
          </w:p>
        </w:tc>
        <w:tc>
          <w:tcPr>
            <w:tcW w:w="851" w:type="dxa"/>
            <w:shd w:val="clear" w:color="auto" w:fill="auto"/>
            <w:tcMar>
              <w:top w:w="0" w:type="dxa"/>
              <w:left w:w="0" w:type="dxa"/>
              <w:bottom w:w="0" w:type="dxa"/>
              <w:right w:w="0" w:type="dxa"/>
            </w:tcMar>
            <w:vAlign w:val="bottom"/>
          </w:tcPr>
          <w:p w14:paraId="030D23B7"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2 251</w:t>
            </w:r>
          </w:p>
        </w:tc>
        <w:tc>
          <w:tcPr>
            <w:tcW w:w="821" w:type="dxa"/>
            <w:shd w:val="clear" w:color="auto" w:fill="auto"/>
            <w:tcMar>
              <w:top w:w="0" w:type="dxa"/>
              <w:left w:w="0" w:type="dxa"/>
              <w:bottom w:w="0" w:type="dxa"/>
              <w:right w:w="0" w:type="dxa"/>
            </w:tcMar>
            <w:vAlign w:val="bottom"/>
          </w:tcPr>
          <w:p w14:paraId="2A1FC3E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391</w:t>
            </w:r>
          </w:p>
        </w:tc>
        <w:tc>
          <w:tcPr>
            <w:tcW w:w="1020" w:type="dxa"/>
            <w:shd w:val="clear" w:color="auto" w:fill="auto"/>
            <w:tcMar>
              <w:top w:w="0" w:type="dxa"/>
              <w:left w:w="0" w:type="dxa"/>
              <w:bottom w:w="0" w:type="dxa"/>
              <w:right w:w="0" w:type="dxa"/>
            </w:tcMar>
            <w:vAlign w:val="bottom"/>
          </w:tcPr>
          <w:p w14:paraId="1FAC2787"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2 642</w:t>
            </w:r>
          </w:p>
        </w:tc>
      </w:tr>
      <w:tr w:rsidR="00653B7F" w:rsidRPr="00901851" w14:paraId="1D531B47" w14:textId="77777777" w:rsidTr="00196533">
        <w:tc>
          <w:tcPr>
            <w:tcW w:w="426" w:type="dxa"/>
            <w:shd w:val="clear" w:color="auto" w:fill="auto"/>
            <w:tcMar>
              <w:top w:w="0" w:type="dxa"/>
              <w:left w:w="0" w:type="dxa"/>
              <w:bottom w:w="0" w:type="dxa"/>
              <w:right w:w="0" w:type="dxa"/>
            </w:tcMar>
          </w:tcPr>
          <w:p w14:paraId="6E65BB2D"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5</w:t>
            </w:r>
          </w:p>
        </w:tc>
        <w:tc>
          <w:tcPr>
            <w:tcW w:w="5386" w:type="dxa"/>
            <w:shd w:val="clear" w:color="auto" w:fill="auto"/>
            <w:tcMar>
              <w:top w:w="0" w:type="dxa"/>
              <w:left w:w="0" w:type="dxa"/>
              <w:bottom w:w="0" w:type="dxa"/>
              <w:right w:w="0" w:type="dxa"/>
            </w:tcMar>
            <w:vAlign w:val="bottom"/>
          </w:tcPr>
          <w:p w14:paraId="4FCAAC6D"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w:t>
            </w:r>
            <w:r w:rsidR="002A5D78">
              <w:rPr>
                <w:noProof/>
                <w:sz w:val="18"/>
                <w:szCs w:val="18"/>
                <w:lang w:val="fr-FR"/>
              </w:rPr>
              <w:t>’</w:t>
            </w:r>
            <w:r w:rsidRPr="00901851">
              <w:rPr>
                <w:noProof/>
                <w:sz w:val="18"/>
                <w:szCs w:val="18"/>
                <w:lang w:val="fr-FR"/>
              </w:rPr>
              <w:t>Izalco</w:t>
            </w:r>
          </w:p>
        </w:tc>
        <w:tc>
          <w:tcPr>
            <w:tcW w:w="851" w:type="dxa"/>
            <w:shd w:val="clear" w:color="auto" w:fill="auto"/>
            <w:tcMar>
              <w:top w:w="0" w:type="dxa"/>
              <w:left w:w="0" w:type="dxa"/>
              <w:bottom w:w="0" w:type="dxa"/>
              <w:right w:w="0" w:type="dxa"/>
            </w:tcMar>
            <w:vAlign w:val="bottom"/>
          </w:tcPr>
          <w:p w14:paraId="2D45ADD6"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1 213</w:t>
            </w:r>
          </w:p>
        </w:tc>
        <w:tc>
          <w:tcPr>
            <w:tcW w:w="821" w:type="dxa"/>
            <w:shd w:val="clear" w:color="auto" w:fill="auto"/>
            <w:tcMar>
              <w:top w:w="0" w:type="dxa"/>
              <w:left w:w="0" w:type="dxa"/>
              <w:bottom w:w="0" w:type="dxa"/>
              <w:right w:w="0" w:type="dxa"/>
            </w:tcMar>
            <w:vAlign w:val="bottom"/>
          </w:tcPr>
          <w:p w14:paraId="652AB538"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1 327</w:t>
            </w:r>
          </w:p>
        </w:tc>
        <w:tc>
          <w:tcPr>
            <w:tcW w:w="1020" w:type="dxa"/>
            <w:shd w:val="clear" w:color="auto" w:fill="auto"/>
            <w:tcMar>
              <w:top w:w="0" w:type="dxa"/>
              <w:left w:w="0" w:type="dxa"/>
              <w:bottom w:w="0" w:type="dxa"/>
              <w:right w:w="0" w:type="dxa"/>
            </w:tcMar>
            <w:vAlign w:val="bottom"/>
          </w:tcPr>
          <w:p w14:paraId="3277145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2 540</w:t>
            </w:r>
          </w:p>
        </w:tc>
      </w:tr>
      <w:tr w:rsidR="00653B7F" w:rsidRPr="00901851" w14:paraId="727D8377" w14:textId="77777777" w:rsidTr="00196533">
        <w:tc>
          <w:tcPr>
            <w:tcW w:w="426" w:type="dxa"/>
            <w:shd w:val="clear" w:color="auto" w:fill="auto"/>
            <w:tcMar>
              <w:top w:w="0" w:type="dxa"/>
              <w:left w:w="0" w:type="dxa"/>
              <w:bottom w:w="0" w:type="dxa"/>
              <w:right w:w="0" w:type="dxa"/>
            </w:tcMar>
          </w:tcPr>
          <w:p w14:paraId="184A40F2"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6</w:t>
            </w:r>
          </w:p>
        </w:tc>
        <w:tc>
          <w:tcPr>
            <w:tcW w:w="5386" w:type="dxa"/>
            <w:shd w:val="clear" w:color="auto" w:fill="auto"/>
            <w:tcMar>
              <w:top w:w="0" w:type="dxa"/>
              <w:left w:w="0" w:type="dxa"/>
              <w:bottom w:w="0" w:type="dxa"/>
              <w:right w:w="0" w:type="dxa"/>
            </w:tcMar>
            <w:vAlign w:val="bottom"/>
          </w:tcPr>
          <w:p w14:paraId="73AA48B2"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w:t>
            </w:r>
            <w:r w:rsidR="002A5D78">
              <w:rPr>
                <w:noProof/>
                <w:sz w:val="18"/>
                <w:szCs w:val="18"/>
                <w:lang w:val="fr-FR"/>
              </w:rPr>
              <w:t>’</w:t>
            </w:r>
            <w:r w:rsidRPr="00901851">
              <w:rPr>
                <w:noProof/>
                <w:sz w:val="18"/>
                <w:szCs w:val="18"/>
                <w:lang w:val="fr-FR"/>
              </w:rPr>
              <w:t>Ilopango</w:t>
            </w:r>
          </w:p>
        </w:tc>
        <w:tc>
          <w:tcPr>
            <w:tcW w:w="851" w:type="dxa"/>
            <w:shd w:val="clear" w:color="auto" w:fill="auto"/>
            <w:tcMar>
              <w:top w:w="0" w:type="dxa"/>
              <w:left w:w="0" w:type="dxa"/>
              <w:bottom w:w="0" w:type="dxa"/>
              <w:right w:w="0" w:type="dxa"/>
            </w:tcMar>
            <w:vAlign w:val="bottom"/>
          </w:tcPr>
          <w:p w14:paraId="66B3CB2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1 112</w:t>
            </w:r>
          </w:p>
        </w:tc>
        <w:tc>
          <w:tcPr>
            <w:tcW w:w="821" w:type="dxa"/>
            <w:shd w:val="clear" w:color="auto" w:fill="auto"/>
            <w:tcMar>
              <w:top w:w="0" w:type="dxa"/>
              <w:left w:w="0" w:type="dxa"/>
              <w:bottom w:w="0" w:type="dxa"/>
              <w:right w:w="0" w:type="dxa"/>
            </w:tcMar>
            <w:vAlign w:val="bottom"/>
          </w:tcPr>
          <w:p w14:paraId="1A846B36"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1 117</w:t>
            </w:r>
          </w:p>
        </w:tc>
        <w:tc>
          <w:tcPr>
            <w:tcW w:w="1020" w:type="dxa"/>
            <w:shd w:val="clear" w:color="auto" w:fill="auto"/>
            <w:tcMar>
              <w:top w:w="0" w:type="dxa"/>
              <w:left w:w="0" w:type="dxa"/>
              <w:bottom w:w="0" w:type="dxa"/>
              <w:right w:w="0" w:type="dxa"/>
            </w:tcMar>
            <w:vAlign w:val="bottom"/>
          </w:tcPr>
          <w:p w14:paraId="6511AF4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2 229</w:t>
            </w:r>
          </w:p>
        </w:tc>
      </w:tr>
      <w:tr w:rsidR="00653B7F" w:rsidRPr="00901851" w14:paraId="445BD3CF" w14:textId="77777777" w:rsidTr="00196533">
        <w:tc>
          <w:tcPr>
            <w:tcW w:w="426" w:type="dxa"/>
            <w:shd w:val="clear" w:color="auto" w:fill="auto"/>
            <w:tcMar>
              <w:top w:w="0" w:type="dxa"/>
              <w:left w:w="0" w:type="dxa"/>
              <w:bottom w:w="0" w:type="dxa"/>
              <w:right w:w="0" w:type="dxa"/>
            </w:tcMar>
          </w:tcPr>
          <w:p w14:paraId="54295C2C"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7</w:t>
            </w:r>
          </w:p>
        </w:tc>
        <w:tc>
          <w:tcPr>
            <w:tcW w:w="5386" w:type="dxa"/>
            <w:shd w:val="clear" w:color="auto" w:fill="auto"/>
            <w:tcMar>
              <w:top w:w="0" w:type="dxa"/>
              <w:left w:w="0" w:type="dxa"/>
              <w:bottom w:w="0" w:type="dxa"/>
              <w:right w:w="0" w:type="dxa"/>
            </w:tcMar>
            <w:vAlign w:val="bottom"/>
          </w:tcPr>
          <w:p w14:paraId="51C1EC35"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de Quezaltepeque</w:t>
            </w:r>
          </w:p>
        </w:tc>
        <w:tc>
          <w:tcPr>
            <w:tcW w:w="851" w:type="dxa"/>
            <w:shd w:val="clear" w:color="auto" w:fill="auto"/>
            <w:tcMar>
              <w:top w:w="0" w:type="dxa"/>
              <w:left w:w="0" w:type="dxa"/>
              <w:bottom w:w="0" w:type="dxa"/>
              <w:right w:w="0" w:type="dxa"/>
            </w:tcMar>
            <w:vAlign w:val="bottom"/>
          </w:tcPr>
          <w:p w14:paraId="178FA07F"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1 451</w:t>
            </w:r>
          </w:p>
        </w:tc>
        <w:tc>
          <w:tcPr>
            <w:tcW w:w="821" w:type="dxa"/>
            <w:shd w:val="clear" w:color="auto" w:fill="auto"/>
            <w:tcMar>
              <w:top w:w="0" w:type="dxa"/>
              <w:left w:w="0" w:type="dxa"/>
              <w:bottom w:w="0" w:type="dxa"/>
              <w:right w:w="0" w:type="dxa"/>
            </w:tcMar>
            <w:vAlign w:val="bottom"/>
          </w:tcPr>
          <w:p w14:paraId="7C0CE98C"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534</w:t>
            </w:r>
          </w:p>
        </w:tc>
        <w:tc>
          <w:tcPr>
            <w:tcW w:w="1020" w:type="dxa"/>
            <w:shd w:val="clear" w:color="auto" w:fill="auto"/>
            <w:tcMar>
              <w:top w:w="0" w:type="dxa"/>
              <w:left w:w="0" w:type="dxa"/>
              <w:bottom w:w="0" w:type="dxa"/>
              <w:right w:w="0" w:type="dxa"/>
            </w:tcMar>
            <w:vAlign w:val="bottom"/>
          </w:tcPr>
          <w:p w14:paraId="16688FA8"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1 985</w:t>
            </w:r>
          </w:p>
        </w:tc>
      </w:tr>
      <w:tr w:rsidR="00653B7F" w:rsidRPr="00901851" w14:paraId="5B81508F" w14:textId="77777777" w:rsidTr="00196533">
        <w:tc>
          <w:tcPr>
            <w:tcW w:w="426" w:type="dxa"/>
            <w:shd w:val="clear" w:color="auto" w:fill="auto"/>
            <w:tcMar>
              <w:top w:w="0" w:type="dxa"/>
              <w:left w:w="0" w:type="dxa"/>
              <w:bottom w:w="0" w:type="dxa"/>
              <w:right w:w="0" w:type="dxa"/>
            </w:tcMar>
          </w:tcPr>
          <w:p w14:paraId="11D97362"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8</w:t>
            </w:r>
          </w:p>
        </w:tc>
        <w:tc>
          <w:tcPr>
            <w:tcW w:w="5386" w:type="dxa"/>
            <w:shd w:val="clear" w:color="auto" w:fill="auto"/>
            <w:tcMar>
              <w:top w:w="0" w:type="dxa"/>
              <w:left w:w="0" w:type="dxa"/>
              <w:bottom w:w="0" w:type="dxa"/>
              <w:right w:w="0" w:type="dxa"/>
            </w:tcMar>
            <w:vAlign w:val="bottom"/>
          </w:tcPr>
          <w:p w14:paraId="5E2C3F81"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de mineurs La Esperanza</w:t>
            </w:r>
          </w:p>
        </w:tc>
        <w:tc>
          <w:tcPr>
            <w:tcW w:w="851" w:type="dxa"/>
            <w:shd w:val="clear" w:color="auto" w:fill="auto"/>
            <w:tcMar>
              <w:top w:w="0" w:type="dxa"/>
              <w:left w:w="0" w:type="dxa"/>
              <w:bottom w:w="0" w:type="dxa"/>
              <w:right w:w="0" w:type="dxa"/>
            </w:tcMar>
            <w:vAlign w:val="bottom"/>
          </w:tcPr>
          <w:p w14:paraId="628D2DF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1 957</w:t>
            </w:r>
          </w:p>
        </w:tc>
        <w:tc>
          <w:tcPr>
            <w:tcW w:w="821" w:type="dxa"/>
            <w:shd w:val="clear" w:color="auto" w:fill="auto"/>
            <w:tcMar>
              <w:top w:w="0" w:type="dxa"/>
              <w:left w:w="0" w:type="dxa"/>
              <w:bottom w:w="0" w:type="dxa"/>
              <w:right w:w="0" w:type="dxa"/>
            </w:tcMar>
            <w:vAlign w:val="bottom"/>
          </w:tcPr>
          <w:p w14:paraId="5D28A74E"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0</w:t>
            </w:r>
          </w:p>
        </w:tc>
        <w:tc>
          <w:tcPr>
            <w:tcW w:w="1020" w:type="dxa"/>
            <w:shd w:val="clear" w:color="auto" w:fill="auto"/>
            <w:tcMar>
              <w:top w:w="0" w:type="dxa"/>
              <w:left w:w="0" w:type="dxa"/>
              <w:bottom w:w="0" w:type="dxa"/>
              <w:right w:w="0" w:type="dxa"/>
            </w:tcMar>
            <w:vAlign w:val="bottom"/>
          </w:tcPr>
          <w:p w14:paraId="7BA747F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1 957</w:t>
            </w:r>
          </w:p>
        </w:tc>
      </w:tr>
      <w:tr w:rsidR="00653B7F" w:rsidRPr="00901851" w14:paraId="44553BB4" w14:textId="77777777" w:rsidTr="00196533">
        <w:tc>
          <w:tcPr>
            <w:tcW w:w="426" w:type="dxa"/>
            <w:shd w:val="clear" w:color="auto" w:fill="auto"/>
            <w:tcMar>
              <w:top w:w="0" w:type="dxa"/>
              <w:left w:w="0" w:type="dxa"/>
              <w:bottom w:w="0" w:type="dxa"/>
              <w:right w:w="0" w:type="dxa"/>
            </w:tcMar>
          </w:tcPr>
          <w:p w14:paraId="0AFC58D7"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9</w:t>
            </w:r>
          </w:p>
        </w:tc>
        <w:tc>
          <w:tcPr>
            <w:tcW w:w="5386" w:type="dxa"/>
            <w:shd w:val="clear" w:color="auto" w:fill="auto"/>
            <w:tcMar>
              <w:top w:w="0" w:type="dxa"/>
              <w:left w:w="0" w:type="dxa"/>
              <w:bottom w:w="0" w:type="dxa"/>
              <w:right w:w="0" w:type="dxa"/>
            </w:tcMar>
            <w:vAlign w:val="bottom"/>
          </w:tcPr>
          <w:p w14:paraId="0DE8F03F"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de Chalatenango</w:t>
            </w:r>
          </w:p>
        </w:tc>
        <w:tc>
          <w:tcPr>
            <w:tcW w:w="851" w:type="dxa"/>
            <w:shd w:val="clear" w:color="auto" w:fill="auto"/>
            <w:tcMar>
              <w:top w:w="0" w:type="dxa"/>
              <w:left w:w="0" w:type="dxa"/>
              <w:bottom w:w="0" w:type="dxa"/>
              <w:right w:w="0" w:type="dxa"/>
            </w:tcMar>
            <w:vAlign w:val="bottom"/>
          </w:tcPr>
          <w:p w14:paraId="3C5566F2"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1 320</w:t>
            </w:r>
          </w:p>
        </w:tc>
        <w:tc>
          <w:tcPr>
            <w:tcW w:w="821" w:type="dxa"/>
            <w:shd w:val="clear" w:color="auto" w:fill="auto"/>
            <w:tcMar>
              <w:top w:w="0" w:type="dxa"/>
              <w:left w:w="0" w:type="dxa"/>
              <w:bottom w:w="0" w:type="dxa"/>
              <w:right w:w="0" w:type="dxa"/>
            </w:tcMar>
            <w:vAlign w:val="bottom"/>
          </w:tcPr>
          <w:p w14:paraId="335B256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382</w:t>
            </w:r>
          </w:p>
        </w:tc>
        <w:tc>
          <w:tcPr>
            <w:tcW w:w="1020" w:type="dxa"/>
            <w:shd w:val="clear" w:color="auto" w:fill="auto"/>
            <w:tcMar>
              <w:top w:w="0" w:type="dxa"/>
              <w:left w:w="0" w:type="dxa"/>
              <w:bottom w:w="0" w:type="dxa"/>
              <w:right w:w="0" w:type="dxa"/>
            </w:tcMar>
            <w:vAlign w:val="bottom"/>
          </w:tcPr>
          <w:p w14:paraId="4AB607C7"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1 702</w:t>
            </w:r>
          </w:p>
        </w:tc>
      </w:tr>
      <w:tr w:rsidR="00653B7F" w:rsidRPr="00901851" w14:paraId="13D33DE2" w14:textId="77777777" w:rsidTr="00196533">
        <w:tc>
          <w:tcPr>
            <w:tcW w:w="426" w:type="dxa"/>
            <w:shd w:val="clear" w:color="auto" w:fill="auto"/>
            <w:tcMar>
              <w:top w:w="0" w:type="dxa"/>
              <w:left w:w="0" w:type="dxa"/>
              <w:bottom w:w="0" w:type="dxa"/>
              <w:right w:w="0" w:type="dxa"/>
            </w:tcMar>
          </w:tcPr>
          <w:p w14:paraId="14E03D23"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10</w:t>
            </w:r>
          </w:p>
        </w:tc>
        <w:tc>
          <w:tcPr>
            <w:tcW w:w="5386" w:type="dxa"/>
            <w:shd w:val="clear" w:color="auto" w:fill="auto"/>
            <w:tcMar>
              <w:top w:w="0" w:type="dxa"/>
              <w:left w:w="0" w:type="dxa"/>
              <w:bottom w:w="0" w:type="dxa"/>
              <w:right w:w="0" w:type="dxa"/>
            </w:tcMar>
            <w:vAlign w:val="bottom"/>
          </w:tcPr>
          <w:p w14:paraId="79962BE5"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sécurité de San Francisco Gotera</w:t>
            </w:r>
          </w:p>
        </w:tc>
        <w:tc>
          <w:tcPr>
            <w:tcW w:w="851" w:type="dxa"/>
            <w:shd w:val="clear" w:color="auto" w:fill="auto"/>
            <w:tcMar>
              <w:top w:w="0" w:type="dxa"/>
              <w:left w:w="0" w:type="dxa"/>
              <w:bottom w:w="0" w:type="dxa"/>
              <w:right w:w="0" w:type="dxa"/>
            </w:tcMar>
            <w:vAlign w:val="bottom"/>
          </w:tcPr>
          <w:p w14:paraId="111EFBA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1 297</w:t>
            </w:r>
          </w:p>
        </w:tc>
        <w:tc>
          <w:tcPr>
            <w:tcW w:w="821" w:type="dxa"/>
            <w:shd w:val="clear" w:color="auto" w:fill="auto"/>
            <w:tcMar>
              <w:top w:w="0" w:type="dxa"/>
              <w:left w:w="0" w:type="dxa"/>
              <w:bottom w:w="0" w:type="dxa"/>
              <w:right w:w="0" w:type="dxa"/>
            </w:tcMar>
            <w:vAlign w:val="bottom"/>
          </w:tcPr>
          <w:p w14:paraId="6CA85109"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329</w:t>
            </w:r>
          </w:p>
        </w:tc>
        <w:tc>
          <w:tcPr>
            <w:tcW w:w="1020" w:type="dxa"/>
            <w:shd w:val="clear" w:color="auto" w:fill="auto"/>
            <w:tcMar>
              <w:top w:w="0" w:type="dxa"/>
              <w:left w:w="0" w:type="dxa"/>
              <w:bottom w:w="0" w:type="dxa"/>
              <w:right w:w="0" w:type="dxa"/>
            </w:tcMar>
            <w:vAlign w:val="bottom"/>
          </w:tcPr>
          <w:p w14:paraId="1039C8A6"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1 626</w:t>
            </w:r>
          </w:p>
        </w:tc>
      </w:tr>
      <w:tr w:rsidR="00653B7F" w:rsidRPr="00901851" w14:paraId="2133631B" w14:textId="77777777" w:rsidTr="00196533">
        <w:tc>
          <w:tcPr>
            <w:tcW w:w="426" w:type="dxa"/>
            <w:shd w:val="clear" w:color="auto" w:fill="auto"/>
            <w:tcMar>
              <w:top w:w="0" w:type="dxa"/>
              <w:left w:w="0" w:type="dxa"/>
              <w:bottom w:w="0" w:type="dxa"/>
              <w:right w:w="0" w:type="dxa"/>
            </w:tcMar>
          </w:tcPr>
          <w:p w14:paraId="29F9B5B5"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11</w:t>
            </w:r>
          </w:p>
        </w:tc>
        <w:tc>
          <w:tcPr>
            <w:tcW w:w="5386" w:type="dxa"/>
            <w:shd w:val="clear" w:color="auto" w:fill="auto"/>
            <w:tcMar>
              <w:top w:w="0" w:type="dxa"/>
              <w:left w:w="0" w:type="dxa"/>
              <w:bottom w:w="0" w:type="dxa"/>
              <w:right w:w="0" w:type="dxa"/>
            </w:tcMar>
            <w:vAlign w:val="bottom"/>
          </w:tcPr>
          <w:p w14:paraId="6BBCB9D7"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w:t>
            </w:r>
            <w:r w:rsidR="002A5D78">
              <w:rPr>
                <w:noProof/>
                <w:sz w:val="18"/>
                <w:szCs w:val="18"/>
                <w:lang w:val="fr-FR"/>
              </w:rPr>
              <w:t>’</w:t>
            </w:r>
            <w:r w:rsidRPr="00901851">
              <w:rPr>
                <w:noProof/>
                <w:sz w:val="18"/>
                <w:szCs w:val="18"/>
                <w:lang w:val="fr-FR"/>
              </w:rPr>
              <w:t>Izalco, phase II</w:t>
            </w:r>
          </w:p>
        </w:tc>
        <w:tc>
          <w:tcPr>
            <w:tcW w:w="851" w:type="dxa"/>
            <w:shd w:val="clear" w:color="auto" w:fill="auto"/>
            <w:tcMar>
              <w:top w:w="0" w:type="dxa"/>
              <w:left w:w="0" w:type="dxa"/>
              <w:bottom w:w="0" w:type="dxa"/>
              <w:right w:w="0" w:type="dxa"/>
            </w:tcMar>
            <w:vAlign w:val="bottom"/>
          </w:tcPr>
          <w:p w14:paraId="42326C2F"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1 270</w:t>
            </w:r>
          </w:p>
        </w:tc>
        <w:tc>
          <w:tcPr>
            <w:tcW w:w="821" w:type="dxa"/>
            <w:shd w:val="clear" w:color="auto" w:fill="auto"/>
            <w:tcMar>
              <w:top w:w="0" w:type="dxa"/>
              <w:left w:w="0" w:type="dxa"/>
              <w:bottom w:w="0" w:type="dxa"/>
              <w:right w:w="0" w:type="dxa"/>
            </w:tcMar>
            <w:vAlign w:val="bottom"/>
          </w:tcPr>
          <w:p w14:paraId="236D235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332</w:t>
            </w:r>
          </w:p>
        </w:tc>
        <w:tc>
          <w:tcPr>
            <w:tcW w:w="1020" w:type="dxa"/>
            <w:shd w:val="clear" w:color="auto" w:fill="auto"/>
            <w:tcMar>
              <w:top w:w="0" w:type="dxa"/>
              <w:left w:w="0" w:type="dxa"/>
              <w:bottom w:w="0" w:type="dxa"/>
              <w:right w:w="0" w:type="dxa"/>
            </w:tcMar>
            <w:vAlign w:val="bottom"/>
          </w:tcPr>
          <w:p w14:paraId="2CF07E8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1 602</w:t>
            </w:r>
          </w:p>
        </w:tc>
      </w:tr>
      <w:tr w:rsidR="00653B7F" w:rsidRPr="00901851" w14:paraId="1C68A11F" w14:textId="77777777" w:rsidTr="00196533">
        <w:tc>
          <w:tcPr>
            <w:tcW w:w="426" w:type="dxa"/>
            <w:shd w:val="clear" w:color="auto" w:fill="auto"/>
            <w:tcMar>
              <w:top w:w="0" w:type="dxa"/>
              <w:left w:w="0" w:type="dxa"/>
              <w:bottom w:w="0" w:type="dxa"/>
              <w:right w:w="0" w:type="dxa"/>
            </w:tcMar>
          </w:tcPr>
          <w:p w14:paraId="4B6DB6A9"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12</w:t>
            </w:r>
          </w:p>
        </w:tc>
        <w:tc>
          <w:tcPr>
            <w:tcW w:w="5386" w:type="dxa"/>
            <w:shd w:val="clear" w:color="auto" w:fill="auto"/>
            <w:tcMar>
              <w:top w:w="0" w:type="dxa"/>
              <w:left w:w="0" w:type="dxa"/>
              <w:bottom w:w="0" w:type="dxa"/>
              <w:right w:w="0" w:type="dxa"/>
            </w:tcMar>
            <w:vAlign w:val="bottom"/>
          </w:tcPr>
          <w:p w14:paraId="4B053F8B"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de San Vicente</w:t>
            </w:r>
          </w:p>
        </w:tc>
        <w:tc>
          <w:tcPr>
            <w:tcW w:w="851" w:type="dxa"/>
            <w:shd w:val="clear" w:color="auto" w:fill="auto"/>
            <w:tcMar>
              <w:top w:w="0" w:type="dxa"/>
              <w:left w:w="0" w:type="dxa"/>
              <w:bottom w:w="0" w:type="dxa"/>
              <w:right w:w="0" w:type="dxa"/>
            </w:tcMar>
            <w:vAlign w:val="bottom"/>
          </w:tcPr>
          <w:p w14:paraId="2363A2A5"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881</w:t>
            </w:r>
          </w:p>
        </w:tc>
        <w:tc>
          <w:tcPr>
            <w:tcW w:w="821" w:type="dxa"/>
            <w:shd w:val="clear" w:color="auto" w:fill="auto"/>
            <w:tcMar>
              <w:top w:w="0" w:type="dxa"/>
              <w:left w:w="0" w:type="dxa"/>
              <w:bottom w:w="0" w:type="dxa"/>
              <w:right w:w="0" w:type="dxa"/>
            </w:tcMar>
            <w:vAlign w:val="bottom"/>
          </w:tcPr>
          <w:p w14:paraId="4063640A"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505</w:t>
            </w:r>
          </w:p>
        </w:tc>
        <w:tc>
          <w:tcPr>
            <w:tcW w:w="1020" w:type="dxa"/>
            <w:shd w:val="clear" w:color="auto" w:fill="auto"/>
            <w:tcMar>
              <w:top w:w="0" w:type="dxa"/>
              <w:left w:w="0" w:type="dxa"/>
              <w:bottom w:w="0" w:type="dxa"/>
              <w:right w:w="0" w:type="dxa"/>
            </w:tcMar>
            <w:vAlign w:val="bottom"/>
          </w:tcPr>
          <w:p w14:paraId="4001B424"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1 386</w:t>
            </w:r>
          </w:p>
        </w:tc>
      </w:tr>
      <w:tr w:rsidR="00653B7F" w:rsidRPr="00901851" w14:paraId="57DB2DB0" w14:textId="77777777" w:rsidTr="00196533">
        <w:tc>
          <w:tcPr>
            <w:tcW w:w="426" w:type="dxa"/>
            <w:shd w:val="clear" w:color="auto" w:fill="auto"/>
            <w:tcMar>
              <w:top w:w="0" w:type="dxa"/>
              <w:left w:w="0" w:type="dxa"/>
              <w:bottom w:w="0" w:type="dxa"/>
              <w:right w:w="0" w:type="dxa"/>
            </w:tcMar>
          </w:tcPr>
          <w:p w14:paraId="74F9E625"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13</w:t>
            </w:r>
          </w:p>
        </w:tc>
        <w:tc>
          <w:tcPr>
            <w:tcW w:w="5386" w:type="dxa"/>
            <w:shd w:val="clear" w:color="auto" w:fill="auto"/>
            <w:tcMar>
              <w:top w:w="0" w:type="dxa"/>
              <w:left w:w="0" w:type="dxa"/>
              <w:bottom w:w="0" w:type="dxa"/>
              <w:right w:w="0" w:type="dxa"/>
            </w:tcMar>
            <w:vAlign w:val="bottom"/>
          </w:tcPr>
          <w:p w14:paraId="31FF0903"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de mineurs de Santa Ana</w:t>
            </w:r>
          </w:p>
        </w:tc>
        <w:tc>
          <w:tcPr>
            <w:tcW w:w="851" w:type="dxa"/>
            <w:shd w:val="clear" w:color="auto" w:fill="auto"/>
            <w:tcMar>
              <w:top w:w="0" w:type="dxa"/>
              <w:left w:w="0" w:type="dxa"/>
              <w:bottom w:w="0" w:type="dxa"/>
              <w:right w:w="0" w:type="dxa"/>
            </w:tcMar>
            <w:vAlign w:val="bottom"/>
          </w:tcPr>
          <w:p w14:paraId="20097D67"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1 291</w:t>
            </w:r>
          </w:p>
        </w:tc>
        <w:tc>
          <w:tcPr>
            <w:tcW w:w="821" w:type="dxa"/>
            <w:shd w:val="clear" w:color="auto" w:fill="auto"/>
            <w:tcMar>
              <w:top w:w="0" w:type="dxa"/>
              <w:left w:w="0" w:type="dxa"/>
              <w:bottom w:w="0" w:type="dxa"/>
              <w:right w:w="0" w:type="dxa"/>
            </w:tcMar>
            <w:vAlign w:val="bottom"/>
          </w:tcPr>
          <w:p w14:paraId="271C8C92"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0</w:t>
            </w:r>
          </w:p>
        </w:tc>
        <w:tc>
          <w:tcPr>
            <w:tcW w:w="1020" w:type="dxa"/>
            <w:shd w:val="clear" w:color="auto" w:fill="auto"/>
            <w:tcMar>
              <w:top w:w="0" w:type="dxa"/>
              <w:left w:w="0" w:type="dxa"/>
              <w:bottom w:w="0" w:type="dxa"/>
              <w:right w:w="0" w:type="dxa"/>
            </w:tcMar>
            <w:vAlign w:val="bottom"/>
          </w:tcPr>
          <w:p w14:paraId="0D4980B4"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1 291</w:t>
            </w:r>
          </w:p>
        </w:tc>
      </w:tr>
      <w:tr w:rsidR="00653B7F" w:rsidRPr="00901851" w14:paraId="55E90BA0" w14:textId="77777777" w:rsidTr="00196533">
        <w:tc>
          <w:tcPr>
            <w:tcW w:w="426" w:type="dxa"/>
            <w:shd w:val="clear" w:color="auto" w:fill="auto"/>
            <w:tcMar>
              <w:top w:w="0" w:type="dxa"/>
              <w:left w:w="0" w:type="dxa"/>
              <w:bottom w:w="0" w:type="dxa"/>
              <w:right w:w="0" w:type="dxa"/>
            </w:tcMar>
          </w:tcPr>
          <w:p w14:paraId="0E74B0E7"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14</w:t>
            </w:r>
          </w:p>
        </w:tc>
        <w:tc>
          <w:tcPr>
            <w:tcW w:w="5386" w:type="dxa"/>
            <w:shd w:val="clear" w:color="auto" w:fill="auto"/>
            <w:tcMar>
              <w:top w:w="0" w:type="dxa"/>
              <w:left w:w="0" w:type="dxa"/>
              <w:bottom w:w="0" w:type="dxa"/>
              <w:right w:w="0" w:type="dxa"/>
            </w:tcMar>
            <w:vAlign w:val="bottom"/>
          </w:tcPr>
          <w:p w14:paraId="2DB339FA"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de Sonsonate</w:t>
            </w:r>
          </w:p>
        </w:tc>
        <w:tc>
          <w:tcPr>
            <w:tcW w:w="851" w:type="dxa"/>
            <w:shd w:val="clear" w:color="auto" w:fill="auto"/>
            <w:tcMar>
              <w:top w:w="0" w:type="dxa"/>
              <w:left w:w="0" w:type="dxa"/>
              <w:bottom w:w="0" w:type="dxa"/>
              <w:right w:w="0" w:type="dxa"/>
            </w:tcMar>
            <w:vAlign w:val="bottom"/>
          </w:tcPr>
          <w:p w14:paraId="4FC3FE2A"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943</w:t>
            </w:r>
          </w:p>
        </w:tc>
        <w:tc>
          <w:tcPr>
            <w:tcW w:w="821" w:type="dxa"/>
            <w:shd w:val="clear" w:color="auto" w:fill="auto"/>
            <w:tcMar>
              <w:top w:w="0" w:type="dxa"/>
              <w:left w:w="0" w:type="dxa"/>
              <w:bottom w:w="0" w:type="dxa"/>
              <w:right w:w="0" w:type="dxa"/>
            </w:tcMar>
            <w:vAlign w:val="bottom"/>
          </w:tcPr>
          <w:p w14:paraId="2CFA830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93</w:t>
            </w:r>
          </w:p>
        </w:tc>
        <w:tc>
          <w:tcPr>
            <w:tcW w:w="1020" w:type="dxa"/>
            <w:shd w:val="clear" w:color="auto" w:fill="auto"/>
            <w:tcMar>
              <w:top w:w="0" w:type="dxa"/>
              <w:left w:w="0" w:type="dxa"/>
              <w:bottom w:w="0" w:type="dxa"/>
              <w:right w:w="0" w:type="dxa"/>
            </w:tcMar>
            <w:vAlign w:val="bottom"/>
          </w:tcPr>
          <w:p w14:paraId="2180668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1 036</w:t>
            </w:r>
          </w:p>
        </w:tc>
      </w:tr>
      <w:tr w:rsidR="00653B7F" w:rsidRPr="00901851" w14:paraId="205890BB" w14:textId="77777777" w:rsidTr="00196533">
        <w:tc>
          <w:tcPr>
            <w:tcW w:w="426" w:type="dxa"/>
            <w:shd w:val="clear" w:color="auto" w:fill="auto"/>
            <w:tcMar>
              <w:top w:w="0" w:type="dxa"/>
              <w:left w:w="0" w:type="dxa"/>
              <w:bottom w:w="0" w:type="dxa"/>
              <w:right w:w="0" w:type="dxa"/>
            </w:tcMar>
          </w:tcPr>
          <w:p w14:paraId="686FCBC5"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15</w:t>
            </w:r>
          </w:p>
        </w:tc>
        <w:tc>
          <w:tcPr>
            <w:tcW w:w="5386" w:type="dxa"/>
            <w:shd w:val="clear" w:color="auto" w:fill="auto"/>
            <w:tcMar>
              <w:top w:w="0" w:type="dxa"/>
              <w:left w:w="0" w:type="dxa"/>
              <w:bottom w:w="0" w:type="dxa"/>
              <w:right w:w="0" w:type="dxa"/>
            </w:tcMar>
            <w:vAlign w:val="bottom"/>
          </w:tcPr>
          <w:p w14:paraId="23E92BD2"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w:t>
            </w:r>
            <w:r w:rsidR="002A5D78">
              <w:rPr>
                <w:noProof/>
                <w:sz w:val="18"/>
                <w:szCs w:val="18"/>
                <w:lang w:val="fr-FR"/>
              </w:rPr>
              <w:t>’</w:t>
            </w:r>
            <w:r w:rsidRPr="00901851">
              <w:rPr>
                <w:noProof/>
                <w:sz w:val="18"/>
                <w:szCs w:val="18"/>
                <w:lang w:val="fr-FR"/>
              </w:rPr>
              <w:t>exécution des peines d</w:t>
            </w:r>
            <w:r w:rsidR="002A5D78">
              <w:rPr>
                <w:noProof/>
                <w:sz w:val="18"/>
                <w:szCs w:val="18"/>
                <w:lang w:val="fr-FR"/>
              </w:rPr>
              <w:t>’</w:t>
            </w:r>
            <w:r w:rsidRPr="00901851">
              <w:rPr>
                <w:noProof/>
                <w:sz w:val="18"/>
                <w:szCs w:val="18"/>
                <w:lang w:val="fr-FR"/>
              </w:rPr>
              <w:t>Usulutan</w:t>
            </w:r>
          </w:p>
        </w:tc>
        <w:tc>
          <w:tcPr>
            <w:tcW w:w="851" w:type="dxa"/>
            <w:shd w:val="clear" w:color="auto" w:fill="auto"/>
            <w:tcMar>
              <w:top w:w="0" w:type="dxa"/>
              <w:left w:w="0" w:type="dxa"/>
              <w:bottom w:w="0" w:type="dxa"/>
              <w:right w:w="0" w:type="dxa"/>
            </w:tcMar>
            <w:vAlign w:val="bottom"/>
          </w:tcPr>
          <w:p w14:paraId="4342D64E"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689</w:t>
            </w:r>
          </w:p>
        </w:tc>
        <w:tc>
          <w:tcPr>
            <w:tcW w:w="821" w:type="dxa"/>
            <w:shd w:val="clear" w:color="auto" w:fill="auto"/>
            <w:tcMar>
              <w:top w:w="0" w:type="dxa"/>
              <w:left w:w="0" w:type="dxa"/>
              <w:bottom w:w="0" w:type="dxa"/>
              <w:right w:w="0" w:type="dxa"/>
            </w:tcMar>
            <w:vAlign w:val="bottom"/>
          </w:tcPr>
          <w:p w14:paraId="76243EF5"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271</w:t>
            </w:r>
          </w:p>
        </w:tc>
        <w:tc>
          <w:tcPr>
            <w:tcW w:w="1020" w:type="dxa"/>
            <w:shd w:val="clear" w:color="auto" w:fill="auto"/>
            <w:tcMar>
              <w:top w:w="0" w:type="dxa"/>
              <w:left w:w="0" w:type="dxa"/>
              <w:bottom w:w="0" w:type="dxa"/>
              <w:right w:w="0" w:type="dxa"/>
            </w:tcMar>
            <w:vAlign w:val="bottom"/>
          </w:tcPr>
          <w:p w14:paraId="679027E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960</w:t>
            </w:r>
          </w:p>
        </w:tc>
      </w:tr>
      <w:tr w:rsidR="00653B7F" w:rsidRPr="00901851" w14:paraId="10EEC119" w14:textId="77777777" w:rsidTr="00196533">
        <w:tc>
          <w:tcPr>
            <w:tcW w:w="426" w:type="dxa"/>
            <w:shd w:val="clear" w:color="auto" w:fill="auto"/>
            <w:tcMar>
              <w:top w:w="0" w:type="dxa"/>
              <w:left w:w="0" w:type="dxa"/>
              <w:bottom w:w="0" w:type="dxa"/>
              <w:right w:w="0" w:type="dxa"/>
            </w:tcMar>
          </w:tcPr>
          <w:p w14:paraId="00B5236A"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16</w:t>
            </w:r>
          </w:p>
        </w:tc>
        <w:tc>
          <w:tcPr>
            <w:tcW w:w="5386" w:type="dxa"/>
            <w:shd w:val="clear" w:color="auto" w:fill="auto"/>
            <w:tcMar>
              <w:top w:w="0" w:type="dxa"/>
              <w:left w:w="0" w:type="dxa"/>
              <w:bottom w:w="0" w:type="dxa"/>
              <w:right w:w="0" w:type="dxa"/>
            </w:tcMar>
            <w:vAlign w:val="bottom"/>
          </w:tcPr>
          <w:p w14:paraId="401C45F1"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pénitentiaire agricole de Zacatecoluca</w:t>
            </w:r>
          </w:p>
        </w:tc>
        <w:tc>
          <w:tcPr>
            <w:tcW w:w="851" w:type="dxa"/>
            <w:shd w:val="clear" w:color="auto" w:fill="auto"/>
            <w:tcMar>
              <w:top w:w="0" w:type="dxa"/>
              <w:left w:w="0" w:type="dxa"/>
              <w:bottom w:w="0" w:type="dxa"/>
              <w:right w:w="0" w:type="dxa"/>
            </w:tcMar>
            <w:vAlign w:val="bottom"/>
          </w:tcPr>
          <w:p w14:paraId="17B3FD61"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927</w:t>
            </w:r>
          </w:p>
        </w:tc>
        <w:tc>
          <w:tcPr>
            <w:tcW w:w="821" w:type="dxa"/>
            <w:shd w:val="clear" w:color="auto" w:fill="auto"/>
            <w:tcMar>
              <w:top w:w="0" w:type="dxa"/>
              <w:left w:w="0" w:type="dxa"/>
              <w:bottom w:w="0" w:type="dxa"/>
              <w:right w:w="0" w:type="dxa"/>
            </w:tcMar>
            <w:vAlign w:val="bottom"/>
          </w:tcPr>
          <w:p w14:paraId="6F0C3479"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0</w:t>
            </w:r>
          </w:p>
        </w:tc>
        <w:tc>
          <w:tcPr>
            <w:tcW w:w="1020" w:type="dxa"/>
            <w:shd w:val="clear" w:color="auto" w:fill="auto"/>
            <w:tcMar>
              <w:top w:w="0" w:type="dxa"/>
              <w:left w:w="0" w:type="dxa"/>
              <w:bottom w:w="0" w:type="dxa"/>
              <w:right w:w="0" w:type="dxa"/>
            </w:tcMar>
            <w:vAlign w:val="bottom"/>
          </w:tcPr>
          <w:p w14:paraId="4245F5A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927</w:t>
            </w:r>
          </w:p>
        </w:tc>
      </w:tr>
      <w:tr w:rsidR="00653B7F" w:rsidRPr="00901851" w14:paraId="04B17AD8" w14:textId="77777777" w:rsidTr="00196533">
        <w:tc>
          <w:tcPr>
            <w:tcW w:w="426" w:type="dxa"/>
            <w:shd w:val="clear" w:color="auto" w:fill="auto"/>
            <w:tcMar>
              <w:top w:w="0" w:type="dxa"/>
              <w:left w:w="0" w:type="dxa"/>
              <w:bottom w:w="0" w:type="dxa"/>
              <w:right w:w="0" w:type="dxa"/>
            </w:tcMar>
          </w:tcPr>
          <w:p w14:paraId="327287FE"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17</w:t>
            </w:r>
          </w:p>
        </w:tc>
        <w:tc>
          <w:tcPr>
            <w:tcW w:w="5386" w:type="dxa"/>
            <w:shd w:val="clear" w:color="auto" w:fill="auto"/>
            <w:tcMar>
              <w:top w:w="0" w:type="dxa"/>
              <w:left w:w="0" w:type="dxa"/>
              <w:bottom w:w="0" w:type="dxa"/>
              <w:right w:w="0" w:type="dxa"/>
            </w:tcMar>
            <w:vAlign w:val="bottom"/>
          </w:tcPr>
          <w:p w14:paraId="6ED7DFAE"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de San Miguel</w:t>
            </w:r>
          </w:p>
        </w:tc>
        <w:tc>
          <w:tcPr>
            <w:tcW w:w="851" w:type="dxa"/>
            <w:shd w:val="clear" w:color="auto" w:fill="auto"/>
            <w:tcMar>
              <w:top w:w="0" w:type="dxa"/>
              <w:left w:w="0" w:type="dxa"/>
              <w:bottom w:w="0" w:type="dxa"/>
              <w:right w:w="0" w:type="dxa"/>
            </w:tcMar>
            <w:vAlign w:val="bottom"/>
          </w:tcPr>
          <w:p w14:paraId="6AAD1031"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674</w:t>
            </w:r>
          </w:p>
        </w:tc>
        <w:tc>
          <w:tcPr>
            <w:tcW w:w="821" w:type="dxa"/>
            <w:shd w:val="clear" w:color="auto" w:fill="auto"/>
            <w:tcMar>
              <w:top w:w="0" w:type="dxa"/>
              <w:left w:w="0" w:type="dxa"/>
              <w:bottom w:w="0" w:type="dxa"/>
              <w:right w:w="0" w:type="dxa"/>
            </w:tcMar>
            <w:vAlign w:val="bottom"/>
          </w:tcPr>
          <w:p w14:paraId="0C531CE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210</w:t>
            </w:r>
          </w:p>
        </w:tc>
        <w:tc>
          <w:tcPr>
            <w:tcW w:w="1020" w:type="dxa"/>
            <w:shd w:val="clear" w:color="auto" w:fill="auto"/>
            <w:tcMar>
              <w:top w:w="0" w:type="dxa"/>
              <w:left w:w="0" w:type="dxa"/>
              <w:bottom w:w="0" w:type="dxa"/>
              <w:right w:w="0" w:type="dxa"/>
            </w:tcMar>
            <w:vAlign w:val="bottom"/>
          </w:tcPr>
          <w:p w14:paraId="6B89132C"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884</w:t>
            </w:r>
          </w:p>
        </w:tc>
      </w:tr>
      <w:tr w:rsidR="00653B7F" w:rsidRPr="00901851" w14:paraId="12222DE2" w14:textId="77777777" w:rsidTr="00196533">
        <w:tc>
          <w:tcPr>
            <w:tcW w:w="426" w:type="dxa"/>
            <w:shd w:val="clear" w:color="auto" w:fill="auto"/>
            <w:tcMar>
              <w:top w:w="0" w:type="dxa"/>
              <w:left w:w="0" w:type="dxa"/>
              <w:bottom w:w="0" w:type="dxa"/>
              <w:right w:w="0" w:type="dxa"/>
            </w:tcMar>
          </w:tcPr>
          <w:p w14:paraId="27C26DB0"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18</w:t>
            </w:r>
          </w:p>
        </w:tc>
        <w:tc>
          <w:tcPr>
            <w:tcW w:w="5386" w:type="dxa"/>
            <w:shd w:val="clear" w:color="auto" w:fill="auto"/>
            <w:tcMar>
              <w:top w:w="0" w:type="dxa"/>
              <w:left w:w="0" w:type="dxa"/>
              <w:bottom w:w="0" w:type="dxa"/>
              <w:right w:w="0" w:type="dxa"/>
            </w:tcMar>
            <w:vAlign w:val="bottom"/>
          </w:tcPr>
          <w:p w14:paraId="68F6BBC5"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sécurité de Zacatecoluca</w:t>
            </w:r>
          </w:p>
        </w:tc>
        <w:tc>
          <w:tcPr>
            <w:tcW w:w="851" w:type="dxa"/>
            <w:shd w:val="clear" w:color="auto" w:fill="auto"/>
            <w:tcMar>
              <w:top w:w="0" w:type="dxa"/>
              <w:left w:w="0" w:type="dxa"/>
              <w:bottom w:w="0" w:type="dxa"/>
              <w:right w:w="0" w:type="dxa"/>
            </w:tcMar>
            <w:vAlign w:val="bottom"/>
          </w:tcPr>
          <w:p w14:paraId="5C8E75A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578</w:t>
            </w:r>
          </w:p>
        </w:tc>
        <w:tc>
          <w:tcPr>
            <w:tcW w:w="821" w:type="dxa"/>
            <w:shd w:val="clear" w:color="auto" w:fill="auto"/>
            <w:tcMar>
              <w:top w:w="0" w:type="dxa"/>
              <w:left w:w="0" w:type="dxa"/>
              <w:bottom w:w="0" w:type="dxa"/>
              <w:right w:w="0" w:type="dxa"/>
            </w:tcMar>
            <w:vAlign w:val="bottom"/>
          </w:tcPr>
          <w:p w14:paraId="6044F9AF"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95</w:t>
            </w:r>
          </w:p>
        </w:tc>
        <w:tc>
          <w:tcPr>
            <w:tcW w:w="1020" w:type="dxa"/>
            <w:shd w:val="clear" w:color="auto" w:fill="auto"/>
            <w:tcMar>
              <w:top w:w="0" w:type="dxa"/>
              <w:left w:w="0" w:type="dxa"/>
              <w:bottom w:w="0" w:type="dxa"/>
              <w:right w:w="0" w:type="dxa"/>
            </w:tcMar>
            <w:vAlign w:val="bottom"/>
          </w:tcPr>
          <w:p w14:paraId="512BA33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673</w:t>
            </w:r>
          </w:p>
        </w:tc>
      </w:tr>
      <w:tr w:rsidR="00653B7F" w:rsidRPr="00901851" w14:paraId="06CD5077" w14:textId="77777777" w:rsidTr="00196533">
        <w:tc>
          <w:tcPr>
            <w:tcW w:w="426" w:type="dxa"/>
            <w:shd w:val="clear" w:color="auto" w:fill="auto"/>
            <w:tcMar>
              <w:top w:w="0" w:type="dxa"/>
              <w:left w:w="0" w:type="dxa"/>
              <w:bottom w:w="0" w:type="dxa"/>
              <w:right w:w="0" w:type="dxa"/>
            </w:tcMar>
          </w:tcPr>
          <w:p w14:paraId="4446FEF5"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19</w:t>
            </w:r>
          </w:p>
        </w:tc>
        <w:tc>
          <w:tcPr>
            <w:tcW w:w="5386" w:type="dxa"/>
            <w:shd w:val="clear" w:color="auto" w:fill="auto"/>
            <w:tcMar>
              <w:top w:w="0" w:type="dxa"/>
              <w:left w:w="0" w:type="dxa"/>
              <w:bottom w:w="0" w:type="dxa"/>
              <w:right w:w="0" w:type="dxa"/>
            </w:tcMar>
            <w:vAlign w:val="bottom"/>
          </w:tcPr>
          <w:p w14:paraId="72AFDE42"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w:t>
            </w:r>
            <w:r w:rsidR="002A5D78">
              <w:rPr>
                <w:noProof/>
                <w:sz w:val="18"/>
                <w:szCs w:val="18"/>
                <w:lang w:val="fr-FR"/>
              </w:rPr>
              <w:t>’</w:t>
            </w:r>
            <w:r w:rsidRPr="00901851">
              <w:rPr>
                <w:noProof/>
                <w:sz w:val="18"/>
                <w:szCs w:val="18"/>
                <w:lang w:val="fr-FR"/>
              </w:rPr>
              <w:t>exécution des peines de Sensuntepeque</w:t>
            </w:r>
          </w:p>
        </w:tc>
        <w:tc>
          <w:tcPr>
            <w:tcW w:w="851" w:type="dxa"/>
            <w:shd w:val="clear" w:color="auto" w:fill="auto"/>
            <w:tcMar>
              <w:top w:w="0" w:type="dxa"/>
              <w:left w:w="0" w:type="dxa"/>
              <w:bottom w:w="0" w:type="dxa"/>
              <w:right w:w="0" w:type="dxa"/>
            </w:tcMar>
            <w:vAlign w:val="bottom"/>
          </w:tcPr>
          <w:p w14:paraId="5FEE8156"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380</w:t>
            </w:r>
          </w:p>
        </w:tc>
        <w:tc>
          <w:tcPr>
            <w:tcW w:w="821" w:type="dxa"/>
            <w:shd w:val="clear" w:color="auto" w:fill="auto"/>
            <w:tcMar>
              <w:top w:w="0" w:type="dxa"/>
              <w:left w:w="0" w:type="dxa"/>
              <w:bottom w:w="0" w:type="dxa"/>
              <w:right w:w="0" w:type="dxa"/>
            </w:tcMar>
            <w:vAlign w:val="bottom"/>
          </w:tcPr>
          <w:p w14:paraId="5BE4A7B7"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246</w:t>
            </w:r>
          </w:p>
        </w:tc>
        <w:tc>
          <w:tcPr>
            <w:tcW w:w="1020" w:type="dxa"/>
            <w:shd w:val="clear" w:color="auto" w:fill="auto"/>
            <w:tcMar>
              <w:top w:w="0" w:type="dxa"/>
              <w:left w:w="0" w:type="dxa"/>
              <w:bottom w:w="0" w:type="dxa"/>
              <w:right w:w="0" w:type="dxa"/>
            </w:tcMar>
            <w:vAlign w:val="bottom"/>
          </w:tcPr>
          <w:p w14:paraId="6E0311C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626</w:t>
            </w:r>
          </w:p>
        </w:tc>
      </w:tr>
      <w:tr w:rsidR="00653B7F" w:rsidRPr="00901851" w14:paraId="519005BE" w14:textId="77777777" w:rsidTr="00196533">
        <w:tc>
          <w:tcPr>
            <w:tcW w:w="426" w:type="dxa"/>
            <w:shd w:val="clear" w:color="auto" w:fill="auto"/>
            <w:tcMar>
              <w:top w:w="0" w:type="dxa"/>
              <w:left w:w="0" w:type="dxa"/>
              <w:bottom w:w="0" w:type="dxa"/>
              <w:right w:w="0" w:type="dxa"/>
            </w:tcMar>
          </w:tcPr>
          <w:p w14:paraId="0D94AAFE"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20</w:t>
            </w:r>
          </w:p>
        </w:tc>
        <w:tc>
          <w:tcPr>
            <w:tcW w:w="5386" w:type="dxa"/>
            <w:shd w:val="clear" w:color="auto" w:fill="auto"/>
            <w:tcMar>
              <w:top w:w="0" w:type="dxa"/>
              <w:left w:w="0" w:type="dxa"/>
              <w:bottom w:w="0" w:type="dxa"/>
              <w:right w:w="0" w:type="dxa"/>
            </w:tcMar>
            <w:vAlign w:val="bottom"/>
          </w:tcPr>
          <w:p w14:paraId="1B7089DF"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pénitentiaire agricole pour femmes d</w:t>
            </w:r>
            <w:r w:rsidR="002A5D78">
              <w:rPr>
                <w:noProof/>
                <w:sz w:val="18"/>
                <w:szCs w:val="18"/>
                <w:lang w:val="fr-FR"/>
              </w:rPr>
              <w:t>’</w:t>
            </w:r>
            <w:r w:rsidRPr="00901851">
              <w:rPr>
                <w:noProof/>
                <w:sz w:val="18"/>
                <w:szCs w:val="18"/>
                <w:lang w:val="fr-FR"/>
              </w:rPr>
              <w:t>Izalco</w:t>
            </w:r>
          </w:p>
        </w:tc>
        <w:tc>
          <w:tcPr>
            <w:tcW w:w="851" w:type="dxa"/>
            <w:shd w:val="clear" w:color="auto" w:fill="auto"/>
            <w:tcMar>
              <w:top w:w="0" w:type="dxa"/>
              <w:left w:w="0" w:type="dxa"/>
              <w:bottom w:w="0" w:type="dxa"/>
              <w:right w:w="0" w:type="dxa"/>
            </w:tcMar>
            <w:vAlign w:val="bottom"/>
          </w:tcPr>
          <w:p w14:paraId="4766014F"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519</w:t>
            </w:r>
          </w:p>
        </w:tc>
        <w:tc>
          <w:tcPr>
            <w:tcW w:w="821" w:type="dxa"/>
            <w:shd w:val="clear" w:color="auto" w:fill="auto"/>
            <w:tcMar>
              <w:top w:w="0" w:type="dxa"/>
              <w:left w:w="0" w:type="dxa"/>
              <w:bottom w:w="0" w:type="dxa"/>
              <w:right w:w="0" w:type="dxa"/>
            </w:tcMar>
            <w:vAlign w:val="bottom"/>
          </w:tcPr>
          <w:p w14:paraId="2F4D109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67</w:t>
            </w:r>
          </w:p>
        </w:tc>
        <w:tc>
          <w:tcPr>
            <w:tcW w:w="1020" w:type="dxa"/>
            <w:shd w:val="clear" w:color="auto" w:fill="auto"/>
            <w:tcMar>
              <w:top w:w="0" w:type="dxa"/>
              <w:left w:w="0" w:type="dxa"/>
              <w:bottom w:w="0" w:type="dxa"/>
              <w:right w:w="0" w:type="dxa"/>
            </w:tcMar>
            <w:vAlign w:val="bottom"/>
          </w:tcPr>
          <w:p w14:paraId="3A831381"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586</w:t>
            </w:r>
          </w:p>
        </w:tc>
      </w:tr>
      <w:tr w:rsidR="00653B7F" w:rsidRPr="00901851" w14:paraId="02C785EE" w14:textId="77777777" w:rsidTr="00196533">
        <w:tc>
          <w:tcPr>
            <w:tcW w:w="426" w:type="dxa"/>
            <w:shd w:val="clear" w:color="auto" w:fill="auto"/>
            <w:tcMar>
              <w:top w:w="0" w:type="dxa"/>
              <w:left w:w="0" w:type="dxa"/>
              <w:bottom w:w="0" w:type="dxa"/>
              <w:right w:w="0" w:type="dxa"/>
            </w:tcMar>
          </w:tcPr>
          <w:p w14:paraId="1D39279C"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21</w:t>
            </w:r>
          </w:p>
        </w:tc>
        <w:tc>
          <w:tcPr>
            <w:tcW w:w="5386" w:type="dxa"/>
            <w:shd w:val="clear" w:color="auto" w:fill="auto"/>
            <w:tcMar>
              <w:top w:w="0" w:type="dxa"/>
              <w:left w:w="0" w:type="dxa"/>
              <w:bottom w:w="0" w:type="dxa"/>
              <w:right w:w="0" w:type="dxa"/>
            </w:tcMar>
            <w:vAlign w:val="bottom"/>
          </w:tcPr>
          <w:p w14:paraId="34B1607E"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pénitentiaire agricole pour hommes de Santa Ana</w:t>
            </w:r>
          </w:p>
        </w:tc>
        <w:tc>
          <w:tcPr>
            <w:tcW w:w="851" w:type="dxa"/>
            <w:shd w:val="clear" w:color="auto" w:fill="auto"/>
            <w:tcMar>
              <w:top w:w="0" w:type="dxa"/>
              <w:left w:w="0" w:type="dxa"/>
              <w:bottom w:w="0" w:type="dxa"/>
              <w:right w:w="0" w:type="dxa"/>
            </w:tcMar>
            <w:vAlign w:val="bottom"/>
          </w:tcPr>
          <w:p w14:paraId="13CF8CEE"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419</w:t>
            </w:r>
          </w:p>
        </w:tc>
        <w:tc>
          <w:tcPr>
            <w:tcW w:w="821" w:type="dxa"/>
            <w:shd w:val="clear" w:color="auto" w:fill="auto"/>
            <w:tcMar>
              <w:top w:w="0" w:type="dxa"/>
              <w:left w:w="0" w:type="dxa"/>
              <w:bottom w:w="0" w:type="dxa"/>
              <w:right w:w="0" w:type="dxa"/>
            </w:tcMar>
            <w:vAlign w:val="bottom"/>
          </w:tcPr>
          <w:p w14:paraId="1C5E410F"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0</w:t>
            </w:r>
          </w:p>
        </w:tc>
        <w:tc>
          <w:tcPr>
            <w:tcW w:w="1020" w:type="dxa"/>
            <w:shd w:val="clear" w:color="auto" w:fill="auto"/>
            <w:tcMar>
              <w:top w:w="0" w:type="dxa"/>
              <w:left w:w="0" w:type="dxa"/>
              <w:bottom w:w="0" w:type="dxa"/>
              <w:right w:w="0" w:type="dxa"/>
            </w:tcMar>
            <w:vAlign w:val="bottom"/>
          </w:tcPr>
          <w:p w14:paraId="66F29192"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419</w:t>
            </w:r>
          </w:p>
        </w:tc>
      </w:tr>
      <w:tr w:rsidR="00653B7F" w:rsidRPr="00901851" w14:paraId="799D4065" w14:textId="77777777" w:rsidTr="00196533">
        <w:tc>
          <w:tcPr>
            <w:tcW w:w="426" w:type="dxa"/>
            <w:shd w:val="clear" w:color="auto" w:fill="auto"/>
            <w:tcMar>
              <w:top w:w="0" w:type="dxa"/>
              <w:left w:w="0" w:type="dxa"/>
              <w:bottom w:w="0" w:type="dxa"/>
              <w:right w:w="0" w:type="dxa"/>
            </w:tcMar>
          </w:tcPr>
          <w:p w14:paraId="3B69A08D"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22</w:t>
            </w:r>
          </w:p>
        </w:tc>
        <w:tc>
          <w:tcPr>
            <w:tcW w:w="5386" w:type="dxa"/>
            <w:shd w:val="clear" w:color="auto" w:fill="auto"/>
            <w:tcMar>
              <w:top w:w="0" w:type="dxa"/>
              <w:left w:w="0" w:type="dxa"/>
              <w:bottom w:w="0" w:type="dxa"/>
              <w:right w:w="0" w:type="dxa"/>
            </w:tcMar>
            <w:vAlign w:val="bottom"/>
          </w:tcPr>
          <w:p w14:paraId="5E4117B1"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d</w:t>
            </w:r>
            <w:r w:rsidR="002A5D78">
              <w:rPr>
                <w:noProof/>
                <w:sz w:val="18"/>
                <w:szCs w:val="18"/>
                <w:lang w:val="fr-FR"/>
              </w:rPr>
              <w:t>’</w:t>
            </w:r>
            <w:r w:rsidRPr="00901851">
              <w:rPr>
                <w:noProof/>
                <w:sz w:val="18"/>
                <w:szCs w:val="18"/>
                <w:lang w:val="fr-FR"/>
              </w:rPr>
              <w:t>Ilobasco</w:t>
            </w:r>
          </w:p>
        </w:tc>
        <w:tc>
          <w:tcPr>
            <w:tcW w:w="851" w:type="dxa"/>
            <w:shd w:val="clear" w:color="auto" w:fill="auto"/>
            <w:tcMar>
              <w:top w:w="0" w:type="dxa"/>
              <w:left w:w="0" w:type="dxa"/>
              <w:bottom w:w="0" w:type="dxa"/>
              <w:right w:w="0" w:type="dxa"/>
            </w:tcMar>
            <w:vAlign w:val="bottom"/>
          </w:tcPr>
          <w:p w14:paraId="0236C35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13</w:t>
            </w:r>
          </w:p>
        </w:tc>
        <w:tc>
          <w:tcPr>
            <w:tcW w:w="821" w:type="dxa"/>
            <w:shd w:val="clear" w:color="auto" w:fill="auto"/>
            <w:tcMar>
              <w:top w:w="0" w:type="dxa"/>
              <w:left w:w="0" w:type="dxa"/>
              <w:bottom w:w="0" w:type="dxa"/>
              <w:right w:w="0" w:type="dxa"/>
            </w:tcMar>
            <w:vAlign w:val="bottom"/>
          </w:tcPr>
          <w:p w14:paraId="09EF77A8"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384</w:t>
            </w:r>
          </w:p>
        </w:tc>
        <w:tc>
          <w:tcPr>
            <w:tcW w:w="1020" w:type="dxa"/>
            <w:shd w:val="clear" w:color="auto" w:fill="auto"/>
            <w:tcMar>
              <w:top w:w="0" w:type="dxa"/>
              <w:left w:w="0" w:type="dxa"/>
              <w:bottom w:w="0" w:type="dxa"/>
              <w:right w:w="0" w:type="dxa"/>
            </w:tcMar>
            <w:vAlign w:val="bottom"/>
          </w:tcPr>
          <w:p w14:paraId="42CE2639"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397</w:t>
            </w:r>
          </w:p>
        </w:tc>
      </w:tr>
      <w:tr w:rsidR="00653B7F" w:rsidRPr="00901851" w14:paraId="229E4E89" w14:textId="77777777" w:rsidTr="00196533">
        <w:tc>
          <w:tcPr>
            <w:tcW w:w="426" w:type="dxa"/>
            <w:shd w:val="clear" w:color="auto" w:fill="auto"/>
            <w:tcMar>
              <w:top w:w="0" w:type="dxa"/>
              <w:left w:w="0" w:type="dxa"/>
              <w:bottom w:w="0" w:type="dxa"/>
              <w:right w:w="0" w:type="dxa"/>
            </w:tcMar>
          </w:tcPr>
          <w:p w14:paraId="20BC6299"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23</w:t>
            </w:r>
          </w:p>
        </w:tc>
        <w:tc>
          <w:tcPr>
            <w:tcW w:w="5386" w:type="dxa"/>
            <w:shd w:val="clear" w:color="auto" w:fill="auto"/>
            <w:tcMar>
              <w:top w:w="0" w:type="dxa"/>
              <w:left w:w="0" w:type="dxa"/>
              <w:bottom w:w="0" w:type="dxa"/>
              <w:right w:w="0" w:type="dxa"/>
            </w:tcMar>
            <w:vAlign w:val="bottom"/>
          </w:tcPr>
          <w:p w14:paraId="761F3D74"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de Jucuapa</w:t>
            </w:r>
          </w:p>
        </w:tc>
        <w:tc>
          <w:tcPr>
            <w:tcW w:w="851" w:type="dxa"/>
            <w:shd w:val="clear" w:color="auto" w:fill="auto"/>
            <w:tcMar>
              <w:top w:w="0" w:type="dxa"/>
              <w:left w:w="0" w:type="dxa"/>
              <w:bottom w:w="0" w:type="dxa"/>
              <w:right w:w="0" w:type="dxa"/>
            </w:tcMar>
            <w:vAlign w:val="bottom"/>
          </w:tcPr>
          <w:p w14:paraId="27857BFC"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8</w:t>
            </w:r>
          </w:p>
        </w:tc>
        <w:tc>
          <w:tcPr>
            <w:tcW w:w="821" w:type="dxa"/>
            <w:shd w:val="clear" w:color="auto" w:fill="auto"/>
            <w:tcMar>
              <w:top w:w="0" w:type="dxa"/>
              <w:left w:w="0" w:type="dxa"/>
              <w:bottom w:w="0" w:type="dxa"/>
              <w:right w:w="0" w:type="dxa"/>
            </w:tcMar>
            <w:vAlign w:val="bottom"/>
          </w:tcPr>
          <w:p w14:paraId="46F23B4D"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327</w:t>
            </w:r>
          </w:p>
        </w:tc>
        <w:tc>
          <w:tcPr>
            <w:tcW w:w="1020" w:type="dxa"/>
            <w:shd w:val="clear" w:color="auto" w:fill="auto"/>
            <w:tcMar>
              <w:top w:w="0" w:type="dxa"/>
              <w:left w:w="0" w:type="dxa"/>
              <w:bottom w:w="0" w:type="dxa"/>
              <w:right w:w="0" w:type="dxa"/>
            </w:tcMar>
            <w:vAlign w:val="bottom"/>
          </w:tcPr>
          <w:p w14:paraId="55D9E11F"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335</w:t>
            </w:r>
          </w:p>
        </w:tc>
      </w:tr>
      <w:tr w:rsidR="00653B7F" w:rsidRPr="00901851" w14:paraId="558EACC8" w14:textId="77777777" w:rsidTr="00196533">
        <w:tc>
          <w:tcPr>
            <w:tcW w:w="426" w:type="dxa"/>
            <w:shd w:val="clear" w:color="auto" w:fill="auto"/>
            <w:tcMar>
              <w:top w:w="0" w:type="dxa"/>
              <w:left w:w="0" w:type="dxa"/>
              <w:bottom w:w="0" w:type="dxa"/>
              <w:right w:w="0" w:type="dxa"/>
            </w:tcMar>
          </w:tcPr>
          <w:p w14:paraId="2E37A34E"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24</w:t>
            </w:r>
          </w:p>
        </w:tc>
        <w:tc>
          <w:tcPr>
            <w:tcW w:w="5386" w:type="dxa"/>
            <w:shd w:val="clear" w:color="auto" w:fill="auto"/>
            <w:tcMar>
              <w:top w:w="0" w:type="dxa"/>
              <w:left w:w="0" w:type="dxa"/>
              <w:bottom w:w="0" w:type="dxa"/>
              <w:right w:w="0" w:type="dxa"/>
            </w:tcMar>
            <w:vAlign w:val="bottom"/>
          </w:tcPr>
          <w:p w14:paraId="2780B065"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et d</w:t>
            </w:r>
            <w:r w:rsidR="002A5D78">
              <w:rPr>
                <w:noProof/>
                <w:sz w:val="18"/>
                <w:szCs w:val="18"/>
                <w:lang w:val="fr-FR"/>
              </w:rPr>
              <w:t>’</w:t>
            </w:r>
            <w:r w:rsidRPr="00901851">
              <w:rPr>
                <w:noProof/>
                <w:sz w:val="18"/>
                <w:szCs w:val="18"/>
                <w:lang w:val="fr-FR"/>
              </w:rPr>
              <w:t>exécution des peines de Metapan</w:t>
            </w:r>
          </w:p>
        </w:tc>
        <w:tc>
          <w:tcPr>
            <w:tcW w:w="851" w:type="dxa"/>
            <w:shd w:val="clear" w:color="auto" w:fill="auto"/>
            <w:tcMar>
              <w:top w:w="0" w:type="dxa"/>
              <w:left w:w="0" w:type="dxa"/>
              <w:bottom w:w="0" w:type="dxa"/>
              <w:right w:w="0" w:type="dxa"/>
            </w:tcMar>
            <w:vAlign w:val="bottom"/>
          </w:tcPr>
          <w:p w14:paraId="0EFBC9FE"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120</w:t>
            </w:r>
          </w:p>
        </w:tc>
        <w:tc>
          <w:tcPr>
            <w:tcW w:w="821" w:type="dxa"/>
            <w:shd w:val="clear" w:color="auto" w:fill="auto"/>
            <w:tcMar>
              <w:top w:w="0" w:type="dxa"/>
              <w:left w:w="0" w:type="dxa"/>
              <w:bottom w:w="0" w:type="dxa"/>
              <w:right w:w="0" w:type="dxa"/>
            </w:tcMar>
            <w:vAlign w:val="bottom"/>
          </w:tcPr>
          <w:p w14:paraId="6C80CAB2"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203</w:t>
            </w:r>
          </w:p>
        </w:tc>
        <w:tc>
          <w:tcPr>
            <w:tcW w:w="1020" w:type="dxa"/>
            <w:shd w:val="clear" w:color="auto" w:fill="auto"/>
            <w:tcMar>
              <w:top w:w="0" w:type="dxa"/>
              <w:left w:w="0" w:type="dxa"/>
              <w:bottom w:w="0" w:type="dxa"/>
              <w:right w:w="0" w:type="dxa"/>
            </w:tcMar>
            <w:vAlign w:val="bottom"/>
          </w:tcPr>
          <w:p w14:paraId="23ECFC10"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323</w:t>
            </w:r>
          </w:p>
        </w:tc>
      </w:tr>
      <w:tr w:rsidR="00653B7F" w:rsidRPr="00901851" w14:paraId="589D3BCA" w14:textId="77777777" w:rsidTr="00196533">
        <w:tc>
          <w:tcPr>
            <w:tcW w:w="426" w:type="dxa"/>
            <w:shd w:val="clear" w:color="auto" w:fill="auto"/>
            <w:tcMar>
              <w:top w:w="0" w:type="dxa"/>
              <w:left w:w="0" w:type="dxa"/>
              <w:bottom w:w="0" w:type="dxa"/>
              <w:right w:w="0" w:type="dxa"/>
            </w:tcMar>
          </w:tcPr>
          <w:p w14:paraId="5D874C9F"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25</w:t>
            </w:r>
          </w:p>
        </w:tc>
        <w:tc>
          <w:tcPr>
            <w:tcW w:w="5386" w:type="dxa"/>
            <w:shd w:val="clear" w:color="auto" w:fill="auto"/>
            <w:tcMar>
              <w:top w:w="0" w:type="dxa"/>
              <w:left w:w="0" w:type="dxa"/>
              <w:bottom w:w="0" w:type="dxa"/>
              <w:right w:w="0" w:type="dxa"/>
            </w:tcMar>
            <w:vAlign w:val="bottom"/>
          </w:tcPr>
          <w:p w14:paraId="2A93530B"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provisoire de La Unión</w:t>
            </w:r>
          </w:p>
        </w:tc>
        <w:tc>
          <w:tcPr>
            <w:tcW w:w="851" w:type="dxa"/>
            <w:shd w:val="clear" w:color="auto" w:fill="auto"/>
            <w:tcMar>
              <w:top w:w="0" w:type="dxa"/>
              <w:left w:w="0" w:type="dxa"/>
              <w:bottom w:w="0" w:type="dxa"/>
              <w:right w:w="0" w:type="dxa"/>
            </w:tcMar>
            <w:vAlign w:val="bottom"/>
          </w:tcPr>
          <w:p w14:paraId="70E59A52"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6</w:t>
            </w:r>
          </w:p>
        </w:tc>
        <w:tc>
          <w:tcPr>
            <w:tcW w:w="821" w:type="dxa"/>
            <w:shd w:val="clear" w:color="auto" w:fill="auto"/>
            <w:tcMar>
              <w:top w:w="0" w:type="dxa"/>
              <w:left w:w="0" w:type="dxa"/>
              <w:bottom w:w="0" w:type="dxa"/>
              <w:right w:w="0" w:type="dxa"/>
            </w:tcMar>
            <w:vAlign w:val="bottom"/>
          </w:tcPr>
          <w:p w14:paraId="335E2703"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284</w:t>
            </w:r>
          </w:p>
        </w:tc>
        <w:tc>
          <w:tcPr>
            <w:tcW w:w="1020" w:type="dxa"/>
            <w:shd w:val="clear" w:color="auto" w:fill="auto"/>
            <w:tcMar>
              <w:top w:w="0" w:type="dxa"/>
              <w:left w:w="0" w:type="dxa"/>
              <w:bottom w:w="0" w:type="dxa"/>
              <w:right w:w="0" w:type="dxa"/>
            </w:tcMar>
            <w:vAlign w:val="bottom"/>
          </w:tcPr>
          <w:p w14:paraId="3E0B753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290</w:t>
            </w:r>
          </w:p>
        </w:tc>
      </w:tr>
      <w:tr w:rsidR="00653B7F" w:rsidRPr="00901851" w14:paraId="01AF24C7" w14:textId="77777777" w:rsidTr="00196533">
        <w:tc>
          <w:tcPr>
            <w:tcW w:w="426" w:type="dxa"/>
            <w:shd w:val="clear" w:color="auto" w:fill="auto"/>
            <w:tcMar>
              <w:top w:w="0" w:type="dxa"/>
              <w:left w:w="0" w:type="dxa"/>
              <w:bottom w:w="0" w:type="dxa"/>
              <w:right w:w="0" w:type="dxa"/>
            </w:tcMar>
          </w:tcPr>
          <w:p w14:paraId="230B88AE"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26</w:t>
            </w:r>
          </w:p>
        </w:tc>
        <w:tc>
          <w:tcPr>
            <w:tcW w:w="5386" w:type="dxa"/>
            <w:shd w:val="clear" w:color="auto" w:fill="auto"/>
            <w:tcMar>
              <w:top w:w="0" w:type="dxa"/>
              <w:left w:w="0" w:type="dxa"/>
              <w:bottom w:w="0" w:type="dxa"/>
              <w:right w:w="0" w:type="dxa"/>
            </w:tcMar>
            <w:vAlign w:val="bottom"/>
          </w:tcPr>
          <w:p w14:paraId="0C873BF4"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soins intégrés pour personnes privées de liberté atteintes de</w:t>
            </w:r>
            <w:r w:rsidR="00196533">
              <w:rPr>
                <w:noProof/>
                <w:sz w:val="18"/>
                <w:szCs w:val="18"/>
                <w:lang w:val="fr-FR"/>
              </w:rPr>
              <w:t> </w:t>
            </w:r>
            <w:r w:rsidRPr="00901851">
              <w:rPr>
                <w:noProof/>
                <w:sz w:val="18"/>
                <w:szCs w:val="18"/>
                <w:lang w:val="fr-FR"/>
              </w:rPr>
              <w:t>maladies dégénératives chroniques</w:t>
            </w:r>
          </w:p>
        </w:tc>
        <w:tc>
          <w:tcPr>
            <w:tcW w:w="851" w:type="dxa"/>
            <w:shd w:val="clear" w:color="auto" w:fill="auto"/>
            <w:tcMar>
              <w:top w:w="0" w:type="dxa"/>
              <w:left w:w="0" w:type="dxa"/>
              <w:bottom w:w="0" w:type="dxa"/>
              <w:right w:w="0" w:type="dxa"/>
            </w:tcMar>
            <w:vAlign w:val="bottom"/>
          </w:tcPr>
          <w:p w14:paraId="3B13B0B8"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175</w:t>
            </w:r>
          </w:p>
        </w:tc>
        <w:tc>
          <w:tcPr>
            <w:tcW w:w="821" w:type="dxa"/>
            <w:shd w:val="clear" w:color="auto" w:fill="auto"/>
            <w:tcMar>
              <w:top w:w="0" w:type="dxa"/>
              <w:left w:w="0" w:type="dxa"/>
              <w:bottom w:w="0" w:type="dxa"/>
              <w:right w:w="0" w:type="dxa"/>
            </w:tcMar>
            <w:vAlign w:val="bottom"/>
          </w:tcPr>
          <w:p w14:paraId="7D6F5BB5"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w:t>
            </w:r>
          </w:p>
        </w:tc>
        <w:tc>
          <w:tcPr>
            <w:tcW w:w="1020" w:type="dxa"/>
            <w:shd w:val="clear" w:color="auto" w:fill="auto"/>
            <w:tcMar>
              <w:top w:w="0" w:type="dxa"/>
              <w:left w:w="0" w:type="dxa"/>
              <w:bottom w:w="0" w:type="dxa"/>
              <w:right w:w="0" w:type="dxa"/>
            </w:tcMar>
            <w:vAlign w:val="bottom"/>
          </w:tcPr>
          <w:p w14:paraId="341E18EE"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180</w:t>
            </w:r>
          </w:p>
        </w:tc>
      </w:tr>
      <w:tr w:rsidR="00653B7F" w:rsidRPr="00901851" w14:paraId="63FFF983" w14:textId="77777777" w:rsidTr="00196533">
        <w:tc>
          <w:tcPr>
            <w:tcW w:w="426" w:type="dxa"/>
            <w:shd w:val="clear" w:color="auto" w:fill="auto"/>
            <w:tcMar>
              <w:top w:w="0" w:type="dxa"/>
              <w:left w:w="0" w:type="dxa"/>
              <w:bottom w:w="0" w:type="dxa"/>
              <w:right w:w="0" w:type="dxa"/>
            </w:tcMar>
          </w:tcPr>
          <w:p w14:paraId="37229041"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27</w:t>
            </w:r>
          </w:p>
        </w:tc>
        <w:tc>
          <w:tcPr>
            <w:tcW w:w="5386" w:type="dxa"/>
            <w:shd w:val="clear" w:color="auto" w:fill="auto"/>
            <w:tcMar>
              <w:top w:w="0" w:type="dxa"/>
              <w:left w:w="0" w:type="dxa"/>
              <w:bottom w:w="0" w:type="dxa"/>
              <w:right w:w="0" w:type="dxa"/>
            </w:tcMar>
            <w:vAlign w:val="bottom"/>
          </w:tcPr>
          <w:p w14:paraId="4404DCAA"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de détention psychiatrique</w:t>
            </w:r>
          </w:p>
        </w:tc>
        <w:tc>
          <w:tcPr>
            <w:tcW w:w="851" w:type="dxa"/>
            <w:shd w:val="clear" w:color="auto" w:fill="auto"/>
            <w:tcMar>
              <w:top w:w="0" w:type="dxa"/>
              <w:left w:w="0" w:type="dxa"/>
              <w:bottom w:w="0" w:type="dxa"/>
              <w:right w:w="0" w:type="dxa"/>
            </w:tcMar>
            <w:vAlign w:val="bottom"/>
          </w:tcPr>
          <w:p w14:paraId="09924871"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52</w:t>
            </w:r>
          </w:p>
        </w:tc>
        <w:tc>
          <w:tcPr>
            <w:tcW w:w="821" w:type="dxa"/>
            <w:shd w:val="clear" w:color="auto" w:fill="auto"/>
            <w:tcMar>
              <w:top w:w="0" w:type="dxa"/>
              <w:left w:w="0" w:type="dxa"/>
              <w:bottom w:w="0" w:type="dxa"/>
              <w:right w:w="0" w:type="dxa"/>
            </w:tcMar>
            <w:vAlign w:val="bottom"/>
          </w:tcPr>
          <w:p w14:paraId="4BF1D2FE"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52</w:t>
            </w:r>
          </w:p>
        </w:tc>
        <w:tc>
          <w:tcPr>
            <w:tcW w:w="1020" w:type="dxa"/>
            <w:shd w:val="clear" w:color="auto" w:fill="auto"/>
            <w:tcMar>
              <w:top w:w="0" w:type="dxa"/>
              <w:left w:w="0" w:type="dxa"/>
              <w:bottom w:w="0" w:type="dxa"/>
              <w:right w:w="0" w:type="dxa"/>
            </w:tcMar>
            <w:vAlign w:val="bottom"/>
          </w:tcPr>
          <w:p w14:paraId="1738401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104</w:t>
            </w:r>
          </w:p>
        </w:tc>
      </w:tr>
      <w:tr w:rsidR="00653B7F" w:rsidRPr="00901851" w14:paraId="36ED7A7B" w14:textId="77777777" w:rsidTr="00196533">
        <w:tc>
          <w:tcPr>
            <w:tcW w:w="426" w:type="dxa"/>
            <w:tcBorders>
              <w:bottom w:val="single" w:sz="4" w:space="0" w:color="auto"/>
            </w:tcBorders>
            <w:shd w:val="clear" w:color="auto" w:fill="auto"/>
            <w:tcMar>
              <w:top w:w="0" w:type="dxa"/>
              <w:left w:w="0" w:type="dxa"/>
              <w:bottom w:w="0" w:type="dxa"/>
              <w:right w:w="0" w:type="dxa"/>
            </w:tcMar>
          </w:tcPr>
          <w:p w14:paraId="6E140F26" w14:textId="77777777" w:rsidR="00653B7F" w:rsidRPr="00901851" w:rsidRDefault="00653B7F" w:rsidP="00901851">
            <w:pPr>
              <w:suppressAutoHyphens w:val="0"/>
              <w:spacing w:before="40" w:after="40" w:line="220" w:lineRule="exact"/>
              <w:rPr>
                <w:noProof/>
                <w:sz w:val="18"/>
                <w:lang w:val="fr-FR"/>
              </w:rPr>
            </w:pPr>
            <w:r w:rsidRPr="00901851">
              <w:rPr>
                <w:noProof/>
                <w:sz w:val="18"/>
                <w:lang w:val="fr-FR"/>
              </w:rPr>
              <w:t>28</w:t>
            </w:r>
          </w:p>
        </w:tc>
        <w:tc>
          <w:tcPr>
            <w:tcW w:w="5386" w:type="dxa"/>
            <w:tcBorders>
              <w:bottom w:val="single" w:sz="4" w:space="0" w:color="auto"/>
            </w:tcBorders>
            <w:shd w:val="clear" w:color="auto" w:fill="auto"/>
            <w:tcMar>
              <w:top w:w="0" w:type="dxa"/>
              <w:left w:w="0" w:type="dxa"/>
              <w:bottom w:w="0" w:type="dxa"/>
              <w:right w:w="0" w:type="dxa"/>
            </w:tcMar>
            <w:vAlign w:val="bottom"/>
          </w:tcPr>
          <w:p w14:paraId="1296089D" w14:textId="77777777" w:rsidR="00653B7F" w:rsidRPr="00901851" w:rsidRDefault="00653B7F" w:rsidP="00901851">
            <w:pPr>
              <w:suppressAutoHyphens w:val="0"/>
              <w:spacing w:before="40" w:after="40" w:line="220" w:lineRule="exact"/>
              <w:rPr>
                <w:noProof/>
                <w:sz w:val="18"/>
                <w:lang w:val="fr-FR"/>
              </w:rPr>
            </w:pPr>
            <w:r w:rsidRPr="00901851">
              <w:rPr>
                <w:noProof/>
                <w:sz w:val="18"/>
                <w:szCs w:val="18"/>
                <w:lang w:val="fr-FR"/>
              </w:rPr>
              <w:t>Centre en milieu ouvert de Santa Tecla</w:t>
            </w:r>
          </w:p>
        </w:tc>
        <w:tc>
          <w:tcPr>
            <w:tcW w:w="851" w:type="dxa"/>
            <w:tcBorders>
              <w:bottom w:val="single" w:sz="4" w:space="0" w:color="auto"/>
            </w:tcBorders>
            <w:shd w:val="clear" w:color="auto" w:fill="auto"/>
            <w:tcMar>
              <w:top w:w="0" w:type="dxa"/>
              <w:left w:w="0" w:type="dxa"/>
              <w:bottom w:w="0" w:type="dxa"/>
              <w:right w:w="0" w:type="dxa"/>
            </w:tcMar>
            <w:vAlign w:val="bottom"/>
          </w:tcPr>
          <w:p w14:paraId="20D5206A"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13</w:t>
            </w:r>
          </w:p>
        </w:tc>
        <w:tc>
          <w:tcPr>
            <w:tcW w:w="821" w:type="dxa"/>
            <w:tcBorders>
              <w:bottom w:val="single" w:sz="4" w:space="0" w:color="auto"/>
            </w:tcBorders>
            <w:shd w:val="clear" w:color="auto" w:fill="auto"/>
            <w:tcMar>
              <w:top w:w="0" w:type="dxa"/>
              <w:left w:w="0" w:type="dxa"/>
              <w:bottom w:w="0" w:type="dxa"/>
              <w:right w:w="0" w:type="dxa"/>
            </w:tcMar>
            <w:vAlign w:val="bottom"/>
          </w:tcPr>
          <w:p w14:paraId="2B4950E2"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0</w:t>
            </w:r>
          </w:p>
        </w:tc>
        <w:tc>
          <w:tcPr>
            <w:tcW w:w="1020" w:type="dxa"/>
            <w:tcBorders>
              <w:bottom w:val="single" w:sz="4" w:space="0" w:color="auto"/>
            </w:tcBorders>
            <w:shd w:val="clear" w:color="auto" w:fill="auto"/>
            <w:tcMar>
              <w:top w:w="0" w:type="dxa"/>
              <w:left w:w="0" w:type="dxa"/>
              <w:bottom w:w="0" w:type="dxa"/>
              <w:right w:w="0" w:type="dxa"/>
            </w:tcMar>
            <w:vAlign w:val="bottom"/>
          </w:tcPr>
          <w:p w14:paraId="36B0C7CB" w14:textId="77777777" w:rsidR="00653B7F" w:rsidRPr="00901851" w:rsidRDefault="00653B7F" w:rsidP="00901851">
            <w:pPr>
              <w:suppressAutoHyphens w:val="0"/>
              <w:spacing w:before="40" w:after="40" w:line="220" w:lineRule="exact"/>
              <w:jc w:val="right"/>
              <w:rPr>
                <w:noProof/>
                <w:sz w:val="18"/>
                <w:lang w:val="fr-FR"/>
              </w:rPr>
            </w:pPr>
            <w:r w:rsidRPr="00901851">
              <w:rPr>
                <w:noProof/>
                <w:sz w:val="18"/>
                <w:lang w:val="fr-FR"/>
              </w:rPr>
              <w:t>13</w:t>
            </w:r>
          </w:p>
        </w:tc>
      </w:tr>
      <w:tr w:rsidR="00653B7F" w:rsidRPr="00901851" w14:paraId="1B95DE79" w14:textId="77777777" w:rsidTr="00196533">
        <w:tc>
          <w:tcPr>
            <w:tcW w:w="5812" w:type="dxa"/>
            <w:gridSpan w:val="2"/>
            <w:tcBorders>
              <w:top w:val="single" w:sz="4" w:space="0" w:color="auto"/>
              <w:bottom w:val="single" w:sz="12" w:space="0" w:color="auto"/>
            </w:tcBorders>
            <w:shd w:val="clear" w:color="auto" w:fill="auto"/>
            <w:tcMar>
              <w:top w:w="0" w:type="dxa"/>
              <w:left w:w="0" w:type="dxa"/>
              <w:bottom w:w="0" w:type="dxa"/>
              <w:right w:w="0" w:type="dxa"/>
            </w:tcMar>
          </w:tcPr>
          <w:p w14:paraId="4F80A251" w14:textId="77777777" w:rsidR="00653B7F" w:rsidRPr="00901851" w:rsidRDefault="00653B7F" w:rsidP="006E5079">
            <w:pPr>
              <w:suppressAutoHyphens w:val="0"/>
              <w:spacing w:before="80" w:after="80" w:line="220" w:lineRule="exact"/>
              <w:ind w:left="284"/>
              <w:rPr>
                <w:b/>
                <w:noProof/>
                <w:sz w:val="18"/>
                <w:lang w:val="fr-FR"/>
              </w:rPr>
            </w:pPr>
            <w:r w:rsidRPr="00901851">
              <w:rPr>
                <w:b/>
                <w:bCs/>
                <w:noProof/>
                <w:sz w:val="18"/>
                <w:szCs w:val="18"/>
                <w:lang w:val="fr-FR"/>
              </w:rPr>
              <w:t>Total général</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DFCAE8" w14:textId="77777777" w:rsidR="00653B7F" w:rsidRPr="00901851" w:rsidRDefault="00653B7F" w:rsidP="006E5079">
            <w:pPr>
              <w:suppressAutoHyphens w:val="0"/>
              <w:spacing w:before="80" w:after="80" w:line="220" w:lineRule="exact"/>
              <w:jc w:val="right"/>
              <w:rPr>
                <w:b/>
                <w:noProof/>
                <w:sz w:val="18"/>
                <w:lang w:val="fr-FR"/>
              </w:rPr>
            </w:pPr>
            <w:r w:rsidRPr="00901851">
              <w:rPr>
                <w:b/>
                <w:bCs/>
                <w:noProof/>
                <w:sz w:val="18"/>
                <w:lang w:val="fr-FR"/>
              </w:rPr>
              <w:t>27 655</w:t>
            </w:r>
          </w:p>
        </w:tc>
        <w:tc>
          <w:tcPr>
            <w:tcW w:w="8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877D2B6" w14:textId="77777777" w:rsidR="00653B7F" w:rsidRPr="00901851" w:rsidRDefault="00653B7F" w:rsidP="006E5079">
            <w:pPr>
              <w:suppressAutoHyphens w:val="0"/>
              <w:spacing w:before="80" w:after="80" w:line="220" w:lineRule="exact"/>
              <w:jc w:val="right"/>
              <w:rPr>
                <w:b/>
                <w:noProof/>
                <w:sz w:val="18"/>
                <w:lang w:val="fr-FR"/>
              </w:rPr>
            </w:pPr>
            <w:r w:rsidRPr="00901851">
              <w:rPr>
                <w:b/>
                <w:bCs/>
                <w:noProof/>
                <w:sz w:val="18"/>
                <w:lang w:val="fr-FR"/>
              </w:rPr>
              <w:t>12 435</w:t>
            </w:r>
          </w:p>
        </w:tc>
        <w:tc>
          <w:tcPr>
            <w:tcW w:w="10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DB854E" w14:textId="77777777" w:rsidR="00653B7F" w:rsidRPr="00901851" w:rsidRDefault="00653B7F" w:rsidP="006E5079">
            <w:pPr>
              <w:suppressAutoHyphens w:val="0"/>
              <w:spacing w:before="80" w:after="80" w:line="220" w:lineRule="exact"/>
              <w:jc w:val="right"/>
              <w:rPr>
                <w:b/>
                <w:noProof/>
                <w:sz w:val="18"/>
                <w:lang w:val="fr-FR"/>
              </w:rPr>
            </w:pPr>
            <w:r w:rsidRPr="00901851">
              <w:rPr>
                <w:b/>
                <w:bCs/>
                <w:noProof/>
                <w:sz w:val="18"/>
                <w:lang w:val="fr-FR"/>
              </w:rPr>
              <w:t>40 090</w:t>
            </w:r>
          </w:p>
        </w:tc>
      </w:tr>
    </w:tbl>
    <w:p w14:paraId="5F849954" w14:textId="77777777" w:rsidR="00653B7F" w:rsidRPr="00BB6F7D" w:rsidRDefault="00653B7F" w:rsidP="006E5079">
      <w:pPr>
        <w:pStyle w:val="Titre1"/>
        <w:kinsoku/>
        <w:overflowPunct/>
        <w:autoSpaceDE/>
        <w:autoSpaceDN/>
        <w:adjustRightInd/>
        <w:snapToGrid/>
        <w:spacing w:before="240" w:after="120"/>
        <w:rPr>
          <w:b/>
          <w:noProof/>
          <w:sz w:val="18"/>
          <w:lang w:val="fr-FR"/>
        </w:rPr>
      </w:pPr>
      <w:r>
        <w:rPr>
          <w:noProof/>
          <w:lang w:val="fr-FR"/>
        </w:rPr>
        <w:t>Tableau</w:t>
      </w:r>
      <w:r w:rsidRPr="00BB6F7D">
        <w:rPr>
          <w:noProof/>
          <w:lang w:val="fr-FR"/>
        </w:rPr>
        <w:t xml:space="preserve"> 13</w:t>
      </w:r>
      <w:r w:rsidR="006E5079">
        <w:rPr>
          <w:noProof/>
          <w:lang w:val="fr-FR"/>
        </w:rPr>
        <w:br/>
      </w:r>
      <w:r>
        <w:rPr>
          <w:b/>
          <w:noProof/>
          <w:lang w:val="fr-FR"/>
        </w:rPr>
        <w:t>Personnes privées de liberté réparties selon le sexe, au 25 février 2019</w:t>
      </w:r>
    </w:p>
    <w:tbl>
      <w:tblPr>
        <w:tblW w:w="7370" w:type="dxa"/>
        <w:tblInd w:w="1134" w:type="dxa"/>
        <w:tblLayout w:type="fixed"/>
        <w:tblCellMar>
          <w:left w:w="0" w:type="dxa"/>
          <w:right w:w="0" w:type="dxa"/>
        </w:tblCellMar>
        <w:tblLook w:val="04A0" w:firstRow="1" w:lastRow="0" w:firstColumn="1" w:lastColumn="0" w:noHBand="0" w:noVBand="1"/>
      </w:tblPr>
      <w:tblGrid>
        <w:gridCol w:w="547"/>
        <w:gridCol w:w="4548"/>
        <w:gridCol w:w="1067"/>
        <w:gridCol w:w="1208"/>
      </w:tblGrid>
      <w:tr w:rsidR="00653B7F" w:rsidRPr="006318F1" w14:paraId="017C0671" w14:textId="77777777" w:rsidTr="006318F1">
        <w:trPr>
          <w:tblHeader/>
        </w:trPr>
        <w:tc>
          <w:tcPr>
            <w:tcW w:w="73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CFB0F64" w14:textId="77777777" w:rsidR="00653B7F" w:rsidRPr="006318F1" w:rsidRDefault="00653B7F" w:rsidP="006318F1">
            <w:pPr>
              <w:suppressAutoHyphens w:val="0"/>
              <w:spacing w:before="80" w:after="80" w:line="200" w:lineRule="exact"/>
              <w:rPr>
                <w:i/>
                <w:noProof/>
                <w:sz w:val="16"/>
                <w:lang w:val="fr-FR"/>
              </w:rPr>
            </w:pPr>
          </w:p>
        </w:tc>
        <w:tc>
          <w:tcPr>
            <w:tcW w:w="61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68A7467" w14:textId="77777777" w:rsidR="00653B7F" w:rsidRPr="006318F1" w:rsidRDefault="00653B7F" w:rsidP="00F943C8">
            <w:pPr>
              <w:suppressAutoHyphens w:val="0"/>
              <w:spacing w:before="80" w:after="80" w:line="200" w:lineRule="exact"/>
              <w:rPr>
                <w:i/>
                <w:noProof/>
                <w:sz w:val="16"/>
                <w:lang w:val="fr-FR"/>
              </w:rPr>
            </w:pPr>
            <w:r w:rsidRPr="006318F1">
              <w:rPr>
                <w:bCs/>
                <w:i/>
                <w:noProof/>
                <w:sz w:val="16"/>
                <w:lang w:val="fr-FR"/>
              </w:rPr>
              <w:t>Sexe</w:t>
            </w:r>
          </w:p>
        </w:tc>
        <w:tc>
          <w:tcPr>
            <w:tcW w:w="143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8A05DAC" w14:textId="77777777" w:rsidR="00653B7F" w:rsidRPr="006318F1" w:rsidRDefault="00653B7F" w:rsidP="006318F1">
            <w:pPr>
              <w:suppressAutoHyphens w:val="0"/>
              <w:spacing w:before="80" w:after="80" w:line="200" w:lineRule="exact"/>
              <w:jc w:val="right"/>
              <w:rPr>
                <w:i/>
                <w:noProof/>
                <w:sz w:val="16"/>
                <w:lang w:val="fr-FR"/>
              </w:rPr>
            </w:pPr>
            <w:r w:rsidRPr="006318F1">
              <w:rPr>
                <w:bCs/>
                <w:i/>
                <w:noProof/>
                <w:sz w:val="16"/>
                <w:szCs w:val="18"/>
                <w:lang w:val="fr-FR"/>
              </w:rPr>
              <w:t>Nombre</w:t>
            </w:r>
          </w:p>
        </w:tc>
        <w:tc>
          <w:tcPr>
            <w:tcW w:w="16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36698C" w14:textId="77777777" w:rsidR="00653B7F" w:rsidRPr="006318F1" w:rsidRDefault="00653B7F" w:rsidP="006318F1">
            <w:pPr>
              <w:suppressAutoHyphens w:val="0"/>
              <w:spacing w:before="80" w:after="80" w:line="200" w:lineRule="exact"/>
              <w:jc w:val="right"/>
              <w:rPr>
                <w:i/>
                <w:noProof/>
                <w:sz w:val="16"/>
                <w:lang w:val="fr-FR"/>
              </w:rPr>
            </w:pPr>
            <w:r w:rsidRPr="006318F1">
              <w:rPr>
                <w:bCs/>
                <w:i/>
                <w:noProof/>
                <w:sz w:val="16"/>
                <w:szCs w:val="18"/>
                <w:lang w:val="fr-FR"/>
              </w:rPr>
              <w:t>Pourcentage</w:t>
            </w:r>
          </w:p>
        </w:tc>
      </w:tr>
      <w:tr w:rsidR="00653B7F" w:rsidRPr="006318F1" w14:paraId="264C8008" w14:textId="77777777" w:rsidTr="006318F1">
        <w:tc>
          <w:tcPr>
            <w:tcW w:w="731" w:type="dxa"/>
            <w:tcBorders>
              <w:top w:val="single" w:sz="12" w:space="0" w:color="auto"/>
            </w:tcBorders>
            <w:shd w:val="clear" w:color="auto" w:fill="auto"/>
            <w:tcMar>
              <w:top w:w="0" w:type="dxa"/>
              <w:left w:w="0" w:type="dxa"/>
              <w:bottom w:w="0" w:type="dxa"/>
              <w:right w:w="0" w:type="dxa"/>
            </w:tcMar>
          </w:tcPr>
          <w:p w14:paraId="0E0FC3B8"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1</w:t>
            </w:r>
          </w:p>
        </w:tc>
        <w:tc>
          <w:tcPr>
            <w:tcW w:w="6126" w:type="dxa"/>
            <w:tcBorders>
              <w:top w:val="single" w:sz="12" w:space="0" w:color="auto"/>
            </w:tcBorders>
            <w:shd w:val="clear" w:color="auto" w:fill="auto"/>
            <w:tcMar>
              <w:top w:w="0" w:type="dxa"/>
              <w:left w:w="0" w:type="dxa"/>
              <w:bottom w:w="0" w:type="dxa"/>
              <w:right w:w="0" w:type="dxa"/>
            </w:tcMar>
            <w:vAlign w:val="bottom"/>
          </w:tcPr>
          <w:p w14:paraId="0DD412D6" w14:textId="77777777" w:rsidR="00653B7F" w:rsidRPr="006318F1" w:rsidRDefault="00653B7F" w:rsidP="00F943C8">
            <w:pPr>
              <w:suppressAutoHyphens w:val="0"/>
              <w:spacing w:before="40" w:after="40" w:line="220" w:lineRule="exact"/>
              <w:rPr>
                <w:noProof/>
                <w:sz w:val="18"/>
                <w:lang w:val="fr-FR"/>
              </w:rPr>
            </w:pPr>
            <w:r w:rsidRPr="006318F1">
              <w:rPr>
                <w:bCs/>
                <w:noProof/>
                <w:sz w:val="18"/>
                <w:lang w:val="fr-FR"/>
              </w:rPr>
              <w:t>Féminin</w:t>
            </w:r>
          </w:p>
        </w:tc>
        <w:tc>
          <w:tcPr>
            <w:tcW w:w="1432" w:type="dxa"/>
            <w:tcBorders>
              <w:top w:val="single" w:sz="12" w:space="0" w:color="auto"/>
            </w:tcBorders>
            <w:shd w:val="clear" w:color="auto" w:fill="auto"/>
            <w:tcMar>
              <w:top w:w="0" w:type="dxa"/>
              <w:left w:w="0" w:type="dxa"/>
              <w:bottom w:w="0" w:type="dxa"/>
              <w:right w:w="0" w:type="dxa"/>
            </w:tcMar>
            <w:vAlign w:val="bottom"/>
          </w:tcPr>
          <w:p w14:paraId="1BE34212" w14:textId="77777777" w:rsidR="00653B7F" w:rsidRPr="006318F1" w:rsidRDefault="00653B7F" w:rsidP="006318F1">
            <w:pPr>
              <w:suppressAutoHyphens w:val="0"/>
              <w:spacing w:before="40" w:after="40" w:line="220" w:lineRule="exact"/>
              <w:jc w:val="right"/>
              <w:rPr>
                <w:noProof/>
                <w:sz w:val="18"/>
                <w:lang w:val="fr-FR"/>
              </w:rPr>
            </w:pPr>
            <w:r w:rsidRPr="006318F1">
              <w:rPr>
                <w:bCs/>
                <w:noProof/>
                <w:sz w:val="18"/>
                <w:lang w:val="fr-FR"/>
              </w:rPr>
              <w:t>3 338</w:t>
            </w:r>
          </w:p>
        </w:tc>
        <w:tc>
          <w:tcPr>
            <w:tcW w:w="1622" w:type="dxa"/>
            <w:tcBorders>
              <w:top w:val="single" w:sz="12" w:space="0" w:color="auto"/>
            </w:tcBorders>
            <w:shd w:val="clear" w:color="auto" w:fill="auto"/>
            <w:tcMar>
              <w:top w:w="0" w:type="dxa"/>
              <w:left w:w="0" w:type="dxa"/>
              <w:bottom w:w="0" w:type="dxa"/>
              <w:right w:w="0" w:type="dxa"/>
            </w:tcMar>
            <w:vAlign w:val="bottom"/>
          </w:tcPr>
          <w:p w14:paraId="786A6FB6" w14:textId="77777777" w:rsidR="00653B7F" w:rsidRPr="006318F1" w:rsidRDefault="00653B7F" w:rsidP="006318F1">
            <w:pPr>
              <w:suppressAutoHyphens w:val="0"/>
              <w:spacing w:before="40" w:after="40" w:line="220" w:lineRule="exact"/>
              <w:jc w:val="right"/>
              <w:rPr>
                <w:noProof/>
                <w:sz w:val="18"/>
                <w:lang w:val="fr-FR"/>
              </w:rPr>
            </w:pPr>
            <w:r w:rsidRPr="006318F1">
              <w:rPr>
                <w:bCs/>
                <w:noProof/>
                <w:sz w:val="18"/>
                <w:lang w:val="fr-FR"/>
              </w:rPr>
              <w:t>8,33 %</w:t>
            </w:r>
          </w:p>
        </w:tc>
      </w:tr>
      <w:tr w:rsidR="00653B7F" w:rsidRPr="006318F1" w14:paraId="2B1954AE" w14:textId="77777777" w:rsidTr="006318F1">
        <w:tc>
          <w:tcPr>
            <w:tcW w:w="731" w:type="dxa"/>
            <w:tcBorders>
              <w:bottom w:val="single" w:sz="4" w:space="0" w:color="auto"/>
            </w:tcBorders>
            <w:shd w:val="clear" w:color="auto" w:fill="auto"/>
            <w:tcMar>
              <w:top w:w="0" w:type="dxa"/>
              <w:left w:w="0" w:type="dxa"/>
              <w:bottom w:w="0" w:type="dxa"/>
              <w:right w:w="0" w:type="dxa"/>
            </w:tcMar>
          </w:tcPr>
          <w:p w14:paraId="5FD88C25"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2</w:t>
            </w:r>
          </w:p>
        </w:tc>
        <w:tc>
          <w:tcPr>
            <w:tcW w:w="6126" w:type="dxa"/>
            <w:tcBorders>
              <w:bottom w:val="single" w:sz="4" w:space="0" w:color="auto"/>
            </w:tcBorders>
            <w:shd w:val="clear" w:color="auto" w:fill="auto"/>
            <w:tcMar>
              <w:top w:w="0" w:type="dxa"/>
              <w:left w:w="0" w:type="dxa"/>
              <w:bottom w:w="0" w:type="dxa"/>
              <w:right w:w="0" w:type="dxa"/>
            </w:tcMar>
            <w:vAlign w:val="bottom"/>
          </w:tcPr>
          <w:p w14:paraId="11854E19" w14:textId="77777777" w:rsidR="00653B7F" w:rsidRPr="006318F1" w:rsidRDefault="00653B7F" w:rsidP="00F943C8">
            <w:pPr>
              <w:suppressAutoHyphens w:val="0"/>
              <w:spacing w:before="40" w:after="40" w:line="220" w:lineRule="exact"/>
              <w:rPr>
                <w:bCs/>
                <w:noProof/>
                <w:sz w:val="18"/>
                <w:lang w:val="fr-FR"/>
              </w:rPr>
            </w:pPr>
            <w:r w:rsidRPr="006318F1">
              <w:rPr>
                <w:bCs/>
                <w:noProof/>
                <w:sz w:val="18"/>
                <w:lang w:val="fr-FR"/>
              </w:rPr>
              <w:t>Masculin</w:t>
            </w:r>
          </w:p>
        </w:tc>
        <w:tc>
          <w:tcPr>
            <w:tcW w:w="1432" w:type="dxa"/>
            <w:tcBorders>
              <w:bottom w:val="single" w:sz="4" w:space="0" w:color="auto"/>
            </w:tcBorders>
            <w:shd w:val="clear" w:color="auto" w:fill="auto"/>
            <w:tcMar>
              <w:top w:w="0" w:type="dxa"/>
              <w:left w:w="0" w:type="dxa"/>
              <w:bottom w:w="0" w:type="dxa"/>
              <w:right w:w="0" w:type="dxa"/>
            </w:tcMar>
            <w:vAlign w:val="bottom"/>
          </w:tcPr>
          <w:p w14:paraId="4211C2B7" w14:textId="77777777" w:rsidR="00653B7F" w:rsidRPr="006318F1" w:rsidRDefault="00653B7F" w:rsidP="006318F1">
            <w:pPr>
              <w:suppressAutoHyphens w:val="0"/>
              <w:spacing w:before="40" w:after="40" w:line="220" w:lineRule="exact"/>
              <w:jc w:val="right"/>
              <w:rPr>
                <w:noProof/>
                <w:sz w:val="18"/>
                <w:lang w:val="fr-FR"/>
              </w:rPr>
            </w:pPr>
            <w:r w:rsidRPr="006318F1">
              <w:rPr>
                <w:bCs/>
                <w:noProof/>
                <w:sz w:val="18"/>
                <w:lang w:val="fr-FR"/>
              </w:rPr>
              <w:t>36 752</w:t>
            </w:r>
          </w:p>
        </w:tc>
        <w:tc>
          <w:tcPr>
            <w:tcW w:w="1622" w:type="dxa"/>
            <w:tcBorders>
              <w:bottom w:val="single" w:sz="4" w:space="0" w:color="auto"/>
            </w:tcBorders>
            <w:shd w:val="clear" w:color="auto" w:fill="auto"/>
            <w:tcMar>
              <w:top w:w="0" w:type="dxa"/>
              <w:left w:w="0" w:type="dxa"/>
              <w:bottom w:w="0" w:type="dxa"/>
              <w:right w:w="0" w:type="dxa"/>
            </w:tcMar>
            <w:vAlign w:val="bottom"/>
          </w:tcPr>
          <w:p w14:paraId="3E67B1B5" w14:textId="77777777" w:rsidR="00653B7F" w:rsidRPr="006318F1" w:rsidRDefault="00653B7F" w:rsidP="006318F1">
            <w:pPr>
              <w:suppressAutoHyphens w:val="0"/>
              <w:spacing w:before="40" w:after="40" w:line="220" w:lineRule="exact"/>
              <w:jc w:val="right"/>
              <w:rPr>
                <w:noProof/>
                <w:sz w:val="18"/>
                <w:lang w:val="fr-FR"/>
              </w:rPr>
            </w:pPr>
            <w:r w:rsidRPr="006318F1">
              <w:rPr>
                <w:bCs/>
                <w:noProof/>
                <w:sz w:val="18"/>
                <w:lang w:val="fr-FR"/>
              </w:rPr>
              <w:t>91,67 %</w:t>
            </w:r>
          </w:p>
        </w:tc>
      </w:tr>
      <w:tr w:rsidR="00653B7F" w:rsidRPr="006318F1" w14:paraId="387C422A" w14:textId="77777777" w:rsidTr="006318F1">
        <w:tc>
          <w:tcPr>
            <w:tcW w:w="6857" w:type="dxa"/>
            <w:gridSpan w:val="2"/>
            <w:tcBorders>
              <w:top w:val="single" w:sz="4" w:space="0" w:color="auto"/>
              <w:bottom w:val="single" w:sz="12" w:space="0" w:color="auto"/>
            </w:tcBorders>
            <w:shd w:val="clear" w:color="auto" w:fill="auto"/>
            <w:tcMar>
              <w:top w:w="0" w:type="dxa"/>
              <w:left w:w="0" w:type="dxa"/>
              <w:bottom w:w="0" w:type="dxa"/>
              <w:right w:w="0" w:type="dxa"/>
            </w:tcMar>
          </w:tcPr>
          <w:p w14:paraId="05D26E95" w14:textId="77777777" w:rsidR="00653B7F" w:rsidRPr="006318F1" w:rsidRDefault="00653B7F" w:rsidP="006318F1">
            <w:pPr>
              <w:suppressAutoHyphens w:val="0"/>
              <w:spacing w:before="80" w:after="80" w:line="220" w:lineRule="exact"/>
              <w:ind w:left="284"/>
              <w:rPr>
                <w:b/>
                <w:noProof/>
                <w:sz w:val="18"/>
                <w:lang w:val="fr-FR"/>
              </w:rPr>
            </w:pPr>
            <w:r w:rsidRPr="006318F1">
              <w:rPr>
                <w:b/>
                <w:bCs/>
                <w:noProof/>
                <w:sz w:val="18"/>
                <w:lang w:val="fr-FR"/>
              </w:rPr>
              <w:t xml:space="preserve">Total </w:t>
            </w:r>
          </w:p>
        </w:tc>
        <w:tc>
          <w:tcPr>
            <w:tcW w:w="143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E8F5A9" w14:textId="77777777" w:rsidR="00653B7F" w:rsidRPr="006318F1" w:rsidRDefault="00653B7F" w:rsidP="006318F1">
            <w:pPr>
              <w:suppressAutoHyphens w:val="0"/>
              <w:spacing w:before="80" w:after="80" w:line="220" w:lineRule="exact"/>
              <w:jc w:val="right"/>
              <w:rPr>
                <w:b/>
                <w:noProof/>
                <w:sz w:val="18"/>
                <w:lang w:val="fr-FR"/>
              </w:rPr>
            </w:pPr>
            <w:r w:rsidRPr="006318F1">
              <w:rPr>
                <w:b/>
                <w:bCs/>
                <w:noProof/>
                <w:sz w:val="18"/>
                <w:lang w:val="fr-FR"/>
              </w:rPr>
              <w:t>40 090</w:t>
            </w:r>
          </w:p>
        </w:tc>
        <w:tc>
          <w:tcPr>
            <w:tcW w:w="16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82542B1" w14:textId="77777777" w:rsidR="00653B7F" w:rsidRPr="006318F1" w:rsidRDefault="00653B7F" w:rsidP="006318F1">
            <w:pPr>
              <w:suppressAutoHyphens w:val="0"/>
              <w:spacing w:before="80" w:after="80" w:line="220" w:lineRule="exact"/>
              <w:jc w:val="right"/>
              <w:rPr>
                <w:b/>
                <w:noProof/>
                <w:sz w:val="18"/>
                <w:lang w:val="fr-FR"/>
              </w:rPr>
            </w:pPr>
            <w:r w:rsidRPr="006318F1">
              <w:rPr>
                <w:b/>
                <w:bCs/>
                <w:noProof/>
                <w:sz w:val="18"/>
                <w:lang w:val="fr-FR"/>
              </w:rPr>
              <w:t>100 %</w:t>
            </w:r>
          </w:p>
        </w:tc>
      </w:tr>
    </w:tbl>
    <w:p w14:paraId="12031223" w14:textId="77777777" w:rsidR="00653B7F" w:rsidRPr="006318F1" w:rsidRDefault="00653B7F" w:rsidP="006318F1">
      <w:pPr>
        <w:pStyle w:val="Titre1"/>
        <w:kinsoku/>
        <w:overflowPunct/>
        <w:autoSpaceDE/>
        <w:autoSpaceDN/>
        <w:adjustRightInd/>
        <w:snapToGrid/>
        <w:spacing w:before="240" w:after="120"/>
        <w:rPr>
          <w:b/>
          <w:bCs/>
          <w:noProof/>
          <w:sz w:val="18"/>
          <w:lang w:val="fr-FR"/>
        </w:rPr>
      </w:pPr>
      <w:r>
        <w:rPr>
          <w:noProof/>
          <w:lang w:val="fr-FR"/>
        </w:rPr>
        <w:t>Tableau</w:t>
      </w:r>
      <w:r w:rsidRPr="00BB6F7D">
        <w:rPr>
          <w:noProof/>
          <w:lang w:val="fr-FR"/>
        </w:rPr>
        <w:t xml:space="preserve"> 14</w:t>
      </w:r>
      <w:r w:rsidR="006318F1">
        <w:rPr>
          <w:noProof/>
          <w:lang w:val="fr-FR"/>
        </w:rPr>
        <w:br/>
      </w:r>
      <w:r w:rsidRPr="006318F1">
        <w:rPr>
          <w:b/>
          <w:bCs/>
          <w:noProof/>
          <w:lang w:val="fr-FR"/>
        </w:rPr>
        <w:t>Personnes privées de liberté réparties selon l</w:t>
      </w:r>
      <w:r w:rsidR="002A5D78">
        <w:rPr>
          <w:b/>
          <w:bCs/>
          <w:noProof/>
          <w:lang w:val="fr-FR"/>
        </w:rPr>
        <w:t>’</w:t>
      </w:r>
      <w:r w:rsidRPr="006318F1">
        <w:rPr>
          <w:b/>
          <w:bCs/>
          <w:noProof/>
          <w:lang w:val="fr-FR"/>
        </w:rPr>
        <w:t>âge, au 25</w:t>
      </w:r>
      <w:r w:rsidR="005B66A4">
        <w:rPr>
          <w:b/>
          <w:bCs/>
          <w:noProof/>
          <w:lang w:val="fr-FR"/>
        </w:rPr>
        <w:t> </w:t>
      </w:r>
      <w:r w:rsidRPr="006318F1">
        <w:rPr>
          <w:b/>
          <w:bCs/>
          <w:noProof/>
          <w:lang w:val="fr-FR"/>
        </w:rPr>
        <w:t>février 2019</w:t>
      </w:r>
    </w:p>
    <w:tbl>
      <w:tblPr>
        <w:tblW w:w="7370" w:type="dxa"/>
        <w:tblInd w:w="1134" w:type="dxa"/>
        <w:tblLayout w:type="fixed"/>
        <w:tblCellMar>
          <w:left w:w="0" w:type="dxa"/>
          <w:right w:w="0" w:type="dxa"/>
        </w:tblCellMar>
        <w:tblLook w:val="04A0" w:firstRow="1" w:lastRow="0" w:firstColumn="1" w:lastColumn="0" w:noHBand="0" w:noVBand="1"/>
      </w:tblPr>
      <w:tblGrid>
        <w:gridCol w:w="547"/>
        <w:gridCol w:w="4548"/>
        <w:gridCol w:w="1067"/>
        <w:gridCol w:w="1208"/>
      </w:tblGrid>
      <w:tr w:rsidR="00653B7F" w:rsidRPr="006318F1" w14:paraId="63FBC434" w14:textId="77777777" w:rsidTr="001B0CD1">
        <w:trPr>
          <w:tblHeader/>
        </w:trPr>
        <w:tc>
          <w:tcPr>
            <w:tcW w:w="73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ADB8A21" w14:textId="77777777" w:rsidR="00653B7F" w:rsidRPr="006318F1" w:rsidRDefault="00653B7F" w:rsidP="006318F1">
            <w:pPr>
              <w:suppressAutoHyphens w:val="0"/>
              <w:spacing w:before="80" w:after="80" w:line="200" w:lineRule="exact"/>
              <w:rPr>
                <w:i/>
                <w:noProof/>
                <w:sz w:val="16"/>
                <w:lang w:val="fr-FR"/>
              </w:rPr>
            </w:pPr>
          </w:p>
        </w:tc>
        <w:tc>
          <w:tcPr>
            <w:tcW w:w="61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34EDD6A" w14:textId="77777777" w:rsidR="00653B7F" w:rsidRPr="006318F1" w:rsidRDefault="00653B7F" w:rsidP="005B66A4">
            <w:pPr>
              <w:suppressAutoHyphens w:val="0"/>
              <w:spacing w:before="80" w:after="80" w:line="200" w:lineRule="exact"/>
              <w:rPr>
                <w:i/>
                <w:noProof/>
                <w:sz w:val="16"/>
                <w:lang w:val="fr-FR"/>
              </w:rPr>
            </w:pPr>
            <w:r w:rsidRPr="006318F1">
              <w:rPr>
                <w:bCs/>
                <w:i/>
                <w:noProof/>
                <w:sz w:val="16"/>
                <w:lang w:val="fr-FR"/>
              </w:rPr>
              <w:t>Âge</w:t>
            </w:r>
          </w:p>
        </w:tc>
        <w:tc>
          <w:tcPr>
            <w:tcW w:w="143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3912C03" w14:textId="77777777" w:rsidR="00653B7F" w:rsidRPr="006318F1" w:rsidRDefault="00653B7F" w:rsidP="006318F1">
            <w:pPr>
              <w:suppressAutoHyphens w:val="0"/>
              <w:spacing w:before="80" w:after="80" w:line="200" w:lineRule="exact"/>
              <w:jc w:val="right"/>
              <w:rPr>
                <w:i/>
                <w:noProof/>
                <w:sz w:val="16"/>
                <w:lang w:val="fr-FR"/>
              </w:rPr>
            </w:pPr>
            <w:r w:rsidRPr="006318F1">
              <w:rPr>
                <w:bCs/>
                <w:i/>
                <w:noProof/>
                <w:sz w:val="16"/>
                <w:szCs w:val="18"/>
                <w:lang w:val="fr-FR"/>
              </w:rPr>
              <w:t>Nombre</w:t>
            </w:r>
          </w:p>
        </w:tc>
        <w:tc>
          <w:tcPr>
            <w:tcW w:w="16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3523658" w14:textId="77777777" w:rsidR="00653B7F" w:rsidRPr="006318F1" w:rsidRDefault="00653B7F" w:rsidP="006318F1">
            <w:pPr>
              <w:suppressAutoHyphens w:val="0"/>
              <w:spacing w:before="80" w:after="80" w:line="200" w:lineRule="exact"/>
              <w:jc w:val="right"/>
              <w:rPr>
                <w:i/>
                <w:noProof/>
                <w:sz w:val="16"/>
                <w:lang w:val="fr-FR"/>
              </w:rPr>
            </w:pPr>
            <w:r w:rsidRPr="006318F1">
              <w:rPr>
                <w:bCs/>
                <w:i/>
                <w:noProof/>
                <w:sz w:val="16"/>
                <w:szCs w:val="18"/>
                <w:lang w:val="fr-FR"/>
              </w:rPr>
              <w:t>Pourcentage</w:t>
            </w:r>
          </w:p>
        </w:tc>
      </w:tr>
      <w:tr w:rsidR="00653B7F" w:rsidRPr="006318F1" w14:paraId="09A96130" w14:textId="77777777" w:rsidTr="001B0CD1">
        <w:tc>
          <w:tcPr>
            <w:tcW w:w="731" w:type="dxa"/>
            <w:tcBorders>
              <w:top w:val="single" w:sz="12" w:space="0" w:color="auto"/>
            </w:tcBorders>
            <w:shd w:val="clear" w:color="auto" w:fill="auto"/>
            <w:tcMar>
              <w:top w:w="0" w:type="dxa"/>
              <w:left w:w="0" w:type="dxa"/>
              <w:bottom w:w="0" w:type="dxa"/>
              <w:right w:w="0" w:type="dxa"/>
            </w:tcMar>
          </w:tcPr>
          <w:p w14:paraId="4CA2F0DB"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1</w:t>
            </w:r>
          </w:p>
        </w:tc>
        <w:tc>
          <w:tcPr>
            <w:tcW w:w="6126" w:type="dxa"/>
            <w:tcBorders>
              <w:top w:val="single" w:sz="12" w:space="0" w:color="auto"/>
            </w:tcBorders>
            <w:shd w:val="clear" w:color="auto" w:fill="auto"/>
            <w:tcMar>
              <w:top w:w="0" w:type="dxa"/>
              <w:left w:w="0" w:type="dxa"/>
              <w:bottom w:w="0" w:type="dxa"/>
              <w:right w:w="0" w:type="dxa"/>
            </w:tcMar>
            <w:vAlign w:val="bottom"/>
          </w:tcPr>
          <w:p w14:paraId="21FEE5F7"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18 à 25 ans</w:t>
            </w:r>
          </w:p>
        </w:tc>
        <w:tc>
          <w:tcPr>
            <w:tcW w:w="1432" w:type="dxa"/>
            <w:tcBorders>
              <w:top w:val="single" w:sz="12" w:space="0" w:color="auto"/>
            </w:tcBorders>
            <w:shd w:val="clear" w:color="auto" w:fill="auto"/>
            <w:tcMar>
              <w:top w:w="0" w:type="dxa"/>
              <w:left w:w="0" w:type="dxa"/>
              <w:bottom w:w="0" w:type="dxa"/>
              <w:right w:w="0" w:type="dxa"/>
            </w:tcMar>
            <w:vAlign w:val="bottom"/>
          </w:tcPr>
          <w:p w14:paraId="4AC8F77E"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10 551</w:t>
            </w:r>
          </w:p>
        </w:tc>
        <w:tc>
          <w:tcPr>
            <w:tcW w:w="1622" w:type="dxa"/>
            <w:tcBorders>
              <w:top w:val="single" w:sz="12" w:space="0" w:color="auto"/>
            </w:tcBorders>
            <w:shd w:val="clear" w:color="auto" w:fill="auto"/>
            <w:tcMar>
              <w:top w:w="0" w:type="dxa"/>
              <w:left w:w="0" w:type="dxa"/>
              <w:bottom w:w="0" w:type="dxa"/>
              <w:right w:w="0" w:type="dxa"/>
            </w:tcMar>
            <w:vAlign w:val="bottom"/>
          </w:tcPr>
          <w:p w14:paraId="1ACB708C"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26,32 %</w:t>
            </w:r>
          </w:p>
        </w:tc>
      </w:tr>
      <w:tr w:rsidR="00653B7F" w:rsidRPr="006318F1" w14:paraId="64116111" w14:textId="77777777" w:rsidTr="001B0CD1">
        <w:tc>
          <w:tcPr>
            <w:tcW w:w="731" w:type="dxa"/>
            <w:shd w:val="clear" w:color="auto" w:fill="auto"/>
            <w:tcMar>
              <w:top w:w="0" w:type="dxa"/>
              <w:left w:w="0" w:type="dxa"/>
              <w:bottom w:w="0" w:type="dxa"/>
              <w:right w:w="0" w:type="dxa"/>
            </w:tcMar>
          </w:tcPr>
          <w:p w14:paraId="42021600"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2</w:t>
            </w:r>
          </w:p>
        </w:tc>
        <w:tc>
          <w:tcPr>
            <w:tcW w:w="6126" w:type="dxa"/>
            <w:shd w:val="clear" w:color="auto" w:fill="auto"/>
            <w:tcMar>
              <w:top w:w="0" w:type="dxa"/>
              <w:left w:w="0" w:type="dxa"/>
              <w:bottom w:w="0" w:type="dxa"/>
              <w:right w:w="0" w:type="dxa"/>
            </w:tcMar>
            <w:vAlign w:val="bottom"/>
          </w:tcPr>
          <w:p w14:paraId="6512D43E"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26 à 35 ans</w:t>
            </w:r>
          </w:p>
        </w:tc>
        <w:tc>
          <w:tcPr>
            <w:tcW w:w="1432" w:type="dxa"/>
            <w:shd w:val="clear" w:color="auto" w:fill="auto"/>
            <w:tcMar>
              <w:top w:w="0" w:type="dxa"/>
              <w:left w:w="0" w:type="dxa"/>
              <w:bottom w:w="0" w:type="dxa"/>
              <w:right w:w="0" w:type="dxa"/>
            </w:tcMar>
            <w:vAlign w:val="bottom"/>
          </w:tcPr>
          <w:p w14:paraId="1E652AFD"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16 246</w:t>
            </w:r>
          </w:p>
        </w:tc>
        <w:tc>
          <w:tcPr>
            <w:tcW w:w="1622" w:type="dxa"/>
            <w:shd w:val="clear" w:color="auto" w:fill="auto"/>
            <w:tcMar>
              <w:top w:w="0" w:type="dxa"/>
              <w:left w:w="0" w:type="dxa"/>
              <w:bottom w:w="0" w:type="dxa"/>
              <w:right w:w="0" w:type="dxa"/>
            </w:tcMar>
            <w:vAlign w:val="bottom"/>
          </w:tcPr>
          <w:p w14:paraId="2A2EE4EF"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40,52 %</w:t>
            </w:r>
          </w:p>
        </w:tc>
      </w:tr>
      <w:tr w:rsidR="00653B7F" w:rsidRPr="006318F1" w14:paraId="6658B436" w14:textId="77777777" w:rsidTr="001B0CD1">
        <w:tc>
          <w:tcPr>
            <w:tcW w:w="731" w:type="dxa"/>
            <w:shd w:val="clear" w:color="auto" w:fill="auto"/>
            <w:tcMar>
              <w:top w:w="0" w:type="dxa"/>
              <w:left w:w="0" w:type="dxa"/>
              <w:bottom w:w="0" w:type="dxa"/>
              <w:right w:w="0" w:type="dxa"/>
            </w:tcMar>
          </w:tcPr>
          <w:p w14:paraId="09C5A484"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3</w:t>
            </w:r>
          </w:p>
        </w:tc>
        <w:tc>
          <w:tcPr>
            <w:tcW w:w="6126" w:type="dxa"/>
            <w:shd w:val="clear" w:color="auto" w:fill="auto"/>
            <w:tcMar>
              <w:top w:w="0" w:type="dxa"/>
              <w:left w:w="0" w:type="dxa"/>
              <w:bottom w:w="0" w:type="dxa"/>
              <w:right w:w="0" w:type="dxa"/>
            </w:tcMar>
            <w:vAlign w:val="bottom"/>
          </w:tcPr>
          <w:p w14:paraId="7E451F89"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36 à 45 ans</w:t>
            </w:r>
          </w:p>
        </w:tc>
        <w:tc>
          <w:tcPr>
            <w:tcW w:w="1432" w:type="dxa"/>
            <w:shd w:val="clear" w:color="auto" w:fill="auto"/>
            <w:tcMar>
              <w:top w:w="0" w:type="dxa"/>
              <w:left w:w="0" w:type="dxa"/>
              <w:bottom w:w="0" w:type="dxa"/>
              <w:right w:w="0" w:type="dxa"/>
            </w:tcMar>
            <w:vAlign w:val="bottom"/>
          </w:tcPr>
          <w:p w14:paraId="3CD7C4D4"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8 749</w:t>
            </w:r>
          </w:p>
        </w:tc>
        <w:tc>
          <w:tcPr>
            <w:tcW w:w="1622" w:type="dxa"/>
            <w:shd w:val="clear" w:color="auto" w:fill="auto"/>
            <w:tcMar>
              <w:top w:w="0" w:type="dxa"/>
              <w:left w:w="0" w:type="dxa"/>
              <w:bottom w:w="0" w:type="dxa"/>
              <w:right w:w="0" w:type="dxa"/>
            </w:tcMar>
            <w:vAlign w:val="bottom"/>
          </w:tcPr>
          <w:p w14:paraId="3CA6CECF"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21,82 %</w:t>
            </w:r>
          </w:p>
        </w:tc>
      </w:tr>
      <w:tr w:rsidR="00653B7F" w:rsidRPr="006318F1" w14:paraId="1962DB13" w14:textId="77777777" w:rsidTr="001B0CD1">
        <w:tc>
          <w:tcPr>
            <w:tcW w:w="731" w:type="dxa"/>
            <w:shd w:val="clear" w:color="auto" w:fill="auto"/>
            <w:tcMar>
              <w:top w:w="0" w:type="dxa"/>
              <w:left w:w="0" w:type="dxa"/>
              <w:bottom w:w="0" w:type="dxa"/>
              <w:right w:w="0" w:type="dxa"/>
            </w:tcMar>
          </w:tcPr>
          <w:p w14:paraId="740673B9"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4</w:t>
            </w:r>
          </w:p>
        </w:tc>
        <w:tc>
          <w:tcPr>
            <w:tcW w:w="6126" w:type="dxa"/>
            <w:shd w:val="clear" w:color="auto" w:fill="auto"/>
            <w:tcMar>
              <w:top w:w="0" w:type="dxa"/>
              <w:left w:w="0" w:type="dxa"/>
              <w:bottom w:w="0" w:type="dxa"/>
              <w:right w:w="0" w:type="dxa"/>
            </w:tcMar>
            <w:vAlign w:val="bottom"/>
          </w:tcPr>
          <w:p w14:paraId="369286EE"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46 à 55 ans</w:t>
            </w:r>
          </w:p>
        </w:tc>
        <w:tc>
          <w:tcPr>
            <w:tcW w:w="1432" w:type="dxa"/>
            <w:shd w:val="clear" w:color="auto" w:fill="auto"/>
            <w:tcMar>
              <w:top w:w="0" w:type="dxa"/>
              <w:left w:w="0" w:type="dxa"/>
              <w:bottom w:w="0" w:type="dxa"/>
              <w:right w:w="0" w:type="dxa"/>
            </w:tcMar>
            <w:vAlign w:val="bottom"/>
          </w:tcPr>
          <w:p w14:paraId="2E4F22B7"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3 049</w:t>
            </w:r>
          </w:p>
        </w:tc>
        <w:tc>
          <w:tcPr>
            <w:tcW w:w="1622" w:type="dxa"/>
            <w:shd w:val="clear" w:color="auto" w:fill="auto"/>
            <w:tcMar>
              <w:top w:w="0" w:type="dxa"/>
              <w:left w:w="0" w:type="dxa"/>
              <w:bottom w:w="0" w:type="dxa"/>
              <w:right w:w="0" w:type="dxa"/>
            </w:tcMar>
            <w:vAlign w:val="bottom"/>
          </w:tcPr>
          <w:p w14:paraId="2CF3A08C"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7,61 %</w:t>
            </w:r>
          </w:p>
        </w:tc>
      </w:tr>
      <w:tr w:rsidR="00653B7F" w:rsidRPr="006318F1" w14:paraId="1771CCE8" w14:textId="77777777" w:rsidTr="001B0CD1">
        <w:tc>
          <w:tcPr>
            <w:tcW w:w="731" w:type="dxa"/>
            <w:shd w:val="clear" w:color="auto" w:fill="auto"/>
            <w:tcMar>
              <w:top w:w="0" w:type="dxa"/>
              <w:left w:w="0" w:type="dxa"/>
              <w:bottom w:w="0" w:type="dxa"/>
              <w:right w:w="0" w:type="dxa"/>
            </w:tcMar>
          </w:tcPr>
          <w:p w14:paraId="007B34EF"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5</w:t>
            </w:r>
          </w:p>
        </w:tc>
        <w:tc>
          <w:tcPr>
            <w:tcW w:w="6126" w:type="dxa"/>
            <w:shd w:val="clear" w:color="auto" w:fill="auto"/>
            <w:tcMar>
              <w:top w:w="0" w:type="dxa"/>
              <w:left w:w="0" w:type="dxa"/>
              <w:bottom w:w="0" w:type="dxa"/>
              <w:right w:w="0" w:type="dxa"/>
            </w:tcMar>
            <w:vAlign w:val="bottom"/>
          </w:tcPr>
          <w:p w14:paraId="11AA5DD0"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56 à 65 ans</w:t>
            </w:r>
          </w:p>
        </w:tc>
        <w:tc>
          <w:tcPr>
            <w:tcW w:w="1432" w:type="dxa"/>
            <w:shd w:val="clear" w:color="auto" w:fill="auto"/>
            <w:tcMar>
              <w:top w:w="0" w:type="dxa"/>
              <w:left w:w="0" w:type="dxa"/>
              <w:bottom w:w="0" w:type="dxa"/>
              <w:right w:w="0" w:type="dxa"/>
            </w:tcMar>
            <w:vAlign w:val="bottom"/>
          </w:tcPr>
          <w:p w14:paraId="4FDDB5C0"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1 068</w:t>
            </w:r>
          </w:p>
        </w:tc>
        <w:tc>
          <w:tcPr>
            <w:tcW w:w="1622" w:type="dxa"/>
            <w:shd w:val="clear" w:color="auto" w:fill="auto"/>
            <w:tcMar>
              <w:top w:w="0" w:type="dxa"/>
              <w:left w:w="0" w:type="dxa"/>
              <w:bottom w:w="0" w:type="dxa"/>
              <w:right w:w="0" w:type="dxa"/>
            </w:tcMar>
            <w:vAlign w:val="bottom"/>
          </w:tcPr>
          <w:p w14:paraId="07926D25"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2,66 %</w:t>
            </w:r>
          </w:p>
        </w:tc>
      </w:tr>
      <w:tr w:rsidR="00653B7F" w:rsidRPr="006318F1" w14:paraId="06530252" w14:textId="77777777" w:rsidTr="001B0CD1">
        <w:tc>
          <w:tcPr>
            <w:tcW w:w="731" w:type="dxa"/>
            <w:shd w:val="clear" w:color="auto" w:fill="auto"/>
            <w:tcMar>
              <w:top w:w="0" w:type="dxa"/>
              <w:left w:w="0" w:type="dxa"/>
              <w:bottom w:w="0" w:type="dxa"/>
              <w:right w:w="0" w:type="dxa"/>
            </w:tcMar>
          </w:tcPr>
          <w:p w14:paraId="03CE970F"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lastRenderedPageBreak/>
              <w:t>6</w:t>
            </w:r>
          </w:p>
        </w:tc>
        <w:tc>
          <w:tcPr>
            <w:tcW w:w="6126" w:type="dxa"/>
            <w:shd w:val="clear" w:color="auto" w:fill="auto"/>
            <w:tcMar>
              <w:top w:w="0" w:type="dxa"/>
              <w:left w:w="0" w:type="dxa"/>
              <w:bottom w:w="0" w:type="dxa"/>
              <w:right w:w="0" w:type="dxa"/>
            </w:tcMar>
            <w:vAlign w:val="bottom"/>
          </w:tcPr>
          <w:p w14:paraId="2785C576"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66 à 75 ans</w:t>
            </w:r>
          </w:p>
        </w:tc>
        <w:tc>
          <w:tcPr>
            <w:tcW w:w="1432" w:type="dxa"/>
            <w:shd w:val="clear" w:color="auto" w:fill="auto"/>
            <w:tcMar>
              <w:top w:w="0" w:type="dxa"/>
              <w:left w:w="0" w:type="dxa"/>
              <w:bottom w:w="0" w:type="dxa"/>
              <w:right w:w="0" w:type="dxa"/>
            </w:tcMar>
            <w:vAlign w:val="bottom"/>
          </w:tcPr>
          <w:p w14:paraId="51F4FD62"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336</w:t>
            </w:r>
          </w:p>
        </w:tc>
        <w:tc>
          <w:tcPr>
            <w:tcW w:w="1622" w:type="dxa"/>
            <w:shd w:val="clear" w:color="auto" w:fill="auto"/>
            <w:tcMar>
              <w:top w:w="0" w:type="dxa"/>
              <w:left w:w="0" w:type="dxa"/>
              <w:bottom w:w="0" w:type="dxa"/>
              <w:right w:w="0" w:type="dxa"/>
            </w:tcMar>
            <w:vAlign w:val="bottom"/>
          </w:tcPr>
          <w:p w14:paraId="3EA97750"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0,84 %</w:t>
            </w:r>
          </w:p>
        </w:tc>
      </w:tr>
      <w:tr w:rsidR="00653B7F" w:rsidRPr="006318F1" w14:paraId="3854CF52" w14:textId="77777777" w:rsidTr="001B0CD1">
        <w:tc>
          <w:tcPr>
            <w:tcW w:w="731" w:type="dxa"/>
            <w:tcBorders>
              <w:bottom w:val="single" w:sz="4" w:space="0" w:color="auto"/>
            </w:tcBorders>
            <w:shd w:val="clear" w:color="auto" w:fill="auto"/>
            <w:tcMar>
              <w:top w:w="0" w:type="dxa"/>
              <w:left w:w="0" w:type="dxa"/>
              <w:bottom w:w="0" w:type="dxa"/>
              <w:right w:w="0" w:type="dxa"/>
            </w:tcMar>
          </w:tcPr>
          <w:p w14:paraId="398CB77E" w14:textId="77777777" w:rsidR="00653B7F" w:rsidRPr="006318F1" w:rsidRDefault="00653B7F" w:rsidP="006318F1">
            <w:pPr>
              <w:suppressAutoHyphens w:val="0"/>
              <w:spacing w:before="40" w:after="40" w:line="220" w:lineRule="exact"/>
              <w:rPr>
                <w:noProof/>
                <w:sz w:val="18"/>
                <w:lang w:val="fr-FR"/>
              </w:rPr>
            </w:pPr>
            <w:r w:rsidRPr="006318F1">
              <w:rPr>
                <w:noProof/>
                <w:sz w:val="18"/>
                <w:lang w:val="fr-FR"/>
              </w:rPr>
              <w:t>7</w:t>
            </w:r>
          </w:p>
        </w:tc>
        <w:tc>
          <w:tcPr>
            <w:tcW w:w="6126" w:type="dxa"/>
            <w:tcBorders>
              <w:bottom w:val="single" w:sz="4" w:space="0" w:color="auto"/>
            </w:tcBorders>
            <w:shd w:val="clear" w:color="auto" w:fill="auto"/>
            <w:tcMar>
              <w:top w:w="0" w:type="dxa"/>
              <w:left w:w="0" w:type="dxa"/>
              <w:bottom w:w="0" w:type="dxa"/>
              <w:right w:w="0" w:type="dxa"/>
            </w:tcMar>
            <w:vAlign w:val="bottom"/>
          </w:tcPr>
          <w:p w14:paraId="66681CFC" w14:textId="77777777" w:rsidR="00653B7F" w:rsidRPr="006318F1" w:rsidRDefault="00653B7F" w:rsidP="005B66A4">
            <w:pPr>
              <w:suppressAutoHyphens w:val="0"/>
              <w:spacing w:before="40" w:after="40" w:line="220" w:lineRule="exact"/>
              <w:rPr>
                <w:noProof/>
                <w:sz w:val="18"/>
                <w:lang w:val="fr-FR"/>
              </w:rPr>
            </w:pPr>
            <w:r w:rsidRPr="006318F1">
              <w:rPr>
                <w:noProof/>
                <w:sz w:val="18"/>
                <w:lang w:val="fr-FR"/>
              </w:rPr>
              <w:t>De 76 à 90 ans</w:t>
            </w:r>
          </w:p>
        </w:tc>
        <w:tc>
          <w:tcPr>
            <w:tcW w:w="1432" w:type="dxa"/>
            <w:tcBorders>
              <w:bottom w:val="single" w:sz="4" w:space="0" w:color="auto"/>
            </w:tcBorders>
            <w:shd w:val="clear" w:color="auto" w:fill="auto"/>
            <w:tcMar>
              <w:top w:w="0" w:type="dxa"/>
              <w:left w:w="0" w:type="dxa"/>
              <w:bottom w:w="0" w:type="dxa"/>
              <w:right w:w="0" w:type="dxa"/>
            </w:tcMar>
            <w:vAlign w:val="bottom"/>
          </w:tcPr>
          <w:p w14:paraId="432CE2F0"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u w:color="222B35"/>
                <w:lang w:val="fr-FR"/>
              </w:rPr>
              <w:t>91</w:t>
            </w:r>
          </w:p>
        </w:tc>
        <w:tc>
          <w:tcPr>
            <w:tcW w:w="1622" w:type="dxa"/>
            <w:tcBorders>
              <w:bottom w:val="single" w:sz="4" w:space="0" w:color="auto"/>
            </w:tcBorders>
            <w:shd w:val="clear" w:color="auto" w:fill="auto"/>
            <w:tcMar>
              <w:top w:w="0" w:type="dxa"/>
              <w:left w:w="0" w:type="dxa"/>
              <w:bottom w:w="0" w:type="dxa"/>
              <w:right w:w="0" w:type="dxa"/>
            </w:tcMar>
            <w:vAlign w:val="bottom"/>
          </w:tcPr>
          <w:p w14:paraId="2C0AE08A" w14:textId="77777777" w:rsidR="00653B7F" w:rsidRPr="006318F1" w:rsidRDefault="00653B7F" w:rsidP="006318F1">
            <w:pPr>
              <w:suppressAutoHyphens w:val="0"/>
              <w:spacing w:before="40" w:after="40" w:line="220" w:lineRule="exact"/>
              <w:jc w:val="right"/>
              <w:rPr>
                <w:noProof/>
                <w:sz w:val="18"/>
                <w:lang w:val="fr-FR"/>
              </w:rPr>
            </w:pPr>
            <w:r w:rsidRPr="006318F1">
              <w:rPr>
                <w:noProof/>
                <w:sz w:val="18"/>
                <w:lang w:val="fr-FR"/>
              </w:rPr>
              <w:t>0,23 %</w:t>
            </w:r>
          </w:p>
        </w:tc>
      </w:tr>
      <w:tr w:rsidR="00653B7F" w:rsidRPr="006318F1" w14:paraId="15E617A9" w14:textId="77777777" w:rsidTr="001B0CD1">
        <w:tc>
          <w:tcPr>
            <w:tcW w:w="6857" w:type="dxa"/>
            <w:gridSpan w:val="2"/>
            <w:tcBorders>
              <w:top w:val="single" w:sz="4" w:space="0" w:color="auto"/>
              <w:bottom w:val="single" w:sz="12" w:space="0" w:color="auto"/>
            </w:tcBorders>
            <w:shd w:val="clear" w:color="auto" w:fill="auto"/>
            <w:tcMar>
              <w:top w:w="0" w:type="dxa"/>
              <w:left w:w="0" w:type="dxa"/>
              <w:bottom w:w="0" w:type="dxa"/>
              <w:right w:w="0" w:type="dxa"/>
            </w:tcMar>
          </w:tcPr>
          <w:p w14:paraId="28A257AE" w14:textId="77777777" w:rsidR="00653B7F" w:rsidRPr="006318F1" w:rsidRDefault="00653B7F" w:rsidP="001B0CD1">
            <w:pPr>
              <w:suppressAutoHyphens w:val="0"/>
              <w:spacing w:before="80" w:after="80" w:line="220" w:lineRule="exact"/>
              <w:ind w:left="284"/>
              <w:rPr>
                <w:b/>
                <w:noProof/>
                <w:sz w:val="18"/>
                <w:lang w:val="fr-FR"/>
              </w:rPr>
            </w:pPr>
            <w:r w:rsidRPr="006318F1">
              <w:rPr>
                <w:b/>
                <w:bCs/>
                <w:noProof/>
                <w:sz w:val="18"/>
                <w:szCs w:val="18"/>
                <w:lang w:val="fr-FR"/>
              </w:rPr>
              <w:t>Total</w:t>
            </w:r>
          </w:p>
        </w:tc>
        <w:tc>
          <w:tcPr>
            <w:tcW w:w="143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70A6E59" w14:textId="77777777" w:rsidR="00653B7F" w:rsidRPr="006318F1" w:rsidRDefault="00653B7F" w:rsidP="001B0CD1">
            <w:pPr>
              <w:suppressAutoHyphens w:val="0"/>
              <w:spacing w:before="80" w:after="80" w:line="220" w:lineRule="exact"/>
              <w:jc w:val="right"/>
              <w:rPr>
                <w:b/>
                <w:noProof/>
                <w:sz w:val="18"/>
                <w:lang w:val="fr-FR"/>
              </w:rPr>
            </w:pPr>
            <w:r w:rsidRPr="006318F1">
              <w:rPr>
                <w:b/>
                <w:bCs/>
                <w:noProof/>
                <w:sz w:val="18"/>
                <w:lang w:val="fr-FR"/>
              </w:rPr>
              <w:t>40 090</w:t>
            </w:r>
          </w:p>
        </w:tc>
        <w:tc>
          <w:tcPr>
            <w:tcW w:w="16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63838C0" w14:textId="77777777" w:rsidR="00653B7F" w:rsidRPr="006318F1" w:rsidRDefault="00653B7F" w:rsidP="001B0CD1">
            <w:pPr>
              <w:suppressAutoHyphens w:val="0"/>
              <w:spacing w:before="80" w:after="80" w:line="220" w:lineRule="exact"/>
              <w:jc w:val="right"/>
              <w:rPr>
                <w:b/>
                <w:noProof/>
                <w:sz w:val="18"/>
                <w:lang w:val="fr-FR"/>
              </w:rPr>
            </w:pPr>
            <w:r w:rsidRPr="006318F1">
              <w:rPr>
                <w:b/>
                <w:bCs/>
                <w:noProof/>
                <w:sz w:val="18"/>
                <w:lang w:val="fr-FR"/>
              </w:rPr>
              <w:t>100 %</w:t>
            </w:r>
          </w:p>
        </w:tc>
      </w:tr>
    </w:tbl>
    <w:p w14:paraId="3726762D" w14:textId="77777777" w:rsidR="00653B7F" w:rsidRPr="00A355E6" w:rsidRDefault="00653B7F" w:rsidP="00F943C8">
      <w:pPr>
        <w:pStyle w:val="Titre1"/>
        <w:kinsoku/>
        <w:overflowPunct/>
        <w:autoSpaceDE/>
        <w:autoSpaceDN/>
        <w:adjustRightInd/>
        <w:snapToGrid/>
        <w:spacing w:before="240" w:after="120"/>
        <w:rPr>
          <w:b/>
          <w:bCs/>
          <w:noProof/>
          <w:lang w:val="fr-FR"/>
        </w:rPr>
      </w:pPr>
      <w:r>
        <w:rPr>
          <w:noProof/>
          <w:lang w:val="fr-FR"/>
        </w:rPr>
        <w:t>Tableau</w:t>
      </w:r>
      <w:r w:rsidRPr="00BB6F7D">
        <w:rPr>
          <w:noProof/>
          <w:lang w:val="fr-FR"/>
        </w:rPr>
        <w:t xml:space="preserve"> 15</w:t>
      </w:r>
      <w:r w:rsidR="00A355E6">
        <w:rPr>
          <w:noProof/>
          <w:lang w:val="fr-FR"/>
        </w:rPr>
        <w:br/>
      </w:r>
      <w:r w:rsidRPr="00A355E6">
        <w:rPr>
          <w:b/>
          <w:bCs/>
          <w:noProof/>
          <w:lang w:val="fr-FR"/>
        </w:rPr>
        <w:t>Chefs de condamnation classés selon le nombre de condamnations, au 25</w:t>
      </w:r>
      <w:r w:rsidR="00A355E6" w:rsidRPr="00A355E6">
        <w:rPr>
          <w:b/>
          <w:bCs/>
          <w:noProof/>
          <w:lang w:val="fr-FR"/>
        </w:rPr>
        <w:t> </w:t>
      </w:r>
      <w:r w:rsidRPr="00A355E6">
        <w:rPr>
          <w:b/>
          <w:bCs/>
          <w:noProof/>
          <w:lang w:val="fr-FR"/>
        </w:rPr>
        <w:t xml:space="preserve">février 2019 </w:t>
      </w:r>
    </w:p>
    <w:tbl>
      <w:tblPr>
        <w:tblW w:w="7370" w:type="dxa"/>
        <w:tblInd w:w="1134" w:type="dxa"/>
        <w:tblLayout w:type="fixed"/>
        <w:tblCellMar>
          <w:left w:w="0" w:type="dxa"/>
          <w:right w:w="0" w:type="dxa"/>
        </w:tblCellMar>
        <w:tblLook w:val="04A0" w:firstRow="1" w:lastRow="0" w:firstColumn="1" w:lastColumn="0" w:noHBand="0" w:noVBand="1"/>
      </w:tblPr>
      <w:tblGrid>
        <w:gridCol w:w="579"/>
        <w:gridCol w:w="4482"/>
        <w:gridCol w:w="1085"/>
        <w:gridCol w:w="1224"/>
      </w:tblGrid>
      <w:tr w:rsidR="00A355E6" w:rsidRPr="00A355E6" w14:paraId="02F943E9" w14:textId="77777777" w:rsidTr="00F943C8">
        <w:trPr>
          <w:tblHeader/>
        </w:trPr>
        <w:tc>
          <w:tcPr>
            <w:tcW w:w="579"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599076A3" w14:textId="77777777" w:rsidR="00A355E6" w:rsidRPr="00A355E6" w:rsidRDefault="00A355E6" w:rsidP="00A355E6">
            <w:pPr>
              <w:suppressAutoHyphens w:val="0"/>
              <w:spacing w:before="80" w:after="80" w:line="200" w:lineRule="exact"/>
              <w:rPr>
                <w:i/>
                <w:noProof/>
                <w:sz w:val="16"/>
                <w:lang w:val="fr-FR"/>
              </w:rPr>
            </w:pPr>
          </w:p>
        </w:tc>
        <w:tc>
          <w:tcPr>
            <w:tcW w:w="6791"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16242056" w14:textId="77777777" w:rsidR="00A355E6" w:rsidRPr="00F943C8" w:rsidRDefault="00A355E6" w:rsidP="00F943C8">
            <w:pPr>
              <w:suppressAutoHyphens w:val="0"/>
              <w:spacing w:before="80" w:after="80" w:line="200" w:lineRule="exact"/>
              <w:jc w:val="center"/>
              <w:rPr>
                <w:i/>
                <w:noProof/>
                <w:sz w:val="16"/>
                <w:szCs w:val="16"/>
                <w:lang w:val="fr-FR"/>
              </w:rPr>
            </w:pPr>
            <w:r w:rsidRPr="00F943C8">
              <w:rPr>
                <w:bCs/>
                <w:i/>
                <w:noProof/>
                <w:sz w:val="16"/>
                <w:szCs w:val="16"/>
                <w:lang w:val="fr-FR"/>
              </w:rPr>
              <w:t>Détenus condamnés seulement</w:t>
            </w:r>
          </w:p>
        </w:tc>
      </w:tr>
      <w:tr w:rsidR="00A355E6" w:rsidRPr="00A355E6" w14:paraId="1011B952" w14:textId="77777777" w:rsidTr="00F943C8">
        <w:trPr>
          <w:tblHeader/>
        </w:trPr>
        <w:tc>
          <w:tcPr>
            <w:tcW w:w="579" w:type="dxa"/>
            <w:vMerge/>
            <w:tcBorders>
              <w:top w:val="single" w:sz="12" w:space="0" w:color="auto"/>
              <w:bottom w:val="single" w:sz="12" w:space="0" w:color="auto"/>
            </w:tcBorders>
            <w:shd w:val="clear" w:color="auto" w:fill="auto"/>
            <w:vAlign w:val="bottom"/>
          </w:tcPr>
          <w:p w14:paraId="2FAEEBC1" w14:textId="77777777" w:rsidR="00A355E6" w:rsidRPr="00A355E6" w:rsidRDefault="00A355E6" w:rsidP="00A355E6">
            <w:pPr>
              <w:suppressAutoHyphens w:val="0"/>
              <w:spacing w:before="40" w:after="40" w:line="220" w:lineRule="exact"/>
              <w:rPr>
                <w:noProof/>
                <w:sz w:val="18"/>
                <w:lang w:val="fr-FR"/>
              </w:rPr>
            </w:pPr>
          </w:p>
        </w:tc>
        <w:tc>
          <w:tcPr>
            <w:tcW w:w="448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497281A" w14:textId="77777777" w:rsidR="00A355E6" w:rsidRPr="00F943C8" w:rsidRDefault="00A355E6" w:rsidP="00F943C8">
            <w:pPr>
              <w:suppressAutoHyphens w:val="0"/>
              <w:spacing w:before="80" w:after="80" w:line="220" w:lineRule="exact"/>
              <w:rPr>
                <w:i/>
                <w:iCs/>
                <w:noProof/>
                <w:sz w:val="16"/>
                <w:szCs w:val="16"/>
                <w:lang w:val="fr-FR"/>
              </w:rPr>
            </w:pPr>
            <w:r w:rsidRPr="00F943C8">
              <w:rPr>
                <w:bCs/>
                <w:i/>
                <w:iCs/>
                <w:noProof/>
                <w:sz w:val="16"/>
                <w:szCs w:val="16"/>
                <w:lang w:val="fr-FR"/>
              </w:rPr>
              <w:t>Infraction</w:t>
            </w:r>
          </w:p>
        </w:tc>
        <w:tc>
          <w:tcPr>
            <w:tcW w:w="10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5EA47E3" w14:textId="77777777" w:rsidR="00A355E6" w:rsidRPr="00F943C8" w:rsidRDefault="00A355E6" w:rsidP="00F943C8">
            <w:pPr>
              <w:suppressAutoHyphens w:val="0"/>
              <w:spacing w:before="80" w:after="80" w:line="220" w:lineRule="exact"/>
              <w:jc w:val="right"/>
              <w:rPr>
                <w:bCs/>
                <w:i/>
                <w:iCs/>
                <w:noProof/>
                <w:sz w:val="16"/>
                <w:szCs w:val="16"/>
                <w:lang w:val="fr-FR"/>
              </w:rPr>
            </w:pPr>
            <w:r w:rsidRPr="00F943C8">
              <w:rPr>
                <w:bCs/>
                <w:i/>
                <w:iCs/>
                <w:noProof/>
                <w:sz w:val="16"/>
                <w:szCs w:val="16"/>
                <w:lang w:val="fr-FR"/>
              </w:rPr>
              <w:t>Nombre</w:t>
            </w:r>
          </w:p>
        </w:tc>
        <w:tc>
          <w:tcPr>
            <w:tcW w:w="12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D48C28" w14:textId="77777777" w:rsidR="00A355E6" w:rsidRPr="00F943C8" w:rsidRDefault="00A355E6" w:rsidP="00F943C8">
            <w:pPr>
              <w:suppressAutoHyphens w:val="0"/>
              <w:spacing w:before="80" w:after="80" w:line="220" w:lineRule="exact"/>
              <w:jc w:val="right"/>
              <w:rPr>
                <w:bCs/>
                <w:i/>
                <w:iCs/>
                <w:noProof/>
                <w:sz w:val="16"/>
                <w:szCs w:val="16"/>
                <w:lang w:val="fr-FR"/>
              </w:rPr>
            </w:pPr>
            <w:r w:rsidRPr="00F943C8">
              <w:rPr>
                <w:bCs/>
                <w:i/>
                <w:iCs/>
                <w:noProof/>
                <w:sz w:val="16"/>
                <w:szCs w:val="16"/>
                <w:lang w:val="fr-FR"/>
              </w:rPr>
              <w:t>Pourcentage</w:t>
            </w:r>
          </w:p>
        </w:tc>
      </w:tr>
      <w:tr w:rsidR="00A355E6" w:rsidRPr="00A355E6" w14:paraId="2024F4DB" w14:textId="77777777" w:rsidTr="00F943C8">
        <w:tc>
          <w:tcPr>
            <w:tcW w:w="579" w:type="dxa"/>
            <w:tcBorders>
              <w:top w:val="single" w:sz="12" w:space="0" w:color="auto"/>
            </w:tcBorders>
            <w:shd w:val="clear" w:color="auto" w:fill="auto"/>
            <w:tcMar>
              <w:top w:w="0" w:type="dxa"/>
              <w:left w:w="0" w:type="dxa"/>
              <w:bottom w:w="0" w:type="dxa"/>
              <w:right w:w="0" w:type="dxa"/>
            </w:tcMar>
          </w:tcPr>
          <w:p w14:paraId="12FF29A7" w14:textId="77777777" w:rsidR="00A355E6" w:rsidRPr="00A355E6" w:rsidRDefault="00A355E6" w:rsidP="00A355E6">
            <w:pPr>
              <w:suppressAutoHyphens w:val="0"/>
              <w:spacing w:before="40" w:after="40" w:line="220" w:lineRule="exact"/>
              <w:rPr>
                <w:noProof/>
                <w:sz w:val="18"/>
                <w:lang w:val="fr-FR"/>
              </w:rPr>
            </w:pPr>
            <w:r w:rsidRPr="00A355E6">
              <w:rPr>
                <w:noProof/>
                <w:sz w:val="18"/>
                <w:lang w:val="fr-FR"/>
              </w:rPr>
              <w:t>1</w:t>
            </w:r>
          </w:p>
        </w:tc>
        <w:tc>
          <w:tcPr>
            <w:tcW w:w="4482" w:type="dxa"/>
            <w:tcBorders>
              <w:top w:val="single" w:sz="12" w:space="0" w:color="auto"/>
            </w:tcBorders>
            <w:shd w:val="clear" w:color="auto" w:fill="auto"/>
            <w:tcMar>
              <w:top w:w="0" w:type="dxa"/>
              <w:left w:w="0" w:type="dxa"/>
              <w:bottom w:w="0" w:type="dxa"/>
              <w:right w:w="0" w:type="dxa"/>
            </w:tcMar>
            <w:vAlign w:val="bottom"/>
          </w:tcPr>
          <w:p w14:paraId="61ED9B3F"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Homicide</w:t>
            </w:r>
          </w:p>
        </w:tc>
        <w:tc>
          <w:tcPr>
            <w:tcW w:w="1085" w:type="dxa"/>
            <w:tcBorders>
              <w:top w:val="single" w:sz="12" w:space="0" w:color="auto"/>
            </w:tcBorders>
            <w:shd w:val="clear" w:color="auto" w:fill="auto"/>
            <w:tcMar>
              <w:top w:w="0" w:type="dxa"/>
              <w:left w:w="0" w:type="dxa"/>
              <w:bottom w:w="0" w:type="dxa"/>
              <w:right w:w="0" w:type="dxa"/>
            </w:tcMar>
            <w:vAlign w:val="bottom"/>
          </w:tcPr>
          <w:p w14:paraId="7369A6D6"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u w:color="222B35"/>
                <w:lang w:val="fr-FR"/>
              </w:rPr>
              <w:t>13 589</w:t>
            </w:r>
          </w:p>
        </w:tc>
        <w:tc>
          <w:tcPr>
            <w:tcW w:w="1224" w:type="dxa"/>
            <w:tcBorders>
              <w:top w:val="single" w:sz="12" w:space="0" w:color="auto"/>
            </w:tcBorders>
            <w:shd w:val="clear" w:color="auto" w:fill="auto"/>
            <w:tcMar>
              <w:top w:w="0" w:type="dxa"/>
              <w:left w:w="0" w:type="dxa"/>
              <w:bottom w:w="0" w:type="dxa"/>
              <w:right w:w="0" w:type="dxa"/>
            </w:tcMar>
            <w:vAlign w:val="bottom"/>
          </w:tcPr>
          <w:p w14:paraId="37324F9C"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30,64 %</w:t>
            </w:r>
          </w:p>
        </w:tc>
      </w:tr>
      <w:tr w:rsidR="00A355E6" w:rsidRPr="00A355E6" w14:paraId="2727A831" w14:textId="77777777" w:rsidTr="00F943C8">
        <w:tc>
          <w:tcPr>
            <w:tcW w:w="579" w:type="dxa"/>
            <w:shd w:val="clear" w:color="auto" w:fill="auto"/>
            <w:tcMar>
              <w:top w:w="0" w:type="dxa"/>
              <w:left w:w="0" w:type="dxa"/>
              <w:bottom w:w="0" w:type="dxa"/>
              <w:right w:w="0" w:type="dxa"/>
            </w:tcMar>
          </w:tcPr>
          <w:p w14:paraId="44D23F96" w14:textId="77777777" w:rsidR="00A355E6" w:rsidRPr="00A355E6" w:rsidRDefault="00A355E6" w:rsidP="00A355E6">
            <w:pPr>
              <w:suppressAutoHyphens w:val="0"/>
              <w:spacing w:before="40" w:after="40" w:line="220" w:lineRule="exact"/>
              <w:rPr>
                <w:noProof/>
                <w:sz w:val="18"/>
                <w:lang w:val="fr-FR"/>
              </w:rPr>
            </w:pPr>
            <w:r w:rsidRPr="00A355E6">
              <w:rPr>
                <w:noProof/>
                <w:sz w:val="18"/>
                <w:lang w:val="fr-FR"/>
              </w:rPr>
              <w:t>2</w:t>
            </w:r>
          </w:p>
        </w:tc>
        <w:tc>
          <w:tcPr>
            <w:tcW w:w="4482" w:type="dxa"/>
            <w:shd w:val="clear" w:color="auto" w:fill="auto"/>
            <w:tcMar>
              <w:top w:w="0" w:type="dxa"/>
              <w:left w:w="0" w:type="dxa"/>
              <w:bottom w:w="0" w:type="dxa"/>
              <w:right w:w="0" w:type="dxa"/>
            </w:tcMar>
            <w:vAlign w:val="bottom"/>
          </w:tcPr>
          <w:p w14:paraId="50DE4903"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Extorsion</w:t>
            </w:r>
          </w:p>
        </w:tc>
        <w:tc>
          <w:tcPr>
            <w:tcW w:w="1085" w:type="dxa"/>
            <w:shd w:val="clear" w:color="auto" w:fill="auto"/>
            <w:tcMar>
              <w:top w:w="0" w:type="dxa"/>
              <w:left w:w="0" w:type="dxa"/>
              <w:bottom w:w="0" w:type="dxa"/>
              <w:right w:w="0" w:type="dxa"/>
            </w:tcMar>
            <w:vAlign w:val="bottom"/>
          </w:tcPr>
          <w:p w14:paraId="7AA3EB07"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u w:color="222B35"/>
                <w:lang w:val="fr-FR"/>
              </w:rPr>
              <w:t>7 335</w:t>
            </w:r>
          </w:p>
        </w:tc>
        <w:tc>
          <w:tcPr>
            <w:tcW w:w="1224" w:type="dxa"/>
            <w:shd w:val="clear" w:color="auto" w:fill="auto"/>
            <w:tcMar>
              <w:top w:w="0" w:type="dxa"/>
              <w:left w:w="0" w:type="dxa"/>
              <w:bottom w:w="0" w:type="dxa"/>
              <w:right w:w="0" w:type="dxa"/>
            </w:tcMar>
            <w:vAlign w:val="bottom"/>
          </w:tcPr>
          <w:p w14:paraId="7D7C5DCE"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16,54 %</w:t>
            </w:r>
          </w:p>
        </w:tc>
      </w:tr>
      <w:tr w:rsidR="00A355E6" w:rsidRPr="00A355E6" w14:paraId="14B33B73" w14:textId="77777777" w:rsidTr="00F943C8">
        <w:tc>
          <w:tcPr>
            <w:tcW w:w="579" w:type="dxa"/>
            <w:shd w:val="clear" w:color="auto" w:fill="auto"/>
            <w:tcMar>
              <w:top w:w="0" w:type="dxa"/>
              <w:left w:w="0" w:type="dxa"/>
              <w:bottom w:w="0" w:type="dxa"/>
              <w:right w:w="0" w:type="dxa"/>
            </w:tcMar>
          </w:tcPr>
          <w:p w14:paraId="376C191F" w14:textId="77777777" w:rsidR="00A355E6" w:rsidRPr="00A355E6" w:rsidRDefault="00A355E6" w:rsidP="00A355E6">
            <w:pPr>
              <w:suppressAutoHyphens w:val="0"/>
              <w:spacing w:before="40" w:after="40" w:line="220" w:lineRule="exact"/>
              <w:rPr>
                <w:noProof/>
                <w:sz w:val="18"/>
                <w:lang w:val="fr-FR"/>
              </w:rPr>
            </w:pPr>
            <w:r w:rsidRPr="00A355E6">
              <w:rPr>
                <w:noProof/>
                <w:sz w:val="18"/>
                <w:lang w:val="fr-FR"/>
              </w:rPr>
              <w:t>3</w:t>
            </w:r>
          </w:p>
        </w:tc>
        <w:tc>
          <w:tcPr>
            <w:tcW w:w="4482" w:type="dxa"/>
            <w:shd w:val="clear" w:color="auto" w:fill="auto"/>
            <w:tcMar>
              <w:top w:w="0" w:type="dxa"/>
              <w:left w:w="0" w:type="dxa"/>
              <w:bottom w:w="0" w:type="dxa"/>
              <w:right w:w="0" w:type="dxa"/>
            </w:tcMar>
            <w:vAlign w:val="bottom"/>
          </w:tcPr>
          <w:p w14:paraId="490C9261"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Vol</w:t>
            </w:r>
          </w:p>
        </w:tc>
        <w:tc>
          <w:tcPr>
            <w:tcW w:w="1085" w:type="dxa"/>
            <w:shd w:val="clear" w:color="auto" w:fill="auto"/>
            <w:tcMar>
              <w:top w:w="0" w:type="dxa"/>
              <w:left w:w="0" w:type="dxa"/>
              <w:bottom w:w="0" w:type="dxa"/>
              <w:right w:w="0" w:type="dxa"/>
            </w:tcMar>
            <w:vAlign w:val="bottom"/>
          </w:tcPr>
          <w:p w14:paraId="02585E19"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u w:color="222B35"/>
                <w:lang w:val="fr-FR"/>
              </w:rPr>
              <w:t>3 875</w:t>
            </w:r>
          </w:p>
        </w:tc>
        <w:tc>
          <w:tcPr>
            <w:tcW w:w="1224" w:type="dxa"/>
            <w:shd w:val="clear" w:color="auto" w:fill="auto"/>
            <w:tcMar>
              <w:top w:w="0" w:type="dxa"/>
              <w:left w:w="0" w:type="dxa"/>
              <w:bottom w:w="0" w:type="dxa"/>
              <w:right w:w="0" w:type="dxa"/>
            </w:tcMar>
            <w:vAlign w:val="bottom"/>
          </w:tcPr>
          <w:p w14:paraId="131E83CE"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8,74 %</w:t>
            </w:r>
          </w:p>
        </w:tc>
      </w:tr>
      <w:tr w:rsidR="00A355E6" w:rsidRPr="00A355E6" w14:paraId="617D852B" w14:textId="77777777" w:rsidTr="00F943C8">
        <w:tc>
          <w:tcPr>
            <w:tcW w:w="579" w:type="dxa"/>
            <w:shd w:val="clear" w:color="auto" w:fill="auto"/>
            <w:tcMar>
              <w:top w:w="0" w:type="dxa"/>
              <w:left w:w="0" w:type="dxa"/>
              <w:bottom w:w="0" w:type="dxa"/>
              <w:right w:w="0" w:type="dxa"/>
            </w:tcMar>
          </w:tcPr>
          <w:p w14:paraId="3AFC6B71" w14:textId="77777777" w:rsidR="00A355E6" w:rsidRPr="00A355E6" w:rsidRDefault="00A355E6" w:rsidP="00F943C8">
            <w:pPr>
              <w:suppressAutoHyphens w:val="0"/>
              <w:spacing w:before="40" w:after="40" w:line="220" w:lineRule="exact"/>
              <w:rPr>
                <w:noProof/>
                <w:sz w:val="18"/>
                <w:lang w:val="fr-FR"/>
              </w:rPr>
            </w:pPr>
            <w:r w:rsidRPr="00A355E6">
              <w:rPr>
                <w:noProof/>
                <w:sz w:val="18"/>
                <w:lang w:val="fr-FR"/>
              </w:rPr>
              <w:t>4</w:t>
            </w:r>
          </w:p>
        </w:tc>
        <w:tc>
          <w:tcPr>
            <w:tcW w:w="4482" w:type="dxa"/>
            <w:shd w:val="clear" w:color="auto" w:fill="auto"/>
            <w:tcMar>
              <w:top w:w="0" w:type="dxa"/>
              <w:left w:w="0" w:type="dxa"/>
              <w:bottom w:w="0" w:type="dxa"/>
              <w:right w:w="0" w:type="dxa"/>
            </w:tcMar>
            <w:vAlign w:val="bottom"/>
          </w:tcPr>
          <w:p w14:paraId="00B29E87"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Infractions à la législation sur les stupéfiants</w:t>
            </w:r>
          </w:p>
        </w:tc>
        <w:tc>
          <w:tcPr>
            <w:tcW w:w="1085" w:type="dxa"/>
            <w:shd w:val="clear" w:color="auto" w:fill="auto"/>
            <w:tcMar>
              <w:top w:w="0" w:type="dxa"/>
              <w:left w:w="0" w:type="dxa"/>
              <w:bottom w:w="0" w:type="dxa"/>
              <w:right w:w="0" w:type="dxa"/>
            </w:tcMar>
            <w:vAlign w:val="bottom"/>
          </w:tcPr>
          <w:p w14:paraId="5F7857AA"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3 675</w:t>
            </w:r>
          </w:p>
        </w:tc>
        <w:tc>
          <w:tcPr>
            <w:tcW w:w="1224" w:type="dxa"/>
            <w:shd w:val="clear" w:color="auto" w:fill="auto"/>
            <w:tcMar>
              <w:top w:w="0" w:type="dxa"/>
              <w:left w:w="0" w:type="dxa"/>
              <w:bottom w:w="0" w:type="dxa"/>
              <w:right w:w="0" w:type="dxa"/>
            </w:tcMar>
            <w:vAlign w:val="bottom"/>
          </w:tcPr>
          <w:p w14:paraId="26C7FE8F"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8,29 %</w:t>
            </w:r>
          </w:p>
        </w:tc>
      </w:tr>
      <w:tr w:rsidR="00A355E6" w:rsidRPr="00A355E6" w14:paraId="761482C5" w14:textId="77777777" w:rsidTr="00F943C8">
        <w:tc>
          <w:tcPr>
            <w:tcW w:w="579" w:type="dxa"/>
            <w:shd w:val="clear" w:color="auto" w:fill="auto"/>
            <w:tcMar>
              <w:top w:w="0" w:type="dxa"/>
              <w:left w:w="0" w:type="dxa"/>
              <w:bottom w:w="0" w:type="dxa"/>
              <w:right w:w="0" w:type="dxa"/>
            </w:tcMar>
          </w:tcPr>
          <w:p w14:paraId="276ABEEE" w14:textId="77777777" w:rsidR="00A355E6" w:rsidRPr="00A355E6" w:rsidRDefault="00A355E6" w:rsidP="00A355E6">
            <w:pPr>
              <w:suppressAutoHyphens w:val="0"/>
              <w:spacing w:before="40" w:after="40" w:line="220" w:lineRule="exact"/>
              <w:rPr>
                <w:noProof/>
                <w:sz w:val="18"/>
                <w:lang w:val="fr-FR"/>
              </w:rPr>
            </w:pPr>
            <w:r w:rsidRPr="00A355E6">
              <w:rPr>
                <w:noProof/>
                <w:sz w:val="18"/>
                <w:lang w:val="fr-FR"/>
              </w:rPr>
              <w:t>5</w:t>
            </w:r>
          </w:p>
        </w:tc>
        <w:tc>
          <w:tcPr>
            <w:tcW w:w="4482" w:type="dxa"/>
            <w:shd w:val="clear" w:color="auto" w:fill="auto"/>
            <w:tcMar>
              <w:top w:w="0" w:type="dxa"/>
              <w:left w:w="0" w:type="dxa"/>
              <w:bottom w:w="0" w:type="dxa"/>
              <w:right w:w="0" w:type="dxa"/>
            </w:tcMar>
            <w:vAlign w:val="bottom"/>
          </w:tcPr>
          <w:p w14:paraId="452B710D"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Association de malfaiteurs</w:t>
            </w:r>
          </w:p>
        </w:tc>
        <w:tc>
          <w:tcPr>
            <w:tcW w:w="1085" w:type="dxa"/>
            <w:shd w:val="clear" w:color="auto" w:fill="auto"/>
            <w:tcMar>
              <w:top w:w="0" w:type="dxa"/>
              <w:left w:w="0" w:type="dxa"/>
              <w:bottom w:w="0" w:type="dxa"/>
              <w:right w:w="0" w:type="dxa"/>
            </w:tcMar>
            <w:vAlign w:val="bottom"/>
          </w:tcPr>
          <w:p w14:paraId="2E9CC93B"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3 408</w:t>
            </w:r>
          </w:p>
        </w:tc>
        <w:tc>
          <w:tcPr>
            <w:tcW w:w="1224" w:type="dxa"/>
            <w:shd w:val="clear" w:color="auto" w:fill="auto"/>
            <w:tcMar>
              <w:top w:w="0" w:type="dxa"/>
              <w:left w:w="0" w:type="dxa"/>
              <w:bottom w:w="0" w:type="dxa"/>
              <w:right w:w="0" w:type="dxa"/>
            </w:tcMar>
            <w:vAlign w:val="bottom"/>
          </w:tcPr>
          <w:p w14:paraId="4FE0972D"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7,69 %</w:t>
            </w:r>
          </w:p>
        </w:tc>
      </w:tr>
      <w:tr w:rsidR="00A355E6" w:rsidRPr="00A355E6" w14:paraId="0730D577" w14:textId="77777777" w:rsidTr="00F943C8">
        <w:tc>
          <w:tcPr>
            <w:tcW w:w="579" w:type="dxa"/>
            <w:shd w:val="clear" w:color="auto" w:fill="auto"/>
            <w:tcMar>
              <w:top w:w="0" w:type="dxa"/>
              <w:left w:w="0" w:type="dxa"/>
              <w:bottom w:w="0" w:type="dxa"/>
              <w:right w:w="0" w:type="dxa"/>
            </w:tcMar>
          </w:tcPr>
          <w:p w14:paraId="0BE9AF37" w14:textId="77777777" w:rsidR="00A355E6" w:rsidRPr="00A355E6" w:rsidRDefault="00A355E6" w:rsidP="00A355E6">
            <w:pPr>
              <w:suppressAutoHyphens w:val="0"/>
              <w:spacing w:before="40" w:after="40" w:line="220" w:lineRule="exact"/>
              <w:rPr>
                <w:noProof/>
                <w:sz w:val="18"/>
                <w:lang w:val="fr-FR"/>
              </w:rPr>
            </w:pPr>
            <w:r w:rsidRPr="00A355E6">
              <w:rPr>
                <w:noProof/>
                <w:sz w:val="18"/>
                <w:lang w:val="fr-FR"/>
              </w:rPr>
              <w:t>6</w:t>
            </w:r>
          </w:p>
        </w:tc>
        <w:tc>
          <w:tcPr>
            <w:tcW w:w="4482" w:type="dxa"/>
            <w:shd w:val="clear" w:color="auto" w:fill="auto"/>
            <w:tcMar>
              <w:top w:w="0" w:type="dxa"/>
              <w:left w:w="0" w:type="dxa"/>
              <w:bottom w:w="0" w:type="dxa"/>
              <w:right w:w="0" w:type="dxa"/>
            </w:tcMar>
            <w:vAlign w:val="bottom"/>
          </w:tcPr>
          <w:p w14:paraId="1EF376F9"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Viol</w:t>
            </w:r>
          </w:p>
        </w:tc>
        <w:tc>
          <w:tcPr>
            <w:tcW w:w="1085" w:type="dxa"/>
            <w:shd w:val="clear" w:color="auto" w:fill="auto"/>
            <w:tcMar>
              <w:top w:w="0" w:type="dxa"/>
              <w:left w:w="0" w:type="dxa"/>
              <w:bottom w:w="0" w:type="dxa"/>
              <w:right w:w="0" w:type="dxa"/>
            </w:tcMar>
            <w:vAlign w:val="bottom"/>
          </w:tcPr>
          <w:p w14:paraId="7D27E573"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u w:color="222B35"/>
                <w:lang w:val="fr-FR"/>
              </w:rPr>
              <w:t>2 798</w:t>
            </w:r>
          </w:p>
        </w:tc>
        <w:tc>
          <w:tcPr>
            <w:tcW w:w="1224" w:type="dxa"/>
            <w:shd w:val="clear" w:color="auto" w:fill="auto"/>
            <w:tcMar>
              <w:top w:w="0" w:type="dxa"/>
              <w:left w:w="0" w:type="dxa"/>
              <w:bottom w:w="0" w:type="dxa"/>
              <w:right w:w="0" w:type="dxa"/>
            </w:tcMar>
            <w:vAlign w:val="bottom"/>
          </w:tcPr>
          <w:p w14:paraId="7E9A796A"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6,31 %</w:t>
            </w:r>
          </w:p>
        </w:tc>
      </w:tr>
      <w:tr w:rsidR="00A355E6" w:rsidRPr="00A355E6" w14:paraId="425650AD" w14:textId="77777777" w:rsidTr="00F943C8">
        <w:tc>
          <w:tcPr>
            <w:tcW w:w="579" w:type="dxa"/>
            <w:tcBorders>
              <w:bottom w:val="single" w:sz="4" w:space="0" w:color="auto"/>
            </w:tcBorders>
            <w:shd w:val="clear" w:color="auto" w:fill="auto"/>
            <w:tcMar>
              <w:top w:w="0" w:type="dxa"/>
              <w:left w:w="0" w:type="dxa"/>
              <w:bottom w:w="0" w:type="dxa"/>
              <w:right w:w="0" w:type="dxa"/>
            </w:tcMar>
          </w:tcPr>
          <w:p w14:paraId="7779F6BE" w14:textId="77777777" w:rsidR="00A355E6" w:rsidRPr="00A355E6" w:rsidRDefault="00A355E6" w:rsidP="00A355E6">
            <w:pPr>
              <w:suppressAutoHyphens w:val="0"/>
              <w:spacing w:before="40" w:after="40" w:line="220" w:lineRule="exact"/>
              <w:rPr>
                <w:noProof/>
                <w:sz w:val="18"/>
                <w:lang w:val="fr-FR"/>
              </w:rPr>
            </w:pPr>
            <w:r w:rsidRPr="00A355E6">
              <w:rPr>
                <w:noProof/>
                <w:sz w:val="18"/>
                <w:lang w:val="fr-FR"/>
              </w:rPr>
              <w:t>7</w:t>
            </w:r>
          </w:p>
        </w:tc>
        <w:tc>
          <w:tcPr>
            <w:tcW w:w="4482" w:type="dxa"/>
            <w:tcBorders>
              <w:bottom w:val="single" w:sz="4" w:space="0" w:color="auto"/>
            </w:tcBorders>
            <w:shd w:val="clear" w:color="auto" w:fill="auto"/>
            <w:tcMar>
              <w:top w:w="0" w:type="dxa"/>
              <w:left w:w="0" w:type="dxa"/>
              <w:bottom w:w="0" w:type="dxa"/>
              <w:right w:w="0" w:type="dxa"/>
            </w:tcMar>
            <w:vAlign w:val="bottom"/>
          </w:tcPr>
          <w:p w14:paraId="1CFBBFED" w14:textId="77777777" w:rsidR="00A355E6" w:rsidRPr="00A355E6" w:rsidRDefault="00A355E6" w:rsidP="00F943C8">
            <w:pPr>
              <w:suppressAutoHyphens w:val="0"/>
              <w:spacing w:before="40" w:after="40" w:line="220" w:lineRule="exact"/>
              <w:rPr>
                <w:noProof/>
                <w:sz w:val="18"/>
                <w:lang w:val="fr-FR"/>
              </w:rPr>
            </w:pPr>
            <w:r w:rsidRPr="00A355E6">
              <w:rPr>
                <w:noProof/>
                <w:sz w:val="18"/>
                <w:szCs w:val="18"/>
                <w:lang w:val="fr-FR"/>
              </w:rPr>
              <w:t>Infractions de moindre conséquence</w:t>
            </w:r>
          </w:p>
        </w:tc>
        <w:tc>
          <w:tcPr>
            <w:tcW w:w="1085" w:type="dxa"/>
            <w:tcBorders>
              <w:bottom w:val="single" w:sz="4" w:space="0" w:color="auto"/>
            </w:tcBorders>
            <w:shd w:val="clear" w:color="auto" w:fill="auto"/>
            <w:tcMar>
              <w:top w:w="0" w:type="dxa"/>
              <w:left w:w="0" w:type="dxa"/>
              <w:bottom w:w="0" w:type="dxa"/>
              <w:right w:w="0" w:type="dxa"/>
            </w:tcMar>
            <w:vAlign w:val="bottom"/>
          </w:tcPr>
          <w:p w14:paraId="00FEA5F7"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9 665</w:t>
            </w:r>
          </w:p>
        </w:tc>
        <w:tc>
          <w:tcPr>
            <w:tcW w:w="1224" w:type="dxa"/>
            <w:tcBorders>
              <w:bottom w:val="single" w:sz="4" w:space="0" w:color="auto"/>
            </w:tcBorders>
            <w:shd w:val="clear" w:color="auto" w:fill="auto"/>
            <w:tcMar>
              <w:top w:w="0" w:type="dxa"/>
              <w:left w:w="0" w:type="dxa"/>
              <w:bottom w:w="0" w:type="dxa"/>
              <w:right w:w="0" w:type="dxa"/>
            </w:tcMar>
            <w:vAlign w:val="bottom"/>
          </w:tcPr>
          <w:p w14:paraId="4431B76B" w14:textId="77777777" w:rsidR="00A355E6" w:rsidRPr="00A355E6" w:rsidRDefault="00A355E6" w:rsidP="00A355E6">
            <w:pPr>
              <w:suppressAutoHyphens w:val="0"/>
              <w:spacing w:before="40" w:after="40" w:line="220" w:lineRule="exact"/>
              <w:jc w:val="right"/>
              <w:rPr>
                <w:noProof/>
                <w:sz w:val="18"/>
                <w:lang w:val="fr-FR"/>
              </w:rPr>
            </w:pPr>
            <w:r w:rsidRPr="00A355E6">
              <w:rPr>
                <w:noProof/>
                <w:sz w:val="18"/>
                <w:lang w:val="fr-FR"/>
              </w:rPr>
              <w:t>21,80 %</w:t>
            </w:r>
          </w:p>
        </w:tc>
      </w:tr>
      <w:tr w:rsidR="00A355E6" w:rsidRPr="00A355E6" w14:paraId="2194971B" w14:textId="77777777" w:rsidTr="00F943C8">
        <w:tc>
          <w:tcPr>
            <w:tcW w:w="5061" w:type="dxa"/>
            <w:gridSpan w:val="2"/>
            <w:tcBorders>
              <w:top w:val="single" w:sz="4" w:space="0" w:color="auto"/>
              <w:bottom w:val="single" w:sz="12" w:space="0" w:color="auto"/>
            </w:tcBorders>
            <w:shd w:val="clear" w:color="auto" w:fill="auto"/>
            <w:tcMar>
              <w:top w:w="0" w:type="dxa"/>
              <w:left w:w="0" w:type="dxa"/>
              <w:bottom w:w="0" w:type="dxa"/>
              <w:right w:w="0" w:type="dxa"/>
            </w:tcMar>
          </w:tcPr>
          <w:p w14:paraId="0461C2C2" w14:textId="77777777" w:rsidR="00A355E6" w:rsidRPr="00A355E6" w:rsidRDefault="00A355E6" w:rsidP="00F943C8">
            <w:pPr>
              <w:suppressAutoHyphens w:val="0"/>
              <w:spacing w:before="80" w:after="80" w:line="220" w:lineRule="exact"/>
              <w:ind w:left="284"/>
              <w:rPr>
                <w:b/>
                <w:noProof/>
                <w:sz w:val="18"/>
                <w:lang w:val="fr-FR"/>
              </w:rPr>
            </w:pPr>
            <w:r w:rsidRPr="00A355E6">
              <w:rPr>
                <w:b/>
                <w:bCs/>
                <w:noProof/>
                <w:sz w:val="18"/>
                <w:szCs w:val="18"/>
                <w:lang w:val="fr-FR"/>
              </w:rPr>
              <w:t>Total</w:t>
            </w:r>
          </w:p>
        </w:tc>
        <w:tc>
          <w:tcPr>
            <w:tcW w:w="10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5795203" w14:textId="77777777" w:rsidR="00A355E6" w:rsidRPr="00A355E6" w:rsidRDefault="00A355E6" w:rsidP="00F943C8">
            <w:pPr>
              <w:suppressAutoHyphens w:val="0"/>
              <w:spacing w:before="80" w:after="80" w:line="220" w:lineRule="exact"/>
              <w:jc w:val="right"/>
              <w:rPr>
                <w:b/>
                <w:noProof/>
                <w:sz w:val="18"/>
                <w:lang w:val="fr-FR"/>
              </w:rPr>
            </w:pPr>
            <w:r w:rsidRPr="00A355E6">
              <w:rPr>
                <w:b/>
                <w:bCs/>
                <w:noProof/>
                <w:sz w:val="18"/>
                <w:lang w:val="fr-FR"/>
              </w:rPr>
              <w:t>44 345</w:t>
            </w:r>
          </w:p>
        </w:tc>
        <w:tc>
          <w:tcPr>
            <w:tcW w:w="12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4C0626" w14:textId="77777777" w:rsidR="00A355E6" w:rsidRPr="00A355E6" w:rsidRDefault="00A355E6" w:rsidP="00F943C8">
            <w:pPr>
              <w:suppressAutoHyphens w:val="0"/>
              <w:spacing w:before="80" w:after="80" w:line="220" w:lineRule="exact"/>
              <w:jc w:val="right"/>
              <w:rPr>
                <w:b/>
                <w:noProof/>
                <w:sz w:val="18"/>
                <w:lang w:val="fr-FR"/>
              </w:rPr>
            </w:pPr>
            <w:r w:rsidRPr="00A355E6">
              <w:rPr>
                <w:b/>
                <w:bCs/>
                <w:noProof/>
                <w:sz w:val="18"/>
                <w:lang w:val="fr-FR"/>
              </w:rPr>
              <w:t>100 %</w:t>
            </w:r>
          </w:p>
        </w:tc>
      </w:tr>
    </w:tbl>
    <w:p w14:paraId="5C759C3B" w14:textId="77777777" w:rsidR="000E6673" w:rsidRDefault="00653B7F" w:rsidP="00784C16">
      <w:pPr>
        <w:pStyle w:val="SingleTxtG"/>
        <w:spacing w:before="120"/>
        <w:rPr>
          <w:noProof/>
          <w:lang w:val="fr-FR"/>
        </w:rPr>
      </w:pPr>
      <w:r w:rsidRPr="00BB6F7D">
        <w:rPr>
          <w:noProof/>
          <w:lang w:val="fr-FR"/>
        </w:rPr>
        <w:t>69.</w:t>
      </w:r>
      <w:r w:rsidRPr="00BB6F7D">
        <w:rPr>
          <w:noProof/>
          <w:lang w:val="fr-FR"/>
        </w:rPr>
        <w:tab/>
      </w:r>
      <w:r>
        <w:rPr>
          <w:noProof/>
          <w:lang w:val="fr-FR"/>
        </w:rPr>
        <w:t>Les tableaux 16 et 17 donnent des informations sur les établissements pénitentiaires d</w:t>
      </w:r>
      <w:r w:rsidR="002A5D78">
        <w:rPr>
          <w:noProof/>
          <w:lang w:val="fr-FR"/>
        </w:rPr>
        <w:t>’</w:t>
      </w:r>
      <w:r>
        <w:rPr>
          <w:noProof/>
          <w:lang w:val="fr-FR"/>
        </w:rPr>
        <w:t>El Salvador, et notamment sur leur régime sécuritaire, leur distribution géographique, leur capacité recommandée et les catégories de détenus qu</w:t>
      </w:r>
      <w:r w:rsidR="002A5D78">
        <w:rPr>
          <w:noProof/>
          <w:lang w:val="fr-FR"/>
        </w:rPr>
        <w:t>’</w:t>
      </w:r>
      <w:r>
        <w:rPr>
          <w:noProof/>
          <w:lang w:val="fr-FR"/>
        </w:rPr>
        <w:t>ils accueillent</w:t>
      </w:r>
      <w:r w:rsidR="00784C16">
        <w:rPr>
          <w:noProof/>
          <w:lang w:val="fr-FR"/>
        </w:rPr>
        <w:t>.</w:t>
      </w:r>
    </w:p>
    <w:p w14:paraId="26F770D5" w14:textId="77777777" w:rsidR="00FD2585" w:rsidRDefault="00FD2585" w:rsidP="00784C16">
      <w:pPr>
        <w:pStyle w:val="SingleTxtG"/>
        <w:spacing w:before="120"/>
        <w:rPr>
          <w:noProof/>
          <w:lang w:val="fr-FR"/>
        </w:rPr>
        <w:sectPr w:rsidR="00FD2585" w:rsidSect="00BE1F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DB05658" w14:textId="77777777" w:rsidR="00653B7F" w:rsidRDefault="000E6673" w:rsidP="00B51FCF">
      <w:pPr>
        <w:pStyle w:val="Titre1"/>
        <w:kinsoku/>
        <w:overflowPunct/>
        <w:autoSpaceDE/>
        <w:autoSpaceDN/>
        <w:adjustRightInd/>
        <w:snapToGrid/>
        <w:spacing w:before="240" w:after="120"/>
        <w:ind w:left="284"/>
        <w:rPr>
          <w:b/>
          <w:bCs/>
          <w:noProof/>
          <w:lang w:val="fr-FR"/>
        </w:rPr>
      </w:pPr>
      <w:r>
        <w:rPr>
          <w:noProof/>
          <w:lang w:val="fr-FR"/>
        </w:rPr>
        <w:lastRenderedPageBreak/>
        <w:t>Tableau</w:t>
      </w:r>
      <w:r w:rsidRPr="00BB6F7D">
        <w:rPr>
          <w:noProof/>
          <w:lang w:val="fr-FR"/>
        </w:rPr>
        <w:t xml:space="preserve"> 16</w:t>
      </w:r>
      <w:r>
        <w:rPr>
          <w:noProof/>
          <w:lang w:val="fr-FR"/>
        </w:rPr>
        <w:br/>
      </w:r>
      <w:r w:rsidRPr="000E6673">
        <w:rPr>
          <w:b/>
          <w:bCs/>
          <w:noProof/>
          <w:lang w:val="fr-FR"/>
        </w:rPr>
        <w:t xml:space="preserve">Nombre des personnes privées de liberté dans le système pénitentiaire par </w:t>
      </w:r>
      <w:r w:rsidRPr="000E6673">
        <w:rPr>
          <w:b/>
          <w:bCs/>
        </w:rPr>
        <w:t>rapport</w:t>
      </w:r>
      <w:r w:rsidRPr="000E6673">
        <w:rPr>
          <w:b/>
          <w:bCs/>
          <w:noProof/>
          <w:lang w:val="fr-FR"/>
        </w:rPr>
        <w:t xml:space="preserve"> à </w:t>
      </w:r>
      <w:r w:rsidRPr="000E6673">
        <w:rPr>
          <w:b/>
          <w:bCs/>
        </w:rPr>
        <w:t>la</w:t>
      </w:r>
      <w:r w:rsidRPr="000E6673">
        <w:rPr>
          <w:b/>
          <w:bCs/>
          <w:noProof/>
          <w:lang w:val="fr-FR"/>
        </w:rPr>
        <w:t xml:space="preserve"> capacité opérationnelle au 3</w:t>
      </w:r>
      <w:r w:rsidR="00B51FCF">
        <w:rPr>
          <w:b/>
          <w:bCs/>
          <w:noProof/>
          <w:lang w:val="fr-FR"/>
        </w:rPr>
        <w:t> </w:t>
      </w:r>
      <w:r w:rsidRPr="000E6673">
        <w:rPr>
          <w:b/>
          <w:bCs/>
          <w:noProof/>
          <w:lang w:val="fr-FR"/>
        </w:rPr>
        <w:t>mars 2019</w:t>
      </w:r>
    </w:p>
    <w:tbl>
      <w:tblPr>
        <w:tblW w:w="13776" w:type="dxa"/>
        <w:tblInd w:w="283" w:type="dxa"/>
        <w:tblLayout w:type="fixed"/>
        <w:tblCellMar>
          <w:left w:w="0" w:type="dxa"/>
          <w:right w:w="0" w:type="dxa"/>
        </w:tblCellMar>
        <w:tblLook w:val="04A0" w:firstRow="1" w:lastRow="0" w:firstColumn="1" w:lastColumn="0" w:noHBand="0" w:noVBand="1"/>
      </w:tblPr>
      <w:tblGrid>
        <w:gridCol w:w="2127"/>
        <w:gridCol w:w="709"/>
        <w:gridCol w:w="6946"/>
        <w:gridCol w:w="998"/>
        <w:gridCol w:w="999"/>
        <w:gridCol w:w="998"/>
        <w:gridCol w:w="999"/>
      </w:tblGrid>
      <w:tr w:rsidR="00A962D7" w:rsidRPr="00FC5584" w14:paraId="5CB8150B" w14:textId="77777777" w:rsidTr="00A962D7">
        <w:trPr>
          <w:trHeight w:val="85"/>
          <w:tblHeader/>
        </w:trPr>
        <w:tc>
          <w:tcPr>
            <w:tcW w:w="212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ED6C4C" w14:textId="77777777" w:rsidR="000E6673" w:rsidRPr="00FC5584" w:rsidRDefault="000E6673" w:rsidP="00FC5584">
            <w:pPr>
              <w:suppressAutoHyphens w:val="0"/>
              <w:spacing w:before="80" w:after="80" w:line="200" w:lineRule="exact"/>
              <w:rPr>
                <w:i/>
                <w:noProof/>
                <w:sz w:val="16"/>
                <w:lang w:val="fr-FR"/>
              </w:rPr>
            </w:pPr>
            <w:r w:rsidRPr="00FC5584">
              <w:rPr>
                <w:i/>
                <w:noProof/>
                <w:sz w:val="16"/>
                <w:lang w:val="fr-FR"/>
              </w:rPr>
              <w:t>Type d</w:t>
            </w:r>
            <w:r w:rsidR="002A5D78">
              <w:rPr>
                <w:i/>
                <w:noProof/>
                <w:sz w:val="16"/>
                <w:lang w:val="fr-FR"/>
              </w:rPr>
              <w:t>’</w:t>
            </w:r>
            <w:r w:rsidRPr="00FC5584">
              <w:rPr>
                <w:i/>
                <w:noProof/>
                <w:sz w:val="16"/>
                <w:lang w:val="fr-FR"/>
              </w:rPr>
              <w:t>établissement</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F60830A" w14:textId="77777777" w:rsidR="000E6673" w:rsidRPr="00FC5584" w:rsidRDefault="000E6673" w:rsidP="00FC5584">
            <w:pPr>
              <w:suppressAutoHyphens w:val="0"/>
              <w:spacing w:before="80" w:after="80" w:line="200" w:lineRule="exact"/>
              <w:rPr>
                <w:i/>
                <w:noProof/>
                <w:sz w:val="16"/>
                <w:lang w:val="fr-FR"/>
              </w:rPr>
            </w:pPr>
            <w:r w:rsidRPr="00FC5584">
              <w:rPr>
                <w:i/>
                <w:noProof/>
                <w:sz w:val="16"/>
                <w:lang w:val="fr-FR"/>
              </w:rPr>
              <w:t>Nº</w:t>
            </w:r>
          </w:p>
        </w:tc>
        <w:tc>
          <w:tcPr>
            <w:tcW w:w="69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8FF1F9" w14:textId="77777777" w:rsidR="000E6673" w:rsidRPr="00FC5584" w:rsidRDefault="000E6673" w:rsidP="00FC5584">
            <w:pPr>
              <w:suppressAutoHyphens w:val="0"/>
              <w:spacing w:before="80" w:after="80" w:line="200" w:lineRule="exact"/>
              <w:rPr>
                <w:i/>
                <w:noProof/>
                <w:sz w:val="16"/>
                <w:lang w:val="fr-FR"/>
              </w:rPr>
            </w:pPr>
            <w:r w:rsidRPr="00FC5584">
              <w:rPr>
                <w:i/>
                <w:noProof/>
                <w:sz w:val="16"/>
                <w:lang w:val="fr-FR"/>
              </w:rPr>
              <w:t>Centre pénitentiaire</w:t>
            </w:r>
          </w:p>
        </w:tc>
        <w:tc>
          <w:tcPr>
            <w:tcW w:w="9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142A10A" w14:textId="77777777" w:rsidR="000E6673" w:rsidRPr="00FC5584" w:rsidRDefault="000E6673" w:rsidP="00FC5584">
            <w:pPr>
              <w:suppressAutoHyphens w:val="0"/>
              <w:spacing w:before="80" w:after="80" w:line="200" w:lineRule="exact"/>
              <w:jc w:val="right"/>
              <w:rPr>
                <w:i/>
                <w:noProof/>
                <w:sz w:val="16"/>
                <w:lang w:val="fr-FR"/>
              </w:rPr>
            </w:pPr>
            <w:r w:rsidRPr="00FC5584">
              <w:rPr>
                <w:i/>
                <w:noProof/>
                <w:sz w:val="16"/>
                <w:lang w:val="fr-FR"/>
              </w:rPr>
              <w:t>Capacité opérationnelle</w:t>
            </w:r>
          </w:p>
        </w:tc>
        <w:tc>
          <w:tcPr>
            <w:tcW w:w="9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428F6B1" w14:textId="77777777" w:rsidR="000E6673" w:rsidRPr="00FC5584" w:rsidRDefault="000E6673" w:rsidP="00FC5584">
            <w:pPr>
              <w:suppressAutoHyphens w:val="0"/>
              <w:spacing w:before="80" w:after="80" w:line="200" w:lineRule="exact"/>
              <w:jc w:val="right"/>
              <w:rPr>
                <w:i/>
                <w:noProof/>
                <w:sz w:val="16"/>
                <w:lang w:val="fr-FR"/>
              </w:rPr>
            </w:pPr>
            <w:r w:rsidRPr="00FC5584">
              <w:rPr>
                <w:i/>
                <w:noProof/>
                <w:sz w:val="16"/>
                <w:lang w:val="fr-FR"/>
              </w:rPr>
              <w:t xml:space="preserve">Nombre </w:t>
            </w:r>
            <w:r w:rsidR="00A962D7">
              <w:rPr>
                <w:i/>
                <w:noProof/>
                <w:sz w:val="16"/>
                <w:lang w:val="fr-FR"/>
              </w:rPr>
              <w:br/>
            </w:r>
            <w:r w:rsidRPr="00FC5584">
              <w:rPr>
                <w:i/>
                <w:noProof/>
                <w:sz w:val="16"/>
                <w:lang w:val="fr-FR"/>
              </w:rPr>
              <w:t>de détenus</w:t>
            </w:r>
          </w:p>
        </w:tc>
        <w:tc>
          <w:tcPr>
            <w:tcW w:w="9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28CBA18" w14:textId="77777777" w:rsidR="000E6673" w:rsidRPr="00FC5584" w:rsidRDefault="000E6673" w:rsidP="00FC5584">
            <w:pPr>
              <w:suppressAutoHyphens w:val="0"/>
              <w:spacing w:before="80" w:after="80" w:line="200" w:lineRule="exact"/>
              <w:jc w:val="right"/>
              <w:rPr>
                <w:i/>
                <w:noProof/>
                <w:sz w:val="16"/>
                <w:lang w:val="fr-FR"/>
              </w:rPr>
            </w:pPr>
            <w:r w:rsidRPr="00FC5584">
              <w:rPr>
                <w:i/>
                <w:noProof/>
                <w:sz w:val="16"/>
                <w:szCs w:val="15"/>
                <w:lang w:val="fr-FR"/>
              </w:rPr>
              <w:t>Détenus en surnombre</w:t>
            </w:r>
          </w:p>
        </w:tc>
        <w:tc>
          <w:tcPr>
            <w:tcW w:w="9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BCC03BB" w14:textId="77777777" w:rsidR="000E6673" w:rsidRPr="00FC5584" w:rsidRDefault="000E6673" w:rsidP="00FC5584">
            <w:pPr>
              <w:suppressAutoHyphens w:val="0"/>
              <w:spacing w:before="80" w:after="80" w:line="200" w:lineRule="exact"/>
              <w:jc w:val="right"/>
              <w:rPr>
                <w:i/>
                <w:noProof/>
                <w:sz w:val="16"/>
                <w:lang w:val="fr-FR"/>
              </w:rPr>
            </w:pPr>
            <w:r w:rsidRPr="00FC5584">
              <w:rPr>
                <w:i/>
                <w:noProof/>
                <w:sz w:val="16"/>
                <w:lang w:val="fr-FR"/>
              </w:rPr>
              <w:t xml:space="preserve">Densité </w:t>
            </w:r>
            <w:r w:rsidR="00A962D7">
              <w:rPr>
                <w:i/>
                <w:noProof/>
                <w:sz w:val="16"/>
                <w:lang w:val="fr-FR"/>
              </w:rPr>
              <w:br/>
            </w:r>
            <w:r w:rsidRPr="00FC5584">
              <w:rPr>
                <w:i/>
                <w:noProof/>
                <w:sz w:val="16"/>
                <w:lang w:val="fr-FR"/>
              </w:rPr>
              <w:t>carcérale</w:t>
            </w:r>
          </w:p>
        </w:tc>
      </w:tr>
      <w:tr w:rsidR="00A962D7" w:rsidRPr="00FC5584" w14:paraId="7F15318F" w14:textId="77777777" w:rsidTr="00A962D7">
        <w:tc>
          <w:tcPr>
            <w:tcW w:w="2127" w:type="dxa"/>
            <w:vMerge w:val="restart"/>
            <w:shd w:val="clear" w:color="auto" w:fill="auto"/>
            <w:tcMar>
              <w:top w:w="0" w:type="dxa"/>
              <w:left w:w="0" w:type="dxa"/>
              <w:bottom w:w="0" w:type="dxa"/>
              <w:right w:w="0" w:type="dxa"/>
            </w:tcMar>
          </w:tcPr>
          <w:p w14:paraId="1D0C276E"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Sécurité maximale</w:t>
            </w:r>
          </w:p>
        </w:tc>
        <w:tc>
          <w:tcPr>
            <w:tcW w:w="709" w:type="dxa"/>
            <w:shd w:val="clear" w:color="auto" w:fill="auto"/>
            <w:tcMar>
              <w:top w:w="0" w:type="dxa"/>
              <w:left w:w="0" w:type="dxa"/>
              <w:bottom w:w="0" w:type="dxa"/>
              <w:right w:w="0" w:type="dxa"/>
            </w:tcMar>
          </w:tcPr>
          <w:p w14:paraId="76517808"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w:t>
            </w:r>
          </w:p>
        </w:tc>
        <w:tc>
          <w:tcPr>
            <w:tcW w:w="6946" w:type="dxa"/>
            <w:shd w:val="clear" w:color="auto" w:fill="auto"/>
            <w:tcMar>
              <w:top w:w="0" w:type="dxa"/>
              <w:left w:w="0" w:type="dxa"/>
              <w:bottom w:w="0" w:type="dxa"/>
              <w:right w:w="0" w:type="dxa"/>
            </w:tcMar>
            <w:vAlign w:val="bottom"/>
          </w:tcPr>
          <w:p w14:paraId="2E76B947"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pénitentiaire de sécurité maximale de Zacatecoluca</w:t>
            </w:r>
          </w:p>
        </w:tc>
        <w:tc>
          <w:tcPr>
            <w:tcW w:w="998" w:type="dxa"/>
            <w:shd w:val="clear" w:color="auto" w:fill="auto"/>
            <w:tcMar>
              <w:top w:w="0" w:type="dxa"/>
              <w:left w:w="0" w:type="dxa"/>
              <w:bottom w:w="0" w:type="dxa"/>
              <w:right w:w="0" w:type="dxa"/>
            </w:tcMar>
            <w:vAlign w:val="bottom"/>
          </w:tcPr>
          <w:p w14:paraId="1BAEA1B3"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528</w:t>
            </w:r>
          </w:p>
        </w:tc>
        <w:tc>
          <w:tcPr>
            <w:tcW w:w="999" w:type="dxa"/>
            <w:shd w:val="clear" w:color="auto" w:fill="auto"/>
            <w:tcMar>
              <w:top w:w="0" w:type="dxa"/>
              <w:left w:w="0" w:type="dxa"/>
              <w:bottom w:w="0" w:type="dxa"/>
              <w:right w:w="0" w:type="dxa"/>
            </w:tcMar>
            <w:vAlign w:val="bottom"/>
          </w:tcPr>
          <w:p w14:paraId="157E1FC1"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672</w:t>
            </w:r>
          </w:p>
        </w:tc>
        <w:tc>
          <w:tcPr>
            <w:tcW w:w="998" w:type="dxa"/>
            <w:shd w:val="clear" w:color="auto" w:fill="auto"/>
            <w:tcMar>
              <w:top w:w="0" w:type="dxa"/>
              <w:left w:w="0" w:type="dxa"/>
              <w:bottom w:w="0" w:type="dxa"/>
              <w:right w:w="0" w:type="dxa"/>
            </w:tcMar>
            <w:vAlign w:val="bottom"/>
          </w:tcPr>
          <w:p w14:paraId="2294ECC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144</w:t>
            </w:r>
          </w:p>
        </w:tc>
        <w:tc>
          <w:tcPr>
            <w:tcW w:w="999" w:type="dxa"/>
            <w:shd w:val="clear" w:color="auto" w:fill="auto"/>
            <w:tcMar>
              <w:top w:w="0" w:type="dxa"/>
              <w:left w:w="0" w:type="dxa"/>
              <w:bottom w:w="0" w:type="dxa"/>
              <w:right w:w="0" w:type="dxa"/>
            </w:tcMar>
            <w:vAlign w:val="bottom"/>
          </w:tcPr>
          <w:p w14:paraId="464C7AF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127 %</w:t>
            </w:r>
          </w:p>
        </w:tc>
      </w:tr>
      <w:tr w:rsidR="00D70B15" w:rsidRPr="00FC5584" w14:paraId="63686545" w14:textId="77777777" w:rsidTr="00A962D7">
        <w:tc>
          <w:tcPr>
            <w:tcW w:w="2127" w:type="dxa"/>
            <w:vMerge/>
            <w:shd w:val="clear" w:color="auto" w:fill="auto"/>
          </w:tcPr>
          <w:p w14:paraId="6B1B3C20"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0EDE7729"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2</w:t>
            </w:r>
          </w:p>
        </w:tc>
        <w:tc>
          <w:tcPr>
            <w:tcW w:w="6946" w:type="dxa"/>
            <w:shd w:val="clear" w:color="auto" w:fill="auto"/>
            <w:tcMar>
              <w:top w:w="0" w:type="dxa"/>
              <w:left w:w="0" w:type="dxa"/>
              <w:bottom w:w="0" w:type="dxa"/>
              <w:right w:w="0" w:type="dxa"/>
            </w:tcMar>
            <w:vAlign w:val="bottom"/>
          </w:tcPr>
          <w:p w14:paraId="078E2A27"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pénitentiaire de sécurité maximale d</w:t>
            </w:r>
            <w:r w:rsidR="002A5D78">
              <w:rPr>
                <w:noProof/>
                <w:sz w:val="18"/>
                <w:szCs w:val="15"/>
                <w:lang w:val="fr-FR"/>
              </w:rPr>
              <w:t>’</w:t>
            </w:r>
            <w:r w:rsidRPr="00FC5584">
              <w:rPr>
                <w:noProof/>
                <w:sz w:val="18"/>
                <w:szCs w:val="15"/>
                <w:lang w:val="fr-FR"/>
              </w:rPr>
              <w:t>Izalco, phase III</w:t>
            </w:r>
          </w:p>
        </w:tc>
        <w:tc>
          <w:tcPr>
            <w:tcW w:w="998" w:type="dxa"/>
            <w:shd w:val="clear" w:color="auto" w:fill="auto"/>
            <w:tcMar>
              <w:top w:w="0" w:type="dxa"/>
              <w:left w:w="0" w:type="dxa"/>
              <w:bottom w:w="0" w:type="dxa"/>
              <w:right w:w="0" w:type="dxa"/>
            </w:tcMar>
            <w:vAlign w:val="bottom"/>
          </w:tcPr>
          <w:p w14:paraId="73F3CDDE"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2 016</w:t>
            </w:r>
          </w:p>
        </w:tc>
        <w:tc>
          <w:tcPr>
            <w:tcW w:w="999" w:type="dxa"/>
            <w:shd w:val="clear" w:color="auto" w:fill="auto"/>
            <w:tcMar>
              <w:top w:w="0" w:type="dxa"/>
              <w:left w:w="0" w:type="dxa"/>
              <w:bottom w:w="0" w:type="dxa"/>
              <w:right w:w="0" w:type="dxa"/>
            </w:tcMar>
            <w:vAlign w:val="bottom"/>
          </w:tcPr>
          <w:p w14:paraId="6B2DA43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2 637</w:t>
            </w:r>
          </w:p>
        </w:tc>
        <w:tc>
          <w:tcPr>
            <w:tcW w:w="998" w:type="dxa"/>
            <w:shd w:val="clear" w:color="auto" w:fill="auto"/>
            <w:tcMar>
              <w:top w:w="0" w:type="dxa"/>
              <w:left w:w="0" w:type="dxa"/>
              <w:bottom w:w="0" w:type="dxa"/>
              <w:right w:w="0" w:type="dxa"/>
            </w:tcMar>
            <w:vAlign w:val="bottom"/>
          </w:tcPr>
          <w:p w14:paraId="5102122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621</w:t>
            </w:r>
          </w:p>
        </w:tc>
        <w:tc>
          <w:tcPr>
            <w:tcW w:w="999" w:type="dxa"/>
            <w:shd w:val="clear" w:color="auto" w:fill="auto"/>
            <w:tcMar>
              <w:top w:w="0" w:type="dxa"/>
              <w:left w:w="0" w:type="dxa"/>
              <w:bottom w:w="0" w:type="dxa"/>
              <w:right w:w="0" w:type="dxa"/>
            </w:tcMar>
            <w:vAlign w:val="bottom"/>
          </w:tcPr>
          <w:p w14:paraId="577FF86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131 %</w:t>
            </w:r>
          </w:p>
        </w:tc>
      </w:tr>
      <w:tr w:rsidR="00A962D7" w:rsidRPr="00FC5584" w14:paraId="1EF3D4D6" w14:textId="77777777" w:rsidTr="00A962D7">
        <w:tc>
          <w:tcPr>
            <w:tcW w:w="2127" w:type="dxa"/>
            <w:vMerge w:val="restart"/>
            <w:shd w:val="clear" w:color="auto" w:fill="auto"/>
            <w:tcMar>
              <w:top w:w="0" w:type="dxa"/>
              <w:left w:w="0" w:type="dxa"/>
              <w:bottom w:w="0" w:type="dxa"/>
              <w:right w:w="0" w:type="dxa"/>
            </w:tcMar>
          </w:tcPr>
          <w:p w14:paraId="37020592"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Sécurité</w:t>
            </w:r>
          </w:p>
        </w:tc>
        <w:tc>
          <w:tcPr>
            <w:tcW w:w="709" w:type="dxa"/>
            <w:shd w:val="clear" w:color="auto" w:fill="auto"/>
            <w:tcMar>
              <w:top w:w="0" w:type="dxa"/>
              <w:left w:w="0" w:type="dxa"/>
              <w:bottom w:w="0" w:type="dxa"/>
              <w:right w:w="0" w:type="dxa"/>
            </w:tcMar>
          </w:tcPr>
          <w:p w14:paraId="639C9564"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3</w:t>
            </w:r>
          </w:p>
        </w:tc>
        <w:tc>
          <w:tcPr>
            <w:tcW w:w="6946" w:type="dxa"/>
            <w:shd w:val="clear" w:color="auto" w:fill="auto"/>
            <w:tcMar>
              <w:top w:w="0" w:type="dxa"/>
              <w:left w:w="0" w:type="dxa"/>
              <w:bottom w:w="0" w:type="dxa"/>
              <w:right w:w="0" w:type="dxa"/>
            </w:tcMar>
            <w:vAlign w:val="bottom"/>
          </w:tcPr>
          <w:p w14:paraId="091C17FD"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pénitentiaire de sécurité d</w:t>
            </w:r>
            <w:r w:rsidR="002A5D78">
              <w:rPr>
                <w:noProof/>
                <w:sz w:val="18"/>
                <w:szCs w:val="15"/>
                <w:lang w:val="fr-FR"/>
              </w:rPr>
              <w:t>’</w:t>
            </w:r>
            <w:r w:rsidRPr="00FC5584">
              <w:rPr>
                <w:noProof/>
                <w:sz w:val="18"/>
                <w:szCs w:val="15"/>
                <w:lang w:val="fr-FR"/>
              </w:rPr>
              <w:t>Izalco, phase I</w:t>
            </w:r>
          </w:p>
        </w:tc>
        <w:tc>
          <w:tcPr>
            <w:tcW w:w="998" w:type="dxa"/>
            <w:shd w:val="clear" w:color="auto" w:fill="auto"/>
            <w:tcMar>
              <w:top w:w="0" w:type="dxa"/>
              <w:left w:w="0" w:type="dxa"/>
              <w:bottom w:w="0" w:type="dxa"/>
              <w:right w:w="0" w:type="dxa"/>
            </w:tcMar>
            <w:vAlign w:val="bottom"/>
          </w:tcPr>
          <w:p w14:paraId="15D105A7"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768</w:t>
            </w:r>
          </w:p>
        </w:tc>
        <w:tc>
          <w:tcPr>
            <w:tcW w:w="999" w:type="dxa"/>
            <w:shd w:val="clear" w:color="auto" w:fill="auto"/>
            <w:tcMar>
              <w:top w:w="0" w:type="dxa"/>
              <w:left w:w="0" w:type="dxa"/>
              <w:bottom w:w="0" w:type="dxa"/>
              <w:right w:w="0" w:type="dxa"/>
            </w:tcMar>
            <w:vAlign w:val="bottom"/>
          </w:tcPr>
          <w:p w14:paraId="0ED288C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2 635</w:t>
            </w:r>
          </w:p>
        </w:tc>
        <w:tc>
          <w:tcPr>
            <w:tcW w:w="998" w:type="dxa"/>
            <w:shd w:val="clear" w:color="auto" w:fill="auto"/>
            <w:tcMar>
              <w:top w:w="0" w:type="dxa"/>
              <w:left w:w="0" w:type="dxa"/>
              <w:bottom w:w="0" w:type="dxa"/>
              <w:right w:w="0" w:type="dxa"/>
            </w:tcMar>
            <w:vAlign w:val="bottom"/>
          </w:tcPr>
          <w:p w14:paraId="3DD4E041"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1 867</w:t>
            </w:r>
          </w:p>
        </w:tc>
        <w:tc>
          <w:tcPr>
            <w:tcW w:w="999" w:type="dxa"/>
            <w:shd w:val="clear" w:color="auto" w:fill="auto"/>
            <w:tcMar>
              <w:top w:w="0" w:type="dxa"/>
              <w:left w:w="0" w:type="dxa"/>
              <w:bottom w:w="0" w:type="dxa"/>
              <w:right w:w="0" w:type="dxa"/>
            </w:tcMar>
            <w:vAlign w:val="bottom"/>
          </w:tcPr>
          <w:p w14:paraId="2AABE16D"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343 %</w:t>
            </w:r>
          </w:p>
        </w:tc>
      </w:tr>
      <w:tr w:rsidR="00D70B15" w:rsidRPr="00FC5584" w14:paraId="7D92348B" w14:textId="77777777" w:rsidTr="00A962D7">
        <w:tc>
          <w:tcPr>
            <w:tcW w:w="2127" w:type="dxa"/>
            <w:vMerge/>
            <w:shd w:val="clear" w:color="auto" w:fill="auto"/>
          </w:tcPr>
          <w:p w14:paraId="0B38DF1A"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1FD39541"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4</w:t>
            </w:r>
          </w:p>
        </w:tc>
        <w:tc>
          <w:tcPr>
            <w:tcW w:w="6946" w:type="dxa"/>
            <w:shd w:val="clear" w:color="auto" w:fill="auto"/>
            <w:tcMar>
              <w:top w:w="0" w:type="dxa"/>
              <w:left w:w="0" w:type="dxa"/>
              <w:bottom w:w="0" w:type="dxa"/>
              <w:right w:w="0" w:type="dxa"/>
            </w:tcMar>
            <w:vAlign w:val="bottom"/>
          </w:tcPr>
          <w:p w14:paraId="1311A9EB"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pénitentiaire de sécurité d</w:t>
            </w:r>
            <w:r w:rsidR="002A5D78">
              <w:rPr>
                <w:noProof/>
                <w:sz w:val="18"/>
                <w:szCs w:val="15"/>
                <w:lang w:val="fr-FR"/>
              </w:rPr>
              <w:t>’</w:t>
            </w:r>
            <w:r w:rsidRPr="00FC5584">
              <w:rPr>
                <w:noProof/>
                <w:sz w:val="18"/>
                <w:szCs w:val="15"/>
                <w:lang w:val="fr-FR"/>
              </w:rPr>
              <w:t>Izalco, phase II</w:t>
            </w:r>
          </w:p>
        </w:tc>
        <w:tc>
          <w:tcPr>
            <w:tcW w:w="998" w:type="dxa"/>
            <w:shd w:val="clear" w:color="auto" w:fill="auto"/>
            <w:tcMar>
              <w:top w:w="0" w:type="dxa"/>
              <w:left w:w="0" w:type="dxa"/>
              <w:bottom w:w="0" w:type="dxa"/>
              <w:right w:w="0" w:type="dxa"/>
            </w:tcMar>
            <w:vAlign w:val="bottom"/>
          </w:tcPr>
          <w:p w14:paraId="27B064E7"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1 296</w:t>
            </w:r>
          </w:p>
        </w:tc>
        <w:tc>
          <w:tcPr>
            <w:tcW w:w="999" w:type="dxa"/>
            <w:shd w:val="clear" w:color="auto" w:fill="auto"/>
            <w:tcMar>
              <w:top w:w="0" w:type="dxa"/>
              <w:left w:w="0" w:type="dxa"/>
              <w:bottom w:w="0" w:type="dxa"/>
              <w:right w:w="0" w:type="dxa"/>
            </w:tcMar>
            <w:vAlign w:val="bottom"/>
          </w:tcPr>
          <w:p w14:paraId="351BC52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1 494</w:t>
            </w:r>
          </w:p>
        </w:tc>
        <w:tc>
          <w:tcPr>
            <w:tcW w:w="998" w:type="dxa"/>
            <w:shd w:val="clear" w:color="auto" w:fill="auto"/>
            <w:tcMar>
              <w:top w:w="0" w:type="dxa"/>
              <w:left w:w="0" w:type="dxa"/>
              <w:bottom w:w="0" w:type="dxa"/>
              <w:right w:w="0" w:type="dxa"/>
            </w:tcMar>
            <w:vAlign w:val="bottom"/>
          </w:tcPr>
          <w:p w14:paraId="0567AE8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198</w:t>
            </w:r>
          </w:p>
        </w:tc>
        <w:tc>
          <w:tcPr>
            <w:tcW w:w="999" w:type="dxa"/>
            <w:shd w:val="clear" w:color="auto" w:fill="auto"/>
            <w:tcMar>
              <w:top w:w="0" w:type="dxa"/>
              <w:left w:w="0" w:type="dxa"/>
              <w:bottom w:w="0" w:type="dxa"/>
              <w:right w:w="0" w:type="dxa"/>
            </w:tcMar>
            <w:vAlign w:val="bottom"/>
          </w:tcPr>
          <w:p w14:paraId="759F5BD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115 %</w:t>
            </w:r>
          </w:p>
        </w:tc>
      </w:tr>
      <w:tr w:rsidR="00D70B15" w:rsidRPr="00FC5584" w14:paraId="50179B88" w14:textId="77777777" w:rsidTr="00A962D7">
        <w:tc>
          <w:tcPr>
            <w:tcW w:w="2127" w:type="dxa"/>
            <w:vMerge/>
            <w:shd w:val="clear" w:color="auto" w:fill="auto"/>
          </w:tcPr>
          <w:p w14:paraId="6CF6AD9B"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4E6F0FEA"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5</w:t>
            </w:r>
          </w:p>
        </w:tc>
        <w:tc>
          <w:tcPr>
            <w:tcW w:w="6946" w:type="dxa"/>
            <w:shd w:val="clear" w:color="auto" w:fill="auto"/>
            <w:tcMar>
              <w:top w:w="0" w:type="dxa"/>
              <w:left w:w="0" w:type="dxa"/>
              <w:bottom w:w="0" w:type="dxa"/>
              <w:right w:w="0" w:type="dxa"/>
            </w:tcMar>
            <w:vAlign w:val="bottom"/>
          </w:tcPr>
          <w:p w14:paraId="15C2608C"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pénitentiaire de sécurité de Ciudad Barrios</w:t>
            </w:r>
          </w:p>
        </w:tc>
        <w:tc>
          <w:tcPr>
            <w:tcW w:w="998" w:type="dxa"/>
            <w:shd w:val="clear" w:color="auto" w:fill="auto"/>
            <w:tcMar>
              <w:top w:w="0" w:type="dxa"/>
              <w:left w:w="0" w:type="dxa"/>
              <w:bottom w:w="0" w:type="dxa"/>
              <w:right w:w="0" w:type="dxa"/>
            </w:tcMar>
            <w:vAlign w:val="bottom"/>
          </w:tcPr>
          <w:p w14:paraId="5CFE9AD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1 026</w:t>
            </w:r>
          </w:p>
        </w:tc>
        <w:tc>
          <w:tcPr>
            <w:tcW w:w="999" w:type="dxa"/>
            <w:shd w:val="clear" w:color="auto" w:fill="auto"/>
            <w:tcMar>
              <w:top w:w="0" w:type="dxa"/>
              <w:left w:w="0" w:type="dxa"/>
              <w:bottom w:w="0" w:type="dxa"/>
              <w:right w:w="0" w:type="dxa"/>
            </w:tcMar>
            <w:vAlign w:val="bottom"/>
          </w:tcPr>
          <w:p w14:paraId="2E875551"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3 239</w:t>
            </w:r>
          </w:p>
        </w:tc>
        <w:tc>
          <w:tcPr>
            <w:tcW w:w="998" w:type="dxa"/>
            <w:shd w:val="clear" w:color="auto" w:fill="auto"/>
            <w:tcMar>
              <w:top w:w="0" w:type="dxa"/>
              <w:left w:w="0" w:type="dxa"/>
              <w:bottom w:w="0" w:type="dxa"/>
              <w:right w:w="0" w:type="dxa"/>
            </w:tcMar>
            <w:vAlign w:val="bottom"/>
          </w:tcPr>
          <w:p w14:paraId="18E0E024"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2 213</w:t>
            </w:r>
          </w:p>
        </w:tc>
        <w:tc>
          <w:tcPr>
            <w:tcW w:w="999" w:type="dxa"/>
            <w:shd w:val="clear" w:color="auto" w:fill="auto"/>
            <w:tcMar>
              <w:top w:w="0" w:type="dxa"/>
              <w:left w:w="0" w:type="dxa"/>
              <w:bottom w:w="0" w:type="dxa"/>
              <w:right w:w="0" w:type="dxa"/>
            </w:tcMar>
            <w:vAlign w:val="bottom"/>
          </w:tcPr>
          <w:p w14:paraId="06038525"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316 %</w:t>
            </w:r>
          </w:p>
        </w:tc>
      </w:tr>
      <w:tr w:rsidR="00D70B15" w:rsidRPr="00FC5584" w14:paraId="611BBC2D" w14:textId="77777777" w:rsidTr="00A962D7">
        <w:tc>
          <w:tcPr>
            <w:tcW w:w="2127" w:type="dxa"/>
            <w:vMerge/>
            <w:shd w:val="clear" w:color="auto" w:fill="auto"/>
          </w:tcPr>
          <w:p w14:paraId="34B68800"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598C2870"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6</w:t>
            </w:r>
          </w:p>
        </w:tc>
        <w:tc>
          <w:tcPr>
            <w:tcW w:w="6946" w:type="dxa"/>
            <w:shd w:val="clear" w:color="auto" w:fill="auto"/>
            <w:tcMar>
              <w:top w:w="0" w:type="dxa"/>
              <w:left w:w="0" w:type="dxa"/>
              <w:bottom w:w="0" w:type="dxa"/>
              <w:right w:w="0" w:type="dxa"/>
            </w:tcMar>
            <w:vAlign w:val="bottom"/>
          </w:tcPr>
          <w:p w14:paraId="70F8329E"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pénitentiaire de sécurité de Quezaltepeque</w:t>
            </w:r>
          </w:p>
        </w:tc>
        <w:tc>
          <w:tcPr>
            <w:tcW w:w="998" w:type="dxa"/>
            <w:shd w:val="clear" w:color="auto" w:fill="auto"/>
            <w:tcMar>
              <w:top w:w="0" w:type="dxa"/>
              <w:left w:w="0" w:type="dxa"/>
              <w:bottom w:w="0" w:type="dxa"/>
              <w:right w:w="0" w:type="dxa"/>
            </w:tcMar>
            <w:vAlign w:val="bottom"/>
          </w:tcPr>
          <w:p w14:paraId="7CBAC0BF"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756</w:t>
            </w:r>
          </w:p>
        </w:tc>
        <w:tc>
          <w:tcPr>
            <w:tcW w:w="999" w:type="dxa"/>
            <w:shd w:val="clear" w:color="auto" w:fill="auto"/>
            <w:tcMar>
              <w:top w:w="0" w:type="dxa"/>
              <w:left w:w="0" w:type="dxa"/>
              <w:bottom w:w="0" w:type="dxa"/>
              <w:right w:w="0" w:type="dxa"/>
            </w:tcMar>
            <w:vAlign w:val="bottom"/>
          </w:tcPr>
          <w:p w14:paraId="23814837"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1 979</w:t>
            </w:r>
          </w:p>
        </w:tc>
        <w:tc>
          <w:tcPr>
            <w:tcW w:w="998" w:type="dxa"/>
            <w:shd w:val="clear" w:color="auto" w:fill="auto"/>
            <w:tcMar>
              <w:top w:w="0" w:type="dxa"/>
              <w:left w:w="0" w:type="dxa"/>
              <w:bottom w:w="0" w:type="dxa"/>
              <w:right w:w="0" w:type="dxa"/>
            </w:tcMar>
            <w:vAlign w:val="bottom"/>
          </w:tcPr>
          <w:p w14:paraId="31BC1DF4"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1 223</w:t>
            </w:r>
          </w:p>
        </w:tc>
        <w:tc>
          <w:tcPr>
            <w:tcW w:w="999" w:type="dxa"/>
            <w:shd w:val="clear" w:color="auto" w:fill="auto"/>
            <w:tcMar>
              <w:top w:w="0" w:type="dxa"/>
              <w:left w:w="0" w:type="dxa"/>
              <w:bottom w:w="0" w:type="dxa"/>
              <w:right w:w="0" w:type="dxa"/>
            </w:tcMar>
            <w:vAlign w:val="bottom"/>
          </w:tcPr>
          <w:p w14:paraId="18D5E76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262 %</w:t>
            </w:r>
          </w:p>
        </w:tc>
      </w:tr>
      <w:tr w:rsidR="00D70B15" w:rsidRPr="00FC5584" w14:paraId="75CDC459" w14:textId="77777777" w:rsidTr="00A962D7">
        <w:tc>
          <w:tcPr>
            <w:tcW w:w="2127" w:type="dxa"/>
            <w:vMerge/>
            <w:shd w:val="clear" w:color="auto" w:fill="auto"/>
          </w:tcPr>
          <w:p w14:paraId="000EEF0E"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57F5A45B"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7</w:t>
            </w:r>
          </w:p>
        </w:tc>
        <w:tc>
          <w:tcPr>
            <w:tcW w:w="6946" w:type="dxa"/>
            <w:shd w:val="clear" w:color="auto" w:fill="auto"/>
            <w:tcMar>
              <w:top w:w="0" w:type="dxa"/>
              <w:left w:w="0" w:type="dxa"/>
              <w:bottom w:w="0" w:type="dxa"/>
              <w:right w:w="0" w:type="dxa"/>
            </w:tcMar>
            <w:vAlign w:val="bottom"/>
          </w:tcPr>
          <w:p w14:paraId="05AF20B6"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 xml:space="preserve">Centre pénitentiaire de sécurité </w:t>
            </w:r>
            <w:r w:rsidRPr="001B6B87">
              <w:rPr>
                <w:noProof/>
                <w:sz w:val="18"/>
                <w:szCs w:val="18"/>
                <w:lang w:val="fr-FR"/>
              </w:rPr>
              <w:t>de</w:t>
            </w:r>
            <w:r w:rsidR="00A962D7" w:rsidRPr="001B6B87">
              <w:rPr>
                <w:noProof/>
                <w:sz w:val="18"/>
                <w:szCs w:val="18"/>
                <w:lang w:val="fr-FR"/>
              </w:rPr>
              <w:t xml:space="preserve"> Chalatenango</w:t>
            </w:r>
            <w:r w:rsidRPr="00FC5584">
              <w:rPr>
                <w:noProof/>
                <w:sz w:val="18"/>
                <w:szCs w:val="15"/>
                <w:lang w:val="fr-FR"/>
              </w:rPr>
              <w:t xml:space="preserve"> </w:t>
            </w:r>
          </w:p>
        </w:tc>
        <w:tc>
          <w:tcPr>
            <w:tcW w:w="998" w:type="dxa"/>
            <w:shd w:val="clear" w:color="auto" w:fill="auto"/>
            <w:tcMar>
              <w:top w:w="0" w:type="dxa"/>
              <w:left w:w="0" w:type="dxa"/>
              <w:bottom w:w="0" w:type="dxa"/>
              <w:right w:w="0" w:type="dxa"/>
            </w:tcMar>
            <w:vAlign w:val="bottom"/>
          </w:tcPr>
          <w:p w14:paraId="2A86AB94"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350</w:t>
            </w:r>
          </w:p>
        </w:tc>
        <w:tc>
          <w:tcPr>
            <w:tcW w:w="999" w:type="dxa"/>
            <w:shd w:val="clear" w:color="auto" w:fill="auto"/>
            <w:tcMar>
              <w:top w:w="0" w:type="dxa"/>
              <w:left w:w="0" w:type="dxa"/>
              <w:bottom w:w="0" w:type="dxa"/>
              <w:right w:w="0" w:type="dxa"/>
            </w:tcMar>
            <w:vAlign w:val="bottom"/>
          </w:tcPr>
          <w:p w14:paraId="0B710ED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1 694</w:t>
            </w:r>
          </w:p>
        </w:tc>
        <w:tc>
          <w:tcPr>
            <w:tcW w:w="998" w:type="dxa"/>
            <w:shd w:val="clear" w:color="auto" w:fill="auto"/>
            <w:tcMar>
              <w:top w:w="0" w:type="dxa"/>
              <w:left w:w="0" w:type="dxa"/>
              <w:bottom w:w="0" w:type="dxa"/>
              <w:right w:w="0" w:type="dxa"/>
            </w:tcMar>
            <w:vAlign w:val="bottom"/>
          </w:tcPr>
          <w:p w14:paraId="0B53A2F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1 344</w:t>
            </w:r>
          </w:p>
        </w:tc>
        <w:tc>
          <w:tcPr>
            <w:tcW w:w="999" w:type="dxa"/>
            <w:shd w:val="clear" w:color="auto" w:fill="auto"/>
            <w:tcMar>
              <w:top w:w="0" w:type="dxa"/>
              <w:left w:w="0" w:type="dxa"/>
              <w:bottom w:w="0" w:type="dxa"/>
              <w:right w:w="0" w:type="dxa"/>
            </w:tcMar>
            <w:vAlign w:val="bottom"/>
          </w:tcPr>
          <w:p w14:paraId="22A02C3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484 %</w:t>
            </w:r>
          </w:p>
        </w:tc>
      </w:tr>
      <w:tr w:rsidR="00A962D7" w:rsidRPr="00FC5584" w14:paraId="5AE2E1C3" w14:textId="77777777" w:rsidTr="00A962D7">
        <w:tc>
          <w:tcPr>
            <w:tcW w:w="2127" w:type="dxa"/>
            <w:vMerge w:val="restart"/>
            <w:shd w:val="clear" w:color="auto" w:fill="auto"/>
            <w:tcMar>
              <w:top w:w="0" w:type="dxa"/>
              <w:left w:w="0" w:type="dxa"/>
              <w:bottom w:w="0" w:type="dxa"/>
              <w:right w:w="0" w:type="dxa"/>
            </w:tcMar>
          </w:tcPr>
          <w:p w14:paraId="71F28044"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Détention provisoire et exécution des peines</w:t>
            </w:r>
          </w:p>
        </w:tc>
        <w:tc>
          <w:tcPr>
            <w:tcW w:w="709" w:type="dxa"/>
            <w:shd w:val="clear" w:color="auto" w:fill="auto"/>
            <w:tcMar>
              <w:top w:w="0" w:type="dxa"/>
              <w:left w:w="0" w:type="dxa"/>
              <w:bottom w:w="0" w:type="dxa"/>
              <w:right w:w="0" w:type="dxa"/>
            </w:tcMar>
          </w:tcPr>
          <w:p w14:paraId="7F2FAD4E"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8</w:t>
            </w:r>
          </w:p>
        </w:tc>
        <w:tc>
          <w:tcPr>
            <w:tcW w:w="6946" w:type="dxa"/>
            <w:shd w:val="clear" w:color="auto" w:fill="auto"/>
            <w:tcMar>
              <w:top w:w="0" w:type="dxa"/>
              <w:left w:w="0" w:type="dxa"/>
              <w:bottom w:w="0" w:type="dxa"/>
              <w:right w:w="0" w:type="dxa"/>
            </w:tcMar>
            <w:vAlign w:val="bottom"/>
          </w:tcPr>
          <w:p w14:paraId="63188C3C"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w:t>
            </w:r>
            <w:r w:rsidR="002A5D78">
              <w:rPr>
                <w:noProof/>
                <w:sz w:val="18"/>
                <w:szCs w:val="15"/>
                <w:lang w:val="fr-FR"/>
              </w:rPr>
              <w:t>’</w:t>
            </w:r>
            <w:r w:rsidRPr="00FC5584">
              <w:rPr>
                <w:noProof/>
                <w:sz w:val="18"/>
                <w:szCs w:val="15"/>
                <w:lang w:val="fr-FR"/>
              </w:rPr>
              <w:t>Ilopango</w:t>
            </w:r>
          </w:p>
        </w:tc>
        <w:tc>
          <w:tcPr>
            <w:tcW w:w="998" w:type="dxa"/>
            <w:shd w:val="clear" w:color="auto" w:fill="auto"/>
            <w:tcMar>
              <w:top w:w="0" w:type="dxa"/>
              <w:left w:w="0" w:type="dxa"/>
              <w:bottom w:w="0" w:type="dxa"/>
              <w:right w:w="0" w:type="dxa"/>
            </w:tcMar>
            <w:vAlign w:val="bottom"/>
          </w:tcPr>
          <w:p w14:paraId="3FC8C03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1 250</w:t>
            </w:r>
          </w:p>
        </w:tc>
        <w:tc>
          <w:tcPr>
            <w:tcW w:w="999" w:type="dxa"/>
            <w:shd w:val="clear" w:color="auto" w:fill="auto"/>
            <w:tcMar>
              <w:top w:w="0" w:type="dxa"/>
              <w:left w:w="0" w:type="dxa"/>
              <w:bottom w:w="0" w:type="dxa"/>
              <w:right w:w="0" w:type="dxa"/>
            </w:tcMar>
            <w:vAlign w:val="bottom"/>
          </w:tcPr>
          <w:p w14:paraId="1383302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2 202</w:t>
            </w:r>
          </w:p>
        </w:tc>
        <w:tc>
          <w:tcPr>
            <w:tcW w:w="998" w:type="dxa"/>
            <w:shd w:val="clear" w:color="auto" w:fill="auto"/>
            <w:tcMar>
              <w:top w:w="0" w:type="dxa"/>
              <w:left w:w="0" w:type="dxa"/>
              <w:bottom w:w="0" w:type="dxa"/>
              <w:right w:w="0" w:type="dxa"/>
            </w:tcMar>
            <w:vAlign w:val="bottom"/>
          </w:tcPr>
          <w:p w14:paraId="2ADB6C7D"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952</w:t>
            </w:r>
          </w:p>
        </w:tc>
        <w:tc>
          <w:tcPr>
            <w:tcW w:w="999" w:type="dxa"/>
            <w:shd w:val="clear" w:color="auto" w:fill="auto"/>
            <w:tcMar>
              <w:top w:w="0" w:type="dxa"/>
              <w:left w:w="0" w:type="dxa"/>
              <w:bottom w:w="0" w:type="dxa"/>
              <w:right w:w="0" w:type="dxa"/>
            </w:tcMar>
            <w:vAlign w:val="bottom"/>
          </w:tcPr>
          <w:p w14:paraId="3EDDB7D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176 %</w:t>
            </w:r>
          </w:p>
        </w:tc>
      </w:tr>
      <w:tr w:rsidR="00D70B15" w:rsidRPr="00FC5584" w14:paraId="465BBBC3" w14:textId="77777777" w:rsidTr="00A962D7">
        <w:tc>
          <w:tcPr>
            <w:tcW w:w="2127" w:type="dxa"/>
            <w:vMerge/>
            <w:shd w:val="clear" w:color="auto" w:fill="auto"/>
          </w:tcPr>
          <w:p w14:paraId="4CFBDF30"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75AE1D1C"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9</w:t>
            </w:r>
          </w:p>
        </w:tc>
        <w:tc>
          <w:tcPr>
            <w:tcW w:w="6946" w:type="dxa"/>
            <w:shd w:val="clear" w:color="auto" w:fill="auto"/>
            <w:tcMar>
              <w:top w:w="0" w:type="dxa"/>
              <w:left w:w="0" w:type="dxa"/>
              <w:bottom w:w="0" w:type="dxa"/>
              <w:right w:w="0" w:type="dxa"/>
            </w:tcMar>
            <w:vAlign w:val="bottom"/>
          </w:tcPr>
          <w:p w14:paraId="339FB1DC"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de Metapan</w:t>
            </w:r>
          </w:p>
        </w:tc>
        <w:tc>
          <w:tcPr>
            <w:tcW w:w="998" w:type="dxa"/>
            <w:shd w:val="clear" w:color="auto" w:fill="auto"/>
            <w:tcMar>
              <w:top w:w="0" w:type="dxa"/>
              <w:left w:w="0" w:type="dxa"/>
              <w:bottom w:w="0" w:type="dxa"/>
              <w:right w:w="0" w:type="dxa"/>
            </w:tcMar>
            <w:vAlign w:val="bottom"/>
          </w:tcPr>
          <w:p w14:paraId="107713F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181</w:t>
            </w:r>
          </w:p>
        </w:tc>
        <w:tc>
          <w:tcPr>
            <w:tcW w:w="999" w:type="dxa"/>
            <w:shd w:val="clear" w:color="auto" w:fill="auto"/>
            <w:tcMar>
              <w:top w:w="0" w:type="dxa"/>
              <w:left w:w="0" w:type="dxa"/>
              <w:bottom w:w="0" w:type="dxa"/>
              <w:right w:w="0" w:type="dxa"/>
            </w:tcMar>
            <w:vAlign w:val="bottom"/>
          </w:tcPr>
          <w:p w14:paraId="43460322"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326</w:t>
            </w:r>
          </w:p>
        </w:tc>
        <w:tc>
          <w:tcPr>
            <w:tcW w:w="998" w:type="dxa"/>
            <w:shd w:val="clear" w:color="auto" w:fill="auto"/>
            <w:tcMar>
              <w:top w:w="0" w:type="dxa"/>
              <w:left w:w="0" w:type="dxa"/>
              <w:bottom w:w="0" w:type="dxa"/>
              <w:right w:w="0" w:type="dxa"/>
            </w:tcMar>
            <w:vAlign w:val="bottom"/>
          </w:tcPr>
          <w:p w14:paraId="6FF31AB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145</w:t>
            </w:r>
          </w:p>
        </w:tc>
        <w:tc>
          <w:tcPr>
            <w:tcW w:w="999" w:type="dxa"/>
            <w:shd w:val="clear" w:color="auto" w:fill="auto"/>
            <w:tcMar>
              <w:top w:w="0" w:type="dxa"/>
              <w:left w:w="0" w:type="dxa"/>
              <w:bottom w:w="0" w:type="dxa"/>
              <w:right w:w="0" w:type="dxa"/>
            </w:tcMar>
            <w:vAlign w:val="bottom"/>
          </w:tcPr>
          <w:p w14:paraId="5C551035"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180 %</w:t>
            </w:r>
          </w:p>
        </w:tc>
      </w:tr>
      <w:tr w:rsidR="00D70B15" w:rsidRPr="00FC5584" w14:paraId="4A12EE5F" w14:textId="77777777" w:rsidTr="00A962D7">
        <w:tc>
          <w:tcPr>
            <w:tcW w:w="2127" w:type="dxa"/>
            <w:vMerge/>
            <w:shd w:val="clear" w:color="auto" w:fill="auto"/>
          </w:tcPr>
          <w:p w14:paraId="483F0101"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3416630C"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10</w:t>
            </w:r>
          </w:p>
        </w:tc>
        <w:tc>
          <w:tcPr>
            <w:tcW w:w="6946" w:type="dxa"/>
            <w:shd w:val="clear" w:color="auto" w:fill="auto"/>
            <w:tcMar>
              <w:top w:w="0" w:type="dxa"/>
              <w:left w:w="0" w:type="dxa"/>
              <w:bottom w:w="0" w:type="dxa"/>
              <w:right w:w="0" w:type="dxa"/>
            </w:tcMar>
            <w:vAlign w:val="bottom"/>
          </w:tcPr>
          <w:p w14:paraId="59E29B79"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w:t>
            </w:r>
            <w:r w:rsidR="002A5D78">
              <w:rPr>
                <w:noProof/>
                <w:sz w:val="18"/>
                <w:szCs w:val="15"/>
                <w:lang w:val="fr-FR"/>
              </w:rPr>
              <w:t>’</w:t>
            </w:r>
            <w:r w:rsidRPr="00FC5584">
              <w:rPr>
                <w:noProof/>
                <w:sz w:val="18"/>
                <w:szCs w:val="15"/>
                <w:lang w:val="fr-FR"/>
              </w:rPr>
              <w:t>Apanteos</w:t>
            </w:r>
          </w:p>
        </w:tc>
        <w:tc>
          <w:tcPr>
            <w:tcW w:w="998" w:type="dxa"/>
            <w:shd w:val="clear" w:color="auto" w:fill="auto"/>
            <w:tcMar>
              <w:top w:w="0" w:type="dxa"/>
              <w:left w:w="0" w:type="dxa"/>
              <w:bottom w:w="0" w:type="dxa"/>
              <w:right w:w="0" w:type="dxa"/>
            </w:tcMar>
            <w:vAlign w:val="bottom"/>
          </w:tcPr>
          <w:p w14:paraId="6573622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2 000</w:t>
            </w:r>
          </w:p>
        </w:tc>
        <w:tc>
          <w:tcPr>
            <w:tcW w:w="999" w:type="dxa"/>
            <w:shd w:val="clear" w:color="auto" w:fill="auto"/>
            <w:tcMar>
              <w:top w:w="0" w:type="dxa"/>
              <w:left w:w="0" w:type="dxa"/>
              <w:bottom w:w="0" w:type="dxa"/>
              <w:right w:w="0" w:type="dxa"/>
            </w:tcMar>
            <w:vAlign w:val="bottom"/>
          </w:tcPr>
          <w:p w14:paraId="168A1D6F"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4 701</w:t>
            </w:r>
          </w:p>
        </w:tc>
        <w:tc>
          <w:tcPr>
            <w:tcW w:w="998" w:type="dxa"/>
            <w:shd w:val="clear" w:color="auto" w:fill="auto"/>
            <w:tcMar>
              <w:top w:w="0" w:type="dxa"/>
              <w:left w:w="0" w:type="dxa"/>
              <w:bottom w:w="0" w:type="dxa"/>
              <w:right w:w="0" w:type="dxa"/>
            </w:tcMar>
            <w:vAlign w:val="bottom"/>
          </w:tcPr>
          <w:p w14:paraId="4B97F0EF"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2 701</w:t>
            </w:r>
          </w:p>
        </w:tc>
        <w:tc>
          <w:tcPr>
            <w:tcW w:w="999" w:type="dxa"/>
            <w:shd w:val="clear" w:color="auto" w:fill="auto"/>
            <w:tcMar>
              <w:top w:w="0" w:type="dxa"/>
              <w:left w:w="0" w:type="dxa"/>
              <w:bottom w:w="0" w:type="dxa"/>
              <w:right w:w="0" w:type="dxa"/>
            </w:tcMar>
            <w:vAlign w:val="bottom"/>
          </w:tcPr>
          <w:p w14:paraId="1F02D0D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235 %</w:t>
            </w:r>
          </w:p>
        </w:tc>
      </w:tr>
      <w:tr w:rsidR="00D70B15" w:rsidRPr="00FC5584" w14:paraId="69AC6767" w14:textId="77777777" w:rsidTr="00A962D7">
        <w:tc>
          <w:tcPr>
            <w:tcW w:w="2127" w:type="dxa"/>
            <w:vMerge/>
            <w:shd w:val="clear" w:color="auto" w:fill="auto"/>
          </w:tcPr>
          <w:p w14:paraId="534F8EAC"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2E21465C"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11</w:t>
            </w:r>
          </w:p>
        </w:tc>
        <w:tc>
          <w:tcPr>
            <w:tcW w:w="6946" w:type="dxa"/>
            <w:shd w:val="clear" w:color="auto" w:fill="auto"/>
            <w:tcMar>
              <w:top w:w="0" w:type="dxa"/>
              <w:left w:w="0" w:type="dxa"/>
              <w:bottom w:w="0" w:type="dxa"/>
              <w:right w:w="0" w:type="dxa"/>
            </w:tcMar>
            <w:vAlign w:val="bottom"/>
          </w:tcPr>
          <w:p w14:paraId="4D950426"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de Sonsonate</w:t>
            </w:r>
          </w:p>
        </w:tc>
        <w:tc>
          <w:tcPr>
            <w:tcW w:w="998" w:type="dxa"/>
            <w:shd w:val="clear" w:color="auto" w:fill="auto"/>
            <w:tcMar>
              <w:top w:w="0" w:type="dxa"/>
              <w:left w:w="0" w:type="dxa"/>
              <w:bottom w:w="0" w:type="dxa"/>
              <w:right w:w="0" w:type="dxa"/>
            </w:tcMar>
            <w:vAlign w:val="bottom"/>
          </w:tcPr>
          <w:p w14:paraId="68CCFFA4"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350</w:t>
            </w:r>
          </w:p>
        </w:tc>
        <w:tc>
          <w:tcPr>
            <w:tcW w:w="999" w:type="dxa"/>
            <w:shd w:val="clear" w:color="auto" w:fill="auto"/>
            <w:tcMar>
              <w:top w:w="0" w:type="dxa"/>
              <w:left w:w="0" w:type="dxa"/>
              <w:bottom w:w="0" w:type="dxa"/>
              <w:right w:w="0" w:type="dxa"/>
            </w:tcMar>
            <w:vAlign w:val="bottom"/>
          </w:tcPr>
          <w:p w14:paraId="1B782E9E"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1 030</w:t>
            </w:r>
          </w:p>
        </w:tc>
        <w:tc>
          <w:tcPr>
            <w:tcW w:w="998" w:type="dxa"/>
            <w:shd w:val="clear" w:color="auto" w:fill="auto"/>
            <w:tcMar>
              <w:top w:w="0" w:type="dxa"/>
              <w:left w:w="0" w:type="dxa"/>
              <w:bottom w:w="0" w:type="dxa"/>
              <w:right w:w="0" w:type="dxa"/>
            </w:tcMar>
            <w:vAlign w:val="bottom"/>
          </w:tcPr>
          <w:p w14:paraId="6CA1166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680</w:t>
            </w:r>
          </w:p>
        </w:tc>
        <w:tc>
          <w:tcPr>
            <w:tcW w:w="999" w:type="dxa"/>
            <w:shd w:val="clear" w:color="auto" w:fill="auto"/>
            <w:tcMar>
              <w:top w:w="0" w:type="dxa"/>
              <w:left w:w="0" w:type="dxa"/>
              <w:bottom w:w="0" w:type="dxa"/>
              <w:right w:w="0" w:type="dxa"/>
            </w:tcMar>
            <w:vAlign w:val="bottom"/>
          </w:tcPr>
          <w:p w14:paraId="7AE621D2"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294 %</w:t>
            </w:r>
          </w:p>
        </w:tc>
      </w:tr>
      <w:tr w:rsidR="00D70B15" w:rsidRPr="00FC5584" w14:paraId="6847E3AC" w14:textId="77777777" w:rsidTr="00A962D7">
        <w:tc>
          <w:tcPr>
            <w:tcW w:w="2127" w:type="dxa"/>
            <w:vMerge/>
            <w:shd w:val="clear" w:color="auto" w:fill="auto"/>
          </w:tcPr>
          <w:p w14:paraId="1607CCD6"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4449EF3B"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12</w:t>
            </w:r>
          </w:p>
        </w:tc>
        <w:tc>
          <w:tcPr>
            <w:tcW w:w="6946" w:type="dxa"/>
            <w:shd w:val="clear" w:color="auto" w:fill="auto"/>
            <w:tcMar>
              <w:top w:w="0" w:type="dxa"/>
              <w:left w:w="0" w:type="dxa"/>
              <w:bottom w:w="0" w:type="dxa"/>
              <w:right w:w="0" w:type="dxa"/>
            </w:tcMar>
            <w:vAlign w:val="bottom"/>
          </w:tcPr>
          <w:p w14:paraId="636B7AD4"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La Esperanza, Penitenciaría Central</w:t>
            </w:r>
          </w:p>
        </w:tc>
        <w:tc>
          <w:tcPr>
            <w:tcW w:w="998" w:type="dxa"/>
            <w:shd w:val="clear" w:color="auto" w:fill="auto"/>
            <w:tcMar>
              <w:top w:w="0" w:type="dxa"/>
              <w:left w:w="0" w:type="dxa"/>
              <w:bottom w:w="0" w:type="dxa"/>
              <w:right w:w="0" w:type="dxa"/>
            </w:tcMar>
            <w:vAlign w:val="bottom"/>
          </w:tcPr>
          <w:p w14:paraId="2D541366"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2 974</w:t>
            </w:r>
          </w:p>
        </w:tc>
        <w:tc>
          <w:tcPr>
            <w:tcW w:w="999" w:type="dxa"/>
            <w:shd w:val="clear" w:color="auto" w:fill="auto"/>
            <w:tcMar>
              <w:top w:w="0" w:type="dxa"/>
              <w:left w:w="0" w:type="dxa"/>
              <w:bottom w:w="0" w:type="dxa"/>
              <w:right w:w="0" w:type="dxa"/>
            </w:tcMar>
            <w:vAlign w:val="bottom"/>
          </w:tcPr>
          <w:p w14:paraId="0D78F79D"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5 464</w:t>
            </w:r>
          </w:p>
        </w:tc>
        <w:tc>
          <w:tcPr>
            <w:tcW w:w="998" w:type="dxa"/>
            <w:shd w:val="clear" w:color="auto" w:fill="auto"/>
            <w:tcMar>
              <w:top w:w="0" w:type="dxa"/>
              <w:left w:w="0" w:type="dxa"/>
              <w:bottom w:w="0" w:type="dxa"/>
              <w:right w:w="0" w:type="dxa"/>
            </w:tcMar>
            <w:vAlign w:val="bottom"/>
          </w:tcPr>
          <w:p w14:paraId="74C0076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2 490</w:t>
            </w:r>
          </w:p>
        </w:tc>
        <w:tc>
          <w:tcPr>
            <w:tcW w:w="999" w:type="dxa"/>
            <w:shd w:val="clear" w:color="auto" w:fill="auto"/>
            <w:tcMar>
              <w:top w:w="0" w:type="dxa"/>
              <w:left w:w="0" w:type="dxa"/>
              <w:bottom w:w="0" w:type="dxa"/>
              <w:right w:w="0" w:type="dxa"/>
            </w:tcMar>
            <w:vAlign w:val="bottom"/>
          </w:tcPr>
          <w:p w14:paraId="05E9755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184 %</w:t>
            </w:r>
          </w:p>
        </w:tc>
      </w:tr>
      <w:tr w:rsidR="00D70B15" w:rsidRPr="00FC5584" w14:paraId="117F54D6" w14:textId="77777777" w:rsidTr="00A962D7">
        <w:tc>
          <w:tcPr>
            <w:tcW w:w="2127" w:type="dxa"/>
            <w:vMerge/>
            <w:shd w:val="clear" w:color="auto" w:fill="auto"/>
          </w:tcPr>
          <w:p w14:paraId="28F61F7E"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0522EEBB"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13</w:t>
            </w:r>
          </w:p>
        </w:tc>
        <w:tc>
          <w:tcPr>
            <w:tcW w:w="6946" w:type="dxa"/>
            <w:shd w:val="clear" w:color="auto" w:fill="auto"/>
            <w:tcMar>
              <w:top w:w="0" w:type="dxa"/>
              <w:left w:w="0" w:type="dxa"/>
              <w:bottom w:w="0" w:type="dxa"/>
              <w:right w:w="0" w:type="dxa"/>
            </w:tcMar>
            <w:vAlign w:val="bottom"/>
          </w:tcPr>
          <w:p w14:paraId="282D3A20"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de San Vicente</w:t>
            </w:r>
          </w:p>
        </w:tc>
        <w:tc>
          <w:tcPr>
            <w:tcW w:w="998" w:type="dxa"/>
            <w:shd w:val="clear" w:color="auto" w:fill="auto"/>
            <w:tcMar>
              <w:top w:w="0" w:type="dxa"/>
              <w:left w:w="0" w:type="dxa"/>
              <w:bottom w:w="0" w:type="dxa"/>
              <w:right w:w="0" w:type="dxa"/>
            </w:tcMar>
            <w:vAlign w:val="bottom"/>
          </w:tcPr>
          <w:p w14:paraId="6A1BAE52"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450</w:t>
            </w:r>
          </w:p>
        </w:tc>
        <w:tc>
          <w:tcPr>
            <w:tcW w:w="999" w:type="dxa"/>
            <w:shd w:val="clear" w:color="auto" w:fill="auto"/>
            <w:tcMar>
              <w:top w:w="0" w:type="dxa"/>
              <w:left w:w="0" w:type="dxa"/>
              <w:bottom w:w="0" w:type="dxa"/>
              <w:right w:w="0" w:type="dxa"/>
            </w:tcMar>
            <w:vAlign w:val="bottom"/>
          </w:tcPr>
          <w:p w14:paraId="42FB71AE"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1 380</w:t>
            </w:r>
          </w:p>
        </w:tc>
        <w:tc>
          <w:tcPr>
            <w:tcW w:w="998" w:type="dxa"/>
            <w:shd w:val="clear" w:color="auto" w:fill="auto"/>
            <w:tcMar>
              <w:top w:w="0" w:type="dxa"/>
              <w:left w:w="0" w:type="dxa"/>
              <w:bottom w:w="0" w:type="dxa"/>
              <w:right w:w="0" w:type="dxa"/>
            </w:tcMar>
            <w:vAlign w:val="bottom"/>
          </w:tcPr>
          <w:p w14:paraId="4344FDA6"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930</w:t>
            </w:r>
          </w:p>
        </w:tc>
        <w:tc>
          <w:tcPr>
            <w:tcW w:w="999" w:type="dxa"/>
            <w:shd w:val="clear" w:color="auto" w:fill="auto"/>
            <w:tcMar>
              <w:top w:w="0" w:type="dxa"/>
              <w:left w:w="0" w:type="dxa"/>
              <w:bottom w:w="0" w:type="dxa"/>
              <w:right w:w="0" w:type="dxa"/>
            </w:tcMar>
            <w:vAlign w:val="bottom"/>
          </w:tcPr>
          <w:p w14:paraId="48C3903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307 %</w:t>
            </w:r>
          </w:p>
        </w:tc>
      </w:tr>
      <w:tr w:rsidR="00D70B15" w:rsidRPr="00FC5584" w14:paraId="09A0E178" w14:textId="77777777" w:rsidTr="00A962D7">
        <w:tc>
          <w:tcPr>
            <w:tcW w:w="2127" w:type="dxa"/>
            <w:vMerge/>
            <w:shd w:val="clear" w:color="auto" w:fill="auto"/>
          </w:tcPr>
          <w:p w14:paraId="5CE64F96"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0A881007"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14</w:t>
            </w:r>
          </w:p>
        </w:tc>
        <w:tc>
          <w:tcPr>
            <w:tcW w:w="6946" w:type="dxa"/>
            <w:shd w:val="clear" w:color="auto" w:fill="auto"/>
            <w:tcMar>
              <w:top w:w="0" w:type="dxa"/>
              <w:left w:w="0" w:type="dxa"/>
              <w:bottom w:w="0" w:type="dxa"/>
              <w:right w:w="0" w:type="dxa"/>
            </w:tcMar>
            <w:vAlign w:val="bottom"/>
          </w:tcPr>
          <w:p w14:paraId="20DB8A8D" w14:textId="77777777" w:rsidR="000E6673" w:rsidRPr="00FC5584" w:rsidRDefault="000E6673" w:rsidP="00B20EBA">
            <w:pPr>
              <w:suppressAutoHyphens w:val="0"/>
              <w:spacing w:before="40" w:after="120" w:line="220" w:lineRule="exact"/>
              <w:rPr>
                <w:noProof/>
                <w:sz w:val="18"/>
                <w:szCs w:val="15"/>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de San Miguel</w:t>
            </w:r>
          </w:p>
        </w:tc>
        <w:tc>
          <w:tcPr>
            <w:tcW w:w="998" w:type="dxa"/>
            <w:shd w:val="clear" w:color="auto" w:fill="auto"/>
            <w:tcMar>
              <w:top w:w="0" w:type="dxa"/>
              <w:left w:w="0" w:type="dxa"/>
              <w:bottom w:w="0" w:type="dxa"/>
              <w:right w:w="0" w:type="dxa"/>
            </w:tcMar>
            <w:vAlign w:val="bottom"/>
          </w:tcPr>
          <w:p w14:paraId="215F0AEE"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375</w:t>
            </w:r>
          </w:p>
        </w:tc>
        <w:tc>
          <w:tcPr>
            <w:tcW w:w="999" w:type="dxa"/>
            <w:shd w:val="clear" w:color="auto" w:fill="auto"/>
            <w:tcMar>
              <w:top w:w="0" w:type="dxa"/>
              <w:left w:w="0" w:type="dxa"/>
              <w:bottom w:w="0" w:type="dxa"/>
              <w:right w:w="0" w:type="dxa"/>
            </w:tcMar>
            <w:vAlign w:val="bottom"/>
          </w:tcPr>
          <w:p w14:paraId="56331FC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882</w:t>
            </w:r>
          </w:p>
        </w:tc>
        <w:tc>
          <w:tcPr>
            <w:tcW w:w="998" w:type="dxa"/>
            <w:shd w:val="clear" w:color="auto" w:fill="auto"/>
            <w:tcMar>
              <w:top w:w="0" w:type="dxa"/>
              <w:left w:w="0" w:type="dxa"/>
              <w:bottom w:w="0" w:type="dxa"/>
              <w:right w:w="0" w:type="dxa"/>
            </w:tcMar>
            <w:vAlign w:val="bottom"/>
          </w:tcPr>
          <w:p w14:paraId="025714E6"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507</w:t>
            </w:r>
          </w:p>
        </w:tc>
        <w:tc>
          <w:tcPr>
            <w:tcW w:w="999" w:type="dxa"/>
            <w:shd w:val="clear" w:color="auto" w:fill="auto"/>
            <w:tcMar>
              <w:top w:w="0" w:type="dxa"/>
              <w:left w:w="0" w:type="dxa"/>
              <w:bottom w:w="0" w:type="dxa"/>
              <w:right w:w="0" w:type="dxa"/>
            </w:tcMar>
            <w:vAlign w:val="bottom"/>
          </w:tcPr>
          <w:p w14:paraId="61C97BD7"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235 %</w:t>
            </w:r>
          </w:p>
        </w:tc>
      </w:tr>
      <w:tr w:rsidR="00D70B15" w:rsidRPr="00FC5584" w14:paraId="6328C615" w14:textId="77777777" w:rsidTr="00A962D7">
        <w:tc>
          <w:tcPr>
            <w:tcW w:w="2127" w:type="dxa"/>
            <w:vMerge/>
            <w:shd w:val="clear" w:color="auto" w:fill="auto"/>
          </w:tcPr>
          <w:p w14:paraId="7BF67475"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38DEB1BA"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15</w:t>
            </w:r>
          </w:p>
        </w:tc>
        <w:tc>
          <w:tcPr>
            <w:tcW w:w="6946" w:type="dxa"/>
            <w:shd w:val="clear" w:color="auto" w:fill="auto"/>
            <w:tcMar>
              <w:top w:w="0" w:type="dxa"/>
              <w:left w:w="0" w:type="dxa"/>
              <w:bottom w:w="0" w:type="dxa"/>
              <w:right w:w="0" w:type="dxa"/>
            </w:tcMar>
            <w:vAlign w:val="bottom"/>
          </w:tcPr>
          <w:p w14:paraId="525504E9"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et d</w:t>
            </w:r>
            <w:r w:rsidR="002A5D78">
              <w:rPr>
                <w:noProof/>
                <w:sz w:val="18"/>
                <w:szCs w:val="15"/>
                <w:lang w:val="fr-FR"/>
              </w:rPr>
              <w:t>’</w:t>
            </w:r>
            <w:r w:rsidRPr="00FC5584">
              <w:rPr>
                <w:noProof/>
                <w:sz w:val="18"/>
                <w:szCs w:val="15"/>
                <w:lang w:val="fr-FR"/>
              </w:rPr>
              <w:t>exécution des peines de San Francisco Gotera</w:t>
            </w:r>
          </w:p>
        </w:tc>
        <w:tc>
          <w:tcPr>
            <w:tcW w:w="998" w:type="dxa"/>
            <w:shd w:val="clear" w:color="auto" w:fill="auto"/>
            <w:tcMar>
              <w:top w:w="0" w:type="dxa"/>
              <w:left w:w="0" w:type="dxa"/>
              <w:bottom w:w="0" w:type="dxa"/>
              <w:right w:w="0" w:type="dxa"/>
            </w:tcMar>
            <w:vAlign w:val="bottom"/>
          </w:tcPr>
          <w:p w14:paraId="22AA3E6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387</w:t>
            </w:r>
          </w:p>
        </w:tc>
        <w:tc>
          <w:tcPr>
            <w:tcW w:w="999" w:type="dxa"/>
            <w:shd w:val="clear" w:color="auto" w:fill="auto"/>
            <w:tcMar>
              <w:top w:w="0" w:type="dxa"/>
              <w:left w:w="0" w:type="dxa"/>
              <w:bottom w:w="0" w:type="dxa"/>
              <w:right w:w="0" w:type="dxa"/>
            </w:tcMar>
            <w:vAlign w:val="bottom"/>
          </w:tcPr>
          <w:p w14:paraId="7828D48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1 620</w:t>
            </w:r>
          </w:p>
        </w:tc>
        <w:tc>
          <w:tcPr>
            <w:tcW w:w="998" w:type="dxa"/>
            <w:shd w:val="clear" w:color="auto" w:fill="auto"/>
            <w:tcMar>
              <w:top w:w="0" w:type="dxa"/>
              <w:left w:w="0" w:type="dxa"/>
              <w:bottom w:w="0" w:type="dxa"/>
              <w:right w:w="0" w:type="dxa"/>
            </w:tcMar>
            <w:vAlign w:val="bottom"/>
          </w:tcPr>
          <w:p w14:paraId="516D1F9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1 233</w:t>
            </w:r>
          </w:p>
        </w:tc>
        <w:tc>
          <w:tcPr>
            <w:tcW w:w="999" w:type="dxa"/>
            <w:shd w:val="clear" w:color="auto" w:fill="auto"/>
            <w:tcMar>
              <w:top w:w="0" w:type="dxa"/>
              <w:left w:w="0" w:type="dxa"/>
              <w:bottom w:w="0" w:type="dxa"/>
              <w:right w:w="0" w:type="dxa"/>
            </w:tcMar>
            <w:vAlign w:val="bottom"/>
          </w:tcPr>
          <w:p w14:paraId="6261F60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419 %</w:t>
            </w:r>
          </w:p>
        </w:tc>
      </w:tr>
      <w:tr w:rsidR="00D70B15" w:rsidRPr="00FC5584" w14:paraId="1D84711B" w14:textId="77777777" w:rsidTr="00A962D7">
        <w:tc>
          <w:tcPr>
            <w:tcW w:w="2127" w:type="dxa"/>
            <w:vMerge w:val="restart"/>
            <w:shd w:val="clear" w:color="auto" w:fill="auto"/>
            <w:tcMar>
              <w:top w:w="0" w:type="dxa"/>
              <w:left w:w="0" w:type="dxa"/>
              <w:bottom w:w="0" w:type="dxa"/>
              <w:right w:w="0" w:type="dxa"/>
            </w:tcMar>
          </w:tcPr>
          <w:p w14:paraId="2E43F569"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Exécution des peines</w:t>
            </w:r>
          </w:p>
        </w:tc>
        <w:tc>
          <w:tcPr>
            <w:tcW w:w="709" w:type="dxa"/>
            <w:shd w:val="clear" w:color="auto" w:fill="auto"/>
            <w:tcMar>
              <w:top w:w="0" w:type="dxa"/>
              <w:left w:w="0" w:type="dxa"/>
              <w:bottom w:w="0" w:type="dxa"/>
              <w:right w:w="0" w:type="dxa"/>
            </w:tcMar>
          </w:tcPr>
          <w:p w14:paraId="002A9890"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16</w:t>
            </w:r>
          </w:p>
        </w:tc>
        <w:tc>
          <w:tcPr>
            <w:tcW w:w="6946" w:type="dxa"/>
            <w:shd w:val="clear" w:color="auto" w:fill="auto"/>
            <w:tcMar>
              <w:top w:w="0" w:type="dxa"/>
              <w:left w:w="0" w:type="dxa"/>
              <w:bottom w:w="0" w:type="dxa"/>
              <w:right w:w="0" w:type="dxa"/>
            </w:tcMar>
            <w:vAlign w:val="bottom"/>
          </w:tcPr>
          <w:p w14:paraId="7D2B7080"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w:t>
            </w:r>
            <w:r w:rsidR="002A5D78">
              <w:rPr>
                <w:noProof/>
                <w:sz w:val="18"/>
                <w:szCs w:val="15"/>
                <w:lang w:val="fr-FR"/>
              </w:rPr>
              <w:t>’</w:t>
            </w:r>
            <w:r w:rsidRPr="00FC5584">
              <w:rPr>
                <w:noProof/>
                <w:sz w:val="18"/>
                <w:szCs w:val="15"/>
                <w:lang w:val="fr-FR"/>
              </w:rPr>
              <w:t>exécution des peines de Sensuntepeque</w:t>
            </w:r>
          </w:p>
        </w:tc>
        <w:tc>
          <w:tcPr>
            <w:tcW w:w="998" w:type="dxa"/>
            <w:shd w:val="clear" w:color="auto" w:fill="auto"/>
            <w:tcMar>
              <w:top w:w="0" w:type="dxa"/>
              <w:left w:w="0" w:type="dxa"/>
              <w:bottom w:w="0" w:type="dxa"/>
              <w:right w:w="0" w:type="dxa"/>
            </w:tcMar>
            <w:vAlign w:val="bottom"/>
          </w:tcPr>
          <w:p w14:paraId="0687D471"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150</w:t>
            </w:r>
          </w:p>
        </w:tc>
        <w:tc>
          <w:tcPr>
            <w:tcW w:w="999" w:type="dxa"/>
            <w:shd w:val="clear" w:color="auto" w:fill="auto"/>
            <w:tcMar>
              <w:top w:w="0" w:type="dxa"/>
              <w:left w:w="0" w:type="dxa"/>
              <w:bottom w:w="0" w:type="dxa"/>
              <w:right w:w="0" w:type="dxa"/>
            </w:tcMar>
            <w:vAlign w:val="bottom"/>
          </w:tcPr>
          <w:p w14:paraId="23EDB12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615</w:t>
            </w:r>
          </w:p>
        </w:tc>
        <w:tc>
          <w:tcPr>
            <w:tcW w:w="998" w:type="dxa"/>
            <w:shd w:val="clear" w:color="auto" w:fill="auto"/>
            <w:tcMar>
              <w:top w:w="0" w:type="dxa"/>
              <w:left w:w="0" w:type="dxa"/>
              <w:bottom w:w="0" w:type="dxa"/>
              <w:right w:w="0" w:type="dxa"/>
            </w:tcMar>
            <w:vAlign w:val="bottom"/>
          </w:tcPr>
          <w:p w14:paraId="70B2885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465</w:t>
            </w:r>
          </w:p>
        </w:tc>
        <w:tc>
          <w:tcPr>
            <w:tcW w:w="999" w:type="dxa"/>
            <w:shd w:val="clear" w:color="auto" w:fill="auto"/>
            <w:tcMar>
              <w:top w:w="0" w:type="dxa"/>
              <w:left w:w="0" w:type="dxa"/>
              <w:bottom w:w="0" w:type="dxa"/>
              <w:right w:w="0" w:type="dxa"/>
            </w:tcMar>
            <w:vAlign w:val="bottom"/>
          </w:tcPr>
          <w:p w14:paraId="0C25B45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410 %</w:t>
            </w:r>
          </w:p>
        </w:tc>
      </w:tr>
      <w:tr w:rsidR="00D70B15" w:rsidRPr="00FC5584" w14:paraId="714F549E" w14:textId="77777777" w:rsidTr="00A962D7">
        <w:tc>
          <w:tcPr>
            <w:tcW w:w="2127" w:type="dxa"/>
            <w:vMerge/>
            <w:shd w:val="clear" w:color="auto" w:fill="auto"/>
          </w:tcPr>
          <w:p w14:paraId="7CF3EA2D"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346BCA97"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17</w:t>
            </w:r>
          </w:p>
        </w:tc>
        <w:tc>
          <w:tcPr>
            <w:tcW w:w="6946" w:type="dxa"/>
            <w:shd w:val="clear" w:color="auto" w:fill="auto"/>
            <w:tcMar>
              <w:top w:w="0" w:type="dxa"/>
              <w:left w:w="0" w:type="dxa"/>
              <w:bottom w:w="0" w:type="dxa"/>
              <w:right w:w="0" w:type="dxa"/>
            </w:tcMar>
            <w:vAlign w:val="bottom"/>
          </w:tcPr>
          <w:p w14:paraId="2647E1A4"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w:t>
            </w:r>
            <w:r w:rsidR="002A5D78">
              <w:rPr>
                <w:noProof/>
                <w:sz w:val="18"/>
                <w:szCs w:val="15"/>
                <w:lang w:val="fr-FR"/>
              </w:rPr>
              <w:t>’</w:t>
            </w:r>
            <w:r w:rsidRPr="00FC5584">
              <w:rPr>
                <w:noProof/>
                <w:sz w:val="18"/>
                <w:szCs w:val="15"/>
                <w:lang w:val="fr-FR"/>
              </w:rPr>
              <w:t>exécution des peines d</w:t>
            </w:r>
            <w:r w:rsidR="002A5D78">
              <w:rPr>
                <w:noProof/>
                <w:sz w:val="18"/>
                <w:szCs w:val="15"/>
                <w:lang w:val="fr-FR"/>
              </w:rPr>
              <w:t>’</w:t>
            </w:r>
            <w:r w:rsidRPr="00FC5584">
              <w:rPr>
                <w:noProof/>
                <w:sz w:val="18"/>
                <w:szCs w:val="15"/>
                <w:lang w:val="fr-FR"/>
              </w:rPr>
              <w:t>Usulutan</w:t>
            </w:r>
          </w:p>
        </w:tc>
        <w:tc>
          <w:tcPr>
            <w:tcW w:w="998" w:type="dxa"/>
            <w:shd w:val="clear" w:color="auto" w:fill="auto"/>
            <w:tcMar>
              <w:top w:w="0" w:type="dxa"/>
              <w:left w:w="0" w:type="dxa"/>
              <w:bottom w:w="0" w:type="dxa"/>
              <w:right w:w="0" w:type="dxa"/>
            </w:tcMar>
            <w:vAlign w:val="bottom"/>
          </w:tcPr>
          <w:p w14:paraId="2EA821CD"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300</w:t>
            </w:r>
          </w:p>
        </w:tc>
        <w:tc>
          <w:tcPr>
            <w:tcW w:w="999" w:type="dxa"/>
            <w:shd w:val="clear" w:color="auto" w:fill="auto"/>
            <w:tcMar>
              <w:top w:w="0" w:type="dxa"/>
              <w:left w:w="0" w:type="dxa"/>
              <w:bottom w:w="0" w:type="dxa"/>
              <w:right w:w="0" w:type="dxa"/>
            </w:tcMar>
            <w:vAlign w:val="bottom"/>
          </w:tcPr>
          <w:p w14:paraId="03258B6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954</w:t>
            </w:r>
          </w:p>
        </w:tc>
        <w:tc>
          <w:tcPr>
            <w:tcW w:w="998" w:type="dxa"/>
            <w:shd w:val="clear" w:color="auto" w:fill="auto"/>
            <w:tcMar>
              <w:top w:w="0" w:type="dxa"/>
              <w:left w:w="0" w:type="dxa"/>
              <w:bottom w:w="0" w:type="dxa"/>
              <w:right w:w="0" w:type="dxa"/>
            </w:tcMar>
            <w:vAlign w:val="bottom"/>
          </w:tcPr>
          <w:p w14:paraId="52624875"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654</w:t>
            </w:r>
          </w:p>
        </w:tc>
        <w:tc>
          <w:tcPr>
            <w:tcW w:w="999" w:type="dxa"/>
            <w:shd w:val="clear" w:color="auto" w:fill="auto"/>
            <w:tcMar>
              <w:top w:w="0" w:type="dxa"/>
              <w:left w:w="0" w:type="dxa"/>
              <w:bottom w:w="0" w:type="dxa"/>
              <w:right w:w="0" w:type="dxa"/>
            </w:tcMar>
            <w:vAlign w:val="bottom"/>
          </w:tcPr>
          <w:p w14:paraId="1F82A06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318 %</w:t>
            </w:r>
          </w:p>
        </w:tc>
      </w:tr>
      <w:tr w:rsidR="00D70B15" w:rsidRPr="00FC5584" w14:paraId="3AC620A9" w14:textId="77777777" w:rsidTr="00A962D7">
        <w:tc>
          <w:tcPr>
            <w:tcW w:w="2127" w:type="dxa"/>
            <w:vMerge w:val="restart"/>
            <w:shd w:val="clear" w:color="auto" w:fill="auto"/>
            <w:tcMar>
              <w:top w:w="0" w:type="dxa"/>
              <w:left w:w="0" w:type="dxa"/>
              <w:bottom w:w="0" w:type="dxa"/>
              <w:right w:w="0" w:type="dxa"/>
            </w:tcMar>
          </w:tcPr>
          <w:p w14:paraId="0B6E3820"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Détention provisoire</w:t>
            </w:r>
          </w:p>
        </w:tc>
        <w:tc>
          <w:tcPr>
            <w:tcW w:w="709" w:type="dxa"/>
            <w:shd w:val="clear" w:color="auto" w:fill="auto"/>
            <w:tcMar>
              <w:top w:w="0" w:type="dxa"/>
              <w:left w:w="0" w:type="dxa"/>
              <w:bottom w:w="0" w:type="dxa"/>
              <w:right w:w="0" w:type="dxa"/>
            </w:tcMar>
          </w:tcPr>
          <w:p w14:paraId="1E6BC785"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18</w:t>
            </w:r>
          </w:p>
        </w:tc>
        <w:tc>
          <w:tcPr>
            <w:tcW w:w="6946" w:type="dxa"/>
            <w:shd w:val="clear" w:color="auto" w:fill="auto"/>
            <w:tcMar>
              <w:top w:w="0" w:type="dxa"/>
              <w:left w:w="0" w:type="dxa"/>
              <w:bottom w:w="0" w:type="dxa"/>
              <w:right w:w="0" w:type="dxa"/>
            </w:tcMar>
            <w:vAlign w:val="bottom"/>
          </w:tcPr>
          <w:p w14:paraId="27D1ED05"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d</w:t>
            </w:r>
            <w:r w:rsidR="002A5D78">
              <w:rPr>
                <w:noProof/>
                <w:sz w:val="18"/>
                <w:szCs w:val="15"/>
                <w:lang w:val="fr-FR"/>
              </w:rPr>
              <w:t>’</w:t>
            </w:r>
            <w:r w:rsidRPr="00FC5584">
              <w:rPr>
                <w:noProof/>
                <w:sz w:val="18"/>
                <w:szCs w:val="15"/>
                <w:lang w:val="fr-FR"/>
              </w:rPr>
              <w:t>Ilobasco</w:t>
            </w:r>
          </w:p>
        </w:tc>
        <w:tc>
          <w:tcPr>
            <w:tcW w:w="998" w:type="dxa"/>
            <w:shd w:val="clear" w:color="auto" w:fill="auto"/>
            <w:tcMar>
              <w:top w:w="0" w:type="dxa"/>
              <w:left w:w="0" w:type="dxa"/>
              <w:bottom w:w="0" w:type="dxa"/>
              <w:right w:w="0" w:type="dxa"/>
            </w:tcMar>
            <w:vAlign w:val="bottom"/>
          </w:tcPr>
          <w:p w14:paraId="3B7E990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500</w:t>
            </w:r>
          </w:p>
        </w:tc>
        <w:tc>
          <w:tcPr>
            <w:tcW w:w="999" w:type="dxa"/>
            <w:shd w:val="clear" w:color="auto" w:fill="auto"/>
            <w:tcMar>
              <w:top w:w="0" w:type="dxa"/>
              <w:left w:w="0" w:type="dxa"/>
              <w:bottom w:w="0" w:type="dxa"/>
              <w:right w:w="0" w:type="dxa"/>
            </w:tcMar>
            <w:vAlign w:val="bottom"/>
          </w:tcPr>
          <w:p w14:paraId="02C194F0"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382</w:t>
            </w:r>
          </w:p>
        </w:tc>
        <w:tc>
          <w:tcPr>
            <w:tcW w:w="998" w:type="dxa"/>
            <w:shd w:val="clear" w:color="auto" w:fill="auto"/>
            <w:tcMar>
              <w:top w:w="0" w:type="dxa"/>
              <w:left w:w="0" w:type="dxa"/>
              <w:bottom w:w="0" w:type="dxa"/>
              <w:right w:w="0" w:type="dxa"/>
            </w:tcMar>
            <w:vAlign w:val="bottom"/>
          </w:tcPr>
          <w:p w14:paraId="577B642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-118</w:t>
            </w:r>
          </w:p>
        </w:tc>
        <w:tc>
          <w:tcPr>
            <w:tcW w:w="999" w:type="dxa"/>
            <w:shd w:val="clear" w:color="auto" w:fill="auto"/>
            <w:tcMar>
              <w:top w:w="0" w:type="dxa"/>
              <w:left w:w="0" w:type="dxa"/>
              <w:bottom w:w="0" w:type="dxa"/>
              <w:right w:w="0" w:type="dxa"/>
            </w:tcMar>
            <w:vAlign w:val="bottom"/>
          </w:tcPr>
          <w:p w14:paraId="33BED38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76 %</w:t>
            </w:r>
          </w:p>
        </w:tc>
      </w:tr>
      <w:tr w:rsidR="00D70B15" w:rsidRPr="00FC5584" w14:paraId="7135AAE0" w14:textId="77777777" w:rsidTr="00A962D7">
        <w:tc>
          <w:tcPr>
            <w:tcW w:w="2127" w:type="dxa"/>
            <w:vMerge/>
            <w:shd w:val="clear" w:color="auto" w:fill="auto"/>
          </w:tcPr>
          <w:p w14:paraId="5DDFD0D4"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6E5B4242"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19</w:t>
            </w:r>
          </w:p>
        </w:tc>
        <w:tc>
          <w:tcPr>
            <w:tcW w:w="6946" w:type="dxa"/>
            <w:shd w:val="clear" w:color="auto" w:fill="auto"/>
            <w:tcMar>
              <w:top w:w="0" w:type="dxa"/>
              <w:left w:w="0" w:type="dxa"/>
              <w:bottom w:w="0" w:type="dxa"/>
              <w:right w:w="0" w:type="dxa"/>
            </w:tcMar>
            <w:vAlign w:val="bottom"/>
          </w:tcPr>
          <w:p w14:paraId="3E09D7BC"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de Jucuapa</w:t>
            </w:r>
          </w:p>
        </w:tc>
        <w:tc>
          <w:tcPr>
            <w:tcW w:w="998" w:type="dxa"/>
            <w:shd w:val="clear" w:color="auto" w:fill="auto"/>
            <w:tcMar>
              <w:top w:w="0" w:type="dxa"/>
              <w:left w:w="0" w:type="dxa"/>
              <w:bottom w:w="0" w:type="dxa"/>
              <w:right w:w="0" w:type="dxa"/>
            </w:tcMar>
            <w:vAlign w:val="bottom"/>
          </w:tcPr>
          <w:p w14:paraId="1AA62795"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120</w:t>
            </w:r>
          </w:p>
        </w:tc>
        <w:tc>
          <w:tcPr>
            <w:tcW w:w="999" w:type="dxa"/>
            <w:shd w:val="clear" w:color="auto" w:fill="auto"/>
            <w:tcMar>
              <w:top w:w="0" w:type="dxa"/>
              <w:left w:w="0" w:type="dxa"/>
              <w:bottom w:w="0" w:type="dxa"/>
              <w:right w:w="0" w:type="dxa"/>
            </w:tcMar>
            <w:vAlign w:val="bottom"/>
          </w:tcPr>
          <w:p w14:paraId="73494243"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326</w:t>
            </w:r>
          </w:p>
        </w:tc>
        <w:tc>
          <w:tcPr>
            <w:tcW w:w="998" w:type="dxa"/>
            <w:shd w:val="clear" w:color="auto" w:fill="auto"/>
            <w:tcMar>
              <w:top w:w="0" w:type="dxa"/>
              <w:left w:w="0" w:type="dxa"/>
              <w:bottom w:w="0" w:type="dxa"/>
              <w:right w:w="0" w:type="dxa"/>
            </w:tcMar>
            <w:vAlign w:val="bottom"/>
          </w:tcPr>
          <w:p w14:paraId="5C7FFAF3"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206</w:t>
            </w:r>
          </w:p>
        </w:tc>
        <w:tc>
          <w:tcPr>
            <w:tcW w:w="999" w:type="dxa"/>
            <w:shd w:val="clear" w:color="auto" w:fill="auto"/>
            <w:tcMar>
              <w:top w:w="0" w:type="dxa"/>
              <w:left w:w="0" w:type="dxa"/>
              <w:bottom w:w="0" w:type="dxa"/>
              <w:right w:w="0" w:type="dxa"/>
            </w:tcMar>
            <w:vAlign w:val="bottom"/>
          </w:tcPr>
          <w:p w14:paraId="34CB2AC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272 %</w:t>
            </w:r>
          </w:p>
        </w:tc>
      </w:tr>
      <w:tr w:rsidR="00D70B15" w:rsidRPr="00FC5584" w14:paraId="66440490" w14:textId="77777777" w:rsidTr="00A962D7">
        <w:tc>
          <w:tcPr>
            <w:tcW w:w="2127" w:type="dxa"/>
            <w:vMerge/>
            <w:shd w:val="clear" w:color="auto" w:fill="auto"/>
          </w:tcPr>
          <w:p w14:paraId="32E93A41"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386C923A"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20</w:t>
            </w:r>
          </w:p>
        </w:tc>
        <w:tc>
          <w:tcPr>
            <w:tcW w:w="6946" w:type="dxa"/>
            <w:shd w:val="clear" w:color="auto" w:fill="auto"/>
            <w:tcMar>
              <w:top w:w="0" w:type="dxa"/>
              <w:left w:w="0" w:type="dxa"/>
              <w:bottom w:w="0" w:type="dxa"/>
              <w:right w:w="0" w:type="dxa"/>
            </w:tcMar>
            <w:vAlign w:val="bottom"/>
          </w:tcPr>
          <w:p w14:paraId="383280E7"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provisoire de La Unión</w:t>
            </w:r>
          </w:p>
        </w:tc>
        <w:tc>
          <w:tcPr>
            <w:tcW w:w="998" w:type="dxa"/>
            <w:shd w:val="clear" w:color="auto" w:fill="auto"/>
            <w:tcMar>
              <w:top w:w="0" w:type="dxa"/>
              <w:left w:w="0" w:type="dxa"/>
              <w:bottom w:w="0" w:type="dxa"/>
              <w:right w:w="0" w:type="dxa"/>
            </w:tcMar>
            <w:vAlign w:val="bottom"/>
          </w:tcPr>
          <w:p w14:paraId="048802DA"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140</w:t>
            </w:r>
          </w:p>
        </w:tc>
        <w:tc>
          <w:tcPr>
            <w:tcW w:w="999" w:type="dxa"/>
            <w:shd w:val="clear" w:color="auto" w:fill="auto"/>
            <w:tcMar>
              <w:top w:w="0" w:type="dxa"/>
              <w:left w:w="0" w:type="dxa"/>
              <w:bottom w:w="0" w:type="dxa"/>
              <w:right w:w="0" w:type="dxa"/>
            </w:tcMar>
            <w:vAlign w:val="bottom"/>
          </w:tcPr>
          <w:p w14:paraId="70E20C01"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290</w:t>
            </w:r>
          </w:p>
        </w:tc>
        <w:tc>
          <w:tcPr>
            <w:tcW w:w="998" w:type="dxa"/>
            <w:shd w:val="clear" w:color="auto" w:fill="auto"/>
            <w:tcMar>
              <w:top w:w="0" w:type="dxa"/>
              <w:left w:w="0" w:type="dxa"/>
              <w:bottom w:w="0" w:type="dxa"/>
              <w:right w:w="0" w:type="dxa"/>
            </w:tcMar>
            <w:vAlign w:val="bottom"/>
          </w:tcPr>
          <w:p w14:paraId="2AF38604"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150</w:t>
            </w:r>
          </w:p>
        </w:tc>
        <w:tc>
          <w:tcPr>
            <w:tcW w:w="999" w:type="dxa"/>
            <w:shd w:val="clear" w:color="auto" w:fill="auto"/>
            <w:tcMar>
              <w:top w:w="0" w:type="dxa"/>
              <w:left w:w="0" w:type="dxa"/>
              <w:bottom w:w="0" w:type="dxa"/>
              <w:right w:w="0" w:type="dxa"/>
            </w:tcMar>
            <w:vAlign w:val="bottom"/>
          </w:tcPr>
          <w:p w14:paraId="5B690079"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207 %</w:t>
            </w:r>
          </w:p>
        </w:tc>
      </w:tr>
      <w:tr w:rsidR="00D70B15" w:rsidRPr="00FC5584" w14:paraId="69EA8FD4" w14:textId="77777777" w:rsidTr="00A962D7">
        <w:tc>
          <w:tcPr>
            <w:tcW w:w="2127" w:type="dxa"/>
            <w:vMerge w:val="restart"/>
            <w:shd w:val="clear" w:color="auto" w:fill="auto"/>
            <w:tcMar>
              <w:top w:w="0" w:type="dxa"/>
              <w:left w:w="0" w:type="dxa"/>
              <w:bottom w:w="0" w:type="dxa"/>
              <w:right w:w="0" w:type="dxa"/>
            </w:tcMar>
          </w:tcPr>
          <w:p w14:paraId="5A6FE3A6"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lastRenderedPageBreak/>
              <w:t>Centres de détention à</w:t>
            </w:r>
            <w:r w:rsidR="00A962D7">
              <w:rPr>
                <w:noProof/>
                <w:sz w:val="18"/>
                <w:lang w:val="fr-FR"/>
              </w:rPr>
              <w:t> </w:t>
            </w:r>
            <w:r w:rsidRPr="00FC5584">
              <w:rPr>
                <w:noProof/>
                <w:sz w:val="18"/>
                <w:lang w:val="fr-FR"/>
              </w:rPr>
              <w:t xml:space="preserve">sécurité allégée </w:t>
            </w:r>
          </w:p>
        </w:tc>
        <w:tc>
          <w:tcPr>
            <w:tcW w:w="709" w:type="dxa"/>
            <w:shd w:val="clear" w:color="auto" w:fill="auto"/>
            <w:tcMar>
              <w:top w:w="0" w:type="dxa"/>
              <w:left w:w="0" w:type="dxa"/>
              <w:bottom w:w="0" w:type="dxa"/>
              <w:right w:w="0" w:type="dxa"/>
            </w:tcMar>
          </w:tcPr>
          <w:p w14:paraId="117D4142"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21</w:t>
            </w:r>
          </w:p>
        </w:tc>
        <w:tc>
          <w:tcPr>
            <w:tcW w:w="6946" w:type="dxa"/>
            <w:shd w:val="clear" w:color="auto" w:fill="auto"/>
            <w:tcMar>
              <w:top w:w="0" w:type="dxa"/>
              <w:left w:w="0" w:type="dxa"/>
              <w:bottom w:w="0" w:type="dxa"/>
              <w:right w:w="0" w:type="dxa"/>
            </w:tcMar>
            <w:vAlign w:val="bottom"/>
          </w:tcPr>
          <w:p w14:paraId="0D3D2E50" w14:textId="77777777" w:rsidR="000E6673" w:rsidRPr="00FC5584" w:rsidRDefault="000E6673" w:rsidP="00B20EBA">
            <w:pPr>
              <w:keepNext/>
              <w:suppressAutoHyphens w:val="0"/>
              <w:spacing w:before="40" w:after="120" w:line="220" w:lineRule="exact"/>
              <w:rPr>
                <w:noProof/>
                <w:sz w:val="18"/>
                <w:lang w:val="fr-FR"/>
              </w:rPr>
            </w:pPr>
            <w:r w:rsidRPr="00FC5584">
              <w:rPr>
                <w:noProof/>
                <w:sz w:val="18"/>
                <w:szCs w:val="15"/>
                <w:lang w:val="fr-FR"/>
              </w:rPr>
              <w:t>Centre de détention à sécurité allégée La Esperanza</w:t>
            </w:r>
          </w:p>
        </w:tc>
        <w:tc>
          <w:tcPr>
            <w:tcW w:w="998" w:type="dxa"/>
            <w:shd w:val="clear" w:color="auto" w:fill="auto"/>
            <w:tcMar>
              <w:top w:w="0" w:type="dxa"/>
              <w:left w:w="0" w:type="dxa"/>
              <w:bottom w:w="0" w:type="dxa"/>
              <w:right w:w="0" w:type="dxa"/>
            </w:tcMar>
            <w:vAlign w:val="bottom"/>
          </w:tcPr>
          <w:p w14:paraId="7F26626A"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2 958</w:t>
            </w:r>
          </w:p>
        </w:tc>
        <w:tc>
          <w:tcPr>
            <w:tcW w:w="999" w:type="dxa"/>
            <w:shd w:val="clear" w:color="auto" w:fill="auto"/>
            <w:tcMar>
              <w:top w:w="0" w:type="dxa"/>
              <w:left w:w="0" w:type="dxa"/>
              <w:bottom w:w="0" w:type="dxa"/>
              <w:right w:w="0" w:type="dxa"/>
            </w:tcMar>
            <w:vAlign w:val="bottom"/>
          </w:tcPr>
          <w:p w14:paraId="7E9A74EA"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1 921</w:t>
            </w:r>
          </w:p>
        </w:tc>
        <w:tc>
          <w:tcPr>
            <w:tcW w:w="998" w:type="dxa"/>
            <w:shd w:val="clear" w:color="auto" w:fill="auto"/>
            <w:tcMar>
              <w:top w:w="0" w:type="dxa"/>
              <w:left w:w="0" w:type="dxa"/>
              <w:bottom w:w="0" w:type="dxa"/>
              <w:right w:w="0" w:type="dxa"/>
            </w:tcMar>
            <w:vAlign w:val="bottom"/>
          </w:tcPr>
          <w:p w14:paraId="06843151"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-1 037</w:t>
            </w:r>
          </w:p>
        </w:tc>
        <w:tc>
          <w:tcPr>
            <w:tcW w:w="999" w:type="dxa"/>
            <w:shd w:val="clear" w:color="auto" w:fill="auto"/>
            <w:tcMar>
              <w:top w:w="0" w:type="dxa"/>
              <w:left w:w="0" w:type="dxa"/>
              <w:bottom w:w="0" w:type="dxa"/>
              <w:right w:w="0" w:type="dxa"/>
            </w:tcMar>
            <w:vAlign w:val="bottom"/>
          </w:tcPr>
          <w:p w14:paraId="1864B117"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65 %</w:t>
            </w:r>
          </w:p>
        </w:tc>
      </w:tr>
      <w:tr w:rsidR="00D70B15" w:rsidRPr="00FC5584" w14:paraId="66DD1837" w14:textId="77777777" w:rsidTr="00A962D7">
        <w:tc>
          <w:tcPr>
            <w:tcW w:w="2127" w:type="dxa"/>
            <w:vMerge/>
            <w:shd w:val="clear" w:color="auto" w:fill="auto"/>
          </w:tcPr>
          <w:p w14:paraId="669C9500" w14:textId="77777777" w:rsidR="000E6673" w:rsidRPr="00FC5584" w:rsidRDefault="000E6673" w:rsidP="00B20EBA">
            <w:pPr>
              <w:keepNext/>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200D0ACD"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22</w:t>
            </w:r>
          </w:p>
        </w:tc>
        <w:tc>
          <w:tcPr>
            <w:tcW w:w="6946" w:type="dxa"/>
            <w:shd w:val="clear" w:color="auto" w:fill="auto"/>
            <w:tcMar>
              <w:top w:w="0" w:type="dxa"/>
              <w:left w:w="0" w:type="dxa"/>
              <w:bottom w:w="0" w:type="dxa"/>
              <w:right w:w="0" w:type="dxa"/>
            </w:tcMar>
            <w:vAlign w:val="bottom"/>
          </w:tcPr>
          <w:p w14:paraId="2F64203B" w14:textId="77777777" w:rsidR="000E6673" w:rsidRPr="00FC5584" w:rsidRDefault="000E6673" w:rsidP="00B20EBA">
            <w:pPr>
              <w:keepNext/>
              <w:suppressAutoHyphens w:val="0"/>
              <w:spacing w:before="40" w:after="120" w:line="220" w:lineRule="exact"/>
              <w:rPr>
                <w:noProof/>
                <w:sz w:val="18"/>
                <w:lang w:val="fr-FR"/>
              </w:rPr>
            </w:pPr>
            <w:r w:rsidRPr="00FC5584">
              <w:rPr>
                <w:noProof/>
                <w:sz w:val="18"/>
                <w:szCs w:val="15"/>
                <w:lang w:val="fr-FR"/>
              </w:rPr>
              <w:t>Centre de détention à sécurité allégée de Santa Ana</w:t>
            </w:r>
          </w:p>
        </w:tc>
        <w:tc>
          <w:tcPr>
            <w:tcW w:w="998" w:type="dxa"/>
            <w:shd w:val="clear" w:color="auto" w:fill="auto"/>
            <w:tcMar>
              <w:top w:w="0" w:type="dxa"/>
              <w:left w:w="0" w:type="dxa"/>
              <w:bottom w:w="0" w:type="dxa"/>
              <w:right w:w="0" w:type="dxa"/>
            </w:tcMar>
            <w:vAlign w:val="bottom"/>
          </w:tcPr>
          <w:p w14:paraId="2F355565"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2 346</w:t>
            </w:r>
          </w:p>
        </w:tc>
        <w:tc>
          <w:tcPr>
            <w:tcW w:w="999" w:type="dxa"/>
            <w:shd w:val="clear" w:color="auto" w:fill="auto"/>
            <w:tcMar>
              <w:top w:w="0" w:type="dxa"/>
              <w:left w:w="0" w:type="dxa"/>
              <w:bottom w:w="0" w:type="dxa"/>
              <w:right w:w="0" w:type="dxa"/>
            </w:tcMar>
            <w:vAlign w:val="bottom"/>
          </w:tcPr>
          <w:p w14:paraId="2C19D4FD"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1 288</w:t>
            </w:r>
          </w:p>
        </w:tc>
        <w:tc>
          <w:tcPr>
            <w:tcW w:w="998" w:type="dxa"/>
            <w:shd w:val="clear" w:color="auto" w:fill="auto"/>
            <w:tcMar>
              <w:top w:w="0" w:type="dxa"/>
              <w:left w:w="0" w:type="dxa"/>
              <w:bottom w:w="0" w:type="dxa"/>
              <w:right w:w="0" w:type="dxa"/>
            </w:tcMar>
            <w:vAlign w:val="bottom"/>
          </w:tcPr>
          <w:p w14:paraId="760CCAD1"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-1 058</w:t>
            </w:r>
          </w:p>
        </w:tc>
        <w:tc>
          <w:tcPr>
            <w:tcW w:w="999" w:type="dxa"/>
            <w:shd w:val="clear" w:color="auto" w:fill="auto"/>
            <w:tcMar>
              <w:top w:w="0" w:type="dxa"/>
              <w:left w:w="0" w:type="dxa"/>
              <w:bottom w:w="0" w:type="dxa"/>
              <w:right w:w="0" w:type="dxa"/>
            </w:tcMar>
            <w:vAlign w:val="bottom"/>
          </w:tcPr>
          <w:p w14:paraId="63CDBD1E"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55 %</w:t>
            </w:r>
          </w:p>
        </w:tc>
      </w:tr>
      <w:tr w:rsidR="00D70B15" w:rsidRPr="00FC5584" w14:paraId="23129FA3" w14:textId="77777777" w:rsidTr="00A962D7">
        <w:tc>
          <w:tcPr>
            <w:tcW w:w="2127" w:type="dxa"/>
            <w:vMerge w:val="restart"/>
            <w:shd w:val="clear" w:color="auto" w:fill="auto"/>
            <w:tcMar>
              <w:top w:w="0" w:type="dxa"/>
              <w:left w:w="0" w:type="dxa"/>
              <w:bottom w:w="0" w:type="dxa"/>
              <w:right w:w="0" w:type="dxa"/>
            </w:tcMar>
          </w:tcPr>
          <w:p w14:paraId="4AF6DA89"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Centres spéciaux</w:t>
            </w:r>
          </w:p>
        </w:tc>
        <w:tc>
          <w:tcPr>
            <w:tcW w:w="709" w:type="dxa"/>
            <w:shd w:val="clear" w:color="auto" w:fill="auto"/>
            <w:tcMar>
              <w:top w:w="0" w:type="dxa"/>
              <w:left w:w="0" w:type="dxa"/>
              <w:bottom w:w="0" w:type="dxa"/>
              <w:right w:w="0" w:type="dxa"/>
            </w:tcMar>
          </w:tcPr>
          <w:p w14:paraId="7B2A8A77"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23</w:t>
            </w:r>
          </w:p>
        </w:tc>
        <w:tc>
          <w:tcPr>
            <w:tcW w:w="6946" w:type="dxa"/>
            <w:shd w:val="clear" w:color="auto" w:fill="auto"/>
            <w:tcMar>
              <w:top w:w="0" w:type="dxa"/>
              <w:left w:w="0" w:type="dxa"/>
              <w:bottom w:w="0" w:type="dxa"/>
              <w:right w:w="0" w:type="dxa"/>
            </w:tcMar>
            <w:vAlign w:val="bottom"/>
          </w:tcPr>
          <w:p w14:paraId="2A0EE920"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soins intégrés pour personnes privées de liberté atteintes de maladies dégénératives chroniques de Santa Ana</w:t>
            </w:r>
          </w:p>
        </w:tc>
        <w:tc>
          <w:tcPr>
            <w:tcW w:w="998" w:type="dxa"/>
            <w:shd w:val="clear" w:color="auto" w:fill="auto"/>
            <w:tcMar>
              <w:top w:w="0" w:type="dxa"/>
              <w:left w:w="0" w:type="dxa"/>
              <w:bottom w:w="0" w:type="dxa"/>
              <w:right w:w="0" w:type="dxa"/>
            </w:tcMar>
            <w:vAlign w:val="bottom"/>
          </w:tcPr>
          <w:p w14:paraId="191227B3"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546</w:t>
            </w:r>
          </w:p>
        </w:tc>
        <w:tc>
          <w:tcPr>
            <w:tcW w:w="999" w:type="dxa"/>
            <w:shd w:val="clear" w:color="auto" w:fill="auto"/>
            <w:tcMar>
              <w:top w:w="0" w:type="dxa"/>
              <w:left w:w="0" w:type="dxa"/>
              <w:bottom w:w="0" w:type="dxa"/>
              <w:right w:w="0" w:type="dxa"/>
            </w:tcMar>
            <w:vAlign w:val="bottom"/>
          </w:tcPr>
          <w:p w14:paraId="6889C4E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180</w:t>
            </w:r>
          </w:p>
        </w:tc>
        <w:tc>
          <w:tcPr>
            <w:tcW w:w="998" w:type="dxa"/>
            <w:shd w:val="clear" w:color="auto" w:fill="auto"/>
            <w:tcMar>
              <w:top w:w="0" w:type="dxa"/>
              <w:left w:w="0" w:type="dxa"/>
              <w:bottom w:w="0" w:type="dxa"/>
              <w:right w:w="0" w:type="dxa"/>
            </w:tcMar>
            <w:vAlign w:val="bottom"/>
          </w:tcPr>
          <w:p w14:paraId="0853F20B"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-366</w:t>
            </w:r>
          </w:p>
        </w:tc>
        <w:tc>
          <w:tcPr>
            <w:tcW w:w="999" w:type="dxa"/>
            <w:shd w:val="clear" w:color="auto" w:fill="auto"/>
            <w:tcMar>
              <w:top w:w="0" w:type="dxa"/>
              <w:left w:w="0" w:type="dxa"/>
              <w:bottom w:w="0" w:type="dxa"/>
              <w:right w:w="0" w:type="dxa"/>
            </w:tcMar>
            <w:vAlign w:val="bottom"/>
          </w:tcPr>
          <w:p w14:paraId="177949D8"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33 %</w:t>
            </w:r>
          </w:p>
        </w:tc>
      </w:tr>
      <w:tr w:rsidR="00D70B15" w:rsidRPr="00FC5584" w14:paraId="7E52032A" w14:textId="77777777" w:rsidTr="00A962D7">
        <w:tc>
          <w:tcPr>
            <w:tcW w:w="2127" w:type="dxa"/>
            <w:vMerge/>
            <w:shd w:val="clear" w:color="auto" w:fill="auto"/>
          </w:tcPr>
          <w:p w14:paraId="1C830496" w14:textId="77777777" w:rsidR="000E6673" w:rsidRPr="00FC5584" w:rsidRDefault="000E6673" w:rsidP="00B20EBA">
            <w:pPr>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6953B632" w14:textId="77777777" w:rsidR="000E6673" w:rsidRPr="00FC5584" w:rsidRDefault="000E6673" w:rsidP="00B20EBA">
            <w:pPr>
              <w:suppressAutoHyphens w:val="0"/>
              <w:spacing w:before="40" w:after="120" w:line="220" w:lineRule="exact"/>
              <w:rPr>
                <w:noProof/>
                <w:sz w:val="18"/>
                <w:lang w:val="fr-FR"/>
              </w:rPr>
            </w:pPr>
            <w:r w:rsidRPr="00FC5584">
              <w:rPr>
                <w:noProof/>
                <w:sz w:val="18"/>
                <w:lang w:val="fr-FR"/>
              </w:rPr>
              <w:t>24</w:t>
            </w:r>
          </w:p>
        </w:tc>
        <w:tc>
          <w:tcPr>
            <w:tcW w:w="6946" w:type="dxa"/>
            <w:shd w:val="clear" w:color="auto" w:fill="auto"/>
            <w:tcMar>
              <w:top w:w="0" w:type="dxa"/>
              <w:left w:w="0" w:type="dxa"/>
              <w:bottom w:w="0" w:type="dxa"/>
              <w:right w:w="0" w:type="dxa"/>
            </w:tcMar>
            <w:vAlign w:val="bottom"/>
          </w:tcPr>
          <w:p w14:paraId="4B8195D9" w14:textId="77777777" w:rsidR="000E6673" w:rsidRPr="00FC5584" w:rsidRDefault="000E6673" w:rsidP="00B20EBA">
            <w:pPr>
              <w:suppressAutoHyphens w:val="0"/>
              <w:spacing w:before="40" w:after="120" w:line="220" w:lineRule="exact"/>
              <w:rPr>
                <w:noProof/>
                <w:sz w:val="18"/>
                <w:lang w:val="fr-FR"/>
              </w:rPr>
            </w:pPr>
            <w:r w:rsidRPr="00FC5584">
              <w:rPr>
                <w:noProof/>
                <w:sz w:val="18"/>
                <w:szCs w:val="15"/>
                <w:lang w:val="fr-FR"/>
              </w:rPr>
              <w:t>Centre de détention psychiatrique</w:t>
            </w:r>
          </w:p>
        </w:tc>
        <w:tc>
          <w:tcPr>
            <w:tcW w:w="998" w:type="dxa"/>
            <w:shd w:val="clear" w:color="auto" w:fill="auto"/>
            <w:tcMar>
              <w:top w:w="0" w:type="dxa"/>
              <w:left w:w="0" w:type="dxa"/>
              <w:bottom w:w="0" w:type="dxa"/>
              <w:right w:w="0" w:type="dxa"/>
            </w:tcMar>
            <w:vAlign w:val="bottom"/>
          </w:tcPr>
          <w:p w14:paraId="455E7F12"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40</w:t>
            </w:r>
          </w:p>
        </w:tc>
        <w:tc>
          <w:tcPr>
            <w:tcW w:w="999" w:type="dxa"/>
            <w:shd w:val="clear" w:color="auto" w:fill="auto"/>
            <w:tcMar>
              <w:top w:w="0" w:type="dxa"/>
              <w:left w:w="0" w:type="dxa"/>
              <w:bottom w:w="0" w:type="dxa"/>
              <w:right w:w="0" w:type="dxa"/>
            </w:tcMar>
            <w:vAlign w:val="bottom"/>
          </w:tcPr>
          <w:p w14:paraId="553DBC31"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103</w:t>
            </w:r>
          </w:p>
        </w:tc>
        <w:tc>
          <w:tcPr>
            <w:tcW w:w="998" w:type="dxa"/>
            <w:shd w:val="clear" w:color="auto" w:fill="auto"/>
            <w:tcMar>
              <w:top w:w="0" w:type="dxa"/>
              <w:left w:w="0" w:type="dxa"/>
              <w:bottom w:w="0" w:type="dxa"/>
              <w:right w:w="0" w:type="dxa"/>
            </w:tcMar>
            <w:vAlign w:val="bottom"/>
          </w:tcPr>
          <w:p w14:paraId="3C6977CC"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63</w:t>
            </w:r>
          </w:p>
        </w:tc>
        <w:tc>
          <w:tcPr>
            <w:tcW w:w="999" w:type="dxa"/>
            <w:shd w:val="clear" w:color="auto" w:fill="auto"/>
            <w:tcMar>
              <w:top w:w="0" w:type="dxa"/>
              <w:left w:w="0" w:type="dxa"/>
              <w:bottom w:w="0" w:type="dxa"/>
              <w:right w:w="0" w:type="dxa"/>
            </w:tcMar>
            <w:vAlign w:val="bottom"/>
          </w:tcPr>
          <w:p w14:paraId="35259857" w14:textId="77777777" w:rsidR="000E6673" w:rsidRPr="00FC5584" w:rsidRDefault="000E6673" w:rsidP="00B20EBA">
            <w:pPr>
              <w:suppressAutoHyphens w:val="0"/>
              <w:spacing w:before="40" w:after="120" w:line="220" w:lineRule="exact"/>
              <w:jc w:val="right"/>
              <w:rPr>
                <w:noProof/>
                <w:sz w:val="18"/>
                <w:lang w:val="fr-FR"/>
              </w:rPr>
            </w:pPr>
            <w:r w:rsidRPr="00FC5584">
              <w:rPr>
                <w:noProof/>
                <w:sz w:val="18"/>
                <w:lang w:val="fr-FR"/>
              </w:rPr>
              <w:t>258 %</w:t>
            </w:r>
          </w:p>
        </w:tc>
      </w:tr>
      <w:tr w:rsidR="00D70B15" w:rsidRPr="00FC5584" w14:paraId="200EE0EF" w14:textId="77777777" w:rsidTr="00A962D7">
        <w:tc>
          <w:tcPr>
            <w:tcW w:w="2127" w:type="dxa"/>
            <w:vMerge w:val="restart"/>
            <w:shd w:val="clear" w:color="auto" w:fill="auto"/>
            <w:tcMar>
              <w:top w:w="0" w:type="dxa"/>
              <w:left w:w="0" w:type="dxa"/>
              <w:bottom w:w="0" w:type="dxa"/>
              <w:right w:w="0" w:type="dxa"/>
            </w:tcMar>
          </w:tcPr>
          <w:p w14:paraId="2B505FFD"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Centres en milieu ouvert</w:t>
            </w:r>
          </w:p>
        </w:tc>
        <w:tc>
          <w:tcPr>
            <w:tcW w:w="709" w:type="dxa"/>
            <w:shd w:val="clear" w:color="auto" w:fill="auto"/>
            <w:tcMar>
              <w:top w:w="0" w:type="dxa"/>
              <w:left w:w="0" w:type="dxa"/>
              <w:bottom w:w="0" w:type="dxa"/>
              <w:right w:w="0" w:type="dxa"/>
            </w:tcMar>
          </w:tcPr>
          <w:p w14:paraId="457F3EF5"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25</w:t>
            </w:r>
          </w:p>
        </w:tc>
        <w:tc>
          <w:tcPr>
            <w:tcW w:w="6946" w:type="dxa"/>
            <w:shd w:val="clear" w:color="auto" w:fill="auto"/>
            <w:tcMar>
              <w:top w:w="0" w:type="dxa"/>
              <w:left w:w="0" w:type="dxa"/>
              <w:bottom w:w="0" w:type="dxa"/>
              <w:right w:w="0" w:type="dxa"/>
            </w:tcMar>
            <w:vAlign w:val="bottom"/>
          </w:tcPr>
          <w:p w14:paraId="3D9F12DF" w14:textId="77777777" w:rsidR="000E6673" w:rsidRPr="00FC5584" w:rsidRDefault="000E6673" w:rsidP="00B20EBA">
            <w:pPr>
              <w:keepNext/>
              <w:suppressAutoHyphens w:val="0"/>
              <w:spacing w:before="40" w:after="120" w:line="220" w:lineRule="exact"/>
              <w:rPr>
                <w:noProof/>
                <w:sz w:val="18"/>
                <w:lang w:val="fr-FR"/>
              </w:rPr>
            </w:pPr>
            <w:r w:rsidRPr="00FC5584">
              <w:rPr>
                <w:noProof/>
                <w:sz w:val="18"/>
                <w:szCs w:val="15"/>
                <w:lang w:val="fr-FR"/>
              </w:rPr>
              <w:t>Centre pénitentiaire agricole pour femmes d</w:t>
            </w:r>
            <w:r w:rsidR="002A5D78">
              <w:rPr>
                <w:noProof/>
                <w:sz w:val="18"/>
                <w:szCs w:val="15"/>
                <w:lang w:val="fr-FR"/>
              </w:rPr>
              <w:t>’</w:t>
            </w:r>
            <w:r w:rsidRPr="00FC5584">
              <w:rPr>
                <w:noProof/>
                <w:sz w:val="18"/>
                <w:szCs w:val="15"/>
                <w:lang w:val="fr-FR"/>
              </w:rPr>
              <w:t>Izalco</w:t>
            </w:r>
          </w:p>
        </w:tc>
        <w:tc>
          <w:tcPr>
            <w:tcW w:w="998" w:type="dxa"/>
            <w:shd w:val="clear" w:color="auto" w:fill="auto"/>
            <w:tcMar>
              <w:top w:w="0" w:type="dxa"/>
              <w:left w:w="0" w:type="dxa"/>
              <w:bottom w:w="0" w:type="dxa"/>
              <w:right w:w="0" w:type="dxa"/>
            </w:tcMar>
            <w:vAlign w:val="bottom"/>
          </w:tcPr>
          <w:p w14:paraId="1AA3D4FF"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1 366</w:t>
            </w:r>
          </w:p>
        </w:tc>
        <w:tc>
          <w:tcPr>
            <w:tcW w:w="999" w:type="dxa"/>
            <w:shd w:val="clear" w:color="auto" w:fill="auto"/>
            <w:tcMar>
              <w:top w:w="0" w:type="dxa"/>
              <w:left w:w="0" w:type="dxa"/>
              <w:bottom w:w="0" w:type="dxa"/>
              <w:right w:w="0" w:type="dxa"/>
            </w:tcMar>
            <w:vAlign w:val="bottom"/>
          </w:tcPr>
          <w:p w14:paraId="1A2F0844"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569</w:t>
            </w:r>
          </w:p>
        </w:tc>
        <w:tc>
          <w:tcPr>
            <w:tcW w:w="998" w:type="dxa"/>
            <w:shd w:val="clear" w:color="auto" w:fill="auto"/>
            <w:tcMar>
              <w:top w:w="0" w:type="dxa"/>
              <w:left w:w="0" w:type="dxa"/>
              <w:bottom w:w="0" w:type="dxa"/>
              <w:right w:w="0" w:type="dxa"/>
            </w:tcMar>
            <w:vAlign w:val="bottom"/>
          </w:tcPr>
          <w:p w14:paraId="195CD313"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-797</w:t>
            </w:r>
          </w:p>
        </w:tc>
        <w:tc>
          <w:tcPr>
            <w:tcW w:w="999" w:type="dxa"/>
            <w:shd w:val="clear" w:color="auto" w:fill="auto"/>
            <w:tcMar>
              <w:top w:w="0" w:type="dxa"/>
              <w:left w:w="0" w:type="dxa"/>
              <w:bottom w:w="0" w:type="dxa"/>
              <w:right w:w="0" w:type="dxa"/>
            </w:tcMar>
            <w:vAlign w:val="bottom"/>
          </w:tcPr>
          <w:p w14:paraId="191A467D"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42 %</w:t>
            </w:r>
          </w:p>
        </w:tc>
      </w:tr>
      <w:tr w:rsidR="00D70B15" w:rsidRPr="00FC5584" w14:paraId="630F72FD" w14:textId="77777777" w:rsidTr="00A962D7">
        <w:tc>
          <w:tcPr>
            <w:tcW w:w="2127" w:type="dxa"/>
            <w:vMerge/>
            <w:shd w:val="clear" w:color="auto" w:fill="auto"/>
          </w:tcPr>
          <w:p w14:paraId="75D7FB26" w14:textId="77777777" w:rsidR="000E6673" w:rsidRPr="00FC5584" w:rsidRDefault="000E6673" w:rsidP="00B20EBA">
            <w:pPr>
              <w:keepNext/>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79CAE832"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26</w:t>
            </w:r>
          </w:p>
        </w:tc>
        <w:tc>
          <w:tcPr>
            <w:tcW w:w="6946" w:type="dxa"/>
            <w:shd w:val="clear" w:color="auto" w:fill="auto"/>
            <w:tcMar>
              <w:top w:w="0" w:type="dxa"/>
              <w:left w:w="0" w:type="dxa"/>
              <w:bottom w:w="0" w:type="dxa"/>
              <w:right w:w="0" w:type="dxa"/>
            </w:tcMar>
            <w:vAlign w:val="bottom"/>
          </w:tcPr>
          <w:p w14:paraId="783ACF0E" w14:textId="77777777" w:rsidR="000E6673" w:rsidRPr="00FC5584" w:rsidRDefault="000E6673" w:rsidP="00B20EBA">
            <w:pPr>
              <w:keepNext/>
              <w:suppressAutoHyphens w:val="0"/>
              <w:spacing w:before="40" w:after="120" w:line="220" w:lineRule="exact"/>
              <w:rPr>
                <w:noProof/>
                <w:sz w:val="18"/>
                <w:lang w:val="fr-FR"/>
              </w:rPr>
            </w:pPr>
            <w:r w:rsidRPr="00FC5584">
              <w:rPr>
                <w:noProof/>
                <w:sz w:val="18"/>
                <w:szCs w:val="15"/>
                <w:lang w:val="fr-FR"/>
              </w:rPr>
              <w:t>Centre pénitentiaire agricole pour hommes de Santa Ana</w:t>
            </w:r>
          </w:p>
        </w:tc>
        <w:tc>
          <w:tcPr>
            <w:tcW w:w="998" w:type="dxa"/>
            <w:shd w:val="clear" w:color="auto" w:fill="auto"/>
            <w:tcMar>
              <w:top w:w="0" w:type="dxa"/>
              <w:left w:w="0" w:type="dxa"/>
              <w:bottom w:w="0" w:type="dxa"/>
              <w:right w:w="0" w:type="dxa"/>
            </w:tcMar>
            <w:vAlign w:val="bottom"/>
          </w:tcPr>
          <w:p w14:paraId="032646E6"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2 160</w:t>
            </w:r>
          </w:p>
        </w:tc>
        <w:tc>
          <w:tcPr>
            <w:tcW w:w="999" w:type="dxa"/>
            <w:shd w:val="clear" w:color="auto" w:fill="auto"/>
            <w:tcMar>
              <w:top w:w="0" w:type="dxa"/>
              <w:left w:w="0" w:type="dxa"/>
              <w:bottom w:w="0" w:type="dxa"/>
              <w:right w:w="0" w:type="dxa"/>
            </w:tcMar>
            <w:vAlign w:val="bottom"/>
          </w:tcPr>
          <w:p w14:paraId="6E7A8DF0"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429</w:t>
            </w:r>
          </w:p>
        </w:tc>
        <w:tc>
          <w:tcPr>
            <w:tcW w:w="998" w:type="dxa"/>
            <w:shd w:val="clear" w:color="auto" w:fill="auto"/>
            <w:tcMar>
              <w:top w:w="0" w:type="dxa"/>
              <w:left w:w="0" w:type="dxa"/>
              <w:bottom w:w="0" w:type="dxa"/>
              <w:right w:w="0" w:type="dxa"/>
            </w:tcMar>
            <w:vAlign w:val="bottom"/>
          </w:tcPr>
          <w:p w14:paraId="6EA42CB8"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-1 731</w:t>
            </w:r>
          </w:p>
        </w:tc>
        <w:tc>
          <w:tcPr>
            <w:tcW w:w="999" w:type="dxa"/>
            <w:shd w:val="clear" w:color="auto" w:fill="auto"/>
            <w:tcMar>
              <w:top w:w="0" w:type="dxa"/>
              <w:left w:w="0" w:type="dxa"/>
              <w:bottom w:w="0" w:type="dxa"/>
              <w:right w:w="0" w:type="dxa"/>
            </w:tcMar>
            <w:vAlign w:val="bottom"/>
          </w:tcPr>
          <w:p w14:paraId="2B547B6B"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20 %</w:t>
            </w:r>
          </w:p>
        </w:tc>
      </w:tr>
      <w:tr w:rsidR="00D70B15" w:rsidRPr="00FC5584" w14:paraId="0B44EEC7" w14:textId="77777777" w:rsidTr="00A962D7">
        <w:trPr>
          <w:trHeight w:val="121"/>
        </w:trPr>
        <w:tc>
          <w:tcPr>
            <w:tcW w:w="2127" w:type="dxa"/>
            <w:vMerge/>
            <w:shd w:val="clear" w:color="auto" w:fill="auto"/>
          </w:tcPr>
          <w:p w14:paraId="62BB39D0" w14:textId="77777777" w:rsidR="000E6673" w:rsidRPr="00FC5584" w:rsidRDefault="000E6673" w:rsidP="00B20EBA">
            <w:pPr>
              <w:keepNext/>
              <w:suppressAutoHyphens w:val="0"/>
              <w:spacing w:before="40" w:after="120" w:line="220" w:lineRule="exact"/>
              <w:rPr>
                <w:noProof/>
                <w:sz w:val="18"/>
                <w:lang w:val="fr-FR"/>
              </w:rPr>
            </w:pPr>
          </w:p>
        </w:tc>
        <w:tc>
          <w:tcPr>
            <w:tcW w:w="709" w:type="dxa"/>
            <w:shd w:val="clear" w:color="auto" w:fill="auto"/>
            <w:tcMar>
              <w:top w:w="0" w:type="dxa"/>
              <w:left w:w="0" w:type="dxa"/>
              <w:bottom w:w="0" w:type="dxa"/>
              <w:right w:w="0" w:type="dxa"/>
            </w:tcMar>
          </w:tcPr>
          <w:p w14:paraId="43A5BB9A"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27</w:t>
            </w:r>
          </w:p>
        </w:tc>
        <w:tc>
          <w:tcPr>
            <w:tcW w:w="6946" w:type="dxa"/>
            <w:shd w:val="clear" w:color="auto" w:fill="auto"/>
            <w:tcMar>
              <w:top w:w="0" w:type="dxa"/>
              <w:left w:w="0" w:type="dxa"/>
              <w:bottom w:w="0" w:type="dxa"/>
              <w:right w:w="0" w:type="dxa"/>
            </w:tcMar>
            <w:vAlign w:val="bottom"/>
          </w:tcPr>
          <w:p w14:paraId="481AD105" w14:textId="77777777" w:rsidR="000E6673" w:rsidRPr="00FC5584" w:rsidRDefault="000E6673" w:rsidP="00B20EBA">
            <w:pPr>
              <w:keepNext/>
              <w:suppressAutoHyphens w:val="0"/>
              <w:spacing w:before="40" w:after="120" w:line="220" w:lineRule="exact"/>
              <w:rPr>
                <w:noProof/>
                <w:sz w:val="18"/>
                <w:lang w:val="fr-FR"/>
              </w:rPr>
            </w:pPr>
            <w:r w:rsidRPr="00FC5584">
              <w:rPr>
                <w:noProof/>
                <w:sz w:val="18"/>
                <w:szCs w:val="15"/>
                <w:lang w:val="fr-FR"/>
              </w:rPr>
              <w:t>Centre pénitentiaire agricole pour hommes de Zacatecoluca</w:t>
            </w:r>
          </w:p>
        </w:tc>
        <w:tc>
          <w:tcPr>
            <w:tcW w:w="998" w:type="dxa"/>
            <w:shd w:val="clear" w:color="auto" w:fill="auto"/>
            <w:tcMar>
              <w:top w:w="0" w:type="dxa"/>
              <w:left w:w="0" w:type="dxa"/>
              <w:bottom w:w="0" w:type="dxa"/>
              <w:right w:w="0" w:type="dxa"/>
            </w:tcMar>
            <w:vAlign w:val="bottom"/>
          </w:tcPr>
          <w:p w14:paraId="47D190FF"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1 152</w:t>
            </w:r>
          </w:p>
        </w:tc>
        <w:tc>
          <w:tcPr>
            <w:tcW w:w="999" w:type="dxa"/>
            <w:shd w:val="clear" w:color="auto" w:fill="auto"/>
            <w:tcMar>
              <w:top w:w="0" w:type="dxa"/>
              <w:left w:w="0" w:type="dxa"/>
              <w:bottom w:w="0" w:type="dxa"/>
              <w:right w:w="0" w:type="dxa"/>
            </w:tcMar>
            <w:vAlign w:val="bottom"/>
          </w:tcPr>
          <w:p w14:paraId="4DB45ADB"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930</w:t>
            </w:r>
          </w:p>
        </w:tc>
        <w:tc>
          <w:tcPr>
            <w:tcW w:w="998" w:type="dxa"/>
            <w:shd w:val="clear" w:color="auto" w:fill="auto"/>
            <w:tcMar>
              <w:top w:w="0" w:type="dxa"/>
              <w:left w:w="0" w:type="dxa"/>
              <w:bottom w:w="0" w:type="dxa"/>
              <w:right w:w="0" w:type="dxa"/>
            </w:tcMar>
            <w:vAlign w:val="bottom"/>
          </w:tcPr>
          <w:p w14:paraId="1B0E63B2"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-222</w:t>
            </w:r>
          </w:p>
        </w:tc>
        <w:tc>
          <w:tcPr>
            <w:tcW w:w="999" w:type="dxa"/>
            <w:shd w:val="clear" w:color="auto" w:fill="auto"/>
            <w:tcMar>
              <w:top w:w="0" w:type="dxa"/>
              <w:left w:w="0" w:type="dxa"/>
              <w:bottom w:w="0" w:type="dxa"/>
              <w:right w:w="0" w:type="dxa"/>
            </w:tcMar>
            <w:vAlign w:val="bottom"/>
          </w:tcPr>
          <w:p w14:paraId="121358DE"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81 %</w:t>
            </w:r>
          </w:p>
        </w:tc>
      </w:tr>
      <w:tr w:rsidR="00D70B15" w:rsidRPr="00FC5584" w14:paraId="1BFEE319" w14:textId="77777777" w:rsidTr="00A962D7">
        <w:tc>
          <w:tcPr>
            <w:tcW w:w="2127" w:type="dxa"/>
            <w:vMerge/>
            <w:tcBorders>
              <w:bottom w:val="single" w:sz="4" w:space="0" w:color="auto"/>
            </w:tcBorders>
            <w:shd w:val="clear" w:color="auto" w:fill="auto"/>
          </w:tcPr>
          <w:p w14:paraId="6E890F9F" w14:textId="77777777" w:rsidR="000E6673" w:rsidRPr="00FC5584" w:rsidRDefault="000E6673" w:rsidP="00B20EBA">
            <w:pPr>
              <w:keepNext/>
              <w:suppressAutoHyphens w:val="0"/>
              <w:spacing w:before="40" w:after="120" w:line="220" w:lineRule="exact"/>
              <w:rPr>
                <w:noProof/>
                <w:sz w:val="18"/>
                <w:lang w:val="fr-FR"/>
              </w:rPr>
            </w:pPr>
          </w:p>
        </w:tc>
        <w:tc>
          <w:tcPr>
            <w:tcW w:w="709" w:type="dxa"/>
            <w:tcBorders>
              <w:bottom w:val="single" w:sz="4" w:space="0" w:color="auto"/>
            </w:tcBorders>
            <w:shd w:val="clear" w:color="auto" w:fill="auto"/>
            <w:tcMar>
              <w:top w:w="0" w:type="dxa"/>
              <w:left w:w="0" w:type="dxa"/>
              <w:bottom w:w="0" w:type="dxa"/>
              <w:right w:w="0" w:type="dxa"/>
            </w:tcMar>
          </w:tcPr>
          <w:p w14:paraId="1B2943F8" w14:textId="77777777" w:rsidR="000E6673" w:rsidRPr="00FC5584" w:rsidRDefault="000E6673" w:rsidP="00B20EBA">
            <w:pPr>
              <w:keepNext/>
              <w:suppressAutoHyphens w:val="0"/>
              <w:spacing w:before="40" w:after="120" w:line="220" w:lineRule="exact"/>
              <w:rPr>
                <w:noProof/>
                <w:sz w:val="18"/>
                <w:lang w:val="fr-FR"/>
              </w:rPr>
            </w:pPr>
            <w:r w:rsidRPr="00FC5584">
              <w:rPr>
                <w:noProof/>
                <w:sz w:val="18"/>
                <w:lang w:val="fr-FR"/>
              </w:rPr>
              <w:t>28</w:t>
            </w:r>
          </w:p>
        </w:tc>
        <w:tc>
          <w:tcPr>
            <w:tcW w:w="6946" w:type="dxa"/>
            <w:tcBorders>
              <w:bottom w:val="single" w:sz="4" w:space="0" w:color="auto"/>
            </w:tcBorders>
            <w:shd w:val="clear" w:color="auto" w:fill="auto"/>
            <w:tcMar>
              <w:top w:w="0" w:type="dxa"/>
              <w:left w:w="0" w:type="dxa"/>
              <w:bottom w:w="0" w:type="dxa"/>
              <w:right w:w="0" w:type="dxa"/>
            </w:tcMar>
            <w:vAlign w:val="bottom"/>
          </w:tcPr>
          <w:p w14:paraId="192148A7" w14:textId="77777777" w:rsidR="000E6673" w:rsidRPr="00FC5584" w:rsidRDefault="000E6673" w:rsidP="00B20EBA">
            <w:pPr>
              <w:keepNext/>
              <w:suppressAutoHyphens w:val="0"/>
              <w:spacing w:before="40" w:after="120" w:line="220" w:lineRule="exact"/>
              <w:rPr>
                <w:noProof/>
                <w:sz w:val="18"/>
                <w:lang w:val="fr-FR"/>
              </w:rPr>
            </w:pPr>
            <w:r w:rsidRPr="00FC5584">
              <w:rPr>
                <w:noProof/>
                <w:sz w:val="18"/>
                <w:szCs w:val="15"/>
                <w:lang w:val="fr-FR"/>
              </w:rPr>
              <w:t>Centre pénitentiaire agricole pour femmes de Santa Tecla</w:t>
            </w:r>
          </w:p>
        </w:tc>
        <w:tc>
          <w:tcPr>
            <w:tcW w:w="998" w:type="dxa"/>
            <w:tcBorders>
              <w:bottom w:val="single" w:sz="4" w:space="0" w:color="auto"/>
            </w:tcBorders>
            <w:shd w:val="clear" w:color="auto" w:fill="auto"/>
            <w:tcMar>
              <w:top w:w="0" w:type="dxa"/>
              <w:left w:w="0" w:type="dxa"/>
              <w:bottom w:w="0" w:type="dxa"/>
              <w:right w:w="0" w:type="dxa"/>
            </w:tcMar>
            <w:vAlign w:val="bottom"/>
          </w:tcPr>
          <w:p w14:paraId="2CECF40E"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20</w:t>
            </w:r>
          </w:p>
        </w:tc>
        <w:tc>
          <w:tcPr>
            <w:tcW w:w="999" w:type="dxa"/>
            <w:tcBorders>
              <w:bottom w:val="single" w:sz="4" w:space="0" w:color="auto"/>
            </w:tcBorders>
            <w:shd w:val="clear" w:color="auto" w:fill="auto"/>
            <w:tcMar>
              <w:top w:w="0" w:type="dxa"/>
              <w:left w:w="0" w:type="dxa"/>
              <w:bottom w:w="0" w:type="dxa"/>
              <w:right w:w="0" w:type="dxa"/>
            </w:tcMar>
            <w:vAlign w:val="bottom"/>
          </w:tcPr>
          <w:p w14:paraId="195B7835"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15</w:t>
            </w:r>
          </w:p>
        </w:tc>
        <w:tc>
          <w:tcPr>
            <w:tcW w:w="998" w:type="dxa"/>
            <w:tcBorders>
              <w:bottom w:val="single" w:sz="4" w:space="0" w:color="auto"/>
            </w:tcBorders>
            <w:shd w:val="clear" w:color="auto" w:fill="auto"/>
            <w:tcMar>
              <w:top w:w="0" w:type="dxa"/>
              <w:left w:w="0" w:type="dxa"/>
              <w:bottom w:w="0" w:type="dxa"/>
              <w:right w:w="0" w:type="dxa"/>
            </w:tcMar>
            <w:vAlign w:val="bottom"/>
          </w:tcPr>
          <w:p w14:paraId="651F48CB"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-5</w:t>
            </w:r>
          </w:p>
        </w:tc>
        <w:tc>
          <w:tcPr>
            <w:tcW w:w="999" w:type="dxa"/>
            <w:tcBorders>
              <w:bottom w:val="single" w:sz="4" w:space="0" w:color="auto"/>
            </w:tcBorders>
            <w:shd w:val="clear" w:color="auto" w:fill="auto"/>
            <w:tcMar>
              <w:top w:w="0" w:type="dxa"/>
              <w:left w:w="0" w:type="dxa"/>
              <w:bottom w:w="0" w:type="dxa"/>
              <w:right w:w="0" w:type="dxa"/>
            </w:tcMar>
            <w:vAlign w:val="bottom"/>
          </w:tcPr>
          <w:p w14:paraId="7C386EC8" w14:textId="77777777" w:rsidR="000E6673" w:rsidRPr="00FC5584" w:rsidRDefault="000E6673" w:rsidP="00B20EBA">
            <w:pPr>
              <w:keepNext/>
              <w:suppressAutoHyphens w:val="0"/>
              <w:spacing w:before="40" w:after="120" w:line="220" w:lineRule="exact"/>
              <w:jc w:val="right"/>
              <w:rPr>
                <w:noProof/>
                <w:sz w:val="18"/>
                <w:lang w:val="fr-FR"/>
              </w:rPr>
            </w:pPr>
            <w:r w:rsidRPr="00FC5584">
              <w:rPr>
                <w:noProof/>
                <w:sz w:val="18"/>
                <w:lang w:val="fr-FR"/>
              </w:rPr>
              <w:t>75 %</w:t>
            </w:r>
          </w:p>
        </w:tc>
      </w:tr>
      <w:tr w:rsidR="00D70B15" w:rsidRPr="00FC5584" w14:paraId="0729C95F" w14:textId="77777777" w:rsidTr="00A962D7">
        <w:tc>
          <w:tcPr>
            <w:tcW w:w="9782" w:type="dxa"/>
            <w:gridSpan w:val="3"/>
            <w:tcBorders>
              <w:top w:val="single" w:sz="4" w:space="0" w:color="auto"/>
              <w:bottom w:val="single" w:sz="12" w:space="0" w:color="auto"/>
            </w:tcBorders>
            <w:shd w:val="clear" w:color="auto" w:fill="auto"/>
            <w:tcMar>
              <w:top w:w="0" w:type="dxa"/>
              <w:left w:w="0" w:type="dxa"/>
              <w:bottom w:w="0" w:type="dxa"/>
              <w:right w:w="0" w:type="dxa"/>
            </w:tcMar>
          </w:tcPr>
          <w:p w14:paraId="1C5AF40D" w14:textId="77777777" w:rsidR="000E6673" w:rsidRPr="00FC5584" w:rsidRDefault="000E6673" w:rsidP="00A962D7">
            <w:pPr>
              <w:keepNext/>
              <w:suppressAutoHyphens w:val="0"/>
              <w:spacing w:before="80" w:after="80" w:line="220" w:lineRule="exact"/>
              <w:ind w:left="284"/>
              <w:rPr>
                <w:b/>
                <w:noProof/>
                <w:sz w:val="18"/>
                <w:lang w:val="fr-FR"/>
              </w:rPr>
            </w:pPr>
            <w:r w:rsidRPr="00FC5584">
              <w:rPr>
                <w:b/>
                <w:noProof/>
                <w:sz w:val="18"/>
                <w:szCs w:val="18"/>
                <w:lang w:val="fr-FR"/>
              </w:rPr>
              <w:t>Total</w:t>
            </w:r>
          </w:p>
        </w:tc>
        <w:tc>
          <w:tcPr>
            <w:tcW w:w="9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8515283" w14:textId="77777777" w:rsidR="000E6673" w:rsidRPr="00FC5584" w:rsidRDefault="000E6673" w:rsidP="00A962D7">
            <w:pPr>
              <w:keepNext/>
              <w:suppressAutoHyphens w:val="0"/>
              <w:spacing w:before="80" w:after="80" w:line="220" w:lineRule="exact"/>
              <w:jc w:val="right"/>
              <w:rPr>
                <w:b/>
                <w:noProof/>
                <w:sz w:val="18"/>
                <w:lang w:val="fr-FR"/>
              </w:rPr>
            </w:pPr>
            <w:r w:rsidRPr="00FC5584">
              <w:rPr>
                <w:b/>
                <w:noProof/>
                <w:sz w:val="18"/>
                <w:lang w:val="fr-FR"/>
              </w:rPr>
              <w:t>26 505</w:t>
            </w:r>
          </w:p>
        </w:tc>
        <w:tc>
          <w:tcPr>
            <w:tcW w:w="9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2D769D9" w14:textId="77777777" w:rsidR="000E6673" w:rsidRPr="00FC5584" w:rsidRDefault="000E6673" w:rsidP="00A962D7">
            <w:pPr>
              <w:keepNext/>
              <w:suppressAutoHyphens w:val="0"/>
              <w:spacing w:before="80" w:after="80" w:line="220" w:lineRule="exact"/>
              <w:jc w:val="right"/>
              <w:rPr>
                <w:b/>
                <w:noProof/>
                <w:sz w:val="18"/>
                <w:lang w:val="fr-FR"/>
              </w:rPr>
            </w:pPr>
            <w:r w:rsidRPr="00FC5584">
              <w:rPr>
                <w:b/>
                <w:noProof/>
                <w:sz w:val="18"/>
                <w:lang w:val="fr-FR"/>
              </w:rPr>
              <w:t>39 957</w:t>
            </w:r>
          </w:p>
        </w:tc>
        <w:tc>
          <w:tcPr>
            <w:tcW w:w="9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D045FC7" w14:textId="77777777" w:rsidR="000E6673" w:rsidRPr="00FC5584" w:rsidRDefault="000E6673" w:rsidP="00A962D7">
            <w:pPr>
              <w:keepNext/>
              <w:suppressAutoHyphens w:val="0"/>
              <w:spacing w:before="80" w:after="80" w:line="220" w:lineRule="exact"/>
              <w:jc w:val="right"/>
              <w:rPr>
                <w:b/>
                <w:noProof/>
                <w:sz w:val="18"/>
                <w:lang w:val="fr-FR"/>
              </w:rPr>
            </w:pPr>
            <w:r w:rsidRPr="00FC5584">
              <w:rPr>
                <w:b/>
                <w:noProof/>
                <w:sz w:val="18"/>
                <w:lang w:val="fr-FR"/>
              </w:rPr>
              <w:t>13 452</w:t>
            </w:r>
          </w:p>
        </w:tc>
        <w:tc>
          <w:tcPr>
            <w:tcW w:w="9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BDB4D1A" w14:textId="77777777" w:rsidR="000E6673" w:rsidRPr="00FC5584" w:rsidRDefault="000E6673" w:rsidP="00A962D7">
            <w:pPr>
              <w:keepNext/>
              <w:suppressAutoHyphens w:val="0"/>
              <w:spacing w:before="80" w:after="80" w:line="220" w:lineRule="exact"/>
              <w:jc w:val="right"/>
              <w:rPr>
                <w:b/>
                <w:noProof/>
                <w:sz w:val="18"/>
                <w:lang w:val="fr-FR"/>
              </w:rPr>
            </w:pPr>
            <w:r w:rsidRPr="00FC5584">
              <w:rPr>
                <w:b/>
                <w:noProof/>
                <w:sz w:val="18"/>
                <w:lang w:val="fr-FR"/>
              </w:rPr>
              <w:t>151 %</w:t>
            </w:r>
          </w:p>
        </w:tc>
      </w:tr>
    </w:tbl>
    <w:p w14:paraId="691EFCB4" w14:textId="77777777" w:rsidR="00B51FCF" w:rsidRDefault="00B51FCF" w:rsidP="000E6673">
      <w:pPr>
        <w:pStyle w:val="SingleTxtG"/>
        <w:ind w:left="284"/>
        <w:rPr>
          <w:lang w:val="fr-FR"/>
        </w:rPr>
        <w:sectPr w:rsidR="00B51FCF" w:rsidSect="000E6673">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64D17242" w14:textId="77777777" w:rsidR="00B51FCF" w:rsidRPr="001B6B87" w:rsidRDefault="00B51FCF" w:rsidP="00B74239">
      <w:pPr>
        <w:pStyle w:val="Titre1"/>
        <w:spacing w:after="120"/>
        <w:rPr>
          <w:b/>
          <w:bCs/>
          <w:i/>
          <w:noProof/>
          <w:sz w:val="16"/>
        </w:rPr>
      </w:pPr>
      <w:r>
        <w:rPr>
          <w:noProof/>
        </w:rPr>
        <w:lastRenderedPageBreak/>
        <w:t>Tableau</w:t>
      </w:r>
      <w:r w:rsidRPr="00BB6F7D">
        <w:rPr>
          <w:noProof/>
        </w:rPr>
        <w:t xml:space="preserve"> 17</w:t>
      </w:r>
      <w:r w:rsidR="001B6B87">
        <w:rPr>
          <w:noProof/>
        </w:rPr>
        <w:br/>
      </w:r>
      <w:r w:rsidRPr="001B6B87">
        <w:rPr>
          <w:b/>
          <w:bCs/>
          <w:noProof/>
        </w:rPr>
        <w:t xml:space="preserve">Catégories de personnes privées de liberté incarcérées dans les divers centres pénitentiaires </w:t>
      </w:r>
      <w:r w:rsidR="00B74239">
        <w:rPr>
          <w:b/>
          <w:bCs/>
          <w:noProof/>
        </w:rPr>
        <w:br/>
      </w:r>
      <w:r w:rsidRPr="001B6B87">
        <w:rPr>
          <w:b/>
          <w:bCs/>
          <w:noProof/>
        </w:rPr>
        <w:t>et leur localisation</w:t>
      </w:r>
    </w:p>
    <w:tbl>
      <w:tblPr>
        <w:tblW w:w="8504" w:type="dxa"/>
        <w:tblInd w:w="1134" w:type="dxa"/>
        <w:tblLayout w:type="fixed"/>
        <w:tblCellMar>
          <w:left w:w="0" w:type="dxa"/>
          <w:right w:w="0" w:type="dxa"/>
        </w:tblCellMar>
        <w:tblLook w:val="04A0" w:firstRow="1" w:lastRow="0" w:firstColumn="1" w:lastColumn="0" w:noHBand="0" w:noVBand="1"/>
      </w:tblPr>
      <w:tblGrid>
        <w:gridCol w:w="506"/>
        <w:gridCol w:w="3242"/>
        <w:gridCol w:w="3136"/>
        <w:gridCol w:w="1620"/>
      </w:tblGrid>
      <w:tr w:rsidR="00B51FCF" w:rsidRPr="0092668A" w14:paraId="7FB0D4DC" w14:textId="77777777" w:rsidTr="0092668A">
        <w:trPr>
          <w:tblHeader/>
        </w:trPr>
        <w:tc>
          <w:tcPr>
            <w:tcW w:w="50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2194B42" w14:textId="77777777" w:rsidR="00B51FCF" w:rsidRPr="0092668A" w:rsidRDefault="00B51FCF" w:rsidP="0092668A">
            <w:pPr>
              <w:spacing w:before="80" w:after="80" w:line="200" w:lineRule="exact"/>
              <w:ind w:right="113"/>
              <w:rPr>
                <w:i/>
                <w:noProof/>
                <w:sz w:val="16"/>
                <w:lang w:val="fr-FR"/>
              </w:rPr>
            </w:pPr>
            <w:r w:rsidRPr="0092668A">
              <w:rPr>
                <w:i/>
                <w:noProof/>
                <w:sz w:val="16"/>
                <w:lang w:val="fr-FR"/>
              </w:rPr>
              <w:t>Nº</w:t>
            </w:r>
          </w:p>
        </w:tc>
        <w:tc>
          <w:tcPr>
            <w:tcW w:w="324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F68F16E" w14:textId="77777777" w:rsidR="00B51FCF" w:rsidRPr="0092668A" w:rsidRDefault="00B51FCF" w:rsidP="0092668A">
            <w:pPr>
              <w:spacing w:before="80" w:after="80" w:line="200" w:lineRule="exact"/>
              <w:ind w:right="113"/>
              <w:rPr>
                <w:i/>
                <w:noProof/>
                <w:sz w:val="16"/>
                <w:lang w:val="fr-FR"/>
              </w:rPr>
            </w:pPr>
            <w:r w:rsidRPr="0092668A">
              <w:rPr>
                <w:i/>
                <w:noProof/>
                <w:sz w:val="16"/>
                <w:lang w:val="fr-FR"/>
              </w:rPr>
              <w:t>Centre pénitentiaire</w:t>
            </w:r>
          </w:p>
        </w:tc>
        <w:tc>
          <w:tcPr>
            <w:tcW w:w="313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802C341" w14:textId="77777777" w:rsidR="00B51FCF" w:rsidRPr="0092668A" w:rsidRDefault="00B51FCF" w:rsidP="0092668A">
            <w:pPr>
              <w:spacing w:before="80" w:after="80" w:line="200" w:lineRule="exact"/>
              <w:ind w:right="113"/>
              <w:rPr>
                <w:i/>
                <w:noProof/>
                <w:sz w:val="16"/>
                <w:lang w:val="fr-FR"/>
              </w:rPr>
            </w:pPr>
            <w:r w:rsidRPr="0092668A">
              <w:rPr>
                <w:i/>
                <w:noProof/>
                <w:sz w:val="16"/>
                <w:lang w:val="fr-FR"/>
              </w:rPr>
              <w:t>Catégorie de personnes privées de liberté</w:t>
            </w:r>
          </w:p>
        </w:tc>
        <w:tc>
          <w:tcPr>
            <w:tcW w:w="16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D097A97" w14:textId="77777777" w:rsidR="00B51FCF" w:rsidRPr="0092668A" w:rsidRDefault="00B51FCF" w:rsidP="0092668A">
            <w:pPr>
              <w:spacing w:before="80" w:after="80" w:line="200" w:lineRule="exact"/>
              <w:ind w:right="113"/>
              <w:rPr>
                <w:i/>
                <w:noProof/>
                <w:sz w:val="16"/>
                <w:lang w:val="fr-FR"/>
              </w:rPr>
            </w:pPr>
            <w:r w:rsidRPr="0092668A">
              <w:rPr>
                <w:i/>
                <w:noProof/>
                <w:sz w:val="16"/>
                <w:lang w:val="fr-FR"/>
              </w:rPr>
              <w:t>Localisation</w:t>
            </w:r>
          </w:p>
        </w:tc>
      </w:tr>
      <w:tr w:rsidR="0092668A" w:rsidRPr="0092668A" w14:paraId="142EFACD" w14:textId="77777777" w:rsidTr="0092668A">
        <w:trPr>
          <w:trHeight w:hRule="exact" w:val="113"/>
          <w:tblHeader/>
        </w:trPr>
        <w:tc>
          <w:tcPr>
            <w:tcW w:w="506" w:type="dxa"/>
            <w:tcBorders>
              <w:top w:val="single" w:sz="12" w:space="0" w:color="auto"/>
            </w:tcBorders>
            <w:shd w:val="clear" w:color="auto" w:fill="auto"/>
            <w:tcMar>
              <w:top w:w="0" w:type="dxa"/>
              <w:left w:w="0" w:type="dxa"/>
              <w:bottom w:w="0" w:type="dxa"/>
              <w:right w:w="0" w:type="dxa"/>
            </w:tcMar>
          </w:tcPr>
          <w:p w14:paraId="3DE2EC3D" w14:textId="77777777" w:rsidR="0092668A" w:rsidRPr="0092668A" w:rsidRDefault="0092668A" w:rsidP="0092668A">
            <w:pPr>
              <w:spacing w:before="40" w:after="120"/>
              <w:ind w:right="113"/>
              <w:rPr>
                <w:noProof/>
                <w:lang w:val="fr-FR"/>
              </w:rPr>
            </w:pPr>
          </w:p>
        </w:tc>
        <w:tc>
          <w:tcPr>
            <w:tcW w:w="3242" w:type="dxa"/>
            <w:tcBorders>
              <w:top w:val="single" w:sz="12" w:space="0" w:color="auto"/>
            </w:tcBorders>
            <w:shd w:val="clear" w:color="auto" w:fill="auto"/>
            <w:tcMar>
              <w:top w:w="0" w:type="dxa"/>
              <w:left w:w="0" w:type="dxa"/>
              <w:bottom w:w="0" w:type="dxa"/>
              <w:right w:w="0" w:type="dxa"/>
            </w:tcMar>
          </w:tcPr>
          <w:p w14:paraId="458DC4CA" w14:textId="77777777" w:rsidR="0092668A" w:rsidRPr="0092668A" w:rsidRDefault="0092668A" w:rsidP="0092668A">
            <w:pPr>
              <w:spacing w:before="40" w:after="120"/>
              <w:ind w:right="113"/>
              <w:rPr>
                <w:noProof/>
                <w:lang w:val="fr-FR"/>
              </w:rPr>
            </w:pPr>
          </w:p>
        </w:tc>
        <w:tc>
          <w:tcPr>
            <w:tcW w:w="3136" w:type="dxa"/>
            <w:tcBorders>
              <w:top w:val="single" w:sz="12" w:space="0" w:color="auto"/>
            </w:tcBorders>
            <w:shd w:val="clear" w:color="auto" w:fill="auto"/>
            <w:tcMar>
              <w:top w:w="0" w:type="dxa"/>
              <w:left w:w="0" w:type="dxa"/>
              <w:bottom w:w="0" w:type="dxa"/>
              <w:right w:w="0" w:type="dxa"/>
            </w:tcMar>
          </w:tcPr>
          <w:p w14:paraId="6AC3510C" w14:textId="77777777" w:rsidR="0092668A" w:rsidRPr="0092668A" w:rsidRDefault="0092668A" w:rsidP="0092668A">
            <w:pPr>
              <w:spacing w:before="40" w:after="120"/>
              <w:ind w:right="113"/>
              <w:rPr>
                <w:noProof/>
                <w:lang w:val="fr-FR"/>
              </w:rPr>
            </w:pPr>
          </w:p>
        </w:tc>
        <w:tc>
          <w:tcPr>
            <w:tcW w:w="1620" w:type="dxa"/>
            <w:tcBorders>
              <w:top w:val="single" w:sz="12" w:space="0" w:color="auto"/>
            </w:tcBorders>
            <w:shd w:val="clear" w:color="auto" w:fill="auto"/>
            <w:tcMar>
              <w:top w:w="0" w:type="dxa"/>
              <w:left w:w="0" w:type="dxa"/>
              <w:bottom w:w="0" w:type="dxa"/>
              <w:right w:w="0" w:type="dxa"/>
            </w:tcMar>
          </w:tcPr>
          <w:p w14:paraId="62092721" w14:textId="77777777" w:rsidR="0092668A" w:rsidRPr="0092668A" w:rsidRDefault="0092668A" w:rsidP="0092668A">
            <w:pPr>
              <w:spacing w:before="40" w:after="120"/>
              <w:ind w:right="113"/>
              <w:rPr>
                <w:noProof/>
                <w:lang w:val="fr-FR"/>
              </w:rPr>
            </w:pPr>
          </w:p>
        </w:tc>
      </w:tr>
      <w:tr w:rsidR="00B51FCF" w:rsidRPr="0092668A" w14:paraId="1F60E142" w14:textId="77777777" w:rsidTr="0092668A">
        <w:tc>
          <w:tcPr>
            <w:tcW w:w="506" w:type="dxa"/>
            <w:shd w:val="clear" w:color="auto" w:fill="auto"/>
            <w:tcMar>
              <w:top w:w="0" w:type="dxa"/>
              <w:left w:w="0" w:type="dxa"/>
              <w:bottom w:w="0" w:type="dxa"/>
              <w:right w:w="0" w:type="dxa"/>
            </w:tcMar>
          </w:tcPr>
          <w:p w14:paraId="69584DD5" w14:textId="77777777" w:rsidR="00B51FCF" w:rsidRPr="0092668A" w:rsidRDefault="00B51FCF" w:rsidP="0092668A">
            <w:pPr>
              <w:spacing w:before="40" w:after="120"/>
              <w:ind w:right="113"/>
              <w:rPr>
                <w:noProof/>
                <w:lang w:val="fr-FR"/>
              </w:rPr>
            </w:pPr>
            <w:r w:rsidRPr="0092668A">
              <w:rPr>
                <w:noProof/>
                <w:lang w:val="fr-FR"/>
              </w:rPr>
              <w:t>1</w:t>
            </w:r>
          </w:p>
        </w:tc>
        <w:tc>
          <w:tcPr>
            <w:tcW w:w="3242" w:type="dxa"/>
            <w:shd w:val="clear" w:color="auto" w:fill="auto"/>
            <w:tcMar>
              <w:top w:w="0" w:type="dxa"/>
              <w:left w:w="0" w:type="dxa"/>
              <w:bottom w:w="0" w:type="dxa"/>
              <w:right w:w="0" w:type="dxa"/>
            </w:tcMar>
          </w:tcPr>
          <w:p w14:paraId="7BAEC987"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La Esperanza, Penitenciaría Central</w:t>
            </w:r>
          </w:p>
        </w:tc>
        <w:tc>
          <w:tcPr>
            <w:tcW w:w="3136" w:type="dxa"/>
            <w:shd w:val="clear" w:color="auto" w:fill="auto"/>
            <w:tcMar>
              <w:top w:w="0" w:type="dxa"/>
              <w:left w:w="0" w:type="dxa"/>
              <w:bottom w:w="0" w:type="dxa"/>
              <w:right w:w="0" w:type="dxa"/>
            </w:tcMar>
          </w:tcPr>
          <w:p w14:paraId="7B76487C" w14:textId="77777777" w:rsidR="00B51FCF" w:rsidRPr="0092668A" w:rsidRDefault="00B51FCF" w:rsidP="0092668A">
            <w:pPr>
              <w:spacing w:before="40" w:after="120"/>
              <w:ind w:right="113"/>
              <w:rPr>
                <w:noProof/>
                <w:lang w:val="fr-FR"/>
              </w:rPr>
            </w:pPr>
            <w:r w:rsidRPr="0092668A">
              <w:rPr>
                <w:noProof/>
                <w:lang w:val="fr-FR"/>
              </w:rPr>
              <w:t xml:space="preserve">Droits-communs et membres </w:t>
            </w:r>
            <w:r w:rsidR="00205D32">
              <w:rPr>
                <w:noProof/>
                <w:lang w:val="fr-FR"/>
              </w:rPr>
              <w:br/>
            </w:r>
            <w:r w:rsidRPr="0092668A">
              <w:rPr>
                <w:noProof/>
                <w:lang w:val="fr-FR"/>
              </w:rPr>
              <w:t>de la bande Mara MD</w:t>
            </w:r>
          </w:p>
        </w:tc>
        <w:tc>
          <w:tcPr>
            <w:tcW w:w="1620" w:type="dxa"/>
            <w:shd w:val="clear" w:color="auto" w:fill="auto"/>
            <w:tcMar>
              <w:top w:w="0" w:type="dxa"/>
              <w:left w:w="0" w:type="dxa"/>
              <w:bottom w:w="0" w:type="dxa"/>
              <w:right w:w="0" w:type="dxa"/>
            </w:tcMar>
          </w:tcPr>
          <w:p w14:paraId="03C7B469" w14:textId="77777777" w:rsidR="00B51FCF" w:rsidRPr="0092668A" w:rsidRDefault="00B51FCF" w:rsidP="0092668A">
            <w:pPr>
              <w:spacing w:before="40" w:after="120"/>
              <w:ind w:right="113"/>
              <w:rPr>
                <w:noProof/>
                <w:lang w:val="fr-FR"/>
              </w:rPr>
            </w:pPr>
            <w:r w:rsidRPr="0092668A">
              <w:rPr>
                <w:noProof/>
                <w:lang w:val="fr-FR"/>
              </w:rPr>
              <w:t>Ayutuxtepeque</w:t>
            </w:r>
          </w:p>
        </w:tc>
      </w:tr>
      <w:tr w:rsidR="00B51FCF" w:rsidRPr="0092668A" w14:paraId="332E342D" w14:textId="77777777" w:rsidTr="0092668A">
        <w:tc>
          <w:tcPr>
            <w:tcW w:w="506" w:type="dxa"/>
            <w:shd w:val="clear" w:color="auto" w:fill="auto"/>
            <w:tcMar>
              <w:top w:w="0" w:type="dxa"/>
              <w:left w:w="0" w:type="dxa"/>
              <w:bottom w:w="0" w:type="dxa"/>
              <w:right w:w="0" w:type="dxa"/>
            </w:tcMar>
          </w:tcPr>
          <w:p w14:paraId="62AE74E5" w14:textId="77777777" w:rsidR="00B51FCF" w:rsidRPr="0092668A" w:rsidRDefault="00B51FCF" w:rsidP="0092668A">
            <w:pPr>
              <w:spacing w:before="40" w:after="120"/>
              <w:ind w:right="113"/>
              <w:rPr>
                <w:noProof/>
                <w:lang w:val="fr-FR"/>
              </w:rPr>
            </w:pPr>
            <w:r w:rsidRPr="0092668A">
              <w:rPr>
                <w:noProof/>
                <w:lang w:val="fr-FR"/>
              </w:rPr>
              <w:t>2</w:t>
            </w:r>
          </w:p>
        </w:tc>
        <w:tc>
          <w:tcPr>
            <w:tcW w:w="3242" w:type="dxa"/>
            <w:shd w:val="clear" w:color="auto" w:fill="auto"/>
            <w:tcMar>
              <w:top w:w="0" w:type="dxa"/>
              <w:left w:w="0" w:type="dxa"/>
              <w:bottom w:w="0" w:type="dxa"/>
              <w:right w:w="0" w:type="dxa"/>
            </w:tcMar>
          </w:tcPr>
          <w:p w14:paraId="59C75FD0" w14:textId="77777777" w:rsidR="00B51FCF" w:rsidRPr="0092668A" w:rsidRDefault="00B51FCF" w:rsidP="0092668A">
            <w:pPr>
              <w:spacing w:before="40" w:after="120"/>
              <w:ind w:right="113"/>
              <w:rPr>
                <w:noProof/>
                <w:lang w:val="fr-FR"/>
              </w:rPr>
            </w:pPr>
            <w:r w:rsidRPr="0092668A">
              <w:rPr>
                <w:noProof/>
                <w:lang w:val="fr-FR"/>
              </w:rPr>
              <w:t>Centre de soins intégrés pour personnes privées de liberté atteintes de maladies dégénératives chroniques de Santa Ana.</w:t>
            </w:r>
          </w:p>
        </w:tc>
        <w:tc>
          <w:tcPr>
            <w:tcW w:w="3136" w:type="dxa"/>
            <w:shd w:val="clear" w:color="auto" w:fill="auto"/>
            <w:tcMar>
              <w:top w:w="0" w:type="dxa"/>
              <w:left w:w="0" w:type="dxa"/>
              <w:bottom w:w="0" w:type="dxa"/>
              <w:right w:w="0" w:type="dxa"/>
            </w:tcMar>
          </w:tcPr>
          <w:p w14:paraId="50B39A9C" w14:textId="77777777" w:rsidR="00B51FCF" w:rsidRPr="0092668A" w:rsidRDefault="00B51FCF" w:rsidP="0092668A">
            <w:pPr>
              <w:spacing w:before="40" w:after="120"/>
              <w:ind w:right="113"/>
              <w:rPr>
                <w:noProof/>
                <w:lang w:val="fr-FR"/>
              </w:rPr>
            </w:pPr>
            <w:r w:rsidRPr="0092668A">
              <w:rPr>
                <w:noProof/>
                <w:lang w:val="fr-FR"/>
              </w:rPr>
              <w:t>Condamnés atteints de maladies dégénératives chroniques</w:t>
            </w:r>
          </w:p>
        </w:tc>
        <w:tc>
          <w:tcPr>
            <w:tcW w:w="1620" w:type="dxa"/>
            <w:shd w:val="clear" w:color="auto" w:fill="auto"/>
            <w:tcMar>
              <w:top w:w="0" w:type="dxa"/>
              <w:left w:w="0" w:type="dxa"/>
              <w:bottom w:w="0" w:type="dxa"/>
              <w:right w:w="0" w:type="dxa"/>
            </w:tcMar>
          </w:tcPr>
          <w:p w14:paraId="153F29AB" w14:textId="77777777" w:rsidR="00B51FCF" w:rsidRPr="0092668A" w:rsidRDefault="00B51FCF" w:rsidP="0092668A">
            <w:pPr>
              <w:spacing w:before="40" w:after="120"/>
              <w:ind w:right="113"/>
              <w:rPr>
                <w:noProof/>
                <w:lang w:val="fr-FR"/>
              </w:rPr>
            </w:pPr>
            <w:r w:rsidRPr="0092668A">
              <w:rPr>
                <w:noProof/>
                <w:lang w:val="fr-FR"/>
              </w:rPr>
              <w:t>Santa Ana</w:t>
            </w:r>
          </w:p>
        </w:tc>
      </w:tr>
      <w:tr w:rsidR="00B51FCF" w:rsidRPr="0092668A" w14:paraId="52262B0B" w14:textId="77777777" w:rsidTr="0092668A">
        <w:tc>
          <w:tcPr>
            <w:tcW w:w="506" w:type="dxa"/>
            <w:shd w:val="clear" w:color="auto" w:fill="auto"/>
            <w:tcMar>
              <w:top w:w="0" w:type="dxa"/>
              <w:left w:w="0" w:type="dxa"/>
              <w:bottom w:w="0" w:type="dxa"/>
              <w:right w:w="0" w:type="dxa"/>
            </w:tcMar>
          </w:tcPr>
          <w:p w14:paraId="0E947EE3" w14:textId="77777777" w:rsidR="00B51FCF" w:rsidRPr="0092668A" w:rsidRDefault="00B51FCF" w:rsidP="0092668A">
            <w:pPr>
              <w:spacing w:before="40" w:after="120"/>
              <w:ind w:right="113"/>
              <w:rPr>
                <w:noProof/>
                <w:lang w:val="fr-FR"/>
              </w:rPr>
            </w:pPr>
            <w:r w:rsidRPr="0092668A">
              <w:rPr>
                <w:noProof/>
                <w:lang w:val="fr-FR"/>
              </w:rPr>
              <w:t>3</w:t>
            </w:r>
          </w:p>
        </w:tc>
        <w:tc>
          <w:tcPr>
            <w:tcW w:w="3242" w:type="dxa"/>
            <w:shd w:val="clear" w:color="auto" w:fill="auto"/>
            <w:tcMar>
              <w:top w:w="0" w:type="dxa"/>
              <w:left w:w="0" w:type="dxa"/>
              <w:bottom w:w="0" w:type="dxa"/>
              <w:right w:w="0" w:type="dxa"/>
            </w:tcMar>
          </w:tcPr>
          <w:p w14:paraId="71D48A73"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de San Vicente</w:t>
            </w:r>
          </w:p>
        </w:tc>
        <w:tc>
          <w:tcPr>
            <w:tcW w:w="3136" w:type="dxa"/>
            <w:shd w:val="clear" w:color="auto" w:fill="auto"/>
            <w:tcMar>
              <w:top w:w="0" w:type="dxa"/>
              <w:left w:w="0" w:type="dxa"/>
              <w:bottom w:w="0" w:type="dxa"/>
              <w:right w:w="0" w:type="dxa"/>
            </w:tcMar>
          </w:tcPr>
          <w:p w14:paraId="01D062A1" w14:textId="77777777" w:rsidR="00B51FCF" w:rsidRPr="0092668A" w:rsidRDefault="00B51FCF" w:rsidP="0092668A">
            <w:pPr>
              <w:spacing w:before="40" w:after="120"/>
              <w:ind w:right="113"/>
              <w:rPr>
                <w:noProof/>
                <w:lang w:val="fr-FR"/>
              </w:rPr>
            </w:pPr>
            <w:r w:rsidRPr="0092668A">
              <w:rPr>
                <w:noProof/>
                <w:lang w:val="fr-FR"/>
              </w:rPr>
              <w:t>Droits-communs (hommes)</w:t>
            </w:r>
          </w:p>
        </w:tc>
        <w:tc>
          <w:tcPr>
            <w:tcW w:w="1620" w:type="dxa"/>
            <w:shd w:val="clear" w:color="auto" w:fill="auto"/>
            <w:tcMar>
              <w:top w:w="0" w:type="dxa"/>
              <w:left w:w="0" w:type="dxa"/>
              <w:bottom w:w="0" w:type="dxa"/>
              <w:right w:w="0" w:type="dxa"/>
            </w:tcMar>
          </w:tcPr>
          <w:p w14:paraId="32646FEA" w14:textId="77777777" w:rsidR="00B51FCF" w:rsidRPr="0092668A" w:rsidRDefault="00B51FCF" w:rsidP="0092668A">
            <w:pPr>
              <w:spacing w:before="40" w:after="120"/>
              <w:ind w:right="113"/>
              <w:rPr>
                <w:noProof/>
                <w:lang w:val="fr-FR"/>
              </w:rPr>
            </w:pPr>
            <w:r w:rsidRPr="0092668A">
              <w:rPr>
                <w:noProof/>
                <w:lang w:val="fr-FR"/>
              </w:rPr>
              <w:t>San Vicente</w:t>
            </w:r>
          </w:p>
        </w:tc>
      </w:tr>
      <w:tr w:rsidR="00B51FCF" w:rsidRPr="0092668A" w14:paraId="194B3FBE" w14:textId="77777777" w:rsidTr="0092668A">
        <w:tc>
          <w:tcPr>
            <w:tcW w:w="506" w:type="dxa"/>
            <w:shd w:val="clear" w:color="auto" w:fill="auto"/>
            <w:tcMar>
              <w:top w:w="0" w:type="dxa"/>
              <w:left w:w="0" w:type="dxa"/>
              <w:bottom w:w="0" w:type="dxa"/>
              <w:right w:w="0" w:type="dxa"/>
            </w:tcMar>
          </w:tcPr>
          <w:p w14:paraId="1D4E16F8" w14:textId="77777777" w:rsidR="00B51FCF" w:rsidRPr="0092668A" w:rsidRDefault="00B51FCF" w:rsidP="0092668A">
            <w:pPr>
              <w:spacing w:before="40" w:after="120"/>
              <w:ind w:right="113"/>
              <w:rPr>
                <w:noProof/>
                <w:lang w:val="fr-FR"/>
              </w:rPr>
            </w:pPr>
            <w:r w:rsidRPr="0092668A">
              <w:rPr>
                <w:noProof/>
                <w:lang w:val="fr-FR"/>
              </w:rPr>
              <w:t>4</w:t>
            </w:r>
          </w:p>
        </w:tc>
        <w:tc>
          <w:tcPr>
            <w:tcW w:w="3242" w:type="dxa"/>
            <w:shd w:val="clear" w:color="auto" w:fill="auto"/>
            <w:tcMar>
              <w:top w:w="0" w:type="dxa"/>
              <w:left w:w="0" w:type="dxa"/>
              <w:bottom w:w="0" w:type="dxa"/>
              <w:right w:w="0" w:type="dxa"/>
            </w:tcMar>
          </w:tcPr>
          <w:p w14:paraId="57D3F6FE"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d</w:t>
            </w:r>
            <w:r w:rsidR="002A5D78">
              <w:rPr>
                <w:noProof/>
                <w:lang w:val="fr-FR"/>
              </w:rPr>
              <w:t>’</w:t>
            </w:r>
            <w:r w:rsidRPr="0092668A">
              <w:rPr>
                <w:noProof/>
                <w:lang w:val="fr-FR"/>
              </w:rPr>
              <w:t>Apanteos</w:t>
            </w:r>
          </w:p>
        </w:tc>
        <w:tc>
          <w:tcPr>
            <w:tcW w:w="3136" w:type="dxa"/>
            <w:shd w:val="clear" w:color="auto" w:fill="auto"/>
            <w:tcMar>
              <w:top w:w="0" w:type="dxa"/>
              <w:left w:w="0" w:type="dxa"/>
              <w:bottom w:w="0" w:type="dxa"/>
              <w:right w:w="0" w:type="dxa"/>
            </w:tcMar>
          </w:tcPr>
          <w:p w14:paraId="79B75260" w14:textId="77777777" w:rsidR="00B51FCF" w:rsidRPr="0092668A" w:rsidRDefault="00B51FCF" w:rsidP="0092668A">
            <w:pPr>
              <w:spacing w:before="40" w:after="120"/>
              <w:ind w:right="113"/>
              <w:rPr>
                <w:noProof/>
                <w:lang w:val="fr-FR"/>
              </w:rPr>
            </w:pPr>
            <w:r w:rsidRPr="0092668A">
              <w:rPr>
                <w:noProof/>
                <w:lang w:val="fr-FR"/>
              </w:rPr>
              <w:t>Droits-communs et ex-membres de</w:t>
            </w:r>
            <w:r w:rsidR="00205D32">
              <w:rPr>
                <w:noProof/>
                <w:lang w:val="fr-FR"/>
              </w:rPr>
              <w:t> </w:t>
            </w:r>
            <w:r w:rsidRPr="0092668A">
              <w:rPr>
                <w:noProof/>
                <w:lang w:val="fr-FR"/>
              </w:rPr>
              <w:t>bandes criminelles</w:t>
            </w:r>
          </w:p>
        </w:tc>
        <w:tc>
          <w:tcPr>
            <w:tcW w:w="1620" w:type="dxa"/>
            <w:shd w:val="clear" w:color="auto" w:fill="auto"/>
            <w:tcMar>
              <w:top w:w="0" w:type="dxa"/>
              <w:left w:w="0" w:type="dxa"/>
              <w:bottom w:w="0" w:type="dxa"/>
              <w:right w:w="0" w:type="dxa"/>
            </w:tcMar>
          </w:tcPr>
          <w:p w14:paraId="08E0207E" w14:textId="77777777" w:rsidR="00B51FCF" w:rsidRPr="0092668A" w:rsidRDefault="00B51FCF" w:rsidP="0092668A">
            <w:pPr>
              <w:spacing w:before="40" w:after="120"/>
              <w:ind w:right="113"/>
              <w:rPr>
                <w:noProof/>
                <w:lang w:val="fr-FR"/>
              </w:rPr>
            </w:pPr>
            <w:r w:rsidRPr="0092668A">
              <w:rPr>
                <w:noProof/>
                <w:lang w:val="fr-FR"/>
              </w:rPr>
              <w:t>Santa Ana</w:t>
            </w:r>
          </w:p>
        </w:tc>
      </w:tr>
      <w:tr w:rsidR="00B51FCF" w:rsidRPr="0092668A" w14:paraId="7ACA4D82" w14:textId="77777777" w:rsidTr="0092668A">
        <w:tc>
          <w:tcPr>
            <w:tcW w:w="506" w:type="dxa"/>
            <w:shd w:val="clear" w:color="auto" w:fill="auto"/>
            <w:tcMar>
              <w:top w:w="0" w:type="dxa"/>
              <w:left w:w="0" w:type="dxa"/>
              <w:bottom w:w="0" w:type="dxa"/>
              <w:right w:w="0" w:type="dxa"/>
            </w:tcMar>
          </w:tcPr>
          <w:p w14:paraId="76D917D0" w14:textId="77777777" w:rsidR="00B51FCF" w:rsidRPr="0092668A" w:rsidRDefault="00B51FCF" w:rsidP="0092668A">
            <w:pPr>
              <w:spacing w:before="40" w:after="120"/>
              <w:ind w:right="113"/>
              <w:rPr>
                <w:noProof/>
                <w:lang w:val="fr-FR"/>
              </w:rPr>
            </w:pPr>
            <w:r w:rsidRPr="0092668A">
              <w:rPr>
                <w:noProof/>
                <w:lang w:val="fr-FR"/>
              </w:rPr>
              <w:t>5</w:t>
            </w:r>
          </w:p>
        </w:tc>
        <w:tc>
          <w:tcPr>
            <w:tcW w:w="3242" w:type="dxa"/>
            <w:shd w:val="clear" w:color="auto" w:fill="auto"/>
            <w:tcMar>
              <w:top w:w="0" w:type="dxa"/>
              <w:left w:w="0" w:type="dxa"/>
              <w:bottom w:w="0" w:type="dxa"/>
              <w:right w:w="0" w:type="dxa"/>
            </w:tcMar>
          </w:tcPr>
          <w:p w14:paraId="017384D2"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de Metapán</w:t>
            </w:r>
          </w:p>
        </w:tc>
        <w:tc>
          <w:tcPr>
            <w:tcW w:w="3136" w:type="dxa"/>
            <w:shd w:val="clear" w:color="auto" w:fill="auto"/>
            <w:tcMar>
              <w:top w:w="0" w:type="dxa"/>
              <w:left w:w="0" w:type="dxa"/>
              <w:bottom w:w="0" w:type="dxa"/>
              <w:right w:w="0" w:type="dxa"/>
            </w:tcMar>
          </w:tcPr>
          <w:p w14:paraId="47BB2250" w14:textId="77777777" w:rsidR="00B51FCF" w:rsidRPr="0092668A" w:rsidRDefault="00B51FCF" w:rsidP="0092668A">
            <w:pPr>
              <w:spacing w:before="40" w:after="120"/>
              <w:ind w:right="113"/>
              <w:rPr>
                <w:noProof/>
                <w:lang w:val="fr-FR"/>
              </w:rPr>
            </w:pPr>
            <w:r w:rsidRPr="0092668A">
              <w:rPr>
                <w:noProof/>
                <w:lang w:val="fr-FR"/>
              </w:rPr>
              <w:t>Ex-fonctionnaires</w:t>
            </w:r>
          </w:p>
        </w:tc>
        <w:tc>
          <w:tcPr>
            <w:tcW w:w="1620" w:type="dxa"/>
            <w:shd w:val="clear" w:color="auto" w:fill="auto"/>
            <w:tcMar>
              <w:top w:w="0" w:type="dxa"/>
              <w:left w:w="0" w:type="dxa"/>
              <w:bottom w:w="0" w:type="dxa"/>
              <w:right w:w="0" w:type="dxa"/>
            </w:tcMar>
          </w:tcPr>
          <w:p w14:paraId="71202F7A" w14:textId="77777777" w:rsidR="00B51FCF" w:rsidRPr="0092668A" w:rsidRDefault="00B51FCF" w:rsidP="0092668A">
            <w:pPr>
              <w:spacing w:before="40" w:after="120"/>
              <w:ind w:right="113"/>
              <w:rPr>
                <w:noProof/>
                <w:lang w:val="fr-FR"/>
              </w:rPr>
            </w:pPr>
            <w:r w:rsidRPr="0092668A">
              <w:rPr>
                <w:noProof/>
                <w:lang w:val="fr-FR"/>
              </w:rPr>
              <w:t xml:space="preserve">Metapán (département </w:t>
            </w:r>
            <w:r w:rsidR="00B74239">
              <w:rPr>
                <w:noProof/>
                <w:lang w:val="fr-FR"/>
              </w:rPr>
              <w:br/>
            </w:r>
            <w:r w:rsidRPr="0092668A">
              <w:rPr>
                <w:noProof/>
                <w:lang w:val="fr-FR"/>
              </w:rPr>
              <w:t>de Santa Ana)</w:t>
            </w:r>
          </w:p>
        </w:tc>
      </w:tr>
      <w:tr w:rsidR="00B51FCF" w:rsidRPr="0092668A" w14:paraId="019C4881" w14:textId="77777777" w:rsidTr="0092668A">
        <w:tc>
          <w:tcPr>
            <w:tcW w:w="506" w:type="dxa"/>
            <w:shd w:val="clear" w:color="auto" w:fill="auto"/>
            <w:tcMar>
              <w:top w:w="0" w:type="dxa"/>
              <w:left w:w="0" w:type="dxa"/>
              <w:bottom w:w="0" w:type="dxa"/>
              <w:right w:w="0" w:type="dxa"/>
            </w:tcMar>
          </w:tcPr>
          <w:p w14:paraId="3E0C6D89" w14:textId="77777777" w:rsidR="00B51FCF" w:rsidRPr="0092668A" w:rsidRDefault="00B51FCF" w:rsidP="0092668A">
            <w:pPr>
              <w:spacing w:before="40" w:after="120"/>
              <w:ind w:right="113"/>
              <w:rPr>
                <w:noProof/>
                <w:lang w:val="fr-FR"/>
              </w:rPr>
            </w:pPr>
            <w:r w:rsidRPr="0092668A">
              <w:rPr>
                <w:noProof/>
                <w:lang w:val="fr-FR"/>
              </w:rPr>
              <w:t>6</w:t>
            </w:r>
          </w:p>
        </w:tc>
        <w:tc>
          <w:tcPr>
            <w:tcW w:w="3242" w:type="dxa"/>
            <w:shd w:val="clear" w:color="auto" w:fill="auto"/>
            <w:tcMar>
              <w:top w:w="0" w:type="dxa"/>
              <w:left w:w="0" w:type="dxa"/>
              <w:bottom w:w="0" w:type="dxa"/>
              <w:right w:w="0" w:type="dxa"/>
            </w:tcMar>
          </w:tcPr>
          <w:p w14:paraId="7DD2FD9A"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de Sonsonate</w:t>
            </w:r>
          </w:p>
        </w:tc>
        <w:tc>
          <w:tcPr>
            <w:tcW w:w="3136" w:type="dxa"/>
            <w:shd w:val="clear" w:color="auto" w:fill="auto"/>
            <w:tcMar>
              <w:top w:w="0" w:type="dxa"/>
              <w:left w:w="0" w:type="dxa"/>
              <w:bottom w:w="0" w:type="dxa"/>
              <w:right w:w="0" w:type="dxa"/>
            </w:tcMar>
          </w:tcPr>
          <w:p w14:paraId="2257FF2C" w14:textId="77777777" w:rsidR="00B51FCF" w:rsidRPr="0092668A" w:rsidRDefault="00B51FCF" w:rsidP="0092668A">
            <w:pPr>
              <w:spacing w:before="40" w:after="120"/>
              <w:ind w:right="113"/>
              <w:rPr>
                <w:noProof/>
                <w:lang w:val="fr-FR"/>
              </w:rPr>
            </w:pPr>
            <w:r w:rsidRPr="0092668A">
              <w:rPr>
                <w:noProof/>
                <w:lang w:val="fr-FR"/>
              </w:rPr>
              <w:t>Ex-membres de la bande MS-13 ; droits-communs se réclamant de « La</w:t>
            </w:r>
            <w:r w:rsidR="00205D32">
              <w:rPr>
                <w:noProof/>
                <w:lang w:val="fr-FR"/>
              </w:rPr>
              <w:t> </w:t>
            </w:r>
            <w:r w:rsidRPr="0092668A">
              <w:rPr>
                <w:noProof/>
                <w:lang w:val="fr-FR"/>
              </w:rPr>
              <w:t xml:space="preserve">Raza »; et membres actifs </w:t>
            </w:r>
            <w:r w:rsidR="00205D32">
              <w:rPr>
                <w:noProof/>
                <w:lang w:val="fr-FR"/>
              </w:rPr>
              <w:br/>
            </w:r>
            <w:r w:rsidRPr="0092668A">
              <w:rPr>
                <w:noProof/>
                <w:lang w:val="fr-FR"/>
              </w:rPr>
              <w:t>de la bande Mirada Locos</w:t>
            </w:r>
          </w:p>
        </w:tc>
        <w:tc>
          <w:tcPr>
            <w:tcW w:w="1620" w:type="dxa"/>
            <w:shd w:val="clear" w:color="auto" w:fill="auto"/>
            <w:tcMar>
              <w:top w:w="0" w:type="dxa"/>
              <w:left w:w="0" w:type="dxa"/>
              <w:bottom w:w="0" w:type="dxa"/>
              <w:right w:w="0" w:type="dxa"/>
            </w:tcMar>
          </w:tcPr>
          <w:p w14:paraId="24E50923" w14:textId="77777777" w:rsidR="00B51FCF" w:rsidRPr="0092668A" w:rsidRDefault="00B51FCF" w:rsidP="0092668A">
            <w:pPr>
              <w:spacing w:before="40" w:after="120"/>
              <w:ind w:right="113"/>
              <w:rPr>
                <w:noProof/>
                <w:lang w:val="fr-FR"/>
              </w:rPr>
            </w:pPr>
            <w:r w:rsidRPr="0092668A">
              <w:rPr>
                <w:noProof/>
                <w:lang w:val="fr-FR"/>
              </w:rPr>
              <w:t>Sonsonate</w:t>
            </w:r>
          </w:p>
        </w:tc>
      </w:tr>
      <w:tr w:rsidR="00B51FCF" w:rsidRPr="0092668A" w14:paraId="442CB207" w14:textId="77777777" w:rsidTr="0092668A">
        <w:tc>
          <w:tcPr>
            <w:tcW w:w="506" w:type="dxa"/>
            <w:shd w:val="clear" w:color="auto" w:fill="auto"/>
            <w:tcMar>
              <w:top w:w="0" w:type="dxa"/>
              <w:left w:w="0" w:type="dxa"/>
              <w:bottom w:w="0" w:type="dxa"/>
              <w:right w:w="0" w:type="dxa"/>
            </w:tcMar>
          </w:tcPr>
          <w:p w14:paraId="63962699" w14:textId="77777777" w:rsidR="00B51FCF" w:rsidRPr="0092668A" w:rsidRDefault="00B51FCF" w:rsidP="0092668A">
            <w:pPr>
              <w:spacing w:before="40" w:after="120"/>
              <w:ind w:right="113"/>
              <w:rPr>
                <w:noProof/>
                <w:lang w:val="fr-FR"/>
              </w:rPr>
            </w:pPr>
            <w:r w:rsidRPr="0092668A">
              <w:rPr>
                <w:noProof/>
                <w:lang w:val="fr-FR"/>
              </w:rPr>
              <w:t>7</w:t>
            </w:r>
          </w:p>
        </w:tc>
        <w:tc>
          <w:tcPr>
            <w:tcW w:w="3242" w:type="dxa"/>
            <w:shd w:val="clear" w:color="auto" w:fill="auto"/>
            <w:tcMar>
              <w:top w:w="0" w:type="dxa"/>
              <w:left w:w="0" w:type="dxa"/>
              <w:bottom w:w="0" w:type="dxa"/>
              <w:right w:w="0" w:type="dxa"/>
            </w:tcMar>
          </w:tcPr>
          <w:p w14:paraId="12539C18" w14:textId="77777777" w:rsidR="00B51FCF" w:rsidRPr="0092668A" w:rsidRDefault="00B51FCF" w:rsidP="0092668A">
            <w:pPr>
              <w:spacing w:before="40" w:after="120"/>
              <w:ind w:right="113"/>
              <w:rPr>
                <w:noProof/>
                <w:lang w:val="fr-FR"/>
              </w:rPr>
            </w:pPr>
            <w:r w:rsidRPr="0092668A">
              <w:rPr>
                <w:noProof/>
                <w:lang w:val="fr-FR"/>
              </w:rPr>
              <w:t>Centre pénitentiaire de sécurité de</w:t>
            </w:r>
            <w:r w:rsidR="00205D32">
              <w:rPr>
                <w:noProof/>
                <w:lang w:val="fr-FR"/>
              </w:rPr>
              <w:t> </w:t>
            </w:r>
            <w:r w:rsidRPr="0092668A">
              <w:rPr>
                <w:noProof/>
                <w:lang w:val="fr-FR"/>
              </w:rPr>
              <w:t>Quezaltepeque</w:t>
            </w:r>
          </w:p>
        </w:tc>
        <w:tc>
          <w:tcPr>
            <w:tcW w:w="3136" w:type="dxa"/>
            <w:shd w:val="clear" w:color="auto" w:fill="auto"/>
            <w:tcMar>
              <w:top w:w="0" w:type="dxa"/>
              <w:left w:w="0" w:type="dxa"/>
              <w:bottom w:w="0" w:type="dxa"/>
              <w:right w:w="0" w:type="dxa"/>
            </w:tcMar>
          </w:tcPr>
          <w:p w14:paraId="2C9801DD" w14:textId="77777777" w:rsidR="00B51FCF" w:rsidRPr="0092668A" w:rsidRDefault="00B51FCF" w:rsidP="0092668A">
            <w:pPr>
              <w:spacing w:before="40" w:after="120"/>
              <w:ind w:right="113"/>
              <w:rPr>
                <w:noProof/>
                <w:lang w:val="fr-FR"/>
              </w:rPr>
            </w:pPr>
            <w:r w:rsidRPr="0092668A">
              <w:rPr>
                <w:noProof/>
                <w:lang w:val="fr-FR"/>
              </w:rPr>
              <w:t>Membres actifs de la bande 18</w:t>
            </w:r>
            <w:r w:rsidR="00205D32">
              <w:rPr>
                <w:noProof/>
                <w:lang w:val="fr-FR"/>
              </w:rPr>
              <w:noBreakHyphen/>
            </w:r>
            <w:r w:rsidRPr="0092668A">
              <w:rPr>
                <w:noProof/>
                <w:lang w:val="fr-FR"/>
              </w:rPr>
              <w:t>Revolucionarios (hommes et</w:t>
            </w:r>
            <w:r w:rsidR="00205D32">
              <w:rPr>
                <w:noProof/>
                <w:lang w:val="fr-FR"/>
              </w:rPr>
              <w:t> </w:t>
            </w:r>
            <w:r w:rsidRPr="0092668A">
              <w:rPr>
                <w:noProof/>
                <w:lang w:val="fr-FR"/>
              </w:rPr>
              <w:t>femmes)</w:t>
            </w:r>
          </w:p>
        </w:tc>
        <w:tc>
          <w:tcPr>
            <w:tcW w:w="1620" w:type="dxa"/>
            <w:shd w:val="clear" w:color="auto" w:fill="auto"/>
            <w:tcMar>
              <w:top w:w="0" w:type="dxa"/>
              <w:left w:w="0" w:type="dxa"/>
              <w:bottom w:w="0" w:type="dxa"/>
              <w:right w:w="0" w:type="dxa"/>
            </w:tcMar>
          </w:tcPr>
          <w:p w14:paraId="5E8C3727" w14:textId="77777777" w:rsidR="00B51FCF" w:rsidRPr="0092668A" w:rsidRDefault="00B51FCF" w:rsidP="0092668A">
            <w:pPr>
              <w:spacing w:before="40" w:after="120"/>
              <w:ind w:right="113"/>
              <w:rPr>
                <w:noProof/>
                <w:lang w:val="fr-FR"/>
              </w:rPr>
            </w:pPr>
            <w:r w:rsidRPr="0092668A">
              <w:rPr>
                <w:noProof/>
                <w:lang w:val="fr-FR"/>
              </w:rPr>
              <w:t>Quezaltepeque (</w:t>
            </w:r>
            <w:r w:rsidR="00B74239" w:rsidRPr="0092668A">
              <w:rPr>
                <w:noProof/>
                <w:lang w:val="fr-FR"/>
              </w:rPr>
              <w:t>département</w:t>
            </w:r>
            <w:r w:rsidRPr="0092668A">
              <w:rPr>
                <w:noProof/>
                <w:lang w:val="fr-FR"/>
              </w:rPr>
              <w:t xml:space="preserve"> </w:t>
            </w:r>
            <w:r w:rsidR="00B74239">
              <w:rPr>
                <w:noProof/>
                <w:lang w:val="fr-FR"/>
              </w:rPr>
              <w:br/>
            </w:r>
            <w:r w:rsidRPr="0092668A">
              <w:rPr>
                <w:noProof/>
                <w:lang w:val="fr-FR"/>
              </w:rPr>
              <w:t>de La Libertad)</w:t>
            </w:r>
          </w:p>
        </w:tc>
      </w:tr>
      <w:tr w:rsidR="00B51FCF" w:rsidRPr="0092668A" w14:paraId="595792E2" w14:textId="77777777" w:rsidTr="0092668A">
        <w:tc>
          <w:tcPr>
            <w:tcW w:w="506" w:type="dxa"/>
            <w:shd w:val="clear" w:color="auto" w:fill="auto"/>
            <w:tcMar>
              <w:top w:w="0" w:type="dxa"/>
              <w:left w:w="0" w:type="dxa"/>
              <w:bottom w:w="0" w:type="dxa"/>
              <w:right w:w="0" w:type="dxa"/>
            </w:tcMar>
          </w:tcPr>
          <w:p w14:paraId="01B68EBD" w14:textId="77777777" w:rsidR="00B51FCF" w:rsidRPr="0092668A" w:rsidRDefault="00B51FCF" w:rsidP="0092668A">
            <w:pPr>
              <w:spacing w:before="40" w:after="120"/>
              <w:ind w:right="113"/>
              <w:rPr>
                <w:noProof/>
                <w:lang w:val="fr-FR"/>
              </w:rPr>
            </w:pPr>
            <w:r w:rsidRPr="0092668A">
              <w:rPr>
                <w:noProof/>
                <w:lang w:val="fr-FR"/>
              </w:rPr>
              <w:t>8</w:t>
            </w:r>
          </w:p>
        </w:tc>
        <w:tc>
          <w:tcPr>
            <w:tcW w:w="3242" w:type="dxa"/>
            <w:shd w:val="clear" w:color="auto" w:fill="auto"/>
            <w:tcMar>
              <w:top w:w="0" w:type="dxa"/>
              <w:left w:w="0" w:type="dxa"/>
              <w:bottom w:w="0" w:type="dxa"/>
              <w:right w:w="0" w:type="dxa"/>
            </w:tcMar>
          </w:tcPr>
          <w:p w14:paraId="538E941E" w14:textId="77777777" w:rsidR="00B51FCF" w:rsidRPr="0092668A" w:rsidRDefault="00B51FCF" w:rsidP="0092668A">
            <w:pPr>
              <w:spacing w:before="40" w:after="120"/>
              <w:ind w:right="113"/>
              <w:rPr>
                <w:noProof/>
                <w:lang w:val="fr-FR"/>
              </w:rPr>
            </w:pPr>
            <w:r w:rsidRPr="0092668A">
              <w:rPr>
                <w:noProof/>
                <w:lang w:val="fr-FR"/>
              </w:rPr>
              <w:t>Centre pénitentiaire de sécurité de</w:t>
            </w:r>
            <w:r w:rsidR="00205D32">
              <w:rPr>
                <w:noProof/>
                <w:lang w:val="fr-FR"/>
              </w:rPr>
              <w:t> </w:t>
            </w:r>
            <w:r w:rsidRPr="0092668A">
              <w:rPr>
                <w:noProof/>
                <w:lang w:val="fr-FR"/>
              </w:rPr>
              <w:t>Chalatenango</w:t>
            </w:r>
          </w:p>
        </w:tc>
        <w:tc>
          <w:tcPr>
            <w:tcW w:w="3136" w:type="dxa"/>
            <w:shd w:val="clear" w:color="auto" w:fill="auto"/>
            <w:tcMar>
              <w:top w:w="0" w:type="dxa"/>
              <w:left w:w="0" w:type="dxa"/>
              <w:bottom w:w="0" w:type="dxa"/>
              <w:right w:w="0" w:type="dxa"/>
            </w:tcMar>
          </w:tcPr>
          <w:p w14:paraId="1FD52A3B" w14:textId="77777777" w:rsidR="00B51FCF" w:rsidRPr="0092668A" w:rsidRDefault="00B51FCF" w:rsidP="0092668A">
            <w:pPr>
              <w:spacing w:before="40" w:after="120"/>
              <w:ind w:right="113"/>
              <w:rPr>
                <w:noProof/>
                <w:lang w:val="fr-FR"/>
              </w:rPr>
            </w:pPr>
            <w:r w:rsidRPr="0092668A">
              <w:rPr>
                <w:noProof/>
                <w:lang w:val="fr-FR"/>
              </w:rPr>
              <w:t>Membres actifs de la bande MS-13 (hommes)</w:t>
            </w:r>
          </w:p>
        </w:tc>
        <w:tc>
          <w:tcPr>
            <w:tcW w:w="1620" w:type="dxa"/>
            <w:shd w:val="clear" w:color="auto" w:fill="auto"/>
            <w:tcMar>
              <w:top w:w="0" w:type="dxa"/>
              <w:left w:w="0" w:type="dxa"/>
              <w:bottom w:w="0" w:type="dxa"/>
              <w:right w:w="0" w:type="dxa"/>
            </w:tcMar>
          </w:tcPr>
          <w:p w14:paraId="4FC1D00E" w14:textId="77777777" w:rsidR="00B51FCF" w:rsidRPr="0092668A" w:rsidRDefault="00B51FCF" w:rsidP="0092668A">
            <w:pPr>
              <w:spacing w:before="40" w:after="120"/>
              <w:ind w:right="113"/>
              <w:rPr>
                <w:noProof/>
                <w:lang w:val="fr-FR"/>
              </w:rPr>
            </w:pPr>
            <w:r w:rsidRPr="0092668A">
              <w:rPr>
                <w:noProof/>
                <w:lang w:val="fr-FR"/>
              </w:rPr>
              <w:t>Chalatenango</w:t>
            </w:r>
          </w:p>
        </w:tc>
      </w:tr>
      <w:tr w:rsidR="00B51FCF" w:rsidRPr="0092668A" w14:paraId="3EB1E17D" w14:textId="77777777" w:rsidTr="0092668A">
        <w:tc>
          <w:tcPr>
            <w:tcW w:w="506" w:type="dxa"/>
            <w:shd w:val="clear" w:color="auto" w:fill="auto"/>
            <w:tcMar>
              <w:top w:w="0" w:type="dxa"/>
              <w:left w:w="0" w:type="dxa"/>
              <w:bottom w:w="0" w:type="dxa"/>
              <w:right w:w="0" w:type="dxa"/>
            </w:tcMar>
          </w:tcPr>
          <w:p w14:paraId="0FAAD43A" w14:textId="77777777" w:rsidR="00B51FCF" w:rsidRPr="0092668A" w:rsidRDefault="00B51FCF" w:rsidP="0092668A">
            <w:pPr>
              <w:spacing w:before="40" w:after="120"/>
              <w:ind w:right="113"/>
              <w:rPr>
                <w:noProof/>
                <w:lang w:val="fr-FR"/>
              </w:rPr>
            </w:pPr>
            <w:bookmarkStart w:id="11" w:name="_Hlk42511553"/>
            <w:r w:rsidRPr="0092668A">
              <w:rPr>
                <w:noProof/>
                <w:lang w:val="fr-FR"/>
              </w:rPr>
              <w:t>9</w:t>
            </w:r>
          </w:p>
        </w:tc>
        <w:tc>
          <w:tcPr>
            <w:tcW w:w="3242" w:type="dxa"/>
            <w:shd w:val="clear" w:color="auto" w:fill="auto"/>
            <w:tcMar>
              <w:top w:w="0" w:type="dxa"/>
              <w:left w:w="0" w:type="dxa"/>
              <w:bottom w:w="0" w:type="dxa"/>
              <w:right w:w="0" w:type="dxa"/>
            </w:tcMar>
          </w:tcPr>
          <w:p w14:paraId="279C6CAB" w14:textId="77777777" w:rsidR="00B51FCF" w:rsidRPr="0092668A" w:rsidRDefault="00B51FCF" w:rsidP="0092668A">
            <w:pPr>
              <w:spacing w:before="40" w:after="120"/>
              <w:ind w:right="113"/>
              <w:rPr>
                <w:noProof/>
                <w:lang w:val="fr-FR"/>
              </w:rPr>
            </w:pPr>
            <w:r w:rsidRPr="0092668A">
              <w:rPr>
                <w:noProof/>
                <w:lang w:val="fr-FR"/>
              </w:rPr>
              <w:t>Centre d</w:t>
            </w:r>
            <w:r w:rsidR="002A5D78">
              <w:rPr>
                <w:noProof/>
                <w:lang w:val="fr-FR"/>
              </w:rPr>
              <w:t>’</w:t>
            </w:r>
            <w:r w:rsidRPr="0092668A">
              <w:rPr>
                <w:noProof/>
                <w:lang w:val="fr-FR"/>
              </w:rPr>
              <w:t>exécution des peines de</w:t>
            </w:r>
            <w:r w:rsidR="00205D32">
              <w:rPr>
                <w:noProof/>
                <w:lang w:val="fr-FR"/>
              </w:rPr>
              <w:t> </w:t>
            </w:r>
            <w:r w:rsidRPr="0092668A">
              <w:rPr>
                <w:noProof/>
                <w:lang w:val="fr-FR"/>
              </w:rPr>
              <w:t>Sensuntepeque</w:t>
            </w:r>
          </w:p>
        </w:tc>
        <w:tc>
          <w:tcPr>
            <w:tcW w:w="3136" w:type="dxa"/>
            <w:shd w:val="clear" w:color="auto" w:fill="auto"/>
            <w:tcMar>
              <w:top w:w="0" w:type="dxa"/>
              <w:left w:w="0" w:type="dxa"/>
              <w:bottom w:w="0" w:type="dxa"/>
              <w:right w:w="0" w:type="dxa"/>
            </w:tcMar>
          </w:tcPr>
          <w:p w14:paraId="3701AD6B" w14:textId="77777777" w:rsidR="00B51FCF" w:rsidRPr="0092668A" w:rsidRDefault="00967F69" w:rsidP="0092668A">
            <w:pPr>
              <w:spacing w:before="40" w:after="120"/>
              <w:ind w:right="113"/>
              <w:rPr>
                <w:noProof/>
                <w:lang w:val="fr-FR"/>
              </w:rPr>
            </w:pPr>
            <w:r w:rsidRPr="00967F69">
              <w:rPr>
                <w:noProof/>
              </w:rPr>
              <w:t>Détenus de droit commun; membres de la bande 18-Sureñas (femmes) et homosexuels</w:t>
            </w:r>
            <w:r w:rsidRPr="00967F69">
              <w:rPr>
                <w:noProof/>
                <w:lang w:val="fr-FR"/>
              </w:rPr>
              <w:t xml:space="preserve"> </w:t>
            </w:r>
          </w:p>
        </w:tc>
        <w:tc>
          <w:tcPr>
            <w:tcW w:w="1620" w:type="dxa"/>
            <w:shd w:val="clear" w:color="auto" w:fill="auto"/>
            <w:tcMar>
              <w:top w:w="0" w:type="dxa"/>
              <w:left w:w="0" w:type="dxa"/>
              <w:bottom w:w="0" w:type="dxa"/>
              <w:right w:w="0" w:type="dxa"/>
            </w:tcMar>
          </w:tcPr>
          <w:p w14:paraId="5666BEC8" w14:textId="77777777" w:rsidR="00B51FCF" w:rsidRPr="0092668A" w:rsidRDefault="00967F69" w:rsidP="0092668A">
            <w:pPr>
              <w:spacing w:before="40" w:after="120"/>
              <w:ind w:right="113"/>
              <w:rPr>
                <w:noProof/>
                <w:lang w:val="fr-FR"/>
              </w:rPr>
            </w:pPr>
            <w:r w:rsidRPr="00967F69">
              <w:rPr>
                <w:noProof/>
                <w:lang w:val="es-ES_tradnl"/>
              </w:rPr>
              <w:t>Km. 83, Carretera a San Salvador, Cabañas</w:t>
            </w:r>
          </w:p>
        </w:tc>
      </w:tr>
      <w:bookmarkEnd w:id="11"/>
      <w:tr w:rsidR="00B51FCF" w:rsidRPr="0092668A" w14:paraId="5840036D" w14:textId="77777777" w:rsidTr="0092668A">
        <w:tc>
          <w:tcPr>
            <w:tcW w:w="506" w:type="dxa"/>
            <w:shd w:val="clear" w:color="auto" w:fill="auto"/>
            <w:tcMar>
              <w:top w:w="0" w:type="dxa"/>
              <w:left w:w="0" w:type="dxa"/>
              <w:bottom w:w="0" w:type="dxa"/>
              <w:right w:w="0" w:type="dxa"/>
            </w:tcMar>
          </w:tcPr>
          <w:p w14:paraId="4924424A" w14:textId="77777777" w:rsidR="00B51FCF" w:rsidRPr="0092668A" w:rsidRDefault="00B51FCF" w:rsidP="0092668A">
            <w:pPr>
              <w:spacing w:before="40" w:after="120"/>
              <w:ind w:right="113"/>
              <w:rPr>
                <w:noProof/>
                <w:lang w:val="fr-FR"/>
              </w:rPr>
            </w:pPr>
            <w:r w:rsidRPr="0092668A">
              <w:rPr>
                <w:noProof/>
                <w:lang w:val="fr-FR"/>
              </w:rPr>
              <w:t>10</w:t>
            </w:r>
          </w:p>
        </w:tc>
        <w:tc>
          <w:tcPr>
            <w:tcW w:w="3242" w:type="dxa"/>
            <w:shd w:val="clear" w:color="auto" w:fill="auto"/>
            <w:tcMar>
              <w:top w:w="0" w:type="dxa"/>
              <w:left w:w="0" w:type="dxa"/>
              <w:bottom w:w="0" w:type="dxa"/>
              <w:right w:w="0" w:type="dxa"/>
            </w:tcMar>
          </w:tcPr>
          <w:p w14:paraId="0F0FEE79" w14:textId="77777777" w:rsidR="00B51FCF" w:rsidRPr="0092668A" w:rsidRDefault="00B51FCF" w:rsidP="0092668A">
            <w:pPr>
              <w:spacing w:before="40" w:after="120"/>
              <w:ind w:right="113"/>
              <w:rPr>
                <w:noProof/>
                <w:lang w:val="fr-FR"/>
              </w:rPr>
            </w:pPr>
            <w:r w:rsidRPr="0092668A">
              <w:rPr>
                <w:noProof/>
                <w:lang w:val="fr-FR"/>
              </w:rPr>
              <w:t>Centre d</w:t>
            </w:r>
            <w:r w:rsidR="002A5D78">
              <w:rPr>
                <w:noProof/>
                <w:lang w:val="fr-FR"/>
              </w:rPr>
              <w:t>’</w:t>
            </w:r>
            <w:r w:rsidRPr="0092668A">
              <w:rPr>
                <w:noProof/>
                <w:lang w:val="fr-FR"/>
              </w:rPr>
              <w:t>exécution des peines d</w:t>
            </w:r>
            <w:r w:rsidR="002A5D78">
              <w:rPr>
                <w:noProof/>
                <w:lang w:val="fr-FR"/>
              </w:rPr>
              <w:t>’</w:t>
            </w:r>
            <w:r w:rsidRPr="0092668A">
              <w:rPr>
                <w:noProof/>
                <w:lang w:val="fr-FR"/>
              </w:rPr>
              <w:t>Usulután</w:t>
            </w:r>
          </w:p>
        </w:tc>
        <w:tc>
          <w:tcPr>
            <w:tcW w:w="3136" w:type="dxa"/>
            <w:shd w:val="clear" w:color="auto" w:fill="auto"/>
            <w:tcMar>
              <w:top w:w="0" w:type="dxa"/>
              <w:left w:w="0" w:type="dxa"/>
              <w:bottom w:w="0" w:type="dxa"/>
              <w:right w:w="0" w:type="dxa"/>
            </w:tcMar>
          </w:tcPr>
          <w:p w14:paraId="713C4669" w14:textId="77777777" w:rsidR="00B51FCF" w:rsidRPr="0092668A" w:rsidRDefault="00B51FCF" w:rsidP="0092668A">
            <w:pPr>
              <w:spacing w:before="40" w:after="120"/>
              <w:ind w:right="113"/>
              <w:rPr>
                <w:noProof/>
                <w:lang w:val="fr-FR"/>
              </w:rPr>
            </w:pPr>
            <w:r w:rsidRPr="0092668A">
              <w:rPr>
                <w:noProof/>
                <w:lang w:val="fr-FR"/>
              </w:rPr>
              <w:t>Condamnés de droit commun (hommes)</w:t>
            </w:r>
          </w:p>
        </w:tc>
        <w:tc>
          <w:tcPr>
            <w:tcW w:w="1620" w:type="dxa"/>
            <w:shd w:val="clear" w:color="auto" w:fill="auto"/>
            <w:tcMar>
              <w:top w:w="0" w:type="dxa"/>
              <w:left w:w="0" w:type="dxa"/>
              <w:bottom w:w="0" w:type="dxa"/>
              <w:right w:w="0" w:type="dxa"/>
            </w:tcMar>
          </w:tcPr>
          <w:p w14:paraId="30661BAA" w14:textId="77777777" w:rsidR="00B51FCF" w:rsidRPr="0092668A" w:rsidRDefault="00B51FCF" w:rsidP="0092668A">
            <w:pPr>
              <w:spacing w:before="40" w:after="120"/>
              <w:ind w:right="113"/>
              <w:rPr>
                <w:noProof/>
                <w:lang w:val="fr-FR"/>
              </w:rPr>
            </w:pPr>
            <w:r w:rsidRPr="0092668A">
              <w:rPr>
                <w:noProof/>
                <w:lang w:val="fr-FR"/>
              </w:rPr>
              <w:t>Usulután</w:t>
            </w:r>
          </w:p>
        </w:tc>
      </w:tr>
      <w:tr w:rsidR="00B51FCF" w:rsidRPr="0092668A" w14:paraId="60F59FA5" w14:textId="77777777" w:rsidTr="0092668A">
        <w:tc>
          <w:tcPr>
            <w:tcW w:w="506" w:type="dxa"/>
            <w:shd w:val="clear" w:color="auto" w:fill="auto"/>
            <w:tcMar>
              <w:top w:w="0" w:type="dxa"/>
              <w:left w:w="0" w:type="dxa"/>
              <w:bottom w:w="0" w:type="dxa"/>
              <w:right w:w="0" w:type="dxa"/>
            </w:tcMar>
          </w:tcPr>
          <w:p w14:paraId="2AD04F0E" w14:textId="77777777" w:rsidR="00B51FCF" w:rsidRPr="0092668A" w:rsidRDefault="00B51FCF" w:rsidP="0092668A">
            <w:pPr>
              <w:spacing w:before="40" w:after="120"/>
              <w:ind w:right="113"/>
              <w:rPr>
                <w:noProof/>
                <w:lang w:val="fr-FR"/>
              </w:rPr>
            </w:pPr>
            <w:r w:rsidRPr="0092668A">
              <w:rPr>
                <w:noProof/>
                <w:lang w:val="fr-FR"/>
              </w:rPr>
              <w:t>11</w:t>
            </w:r>
          </w:p>
        </w:tc>
        <w:tc>
          <w:tcPr>
            <w:tcW w:w="3242" w:type="dxa"/>
            <w:shd w:val="clear" w:color="auto" w:fill="auto"/>
            <w:tcMar>
              <w:top w:w="0" w:type="dxa"/>
              <w:left w:w="0" w:type="dxa"/>
              <w:bottom w:w="0" w:type="dxa"/>
              <w:right w:w="0" w:type="dxa"/>
            </w:tcMar>
          </w:tcPr>
          <w:p w14:paraId="1475997D" w14:textId="77777777" w:rsidR="00B51FCF" w:rsidRPr="0092668A" w:rsidRDefault="00B51FCF" w:rsidP="0092668A">
            <w:pPr>
              <w:spacing w:before="40" w:after="120"/>
              <w:ind w:right="113"/>
              <w:rPr>
                <w:noProof/>
                <w:lang w:val="fr-FR"/>
              </w:rPr>
            </w:pPr>
            <w:r w:rsidRPr="0092668A">
              <w:rPr>
                <w:noProof/>
                <w:lang w:val="fr-FR"/>
              </w:rPr>
              <w:t>Centre de détention provisoire de</w:t>
            </w:r>
            <w:r w:rsidR="00205D32">
              <w:rPr>
                <w:noProof/>
                <w:lang w:val="fr-FR"/>
              </w:rPr>
              <w:t> </w:t>
            </w:r>
            <w:r w:rsidRPr="0092668A">
              <w:rPr>
                <w:noProof/>
                <w:lang w:val="fr-FR"/>
              </w:rPr>
              <w:t>Jucuapa</w:t>
            </w:r>
          </w:p>
        </w:tc>
        <w:tc>
          <w:tcPr>
            <w:tcW w:w="3136" w:type="dxa"/>
            <w:shd w:val="clear" w:color="auto" w:fill="auto"/>
            <w:tcMar>
              <w:top w:w="0" w:type="dxa"/>
              <w:left w:w="0" w:type="dxa"/>
              <w:bottom w:w="0" w:type="dxa"/>
              <w:right w:w="0" w:type="dxa"/>
            </w:tcMar>
          </w:tcPr>
          <w:p w14:paraId="7E8E1C3C" w14:textId="77777777" w:rsidR="00B51FCF" w:rsidRPr="0092668A" w:rsidRDefault="00B51FCF" w:rsidP="0092668A">
            <w:pPr>
              <w:spacing w:before="40" w:after="120"/>
              <w:ind w:right="113"/>
              <w:rPr>
                <w:noProof/>
                <w:lang w:val="fr-FR"/>
              </w:rPr>
            </w:pPr>
            <w:r w:rsidRPr="0092668A">
              <w:rPr>
                <w:noProof/>
                <w:lang w:val="fr-FR"/>
              </w:rPr>
              <w:t>Accusés d</w:t>
            </w:r>
            <w:r w:rsidR="002A5D78">
              <w:rPr>
                <w:noProof/>
                <w:lang w:val="fr-FR"/>
              </w:rPr>
              <w:t>’</w:t>
            </w:r>
            <w:r w:rsidRPr="0092668A">
              <w:rPr>
                <w:noProof/>
                <w:lang w:val="fr-FR"/>
              </w:rPr>
              <w:t>une infraction de droit commun (hommes)</w:t>
            </w:r>
          </w:p>
        </w:tc>
        <w:tc>
          <w:tcPr>
            <w:tcW w:w="1620" w:type="dxa"/>
            <w:shd w:val="clear" w:color="auto" w:fill="auto"/>
            <w:tcMar>
              <w:top w:w="0" w:type="dxa"/>
              <w:left w:w="0" w:type="dxa"/>
              <w:bottom w:w="0" w:type="dxa"/>
              <w:right w:w="0" w:type="dxa"/>
            </w:tcMar>
          </w:tcPr>
          <w:p w14:paraId="2CDE231B" w14:textId="77777777" w:rsidR="00B51FCF" w:rsidRPr="0092668A" w:rsidRDefault="00B51FCF" w:rsidP="0092668A">
            <w:pPr>
              <w:spacing w:before="40" w:after="120"/>
              <w:ind w:right="113"/>
              <w:rPr>
                <w:noProof/>
                <w:lang w:val="fr-FR"/>
              </w:rPr>
            </w:pPr>
            <w:r w:rsidRPr="0092668A">
              <w:rPr>
                <w:noProof/>
                <w:lang w:val="fr-FR"/>
              </w:rPr>
              <w:t>Jucuapa (</w:t>
            </w:r>
            <w:r w:rsidR="00B74239" w:rsidRPr="0092668A">
              <w:rPr>
                <w:noProof/>
                <w:lang w:val="fr-FR"/>
              </w:rPr>
              <w:t>département</w:t>
            </w:r>
            <w:r w:rsidRPr="0092668A">
              <w:rPr>
                <w:noProof/>
                <w:lang w:val="fr-FR"/>
              </w:rPr>
              <w:t xml:space="preserve"> d</w:t>
            </w:r>
            <w:r w:rsidR="002A5D78">
              <w:rPr>
                <w:noProof/>
                <w:lang w:val="fr-FR"/>
              </w:rPr>
              <w:t>’</w:t>
            </w:r>
            <w:r w:rsidRPr="0092668A">
              <w:rPr>
                <w:noProof/>
                <w:lang w:val="fr-FR"/>
              </w:rPr>
              <w:t>Usulután)</w:t>
            </w:r>
          </w:p>
        </w:tc>
      </w:tr>
      <w:tr w:rsidR="00B51FCF" w:rsidRPr="0092668A" w14:paraId="6E9656F0" w14:textId="77777777" w:rsidTr="0092668A">
        <w:tc>
          <w:tcPr>
            <w:tcW w:w="506" w:type="dxa"/>
            <w:shd w:val="clear" w:color="auto" w:fill="auto"/>
            <w:tcMar>
              <w:top w:w="0" w:type="dxa"/>
              <w:left w:w="0" w:type="dxa"/>
              <w:bottom w:w="0" w:type="dxa"/>
              <w:right w:w="0" w:type="dxa"/>
            </w:tcMar>
          </w:tcPr>
          <w:p w14:paraId="49FA58CE" w14:textId="77777777" w:rsidR="00B51FCF" w:rsidRPr="0092668A" w:rsidRDefault="00B51FCF" w:rsidP="0092668A">
            <w:pPr>
              <w:spacing w:before="40" w:after="120"/>
              <w:ind w:right="113"/>
              <w:rPr>
                <w:noProof/>
                <w:lang w:val="fr-FR"/>
              </w:rPr>
            </w:pPr>
            <w:r w:rsidRPr="0092668A">
              <w:rPr>
                <w:noProof/>
                <w:lang w:val="fr-FR"/>
              </w:rPr>
              <w:t>12</w:t>
            </w:r>
          </w:p>
        </w:tc>
        <w:tc>
          <w:tcPr>
            <w:tcW w:w="3242" w:type="dxa"/>
            <w:shd w:val="clear" w:color="auto" w:fill="auto"/>
            <w:tcMar>
              <w:top w:w="0" w:type="dxa"/>
              <w:left w:w="0" w:type="dxa"/>
              <w:bottom w:w="0" w:type="dxa"/>
              <w:right w:w="0" w:type="dxa"/>
            </w:tcMar>
          </w:tcPr>
          <w:p w14:paraId="242DA4D7" w14:textId="77777777" w:rsidR="00B51FCF" w:rsidRPr="0092668A" w:rsidRDefault="00B51FCF" w:rsidP="0092668A">
            <w:pPr>
              <w:spacing w:before="40" w:after="120"/>
              <w:ind w:right="113"/>
              <w:rPr>
                <w:noProof/>
                <w:lang w:val="fr-FR"/>
              </w:rPr>
            </w:pPr>
            <w:r w:rsidRPr="0092668A">
              <w:rPr>
                <w:noProof/>
                <w:lang w:val="fr-FR"/>
              </w:rPr>
              <w:t>Centre pénitentiaire de sécurité de</w:t>
            </w:r>
            <w:r w:rsidR="00205D32">
              <w:rPr>
                <w:noProof/>
                <w:lang w:val="fr-FR"/>
              </w:rPr>
              <w:t> </w:t>
            </w:r>
            <w:r w:rsidRPr="0092668A">
              <w:rPr>
                <w:noProof/>
                <w:lang w:val="fr-FR"/>
              </w:rPr>
              <w:t>Ciudad Barrios</w:t>
            </w:r>
          </w:p>
        </w:tc>
        <w:tc>
          <w:tcPr>
            <w:tcW w:w="3136" w:type="dxa"/>
            <w:shd w:val="clear" w:color="auto" w:fill="auto"/>
            <w:tcMar>
              <w:top w:w="0" w:type="dxa"/>
              <w:left w:w="0" w:type="dxa"/>
              <w:bottom w:w="0" w:type="dxa"/>
              <w:right w:w="0" w:type="dxa"/>
            </w:tcMar>
          </w:tcPr>
          <w:p w14:paraId="061982F5" w14:textId="77777777" w:rsidR="00B51FCF" w:rsidRPr="0092668A" w:rsidRDefault="00B51FCF" w:rsidP="0092668A">
            <w:pPr>
              <w:spacing w:before="40" w:after="120"/>
              <w:ind w:right="113"/>
              <w:rPr>
                <w:noProof/>
                <w:lang w:val="fr-FR"/>
              </w:rPr>
            </w:pPr>
            <w:r w:rsidRPr="0092668A">
              <w:rPr>
                <w:noProof/>
                <w:lang w:val="fr-FR"/>
              </w:rPr>
              <w:t>Membres actifs de la bande MS-13 (hommes)</w:t>
            </w:r>
          </w:p>
        </w:tc>
        <w:tc>
          <w:tcPr>
            <w:tcW w:w="1620" w:type="dxa"/>
            <w:shd w:val="clear" w:color="auto" w:fill="auto"/>
            <w:tcMar>
              <w:top w:w="0" w:type="dxa"/>
              <w:left w:w="0" w:type="dxa"/>
              <w:bottom w:w="0" w:type="dxa"/>
              <w:right w:w="0" w:type="dxa"/>
            </w:tcMar>
          </w:tcPr>
          <w:p w14:paraId="1BC1A2FC" w14:textId="77777777" w:rsidR="00B51FCF" w:rsidRPr="0092668A" w:rsidRDefault="00B51FCF" w:rsidP="0092668A">
            <w:pPr>
              <w:spacing w:before="40" w:after="120"/>
              <w:ind w:right="113"/>
              <w:rPr>
                <w:noProof/>
                <w:lang w:val="fr-FR"/>
              </w:rPr>
            </w:pPr>
            <w:r w:rsidRPr="0092668A">
              <w:rPr>
                <w:noProof/>
                <w:lang w:val="fr-FR"/>
              </w:rPr>
              <w:t>Ciudad Barrios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San Miguel)</w:t>
            </w:r>
          </w:p>
        </w:tc>
      </w:tr>
      <w:tr w:rsidR="00B51FCF" w:rsidRPr="0092668A" w14:paraId="14F45560" w14:textId="77777777" w:rsidTr="0092668A">
        <w:tc>
          <w:tcPr>
            <w:tcW w:w="506" w:type="dxa"/>
            <w:shd w:val="clear" w:color="auto" w:fill="auto"/>
            <w:tcMar>
              <w:top w:w="0" w:type="dxa"/>
              <w:left w:w="0" w:type="dxa"/>
              <w:bottom w:w="0" w:type="dxa"/>
              <w:right w:w="0" w:type="dxa"/>
            </w:tcMar>
          </w:tcPr>
          <w:p w14:paraId="18923AA3" w14:textId="77777777" w:rsidR="00B51FCF" w:rsidRPr="0092668A" w:rsidRDefault="00B51FCF" w:rsidP="0092668A">
            <w:pPr>
              <w:spacing w:before="40" w:after="120"/>
              <w:ind w:right="113"/>
              <w:rPr>
                <w:noProof/>
                <w:lang w:val="fr-FR"/>
              </w:rPr>
            </w:pPr>
            <w:r w:rsidRPr="0092668A">
              <w:rPr>
                <w:noProof/>
                <w:lang w:val="fr-FR"/>
              </w:rPr>
              <w:t>13</w:t>
            </w:r>
          </w:p>
        </w:tc>
        <w:tc>
          <w:tcPr>
            <w:tcW w:w="3242" w:type="dxa"/>
            <w:shd w:val="clear" w:color="auto" w:fill="auto"/>
            <w:tcMar>
              <w:top w:w="0" w:type="dxa"/>
              <w:left w:w="0" w:type="dxa"/>
              <w:bottom w:w="0" w:type="dxa"/>
              <w:right w:w="0" w:type="dxa"/>
            </w:tcMar>
          </w:tcPr>
          <w:p w14:paraId="3CE04606"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de San Miguel</w:t>
            </w:r>
          </w:p>
        </w:tc>
        <w:tc>
          <w:tcPr>
            <w:tcW w:w="3136" w:type="dxa"/>
            <w:shd w:val="clear" w:color="auto" w:fill="auto"/>
            <w:tcMar>
              <w:top w:w="0" w:type="dxa"/>
              <w:left w:w="0" w:type="dxa"/>
              <w:bottom w:w="0" w:type="dxa"/>
              <w:right w:w="0" w:type="dxa"/>
            </w:tcMar>
          </w:tcPr>
          <w:p w14:paraId="02EB209C" w14:textId="77777777" w:rsidR="00B51FCF" w:rsidRPr="0092668A" w:rsidRDefault="00B51FCF" w:rsidP="0092668A">
            <w:pPr>
              <w:spacing w:before="40" w:after="120"/>
              <w:ind w:right="113"/>
              <w:rPr>
                <w:noProof/>
                <w:lang w:val="fr-FR"/>
              </w:rPr>
            </w:pPr>
            <w:r w:rsidRPr="0092668A">
              <w:rPr>
                <w:noProof/>
                <w:lang w:val="fr-FR"/>
              </w:rPr>
              <w:t>Droits-communs (hommes et</w:t>
            </w:r>
            <w:r w:rsidR="002A5D78">
              <w:rPr>
                <w:noProof/>
                <w:lang w:val="fr-FR"/>
              </w:rPr>
              <w:t> </w:t>
            </w:r>
            <w:r w:rsidRPr="0092668A">
              <w:rPr>
                <w:noProof/>
                <w:lang w:val="fr-FR"/>
              </w:rPr>
              <w:t>femmes)</w:t>
            </w:r>
          </w:p>
        </w:tc>
        <w:tc>
          <w:tcPr>
            <w:tcW w:w="1620" w:type="dxa"/>
            <w:shd w:val="clear" w:color="auto" w:fill="auto"/>
            <w:tcMar>
              <w:top w:w="0" w:type="dxa"/>
              <w:left w:w="0" w:type="dxa"/>
              <w:bottom w:w="0" w:type="dxa"/>
              <w:right w:w="0" w:type="dxa"/>
            </w:tcMar>
          </w:tcPr>
          <w:p w14:paraId="114EBEA4" w14:textId="77777777" w:rsidR="00B51FCF" w:rsidRPr="0092668A" w:rsidRDefault="00B51FCF" w:rsidP="0092668A">
            <w:pPr>
              <w:spacing w:before="40" w:after="120"/>
              <w:ind w:right="113"/>
              <w:rPr>
                <w:noProof/>
                <w:lang w:val="fr-FR"/>
              </w:rPr>
            </w:pPr>
            <w:r w:rsidRPr="0092668A">
              <w:rPr>
                <w:noProof/>
                <w:lang w:val="fr-FR"/>
              </w:rPr>
              <w:t>San Miguel</w:t>
            </w:r>
          </w:p>
        </w:tc>
      </w:tr>
      <w:tr w:rsidR="00B51FCF" w:rsidRPr="0092668A" w14:paraId="5F2145E7" w14:textId="77777777" w:rsidTr="0092668A">
        <w:tc>
          <w:tcPr>
            <w:tcW w:w="506" w:type="dxa"/>
            <w:shd w:val="clear" w:color="auto" w:fill="auto"/>
            <w:tcMar>
              <w:top w:w="0" w:type="dxa"/>
              <w:left w:w="0" w:type="dxa"/>
              <w:bottom w:w="0" w:type="dxa"/>
              <w:right w:w="0" w:type="dxa"/>
            </w:tcMar>
          </w:tcPr>
          <w:p w14:paraId="7C7C0C67" w14:textId="77777777" w:rsidR="00B51FCF" w:rsidRPr="0092668A" w:rsidRDefault="00B51FCF" w:rsidP="0092668A">
            <w:pPr>
              <w:spacing w:before="40" w:after="120"/>
              <w:ind w:right="113"/>
              <w:rPr>
                <w:noProof/>
                <w:lang w:val="fr-FR"/>
              </w:rPr>
            </w:pPr>
            <w:r w:rsidRPr="0092668A">
              <w:rPr>
                <w:noProof/>
                <w:lang w:val="fr-FR"/>
              </w:rPr>
              <w:t>14</w:t>
            </w:r>
          </w:p>
        </w:tc>
        <w:tc>
          <w:tcPr>
            <w:tcW w:w="3242" w:type="dxa"/>
            <w:shd w:val="clear" w:color="auto" w:fill="auto"/>
            <w:tcMar>
              <w:top w:w="0" w:type="dxa"/>
              <w:left w:w="0" w:type="dxa"/>
              <w:bottom w:w="0" w:type="dxa"/>
              <w:right w:w="0" w:type="dxa"/>
            </w:tcMar>
          </w:tcPr>
          <w:p w14:paraId="3DF4C507" w14:textId="77777777" w:rsidR="00B51FCF" w:rsidRPr="0092668A" w:rsidRDefault="00B51FCF" w:rsidP="0092668A">
            <w:pPr>
              <w:spacing w:before="40" w:after="120"/>
              <w:ind w:right="113"/>
              <w:rPr>
                <w:noProof/>
                <w:lang w:val="fr-FR"/>
              </w:rPr>
            </w:pPr>
            <w:r w:rsidRPr="0092668A">
              <w:rPr>
                <w:noProof/>
                <w:lang w:val="fr-FR"/>
              </w:rPr>
              <w:t>Centre de détention provisoire et</w:t>
            </w:r>
            <w:r w:rsidR="00205D32">
              <w:rPr>
                <w:noProof/>
                <w:lang w:val="fr-FR"/>
              </w:rPr>
              <w:t xml:space="preserve"> </w:t>
            </w:r>
            <w:r w:rsidRPr="0092668A">
              <w:rPr>
                <w:noProof/>
                <w:lang w:val="fr-FR"/>
              </w:rPr>
              <w:t>d</w:t>
            </w:r>
            <w:r w:rsidR="002A5D78">
              <w:rPr>
                <w:noProof/>
                <w:lang w:val="fr-FR"/>
              </w:rPr>
              <w:t>’</w:t>
            </w:r>
            <w:r w:rsidRPr="0092668A">
              <w:rPr>
                <w:noProof/>
                <w:lang w:val="fr-FR"/>
              </w:rPr>
              <w:t>exécution des peines de San Francisco Gotera</w:t>
            </w:r>
          </w:p>
        </w:tc>
        <w:tc>
          <w:tcPr>
            <w:tcW w:w="3136" w:type="dxa"/>
            <w:shd w:val="clear" w:color="auto" w:fill="auto"/>
            <w:tcMar>
              <w:top w:w="0" w:type="dxa"/>
              <w:left w:w="0" w:type="dxa"/>
              <w:bottom w:w="0" w:type="dxa"/>
              <w:right w:w="0" w:type="dxa"/>
            </w:tcMar>
          </w:tcPr>
          <w:p w14:paraId="72376FE3" w14:textId="77777777" w:rsidR="00B51FCF" w:rsidRPr="0092668A" w:rsidRDefault="00B51FCF" w:rsidP="0092668A">
            <w:pPr>
              <w:spacing w:before="40" w:after="120"/>
              <w:ind w:right="113"/>
              <w:rPr>
                <w:noProof/>
                <w:lang w:val="fr-FR"/>
              </w:rPr>
            </w:pPr>
            <w:r w:rsidRPr="0092668A">
              <w:rPr>
                <w:noProof/>
                <w:lang w:val="fr-FR"/>
              </w:rPr>
              <w:t>Membres repentis de la bande 18</w:t>
            </w:r>
            <w:r w:rsidR="00205D32">
              <w:rPr>
                <w:noProof/>
                <w:lang w:val="fr-FR"/>
              </w:rPr>
              <w:noBreakHyphen/>
            </w:r>
            <w:r w:rsidRPr="0092668A">
              <w:rPr>
                <w:noProof/>
                <w:lang w:val="fr-FR"/>
              </w:rPr>
              <w:t>Revolucionarios</w:t>
            </w:r>
          </w:p>
        </w:tc>
        <w:tc>
          <w:tcPr>
            <w:tcW w:w="1620" w:type="dxa"/>
            <w:shd w:val="clear" w:color="auto" w:fill="auto"/>
            <w:tcMar>
              <w:top w:w="0" w:type="dxa"/>
              <w:left w:w="0" w:type="dxa"/>
              <w:bottom w:w="0" w:type="dxa"/>
              <w:right w:w="0" w:type="dxa"/>
            </w:tcMar>
          </w:tcPr>
          <w:p w14:paraId="53CC4935" w14:textId="77777777" w:rsidR="00B51FCF" w:rsidRPr="0092668A" w:rsidRDefault="00B51FCF" w:rsidP="0092668A">
            <w:pPr>
              <w:spacing w:before="40" w:after="120"/>
              <w:ind w:right="113"/>
              <w:rPr>
                <w:noProof/>
                <w:lang w:val="fr-FR"/>
              </w:rPr>
            </w:pPr>
            <w:r w:rsidRPr="0092668A">
              <w:rPr>
                <w:noProof/>
                <w:lang w:val="fr-FR"/>
              </w:rPr>
              <w:t>San Francisco Gotera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Morazán)</w:t>
            </w:r>
          </w:p>
        </w:tc>
      </w:tr>
      <w:tr w:rsidR="00B51FCF" w:rsidRPr="0092668A" w14:paraId="78012FF2" w14:textId="77777777" w:rsidTr="0092668A">
        <w:tc>
          <w:tcPr>
            <w:tcW w:w="506" w:type="dxa"/>
            <w:shd w:val="clear" w:color="auto" w:fill="auto"/>
            <w:tcMar>
              <w:top w:w="0" w:type="dxa"/>
              <w:left w:w="0" w:type="dxa"/>
              <w:bottom w:w="0" w:type="dxa"/>
              <w:right w:w="0" w:type="dxa"/>
            </w:tcMar>
          </w:tcPr>
          <w:p w14:paraId="1A838BFB" w14:textId="77777777" w:rsidR="00B51FCF" w:rsidRPr="0092668A" w:rsidRDefault="00B51FCF" w:rsidP="0092668A">
            <w:pPr>
              <w:spacing w:before="40" w:after="120"/>
              <w:ind w:right="113"/>
              <w:rPr>
                <w:noProof/>
                <w:lang w:val="fr-FR"/>
              </w:rPr>
            </w:pPr>
            <w:r w:rsidRPr="0092668A">
              <w:rPr>
                <w:noProof/>
                <w:lang w:val="fr-FR"/>
              </w:rPr>
              <w:t>15</w:t>
            </w:r>
          </w:p>
        </w:tc>
        <w:tc>
          <w:tcPr>
            <w:tcW w:w="3242" w:type="dxa"/>
            <w:shd w:val="clear" w:color="auto" w:fill="auto"/>
            <w:tcMar>
              <w:top w:w="0" w:type="dxa"/>
              <w:left w:w="0" w:type="dxa"/>
              <w:bottom w:w="0" w:type="dxa"/>
              <w:right w:w="0" w:type="dxa"/>
            </w:tcMar>
          </w:tcPr>
          <w:p w14:paraId="439DE696" w14:textId="77777777" w:rsidR="00B51FCF" w:rsidRPr="0092668A" w:rsidRDefault="00B51FCF" w:rsidP="0092668A">
            <w:pPr>
              <w:spacing w:before="40" w:after="120"/>
              <w:ind w:right="113"/>
              <w:rPr>
                <w:noProof/>
                <w:lang w:val="fr-FR"/>
              </w:rPr>
            </w:pPr>
            <w:r w:rsidRPr="0092668A">
              <w:rPr>
                <w:noProof/>
                <w:lang w:val="fr-FR"/>
              </w:rPr>
              <w:t xml:space="preserve">Centre de détention provisoire </w:t>
            </w:r>
            <w:r w:rsidR="002A5D78">
              <w:rPr>
                <w:noProof/>
                <w:lang w:val="fr-FR"/>
              </w:rPr>
              <w:br/>
            </w:r>
            <w:r w:rsidRPr="0092668A">
              <w:rPr>
                <w:noProof/>
                <w:lang w:val="fr-FR"/>
              </w:rPr>
              <w:t>de La Unión</w:t>
            </w:r>
          </w:p>
        </w:tc>
        <w:tc>
          <w:tcPr>
            <w:tcW w:w="3136" w:type="dxa"/>
            <w:shd w:val="clear" w:color="auto" w:fill="auto"/>
            <w:tcMar>
              <w:top w:w="0" w:type="dxa"/>
              <w:left w:w="0" w:type="dxa"/>
              <w:bottom w:w="0" w:type="dxa"/>
              <w:right w:w="0" w:type="dxa"/>
            </w:tcMar>
          </w:tcPr>
          <w:p w14:paraId="1BA3F07F" w14:textId="77777777" w:rsidR="00B51FCF" w:rsidRPr="0092668A" w:rsidRDefault="00B51FCF" w:rsidP="0092668A">
            <w:pPr>
              <w:spacing w:before="40" w:after="120"/>
              <w:ind w:right="113"/>
              <w:rPr>
                <w:noProof/>
                <w:lang w:val="fr-FR"/>
              </w:rPr>
            </w:pPr>
            <w:r w:rsidRPr="0092668A">
              <w:rPr>
                <w:noProof/>
                <w:lang w:val="fr-FR"/>
              </w:rPr>
              <w:t>Accusés d</w:t>
            </w:r>
            <w:r w:rsidR="002A5D78">
              <w:rPr>
                <w:noProof/>
                <w:lang w:val="fr-FR"/>
              </w:rPr>
              <w:t>’</w:t>
            </w:r>
            <w:r w:rsidRPr="0092668A">
              <w:rPr>
                <w:noProof/>
                <w:lang w:val="fr-FR"/>
              </w:rPr>
              <w:t>une infraction de droit commun (hommes et femmes)</w:t>
            </w:r>
          </w:p>
        </w:tc>
        <w:tc>
          <w:tcPr>
            <w:tcW w:w="1620" w:type="dxa"/>
            <w:shd w:val="clear" w:color="auto" w:fill="auto"/>
            <w:tcMar>
              <w:top w:w="0" w:type="dxa"/>
              <w:left w:w="0" w:type="dxa"/>
              <w:bottom w:w="0" w:type="dxa"/>
              <w:right w:w="0" w:type="dxa"/>
            </w:tcMar>
          </w:tcPr>
          <w:p w14:paraId="7B4DF01B" w14:textId="77777777" w:rsidR="00B51FCF" w:rsidRPr="0092668A" w:rsidRDefault="00B51FCF" w:rsidP="0092668A">
            <w:pPr>
              <w:spacing w:before="40" w:after="120"/>
              <w:ind w:right="113"/>
              <w:rPr>
                <w:noProof/>
                <w:lang w:val="fr-FR"/>
              </w:rPr>
            </w:pPr>
            <w:r w:rsidRPr="0092668A">
              <w:rPr>
                <w:noProof/>
                <w:lang w:val="fr-FR"/>
              </w:rPr>
              <w:t>Conchagua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La Unión)</w:t>
            </w:r>
          </w:p>
        </w:tc>
      </w:tr>
      <w:tr w:rsidR="00B51FCF" w:rsidRPr="0092668A" w14:paraId="73E06286" w14:textId="77777777" w:rsidTr="00B74239">
        <w:tc>
          <w:tcPr>
            <w:tcW w:w="506" w:type="dxa"/>
            <w:shd w:val="clear" w:color="auto" w:fill="auto"/>
            <w:tcMar>
              <w:top w:w="0" w:type="dxa"/>
              <w:left w:w="0" w:type="dxa"/>
              <w:bottom w:w="0" w:type="dxa"/>
              <w:right w:w="0" w:type="dxa"/>
            </w:tcMar>
          </w:tcPr>
          <w:p w14:paraId="609945BB" w14:textId="77777777" w:rsidR="00B51FCF" w:rsidRPr="0092668A" w:rsidRDefault="00B51FCF" w:rsidP="0092668A">
            <w:pPr>
              <w:spacing w:before="40" w:after="120"/>
              <w:ind w:right="113"/>
              <w:rPr>
                <w:noProof/>
                <w:lang w:val="fr-FR"/>
              </w:rPr>
            </w:pPr>
            <w:r w:rsidRPr="0092668A">
              <w:rPr>
                <w:noProof/>
                <w:lang w:val="fr-FR"/>
              </w:rPr>
              <w:lastRenderedPageBreak/>
              <w:t>16</w:t>
            </w:r>
          </w:p>
        </w:tc>
        <w:tc>
          <w:tcPr>
            <w:tcW w:w="3242" w:type="dxa"/>
            <w:shd w:val="clear" w:color="auto" w:fill="auto"/>
            <w:tcMar>
              <w:top w:w="0" w:type="dxa"/>
              <w:left w:w="0" w:type="dxa"/>
              <w:bottom w:w="0" w:type="dxa"/>
              <w:right w:w="0" w:type="dxa"/>
            </w:tcMar>
          </w:tcPr>
          <w:p w14:paraId="731509A5" w14:textId="77777777" w:rsidR="00B51FCF" w:rsidRPr="0092668A" w:rsidRDefault="00B51FCF" w:rsidP="0092668A">
            <w:pPr>
              <w:spacing w:before="40" w:after="120"/>
              <w:ind w:right="113"/>
              <w:rPr>
                <w:noProof/>
                <w:lang w:val="fr-FR"/>
              </w:rPr>
            </w:pPr>
            <w:r w:rsidRPr="0092668A">
              <w:rPr>
                <w:noProof/>
                <w:lang w:val="fr-FR"/>
              </w:rPr>
              <w:t>Centre pénitentiaire de sécurité d</w:t>
            </w:r>
            <w:r w:rsidR="002A5D78">
              <w:rPr>
                <w:noProof/>
                <w:lang w:val="fr-FR"/>
              </w:rPr>
              <w:t>’</w:t>
            </w:r>
            <w:r w:rsidRPr="0092668A">
              <w:rPr>
                <w:noProof/>
                <w:lang w:val="fr-FR"/>
              </w:rPr>
              <w:t>Izalco, phase I</w:t>
            </w:r>
          </w:p>
        </w:tc>
        <w:tc>
          <w:tcPr>
            <w:tcW w:w="3136" w:type="dxa"/>
            <w:shd w:val="clear" w:color="auto" w:fill="auto"/>
            <w:tcMar>
              <w:top w:w="0" w:type="dxa"/>
              <w:left w:w="0" w:type="dxa"/>
              <w:bottom w:w="0" w:type="dxa"/>
              <w:right w:w="0" w:type="dxa"/>
            </w:tcMar>
          </w:tcPr>
          <w:p w14:paraId="092002AB" w14:textId="77777777" w:rsidR="00B51FCF" w:rsidRPr="0092668A" w:rsidRDefault="00B51FCF" w:rsidP="0092668A">
            <w:pPr>
              <w:spacing w:before="40" w:after="120"/>
              <w:ind w:right="113"/>
              <w:rPr>
                <w:noProof/>
                <w:lang w:val="fr-FR"/>
              </w:rPr>
            </w:pPr>
            <w:r w:rsidRPr="0092668A">
              <w:rPr>
                <w:noProof/>
                <w:lang w:val="fr-FR"/>
              </w:rPr>
              <w:t>Membres actifs de la bande 18</w:t>
            </w:r>
            <w:r w:rsidR="003A76B4">
              <w:rPr>
                <w:noProof/>
                <w:lang w:val="fr-FR"/>
              </w:rPr>
              <w:noBreakHyphen/>
            </w:r>
            <w:r w:rsidRPr="0092668A">
              <w:rPr>
                <w:noProof/>
                <w:lang w:val="fr-FR"/>
              </w:rPr>
              <w:t>Sureños et membres de la bande MS</w:t>
            </w:r>
            <w:r w:rsidR="00B74239">
              <w:rPr>
                <w:noProof/>
                <w:lang w:val="fr-FR"/>
              </w:rPr>
              <w:noBreakHyphen/>
            </w:r>
            <w:r w:rsidRPr="0092668A">
              <w:rPr>
                <w:noProof/>
                <w:lang w:val="fr-FR"/>
              </w:rPr>
              <w:t>13</w:t>
            </w:r>
          </w:p>
        </w:tc>
        <w:tc>
          <w:tcPr>
            <w:tcW w:w="1620" w:type="dxa"/>
            <w:shd w:val="clear" w:color="auto" w:fill="auto"/>
            <w:tcMar>
              <w:top w:w="0" w:type="dxa"/>
              <w:left w:w="0" w:type="dxa"/>
              <w:bottom w:w="0" w:type="dxa"/>
              <w:right w:w="0" w:type="dxa"/>
            </w:tcMar>
          </w:tcPr>
          <w:p w14:paraId="2C131A30" w14:textId="77777777" w:rsidR="00B51FCF" w:rsidRPr="0092668A" w:rsidRDefault="00B51FCF" w:rsidP="0092668A">
            <w:pPr>
              <w:spacing w:before="40" w:after="120"/>
              <w:ind w:right="113"/>
              <w:rPr>
                <w:noProof/>
                <w:lang w:val="fr-FR"/>
              </w:rPr>
            </w:pPr>
            <w:r w:rsidRPr="0092668A">
              <w:rPr>
                <w:noProof/>
                <w:lang w:val="fr-FR"/>
              </w:rPr>
              <w:t>Izalco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Sonsonate)</w:t>
            </w:r>
          </w:p>
        </w:tc>
      </w:tr>
      <w:tr w:rsidR="00B51FCF" w:rsidRPr="0092668A" w14:paraId="3D958EC9" w14:textId="77777777" w:rsidTr="0092668A">
        <w:tc>
          <w:tcPr>
            <w:tcW w:w="506" w:type="dxa"/>
            <w:shd w:val="clear" w:color="auto" w:fill="auto"/>
            <w:tcMar>
              <w:top w:w="0" w:type="dxa"/>
              <w:left w:w="0" w:type="dxa"/>
              <w:bottom w:w="0" w:type="dxa"/>
              <w:right w:w="0" w:type="dxa"/>
            </w:tcMar>
          </w:tcPr>
          <w:p w14:paraId="0230ACA3" w14:textId="77777777" w:rsidR="00B51FCF" w:rsidRPr="0092668A" w:rsidRDefault="00B51FCF" w:rsidP="0092668A">
            <w:pPr>
              <w:spacing w:before="40" w:after="120"/>
              <w:ind w:right="113"/>
              <w:rPr>
                <w:noProof/>
                <w:lang w:val="fr-FR"/>
              </w:rPr>
            </w:pPr>
            <w:r w:rsidRPr="0092668A">
              <w:rPr>
                <w:noProof/>
                <w:lang w:val="fr-FR"/>
              </w:rPr>
              <w:t>17</w:t>
            </w:r>
          </w:p>
        </w:tc>
        <w:tc>
          <w:tcPr>
            <w:tcW w:w="3242" w:type="dxa"/>
            <w:shd w:val="clear" w:color="auto" w:fill="auto"/>
            <w:tcMar>
              <w:top w:w="0" w:type="dxa"/>
              <w:left w:w="0" w:type="dxa"/>
              <w:bottom w:w="0" w:type="dxa"/>
              <w:right w:w="0" w:type="dxa"/>
            </w:tcMar>
          </w:tcPr>
          <w:p w14:paraId="205BA9BB" w14:textId="77777777" w:rsidR="00B51FCF" w:rsidRPr="0092668A" w:rsidRDefault="00B51FCF" w:rsidP="0092668A">
            <w:pPr>
              <w:spacing w:before="40" w:after="120"/>
              <w:ind w:right="113"/>
              <w:rPr>
                <w:noProof/>
                <w:lang w:val="fr-FR"/>
              </w:rPr>
            </w:pPr>
            <w:r w:rsidRPr="0092668A">
              <w:rPr>
                <w:noProof/>
                <w:lang w:val="fr-FR"/>
              </w:rPr>
              <w:t>Centre pénitentiaire de sécurité d</w:t>
            </w:r>
            <w:r w:rsidR="002A5D78">
              <w:rPr>
                <w:noProof/>
                <w:lang w:val="fr-FR"/>
              </w:rPr>
              <w:t>’</w:t>
            </w:r>
            <w:r w:rsidRPr="0092668A">
              <w:rPr>
                <w:noProof/>
                <w:lang w:val="fr-FR"/>
              </w:rPr>
              <w:t>Izalco, phase II</w:t>
            </w:r>
          </w:p>
        </w:tc>
        <w:tc>
          <w:tcPr>
            <w:tcW w:w="3136" w:type="dxa"/>
            <w:shd w:val="clear" w:color="auto" w:fill="auto"/>
            <w:tcMar>
              <w:top w:w="0" w:type="dxa"/>
              <w:left w:w="0" w:type="dxa"/>
              <w:bottom w:w="0" w:type="dxa"/>
              <w:right w:w="0" w:type="dxa"/>
            </w:tcMar>
          </w:tcPr>
          <w:p w14:paraId="778B2D78" w14:textId="77777777" w:rsidR="00B51FCF" w:rsidRPr="0092668A" w:rsidRDefault="00B51FCF" w:rsidP="0092668A">
            <w:pPr>
              <w:spacing w:before="40" w:after="120"/>
              <w:ind w:right="113"/>
              <w:rPr>
                <w:noProof/>
                <w:lang w:val="fr-FR"/>
              </w:rPr>
            </w:pPr>
            <w:r w:rsidRPr="0092668A">
              <w:rPr>
                <w:noProof/>
                <w:lang w:val="fr-FR"/>
              </w:rPr>
              <w:t>Membres actifs de la bande MS-13, de la bande 18 (Sureños et Revolucionarios) et de La Raza</w:t>
            </w:r>
          </w:p>
        </w:tc>
        <w:tc>
          <w:tcPr>
            <w:tcW w:w="1620" w:type="dxa"/>
            <w:shd w:val="clear" w:color="auto" w:fill="auto"/>
            <w:tcMar>
              <w:top w:w="0" w:type="dxa"/>
              <w:left w:w="0" w:type="dxa"/>
              <w:bottom w:w="0" w:type="dxa"/>
              <w:right w:w="0" w:type="dxa"/>
            </w:tcMar>
          </w:tcPr>
          <w:p w14:paraId="315C50D3" w14:textId="77777777" w:rsidR="00B51FCF" w:rsidRPr="0092668A" w:rsidRDefault="00B51FCF" w:rsidP="0092668A">
            <w:pPr>
              <w:spacing w:before="40" w:after="120"/>
              <w:ind w:right="113"/>
              <w:rPr>
                <w:noProof/>
                <w:lang w:val="fr-FR"/>
              </w:rPr>
            </w:pPr>
            <w:r w:rsidRPr="0092668A">
              <w:rPr>
                <w:noProof/>
                <w:lang w:val="fr-FR"/>
              </w:rPr>
              <w:t>Izalco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Sonsonate)</w:t>
            </w:r>
          </w:p>
        </w:tc>
      </w:tr>
      <w:tr w:rsidR="00B51FCF" w:rsidRPr="0092668A" w14:paraId="3639CDCC" w14:textId="77777777" w:rsidTr="0092668A">
        <w:tc>
          <w:tcPr>
            <w:tcW w:w="506" w:type="dxa"/>
            <w:shd w:val="clear" w:color="auto" w:fill="auto"/>
            <w:tcMar>
              <w:top w:w="0" w:type="dxa"/>
              <w:left w:w="0" w:type="dxa"/>
              <w:bottom w:w="0" w:type="dxa"/>
              <w:right w:w="0" w:type="dxa"/>
            </w:tcMar>
          </w:tcPr>
          <w:p w14:paraId="2D939095" w14:textId="77777777" w:rsidR="00B51FCF" w:rsidRPr="0092668A" w:rsidRDefault="00B51FCF" w:rsidP="0092668A">
            <w:pPr>
              <w:spacing w:before="40" w:after="120"/>
              <w:ind w:right="113"/>
              <w:rPr>
                <w:noProof/>
                <w:lang w:val="fr-FR"/>
              </w:rPr>
            </w:pPr>
            <w:r w:rsidRPr="0092668A">
              <w:rPr>
                <w:noProof/>
                <w:lang w:val="fr-FR"/>
              </w:rPr>
              <w:t>18</w:t>
            </w:r>
          </w:p>
        </w:tc>
        <w:tc>
          <w:tcPr>
            <w:tcW w:w="3242" w:type="dxa"/>
            <w:shd w:val="clear" w:color="auto" w:fill="auto"/>
            <w:tcMar>
              <w:top w:w="0" w:type="dxa"/>
              <w:left w:w="0" w:type="dxa"/>
              <w:bottom w:w="0" w:type="dxa"/>
              <w:right w:w="0" w:type="dxa"/>
            </w:tcMar>
          </w:tcPr>
          <w:p w14:paraId="111E7C9F" w14:textId="77777777" w:rsidR="00B51FCF" w:rsidRPr="0092668A" w:rsidRDefault="00B51FCF" w:rsidP="0092668A">
            <w:pPr>
              <w:spacing w:before="40" w:after="120"/>
              <w:ind w:right="113"/>
              <w:rPr>
                <w:noProof/>
                <w:lang w:val="fr-FR"/>
              </w:rPr>
            </w:pPr>
            <w:r w:rsidRPr="0092668A">
              <w:rPr>
                <w:noProof/>
                <w:lang w:val="fr-FR"/>
              </w:rPr>
              <w:t>Centre pénitentiaire de sécurité maximale d</w:t>
            </w:r>
            <w:r w:rsidR="002A5D78">
              <w:rPr>
                <w:noProof/>
                <w:lang w:val="fr-FR"/>
              </w:rPr>
              <w:t>’</w:t>
            </w:r>
            <w:r w:rsidRPr="0092668A">
              <w:rPr>
                <w:noProof/>
                <w:lang w:val="fr-FR"/>
              </w:rPr>
              <w:t>Izalco, phase III</w:t>
            </w:r>
          </w:p>
        </w:tc>
        <w:tc>
          <w:tcPr>
            <w:tcW w:w="3136" w:type="dxa"/>
            <w:shd w:val="clear" w:color="auto" w:fill="auto"/>
            <w:tcMar>
              <w:top w:w="0" w:type="dxa"/>
              <w:left w:w="0" w:type="dxa"/>
              <w:bottom w:w="0" w:type="dxa"/>
              <w:right w:w="0" w:type="dxa"/>
            </w:tcMar>
          </w:tcPr>
          <w:p w14:paraId="599FA718" w14:textId="77777777" w:rsidR="00B51FCF" w:rsidRPr="0092668A" w:rsidRDefault="00B51FCF" w:rsidP="0092668A">
            <w:pPr>
              <w:spacing w:before="40" w:after="120"/>
              <w:ind w:right="113"/>
              <w:rPr>
                <w:noProof/>
                <w:lang w:val="fr-FR"/>
              </w:rPr>
            </w:pPr>
            <w:r w:rsidRPr="0092668A">
              <w:rPr>
                <w:noProof/>
                <w:lang w:val="fr-FR"/>
              </w:rPr>
              <w:t>Membres actifs de la bande MS-13 et</w:t>
            </w:r>
            <w:r w:rsidR="003A76B4">
              <w:rPr>
                <w:noProof/>
                <w:lang w:val="fr-FR"/>
              </w:rPr>
              <w:t> </w:t>
            </w:r>
            <w:r w:rsidRPr="0092668A">
              <w:rPr>
                <w:noProof/>
                <w:lang w:val="fr-FR"/>
              </w:rPr>
              <w:t>de la bande 18 (Sureños et Revolucionarios); caïds de bandes criminelles</w:t>
            </w:r>
          </w:p>
        </w:tc>
        <w:tc>
          <w:tcPr>
            <w:tcW w:w="1620" w:type="dxa"/>
            <w:shd w:val="clear" w:color="auto" w:fill="auto"/>
            <w:tcMar>
              <w:top w:w="0" w:type="dxa"/>
              <w:left w:w="0" w:type="dxa"/>
              <w:bottom w:w="0" w:type="dxa"/>
              <w:right w:w="0" w:type="dxa"/>
            </w:tcMar>
          </w:tcPr>
          <w:p w14:paraId="5CDA1A8F" w14:textId="77777777" w:rsidR="00B51FCF" w:rsidRPr="0092668A" w:rsidRDefault="00B51FCF" w:rsidP="0092668A">
            <w:pPr>
              <w:spacing w:before="40" w:after="120"/>
              <w:ind w:right="113"/>
              <w:rPr>
                <w:noProof/>
                <w:lang w:val="fr-FR"/>
              </w:rPr>
            </w:pPr>
            <w:r w:rsidRPr="0092668A">
              <w:rPr>
                <w:noProof/>
                <w:lang w:val="fr-FR"/>
              </w:rPr>
              <w:t>Izalco (</w:t>
            </w:r>
            <w:r w:rsidR="00B74239" w:rsidRPr="0092668A">
              <w:rPr>
                <w:noProof/>
                <w:lang w:val="fr-FR"/>
              </w:rPr>
              <w:t xml:space="preserve">département </w:t>
            </w:r>
            <w:r w:rsidRPr="0092668A">
              <w:rPr>
                <w:noProof/>
                <w:lang w:val="fr-FR"/>
              </w:rPr>
              <w:t>de</w:t>
            </w:r>
            <w:r w:rsidR="00B74239">
              <w:rPr>
                <w:noProof/>
                <w:lang w:val="fr-FR"/>
              </w:rPr>
              <w:t> </w:t>
            </w:r>
            <w:r w:rsidRPr="0092668A">
              <w:rPr>
                <w:noProof/>
                <w:lang w:val="fr-FR"/>
              </w:rPr>
              <w:t>Sonsonate)</w:t>
            </w:r>
          </w:p>
        </w:tc>
      </w:tr>
      <w:tr w:rsidR="00B51FCF" w:rsidRPr="0092668A" w14:paraId="09311509" w14:textId="77777777" w:rsidTr="0092668A">
        <w:tc>
          <w:tcPr>
            <w:tcW w:w="506" w:type="dxa"/>
            <w:shd w:val="clear" w:color="auto" w:fill="auto"/>
            <w:tcMar>
              <w:top w:w="0" w:type="dxa"/>
              <w:left w:w="0" w:type="dxa"/>
              <w:bottom w:w="0" w:type="dxa"/>
              <w:right w:w="0" w:type="dxa"/>
            </w:tcMar>
          </w:tcPr>
          <w:p w14:paraId="6298C986" w14:textId="77777777" w:rsidR="00B51FCF" w:rsidRPr="0092668A" w:rsidRDefault="00B51FCF" w:rsidP="0092668A">
            <w:pPr>
              <w:spacing w:before="40" w:after="120"/>
              <w:ind w:right="113"/>
              <w:rPr>
                <w:noProof/>
                <w:lang w:val="fr-FR"/>
              </w:rPr>
            </w:pPr>
            <w:r w:rsidRPr="0092668A">
              <w:rPr>
                <w:noProof/>
                <w:lang w:val="fr-FR"/>
              </w:rPr>
              <w:t>19</w:t>
            </w:r>
          </w:p>
        </w:tc>
        <w:tc>
          <w:tcPr>
            <w:tcW w:w="3242" w:type="dxa"/>
            <w:shd w:val="clear" w:color="auto" w:fill="auto"/>
            <w:tcMar>
              <w:top w:w="0" w:type="dxa"/>
              <w:left w:w="0" w:type="dxa"/>
              <w:bottom w:w="0" w:type="dxa"/>
              <w:right w:w="0" w:type="dxa"/>
            </w:tcMar>
          </w:tcPr>
          <w:p w14:paraId="1A77FF49" w14:textId="77777777" w:rsidR="00B51FCF" w:rsidRPr="0092668A" w:rsidRDefault="00B51FCF" w:rsidP="0092668A">
            <w:pPr>
              <w:spacing w:before="40" w:after="120"/>
              <w:ind w:right="113"/>
              <w:rPr>
                <w:noProof/>
                <w:lang w:val="fr-FR"/>
              </w:rPr>
            </w:pPr>
            <w:r w:rsidRPr="0092668A">
              <w:rPr>
                <w:noProof/>
                <w:lang w:val="fr-FR"/>
              </w:rPr>
              <w:t>Centre pénitentiaire de sécurité maximale de Zacatecoluca</w:t>
            </w:r>
          </w:p>
        </w:tc>
        <w:tc>
          <w:tcPr>
            <w:tcW w:w="3136" w:type="dxa"/>
            <w:shd w:val="clear" w:color="auto" w:fill="auto"/>
            <w:tcMar>
              <w:top w:w="0" w:type="dxa"/>
              <w:left w:w="0" w:type="dxa"/>
              <w:bottom w:w="0" w:type="dxa"/>
              <w:right w:w="0" w:type="dxa"/>
            </w:tcMar>
          </w:tcPr>
          <w:p w14:paraId="088952B0" w14:textId="77777777" w:rsidR="00B51FCF" w:rsidRPr="0092668A" w:rsidRDefault="00B51FCF" w:rsidP="0092668A">
            <w:pPr>
              <w:spacing w:before="40" w:after="120"/>
              <w:ind w:right="113"/>
              <w:rPr>
                <w:noProof/>
                <w:lang w:val="fr-FR"/>
              </w:rPr>
            </w:pPr>
            <w:r w:rsidRPr="0092668A">
              <w:rPr>
                <w:noProof/>
                <w:lang w:val="fr-FR"/>
              </w:rPr>
              <w:t>Droits-communs, ex-membres de bandes criminelles, membres de la bande MS-13 et de la bande 18 (Sureños et Revolucionarios)</w:t>
            </w:r>
          </w:p>
        </w:tc>
        <w:tc>
          <w:tcPr>
            <w:tcW w:w="1620" w:type="dxa"/>
            <w:shd w:val="clear" w:color="auto" w:fill="auto"/>
            <w:tcMar>
              <w:top w:w="0" w:type="dxa"/>
              <w:left w:w="0" w:type="dxa"/>
              <w:bottom w:w="0" w:type="dxa"/>
              <w:right w:w="0" w:type="dxa"/>
            </w:tcMar>
          </w:tcPr>
          <w:p w14:paraId="1735E223" w14:textId="77777777" w:rsidR="00B51FCF" w:rsidRPr="0092668A" w:rsidRDefault="00B51FCF" w:rsidP="0092668A">
            <w:pPr>
              <w:spacing w:before="40" w:after="120"/>
              <w:ind w:right="113"/>
              <w:rPr>
                <w:noProof/>
                <w:lang w:val="fr-FR"/>
              </w:rPr>
            </w:pPr>
            <w:r w:rsidRPr="0092668A">
              <w:rPr>
                <w:noProof/>
                <w:lang w:val="fr-FR"/>
              </w:rPr>
              <w:t>Zacatecoluca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La Paz)</w:t>
            </w:r>
          </w:p>
        </w:tc>
      </w:tr>
      <w:tr w:rsidR="00B51FCF" w:rsidRPr="0092668A" w14:paraId="7E291153" w14:textId="77777777" w:rsidTr="0092668A">
        <w:tc>
          <w:tcPr>
            <w:tcW w:w="506" w:type="dxa"/>
            <w:shd w:val="clear" w:color="auto" w:fill="auto"/>
            <w:tcMar>
              <w:top w:w="0" w:type="dxa"/>
              <w:left w:w="0" w:type="dxa"/>
              <w:bottom w:w="0" w:type="dxa"/>
              <w:right w:w="0" w:type="dxa"/>
            </w:tcMar>
          </w:tcPr>
          <w:p w14:paraId="3B00B636" w14:textId="77777777" w:rsidR="00B51FCF" w:rsidRPr="0092668A" w:rsidRDefault="00B51FCF" w:rsidP="0092668A">
            <w:pPr>
              <w:spacing w:before="40" w:after="120"/>
              <w:ind w:right="113"/>
              <w:rPr>
                <w:noProof/>
                <w:lang w:val="fr-FR"/>
              </w:rPr>
            </w:pPr>
            <w:r w:rsidRPr="0092668A">
              <w:rPr>
                <w:noProof/>
                <w:lang w:val="fr-FR"/>
              </w:rPr>
              <w:t>20</w:t>
            </w:r>
          </w:p>
        </w:tc>
        <w:tc>
          <w:tcPr>
            <w:tcW w:w="3242" w:type="dxa"/>
            <w:shd w:val="clear" w:color="auto" w:fill="auto"/>
            <w:tcMar>
              <w:top w:w="0" w:type="dxa"/>
              <w:left w:w="0" w:type="dxa"/>
              <w:bottom w:w="0" w:type="dxa"/>
              <w:right w:w="0" w:type="dxa"/>
            </w:tcMar>
          </w:tcPr>
          <w:p w14:paraId="255B1B72" w14:textId="77777777" w:rsidR="00B51FCF" w:rsidRPr="0092668A" w:rsidRDefault="00B51FCF" w:rsidP="0092668A">
            <w:pPr>
              <w:spacing w:before="40" w:after="120"/>
              <w:ind w:right="113"/>
              <w:rPr>
                <w:noProof/>
                <w:lang w:val="fr-FR"/>
              </w:rPr>
            </w:pPr>
            <w:r w:rsidRPr="0092668A">
              <w:rPr>
                <w:noProof/>
                <w:lang w:val="fr-FR"/>
              </w:rPr>
              <w:t>Centre pénitentiaire agricole de Zacatecoluca</w:t>
            </w:r>
          </w:p>
        </w:tc>
        <w:tc>
          <w:tcPr>
            <w:tcW w:w="3136" w:type="dxa"/>
            <w:shd w:val="clear" w:color="auto" w:fill="auto"/>
            <w:tcMar>
              <w:top w:w="0" w:type="dxa"/>
              <w:left w:w="0" w:type="dxa"/>
              <w:bottom w:w="0" w:type="dxa"/>
              <w:right w:w="0" w:type="dxa"/>
            </w:tcMar>
          </w:tcPr>
          <w:p w14:paraId="3338B87C" w14:textId="77777777" w:rsidR="00B51FCF" w:rsidRPr="0092668A" w:rsidRDefault="00B51FCF" w:rsidP="0092668A">
            <w:pPr>
              <w:spacing w:before="40" w:after="120"/>
              <w:ind w:right="113"/>
              <w:rPr>
                <w:noProof/>
                <w:lang w:val="fr-FR"/>
              </w:rPr>
            </w:pPr>
            <w:r w:rsidRPr="0092668A">
              <w:rPr>
                <w:noProof/>
                <w:lang w:val="fr-FR"/>
              </w:rPr>
              <w:t xml:space="preserve">Hommes en phases de confiance et de semi-liberté </w:t>
            </w:r>
          </w:p>
        </w:tc>
        <w:tc>
          <w:tcPr>
            <w:tcW w:w="1620" w:type="dxa"/>
            <w:shd w:val="clear" w:color="auto" w:fill="auto"/>
            <w:tcMar>
              <w:top w:w="0" w:type="dxa"/>
              <w:left w:w="0" w:type="dxa"/>
              <w:bottom w:w="0" w:type="dxa"/>
              <w:right w:w="0" w:type="dxa"/>
            </w:tcMar>
          </w:tcPr>
          <w:p w14:paraId="220A3F3F" w14:textId="77777777" w:rsidR="00B51FCF" w:rsidRPr="0092668A" w:rsidRDefault="00B51FCF" w:rsidP="0092668A">
            <w:pPr>
              <w:spacing w:before="40" w:after="120"/>
              <w:ind w:right="113"/>
              <w:rPr>
                <w:noProof/>
                <w:lang w:val="fr-FR"/>
              </w:rPr>
            </w:pPr>
            <w:r w:rsidRPr="0092668A">
              <w:rPr>
                <w:noProof/>
                <w:lang w:val="fr-FR"/>
              </w:rPr>
              <w:t>Zacatecoluca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La Paz)</w:t>
            </w:r>
          </w:p>
        </w:tc>
      </w:tr>
      <w:tr w:rsidR="00B51FCF" w:rsidRPr="0092668A" w14:paraId="096324F1" w14:textId="77777777" w:rsidTr="0092668A">
        <w:tc>
          <w:tcPr>
            <w:tcW w:w="506" w:type="dxa"/>
            <w:shd w:val="clear" w:color="auto" w:fill="auto"/>
            <w:tcMar>
              <w:top w:w="0" w:type="dxa"/>
              <w:left w:w="0" w:type="dxa"/>
              <w:bottom w:w="0" w:type="dxa"/>
              <w:right w:w="0" w:type="dxa"/>
            </w:tcMar>
          </w:tcPr>
          <w:p w14:paraId="088A9B43" w14:textId="77777777" w:rsidR="00B51FCF" w:rsidRPr="0092668A" w:rsidRDefault="00B51FCF" w:rsidP="0092668A">
            <w:pPr>
              <w:spacing w:before="40" w:after="120"/>
              <w:ind w:right="113"/>
              <w:rPr>
                <w:noProof/>
                <w:lang w:val="fr-FR"/>
              </w:rPr>
            </w:pPr>
            <w:r w:rsidRPr="0092668A">
              <w:rPr>
                <w:noProof/>
                <w:lang w:val="fr-FR"/>
              </w:rPr>
              <w:t>21</w:t>
            </w:r>
          </w:p>
        </w:tc>
        <w:tc>
          <w:tcPr>
            <w:tcW w:w="3242" w:type="dxa"/>
            <w:shd w:val="clear" w:color="auto" w:fill="auto"/>
            <w:tcMar>
              <w:top w:w="0" w:type="dxa"/>
              <w:left w:w="0" w:type="dxa"/>
              <w:bottom w:w="0" w:type="dxa"/>
              <w:right w:w="0" w:type="dxa"/>
            </w:tcMar>
          </w:tcPr>
          <w:p w14:paraId="4873016D" w14:textId="77777777" w:rsidR="00B51FCF" w:rsidRPr="0092668A" w:rsidRDefault="00B51FCF" w:rsidP="0092668A">
            <w:pPr>
              <w:spacing w:before="40" w:after="120"/>
              <w:ind w:right="113"/>
              <w:rPr>
                <w:noProof/>
                <w:lang w:val="fr-FR"/>
              </w:rPr>
            </w:pPr>
            <w:r w:rsidRPr="0092668A">
              <w:rPr>
                <w:noProof/>
                <w:lang w:val="fr-FR"/>
              </w:rPr>
              <w:t>Centre de détention provisoire et d</w:t>
            </w:r>
            <w:r w:rsidR="002A5D78">
              <w:rPr>
                <w:noProof/>
                <w:lang w:val="fr-FR"/>
              </w:rPr>
              <w:t>’</w:t>
            </w:r>
            <w:r w:rsidRPr="0092668A">
              <w:rPr>
                <w:noProof/>
                <w:lang w:val="fr-FR"/>
              </w:rPr>
              <w:t>exécution des peines pour femmes d</w:t>
            </w:r>
            <w:r w:rsidR="002A5D78">
              <w:rPr>
                <w:noProof/>
                <w:lang w:val="fr-FR"/>
              </w:rPr>
              <w:t>’</w:t>
            </w:r>
            <w:r w:rsidRPr="0092668A">
              <w:rPr>
                <w:noProof/>
                <w:lang w:val="fr-FR"/>
              </w:rPr>
              <w:t>Ilopango</w:t>
            </w:r>
          </w:p>
        </w:tc>
        <w:tc>
          <w:tcPr>
            <w:tcW w:w="3136" w:type="dxa"/>
            <w:shd w:val="clear" w:color="auto" w:fill="auto"/>
            <w:tcMar>
              <w:top w:w="0" w:type="dxa"/>
              <w:left w:w="0" w:type="dxa"/>
              <w:bottom w:w="0" w:type="dxa"/>
              <w:right w:w="0" w:type="dxa"/>
            </w:tcMar>
          </w:tcPr>
          <w:p w14:paraId="7F0A9340" w14:textId="77777777" w:rsidR="00B51FCF" w:rsidRPr="0092668A" w:rsidRDefault="00B51FCF" w:rsidP="0092668A">
            <w:pPr>
              <w:spacing w:before="40" w:after="120"/>
              <w:ind w:right="113"/>
              <w:rPr>
                <w:noProof/>
                <w:lang w:val="fr-FR"/>
              </w:rPr>
            </w:pPr>
            <w:r w:rsidRPr="0092668A">
              <w:rPr>
                <w:noProof/>
                <w:lang w:val="fr-FR"/>
              </w:rPr>
              <w:t>Droits-communs et membres de la bande MS-13 (femmes)</w:t>
            </w:r>
          </w:p>
        </w:tc>
        <w:tc>
          <w:tcPr>
            <w:tcW w:w="1620" w:type="dxa"/>
            <w:shd w:val="clear" w:color="auto" w:fill="auto"/>
            <w:tcMar>
              <w:top w:w="0" w:type="dxa"/>
              <w:left w:w="0" w:type="dxa"/>
              <w:bottom w:w="0" w:type="dxa"/>
              <w:right w:w="0" w:type="dxa"/>
            </w:tcMar>
          </w:tcPr>
          <w:p w14:paraId="53C00A97" w14:textId="77777777" w:rsidR="00B51FCF" w:rsidRPr="0092668A" w:rsidRDefault="00B51FCF" w:rsidP="0092668A">
            <w:pPr>
              <w:spacing w:before="40" w:after="120"/>
              <w:ind w:right="113"/>
              <w:rPr>
                <w:noProof/>
                <w:lang w:val="fr-FR"/>
              </w:rPr>
            </w:pPr>
            <w:r w:rsidRPr="0092668A">
              <w:rPr>
                <w:noProof/>
                <w:lang w:val="fr-FR"/>
              </w:rPr>
              <w:t>Ilopango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San Salvador)</w:t>
            </w:r>
          </w:p>
        </w:tc>
      </w:tr>
      <w:tr w:rsidR="00B51FCF" w:rsidRPr="0092668A" w14:paraId="261CFD81" w14:textId="77777777" w:rsidTr="0092668A">
        <w:tc>
          <w:tcPr>
            <w:tcW w:w="506" w:type="dxa"/>
            <w:shd w:val="clear" w:color="auto" w:fill="auto"/>
            <w:tcMar>
              <w:top w:w="0" w:type="dxa"/>
              <w:left w:w="0" w:type="dxa"/>
              <w:bottom w:w="0" w:type="dxa"/>
              <w:right w:w="0" w:type="dxa"/>
            </w:tcMar>
          </w:tcPr>
          <w:p w14:paraId="3B8CDC1C" w14:textId="77777777" w:rsidR="00B51FCF" w:rsidRPr="0092668A" w:rsidRDefault="00B51FCF" w:rsidP="0092668A">
            <w:pPr>
              <w:spacing w:before="40" w:after="120"/>
              <w:ind w:right="113"/>
              <w:rPr>
                <w:noProof/>
                <w:lang w:val="fr-FR"/>
              </w:rPr>
            </w:pPr>
            <w:r w:rsidRPr="0092668A">
              <w:rPr>
                <w:noProof/>
                <w:lang w:val="fr-FR"/>
              </w:rPr>
              <w:t>22</w:t>
            </w:r>
          </w:p>
        </w:tc>
        <w:tc>
          <w:tcPr>
            <w:tcW w:w="3242" w:type="dxa"/>
            <w:shd w:val="clear" w:color="auto" w:fill="auto"/>
            <w:tcMar>
              <w:top w:w="0" w:type="dxa"/>
              <w:left w:w="0" w:type="dxa"/>
              <w:bottom w:w="0" w:type="dxa"/>
              <w:right w:w="0" w:type="dxa"/>
            </w:tcMar>
          </w:tcPr>
          <w:p w14:paraId="25E4FE9B" w14:textId="77777777" w:rsidR="00B51FCF" w:rsidRPr="0092668A" w:rsidRDefault="00B51FCF" w:rsidP="0092668A">
            <w:pPr>
              <w:spacing w:before="40" w:after="120"/>
              <w:ind w:right="113"/>
              <w:rPr>
                <w:noProof/>
                <w:lang w:val="fr-FR"/>
              </w:rPr>
            </w:pPr>
            <w:r w:rsidRPr="0092668A">
              <w:rPr>
                <w:noProof/>
                <w:lang w:val="fr-FR"/>
              </w:rPr>
              <w:t>Centre de détention provisoire d</w:t>
            </w:r>
            <w:r w:rsidR="002A5D78">
              <w:rPr>
                <w:noProof/>
                <w:lang w:val="fr-FR"/>
              </w:rPr>
              <w:t>’</w:t>
            </w:r>
            <w:r w:rsidRPr="0092668A">
              <w:rPr>
                <w:noProof/>
                <w:lang w:val="fr-FR"/>
              </w:rPr>
              <w:t>Ilobasco</w:t>
            </w:r>
          </w:p>
        </w:tc>
        <w:tc>
          <w:tcPr>
            <w:tcW w:w="3136" w:type="dxa"/>
            <w:shd w:val="clear" w:color="auto" w:fill="auto"/>
            <w:tcMar>
              <w:top w:w="0" w:type="dxa"/>
              <w:left w:w="0" w:type="dxa"/>
              <w:bottom w:w="0" w:type="dxa"/>
              <w:right w:w="0" w:type="dxa"/>
            </w:tcMar>
          </w:tcPr>
          <w:p w14:paraId="5D085161" w14:textId="77777777" w:rsidR="00B51FCF" w:rsidRPr="0092668A" w:rsidRDefault="00B51FCF" w:rsidP="0092668A">
            <w:pPr>
              <w:spacing w:before="40" w:after="120"/>
              <w:ind w:right="113"/>
              <w:rPr>
                <w:noProof/>
                <w:lang w:val="fr-FR"/>
              </w:rPr>
            </w:pPr>
            <w:r w:rsidRPr="0092668A">
              <w:rPr>
                <w:noProof/>
                <w:lang w:val="fr-FR"/>
              </w:rPr>
              <w:t>Accusés d</w:t>
            </w:r>
            <w:r w:rsidR="002A5D78">
              <w:rPr>
                <w:noProof/>
                <w:lang w:val="fr-FR"/>
              </w:rPr>
              <w:t>’</w:t>
            </w:r>
            <w:r w:rsidRPr="0092668A">
              <w:rPr>
                <w:noProof/>
                <w:lang w:val="fr-FR"/>
              </w:rPr>
              <w:t xml:space="preserve">une infraction de droit commun (hommes) </w:t>
            </w:r>
          </w:p>
        </w:tc>
        <w:tc>
          <w:tcPr>
            <w:tcW w:w="1620" w:type="dxa"/>
            <w:shd w:val="clear" w:color="auto" w:fill="auto"/>
            <w:tcMar>
              <w:top w:w="0" w:type="dxa"/>
              <w:left w:w="0" w:type="dxa"/>
              <w:bottom w:w="0" w:type="dxa"/>
              <w:right w:w="0" w:type="dxa"/>
            </w:tcMar>
          </w:tcPr>
          <w:p w14:paraId="2326E49C" w14:textId="77777777" w:rsidR="00B51FCF" w:rsidRPr="0092668A" w:rsidRDefault="00B51FCF" w:rsidP="0092668A">
            <w:pPr>
              <w:spacing w:before="40" w:after="120"/>
              <w:ind w:right="113"/>
              <w:rPr>
                <w:noProof/>
                <w:lang w:val="fr-FR"/>
              </w:rPr>
            </w:pPr>
            <w:r w:rsidRPr="0092668A">
              <w:rPr>
                <w:noProof/>
                <w:lang w:val="fr-FR"/>
              </w:rPr>
              <w:t>Ilobasco</w:t>
            </w:r>
          </w:p>
        </w:tc>
      </w:tr>
      <w:tr w:rsidR="00B51FCF" w:rsidRPr="0092668A" w14:paraId="6A474485" w14:textId="77777777" w:rsidTr="0092668A">
        <w:tc>
          <w:tcPr>
            <w:tcW w:w="506" w:type="dxa"/>
            <w:shd w:val="clear" w:color="auto" w:fill="auto"/>
            <w:tcMar>
              <w:top w:w="0" w:type="dxa"/>
              <w:left w:w="0" w:type="dxa"/>
              <w:bottom w:w="0" w:type="dxa"/>
              <w:right w:w="0" w:type="dxa"/>
            </w:tcMar>
          </w:tcPr>
          <w:p w14:paraId="4136069E" w14:textId="77777777" w:rsidR="00B51FCF" w:rsidRPr="0092668A" w:rsidRDefault="00B51FCF" w:rsidP="0092668A">
            <w:pPr>
              <w:spacing w:before="40" w:after="120"/>
              <w:ind w:right="113"/>
              <w:rPr>
                <w:noProof/>
                <w:lang w:val="fr-FR"/>
              </w:rPr>
            </w:pPr>
            <w:r w:rsidRPr="0092668A">
              <w:rPr>
                <w:noProof/>
                <w:lang w:val="fr-FR"/>
              </w:rPr>
              <w:t>23</w:t>
            </w:r>
          </w:p>
        </w:tc>
        <w:tc>
          <w:tcPr>
            <w:tcW w:w="3242" w:type="dxa"/>
            <w:shd w:val="clear" w:color="auto" w:fill="auto"/>
            <w:tcMar>
              <w:top w:w="0" w:type="dxa"/>
              <w:left w:w="0" w:type="dxa"/>
              <w:bottom w:w="0" w:type="dxa"/>
              <w:right w:w="0" w:type="dxa"/>
            </w:tcMar>
          </w:tcPr>
          <w:p w14:paraId="50A8C38C" w14:textId="77777777" w:rsidR="00B51FCF" w:rsidRPr="0092668A" w:rsidRDefault="00B51FCF" w:rsidP="0092668A">
            <w:pPr>
              <w:spacing w:before="40" w:after="120"/>
              <w:ind w:right="113"/>
              <w:rPr>
                <w:noProof/>
                <w:lang w:val="fr-FR"/>
              </w:rPr>
            </w:pPr>
            <w:r w:rsidRPr="0092668A">
              <w:rPr>
                <w:noProof/>
                <w:lang w:val="fr-FR"/>
              </w:rPr>
              <w:t>Centre pénitentiaire agricole pour femmes d</w:t>
            </w:r>
            <w:r w:rsidR="002A5D78">
              <w:rPr>
                <w:noProof/>
                <w:lang w:val="fr-FR"/>
              </w:rPr>
              <w:t>’</w:t>
            </w:r>
            <w:r w:rsidRPr="0092668A">
              <w:rPr>
                <w:noProof/>
                <w:lang w:val="fr-FR"/>
              </w:rPr>
              <w:t>Izalco</w:t>
            </w:r>
          </w:p>
        </w:tc>
        <w:tc>
          <w:tcPr>
            <w:tcW w:w="3136" w:type="dxa"/>
            <w:shd w:val="clear" w:color="auto" w:fill="auto"/>
            <w:tcMar>
              <w:top w:w="0" w:type="dxa"/>
              <w:left w:w="0" w:type="dxa"/>
              <w:bottom w:w="0" w:type="dxa"/>
              <w:right w:w="0" w:type="dxa"/>
            </w:tcMar>
          </w:tcPr>
          <w:p w14:paraId="7562BE21" w14:textId="77777777" w:rsidR="00B51FCF" w:rsidRPr="0092668A" w:rsidRDefault="00B51FCF" w:rsidP="0092668A">
            <w:pPr>
              <w:spacing w:before="40" w:after="120"/>
              <w:ind w:right="113"/>
              <w:rPr>
                <w:noProof/>
                <w:lang w:val="fr-FR"/>
              </w:rPr>
            </w:pPr>
            <w:r w:rsidRPr="0092668A">
              <w:rPr>
                <w:noProof/>
                <w:lang w:val="fr-FR"/>
              </w:rPr>
              <w:t xml:space="preserve">Femmes en phase ordinaire (avec enfants de moins de </w:t>
            </w:r>
            <w:r w:rsidR="003A76B4">
              <w:rPr>
                <w:noProof/>
                <w:lang w:val="fr-FR"/>
              </w:rPr>
              <w:t>5 </w:t>
            </w:r>
            <w:r w:rsidRPr="0092668A">
              <w:rPr>
                <w:noProof/>
                <w:lang w:val="fr-FR"/>
              </w:rPr>
              <w:t>ans ou enceintes) appartenant à différentes organisations criminelles ; femmes en phase de semi-liberté</w:t>
            </w:r>
          </w:p>
        </w:tc>
        <w:tc>
          <w:tcPr>
            <w:tcW w:w="1620" w:type="dxa"/>
            <w:shd w:val="clear" w:color="auto" w:fill="auto"/>
            <w:tcMar>
              <w:top w:w="0" w:type="dxa"/>
              <w:left w:w="0" w:type="dxa"/>
              <w:bottom w:w="0" w:type="dxa"/>
              <w:right w:w="0" w:type="dxa"/>
            </w:tcMar>
          </w:tcPr>
          <w:p w14:paraId="6824E3E2" w14:textId="77777777" w:rsidR="00B51FCF" w:rsidRPr="0092668A" w:rsidRDefault="00B51FCF" w:rsidP="0092668A">
            <w:pPr>
              <w:spacing w:before="40" w:after="120"/>
              <w:ind w:right="113"/>
              <w:rPr>
                <w:noProof/>
                <w:lang w:val="fr-FR"/>
              </w:rPr>
            </w:pPr>
            <w:r w:rsidRPr="0092668A">
              <w:rPr>
                <w:noProof/>
                <w:lang w:val="fr-FR"/>
              </w:rPr>
              <w:t>Izalco (</w:t>
            </w:r>
            <w:r w:rsidR="00B74239" w:rsidRPr="0092668A">
              <w:rPr>
                <w:noProof/>
                <w:lang w:val="fr-FR"/>
              </w:rPr>
              <w:t>département</w:t>
            </w:r>
            <w:r w:rsidRPr="0092668A">
              <w:rPr>
                <w:noProof/>
                <w:lang w:val="fr-FR"/>
              </w:rPr>
              <w:t xml:space="preserve"> de</w:t>
            </w:r>
            <w:r w:rsidR="00B74239">
              <w:rPr>
                <w:noProof/>
                <w:lang w:val="fr-FR"/>
              </w:rPr>
              <w:t> </w:t>
            </w:r>
            <w:r w:rsidRPr="0092668A">
              <w:rPr>
                <w:noProof/>
                <w:lang w:val="fr-FR"/>
              </w:rPr>
              <w:t>Sonsonate)</w:t>
            </w:r>
          </w:p>
        </w:tc>
      </w:tr>
      <w:tr w:rsidR="00B51FCF" w:rsidRPr="0092668A" w14:paraId="1394AB2D" w14:textId="77777777" w:rsidTr="0092668A">
        <w:tc>
          <w:tcPr>
            <w:tcW w:w="506" w:type="dxa"/>
            <w:shd w:val="clear" w:color="auto" w:fill="auto"/>
            <w:tcMar>
              <w:top w:w="0" w:type="dxa"/>
              <w:left w:w="0" w:type="dxa"/>
              <w:bottom w:w="0" w:type="dxa"/>
              <w:right w:w="0" w:type="dxa"/>
            </w:tcMar>
          </w:tcPr>
          <w:p w14:paraId="4B1C7FFA" w14:textId="77777777" w:rsidR="00B51FCF" w:rsidRPr="0092668A" w:rsidRDefault="00B51FCF" w:rsidP="0092668A">
            <w:pPr>
              <w:spacing w:before="40" w:after="120"/>
              <w:ind w:right="113"/>
              <w:rPr>
                <w:noProof/>
                <w:lang w:val="fr-FR"/>
              </w:rPr>
            </w:pPr>
            <w:r w:rsidRPr="0092668A">
              <w:rPr>
                <w:noProof/>
                <w:lang w:val="fr-FR"/>
              </w:rPr>
              <w:t>24</w:t>
            </w:r>
          </w:p>
        </w:tc>
        <w:tc>
          <w:tcPr>
            <w:tcW w:w="3242" w:type="dxa"/>
            <w:shd w:val="clear" w:color="auto" w:fill="auto"/>
            <w:tcMar>
              <w:top w:w="0" w:type="dxa"/>
              <w:left w:w="0" w:type="dxa"/>
              <w:bottom w:w="0" w:type="dxa"/>
              <w:right w:w="0" w:type="dxa"/>
            </w:tcMar>
          </w:tcPr>
          <w:p w14:paraId="1F66759C" w14:textId="77777777" w:rsidR="00B51FCF" w:rsidRPr="0092668A" w:rsidRDefault="00B51FCF" w:rsidP="0092668A">
            <w:pPr>
              <w:spacing w:before="40" w:after="120"/>
              <w:ind w:right="113"/>
              <w:rPr>
                <w:noProof/>
                <w:lang w:val="fr-FR"/>
              </w:rPr>
            </w:pPr>
            <w:r w:rsidRPr="0092668A">
              <w:rPr>
                <w:noProof/>
                <w:lang w:val="fr-FR"/>
              </w:rPr>
              <w:t>Centre pénitentiaire agricole de Santa Ana</w:t>
            </w:r>
          </w:p>
        </w:tc>
        <w:tc>
          <w:tcPr>
            <w:tcW w:w="3136" w:type="dxa"/>
            <w:shd w:val="clear" w:color="auto" w:fill="auto"/>
            <w:tcMar>
              <w:top w:w="0" w:type="dxa"/>
              <w:left w:w="0" w:type="dxa"/>
              <w:bottom w:w="0" w:type="dxa"/>
              <w:right w:w="0" w:type="dxa"/>
            </w:tcMar>
          </w:tcPr>
          <w:p w14:paraId="38BAA8B4" w14:textId="77777777" w:rsidR="00B51FCF" w:rsidRPr="0092668A" w:rsidRDefault="00B51FCF" w:rsidP="0092668A">
            <w:pPr>
              <w:spacing w:before="40" w:after="120"/>
              <w:ind w:right="113"/>
              <w:rPr>
                <w:noProof/>
                <w:lang w:val="fr-FR"/>
              </w:rPr>
            </w:pPr>
            <w:r w:rsidRPr="0092668A">
              <w:rPr>
                <w:noProof/>
                <w:lang w:val="fr-FR"/>
              </w:rPr>
              <w:t>Hommes en phases de confiance et de semi-liberté</w:t>
            </w:r>
          </w:p>
        </w:tc>
        <w:tc>
          <w:tcPr>
            <w:tcW w:w="1620" w:type="dxa"/>
            <w:shd w:val="clear" w:color="auto" w:fill="auto"/>
            <w:tcMar>
              <w:top w:w="0" w:type="dxa"/>
              <w:left w:w="0" w:type="dxa"/>
              <w:bottom w:w="0" w:type="dxa"/>
              <w:right w:w="0" w:type="dxa"/>
            </w:tcMar>
          </w:tcPr>
          <w:p w14:paraId="6BE6E2B8" w14:textId="77777777" w:rsidR="00B51FCF" w:rsidRPr="0092668A" w:rsidRDefault="00B51FCF" w:rsidP="0092668A">
            <w:pPr>
              <w:spacing w:before="40" w:after="120"/>
              <w:ind w:right="113"/>
              <w:rPr>
                <w:noProof/>
                <w:lang w:val="fr-FR"/>
              </w:rPr>
            </w:pPr>
            <w:r w:rsidRPr="0092668A">
              <w:rPr>
                <w:noProof/>
                <w:lang w:val="fr-FR"/>
              </w:rPr>
              <w:t>Carretera de Santa Ana, direction Metapán</w:t>
            </w:r>
          </w:p>
        </w:tc>
      </w:tr>
      <w:tr w:rsidR="00B51FCF" w:rsidRPr="0092668A" w14:paraId="52821F31" w14:textId="77777777" w:rsidTr="0092668A">
        <w:tc>
          <w:tcPr>
            <w:tcW w:w="506" w:type="dxa"/>
            <w:shd w:val="clear" w:color="auto" w:fill="auto"/>
            <w:tcMar>
              <w:top w:w="0" w:type="dxa"/>
              <w:left w:w="0" w:type="dxa"/>
              <w:bottom w:w="0" w:type="dxa"/>
              <w:right w:w="0" w:type="dxa"/>
            </w:tcMar>
          </w:tcPr>
          <w:p w14:paraId="49779A6A" w14:textId="77777777" w:rsidR="00B51FCF" w:rsidRPr="0092668A" w:rsidRDefault="00B51FCF" w:rsidP="0092668A">
            <w:pPr>
              <w:spacing w:before="40" w:after="120"/>
              <w:ind w:right="113"/>
              <w:rPr>
                <w:noProof/>
                <w:lang w:val="fr-FR"/>
              </w:rPr>
            </w:pPr>
            <w:r w:rsidRPr="0092668A">
              <w:rPr>
                <w:noProof/>
                <w:lang w:val="fr-FR"/>
              </w:rPr>
              <w:t>25</w:t>
            </w:r>
          </w:p>
        </w:tc>
        <w:tc>
          <w:tcPr>
            <w:tcW w:w="3242" w:type="dxa"/>
            <w:shd w:val="clear" w:color="auto" w:fill="auto"/>
            <w:tcMar>
              <w:top w:w="0" w:type="dxa"/>
              <w:left w:w="0" w:type="dxa"/>
              <w:bottom w:w="0" w:type="dxa"/>
              <w:right w:w="0" w:type="dxa"/>
            </w:tcMar>
          </w:tcPr>
          <w:p w14:paraId="0C6BAFC6" w14:textId="77777777" w:rsidR="00B51FCF" w:rsidRPr="0092668A" w:rsidRDefault="00B51FCF" w:rsidP="0092668A">
            <w:pPr>
              <w:spacing w:before="40" w:after="120"/>
              <w:ind w:right="113"/>
              <w:rPr>
                <w:noProof/>
                <w:lang w:val="fr-FR"/>
              </w:rPr>
            </w:pPr>
            <w:r w:rsidRPr="0092668A">
              <w:rPr>
                <w:noProof/>
                <w:lang w:val="fr-FR"/>
              </w:rPr>
              <w:t>Centre de détention à sécurité allégée de Santa Ana</w:t>
            </w:r>
          </w:p>
        </w:tc>
        <w:tc>
          <w:tcPr>
            <w:tcW w:w="3136" w:type="dxa"/>
            <w:shd w:val="clear" w:color="auto" w:fill="auto"/>
            <w:tcMar>
              <w:top w:w="0" w:type="dxa"/>
              <w:left w:w="0" w:type="dxa"/>
              <w:bottom w:w="0" w:type="dxa"/>
              <w:right w:w="0" w:type="dxa"/>
            </w:tcMar>
          </w:tcPr>
          <w:p w14:paraId="1A42FB8D" w14:textId="77777777" w:rsidR="00B51FCF" w:rsidRPr="0092668A" w:rsidRDefault="00B51FCF" w:rsidP="0092668A">
            <w:pPr>
              <w:spacing w:before="40" w:after="120"/>
              <w:ind w:right="113"/>
              <w:rPr>
                <w:noProof/>
                <w:lang w:val="fr-FR"/>
              </w:rPr>
            </w:pPr>
            <w:r w:rsidRPr="0092668A">
              <w:rPr>
                <w:noProof/>
                <w:lang w:val="fr-FR"/>
              </w:rPr>
              <w:t>Hommes classés au niveau 3 ou de faible dangerosité</w:t>
            </w:r>
          </w:p>
        </w:tc>
        <w:tc>
          <w:tcPr>
            <w:tcW w:w="1620" w:type="dxa"/>
            <w:shd w:val="clear" w:color="auto" w:fill="auto"/>
            <w:tcMar>
              <w:top w:w="0" w:type="dxa"/>
              <w:left w:w="0" w:type="dxa"/>
              <w:bottom w:w="0" w:type="dxa"/>
              <w:right w:w="0" w:type="dxa"/>
            </w:tcMar>
          </w:tcPr>
          <w:p w14:paraId="16B901AE" w14:textId="77777777" w:rsidR="00B51FCF" w:rsidRPr="0092668A" w:rsidRDefault="00B51FCF" w:rsidP="0092668A">
            <w:pPr>
              <w:spacing w:before="40" w:after="120"/>
              <w:ind w:right="113"/>
              <w:rPr>
                <w:noProof/>
                <w:lang w:val="fr-FR"/>
              </w:rPr>
            </w:pPr>
            <w:r w:rsidRPr="0092668A">
              <w:rPr>
                <w:noProof/>
                <w:lang w:val="fr-FR"/>
              </w:rPr>
              <w:t>Santa Ana</w:t>
            </w:r>
          </w:p>
        </w:tc>
      </w:tr>
      <w:tr w:rsidR="00B51FCF" w:rsidRPr="0092668A" w14:paraId="4BB4908F" w14:textId="77777777" w:rsidTr="0092668A">
        <w:tc>
          <w:tcPr>
            <w:tcW w:w="506" w:type="dxa"/>
            <w:tcBorders>
              <w:bottom w:val="single" w:sz="12" w:space="0" w:color="auto"/>
            </w:tcBorders>
            <w:shd w:val="clear" w:color="auto" w:fill="auto"/>
            <w:tcMar>
              <w:top w:w="0" w:type="dxa"/>
              <w:left w:w="0" w:type="dxa"/>
              <w:bottom w:w="0" w:type="dxa"/>
              <w:right w:w="0" w:type="dxa"/>
            </w:tcMar>
          </w:tcPr>
          <w:p w14:paraId="64F3705E" w14:textId="77777777" w:rsidR="00B51FCF" w:rsidRPr="0092668A" w:rsidRDefault="00B51FCF" w:rsidP="0092668A">
            <w:pPr>
              <w:spacing w:before="40" w:after="120"/>
              <w:ind w:right="113"/>
              <w:rPr>
                <w:noProof/>
                <w:lang w:val="fr-FR"/>
              </w:rPr>
            </w:pPr>
            <w:r w:rsidRPr="0092668A">
              <w:rPr>
                <w:noProof/>
                <w:lang w:val="fr-FR"/>
              </w:rPr>
              <w:t>26</w:t>
            </w:r>
          </w:p>
        </w:tc>
        <w:tc>
          <w:tcPr>
            <w:tcW w:w="3242" w:type="dxa"/>
            <w:tcBorders>
              <w:bottom w:val="single" w:sz="12" w:space="0" w:color="auto"/>
            </w:tcBorders>
            <w:shd w:val="clear" w:color="auto" w:fill="auto"/>
            <w:tcMar>
              <w:top w:w="0" w:type="dxa"/>
              <w:left w:w="0" w:type="dxa"/>
              <w:bottom w:w="0" w:type="dxa"/>
              <w:right w:w="0" w:type="dxa"/>
            </w:tcMar>
          </w:tcPr>
          <w:p w14:paraId="6A2AB09F" w14:textId="77777777" w:rsidR="00B51FCF" w:rsidRPr="0092668A" w:rsidRDefault="00B51FCF" w:rsidP="0092668A">
            <w:pPr>
              <w:spacing w:before="40" w:after="120"/>
              <w:ind w:right="113"/>
              <w:rPr>
                <w:noProof/>
                <w:lang w:val="fr-FR"/>
              </w:rPr>
            </w:pPr>
            <w:r w:rsidRPr="0092668A">
              <w:rPr>
                <w:noProof/>
                <w:lang w:val="fr-FR"/>
              </w:rPr>
              <w:t>Centre de détention à sécurité allégée La Esperanza</w:t>
            </w:r>
          </w:p>
        </w:tc>
        <w:tc>
          <w:tcPr>
            <w:tcW w:w="3136" w:type="dxa"/>
            <w:tcBorders>
              <w:bottom w:val="single" w:sz="12" w:space="0" w:color="auto"/>
            </w:tcBorders>
            <w:shd w:val="clear" w:color="auto" w:fill="auto"/>
            <w:tcMar>
              <w:top w:w="0" w:type="dxa"/>
              <w:left w:w="0" w:type="dxa"/>
              <w:bottom w:w="0" w:type="dxa"/>
              <w:right w:w="0" w:type="dxa"/>
            </w:tcMar>
          </w:tcPr>
          <w:p w14:paraId="02C6A1E0" w14:textId="77777777" w:rsidR="00B51FCF" w:rsidRPr="0092668A" w:rsidRDefault="00B51FCF" w:rsidP="0092668A">
            <w:pPr>
              <w:spacing w:before="40" w:after="120"/>
              <w:ind w:right="113"/>
              <w:rPr>
                <w:noProof/>
                <w:lang w:val="fr-FR"/>
              </w:rPr>
            </w:pPr>
            <w:r w:rsidRPr="0092668A">
              <w:rPr>
                <w:noProof/>
                <w:lang w:val="fr-FR"/>
              </w:rPr>
              <w:t>Hommes classés au niveau 3 ou de faible dangerosité</w:t>
            </w:r>
          </w:p>
        </w:tc>
        <w:tc>
          <w:tcPr>
            <w:tcW w:w="1620" w:type="dxa"/>
            <w:tcBorders>
              <w:bottom w:val="single" w:sz="12" w:space="0" w:color="auto"/>
            </w:tcBorders>
            <w:shd w:val="clear" w:color="auto" w:fill="auto"/>
            <w:tcMar>
              <w:top w:w="0" w:type="dxa"/>
              <w:left w:w="0" w:type="dxa"/>
              <w:bottom w:w="0" w:type="dxa"/>
              <w:right w:w="0" w:type="dxa"/>
            </w:tcMar>
          </w:tcPr>
          <w:p w14:paraId="193CC740" w14:textId="77777777" w:rsidR="00B51FCF" w:rsidRPr="0092668A" w:rsidRDefault="00B51FCF" w:rsidP="0092668A">
            <w:pPr>
              <w:spacing w:before="40" w:after="120"/>
              <w:ind w:right="113"/>
              <w:rPr>
                <w:noProof/>
                <w:lang w:val="fr-FR"/>
              </w:rPr>
            </w:pPr>
            <w:r w:rsidRPr="0092668A">
              <w:rPr>
                <w:noProof/>
                <w:lang w:val="fr-FR"/>
              </w:rPr>
              <w:t>Ayutuxtepeque</w:t>
            </w:r>
          </w:p>
        </w:tc>
      </w:tr>
    </w:tbl>
    <w:p w14:paraId="691A922B" w14:textId="77777777" w:rsidR="00B51FCF" w:rsidRDefault="00B51FCF" w:rsidP="00B74239">
      <w:pPr>
        <w:pStyle w:val="SingleTxtG"/>
        <w:spacing w:before="120"/>
        <w:rPr>
          <w:noProof/>
          <w:lang w:val="fr-FR"/>
        </w:rPr>
      </w:pPr>
      <w:r w:rsidRPr="00BB6F7D">
        <w:rPr>
          <w:noProof/>
          <w:lang w:val="fr-FR"/>
        </w:rPr>
        <w:t>70.</w:t>
      </w:r>
      <w:r w:rsidRPr="00BB6F7D">
        <w:rPr>
          <w:noProof/>
          <w:lang w:val="fr-FR"/>
        </w:rPr>
        <w:tab/>
      </w:r>
      <w:r>
        <w:rPr>
          <w:noProof/>
          <w:lang w:val="fr-FR"/>
        </w:rPr>
        <w:t>En El Salvador, la détention provisoire est réglementée par le Code de procédure pénale, qui organise à grands traits et de façon générale tout ce qui concerne ses formalités, ses conditions, le moment où elle peut être appliquée, sa durée, les recours possibles contre elle et autres questions. Son application relève de la stricte compétence des juges, qui doivent tenir compte de la gravité des faits reprochés et du risque de voir l</w:t>
      </w:r>
      <w:r w:rsidR="002A5D78">
        <w:rPr>
          <w:noProof/>
          <w:lang w:val="fr-FR"/>
        </w:rPr>
        <w:t>’</w:t>
      </w:r>
      <w:r>
        <w:rPr>
          <w:noProof/>
          <w:lang w:val="fr-FR"/>
        </w:rPr>
        <w:t>accusé prendre la fuite ou faire obstacle aux investigations. Comme il s</w:t>
      </w:r>
      <w:r w:rsidR="002A5D78">
        <w:rPr>
          <w:noProof/>
          <w:lang w:val="fr-FR"/>
        </w:rPr>
        <w:t>’</w:t>
      </w:r>
      <w:r>
        <w:rPr>
          <w:noProof/>
          <w:lang w:val="fr-FR"/>
        </w:rPr>
        <w:t>agit d</w:t>
      </w:r>
      <w:r w:rsidR="002A5D78">
        <w:rPr>
          <w:noProof/>
          <w:lang w:val="fr-FR"/>
        </w:rPr>
        <w:t>’</w:t>
      </w:r>
      <w:r>
        <w:rPr>
          <w:noProof/>
          <w:lang w:val="fr-FR"/>
        </w:rPr>
        <w:t>une mesure conservatoire, elle est réexaminée tous les trois mois, et comme elle est réputée être une mesure de dernier ressort, les intéressés ont droit à l</w:t>
      </w:r>
      <w:r w:rsidR="002A5D78">
        <w:rPr>
          <w:noProof/>
          <w:lang w:val="fr-FR"/>
        </w:rPr>
        <w:t>’</w:t>
      </w:r>
      <w:r>
        <w:rPr>
          <w:noProof/>
          <w:lang w:val="fr-FR"/>
        </w:rPr>
        <w:t>application de mesures alternatives. En 2015, l</w:t>
      </w:r>
      <w:r w:rsidR="002A5D78">
        <w:rPr>
          <w:noProof/>
          <w:lang w:val="fr-FR"/>
        </w:rPr>
        <w:t>’</w:t>
      </w:r>
      <w:r>
        <w:rPr>
          <w:noProof/>
          <w:lang w:val="fr-FR"/>
        </w:rPr>
        <w:t>Assemblée législative a adopté une loi relative à l</w:t>
      </w:r>
      <w:r w:rsidR="002A5D78">
        <w:rPr>
          <w:noProof/>
          <w:lang w:val="fr-FR"/>
        </w:rPr>
        <w:t>’</w:t>
      </w:r>
      <w:r>
        <w:rPr>
          <w:noProof/>
          <w:lang w:val="fr-FR"/>
        </w:rPr>
        <w:t>utilisation de moyens de surveillance électronique en matière pénale</w:t>
      </w:r>
      <w:r>
        <w:rPr>
          <w:rStyle w:val="Appelnotedebasdep"/>
          <w:noProof/>
          <w:lang w:val="fr-FR"/>
        </w:rPr>
        <w:footnoteReference w:id="19"/>
      </w:r>
      <w:r>
        <w:rPr>
          <w:noProof/>
          <w:lang w:val="fr-FR"/>
        </w:rPr>
        <w:t xml:space="preserve"> qui encadre l</w:t>
      </w:r>
      <w:r w:rsidR="002A5D78">
        <w:rPr>
          <w:noProof/>
          <w:lang w:val="fr-FR"/>
        </w:rPr>
        <w:t>’</w:t>
      </w:r>
      <w:r>
        <w:rPr>
          <w:noProof/>
          <w:lang w:val="fr-FR"/>
        </w:rPr>
        <w:t xml:space="preserve">utilisation de ces moyens aux fins de contrôle et de localisation </w:t>
      </w:r>
      <w:r>
        <w:rPr>
          <w:noProof/>
          <w:lang w:val="fr-FR"/>
        </w:rPr>
        <w:lastRenderedPageBreak/>
        <w:t xml:space="preserve">et comme alternatives à la détention provisoire lorsque celle-ci dépasse les </w:t>
      </w:r>
      <w:r w:rsidR="00A10602">
        <w:rPr>
          <w:noProof/>
          <w:lang w:val="fr-FR"/>
        </w:rPr>
        <w:t>vingt-quatre</w:t>
      </w:r>
      <w:r>
        <w:rPr>
          <w:noProof/>
          <w:lang w:val="fr-FR"/>
        </w:rPr>
        <w:t xml:space="preserve"> mois autorisés.</w:t>
      </w:r>
    </w:p>
    <w:p w14:paraId="3B665BC1" w14:textId="77777777" w:rsidR="00B51FCF" w:rsidRDefault="00B51FCF" w:rsidP="00B51FCF">
      <w:pPr>
        <w:pStyle w:val="SingleTxtG"/>
        <w:rPr>
          <w:noProof/>
          <w:lang w:val="fr-FR"/>
        </w:rPr>
      </w:pPr>
      <w:r w:rsidRPr="00BB6F7D">
        <w:rPr>
          <w:noProof/>
          <w:lang w:val="fr-FR"/>
        </w:rPr>
        <w:t>71.</w:t>
      </w:r>
      <w:r w:rsidRPr="00BB6F7D">
        <w:rPr>
          <w:noProof/>
          <w:lang w:val="fr-FR"/>
        </w:rPr>
        <w:tab/>
      </w:r>
      <w:r>
        <w:rPr>
          <w:noProof/>
          <w:lang w:val="fr-FR"/>
        </w:rPr>
        <w:t>En ce qui concerne l</w:t>
      </w:r>
      <w:r w:rsidR="002A5D78">
        <w:rPr>
          <w:noProof/>
          <w:lang w:val="fr-FR"/>
        </w:rPr>
        <w:t>’</w:t>
      </w:r>
      <w:r>
        <w:rPr>
          <w:noProof/>
          <w:lang w:val="fr-FR"/>
        </w:rPr>
        <w:t>isolement des détenus, la loi pénitentiaire subordonne l</w:t>
      </w:r>
      <w:r w:rsidR="002A5D78">
        <w:rPr>
          <w:noProof/>
          <w:lang w:val="fr-FR"/>
        </w:rPr>
        <w:t>’</w:t>
      </w:r>
      <w:r>
        <w:rPr>
          <w:noProof/>
          <w:lang w:val="fr-FR"/>
        </w:rPr>
        <w:t>application de cette mesure à de strictes conditions et limite sa durée à un maximum de trente jours ; le règlement d</w:t>
      </w:r>
      <w:r w:rsidR="002A5D78">
        <w:rPr>
          <w:noProof/>
          <w:lang w:val="fr-FR"/>
        </w:rPr>
        <w:t>’</w:t>
      </w:r>
      <w:r>
        <w:rPr>
          <w:noProof/>
          <w:lang w:val="fr-FR"/>
        </w:rPr>
        <w:t>application de la loi définit les conditions auxquelles est soumis l</w:t>
      </w:r>
      <w:r w:rsidR="002A5D78">
        <w:rPr>
          <w:noProof/>
          <w:lang w:val="fr-FR"/>
        </w:rPr>
        <w:t>’</w:t>
      </w:r>
      <w:r>
        <w:rPr>
          <w:noProof/>
          <w:lang w:val="fr-FR"/>
        </w:rPr>
        <w:t>encellulement individuel afin de garantir le respect de la dignité et de l</w:t>
      </w:r>
      <w:r w:rsidR="002A5D78">
        <w:rPr>
          <w:noProof/>
          <w:lang w:val="fr-FR"/>
        </w:rPr>
        <w:t>’</w:t>
      </w:r>
      <w:r>
        <w:rPr>
          <w:noProof/>
          <w:lang w:val="fr-FR"/>
        </w:rPr>
        <w:t>intégrité de la personne du détenu. Cette mesure peut faire l</w:t>
      </w:r>
      <w:r w:rsidR="002A5D78">
        <w:rPr>
          <w:noProof/>
          <w:lang w:val="fr-FR"/>
        </w:rPr>
        <w:t>’</w:t>
      </w:r>
      <w:r>
        <w:rPr>
          <w:noProof/>
          <w:lang w:val="fr-FR"/>
        </w:rPr>
        <w:t>objet d</w:t>
      </w:r>
      <w:r w:rsidR="002A5D78">
        <w:rPr>
          <w:noProof/>
          <w:lang w:val="fr-FR"/>
        </w:rPr>
        <w:t>’</w:t>
      </w:r>
      <w:r>
        <w:rPr>
          <w:noProof/>
          <w:lang w:val="fr-FR"/>
        </w:rPr>
        <w:t>un recours auprès du juge du contrôle pénitentiaire et de l</w:t>
      </w:r>
      <w:r w:rsidR="002A5D78">
        <w:rPr>
          <w:noProof/>
          <w:lang w:val="fr-FR"/>
        </w:rPr>
        <w:t>’</w:t>
      </w:r>
      <w:r>
        <w:rPr>
          <w:noProof/>
          <w:lang w:val="fr-FR"/>
        </w:rPr>
        <w:t>application des peines ; dans certains cas particuliers, le placement en isolement peut être sollicité par le détenu lui-même pour garantir la sûreté de sa personne, s</w:t>
      </w:r>
      <w:r w:rsidR="002A5D78">
        <w:rPr>
          <w:noProof/>
          <w:lang w:val="fr-FR"/>
        </w:rPr>
        <w:t>’</w:t>
      </w:r>
      <w:r>
        <w:rPr>
          <w:noProof/>
          <w:lang w:val="fr-FR"/>
        </w:rPr>
        <w:t>il se retire d</w:t>
      </w:r>
      <w:r w:rsidR="002A5D78">
        <w:rPr>
          <w:noProof/>
          <w:lang w:val="fr-FR"/>
        </w:rPr>
        <w:t>’</w:t>
      </w:r>
      <w:r>
        <w:rPr>
          <w:noProof/>
          <w:lang w:val="fr-FR"/>
        </w:rPr>
        <w:t>une bande criminelle ou autre association de malfaiteurs par exemple.</w:t>
      </w:r>
    </w:p>
    <w:p w14:paraId="60DAD6AD" w14:textId="77777777" w:rsidR="00B51FCF" w:rsidRDefault="00B51FCF" w:rsidP="00B51FCF">
      <w:pPr>
        <w:pStyle w:val="SingleTxtG"/>
        <w:rPr>
          <w:noProof/>
          <w:lang w:val="fr-FR"/>
        </w:rPr>
      </w:pPr>
      <w:bookmarkStart w:id="12" w:name="_Hlk42512861"/>
      <w:r w:rsidRPr="00BB6F7D">
        <w:rPr>
          <w:noProof/>
          <w:lang w:val="fr-FR"/>
        </w:rPr>
        <w:t>72.</w:t>
      </w:r>
      <w:r w:rsidRPr="00BB6F7D">
        <w:rPr>
          <w:noProof/>
          <w:lang w:val="fr-FR"/>
        </w:rPr>
        <w:tab/>
      </w:r>
      <w:r>
        <w:rPr>
          <w:noProof/>
          <w:lang w:val="fr-FR"/>
        </w:rPr>
        <w:t>En réponse aux observations finales du Comité (</w:t>
      </w:r>
      <w:r w:rsidRPr="00126714">
        <w:rPr>
          <w:noProof/>
          <w:lang w:val="fr-FR"/>
        </w:rPr>
        <w:t>CAT/C/SLV/CO/2</w:t>
      </w:r>
      <w:r>
        <w:rPr>
          <w:noProof/>
          <w:lang w:val="fr-FR"/>
        </w:rPr>
        <w:t>, par.</w:t>
      </w:r>
      <w:r w:rsidR="00A10602">
        <w:rPr>
          <w:noProof/>
          <w:lang w:val="fr-FR"/>
        </w:rPr>
        <w:t> </w:t>
      </w:r>
      <w:r>
        <w:rPr>
          <w:noProof/>
          <w:lang w:val="fr-FR"/>
        </w:rPr>
        <w:t>17 à 19), El</w:t>
      </w:r>
      <w:r w:rsidR="00A10602">
        <w:rPr>
          <w:noProof/>
          <w:lang w:val="fr-FR"/>
        </w:rPr>
        <w:t> </w:t>
      </w:r>
      <w:r>
        <w:rPr>
          <w:noProof/>
          <w:lang w:val="fr-FR"/>
        </w:rPr>
        <w:t>Salvador fait savoir que la Chambre constitutionnelle de la Cour suprême de justice a jugé contraire à la Constitution la surpopulation des prisons dans sa décision de 2016 statuant sur le</w:t>
      </w:r>
      <w:r w:rsidRPr="006E535B">
        <w:rPr>
          <w:noProof/>
          <w:lang w:val="fr-FR"/>
        </w:rPr>
        <w:t xml:space="preserve"> recours en inconstitutionnalité</w:t>
      </w:r>
      <w:r>
        <w:rPr>
          <w:noProof/>
          <w:lang w:val="fr-FR"/>
        </w:rPr>
        <w:t xml:space="preserve"> </w:t>
      </w:r>
      <w:r w:rsidRPr="00BB6F7D">
        <w:rPr>
          <w:noProof/>
          <w:lang w:val="fr-FR"/>
        </w:rPr>
        <w:t>Inc.</w:t>
      </w:r>
      <w:r w:rsidR="006A3A5E">
        <w:rPr>
          <w:noProof/>
          <w:lang w:val="fr-FR"/>
        </w:rPr>
        <w:t> </w:t>
      </w:r>
      <w:r w:rsidRPr="00BB6F7D">
        <w:rPr>
          <w:noProof/>
          <w:lang w:val="fr-FR"/>
        </w:rPr>
        <w:t>119-2014</w:t>
      </w:r>
      <w:r w:rsidR="006A3A5E">
        <w:rPr>
          <w:noProof/>
          <w:lang w:val="fr-FR"/>
        </w:rPr>
        <w:t> </w:t>
      </w:r>
      <w:r w:rsidRPr="00BB6F7D">
        <w:rPr>
          <w:noProof/>
          <w:lang w:val="fr-FR"/>
        </w:rPr>
        <w:t>AC</w:t>
      </w:r>
      <w:r>
        <w:rPr>
          <w:noProof/>
          <w:lang w:val="fr-FR"/>
        </w:rPr>
        <w:t>, en conséquence de quoi ont été prises les mesures concrètes ci-après, dont on espère qu</w:t>
      </w:r>
      <w:r w:rsidR="002A5D78">
        <w:rPr>
          <w:noProof/>
          <w:lang w:val="fr-FR"/>
        </w:rPr>
        <w:t>’</w:t>
      </w:r>
      <w:r>
        <w:rPr>
          <w:noProof/>
          <w:lang w:val="fr-FR"/>
        </w:rPr>
        <w:t>elles permettront de réduire la densité carcérale à 154</w:t>
      </w:r>
      <w:r w:rsidR="006A3A5E">
        <w:rPr>
          <w:noProof/>
          <w:lang w:val="fr-FR"/>
        </w:rPr>
        <w:t> </w:t>
      </w:r>
      <w:r>
        <w:rPr>
          <w:noProof/>
          <w:lang w:val="fr-FR"/>
        </w:rPr>
        <w:t>% de la capacité opérationnelle :</w:t>
      </w:r>
    </w:p>
    <w:bookmarkEnd w:id="12"/>
    <w:p w14:paraId="466A8357" w14:textId="77777777" w:rsidR="00B51FCF" w:rsidRDefault="00B51FCF" w:rsidP="006A3A5E">
      <w:pPr>
        <w:pStyle w:val="Bullet1G"/>
        <w:rPr>
          <w:noProof/>
          <w:lang w:val="fr-FR"/>
        </w:rPr>
      </w:pPr>
      <w:r w:rsidRPr="006A3A5E">
        <w:t>Investissement</w:t>
      </w:r>
      <w:r>
        <w:rPr>
          <w:noProof/>
          <w:lang w:val="fr-FR"/>
        </w:rPr>
        <w:t xml:space="preserve"> de 54,9 millions de dollars dans la construction et la rénovation d</w:t>
      </w:r>
      <w:r w:rsidR="002A5D78">
        <w:rPr>
          <w:noProof/>
          <w:lang w:val="fr-FR"/>
        </w:rPr>
        <w:t>’</w:t>
      </w:r>
      <w:r>
        <w:rPr>
          <w:noProof/>
          <w:lang w:val="fr-FR"/>
        </w:rPr>
        <w:t>établissements pénitentiaires, ce qui a permis de créer 1</w:t>
      </w:r>
      <w:r w:rsidR="006A3A5E">
        <w:rPr>
          <w:noProof/>
          <w:lang w:val="fr-FR"/>
        </w:rPr>
        <w:t>7</w:t>
      </w:r>
      <w:r>
        <w:rPr>
          <w:noProof/>
          <w:lang w:val="fr-FR"/>
        </w:rPr>
        <w:t> 956 nouvelles places. Cet investissement vise les centres pénitentiaires d</w:t>
      </w:r>
      <w:r w:rsidR="002A5D78">
        <w:rPr>
          <w:noProof/>
          <w:lang w:val="fr-FR"/>
        </w:rPr>
        <w:t>’</w:t>
      </w:r>
      <w:r>
        <w:rPr>
          <w:noProof/>
          <w:lang w:val="fr-FR"/>
        </w:rPr>
        <w:t>Izalco phases II et III, le c</w:t>
      </w:r>
      <w:r w:rsidRPr="00A2212F">
        <w:rPr>
          <w:noProof/>
          <w:lang w:val="fr-FR"/>
        </w:rPr>
        <w:t>entre pénitentiaire agricole</w:t>
      </w:r>
      <w:r>
        <w:rPr>
          <w:noProof/>
          <w:lang w:val="fr-FR"/>
        </w:rPr>
        <w:t xml:space="preserve"> de Zacatecoluca, le centre de réclusion temporaire pour détenus de faible dangerosité de Mariona, les quartiers de sécurité d</w:t>
      </w:r>
      <w:r w:rsidR="002A5D78">
        <w:rPr>
          <w:noProof/>
          <w:lang w:val="fr-FR"/>
        </w:rPr>
        <w:t>’</w:t>
      </w:r>
      <w:r>
        <w:rPr>
          <w:noProof/>
          <w:lang w:val="fr-FR"/>
        </w:rPr>
        <w:t>Izalco et Quezaltepeque, le bâtiment industriel du centre pénitentiaire agricole de Santa Ana, le centre de détention temporaire d</w:t>
      </w:r>
      <w:r w:rsidR="002A5D78">
        <w:rPr>
          <w:noProof/>
          <w:lang w:val="fr-FR"/>
        </w:rPr>
        <w:t>’</w:t>
      </w:r>
      <w:r>
        <w:rPr>
          <w:noProof/>
          <w:lang w:val="fr-FR"/>
        </w:rPr>
        <w:t>Izalco et le centre de réclusion temporaire pour détenus de faible dangerosité de Santa Ana.</w:t>
      </w:r>
    </w:p>
    <w:p w14:paraId="7F3D67EF"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Approbation de l</w:t>
      </w:r>
      <w:r w:rsidR="002A5D78">
        <w:rPr>
          <w:noProof/>
          <w:lang w:val="fr-FR"/>
        </w:rPr>
        <w:t>’</w:t>
      </w:r>
      <w:r>
        <w:rPr>
          <w:noProof/>
          <w:lang w:val="fr-FR"/>
        </w:rPr>
        <w:t>utilisation de bracelets électroniques.</w:t>
      </w:r>
    </w:p>
    <w:p w14:paraId="71C93907"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Construction de centres de détention à sécurité allégée qui hébergeront des détenus de faible dangerosité et qui offriront un total de 7</w:t>
      </w:r>
      <w:r w:rsidR="00D341D3">
        <w:rPr>
          <w:noProof/>
          <w:lang w:val="fr-FR"/>
        </w:rPr>
        <w:t> </w:t>
      </w:r>
      <w:r>
        <w:rPr>
          <w:noProof/>
          <w:lang w:val="fr-FR"/>
        </w:rPr>
        <w:t xml:space="preserve">500 places. </w:t>
      </w:r>
    </w:p>
    <w:p w14:paraId="4F9DAF76" w14:textId="77777777" w:rsidR="00B51FCF" w:rsidRPr="00B74BE6"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Renforcement du Conseil national de criminologie, des conseils régionaux de criminologie et des équipes techniques, à qui il revient de procéder à l</w:t>
      </w:r>
      <w:r w:rsidR="002A5D78">
        <w:rPr>
          <w:noProof/>
          <w:lang w:val="fr-FR"/>
        </w:rPr>
        <w:t>’</w:t>
      </w:r>
      <w:r>
        <w:rPr>
          <w:noProof/>
          <w:lang w:val="fr-FR"/>
        </w:rPr>
        <w:t>évaluation des personnes privées de liberté et de proposer aux juges leur placement selon les « phases » prévues par la loi pénitentiaire, y compris les « phases » de libération conditionnelle et de libération anticipée.</w:t>
      </w:r>
    </w:p>
    <w:p w14:paraId="6F612DB0" w14:textId="77777777" w:rsidR="00B51FCF" w:rsidRDefault="00B51FCF" w:rsidP="00B51FCF">
      <w:pPr>
        <w:pStyle w:val="SingleTxtG"/>
        <w:rPr>
          <w:noProof/>
          <w:lang w:val="fr-FR"/>
        </w:rPr>
      </w:pPr>
      <w:r w:rsidRPr="00BB6F7D">
        <w:rPr>
          <w:noProof/>
          <w:lang w:val="fr-FR"/>
        </w:rPr>
        <w:t>73.</w:t>
      </w:r>
      <w:r w:rsidRPr="00BB6F7D">
        <w:rPr>
          <w:noProof/>
          <w:lang w:val="fr-FR"/>
        </w:rPr>
        <w:tab/>
      </w:r>
      <w:r>
        <w:rPr>
          <w:noProof/>
          <w:lang w:val="fr-FR"/>
        </w:rPr>
        <w:t>La surpopulation carcérale a eu un impact déplorable sur les conditions d</w:t>
      </w:r>
      <w:r w:rsidR="002A5D78">
        <w:rPr>
          <w:noProof/>
          <w:lang w:val="fr-FR"/>
        </w:rPr>
        <w:t>’</w:t>
      </w:r>
      <w:r>
        <w:rPr>
          <w:noProof/>
          <w:lang w:val="fr-FR"/>
        </w:rPr>
        <w:t>hygiène dans les établissements pénitentiaires, ce qui a imposé de prendre en charge la santé des personnes privées de liberté. Les mesures ci-après ont été adoptées</w:t>
      </w:r>
      <w:r w:rsidR="00D341D3">
        <w:rPr>
          <w:noProof/>
          <w:lang w:val="fr-FR"/>
        </w:rPr>
        <w:t xml:space="preserve"> </w:t>
      </w:r>
      <w:r>
        <w:rPr>
          <w:noProof/>
          <w:lang w:val="fr-FR"/>
        </w:rPr>
        <w:t>à cette fin</w:t>
      </w:r>
      <w:r w:rsidR="00D341D3">
        <w:rPr>
          <w:noProof/>
          <w:lang w:val="fr-FR"/>
        </w:rPr>
        <w:t> </w:t>
      </w:r>
      <w:r>
        <w:rPr>
          <w:noProof/>
          <w:lang w:val="fr-FR"/>
        </w:rPr>
        <w:t>:</w:t>
      </w:r>
    </w:p>
    <w:p w14:paraId="7E22A162"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Organisation de journées de nettoyage périodique dans tous les établissements et mesures d</w:t>
      </w:r>
      <w:r w:rsidR="002A5D78">
        <w:rPr>
          <w:noProof/>
          <w:lang w:val="fr-FR"/>
        </w:rPr>
        <w:t>’</w:t>
      </w:r>
      <w:r>
        <w:rPr>
          <w:noProof/>
          <w:lang w:val="fr-FR"/>
        </w:rPr>
        <w:t>assainissement comprenant notamment des fumigations et des contrôles de la qualité de l</w:t>
      </w:r>
      <w:r w:rsidR="002A5D78">
        <w:rPr>
          <w:noProof/>
          <w:lang w:val="fr-FR"/>
        </w:rPr>
        <w:t>’</w:t>
      </w:r>
      <w:r>
        <w:rPr>
          <w:noProof/>
          <w:lang w:val="fr-FR"/>
        </w:rPr>
        <w:t>eau, en coordination avec les unités communautaires de santé de la famille</w:t>
      </w:r>
      <w:r w:rsidR="00D341D3">
        <w:rPr>
          <w:noProof/>
          <w:lang w:val="fr-FR"/>
        </w:rPr>
        <w:t> ;</w:t>
      </w:r>
    </w:p>
    <w:p w14:paraId="119634E6"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Renforcement de la prise en charge médicale et infirmière et des services de laboratoire, grâce à une augmentation des effectifs</w:t>
      </w:r>
      <w:r w:rsidR="00D341D3">
        <w:rPr>
          <w:noProof/>
          <w:lang w:val="fr-FR"/>
        </w:rPr>
        <w:t> ;</w:t>
      </w:r>
    </w:p>
    <w:p w14:paraId="4A781E9D"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 xml:space="preserve">Ouverture du </w:t>
      </w:r>
      <w:r w:rsidRPr="008221A5">
        <w:rPr>
          <w:noProof/>
          <w:lang w:val="fr-FR"/>
        </w:rPr>
        <w:t>Centre de soins intégrés pour personnes privées de liberté atteintes de maladies dégénératives chroniques</w:t>
      </w:r>
      <w:r w:rsidR="00D341D3">
        <w:rPr>
          <w:noProof/>
          <w:lang w:val="fr-FR"/>
        </w:rPr>
        <w:t> ;</w:t>
      </w:r>
    </w:p>
    <w:p w14:paraId="7D3B5CAD"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Installation de laboratoires dans la clinique du centre pénal La Esperanza et dans la clinique d</w:t>
      </w:r>
      <w:r w:rsidR="002A5D78">
        <w:rPr>
          <w:noProof/>
          <w:lang w:val="fr-FR"/>
        </w:rPr>
        <w:t>’</w:t>
      </w:r>
      <w:r>
        <w:rPr>
          <w:noProof/>
          <w:lang w:val="fr-FR"/>
        </w:rPr>
        <w:t>Ilopango, laquelle sera réaménagée et équipée pour en faire un centre de soins intégrés pour femmes privées de liberté</w:t>
      </w:r>
      <w:r w:rsidR="00D341D3">
        <w:rPr>
          <w:noProof/>
          <w:lang w:val="fr-FR"/>
        </w:rPr>
        <w:t> ;</w:t>
      </w:r>
    </w:p>
    <w:p w14:paraId="695F4B69"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Mise en œuvre d</w:t>
      </w:r>
      <w:r w:rsidR="002A5D78">
        <w:rPr>
          <w:noProof/>
          <w:lang w:val="fr-FR"/>
        </w:rPr>
        <w:t>’</w:t>
      </w:r>
      <w:r>
        <w:rPr>
          <w:noProof/>
          <w:lang w:val="fr-FR"/>
        </w:rPr>
        <w:t>un plan de prise en charge sanitaire globale axé sur la santé sexuelle et reproductive de la population féminine privée de liberté</w:t>
      </w:r>
      <w:r w:rsidR="00D341D3">
        <w:rPr>
          <w:noProof/>
          <w:lang w:val="fr-FR"/>
        </w:rPr>
        <w:t> ;</w:t>
      </w:r>
    </w:p>
    <w:p w14:paraId="07DCF103"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Exécution du programme d</w:t>
      </w:r>
      <w:r w:rsidR="002A5D78">
        <w:rPr>
          <w:noProof/>
          <w:lang w:val="fr-FR"/>
        </w:rPr>
        <w:t>’</w:t>
      </w:r>
      <w:r>
        <w:rPr>
          <w:noProof/>
          <w:lang w:val="fr-FR"/>
        </w:rPr>
        <w:t>auto-assistance pour femmes privées de liberté qui ont été victimes de violence sous l</w:t>
      </w:r>
      <w:r w:rsidR="002A5D78">
        <w:rPr>
          <w:noProof/>
          <w:lang w:val="fr-FR"/>
        </w:rPr>
        <w:t>’</w:t>
      </w:r>
      <w:r>
        <w:rPr>
          <w:noProof/>
          <w:lang w:val="fr-FR"/>
        </w:rPr>
        <w:t>une quelconque de ses formes</w:t>
      </w:r>
      <w:r w:rsidR="00D341D3">
        <w:rPr>
          <w:noProof/>
          <w:lang w:val="fr-FR"/>
        </w:rPr>
        <w:t> ;</w:t>
      </w:r>
    </w:p>
    <w:p w14:paraId="4216A8DA"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Mise en place d</w:t>
      </w:r>
      <w:r w:rsidR="002A5D78">
        <w:rPr>
          <w:noProof/>
          <w:lang w:val="fr-FR"/>
        </w:rPr>
        <w:t>’</w:t>
      </w:r>
      <w:r>
        <w:rPr>
          <w:noProof/>
          <w:lang w:val="fr-FR"/>
        </w:rPr>
        <w:t>un protocole de soins médicaux à la population privée de liberté et souffrant de dénutrition</w:t>
      </w:r>
      <w:r w:rsidR="00D341D3">
        <w:rPr>
          <w:noProof/>
          <w:lang w:val="fr-FR"/>
        </w:rPr>
        <w:t> ;</w:t>
      </w:r>
    </w:p>
    <w:p w14:paraId="7A5885D7" w14:textId="77777777" w:rsidR="00B51FCF" w:rsidRPr="0026738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lastRenderedPageBreak/>
        <w:t>Distribution de suppléments nutritionnels pour problèmes de santé particuliers.</w:t>
      </w:r>
    </w:p>
    <w:p w14:paraId="3113705C" w14:textId="77777777" w:rsidR="00B51FCF" w:rsidRDefault="00B51FCF" w:rsidP="00B51FCF">
      <w:pPr>
        <w:pStyle w:val="SingleTxtG"/>
        <w:rPr>
          <w:noProof/>
          <w:lang w:val="fr-FR"/>
        </w:rPr>
      </w:pPr>
      <w:r w:rsidRPr="00BB6F7D">
        <w:rPr>
          <w:noProof/>
          <w:lang w:val="fr-FR"/>
        </w:rPr>
        <w:t>74.</w:t>
      </w:r>
      <w:r w:rsidRPr="00BB6F7D">
        <w:rPr>
          <w:noProof/>
          <w:lang w:val="fr-FR"/>
        </w:rPr>
        <w:tab/>
      </w:r>
      <w:r>
        <w:rPr>
          <w:noProof/>
          <w:lang w:val="fr-FR"/>
        </w:rPr>
        <w:t>Les mesures ci-après ont été prises pour lutter contre la propagation de la tuberculose dans les prisons :</w:t>
      </w:r>
    </w:p>
    <w:p w14:paraId="51CA3896"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Exécution d</w:t>
      </w:r>
      <w:r w:rsidR="002A5D78">
        <w:rPr>
          <w:noProof/>
          <w:lang w:val="fr-FR"/>
        </w:rPr>
        <w:t>’</w:t>
      </w:r>
      <w:r>
        <w:rPr>
          <w:noProof/>
          <w:lang w:val="fr-FR"/>
        </w:rPr>
        <w:t>un plan d</w:t>
      </w:r>
      <w:r w:rsidR="002A5D78">
        <w:rPr>
          <w:noProof/>
          <w:lang w:val="fr-FR"/>
        </w:rPr>
        <w:t>’</w:t>
      </w:r>
      <w:r>
        <w:rPr>
          <w:noProof/>
          <w:lang w:val="fr-FR"/>
        </w:rPr>
        <w:t>action pour le rétablissement des détenus atteints de tuberculose, de dénutrition et de maladies contagieuses dans le complexe d</w:t>
      </w:r>
      <w:r w:rsidR="002A5D78">
        <w:rPr>
          <w:noProof/>
          <w:lang w:val="fr-FR"/>
        </w:rPr>
        <w:t>’</w:t>
      </w:r>
      <w:r>
        <w:rPr>
          <w:noProof/>
          <w:lang w:val="fr-FR"/>
        </w:rPr>
        <w:t>Izalco et le centre pénal de Barrios</w:t>
      </w:r>
      <w:r w:rsidR="00A87E5C">
        <w:rPr>
          <w:noProof/>
          <w:lang w:val="fr-FR"/>
        </w:rPr>
        <w:t> ;</w:t>
      </w:r>
    </w:p>
    <w:p w14:paraId="55E9B10D"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Signature d</w:t>
      </w:r>
      <w:r w:rsidR="002A5D78">
        <w:rPr>
          <w:noProof/>
          <w:lang w:val="fr-FR"/>
        </w:rPr>
        <w:t>’</w:t>
      </w:r>
      <w:r>
        <w:rPr>
          <w:noProof/>
          <w:lang w:val="fr-FR"/>
        </w:rPr>
        <w:t>une convention entre le Ministère de la justice et de la sécurité publique et le Ministère de la santé permettant d</w:t>
      </w:r>
      <w:r w:rsidR="002A5D78">
        <w:rPr>
          <w:noProof/>
          <w:lang w:val="fr-FR"/>
        </w:rPr>
        <w:t>’</w:t>
      </w:r>
      <w:r>
        <w:rPr>
          <w:noProof/>
          <w:lang w:val="fr-FR"/>
        </w:rPr>
        <w:t>assurer le traitement d</w:t>
      </w:r>
      <w:r w:rsidR="002A5D78">
        <w:rPr>
          <w:noProof/>
          <w:lang w:val="fr-FR"/>
        </w:rPr>
        <w:t>’</w:t>
      </w:r>
      <w:r>
        <w:rPr>
          <w:noProof/>
          <w:lang w:val="fr-FR"/>
        </w:rPr>
        <w:t>échantillons, la fourniture de médicaments contre la tuberculose, la prise de radiographies des poumons, la formation de volontaires pour la prévention et le contrôle de la tuberculose en milieu carcéral, la fourniture de suppléments nutritionnels, la formation de personnels sanitaires aux normes et directives techniques de prévention et contrôle de la tuberculose, et la dotation des cliniques pénitentiaires en matériel et fournitures</w:t>
      </w:r>
      <w:r w:rsidR="00A87E5C">
        <w:rPr>
          <w:noProof/>
          <w:lang w:val="fr-FR"/>
        </w:rPr>
        <w:t> ;</w:t>
      </w:r>
    </w:p>
    <w:p w14:paraId="013A2268"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Réaménagement et construction de quartiers d</w:t>
      </w:r>
      <w:r w:rsidR="002A5D78">
        <w:rPr>
          <w:noProof/>
          <w:lang w:val="fr-FR"/>
        </w:rPr>
        <w:t>’</w:t>
      </w:r>
      <w:r>
        <w:rPr>
          <w:noProof/>
          <w:lang w:val="fr-FR"/>
        </w:rPr>
        <w:t>isolement dans 12 centres pénaux</w:t>
      </w:r>
      <w:r w:rsidR="00A87E5C">
        <w:rPr>
          <w:noProof/>
          <w:lang w:val="fr-FR"/>
        </w:rPr>
        <w:t> ;</w:t>
      </w:r>
    </w:p>
    <w:p w14:paraId="2E46ABBA"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Analyse et traitement d</w:t>
      </w:r>
      <w:r w:rsidR="002A5D78">
        <w:rPr>
          <w:noProof/>
          <w:lang w:val="fr-FR"/>
        </w:rPr>
        <w:t>’</w:t>
      </w:r>
      <w:r>
        <w:rPr>
          <w:noProof/>
          <w:lang w:val="fr-FR"/>
        </w:rPr>
        <w:t>échantillons de crachat aux fins de diagnostic de la tuberculose chez les détenus</w:t>
      </w:r>
      <w:r w:rsidR="00A87E5C">
        <w:rPr>
          <w:noProof/>
          <w:lang w:val="fr-FR"/>
        </w:rPr>
        <w:t> ;</w:t>
      </w:r>
    </w:p>
    <w:p w14:paraId="6836BE09" w14:textId="77777777" w:rsidR="00B51FCF" w:rsidRPr="004303AA"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Fourniture de repas de régime aux détenus souffrant de maladies dégénératives chroniques et d</w:t>
      </w:r>
      <w:r w:rsidR="002A5D78">
        <w:rPr>
          <w:noProof/>
          <w:lang w:val="fr-FR"/>
        </w:rPr>
        <w:t>’</w:t>
      </w:r>
      <w:r>
        <w:rPr>
          <w:noProof/>
          <w:lang w:val="fr-FR"/>
        </w:rPr>
        <w:t>autres maladies comme la tuberculose</w:t>
      </w:r>
      <w:r w:rsidR="00A87E5C">
        <w:rPr>
          <w:noProof/>
          <w:lang w:val="fr-FR"/>
        </w:rPr>
        <w:t>.</w:t>
      </w:r>
    </w:p>
    <w:p w14:paraId="17253ED8" w14:textId="77777777" w:rsidR="00B51FCF" w:rsidRDefault="00B51FCF" w:rsidP="00B51FCF">
      <w:pPr>
        <w:pStyle w:val="SingleTxtG"/>
        <w:rPr>
          <w:noProof/>
          <w:lang w:val="fr-FR"/>
        </w:rPr>
      </w:pPr>
      <w:r w:rsidRPr="00BB6F7D">
        <w:rPr>
          <w:noProof/>
          <w:lang w:val="fr-FR"/>
        </w:rPr>
        <w:t>75.</w:t>
      </w:r>
      <w:r w:rsidRPr="00BB6F7D">
        <w:rPr>
          <w:noProof/>
          <w:lang w:val="fr-FR"/>
        </w:rPr>
        <w:tab/>
      </w:r>
      <w:r>
        <w:rPr>
          <w:noProof/>
          <w:lang w:val="fr-FR"/>
        </w:rPr>
        <w:t xml:space="preserve">Les mesures ci-après ont été prises pour offrir de meilleures conditions sanitaires aux détenus infectés par </w:t>
      </w:r>
      <w:r w:rsidRPr="00A00391">
        <w:rPr>
          <w:noProof/>
          <w:lang w:val="fr-FR"/>
        </w:rPr>
        <w:t>le virus de l</w:t>
      </w:r>
      <w:r w:rsidR="002A5D78">
        <w:rPr>
          <w:noProof/>
          <w:lang w:val="fr-FR"/>
        </w:rPr>
        <w:t>’</w:t>
      </w:r>
      <w:r w:rsidRPr="00A00391">
        <w:rPr>
          <w:noProof/>
          <w:lang w:val="fr-FR"/>
        </w:rPr>
        <w:t>immunodéficience humaine (VIH)</w:t>
      </w:r>
      <w:r>
        <w:rPr>
          <w:noProof/>
          <w:lang w:val="fr-FR"/>
        </w:rPr>
        <w:t> :</w:t>
      </w:r>
    </w:p>
    <w:p w14:paraId="0AE89EEB"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Programmation annuelle d</w:t>
      </w:r>
      <w:r w:rsidR="002A5D78">
        <w:rPr>
          <w:noProof/>
          <w:lang w:val="fr-FR"/>
        </w:rPr>
        <w:t>’</w:t>
      </w:r>
      <w:r>
        <w:rPr>
          <w:noProof/>
          <w:lang w:val="fr-FR"/>
        </w:rPr>
        <w:t>activités entre les établissements pénitentiaires et les unités communautaires de santé familiale</w:t>
      </w:r>
      <w:r w:rsidR="00A87E5C">
        <w:rPr>
          <w:noProof/>
          <w:lang w:val="fr-FR"/>
        </w:rPr>
        <w:t> ;</w:t>
      </w:r>
    </w:p>
    <w:p w14:paraId="19254490" w14:textId="77777777" w:rsidR="00B51FCF" w:rsidRPr="00633533"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Organisation de deux journées annuelles de prélèvement volontaire d</w:t>
      </w:r>
      <w:r w:rsidR="002A5D78">
        <w:rPr>
          <w:noProof/>
          <w:lang w:val="fr-FR"/>
        </w:rPr>
        <w:t>’</w:t>
      </w:r>
      <w:r>
        <w:rPr>
          <w:noProof/>
          <w:lang w:val="fr-FR"/>
        </w:rPr>
        <w:t>échantillons pour le dépistage du VIH dans les établissements pénitentiaires, avec accompagnement psychologique avant et après le prélèvement</w:t>
      </w:r>
      <w:r w:rsidR="00A87E5C">
        <w:rPr>
          <w:noProof/>
          <w:lang w:val="fr-FR"/>
        </w:rPr>
        <w:t> ;</w:t>
      </w:r>
    </w:p>
    <w:p w14:paraId="45C3FBB7"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Formation de groupes de soutien dans les établissements comptant plus de trois détenus touchés par le VIH</w:t>
      </w:r>
      <w:r w:rsidR="00A87E5C">
        <w:rPr>
          <w:noProof/>
          <w:lang w:val="fr-FR"/>
        </w:rPr>
        <w:t> ;</w:t>
      </w:r>
    </w:p>
    <w:p w14:paraId="0A9C6630"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Formation permanente du personnel des équipes du Ministère de la santé et du système pénitentiaire, ainsi que des détenus eux-mêmes, aux fonctions de conseillers, de facilitateurs pairs et de volontaires de la santé en milieu carcéral</w:t>
      </w:r>
      <w:r w:rsidR="00A87E5C">
        <w:rPr>
          <w:noProof/>
          <w:lang w:val="fr-FR"/>
        </w:rPr>
        <w:t> ;</w:t>
      </w:r>
    </w:p>
    <w:p w14:paraId="2D08F696" w14:textId="77777777" w:rsidR="00B51FCF" w:rsidRDefault="00B51FCF" w:rsidP="006A3A5E">
      <w:pPr>
        <w:pStyle w:val="Bullet1G"/>
        <w:numPr>
          <w:ilvl w:val="0"/>
          <w:numId w:val="9"/>
        </w:numPr>
        <w:suppressAutoHyphens w:val="0"/>
        <w:kinsoku/>
        <w:overflowPunct/>
        <w:autoSpaceDE/>
        <w:autoSpaceDN/>
        <w:adjustRightInd/>
        <w:snapToGrid/>
        <w:rPr>
          <w:noProof/>
          <w:lang w:val="fr-FR"/>
        </w:rPr>
      </w:pPr>
      <w:r>
        <w:rPr>
          <w:noProof/>
          <w:lang w:val="fr-FR"/>
        </w:rPr>
        <w:t>Exécution d</w:t>
      </w:r>
      <w:r w:rsidR="002A5D78">
        <w:rPr>
          <w:noProof/>
          <w:lang w:val="fr-FR"/>
        </w:rPr>
        <w:t>’</w:t>
      </w:r>
      <w:r>
        <w:rPr>
          <w:noProof/>
          <w:lang w:val="fr-FR"/>
        </w:rPr>
        <w:t>un programme de thérapie de groupe et de développement personnel à focalisation psychosociale pour patients privés de liberté vivant avec le VIH/sida.</w:t>
      </w:r>
    </w:p>
    <w:p w14:paraId="4BE8A658" w14:textId="77777777" w:rsidR="00B51FCF" w:rsidRDefault="00B51FCF" w:rsidP="00B51FCF">
      <w:pPr>
        <w:pStyle w:val="SingleTxtG"/>
        <w:rPr>
          <w:noProof/>
          <w:lang w:val="fr-FR"/>
        </w:rPr>
      </w:pPr>
      <w:r w:rsidRPr="00BB6F7D">
        <w:rPr>
          <w:noProof/>
          <w:lang w:val="fr-FR"/>
        </w:rPr>
        <w:t>76.</w:t>
      </w:r>
      <w:r w:rsidRPr="00BB6F7D">
        <w:rPr>
          <w:noProof/>
          <w:lang w:val="fr-FR"/>
        </w:rPr>
        <w:tab/>
      </w:r>
      <w:r>
        <w:rPr>
          <w:noProof/>
          <w:lang w:val="fr-FR"/>
        </w:rPr>
        <w:t>La séparation des adultes et des mineurs dans les établissements pénitentiaires est garantie du seul fait que le</w:t>
      </w:r>
      <w:r w:rsidRPr="00BE3BDE">
        <w:rPr>
          <w:noProof/>
          <w:lang w:val="fr-FR"/>
        </w:rPr>
        <w:t xml:space="preserve"> système pénitentiaire salvadorien</w:t>
      </w:r>
      <w:r>
        <w:rPr>
          <w:noProof/>
          <w:lang w:val="fr-FR"/>
        </w:rPr>
        <w:t xml:space="preserve"> ne prend en charge que des détenus ayant atteint leur majorité. La séparation des hommes et des femmes est garantie quant à elle par l</w:t>
      </w:r>
      <w:r w:rsidR="002A5D78">
        <w:rPr>
          <w:noProof/>
          <w:lang w:val="fr-FR"/>
        </w:rPr>
        <w:t>’</w:t>
      </w:r>
      <w:r>
        <w:rPr>
          <w:noProof/>
          <w:lang w:val="fr-FR"/>
        </w:rPr>
        <w:t>existence de centres de détention spécifiques pour chaque sexe ; la législation pénitentiaire prévoit également la séparation des condamnés qui purgent leur peine et des personnes placées en détention provisoire. Condamnés et détenus provisoires sont en effet placés dans des établissements ou des quartiers spécialisés en fonction de leur statut, après autorisation des équipes techniques et des conseils criminologiques. Les détenus sont également classés selon leur degré de dangerosité.</w:t>
      </w:r>
    </w:p>
    <w:p w14:paraId="37424D3E" w14:textId="77777777" w:rsidR="00B51FCF" w:rsidRDefault="00B51FCF" w:rsidP="00B51FCF">
      <w:pPr>
        <w:pStyle w:val="SingleTxtG"/>
        <w:rPr>
          <w:noProof/>
          <w:lang w:val="fr-FR"/>
        </w:rPr>
      </w:pPr>
      <w:r w:rsidRPr="00BB6F7D">
        <w:rPr>
          <w:noProof/>
          <w:lang w:val="fr-FR"/>
        </w:rPr>
        <w:t>77.</w:t>
      </w:r>
      <w:r w:rsidRPr="00BB6F7D">
        <w:rPr>
          <w:noProof/>
          <w:lang w:val="fr-FR"/>
        </w:rPr>
        <w:tab/>
      </w:r>
      <w:r>
        <w:rPr>
          <w:noProof/>
          <w:lang w:val="fr-FR"/>
        </w:rPr>
        <w:t xml:space="preserve">En ce qui concerne la resocialisation et la réinsertion des personnes privées de liberté, le nombre des détenus participant actuellement aux activités mises en place dans le cadre du </w:t>
      </w:r>
      <w:r w:rsidRPr="00E75DCF">
        <w:rPr>
          <w:noProof/>
          <w:lang w:val="fr-FR"/>
        </w:rPr>
        <w:t xml:space="preserve">programme de </w:t>
      </w:r>
      <w:r w:rsidRPr="00FC2AD7">
        <w:rPr>
          <w:noProof/>
          <w:spacing w:val="-2"/>
          <w:lang w:val="fr-FR"/>
        </w:rPr>
        <w:t>gestion pénitentiaire « Yo Cambio » s</w:t>
      </w:r>
      <w:r w:rsidR="002A5D78" w:rsidRPr="00FC2AD7">
        <w:rPr>
          <w:noProof/>
          <w:spacing w:val="-2"/>
          <w:lang w:val="fr-FR"/>
        </w:rPr>
        <w:t>’</w:t>
      </w:r>
      <w:r w:rsidRPr="00FC2AD7">
        <w:rPr>
          <w:noProof/>
          <w:spacing w:val="-2"/>
          <w:lang w:val="fr-FR"/>
        </w:rPr>
        <w:t>élève à 26 850. Le tableau</w:t>
      </w:r>
      <w:r>
        <w:rPr>
          <w:noProof/>
          <w:lang w:val="fr-FR"/>
        </w:rPr>
        <w:t xml:space="preserve"> 18 présente des informations sur les activités menées dans ce cadre et sur les catégories de la population carcérale qui y participent.</w:t>
      </w:r>
    </w:p>
    <w:p w14:paraId="059A241C" w14:textId="77777777" w:rsidR="00B51FCF" w:rsidRPr="00FE46C2" w:rsidRDefault="00B51FCF" w:rsidP="00FE46C2">
      <w:pPr>
        <w:pStyle w:val="Titre1"/>
        <w:spacing w:after="120"/>
        <w:rPr>
          <w:b/>
          <w:bCs/>
          <w:noProof/>
          <w:lang w:val="fr-FR"/>
        </w:rPr>
      </w:pPr>
      <w:r w:rsidRPr="00FE46C2">
        <w:rPr>
          <w:b/>
          <w:bCs/>
        </w:rPr>
        <w:lastRenderedPageBreak/>
        <w:t>Tableau</w:t>
      </w:r>
      <w:r w:rsidRPr="00FE46C2">
        <w:rPr>
          <w:b/>
          <w:bCs/>
          <w:noProof/>
          <w:lang w:val="fr-FR"/>
        </w:rPr>
        <w:t xml:space="preserve"> 18</w:t>
      </w:r>
    </w:p>
    <w:tbl>
      <w:tblPr>
        <w:tblW w:w="7370" w:type="dxa"/>
        <w:tblInd w:w="1134" w:type="dxa"/>
        <w:tblLayout w:type="fixed"/>
        <w:tblCellMar>
          <w:left w:w="0" w:type="dxa"/>
          <w:right w:w="0" w:type="dxa"/>
        </w:tblCellMar>
        <w:tblLook w:val="04A0" w:firstRow="1" w:lastRow="0" w:firstColumn="1" w:lastColumn="0" w:noHBand="0" w:noVBand="1"/>
      </w:tblPr>
      <w:tblGrid>
        <w:gridCol w:w="4536"/>
        <w:gridCol w:w="1418"/>
        <w:gridCol w:w="1416"/>
      </w:tblGrid>
      <w:tr w:rsidR="00B51FCF" w:rsidRPr="00FE46C2" w14:paraId="119BA8AB" w14:textId="77777777" w:rsidTr="0085127D">
        <w:trPr>
          <w:tblHeader/>
        </w:trPr>
        <w:tc>
          <w:tcPr>
            <w:tcW w:w="4536"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0567FED2" w14:textId="77777777" w:rsidR="00B51FCF" w:rsidRPr="00FE46C2" w:rsidRDefault="00B51FCF" w:rsidP="00FE46C2">
            <w:pPr>
              <w:keepNext/>
              <w:suppressAutoHyphens w:val="0"/>
              <w:spacing w:before="80" w:after="80" w:line="200" w:lineRule="exact"/>
              <w:rPr>
                <w:i/>
                <w:noProof/>
                <w:sz w:val="16"/>
                <w:lang w:val="fr-FR"/>
              </w:rPr>
            </w:pPr>
          </w:p>
        </w:tc>
        <w:tc>
          <w:tcPr>
            <w:tcW w:w="2834"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14:paraId="01A77E0F" w14:textId="77777777" w:rsidR="00B51FCF" w:rsidRPr="00FC2AD7" w:rsidRDefault="00B51FCF" w:rsidP="00FC2AD7">
            <w:pPr>
              <w:keepNext/>
              <w:suppressAutoHyphens w:val="0"/>
              <w:spacing w:before="80" w:after="80" w:line="200" w:lineRule="exact"/>
              <w:jc w:val="center"/>
              <w:rPr>
                <w:i/>
                <w:noProof/>
                <w:sz w:val="16"/>
                <w:szCs w:val="16"/>
                <w:lang w:val="fr-FR"/>
              </w:rPr>
            </w:pPr>
            <w:r w:rsidRPr="00FC2AD7">
              <w:rPr>
                <w:bCs/>
                <w:i/>
                <w:noProof/>
                <w:sz w:val="16"/>
                <w:szCs w:val="16"/>
                <w:lang w:val="fr-FR"/>
              </w:rPr>
              <w:t xml:space="preserve">Détenus participant à des activités </w:t>
            </w:r>
            <w:r w:rsidR="0085127D">
              <w:rPr>
                <w:bCs/>
                <w:i/>
                <w:noProof/>
                <w:sz w:val="16"/>
                <w:szCs w:val="16"/>
                <w:lang w:val="fr-FR"/>
              </w:rPr>
              <w:br/>
            </w:r>
            <w:r w:rsidRPr="00FC2AD7">
              <w:rPr>
                <w:bCs/>
                <w:i/>
                <w:noProof/>
                <w:sz w:val="16"/>
                <w:szCs w:val="16"/>
                <w:lang w:val="fr-FR"/>
              </w:rPr>
              <w:t>ou des groupes</w:t>
            </w:r>
          </w:p>
        </w:tc>
      </w:tr>
      <w:tr w:rsidR="00B51FCF" w:rsidRPr="00FE46C2" w14:paraId="74DF925E" w14:textId="77777777" w:rsidTr="0085127D">
        <w:trPr>
          <w:tblHeader/>
        </w:trPr>
        <w:tc>
          <w:tcPr>
            <w:tcW w:w="4536" w:type="dxa"/>
            <w:vMerge/>
            <w:tcBorders>
              <w:top w:val="single" w:sz="12" w:space="0" w:color="auto"/>
              <w:bottom w:val="single" w:sz="12" w:space="0" w:color="auto"/>
            </w:tcBorders>
            <w:shd w:val="clear" w:color="auto" w:fill="auto"/>
            <w:vAlign w:val="bottom"/>
          </w:tcPr>
          <w:p w14:paraId="1BA269D6" w14:textId="77777777" w:rsidR="00B51FCF" w:rsidRPr="00FE46C2" w:rsidRDefault="00B51FCF" w:rsidP="00FE46C2">
            <w:pPr>
              <w:keepNext/>
              <w:suppressAutoHyphens w:val="0"/>
              <w:spacing w:before="40" w:after="40" w:line="220" w:lineRule="exact"/>
              <w:rPr>
                <w:noProof/>
                <w:sz w:val="18"/>
                <w:lang w:val="fr-FR"/>
              </w:rPr>
            </w:pPr>
          </w:p>
        </w:tc>
        <w:tc>
          <w:tcPr>
            <w:tcW w:w="141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0C3012F" w14:textId="77777777" w:rsidR="00B51FCF" w:rsidRPr="00FC2AD7" w:rsidRDefault="00B51FCF" w:rsidP="00FE46C2">
            <w:pPr>
              <w:keepNext/>
              <w:suppressAutoHyphens w:val="0"/>
              <w:spacing w:before="40" w:after="40" w:line="220" w:lineRule="exact"/>
              <w:jc w:val="right"/>
              <w:rPr>
                <w:bCs/>
                <w:i/>
                <w:noProof/>
                <w:sz w:val="16"/>
                <w:szCs w:val="16"/>
                <w:lang w:val="fr-FR"/>
              </w:rPr>
            </w:pPr>
            <w:r w:rsidRPr="00FC2AD7">
              <w:rPr>
                <w:bCs/>
                <w:i/>
                <w:noProof/>
                <w:sz w:val="16"/>
                <w:szCs w:val="16"/>
                <w:lang w:val="fr-FR"/>
              </w:rPr>
              <w:t>Femmes</w:t>
            </w:r>
          </w:p>
        </w:tc>
        <w:tc>
          <w:tcPr>
            <w:tcW w:w="14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114061" w14:textId="77777777" w:rsidR="00B51FCF" w:rsidRPr="00FC2AD7" w:rsidRDefault="00B51FCF" w:rsidP="00FE46C2">
            <w:pPr>
              <w:keepNext/>
              <w:suppressAutoHyphens w:val="0"/>
              <w:spacing w:before="40" w:after="40" w:line="220" w:lineRule="exact"/>
              <w:jc w:val="right"/>
              <w:rPr>
                <w:bCs/>
                <w:i/>
                <w:noProof/>
                <w:sz w:val="16"/>
                <w:szCs w:val="16"/>
                <w:lang w:val="fr-FR"/>
              </w:rPr>
            </w:pPr>
            <w:r w:rsidRPr="00FC2AD7">
              <w:rPr>
                <w:bCs/>
                <w:i/>
                <w:noProof/>
                <w:sz w:val="16"/>
                <w:szCs w:val="16"/>
                <w:lang w:val="fr-FR"/>
              </w:rPr>
              <w:t>Hommes</w:t>
            </w:r>
          </w:p>
        </w:tc>
      </w:tr>
      <w:tr w:rsidR="00B51FCF" w:rsidRPr="00FE46C2" w14:paraId="7A304CA1" w14:textId="77777777" w:rsidTr="0085127D">
        <w:tc>
          <w:tcPr>
            <w:tcW w:w="4536" w:type="dxa"/>
            <w:tcBorders>
              <w:top w:val="single" w:sz="12" w:space="0" w:color="auto"/>
            </w:tcBorders>
            <w:shd w:val="clear" w:color="auto" w:fill="auto"/>
            <w:tcMar>
              <w:top w:w="0" w:type="dxa"/>
              <w:left w:w="0" w:type="dxa"/>
              <w:bottom w:w="0" w:type="dxa"/>
              <w:right w:w="0" w:type="dxa"/>
            </w:tcMar>
          </w:tcPr>
          <w:p w14:paraId="3FFF04C7" w14:textId="77777777" w:rsidR="00B51FCF" w:rsidRPr="00FE46C2" w:rsidRDefault="00B51FCF" w:rsidP="00FE46C2">
            <w:pPr>
              <w:keepNext/>
              <w:suppressAutoHyphens w:val="0"/>
              <w:spacing w:before="40" w:after="40" w:line="220" w:lineRule="exact"/>
              <w:rPr>
                <w:noProof/>
                <w:sz w:val="18"/>
                <w:lang w:val="fr-FR"/>
              </w:rPr>
            </w:pPr>
            <w:r w:rsidRPr="00FE46C2">
              <w:rPr>
                <w:noProof/>
                <w:sz w:val="18"/>
                <w:szCs w:val="24"/>
                <w:lang w:val="fr-FR"/>
              </w:rPr>
              <w:t>Détenus qui travaillent</w:t>
            </w:r>
          </w:p>
        </w:tc>
        <w:tc>
          <w:tcPr>
            <w:tcW w:w="1418" w:type="dxa"/>
            <w:tcBorders>
              <w:top w:val="single" w:sz="12" w:space="0" w:color="auto"/>
            </w:tcBorders>
            <w:shd w:val="clear" w:color="auto" w:fill="auto"/>
            <w:tcMar>
              <w:top w:w="0" w:type="dxa"/>
              <w:left w:w="0" w:type="dxa"/>
              <w:bottom w:w="0" w:type="dxa"/>
              <w:right w:w="0" w:type="dxa"/>
            </w:tcMar>
            <w:vAlign w:val="bottom"/>
          </w:tcPr>
          <w:p w14:paraId="35671E09" w14:textId="77777777" w:rsidR="00B51FCF" w:rsidRPr="00FE46C2" w:rsidRDefault="00B51FCF" w:rsidP="00FE46C2">
            <w:pPr>
              <w:keepNext/>
              <w:suppressAutoHyphens w:val="0"/>
              <w:spacing w:before="40" w:after="40" w:line="220" w:lineRule="exact"/>
              <w:jc w:val="right"/>
              <w:rPr>
                <w:noProof/>
                <w:sz w:val="18"/>
                <w:lang w:val="fr-FR"/>
              </w:rPr>
            </w:pPr>
            <w:r w:rsidRPr="00FE46C2">
              <w:rPr>
                <w:noProof/>
                <w:sz w:val="18"/>
                <w:szCs w:val="24"/>
                <w:lang w:val="fr-FR"/>
              </w:rPr>
              <w:t>869</w:t>
            </w:r>
          </w:p>
        </w:tc>
        <w:tc>
          <w:tcPr>
            <w:tcW w:w="1416" w:type="dxa"/>
            <w:tcBorders>
              <w:top w:val="single" w:sz="12" w:space="0" w:color="auto"/>
            </w:tcBorders>
            <w:shd w:val="clear" w:color="auto" w:fill="auto"/>
            <w:tcMar>
              <w:top w:w="0" w:type="dxa"/>
              <w:left w:w="0" w:type="dxa"/>
              <w:bottom w:w="0" w:type="dxa"/>
              <w:right w:w="0" w:type="dxa"/>
            </w:tcMar>
            <w:vAlign w:val="bottom"/>
          </w:tcPr>
          <w:p w14:paraId="4FF80DA5" w14:textId="77777777" w:rsidR="00B51FCF" w:rsidRPr="00FE46C2" w:rsidRDefault="00B51FCF" w:rsidP="00FE46C2">
            <w:pPr>
              <w:keepNext/>
              <w:suppressAutoHyphens w:val="0"/>
              <w:spacing w:before="40" w:after="40" w:line="220" w:lineRule="exact"/>
              <w:jc w:val="right"/>
              <w:rPr>
                <w:noProof/>
                <w:sz w:val="18"/>
                <w:lang w:val="fr-FR"/>
              </w:rPr>
            </w:pPr>
            <w:r w:rsidRPr="00FE46C2">
              <w:rPr>
                <w:noProof/>
                <w:sz w:val="18"/>
                <w:szCs w:val="24"/>
                <w:lang w:val="fr-FR"/>
              </w:rPr>
              <w:t>5 231</w:t>
            </w:r>
          </w:p>
        </w:tc>
      </w:tr>
      <w:tr w:rsidR="00B51FCF" w:rsidRPr="00FE46C2" w14:paraId="0065C73F" w14:textId="77777777" w:rsidTr="0085127D">
        <w:tc>
          <w:tcPr>
            <w:tcW w:w="4536" w:type="dxa"/>
            <w:shd w:val="clear" w:color="auto" w:fill="auto"/>
            <w:tcMar>
              <w:top w:w="0" w:type="dxa"/>
              <w:left w:w="0" w:type="dxa"/>
              <w:bottom w:w="0" w:type="dxa"/>
              <w:right w:w="0" w:type="dxa"/>
            </w:tcMar>
          </w:tcPr>
          <w:p w14:paraId="29F8A697" w14:textId="77777777" w:rsidR="00B51FCF" w:rsidRPr="00FE46C2" w:rsidRDefault="00B51FCF" w:rsidP="00FE46C2">
            <w:pPr>
              <w:keepNext/>
              <w:suppressAutoHyphens w:val="0"/>
              <w:spacing w:before="40" w:after="40" w:line="220" w:lineRule="exact"/>
              <w:rPr>
                <w:noProof/>
                <w:sz w:val="18"/>
                <w:lang w:val="fr-FR"/>
              </w:rPr>
            </w:pPr>
            <w:r w:rsidRPr="00FE46C2">
              <w:rPr>
                <w:noProof/>
                <w:sz w:val="18"/>
                <w:szCs w:val="24"/>
                <w:lang w:val="fr-FR"/>
              </w:rPr>
              <w:t>Détenus qui étudient dans leur établissement</w:t>
            </w:r>
          </w:p>
        </w:tc>
        <w:tc>
          <w:tcPr>
            <w:tcW w:w="1418" w:type="dxa"/>
            <w:shd w:val="clear" w:color="auto" w:fill="auto"/>
            <w:tcMar>
              <w:top w:w="0" w:type="dxa"/>
              <w:left w:w="0" w:type="dxa"/>
              <w:bottom w:w="0" w:type="dxa"/>
              <w:right w:w="0" w:type="dxa"/>
            </w:tcMar>
            <w:vAlign w:val="bottom"/>
          </w:tcPr>
          <w:p w14:paraId="431BAA20" w14:textId="77777777" w:rsidR="00B51FCF" w:rsidRPr="00FE46C2" w:rsidRDefault="00B51FCF" w:rsidP="00FE46C2">
            <w:pPr>
              <w:keepNext/>
              <w:suppressAutoHyphens w:val="0"/>
              <w:spacing w:before="40" w:after="40" w:line="220" w:lineRule="exact"/>
              <w:jc w:val="right"/>
              <w:rPr>
                <w:noProof/>
                <w:sz w:val="18"/>
                <w:lang w:val="fr-FR"/>
              </w:rPr>
            </w:pPr>
            <w:r w:rsidRPr="00FE46C2">
              <w:rPr>
                <w:noProof/>
                <w:sz w:val="18"/>
                <w:szCs w:val="24"/>
                <w:lang w:val="fr-FR"/>
              </w:rPr>
              <w:t>1 190</w:t>
            </w:r>
          </w:p>
        </w:tc>
        <w:tc>
          <w:tcPr>
            <w:tcW w:w="1416" w:type="dxa"/>
            <w:shd w:val="clear" w:color="auto" w:fill="auto"/>
            <w:tcMar>
              <w:top w:w="0" w:type="dxa"/>
              <w:left w:w="0" w:type="dxa"/>
              <w:bottom w:w="0" w:type="dxa"/>
              <w:right w:w="0" w:type="dxa"/>
            </w:tcMar>
            <w:vAlign w:val="bottom"/>
          </w:tcPr>
          <w:p w14:paraId="175A5B1B" w14:textId="77777777" w:rsidR="00B51FCF" w:rsidRPr="00FE46C2" w:rsidRDefault="00B51FCF" w:rsidP="00FE46C2">
            <w:pPr>
              <w:keepNext/>
              <w:suppressAutoHyphens w:val="0"/>
              <w:spacing w:before="40" w:after="40" w:line="220" w:lineRule="exact"/>
              <w:jc w:val="right"/>
              <w:rPr>
                <w:noProof/>
                <w:sz w:val="18"/>
                <w:lang w:val="fr-FR"/>
              </w:rPr>
            </w:pPr>
            <w:r w:rsidRPr="00FE46C2">
              <w:rPr>
                <w:noProof/>
                <w:sz w:val="18"/>
                <w:szCs w:val="24"/>
                <w:lang w:val="fr-FR"/>
              </w:rPr>
              <w:t>10 471</w:t>
            </w:r>
          </w:p>
        </w:tc>
      </w:tr>
      <w:tr w:rsidR="00B51FCF" w:rsidRPr="00FE46C2" w14:paraId="4229E9C8" w14:textId="77777777" w:rsidTr="0085127D">
        <w:tc>
          <w:tcPr>
            <w:tcW w:w="4536" w:type="dxa"/>
            <w:shd w:val="clear" w:color="auto" w:fill="auto"/>
            <w:tcMar>
              <w:top w:w="0" w:type="dxa"/>
              <w:left w:w="0" w:type="dxa"/>
              <w:bottom w:w="0" w:type="dxa"/>
              <w:right w:w="0" w:type="dxa"/>
            </w:tcMar>
          </w:tcPr>
          <w:p w14:paraId="5B996459" w14:textId="77777777" w:rsidR="00B51FCF" w:rsidRPr="00FE46C2" w:rsidRDefault="00B51FCF" w:rsidP="00FE46C2">
            <w:pPr>
              <w:keepNext/>
              <w:suppressAutoHyphens w:val="0"/>
              <w:spacing w:before="40" w:after="40" w:line="220" w:lineRule="exact"/>
              <w:rPr>
                <w:noProof/>
                <w:sz w:val="18"/>
                <w:lang w:val="fr-FR"/>
              </w:rPr>
            </w:pPr>
            <w:r w:rsidRPr="00FE46C2">
              <w:rPr>
                <w:noProof/>
                <w:sz w:val="18"/>
                <w:szCs w:val="24"/>
                <w:lang w:val="fr-FR"/>
              </w:rPr>
              <w:t>Détenus qui participent à des activités religieuses</w:t>
            </w:r>
          </w:p>
        </w:tc>
        <w:tc>
          <w:tcPr>
            <w:tcW w:w="1418" w:type="dxa"/>
            <w:shd w:val="clear" w:color="auto" w:fill="auto"/>
            <w:tcMar>
              <w:top w:w="0" w:type="dxa"/>
              <w:left w:w="0" w:type="dxa"/>
              <w:bottom w:w="0" w:type="dxa"/>
              <w:right w:w="0" w:type="dxa"/>
            </w:tcMar>
            <w:vAlign w:val="bottom"/>
          </w:tcPr>
          <w:p w14:paraId="26AB8779" w14:textId="77777777" w:rsidR="00B51FCF" w:rsidRPr="00FE46C2" w:rsidRDefault="00B51FCF" w:rsidP="00FE46C2">
            <w:pPr>
              <w:keepNext/>
              <w:suppressAutoHyphens w:val="0"/>
              <w:spacing w:before="40" w:after="40" w:line="220" w:lineRule="exact"/>
              <w:jc w:val="right"/>
              <w:rPr>
                <w:noProof/>
                <w:sz w:val="18"/>
                <w:lang w:val="fr-FR"/>
              </w:rPr>
            </w:pPr>
            <w:r w:rsidRPr="00FE46C2">
              <w:rPr>
                <w:noProof/>
                <w:sz w:val="18"/>
                <w:szCs w:val="24"/>
                <w:lang w:val="fr-FR"/>
              </w:rPr>
              <w:t>1 550</w:t>
            </w:r>
          </w:p>
        </w:tc>
        <w:tc>
          <w:tcPr>
            <w:tcW w:w="1416" w:type="dxa"/>
            <w:shd w:val="clear" w:color="auto" w:fill="auto"/>
            <w:tcMar>
              <w:top w:w="0" w:type="dxa"/>
              <w:left w:w="0" w:type="dxa"/>
              <w:bottom w:w="0" w:type="dxa"/>
              <w:right w:w="0" w:type="dxa"/>
            </w:tcMar>
            <w:vAlign w:val="bottom"/>
          </w:tcPr>
          <w:p w14:paraId="1D78E65B" w14:textId="77777777" w:rsidR="00B51FCF" w:rsidRPr="00FE46C2" w:rsidRDefault="00B51FCF" w:rsidP="00FE46C2">
            <w:pPr>
              <w:keepNext/>
              <w:suppressAutoHyphens w:val="0"/>
              <w:spacing w:before="40" w:after="40" w:line="220" w:lineRule="exact"/>
              <w:jc w:val="right"/>
              <w:rPr>
                <w:noProof/>
                <w:sz w:val="18"/>
                <w:lang w:val="fr-FR"/>
              </w:rPr>
            </w:pPr>
            <w:r w:rsidRPr="00FE46C2">
              <w:rPr>
                <w:noProof/>
                <w:sz w:val="18"/>
                <w:szCs w:val="24"/>
                <w:lang w:val="fr-FR"/>
              </w:rPr>
              <w:t>8 061</w:t>
            </w:r>
          </w:p>
        </w:tc>
      </w:tr>
      <w:tr w:rsidR="00B51FCF" w:rsidRPr="00FE46C2" w14:paraId="7D15E55F" w14:textId="77777777" w:rsidTr="0085127D">
        <w:tc>
          <w:tcPr>
            <w:tcW w:w="4536" w:type="dxa"/>
            <w:shd w:val="clear" w:color="auto" w:fill="auto"/>
            <w:tcMar>
              <w:top w:w="0" w:type="dxa"/>
              <w:left w:w="0" w:type="dxa"/>
              <w:bottom w:w="0" w:type="dxa"/>
              <w:right w:w="0" w:type="dxa"/>
            </w:tcMar>
          </w:tcPr>
          <w:p w14:paraId="5CFA6463" w14:textId="77777777" w:rsidR="00B51FCF" w:rsidRPr="00FE46C2" w:rsidRDefault="00B51FCF" w:rsidP="00FE46C2">
            <w:pPr>
              <w:suppressAutoHyphens w:val="0"/>
              <w:spacing w:before="40" w:after="40" w:line="220" w:lineRule="exact"/>
              <w:rPr>
                <w:noProof/>
                <w:sz w:val="18"/>
                <w:lang w:val="fr-FR"/>
              </w:rPr>
            </w:pPr>
            <w:r w:rsidRPr="00FE46C2">
              <w:rPr>
                <w:noProof/>
                <w:sz w:val="18"/>
                <w:szCs w:val="24"/>
                <w:lang w:val="fr-FR"/>
              </w:rPr>
              <w:t>Détenus inscrits à des groupes d</w:t>
            </w:r>
            <w:r w:rsidR="002A5D78" w:rsidRPr="00FE46C2">
              <w:rPr>
                <w:noProof/>
                <w:sz w:val="18"/>
                <w:szCs w:val="24"/>
                <w:lang w:val="fr-FR"/>
              </w:rPr>
              <w:t>’</w:t>
            </w:r>
            <w:r w:rsidRPr="00FE46C2">
              <w:rPr>
                <w:noProof/>
                <w:sz w:val="18"/>
                <w:szCs w:val="24"/>
                <w:lang w:val="fr-FR"/>
              </w:rPr>
              <w:t>alcooliques anonymes</w:t>
            </w:r>
          </w:p>
        </w:tc>
        <w:tc>
          <w:tcPr>
            <w:tcW w:w="1418" w:type="dxa"/>
            <w:shd w:val="clear" w:color="auto" w:fill="auto"/>
            <w:tcMar>
              <w:top w:w="0" w:type="dxa"/>
              <w:left w:w="0" w:type="dxa"/>
              <w:bottom w:w="0" w:type="dxa"/>
              <w:right w:w="0" w:type="dxa"/>
            </w:tcMar>
            <w:vAlign w:val="bottom"/>
          </w:tcPr>
          <w:p w14:paraId="0CEA15CA"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16</w:t>
            </w:r>
          </w:p>
        </w:tc>
        <w:tc>
          <w:tcPr>
            <w:tcW w:w="1416" w:type="dxa"/>
            <w:shd w:val="clear" w:color="auto" w:fill="auto"/>
            <w:tcMar>
              <w:top w:w="0" w:type="dxa"/>
              <w:left w:w="0" w:type="dxa"/>
              <w:bottom w:w="0" w:type="dxa"/>
              <w:right w:w="0" w:type="dxa"/>
            </w:tcMar>
            <w:vAlign w:val="bottom"/>
          </w:tcPr>
          <w:p w14:paraId="0B52A879"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890</w:t>
            </w:r>
          </w:p>
        </w:tc>
      </w:tr>
      <w:tr w:rsidR="00B51FCF" w:rsidRPr="00FE46C2" w14:paraId="173EEC6F" w14:textId="77777777" w:rsidTr="0085127D">
        <w:tc>
          <w:tcPr>
            <w:tcW w:w="4536" w:type="dxa"/>
            <w:shd w:val="clear" w:color="auto" w:fill="auto"/>
            <w:tcMar>
              <w:top w:w="0" w:type="dxa"/>
              <w:left w:w="0" w:type="dxa"/>
              <w:bottom w:w="0" w:type="dxa"/>
              <w:right w:w="0" w:type="dxa"/>
            </w:tcMar>
          </w:tcPr>
          <w:p w14:paraId="4C0D6F49" w14:textId="77777777" w:rsidR="00B51FCF" w:rsidRPr="00FE46C2" w:rsidRDefault="00B51FCF" w:rsidP="00FE46C2">
            <w:pPr>
              <w:suppressAutoHyphens w:val="0"/>
              <w:spacing w:before="40" w:after="40" w:line="220" w:lineRule="exact"/>
              <w:rPr>
                <w:noProof/>
                <w:sz w:val="18"/>
                <w:lang w:val="fr-FR"/>
              </w:rPr>
            </w:pPr>
            <w:r w:rsidRPr="00FE46C2">
              <w:rPr>
                <w:noProof/>
                <w:sz w:val="18"/>
                <w:szCs w:val="24"/>
                <w:lang w:val="fr-FR"/>
              </w:rPr>
              <w:t>Détenus inscrits au programme d</w:t>
            </w:r>
            <w:r w:rsidR="002A5D78" w:rsidRPr="00FE46C2">
              <w:rPr>
                <w:noProof/>
                <w:sz w:val="18"/>
                <w:szCs w:val="24"/>
                <w:lang w:val="fr-FR"/>
              </w:rPr>
              <w:t>’</w:t>
            </w:r>
            <w:r w:rsidRPr="00FE46C2">
              <w:rPr>
                <w:noProof/>
                <w:sz w:val="18"/>
                <w:szCs w:val="24"/>
                <w:lang w:val="fr-FR"/>
              </w:rPr>
              <w:t>aide aux</w:t>
            </w:r>
            <w:r w:rsidR="00FC2AD7">
              <w:rPr>
                <w:noProof/>
                <w:sz w:val="18"/>
                <w:szCs w:val="24"/>
                <w:lang w:val="fr-FR"/>
              </w:rPr>
              <w:t> </w:t>
            </w:r>
            <w:r w:rsidRPr="00FE46C2">
              <w:rPr>
                <w:noProof/>
                <w:sz w:val="18"/>
                <w:szCs w:val="24"/>
                <w:lang w:val="fr-FR"/>
              </w:rPr>
              <w:t>toxicomanes</w:t>
            </w:r>
          </w:p>
        </w:tc>
        <w:tc>
          <w:tcPr>
            <w:tcW w:w="1418" w:type="dxa"/>
            <w:shd w:val="clear" w:color="auto" w:fill="auto"/>
            <w:tcMar>
              <w:top w:w="0" w:type="dxa"/>
              <w:left w:w="0" w:type="dxa"/>
              <w:bottom w:w="0" w:type="dxa"/>
              <w:right w:w="0" w:type="dxa"/>
            </w:tcMar>
            <w:vAlign w:val="bottom"/>
          </w:tcPr>
          <w:p w14:paraId="3A733470"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82</w:t>
            </w:r>
          </w:p>
        </w:tc>
        <w:tc>
          <w:tcPr>
            <w:tcW w:w="1416" w:type="dxa"/>
            <w:shd w:val="clear" w:color="auto" w:fill="auto"/>
            <w:tcMar>
              <w:top w:w="0" w:type="dxa"/>
              <w:left w:w="0" w:type="dxa"/>
              <w:bottom w:w="0" w:type="dxa"/>
              <w:right w:w="0" w:type="dxa"/>
            </w:tcMar>
            <w:vAlign w:val="bottom"/>
          </w:tcPr>
          <w:p w14:paraId="70AF7C42"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359</w:t>
            </w:r>
          </w:p>
        </w:tc>
      </w:tr>
      <w:tr w:rsidR="00B51FCF" w:rsidRPr="00FE46C2" w14:paraId="11FB2602" w14:textId="77777777" w:rsidTr="0085127D">
        <w:tc>
          <w:tcPr>
            <w:tcW w:w="4536" w:type="dxa"/>
            <w:shd w:val="clear" w:color="auto" w:fill="auto"/>
            <w:tcMar>
              <w:top w:w="0" w:type="dxa"/>
              <w:left w:w="0" w:type="dxa"/>
              <w:bottom w:w="0" w:type="dxa"/>
              <w:right w:w="0" w:type="dxa"/>
            </w:tcMar>
          </w:tcPr>
          <w:p w14:paraId="64012CEC" w14:textId="77777777" w:rsidR="00B51FCF" w:rsidRPr="00FE46C2" w:rsidRDefault="00B51FCF" w:rsidP="00FE46C2">
            <w:pPr>
              <w:suppressAutoHyphens w:val="0"/>
              <w:spacing w:before="40" w:after="40" w:line="220" w:lineRule="exact"/>
              <w:rPr>
                <w:noProof/>
                <w:sz w:val="18"/>
                <w:lang w:val="fr-FR"/>
              </w:rPr>
            </w:pPr>
            <w:r w:rsidRPr="00FE46C2">
              <w:rPr>
                <w:noProof/>
                <w:sz w:val="18"/>
                <w:szCs w:val="24"/>
                <w:lang w:val="fr-FR"/>
              </w:rPr>
              <w:t>Détenus inscrits à des groupes de toxicomanes anonymes</w:t>
            </w:r>
          </w:p>
        </w:tc>
        <w:tc>
          <w:tcPr>
            <w:tcW w:w="1418" w:type="dxa"/>
            <w:shd w:val="clear" w:color="auto" w:fill="auto"/>
            <w:tcMar>
              <w:top w:w="0" w:type="dxa"/>
              <w:left w:w="0" w:type="dxa"/>
              <w:bottom w:w="0" w:type="dxa"/>
              <w:right w:w="0" w:type="dxa"/>
            </w:tcMar>
            <w:vAlign w:val="bottom"/>
          </w:tcPr>
          <w:p w14:paraId="1C254855"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0</w:t>
            </w:r>
          </w:p>
        </w:tc>
        <w:tc>
          <w:tcPr>
            <w:tcW w:w="1416" w:type="dxa"/>
            <w:shd w:val="clear" w:color="auto" w:fill="auto"/>
            <w:tcMar>
              <w:top w:w="0" w:type="dxa"/>
              <w:left w:w="0" w:type="dxa"/>
              <w:bottom w:w="0" w:type="dxa"/>
              <w:right w:w="0" w:type="dxa"/>
            </w:tcMar>
            <w:vAlign w:val="bottom"/>
          </w:tcPr>
          <w:p w14:paraId="5D549C40"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0</w:t>
            </w:r>
          </w:p>
        </w:tc>
      </w:tr>
      <w:tr w:rsidR="00B51FCF" w:rsidRPr="00FE46C2" w14:paraId="422F6C63" w14:textId="77777777" w:rsidTr="0085127D">
        <w:tc>
          <w:tcPr>
            <w:tcW w:w="4536" w:type="dxa"/>
            <w:tcBorders>
              <w:bottom w:val="single" w:sz="4" w:space="0" w:color="auto"/>
            </w:tcBorders>
            <w:shd w:val="clear" w:color="auto" w:fill="auto"/>
            <w:tcMar>
              <w:top w:w="0" w:type="dxa"/>
              <w:left w:w="0" w:type="dxa"/>
              <w:bottom w:w="0" w:type="dxa"/>
              <w:right w:w="0" w:type="dxa"/>
            </w:tcMar>
          </w:tcPr>
          <w:p w14:paraId="6AEDDDA3" w14:textId="77777777" w:rsidR="00B51FCF" w:rsidRPr="00FE46C2" w:rsidRDefault="00B51FCF" w:rsidP="00FE46C2">
            <w:pPr>
              <w:suppressAutoHyphens w:val="0"/>
              <w:spacing w:before="40" w:after="40" w:line="220" w:lineRule="exact"/>
              <w:rPr>
                <w:noProof/>
                <w:sz w:val="18"/>
                <w:lang w:val="fr-FR"/>
              </w:rPr>
            </w:pPr>
            <w:r w:rsidRPr="00FE46C2">
              <w:rPr>
                <w:noProof/>
                <w:sz w:val="18"/>
                <w:szCs w:val="24"/>
                <w:lang w:val="fr-FR"/>
              </w:rPr>
              <w:t xml:space="preserve">Détenus inscrits à des groupes de psychothérapie inspirés par le Dr Ayala </w:t>
            </w:r>
          </w:p>
        </w:tc>
        <w:tc>
          <w:tcPr>
            <w:tcW w:w="1418" w:type="dxa"/>
            <w:tcBorders>
              <w:bottom w:val="single" w:sz="4" w:space="0" w:color="auto"/>
            </w:tcBorders>
            <w:shd w:val="clear" w:color="auto" w:fill="auto"/>
            <w:tcMar>
              <w:top w:w="0" w:type="dxa"/>
              <w:left w:w="0" w:type="dxa"/>
              <w:bottom w:w="0" w:type="dxa"/>
              <w:right w:w="0" w:type="dxa"/>
            </w:tcMar>
            <w:vAlign w:val="bottom"/>
          </w:tcPr>
          <w:p w14:paraId="425C97EC"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0</w:t>
            </w:r>
          </w:p>
        </w:tc>
        <w:tc>
          <w:tcPr>
            <w:tcW w:w="1416" w:type="dxa"/>
            <w:tcBorders>
              <w:bottom w:val="single" w:sz="4" w:space="0" w:color="auto"/>
            </w:tcBorders>
            <w:shd w:val="clear" w:color="auto" w:fill="auto"/>
            <w:tcMar>
              <w:top w:w="0" w:type="dxa"/>
              <w:left w:w="0" w:type="dxa"/>
              <w:bottom w:w="0" w:type="dxa"/>
              <w:right w:w="0" w:type="dxa"/>
            </w:tcMar>
            <w:vAlign w:val="bottom"/>
          </w:tcPr>
          <w:p w14:paraId="753D0D2D" w14:textId="77777777" w:rsidR="00B51FCF" w:rsidRPr="00FE46C2" w:rsidRDefault="00B51FCF" w:rsidP="00FE46C2">
            <w:pPr>
              <w:suppressAutoHyphens w:val="0"/>
              <w:spacing w:before="40" w:after="40" w:line="220" w:lineRule="exact"/>
              <w:jc w:val="right"/>
              <w:rPr>
                <w:noProof/>
                <w:sz w:val="18"/>
                <w:lang w:val="fr-FR"/>
              </w:rPr>
            </w:pPr>
            <w:r w:rsidRPr="00FE46C2">
              <w:rPr>
                <w:noProof/>
                <w:sz w:val="18"/>
                <w:szCs w:val="24"/>
                <w:lang w:val="fr-FR"/>
              </w:rPr>
              <w:t>516</w:t>
            </w:r>
          </w:p>
        </w:tc>
      </w:tr>
      <w:tr w:rsidR="00B51FCF" w:rsidRPr="00FE46C2" w14:paraId="5D49EA3C" w14:textId="77777777" w:rsidTr="0085127D">
        <w:tc>
          <w:tcPr>
            <w:tcW w:w="4536" w:type="dxa"/>
            <w:tcBorders>
              <w:top w:val="single" w:sz="4" w:space="0" w:color="auto"/>
              <w:bottom w:val="single" w:sz="12" w:space="0" w:color="auto"/>
            </w:tcBorders>
            <w:shd w:val="clear" w:color="auto" w:fill="auto"/>
            <w:tcMar>
              <w:top w:w="0" w:type="dxa"/>
              <w:left w:w="0" w:type="dxa"/>
              <w:bottom w:w="0" w:type="dxa"/>
              <w:right w:w="0" w:type="dxa"/>
            </w:tcMar>
          </w:tcPr>
          <w:p w14:paraId="305DE151" w14:textId="77777777" w:rsidR="00B51FCF" w:rsidRPr="00FE46C2" w:rsidRDefault="00B51FCF" w:rsidP="00FC2AD7">
            <w:pPr>
              <w:suppressAutoHyphens w:val="0"/>
              <w:spacing w:before="80" w:after="80" w:line="220" w:lineRule="exact"/>
              <w:ind w:left="284"/>
              <w:rPr>
                <w:b/>
                <w:noProof/>
                <w:sz w:val="18"/>
                <w:lang w:val="fr-FR"/>
              </w:rPr>
            </w:pPr>
            <w:r w:rsidRPr="00FE46C2">
              <w:rPr>
                <w:b/>
                <w:bCs/>
                <w:noProof/>
                <w:sz w:val="18"/>
                <w:szCs w:val="24"/>
                <w:lang w:val="fr-FR"/>
              </w:rPr>
              <w:t>Total</w:t>
            </w:r>
          </w:p>
        </w:tc>
        <w:tc>
          <w:tcPr>
            <w:tcW w:w="141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C99A19E" w14:textId="77777777" w:rsidR="00B51FCF" w:rsidRPr="00FE46C2" w:rsidRDefault="00B51FCF" w:rsidP="00FE46C2">
            <w:pPr>
              <w:suppressAutoHyphens w:val="0"/>
              <w:spacing w:before="80" w:after="80" w:line="220" w:lineRule="exact"/>
              <w:jc w:val="right"/>
              <w:rPr>
                <w:b/>
                <w:noProof/>
                <w:sz w:val="18"/>
                <w:lang w:val="fr-FR"/>
              </w:rPr>
            </w:pPr>
            <w:r w:rsidRPr="00FE46C2">
              <w:rPr>
                <w:b/>
                <w:bCs/>
                <w:noProof/>
                <w:sz w:val="18"/>
                <w:szCs w:val="24"/>
                <w:lang w:val="fr-FR"/>
              </w:rPr>
              <w:t>3 707</w:t>
            </w:r>
          </w:p>
        </w:tc>
        <w:tc>
          <w:tcPr>
            <w:tcW w:w="14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CD9DEEC" w14:textId="77777777" w:rsidR="00B51FCF" w:rsidRPr="00FE46C2" w:rsidRDefault="00B51FCF" w:rsidP="00FE46C2">
            <w:pPr>
              <w:suppressAutoHyphens w:val="0"/>
              <w:spacing w:before="80" w:after="80" w:line="220" w:lineRule="exact"/>
              <w:jc w:val="right"/>
              <w:rPr>
                <w:b/>
                <w:noProof/>
                <w:sz w:val="18"/>
                <w:lang w:val="fr-FR"/>
              </w:rPr>
            </w:pPr>
            <w:r w:rsidRPr="00FE46C2">
              <w:rPr>
                <w:b/>
                <w:bCs/>
                <w:noProof/>
                <w:sz w:val="18"/>
                <w:szCs w:val="24"/>
                <w:lang w:val="fr-FR"/>
              </w:rPr>
              <w:t>25 528</w:t>
            </w:r>
          </w:p>
        </w:tc>
      </w:tr>
    </w:tbl>
    <w:p w14:paraId="77ABEC37" w14:textId="77777777" w:rsidR="00B51FCF" w:rsidRDefault="00B51FCF" w:rsidP="00B51FCF">
      <w:pPr>
        <w:pStyle w:val="SingleTxtG"/>
        <w:spacing w:before="240"/>
        <w:rPr>
          <w:noProof/>
          <w:lang w:val="fr-FR"/>
        </w:rPr>
      </w:pPr>
      <w:r w:rsidRPr="00BB6F7D">
        <w:rPr>
          <w:noProof/>
          <w:kern w:val="2"/>
          <w:lang w:val="fr-FR"/>
        </w:rPr>
        <w:t>7</w:t>
      </w:r>
      <w:r w:rsidRPr="00BB6F7D">
        <w:rPr>
          <w:noProof/>
          <w:lang w:val="fr-FR"/>
        </w:rPr>
        <w:t>8.</w:t>
      </w:r>
      <w:r w:rsidRPr="00BB6F7D">
        <w:rPr>
          <w:noProof/>
          <w:lang w:val="fr-FR"/>
        </w:rPr>
        <w:tab/>
      </w:r>
      <w:r>
        <w:rPr>
          <w:noProof/>
          <w:lang w:val="fr-FR"/>
        </w:rPr>
        <w:t>En ce qui concerne les mesures prises pour identifier et mettre en liberté les détenus qui ont purgé leur peine, une coordination permanente a été instituée avec les juges du contrôle pénitentiaire et de l</w:t>
      </w:r>
      <w:r w:rsidR="002A5D78">
        <w:rPr>
          <w:noProof/>
          <w:lang w:val="fr-FR"/>
        </w:rPr>
        <w:t>’</w:t>
      </w:r>
      <w:r>
        <w:rPr>
          <w:noProof/>
          <w:lang w:val="fr-FR"/>
        </w:rPr>
        <w:t>application des peines en vue de tenir à jour le registre d</w:t>
      </w:r>
      <w:r w:rsidR="002A5D78">
        <w:rPr>
          <w:noProof/>
          <w:lang w:val="fr-FR"/>
        </w:rPr>
        <w:t>’</w:t>
      </w:r>
      <w:r>
        <w:rPr>
          <w:noProof/>
          <w:lang w:val="fr-FR"/>
        </w:rPr>
        <w:t>écrou et le fichier judiciaire, ce qui relève de l</w:t>
      </w:r>
      <w:r w:rsidR="002A5D78">
        <w:rPr>
          <w:noProof/>
          <w:lang w:val="fr-FR"/>
        </w:rPr>
        <w:t>’</w:t>
      </w:r>
      <w:r>
        <w:rPr>
          <w:noProof/>
          <w:lang w:val="fr-FR"/>
        </w:rPr>
        <w:t>Unité de l</w:t>
      </w:r>
      <w:r w:rsidR="002A5D78">
        <w:rPr>
          <w:noProof/>
          <w:lang w:val="fr-FR"/>
        </w:rPr>
        <w:t>’</w:t>
      </w:r>
      <w:r>
        <w:rPr>
          <w:noProof/>
          <w:lang w:val="fr-FR"/>
        </w:rPr>
        <w:t>écrou et du contrôle pénitentiaire. En effet, la loi pénitentiaire fait obligation à ces autorités judiciaires de veiller tout particulièrement à ce qu</w:t>
      </w:r>
      <w:r w:rsidR="002A5D78">
        <w:rPr>
          <w:noProof/>
          <w:lang w:val="fr-FR"/>
        </w:rPr>
        <w:t>’</w:t>
      </w:r>
      <w:r>
        <w:rPr>
          <w:noProof/>
          <w:lang w:val="fr-FR"/>
        </w:rPr>
        <w:t>il ne se trouve dans les établissements pénitentiaires aucune personne qui y serait détenue de façon illégale. On peut également compter sur le Système d</w:t>
      </w:r>
      <w:r w:rsidR="002A5D78">
        <w:rPr>
          <w:noProof/>
          <w:lang w:val="fr-FR"/>
        </w:rPr>
        <w:t>’</w:t>
      </w:r>
      <w:r>
        <w:rPr>
          <w:noProof/>
          <w:lang w:val="fr-FR"/>
        </w:rPr>
        <w:t>information pénitentiaire (SIPE), qui permet d</w:t>
      </w:r>
      <w:r w:rsidR="002A5D78">
        <w:rPr>
          <w:noProof/>
          <w:lang w:val="fr-FR"/>
        </w:rPr>
        <w:t>’</w:t>
      </w:r>
      <w:r>
        <w:rPr>
          <w:noProof/>
          <w:lang w:val="fr-FR"/>
        </w:rPr>
        <w:t>actualiser en continu la situation judiciaire de chaque personne privée de liberté, pour assurer la transmission en temps utile des ordonnances de mise en liberté et éviter de ce fait toute détention illégale.</w:t>
      </w:r>
    </w:p>
    <w:p w14:paraId="1991F3D1" w14:textId="77777777" w:rsidR="00B51FCF" w:rsidRDefault="00B51FCF" w:rsidP="00B51FCF">
      <w:pPr>
        <w:pStyle w:val="SingleTxtG"/>
        <w:rPr>
          <w:noProof/>
          <w:lang w:val="fr-FR"/>
        </w:rPr>
      </w:pPr>
      <w:r w:rsidRPr="00BB6F7D">
        <w:rPr>
          <w:noProof/>
          <w:lang w:val="fr-FR"/>
        </w:rPr>
        <w:t>79.</w:t>
      </w:r>
      <w:r w:rsidRPr="00BB6F7D">
        <w:rPr>
          <w:noProof/>
          <w:lang w:val="fr-FR"/>
        </w:rPr>
        <w:tab/>
      </w:r>
      <w:r>
        <w:rPr>
          <w:noProof/>
          <w:lang w:val="fr-FR"/>
        </w:rPr>
        <w:t>Des progrès ont également été faits dans l</w:t>
      </w:r>
      <w:r w:rsidR="002A5D78">
        <w:rPr>
          <w:noProof/>
          <w:lang w:val="fr-FR"/>
        </w:rPr>
        <w:t>’</w:t>
      </w:r>
      <w:r>
        <w:rPr>
          <w:noProof/>
          <w:lang w:val="fr-FR"/>
        </w:rPr>
        <w:t>amélioration des procédures de fouille des personnes privées de liberté et de leurs visiteurs dans les établissements pénitentiaires. Au</w:t>
      </w:r>
      <w:r w:rsidR="005065CC">
        <w:rPr>
          <w:noProof/>
          <w:lang w:val="fr-FR"/>
        </w:rPr>
        <w:noBreakHyphen/>
      </w:r>
      <w:r>
        <w:rPr>
          <w:noProof/>
          <w:lang w:val="fr-FR"/>
        </w:rPr>
        <w:t>delà des mesures prévues dans la loi pénitentiaire elle-même, les fonctionnaires qui procèdent à ces opérations sont tenus d</w:t>
      </w:r>
      <w:r w:rsidR="002A5D78">
        <w:rPr>
          <w:noProof/>
          <w:lang w:val="fr-FR"/>
        </w:rPr>
        <w:t>’</w:t>
      </w:r>
      <w:r>
        <w:rPr>
          <w:noProof/>
          <w:lang w:val="fr-FR"/>
        </w:rPr>
        <w:t>appliquer les protocoles de sécurité qui ont été établis, et 28</w:t>
      </w:r>
      <w:r w:rsidR="005065CC">
        <w:rPr>
          <w:noProof/>
          <w:lang w:val="fr-FR"/>
        </w:rPr>
        <w:t>2</w:t>
      </w:r>
      <w:r>
        <w:rPr>
          <w:noProof/>
          <w:lang w:val="fr-FR"/>
        </w:rPr>
        <w:t xml:space="preserve"> agents ont suivi une formation à la sécurité pénitentiaire en matière de fouille et de perquisition. L</w:t>
      </w:r>
      <w:r w:rsidR="002A5D78">
        <w:rPr>
          <w:noProof/>
          <w:lang w:val="fr-FR"/>
        </w:rPr>
        <w:t>’</w:t>
      </w:r>
      <w:r>
        <w:rPr>
          <w:noProof/>
          <w:lang w:val="fr-FR"/>
        </w:rPr>
        <w:t>administration a procédé à l</w:t>
      </w:r>
      <w:r w:rsidR="002A5D78">
        <w:rPr>
          <w:noProof/>
          <w:lang w:val="fr-FR"/>
        </w:rPr>
        <w:t>’</w:t>
      </w:r>
      <w:r>
        <w:rPr>
          <w:noProof/>
          <w:lang w:val="fr-FR"/>
        </w:rPr>
        <w:t xml:space="preserve">acquisition de scanners, de chaises-scanner, de matériel de radiographie et de caméras de surveillance électronique, et devrait acquérir prochainement un scanner corps entier qui évitera de soumettre à une fouille manuelle toutes les personnes qui entrent dans les établissements pénitentiaires du pays. </w:t>
      </w:r>
    </w:p>
    <w:p w14:paraId="0F4359E4" w14:textId="77777777" w:rsidR="00B51FCF" w:rsidRDefault="00B51FCF" w:rsidP="00B51FCF">
      <w:pPr>
        <w:pStyle w:val="SingleTxtG"/>
        <w:rPr>
          <w:noProof/>
          <w:lang w:val="fr-FR"/>
        </w:rPr>
      </w:pPr>
      <w:r w:rsidRPr="00BB6F7D">
        <w:rPr>
          <w:noProof/>
          <w:lang w:val="fr-FR"/>
        </w:rPr>
        <w:t>80.</w:t>
      </w:r>
      <w:r w:rsidRPr="00BB6F7D">
        <w:rPr>
          <w:noProof/>
          <w:lang w:val="fr-FR"/>
        </w:rPr>
        <w:tab/>
      </w:r>
      <w:r>
        <w:rPr>
          <w:noProof/>
          <w:lang w:val="fr-FR"/>
        </w:rPr>
        <w:t>L</w:t>
      </w:r>
      <w:r w:rsidR="002A5D78">
        <w:rPr>
          <w:noProof/>
          <w:lang w:val="fr-FR"/>
        </w:rPr>
        <w:t>’</w:t>
      </w:r>
      <w:r>
        <w:rPr>
          <w:noProof/>
          <w:lang w:val="fr-FR"/>
        </w:rPr>
        <w:t>École pénitentiaire dispense des formations aux droits de l</w:t>
      </w:r>
      <w:r w:rsidR="002A5D78">
        <w:rPr>
          <w:noProof/>
          <w:lang w:val="fr-FR"/>
        </w:rPr>
        <w:t>’</w:t>
      </w:r>
      <w:r>
        <w:rPr>
          <w:noProof/>
          <w:lang w:val="fr-FR"/>
        </w:rPr>
        <w:t>homme au personnel administratif, aux agents de sécurité et aux surveillants et organise des ateliers d</w:t>
      </w:r>
      <w:r w:rsidR="002A5D78">
        <w:rPr>
          <w:noProof/>
          <w:lang w:val="fr-FR"/>
        </w:rPr>
        <w:t>’</w:t>
      </w:r>
      <w:r>
        <w:rPr>
          <w:noProof/>
          <w:lang w:val="fr-FR"/>
        </w:rPr>
        <w:t xml:space="preserve">application </w:t>
      </w:r>
      <w:r w:rsidRPr="00404BD5">
        <w:rPr>
          <w:noProof/>
          <w:spacing w:val="-2"/>
          <w:lang w:val="fr-FR"/>
        </w:rPr>
        <w:t>et de mise en pratique des Règles Nelson Mandela de l</w:t>
      </w:r>
      <w:r w:rsidR="002A5D78" w:rsidRPr="00404BD5">
        <w:rPr>
          <w:noProof/>
          <w:spacing w:val="-2"/>
          <w:lang w:val="fr-FR"/>
        </w:rPr>
        <w:t>’</w:t>
      </w:r>
      <w:r w:rsidRPr="00404BD5">
        <w:rPr>
          <w:noProof/>
          <w:spacing w:val="-2"/>
          <w:lang w:val="fr-FR"/>
        </w:rPr>
        <w:t>Organisation des Nations Unies dans</w:t>
      </w:r>
      <w:r>
        <w:rPr>
          <w:noProof/>
          <w:lang w:val="fr-FR"/>
        </w:rPr>
        <w:t xml:space="preserve"> tous les établissements pénitentiaires, en accordant la priorité aux centres de sécurité et aux centres de sécurité maximale. On a renforcé l</w:t>
      </w:r>
      <w:r w:rsidR="002A5D78">
        <w:rPr>
          <w:noProof/>
          <w:lang w:val="fr-FR"/>
        </w:rPr>
        <w:t>’</w:t>
      </w:r>
      <w:r>
        <w:rPr>
          <w:noProof/>
          <w:lang w:val="fr-FR"/>
        </w:rPr>
        <w:t>Unité pénitentiaire des droits humains, qui est chargée de procéder à des contrôles et de surveiller les conditions de détention des détenus.</w:t>
      </w:r>
    </w:p>
    <w:p w14:paraId="25DC45D0" w14:textId="77777777" w:rsidR="00B51FCF" w:rsidRDefault="00B51FCF" w:rsidP="00B51FCF">
      <w:pPr>
        <w:pStyle w:val="SingleTxtG"/>
        <w:rPr>
          <w:noProof/>
          <w:lang w:val="fr-FR"/>
        </w:rPr>
      </w:pPr>
      <w:r w:rsidRPr="00BB6F7D">
        <w:rPr>
          <w:noProof/>
          <w:lang w:val="fr-FR"/>
        </w:rPr>
        <w:t>81.</w:t>
      </w:r>
      <w:r w:rsidRPr="00BB6F7D">
        <w:rPr>
          <w:noProof/>
          <w:lang w:val="fr-FR"/>
        </w:rPr>
        <w:tab/>
      </w:r>
      <w:r>
        <w:rPr>
          <w:noProof/>
          <w:lang w:val="fr-FR"/>
        </w:rPr>
        <w:t>La Direction générale des établissements pénitentiaires a élaboré un plan d</w:t>
      </w:r>
      <w:r w:rsidR="002A5D78">
        <w:rPr>
          <w:noProof/>
          <w:lang w:val="fr-FR"/>
        </w:rPr>
        <w:t>’</w:t>
      </w:r>
      <w:r>
        <w:rPr>
          <w:noProof/>
          <w:lang w:val="fr-FR"/>
        </w:rPr>
        <w:t>application des recommandations du Comité international de la  Croix-Rouge tendant à améliorer les conditions de détention des détenus, et ceci tout particulièrement dans les centres de sécurité et les centres de sécurité maximale. L</w:t>
      </w:r>
      <w:r w:rsidR="002A5D78">
        <w:rPr>
          <w:noProof/>
          <w:lang w:val="fr-FR"/>
        </w:rPr>
        <w:t>’</w:t>
      </w:r>
      <w:r>
        <w:rPr>
          <w:noProof/>
          <w:lang w:val="fr-FR"/>
        </w:rPr>
        <w:t>application de ces recommandations et de diverses autres mesures permettra à la Direction générale de solliciter le certificat international de conformité aux normes de l</w:t>
      </w:r>
      <w:r w:rsidR="002A5D78">
        <w:rPr>
          <w:noProof/>
          <w:lang w:val="fr-FR"/>
        </w:rPr>
        <w:t>’</w:t>
      </w:r>
      <w:r>
        <w:rPr>
          <w:noProof/>
          <w:lang w:val="fr-FR"/>
        </w:rPr>
        <w:t>American Correctional Association (Association pénitentiaire américaine) et de garantir l</w:t>
      </w:r>
      <w:r w:rsidR="002A5D78">
        <w:rPr>
          <w:noProof/>
          <w:lang w:val="fr-FR"/>
        </w:rPr>
        <w:t>’</w:t>
      </w:r>
      <w:r>
        <w:rPr>
          <w:noProof/>
          <w:lang w:val="fr-FR"/>
        </w:rPr>
        <w:t>avénement d</w:t>
      </w:r>
      <w:r w:rsidR="002A5D78">
        <w:rPr>
          <w:noProof/>
          <w:lang w:val="fr-FR"/>
        </w:rPr>
        <w:t>’</w:t>
      </w:r>
      <w:r>
        <w:rPr>
          <w:noProof/>
          <w:lang w:val="fr-FR"/>
        </w:rPr>
        <w:t>un système pénitentiaire plus moderne, plus sûr et plus respectueux des droits de l</w:t>
      </w:r>
      <w:r w:rsidR="002A5D78">
        <w:rPr>
          <w:noProof/>
          <w:lang w:val="fr-FR"/>
        </w:rPr>
        <w:t>’</w:t>
      </w:r>
      <w:r>
        <w:rPr>
          <w:noProof/>
          <w:lang w:val="fr-FR"/>
        </w:rPr>
        <w:t>homme.</w:t>
      </w:r>
    </w:p>
    <w:p w14:paraId="0E6F0911" w14:textId="77777777" w:rsidR="00B51FCF" w:rsidRPr="002A7978" w:rsidRDefault="00B51FCF" w:rsidP="00A77C74">
      <w:pPr>
        <w:pStyle w:val="SingleTxtG"/>
        <w:rPr>
          <w:noProof/>
          <w:lang w:val="fr-FR"/>
        </w:rPr>
      </w:pPr>
      <w:r w:rsidRPr="00BB6F7D">
        <w:rPr>
          <w:noProof/>
          <w:lang w:val="fr-FR"/>
        </w:rPr>
        <w:t>82.</w:t>
      </w:r>
      <w:r w:rsidRPr="00BB6F7D">
        <w:rPr>
          <w:noProof/>
          <w:lang w:val="fr-FR"/>
        </w:rPr>
        <w:tab/>
      </w:r>
      <w:r>
        <w:rPr>
          <w:noProof/>
          <w:lang w:val="fr-FR"/>
        </w:rPr>
        <w:t xml:space="preserve">En ce qui concerne les mesures prises pour préserver de la torture et des mauvais traitements </w:t>
      </w:r>
      <w:r w:rsidRPr="00A31E00">
        <w:rPr>
          <w:noProof/>
          <w:lang w:val="fr-FR"/>
        </w:rPr>
        <w:t xml:space="preserve">les mineurs </w:t>
      </w:r>
      <w:r>
        <w:rPr>
          <w:noProof/>
          <w:lang w:val="fr-FR"/>
        </w:rPr>
        <w:t xml:space="preserve">qui sont </w:t>
      </w:r>
      <w:r w:rsidRPr="002A7978">
        <w:rPr>
          <w:noProof/>
          <w:lang w:val="fr-FR"/>
        </w:rPr>
        <w:t>en conflit avec la loi pénale et pour garantir que les peines privatives de liberté restent une mesure de dernier ressort et de la durée la plus brève possible lorsqu</w:t>
      </w:r>
      <w:r w:rsidR="002A5D78">
        <w:rPr>
          <w:noProof/>
          <w:lang w:val="fr-FR"/>
        </w:rPr>
        <w:t>’</w:t>
      </w:r>
      <w:r w:rsidRPr="002A7978">
        <w:rPr>
          <w:noProof/>
          <w:lang w:val="fr-FR"/>
        </w:rPr>
        <w:t>elles s</w:t>
      </w:r>
      <w:r w:rsidR="002A5D78">
        <w:rPr>
          <w:noProof/>
          <w:lang w:val="fr-FR"/>
        </w:rPr>
        <w:t>’</w:t>
      </w:r>
      <w:r w:rsidRPr="002A7978">
        <w:rPr>
          <w:noProof/>
          <w:lang w:val="fr-FR"/>
        </w:rPr>
        <w:t>appliquent à des mineurs, la loi de 2009 sur la protection intégrale des enfants et des adolescents dispose que</w:t>
      </w:r>
      <w:r w:rsidR="00A77C74">
        <w:rPr>
          <w:noProof/>
          <w:lang w:val="fr-FR"/>
        </w:rPr>
        <w:t> :</w:t>
      </w:r>
      <w:r w:rsidRPr="002A7978">
        <w:rPr>
          <w:noProof/>
          <w:lang w:val="fr-FR"/>
        </w:rPr>
        <w:t xml:space="preserve"> « </w:t>
      </w:r>
      <w:r w:rsidR="00A77C74">
        <w:rPr>
          <w:noProof/>
          <w:lang w:val="fr-FR"/>
        </w:rPr>
        <w:t>T</w:t>
      </w:r>
      <w:r w:rsidRPr="002A7978">
        <w:rPr>
          <w:noProof/>
          <w:lang w:val="fr-FR"/>
        </w:rPr>
        <w:t>outes les filles, tous les garçons et tous les adolescents ont le droit de ne pas être privés arbitrairement ou illégalement de liberté, ce droit n</w:t>
      </w:r>
      <w:r w:rsidR="002A5D78">
        <w:rPr>
          <w:noProof/>
          <w:lang w:val="fr-FR"/>
        </w:rPr>
        <w:t>’</w:t>
      </w:r>
      <w:r w:rsidRPr="002A7978">
        <w:rPr>
          <w:noProof/>
          <w:lang w:val="fr-FR"/>
        </w:rPr>
        <w:t xml:space="preserve">ayant </w:t>
      </w:r>
      <w:r w:rsidRPr="002A7978">
        <w:rPr>
          <w:noProof/>
          <w:lang w:val="fr-FR"/>
        </w:rPr>
        <w:lastRenderedPageBreak/>
        <w:t>d</w:t>
      </w:r>
      <w:r w:rsidR="002A5D78">
        <w:rPr>
          <w:noProof/>
          <w:lang w:val="fr-FR"/>
        </w:rPr>
        <w:t>’</w:t>
      </w:r>
      <w:r w:rsidRPr="002A7978">
        <w:rPr>
          <w:noProof/>
          <w:lang w:val="fr-FR"/>
        </w:rPr>
        <w:t>autres limites que celles que la loi prévoit. Les mesures de privation de liberté, d</w:t>
      </w:r>
      <w:r w:rsidR="002A5D78">
        <w:rPr>
          <w:noProof/>
          <w:lang w:val="fr-FR"/>
        </w:rPr>
        <w:t>’</w:t>
      </w:r>
      <w:r w:rsidRPr="002A7978">
        <w:rPr>
          <w:noProof/>
          <w:lang w:val="fr-FR"/>
        </w:rPr>
        <w:t>internement ou d</w:t>
      </w:r>
      <w:r w:rsidR="002A5D78">
        <w:rPr>
          <w:noProof/>
          <w:lang w:val="fr-FR"/>
        </w:rPr>
        <w:t>’</w:t>
      </w:r>
      <w:r w:rsidRPr="002A7978">
        <w:rPr>
          <w:noProof/>
          <w:lang w:val="fr-FR"/>
        </w:rPr>
        <w:t>incarcération de filles, de garçons, d</w:t>
      </w:r>
      <w:r w:rsidR="002A5D78">
        <w:rPr>
          <w:noProof/>
          <w:lang w:val="fr-FR"/>
        </w:rPr>
        <w:t>’</w:t>
      </w:r>
      <w:r w:rsidRPr="002A7978">
        <w:rPr>
          <w:noProof/>
          <w:lang w:val="fr-FR"/>
        </w:rPr>
        <w:t>adolescents et d</w:t>
      </w:r>
      <w:r w:rsidR="002A5D78">
        <w:rPr>
          <w:noProof/>
          <w:lang w:val="fr-FR"/>
        </w:rPr>
        <w:t>’</w:t>
      </w:r>
      <w:r w:rsidRPr="002A7978">
        <w:rPr>
          <w:noProof/>
          <w:lang w:val="fr-FR"/>
        </w:rPr>
        <w:t>adolescentes que peuvent prendre les autorités compétentes doivent avoir un caractère exceptionnel, être dûment motivées et respecter les termes temporels prévus par la loi. Des adolescents et des adolescentes ne peuvent en aucun cas être placés en</w:t>
      </w:r>
      <w:r>
        <w:rPr>
          <w:noProof/>
          <w:lang w:val="fr-FR"/>
        </w:rPr>
        <w:t xml:space="preserve"> détention dans des locaux de p</w:t>
      </w:r>
      <w:r w:rsidRPr="002A7978">
        <w:rPr>
          <w:noProof/>
          <w:lang w:val="fr-FR"/>
        </w:rPr>
        <w:t>olice ou dans des établissements pénitentiaires accueillant des adultes</w:t>
      </w:r>
      <w:r w:rsidR="00A77C74">
        <w:rPr>
          <w:noProof/>
          <w:lang w:val="fr-FR"/>
        </w:rPr>
        <w:t>.</w:t>
      </w:r>
      <w:r w:rsidRPr="002A7978">
        <w:rPr>
          <w:noProof/>
          <w:lang w:val="fr-FR"/>
        </w:rPr>
        <w:t xml:space="preserve"> ». </w:t>
      </w:r>
    </w:p>
    <w:p w14:paraId="54BB961C" w14:textId="77777777" w:rsidR="00B51FCF" w:rsidRDefault="00B51FCF" w:rsidP="00B51FCF">
      <w:pPr>
        <w:pStyle w:val="SingleTxtG"/>
        <w:rPr>
          <w:noProof/>
          <w:lang w:val="fr-FR"/>
        </w:rPr>
      </w:pPr>
      <w:r w:rsidRPr="002A7978">
        <w:rPr>
          <w:noProof/>
          <w:lang w:val="fr-FR"/>
        </w:rPr>
        <w:t>83.</w:t>
      </w:r>
      <w:r w:rsidRPr="002A7978">
        <w:rPr>
          <w:noProof/>
          <w:lang w:val="fr-FR"/>
        </w:rPr>
        <w:tab/>
        <w:t xml:space="preserve">La </w:t>
      </w:r>
      <w:r w:rsidRPr="002A7978">
        <w:rPr>
          <w:noProof/>
        </w:rPr>
        <w:t xml:space="preserve">loi sur la justice pénale des mineurs prévoit </w:t>
      </w:r>
      <w:r>
        <w:rPr>
          <w:noProof/>
        </w:rPr>
        <w:t>la peine d</w:t>
      </w:r>
      <w:r w:rsidR="002A5D78">
        <w:rPr>
          <w:noProof/>
        </w:rPr>
        <w:t>’</w:t>
      </w:r>
      <w:r>
        <w:rPr>
          <w:noProof/>
        </w:rPr>
        <w:t xml:space="preserve">emprisonnement, qui doit être considérée comme </w:t>
      </w:r>
      <w:r w:rsidRPr="002A7978">
        <w:rPr>
          <w:noProof/>
        </w:rPr>
        <w:t xml:space="preserve">une mesure de dernier ressort et de la durée la plus </w:t>
      </w:r>
      <w:r w:rsidRPr="00A77C74">
        <w:rPr>
          <w:noProof/>
        </w:rPr>
        <w:t>brève possible</w:t>
      </w:r>
      <w:r>
        <w:rPr>
          <w:noProof/>
        </w:rPr>
        <w:t xml:space="preserve">. En 2010, une révision de la loi a limité à un maximum de </w:t>
      </w:r>
      <w:r w:rsidR="00A77C74">
        <w:rPr>
          <w:noProof/>
        </w:rPr>
        <w:t>quinze</w:t>
      </w:r>
      <w:r>
        <w:rPr>
          <w:noProof/>
        </w:rPr>
        <w:t xml:space="preserve"> années la durée des peines d</w:t>
      </w:r>
      <w:r w:rsidR="002A5D78">
        <w:rPr>
          <w:noProof/>
        </w:rPr>
        <w:t>’</w:t>
      </w:r>
      <w:r>
        <w:rPr>
          <w:noProof/>
        </w:rPr>
        <w:t>emprisonnement des mineurs. Ces deux dernières années, on a constaté chez les juges des enfants une réduction progressive des condamnations à des peines d</w:t>
      </w:r>
      <w:r w:rsidR="002A5D78">
        <w:rPr>
          <w:noProof/>
        </w:rPr>
        <w:t>’</w:t>
      </w:r>
      <w:r>
        <w:rPr>
          <w:noProof/>
        </w:rPr>
        <w:t>emprisonnement. Dans ce contexte, il est à remarquer que l</w:t>
      </w:r>
      <w:r w:rsidR="002A5D78">
        <w:rPr>
          <w:noProof/>
        </w:rPr>
        <w:t>’</w:t>
      </w:r>
      <w:r>
        <w:rPr>
          <w:noProof/>
        </w:rPr>
        <w:t>unité Justice des mineurs de la Cour suprême de justice s</w:t>
      </w:r>
      <w:r w:rsidR="002A5D78">
        <w:rPr>
          <w:noProof/>
        </w:rPr>
        <w:t>’</w:t>
      </w:r>
      <w:r>
        <w:rPr>
          <w:noProof/>
        </w:rPr>
        <w:t>est employée au cours des six dernières années à renforcer l</w:t>
      </w:r>
      <w:r w:rsidR="002A5D78">
        <w:rPr>
          <w:noProof/>
        </w:rPr>
        <w:t>’</w:t>
      </w:r>
      <w:r>
        <w:rPr>
          <w:noProof/>
        </w:rPr>
        <w:t>application du principe de la durée la plus brève possible ; c</w:t>
      </w:r>
      <w:r w:rsidR="002A5D78">
        <w:rPr>
          <w:noProof/>
        </w:rPr>
        <w:t>’</w:t>
      </w:r>
      <w:r>
        <w:rPr>
          <w:noProof/>
        </w:rPr>
        <w:t>est ainsi qu</w:t>
      </w:r>
      <w:r w:rsidR="002A5D78">
        <w:rPr>
          <w:noProof/>
        </w:rPr>
        <w:t>’</w:t>
      </w:r>
      <w:r>
        <w:rPr>
          <w:noProof/>
        </w:rPr>
        <w:t>a été exécuté, dans le cadre d</w:t>
      </w:r>
      <w:r w:rsidR="002A5D78">
        <w:rPr>
          <w:noProof/>
        </w:rPr>
        <w:t>’</w:t>
      </w:r>
      <w:r>
        <w:rPr>
          <w:noProof/>
        </w:rPr>
        <w:t>un programme de formation spécialisée, un projet de formation de 80 membres du système judiciaire ayant à connaître de la délinquance des mineurs, parmi lesquels des magistrats, des juges, des procureurs, des avocats commis d</w:t>
      </w:r>
      <w:r w:rsidR="002A5D78">
        <w:rPr>
          <w:noProof/>
        </w:rPr>
        <w:t>’</w:t>
      </w:r>
      <w:r>
        <w:rPr>
          <w:noProof/>
        </w:rPr>
        <w:t>office et d</w:t>
      </w:r>
      <w:r w:rsidR="002A5D78">
        <w:rPr>
          <w:noProof/>
        </w:rPr>
        <w:t>’</w:t>
      </w:r>
      <w:r>
        <w:rPr>
          <w:noProof/>
        </w:rPr>
        <w:t>autres fonctionnaires, pour lesquels ont été créés des espaces de discussion et d</w:t>
      </w:r>
      <w:r w:rsidR="002A5D78">
        <w:rPr>
          <w:noProof/>
        </w:rPr>
        <w:t>’</w:t>
      </w:r>
      <w:r>
        <w:rPr>
          <w:noProof/>
        </w:rPr>
        <w:t>analyse de la question de</w:t>
      </w:r>
      <w:r w:rsidR="00A95416">
        <w:rPr>
          <w:noProof/>
        </w:rPr>
        <w:t xml:space="preserve"> </w:t>
      </w:r>
      <w:r>
        <w:rPr>
          <w:noProof/>
        </w:rPr>
        <w:t>l</w:t>
      </w:r>
      <w:r w:rsidR="002A5D78">
        <w:rPr>
          <w:noProof/>
        </w:rPr>
        <w:t>’</w:t>
      </w:r>
      <w:r>
        <w:rPr>
          <w:noProof/>
        </w:rPr>
        <w:t xml:space="preserve">incarcération des mineurs considérée du point de vue de la législation nationale et des normes internationales en matière de justice des mineurs. </w:t>
      </w:r>
    </w:p>
    <w:p w14:paraId="3B7A8E35" w14:textId="77777777" w:rsidR="00B51FCF" w:rsidRPr="004B3E57" w:rsidRDefault="00B51FCF" w:rsidP="00B51FCF">
      <w:pPr>
        <w:pStyle w:val="SingleTxtG"/>
        <w:rPr>
          <w:noProof/>
          <w:lang w:val="fr-FR"/>
        </w:rPr>
      </w:pPr>
      <w:r w:rsidRPr="00BB6F7D">
        <w:rPr>
          <w:noProof/>
          <w:lang w:val="fr-FR"/>
        </w:rPr>
        <w:t>84.</w:t>
      </w:r>
      <w:r w:rsidRPr="00BB6F7D">
        <w:rPr>
          <w:noProof/>
          <w:lang w:val="fr-FR"/>
        </w:rPr>
        <w:tab/>
      </w:r>
      <w:r>
        <w:rPr>
          <w:noProof/>
          <w:lang w:val="fr-FR"/>
        </w:rPr>
        <w:t>Une coordination interinstitutions a été instituée entre la juridiction pénale pour mineurs, les autorités de l</w:t>
      </w:r>
      <w:r w:rsidR="002A5D78">
        <w:rPr>
          <w:noProof/>
          <w:lang w:val="fr-FR"/>
        </w:rPr>
        <w:t>’</w:t>
      </w:r>
      <w:r>
        <w:rPr>
          <w:noProof/>
          <w:lang w:val="fr-FR"/>
        </w:rPr>
        <w:t>Institut salvadorien pour le développement complet de l</w:t>
      </w:r>
      <w:r w:rsidR="002A5D78">
        <w:rPr>
          <w:noProof/>
          <w:lang w:val="fr-FR"/>
        </w:rPr>
        <w:t>’</w:t>
      </w:r>
      <w:r>
        <w:rPr>
          <w:noProof/>
          <w:lang w:val="fr-FR"/>
        </w:rPr>
        <w:t>enfant et de l</w:t>
      </w:r>
      <w:r w:rsidR="002A5D78">
        <w:rPr>
          <w:noProof/>
          <w:lang w:val="fr-FR"/>
        </w:rPr>
        <w:t>’</w:t>
      </w:r>
      <w:r>
        <w:rPr>
          <w:noProof/>
          <w:lang w:val="fr-FR"/>
        </w:rPr>
        <w:t>adolescent et les centres intermédiaires pour trouver une alternative à l</w:t>
      </w:r>
      <w:r w:rsidR="002A5D78">
        <w:rPr>
          <w:noProof/>
          <w:lang w:val="fr-FR"/>
        </w:rPr>
        <w:t>’</w:t>
      </w:r>
      <w:r>
        <w:rPr>
          <w:noProof/>
          <w:lang w:val="fr-FR"/>
        </w:rPr>
        <w:t>incarcération et explorer la possibilité de placer les mineurs en milieu ouvert ; cette coordination a permis de nouer des liens avec les autorités locales et les acteurs de la société civile en vue de créer des espaces d</w:t>
      </w:r>
      <w:r w:rsidR="002A5D78">
        <w:rPr>
          <w:noProof/>
          <w:lang w:val="fr-FR"/>
        </w:rPr>
        <w:t>’</w:t>
      </w:r>
      <w:r>
        <w:rPr>
          <w:noProof/>
          <w:lang w:val="fr-FR"/>
        </w:rPr>
        <w:t>insertion des jeunes visés par une procédure judiciaire. Des études portant sur la situation des centres d</w:t>
      </w:r>
      <w:r w:rsidR="002A5D78">
        <w:rPr>
          <w:noProof/>
          <w:lang w:val="fr-FR"/>
        </w:rPr>
        <w:t>’</w:t>
      </w:r>
      <w:r>
        <w:rPr>
          <w:noProof/>
          <w:lang w:val="fr-FR"/>
        </w:rPr>
        <w:t>internement des mineurs en conflit avec la loi (</w:t>
      </w:r>
      <w:r>
        <w:rPr>
          <w:i/>
          <w:noProof/>
          <w:lang w:val="fr-FR"/>
        </w:rPr>
        <w:t>Centros de i</w:t>
      </w:r>
      <w:r w:rsidRPr="004B3E57">
        <w:rPr>
          <w:i/>
          <w:noProof/>
          <w:lang w:val="fr-FR"/>
        </w:rPr>
        <w:t>nternamiento para jóvenes en conflicto con la ley penal</w:t>
      </w:r>
      <w:r>
        <w:rPr>
          <w:noProof/>
          <w:lang w:val="fr-FR"/>
        </w:rPr>
        <w:t>) ont été réalisées, en plus d</w:t>
      </w:r>
      <w:r w:rsidR="002A5D78">
        <w:rPr>
          <w:noProof/>
          <w:lang w:val="fr-FR"/>
        </w:rPr>
        <w:t>’</w:t>
      </w:r>
      <w:r>
        <w:rPr>
          <w:noProof/>
          <w:lang w:val="fr-FR"/>
        </w:rPr>
        <w:t>une étude de 2009 sur la situation des centres d</w:t>
      </w:r>
      <w:r w:rsidR="002A5D78">
        <w:rPr>
          <w:noProof/>
          <w:lang w:val="fr-FR"/>
        </w:rPr>
        <w:t>’</w:t>
      </w:r>
      <w:r>
        <w:rPr>
          <w:noProof/>
          <w:lang w:val="fr-FR"/>
        </w:rPr>
        <w:t>accueil de mineurs (</w:t>
      </w:r>
      <w:r>
        <w:rPr>
          <w:i/>
          <w:noProof/>
          <w:lang w:val="fr-FR"/>
        </w:rPr>
        <w:t>Centros de resguardo</w:t>
      </w:r>
      <w:r>
        <w:rPr>
          <w:noProof/>
          <w:lang w:val="fr-FR"/>
        </w:rPr>
        <w:t>).</w:t>
      </w:r>
    </w:p>
    <w:p w14:paraId="67AE5F84" w14:textId="77777777" w:rsidR="00B51FCF" w:rsidRPr="008135E7" w:rsidRDefault="00B51FCF" w:rsidP="00B51FCF">
      <w:pPr>
        <w:pStyle w:val="SingleTxtG"/>
        <w:rPr>
          <w:noProof/>
          <w:lang w:val="fr-FR"/>
        </w:rPr>
      </w:pPr>
      <w:r w:rsidRPr="00BB6F7D">
        <w:rPr>
          <w:noProof/>
          <w:lang w:val="fr-FR"/>
        </w:rPr>
        <w:t>85.</w:t>
      </w:r>
      <w:r w:rsidRPr="00BB6F7D">
        <w:rPr>
          <w:noProof/>
          <w:lang w:val="fr-FR"/>
        </w:rPr>
        <w:tab/>
      </w:r>
      <w:r>
        <w:rPr>
          <w:noProof/>
          <w:lang w:val="fr-FR"/>
        </w:rPr>
        <w:t>En 2018 a été inauguré le Centre métropolitain d</w:t>
      </w:r>
      <w:r w:rsidR="002A5D78">
        <w:rPr>
          <w:noProof/>
          <w:lang w:val="fr-FR"/>
        </w:rPr>
        <w:t>’</w:t>
      </w:r>
      <w:r>
        <w:rPr>
          <w:noProof/>
          <w:lang w:val="fr-FR"/>
        </w:rPr>
        <w:t>accueil des mineurs (</w:t>
      </w:r>
      <w:r>
        <w:rPr>
          <w:i/>
          <w:noProof/>
          <w:lang w:val="fr-FR"/>
        </w:rPr>
        <w:t>Resguardo Metropolitano</w:t>
      </w:r>
      <w:r>
        <w:rPr>
          <w:noProof/>
          <w:lang w:val="fr-FR"/>
        </w:rPr>
        <w:t>), en application de la loi sur la justice pénale des mineurs qui prévoit que tout adolescent privé de liberté doit être transféré à un centre d</w:t>
      </w:r>
      <w:r w:rsidR="002A5D78">
        <w:rPr>
          <w:noProof/>
          <w:lang w:val="fr-FR"/>
        </w:rPr>
        <w:t>’</w:t>
      </w:r>
      <w:r>
        <w:rPr>
          <w:noProof/>
          <w:lang w:val="fr-FR"/>
        </w:rPr>
        <w:t>internement pour adolescents en conflit avec la loi et qui attribue à l</w:t>
      </w:r>
      <w:r w:rsidR="002A5D78">
        <w:rPr>
          <w:noProof/>
          <w:lang w:val="fr-FR"/>
        </w:rPr>
        <w:t>’</w:t>
      </w:r>
      <w:r>
        <w:rPr>
          <w:noProof/>
          <w:lang w:val="fr-FR"/>
        </w:rPr>
        <w:t>Institut salvadorien pour le développement complet de l</w:t>
      </w:r>
      <w:r w:rsidR="002A5D78">
        <w:rPr>
          <w:noProof/>
          <w:lang w:val="fr-FR"/>
        </w:rPr>
        <w:t>’</w:t>
      </w:r>
      <w:r>
        <w:rPr>
          <w:noProof/>
          <w:lang w:val="fr-FR"/>
        </w:rPr>
        <w:t>enfant et de l</w:t>
      </w:r>
      <w:r w:rsidR="002A5D78">
        <w:rPr>
          <w:noProof/>
          <w:lang w:val="fr-FR"/>
        </w:rPr>
        <w:t>’</w:t>
      </w:r>
      <w:r>
        <w:rPr>
          <w:noProof/>
          <w:lang w:val="fr-FR"/>
        </w:rPr>
        <w:t>adolescent le soin d</w:t>
      </w:r>
      <w:r w:rsidR="002A5D78">
        <w:rPr>
          <w:noProof/>
          <w:lang w:val="fr-FR"/>
        </w:rPr>
        <w:t>’</w:t>
      </w:r>
      <w:r>
        <w:rPr>
          <w:noProof/>
          <w:lang w:val="fr-FR"/>
        </w:rPr>
        <w:t>administrer ces centres et de veiller à ce que les droits des adolescents et adolescentes y soient respectés.</w:t>
      </w:r>
    </w:p>
    <w:p w14:paraId="27934A1C" w14:textId="77777777" w:rsidR="00B51FCF" w:rsidRPr="00BB6F7D" w:rsidRDefault="00B51FCF" w:rsidP="00B51FCF">
      <w:pPr>
        <w:pStyle w:val="H23G"/>
        <w:rPr>
          <w:noProof/>
          <w:lang w:val="fr-FR"/>
        </w:rPr>
      </w:pPr>
      <w:r>
        <w:rPr>
          <w:noProof/>
          <w:lang w:val="fr-FR"/>
        </w:rPr>
        <w:tab/>
      </w:r>
      <w:r>
        <w:rPr>
          <w:noProof/>
          <w:lang w:val="fr-FR"/>
        </w:rPr>
        <w:tab/>
        <w:t>Articles 12 et</w:t>
      </w:r>
      <w:r w:rsidRPr="00BB6F7D">
        <w:rPr>
          <w:noProof/>
          <w:lang w:val="fr-FR"/>
        </w:rPr>
        <w:t xml:space="preserve"> 13</w:t>
      </w:r>
    </w:p>
    <w:p w14:paraId="588ED103" w14:textId="77777777" w:rsidR="00FD2585" w:rsidRDefault="00B51FCF" w:rsidP="00B51FCF">
      <w:pPr>
        <w:pStyle w:val="SingleTxtG"/>
        <w:rPr>
          <w:noProof/>
          <w:lang w:val="fr-FR"/>
        </w:rPr>
      </w:pPr>
      <w:r w:rsidRPr="00BB6F7D">
        <w:rPr>
          <w:noProof/>
          <w:lang w:val="fr-FR"/>
        </w:rPr>
        <w:t>86.</w:t>
      </w:r>
      <w:r w:rsidRPr="00BB6F7D">
        <w:rPr>
          <w:noProof/>
          <w:lang w:val="fr-FR"/>
        </w:rPr>
        <w:tab/>
      </w:r>
      <w:r>
        <w:rPr>
          <w:noProof/>
          <w:lang w:val="fr-FR"/>
        </w:rPr>
        <w:t>En ce qui concerne les cas de torture, on trouvera dans les tableaux 19, 20, 21 et 22 ci-après les chiffres demandés par le Comité.</w:t>
      </w:r>
    </w:p>
    <w:p w14:paraId="79F54CCF" w14:textId="77777777" w:rsidR="00B51FCF" w:rsidRDefault="00B51FCF" w:rsidP="00B51FCF">
      <w:pPr>
        <w:pStyle w:val="Titre1"/>
        <w:spacing w:after="120"/>
        <w:rPr>
          <w:b/>
          <w:bCs/>
          <w:noProof/>
          <w:lang w:val="fr-FR"/>
        </w:rPr>
      </w:pPr>
      <w:r w:rsidRPr="00A95416">
        <w:rPr>
          <w:bCs/>
          <w:noProof/>
          <w:lang w:val="fr-FR"/>
        </w:rPr>
        <w:t xml:space="preserve">Tableau 19 </w:t>
      </w:r>
      <w:r w:rsidRPr="00A95416">
        <w:rPr>
          <w:bCs/>
          <w:noProof/>
          <w:lang w:val="fr-FR"/>
        </w:rPr>
        <w:br/>
      </w:r>
      <w:r w:rsidRPr="00A95416">
        <w:rPr>
          <w:b/>
          <w:bCs/>
          <w:noProof/>
          <w:lang w:val="fr-FR"/>
        </w:rPr>
        <w:t>Nombre de victimes de l</w:t>
      </w:r>
      <w:r w:rsidR="002A5D78" w:rsidRPr="00A95416">
        <w:rPr>
          <w:b/>
          <w:bCs/>
          <w:noProof/>
          <w:lang w:val="fr-FR"/>
        </w:rPr>
        <w:t>’</w:t>
      </w:r>
      <w:r w:rsidRPr="00A95416">
        <w:rPr>
          <w:b/>
          <w:bCs/>
          <w:noProof/>
          <w:lang w:val="fr-FR"/>
        </w:rPr>
        <w:t>infraction de torture</w:t>
      </w:r>
    </w:p>
    <w:tbl>
      <w:tblPr>
        <w:tblW w:w="7370" w:type="dxa"/>
        <w:tblInd w:w="1134" w:type="dxa"/>
        <w:tblLayout w:type="fixed"/>
        <w:tblCellMar>
          <w:left w:w="0" w:type="dxa"/>
          <w:right w:w="0" w:type="dxa"/>
        </w:tblCellMar>
        <w:tblLook w:val="04A0" w:firstRow="1" w:lastRow="0" w:firstColumn="1" w:lastColumn="0" w:noHBand="0" w:noVBand="1"/>
      </w:tblPr>
      <w:tblGrid>
        <w:gridCol w:w="926"/>
        <w:gridCol w:w="1342"/>
        <w:gridCol w:w="637"/>
        <w:gridCol w:w="638"/>
        <w:gridCol w:w="638"/>
        <w:gridCol w:w="638"/>
        <w:gridCol w:w="637"/>
        <w:gridCol w:w="638"/>
        <w:gridCol w:w="638"/>
        <w:gridCol w:w="638"/>
      </w:tblGrid>
      <w:tr w:rsidR="0085127D" w:rsidRPr="00A95416" w14:paraId="74F3DB3E" w14:textId="77777777" w:rsidTr="000750F4">
        <w:trPr>
          <w:tblHeader/>
        </w:trPr>
        <w:tc>
          <w:tcPr>
            <w:tcW w:w="926"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5290908B" w14:textId="77777777" w:rsidR="0085127D" w:rsidRPr="00A95416" w:rsidRDefault="0085127D" w:rsidP="0085127D">
            <w:pPr>
              <w:spacing w:before="80" w:after="80" w:line="220" w:lineRule="exact"/>
              <w:rPr>
                <w:noProof/>
                <w:sz w:val="18"/>
                <w:szCs w:val="16"/>
                <w:lang w:val="fr-FR"/>
              </w:rPr>
            </w:pPr>
            <w:r w:rsidRPr="00A95416">
              <w:rPr>
                <w:i/>
                <w:noProof/>
                <w:sz w:val="16"/>
                <w:lang w:val="fr-FR"/>
              </w:rPr>
              <w:t>Sexe</w:t>
            </w:r>
          </w:p>
        </w:tc>
        <w:tc>
          <w:tcPr>
            <w:tcW w:w="134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0F05FB57" w14:textId="77777777" w:rsidR="0085127D" w:rsidRPr="00A95416" w:rsidRDefault="0085127D" w:rsidP="0085127D">
            <w:pPr>
              <w:spacing w:before="80" w:after="80" w:line="220" w:lineRule="exact"/>
              <w:rPr>
                <w:noProof/>
                <w:sz w:val="18"/>
                <w:lang w:val="fr-FR"/>
              </w:rPr>
            </w:pPr>
            <w:r w:rsidRPr="00A95416">
              <w:rPr>
                <w:i/>
                <w:noProof/>
                <w:sz w:val="16"/>
                <w:lang w:val="fr-FR"/>
              </w:rPr>
              <w:t>Âge</w:t>
            </w:r>
          </w:p>
        </w:tc>
        <w:tc>
          <w:tcPr>
            <w:tcW w:w="4464" w:type="dxa"/>
            <w:gridSpan w:val="7"/>
            <w:tcBorders>
              <w:top w:val="single" w:sz="4" w:space="0" w:color="auto"/>
              <w:bottom w:val="single" w:sz="4" w:space="0" w:color="auto"/>
            </w:tcBorders>
            <w:shd w:val="clear" w:color="auto" w:fill="auto"/>
            <w:tcMar>
              <w:top w:w="0" w:type="dxa"/>
              <w:left w:w="0" w:type="dxa"/>
              <w:bottom w:w="0" w:type="dxa"/>
              <w:right w:w="0" w:type="dxa"/>
            </w:tcMar>
            <w:vAlign w:val="bottom"/>
          </w:tcPr>
          <w:p w14:paraId="73880016" w14:textId="77777777" w:rsidR="0085127D" w:rsidRPr="00A95416" w:rsidRDefault="0085127D" w:rsidP="0085127D">
            <w:pPr>
              <w:suppressAutoHyphens w:val="0"/>
              <w:spacing w:before="80" w:after="80" w:line="220" w:lineRule="exact"/>
              <w:jc w:val="center"/>
              <w:rPr>
                <w:noProof/>
                <w:sz w:val="18"/>
                <w:lang w:val="fr-FR"/>
              </w:rPr>
            </w:pPr>
            <w:r w:rsidRPr="00A95416">
              <w:rPr>
                <w:i/>
                <w:noProof/>
                <w:sz w:val="16"/>
                <w:lang w:val="fr-FR"/>
              </w:rPr>
              <w:t>Année</w:t>
            </w:r>
          </w:p>
        </w:tc>
        <w:tc>
          <w:tcPr>
            <w:tcW w:w="63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437830C5" w14:textId="77777777" w:rsidR="0085127D" w:rsidRPr="003837E0" w:rsidRDefault="0085127D" w:rsidP="0085127D">
            <w:pPr>
              <w:spacing w:before="80" w:after="80" w:line="220" w:lineRule="exact"/>
              <w:jc w:val="right"/>
              <w:rPr>
                <w:b/>
                <w:bCs/>
                <w:noProof/>
                <w:sz w:val="18"/>
                <w:lang w:val="fr-FR"/>
              </w:rPr>
            </w:pPr>
            <w:r w:rsidRPr="003837E0">
              <w:rPr>
                <w:b/>
                <w:bCs/>
                <w:i/>
                <w:noProof/>
                <w:sz w:val="16"/>
                <w:lang w:val="fr-FR"/>
              </w:rPr>
              <w:t>Total</w:t>
            </w:r>
          </w:p>
        </w:tc>
      </w:tr>
      <w:tr w:rsidR="0085127D" w:rsidRPr="00A95416" w14:paraId="4A6CAF62" w14:textId="77777777" w:rsidTr="000750F4">
        <w:trPr>
          <w:tblHeader/>
        </w:trPr>
        <w:tc>
          <w:tcPr>
            <w:tcW w:w="926" w:type="dxa"/>
            <w:vMerge/>
            <w:tcBorders>
              <w:bottom w:val="single" w:sz="12" w:space="0" w:color="auto"/>
            </w:tcBorders>
            <w:shd w:val="clear" w:color="auto" w:fill="auto"/>
            <w:tcMar>
              <w:top w:w="0" w:type="dxa"/>
              <w:left w:w="0" w:type="dxa"/>
              <w:bottom w:w="0" w:type="dxa"/>
              <w:right w:w="0" w:type="dxa"/>
            </w:tcMar>
          </w:tcPr>
          <w:p w14:paraId="4A2EC605" w14:textId="77777777" w:rsidR="0085127D" w:rsidRPr="00A95416" w:rsidRDefault="0085127D" w:rsidP="0085127D">
            <w:pPr>
              <w:suppressAutoHyphens w:val="0"/>
              <w:spacing w:before="80" w:after="80" w:line="220" w:lineRule="exact"/>
              <w:rPr>
                <w:noProof/>
                <w:sz w:val="18"/>
                <w:szCs w:val="16"/>
                <w:lang w:val="fr-FR"/>
              </w:rPr>
            </w:pPr>
          </w:p>
        </w:tc>
        <w:tc>
          <w:tcPr>
            <w:tcW w:w="1342" w:type="dxa"/>
            <w:vMerge/>
            <w:tcBorders>
              <w:bottom w:val="single" w:sz="12" w:space="0" w:color="auto"/>
            </w:tcBorders>
            <w:shd w:val="clear" w:color="auto" w:fill="auto"/>
            <w:tcMar>
              <w:top w:w="0" w:type="dxa"/>
              <w:left w:w="0" w:type="dxa"/>
              <w:bottom w:w="0" w:type="dxa"/>
              <w:right w:w="0" w:type="dxa"/>
            </w:tcMar>
            <w:vAlign w:val="bottom"/>
          </w:tcPr>
          <w:p w14:paraId="7F6F8840" w14:textId="77777777" w:rsidR="0085127D" w:rsidRPr="00A95416" w:rsidRDefault="0085127D" w:rsidP="0085127D">
            <w:pPr>
              <w:suppressAutoHyphens w:val="0"/>
              <w:spacing w:before="80" w:after="80" w:line="220" w:lineRule="exact"/>
              <w:rPr>
                <w:noProof/>
                <w:sz w:val="18"/>
                <w:lang w:val="fr-FR"/>
              </w:rPr>
            </w:pP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CB08AA"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2010</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C18670F"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2013</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F366352"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2014</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48D1576"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2015</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37D0D15"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2016</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F6BC7D3"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2017</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4DDEAC0" w14:textId="77777777" w:rsidR="0085127D" w:rsidRPr="0085127D" w:rsidRDefault="0085127D" w:rsidP="0085127D">
            <w:pPr>
              <w:suppressAutoHyphens w:val="0"/>
              <w:spacing w:before="80" w:after="80" w:line="220" w:lineRule="exact"/>
              <w:jc w:val="right"/>
              <w:rPr>
                <w:i/>
                <w:iCs/>
                <w:noProof/>
                <w:sz w:val="16"/>
                <w:szCs w:val="16"/>
                <w:lang w:val="fr-FR"/>
              </w:rPr>
            </w:pPr>
            <w:r w:rsidRPr="0085127D">
              <w:rPr>
                <w:i/>
                <w:iCs/>
                <w:noProof/>
                <w:sz w:val="16"/>
                <w:szCs w:val="16"/>
                <w:lang w:val="fr-FR"/>
              </w:rPr>
              <w:t>2018</w:t>
            </w:r>
          </w:p>
        </w:tc>
        <w:tc>
          <w:tcPr>
            <w:tcW w:w="638" w:type="dxa"/>
            <w:vMerge/>
            <w:tcBorders>
              <w:bottom w:val="single" w:sz="12" w:space="0" w:color="auto"/>
            </w:tcBorders>
            <w:shd w:val="clear" w:color="auto" w:fill="auto"/>
            <w:tcMar>
              <w:top w:w="0" w:type="dxa"/>
              <w:left w:w="0" w:type="dxa"/>
              <w:bottom w:w="0" w:type="dxa"/>
              <w:right w:w="0" w:type="dxa"/>
            </w:tcMar>
            <w:vAlign w:val="bottom"/>
          </w:tcPr>
          <w:p w14:paraId="3083C6C1" w14:textId="77777777" w:rsidR="0085127D" w:rsidRPr="003837E0" w:rsidRDefault="0085127D" w:rsidP="0085127D">
            <w:pPr>
              <w:spacing w:before="80" w:after="80" w:line="220" w:lineRule="exact"/>
              <w:jc w:val="right"/>
              <w:rPr>
                <w:b/>
                <w:bCs/>
                <w:noProof/>
                <w:sz w:val="18"/>
                <w:lang w:val="fr-FR"/>
              </w:rPr>
            </w:pPr>
          </w:p>
        </w:tc>
      </w:tr>
      <w:tr w:rsidR="00FD2585" w:rsidRPr="00A95416" w14:paraId="3E291143" w14:textId="77777777" w:rsidTr="000750F4">
        <w:tc>
          <w:tcPr>
            <w:tcW w:w="926" w:type="dxa"/>
            <w:vMerge w:val="restart"/>
            <w:tcBorders>
              <w:top w:val="single" w:sz="12" w:space="0" w:color="auto"/>
            </w:tcBorders>
            <w:shd w:val="clear" w:color="auto" w:fill="auto"/>
            <w:tcMar>
              <w:top w:w="0" w:type="dxa"/>
              <w:left w:w="0" w:type="dxa"/>
              <w:bottom w:w="0" w:type="dxa"/>
              <w:right w:w="0" w:type="dxa"/>
            </w:tcMar>
          </w:tcPr>
          <w:p w14:paraId="46911134" w14:textId="77777777" w:rsidR="00FD2585" w:rsidRPr="00A95416" w:rsidRDefault="00FD2585" w:rsidP="00FD2585">
            <w:pPr>
              <w:suppressAutoHyphens w:val="0"/>
              <w:spacing w:before="40" w:after="40" w:line="220" w:lineRule="exact"/>
              <w:rPr>
                <w:noProof/>
                <w:sz w:val="18"/>
                <w:lang w:val="fr-FR"/>
              </w:rPr>
            </w:pPr>
            <w:r w:rsidRPr="00A95416">
              <w:rPr>
                <w:noProof/>
                <w:sz w:val="18"/>
                <w:szCs w:val="16"/>
                <w:lang w:val="fr-FR"/>
              </w:rPr>
              <w:t>Masculin</w:t>
            </w:r>
            <w:r>
              <w:rPr>
                <w:noProof/>
                <w:sz w:val="18"/>
                <w:szCs w:val="16"/>
                <w:lang w:val="fr-FR"/>
              </w:rPr>
              <w:br/>
            </w:r>
            <w:r w:rsidRPr="00A95416">
              <w:rPr>
                <w:noProof/>
                <w:sz w:val="18"/>
                <w:lang w:val="fr-FR"/>
              </w:rPr>
              <w:t>(M)</w:t>
            </w:r>
          </w:p>
        </w:tc>
        <w:tc>
          <w:tcPr>
            <w:tcW w:w="1342" w:type="dxa"/>
            <w:tcBorders>
              <w:top w:val="single" w:sz="12" w:space="0" w:color="auto"/>
            </w:tcBorders>
            <w:shd w:val="clear" w:color="auto" w:fill="auto"/>
            <w:tcMar>
              <w:top w:w="0" w:type="dxa"/>
              <w:left w:w="0" w:type="dxa"/>
              <w:bottom w:w="0" w:type="dxa"/>
              <w:right w:w="0" w:type="dxa"/>
            </w:tcMar>
            <w:vAlign w:val="bottom"/>
          </w:tcPr>
          <w:p w14:paraId="464DC01F"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0-12 ans</w:t>
            </w:r>
          </w:p>
        </w:tc>
        <w:tc>
          <w:tcPr>
            <w:tcW w:w="637" w:type="dxa"/>
            <w:tcBorders>
              <w:top w:val="single" w:sz="12" w:space="0" w:color="auto"/>
            </w:tcBorders>
            <w:shd w:val="clear" w:color="auto" w:fill="auto"/>
            <w:tcMar>
              <w:top w:w="0" w:type="dxa"/>
              <w:left w:w="0" w:type="dxa"/>
              <w:bottom w:w="0" w:type="dxa"/>
              <w:right w:w="0" w:type="dxa"/>
            </w:tcMar>
            <w:vAlign w:val="bottom"/>
          </w:tcPr>
          <w:p w14:paraId="2FD04300"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tcBorders>
              <w:top w:val="single" w:sz="12" w:space="0" w:color="auto"/>
            </w:tcBorders>
            <w:shd w:val="clear" w:color="auto" w:fill="auto"/>
            <w:tcMar>
              <w:top w:w="0" w:type="dxa"/>
              <w:left w:w="0" w:type="dxa"/>
              <w:bottom w:w="0" w:type="dxa"/>
              <w:right w:w="0" w:type="dxa"/>
            </w:tcMar>
            <w:vAlign w:val="bottom"/>
          </w:tcPr>
          <w:p w14:paraId="63A71364" w14:textId="77777777" w:rsidR="00FD2585" w:rsidRPr="00A95416" w:rsidRDefault="00FD2585" w:rsidP="00FD2585">
            <w:pPr>
              <w:suppressAutoHyphens w:val="0"/>
              <w:spacing w:before="40" w:after="40" w:line="220" w:lineRule="exact"/>
              <w:jc w:val="right"/>
              <w:rPr>
                <w:noProof/>
                <w:sz w:val="18"/>
                <w:lang w:val="fr-FR"/>
              </w:rPr>
            </w:pPr>
          </w:p>
        </w:tc>
        <w:tc>
          <w:tcPr>
            <w:tcW w:w="638" w:type="dxa"/>
            <w:tcBorders>
              <w:top w:val="single" w:sz="12" w:space="0" w:color="auto"/>
            </w:tcBorders>
            <w:shd w:val="clear" w:color="auto" w:fill="auto"/>
            <w:tcMar>
              <w:top w:w="0" w:type="dxa"/>
              <w:left w:w="0" w:type="dxa"/>
              <w:bottom w:w="0" w:type="dxa"/>
              <w:right w:w="0" w:type="dxa"/>
            </w:tcMar>
            <w:vAlign w:val="bottom"/>
          </w:tcPr>
          <w:p w14:paraId="1B9FCC9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5C7911A7"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tcBorders>
              <w:top w:val="single" w:sz="12" w:space="0" w:color="auto"/>
            </w:tcBorders>
            <w:shd w:val="clear" w:color="auto" w:fill="auto"/>
            <w:tcMar>
              <w:top w:w="0" w:type="dxa"/>
              <w:left w:w="0" w:type="dxa"/>
              <w:bottom w:w="0" w:type="dxa"/>
              <w:right w:w="0" w:type="dxa"/>
            </w:tcMar>
            <w:vAlign w:val="bottom"/>
          </w:tcPr>
          <w:p w14:paraId="2BA7081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41EF0F36"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0B2759D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12" w:space="0" w:color="auto"/>
            </w:tcBorders>
            <w:shd w:val="clear" w:color="auto" w:fill="auto"/>
            <w:tcMar>
              <w:top w:w="0" w:type="dxa"/>
              <w:left w:w="0" w:type="dxa"/>
              <w:bottom w:w="0" w:type="dxa"/>
              <w:right w:w="0" w:type="dxa"/>
            </w:tcMar>
            <w:vAlign w:val="bottom"/>
          </w:tcPr>
          <w:p w14:paraId="7FAD8089"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1</w:t>
            </w:r>
          </w:p>
        </w:tc>
      </w:tr>
      <w:tr w:rsidR="00FD2585" w:rsidRPr="00A95416" w14:paraId="228EE498" w14:textId="77777777" w:rsidTr="00FD2585">
        <w:tc>
          <w:tcPr>
            <w:tcW w:w="926" w:type="dxa"/>
            <w:vMerge/>
            <w:shd w:val="clear" w:color="auto" w:fill="auto"/>
          </w:tcPr>
          <w:p w14:paraId="48881D2B"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28D3CEB1"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13-17 ans</w:t>
            </w:r>
          </w:p>
        </w:tc>
        <w:tc>
          <w:tcPr>
            <w:tcW w:w="637" w:type="dxa"/>
            <w:shd w:val="clear" w:color="auto" w:fill="auto"/>
            <w:tcMar>
              <w:top w:w="0" w:type="dxa"/>
              <w:left w:w="0" w:type="dxa"/>
              <w:bottom w:w="0" w:type="dxa"/>
              <w:right w:w="0" w:type="dxa"/>
            </w:tcMar>
            <w:vAlign w:val="bottom"/>
          </w:tcPr>
          <w:p w14:paraId="60AD2E7F"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7</w:t>
            </w:r>
          </w:p>
        </w:tc>
        <w:tc>
          <w:tcPr>
            <w:tcW w:w="638" w:type="dxa"/>
            <w:shd w:val="clear" w:color="auto" w:fill="auto"/>
            <w:tcMar>
              <w:top w:w="0" w:type="dxa"/>
              <w:left w:w="0" w:type="dxa"/>
              <w:bottom w:w="0" w:type="dxa"/>
              <w:right w:w="0" w:type="dxa"/>
            </w:tcMar>
            <w:vAlign w:val="bottom"/>
          </w:tcPr>
          <w:p w14:paraId="6EDDA1F0"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479A724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0B1F75B3"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7" w:type="dxa"/>
            <w:shd w:val="clear" w:color="auto" w:fill="auto"/>
            <w:tcMar>
              <w:top w:w="0" w:type="dxa"/>
              <w:left w:w="0" w:type="dxa"/>
              <w:bottom w:w="0" w:type="dxa"/>
              <w:right w:w="0" w:type="dxa"/>
            </w:tcMar>
            <w:vAlign w:val="bottom"/>
          </w:tcPr>
          <w:p w14:paraId="50F30E5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3</w:t>
            </w:r>
          </w:p>
        </w:tc>
        <w:tc>
          <w:tcPr>
            <w:tcW w:w="638" w:type="dxa"/>
            <w:shd w:val="clear" w:color="auto" w:fill="auto"/>
            <w:tcMar>
              <w:top w:w="0" w:type="dxa"/>
              <w:left w:w="0" w:type="dxa"/>
              <w:bottom w:w="0" w:type="dxa"/>
              <w:right w:w="0" w:type="dxa"/>
            </w:tcMar>
            <w:vAlign w:val="bottom"/>
          </w:tcPr>
          <w:p w14:paraId="177945C5"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shd w:val="clear" w:color="auto" w:fill="auto"/>
            <w:tcMar>
              <w:top w:w="0" w:type="dxa"/>
              <w:left w:w="0" w:type="dxa"/>
              <w:bottom w:w="0" w:type="dxa"/>
              <w:right w:w="0" w:type="dxa"/>
            </w:tcMar>
            <w:vAlign w:val="bottom"/>
          </w:tcPr>
          <w:p w14:paraId="22765236"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4</w:t>
            </w:r>
          </w:p>
        </w:tc>
        <w:tc>
          <w:tcPr>
            <w:tcW w:w="638" w:type="dxa"/>
            <w:shd w:val="clear" w:color="auto" w:fill="auto"/>
            <w:tcMar>
              <w:top w:w="0" w:type="dxa"/>
              <w:left w:w="0" w:type="dxa"/>
              <w:bottom w:w="0" w:type="dxa"/>
              <w:right w:w="0" w:type="dxa"/>
            </w:tcMar>
            <w:vAlign w:val="bottom"/>
          </w:tcPr>
          <w:p w14:paraId="303CAB93"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17</w:t>
            </w:r>
          </w:p>
        </w:tc>
      </w:tr>
      <w:tr w:rsidR="00FD2585" w:rsidRPr="00A95416" w14:paraId="0094A4B0" w14:textId="77777777" w:rsidTr="00FD2585">
        <w:tc>
          <w:tcPr>
            <w:tcW w:w="926" w:type="dxa"/>
            <w:vMerge/>
            <w:shd w:val="clear" w:color="auto" w:fill="auto"/>
          </w:tcPr>
          <w:p w14:paraId="5EE46BEA"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7C0CE1E5"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18-30 ans</w:t>
            </w:r>
          </w:p>
        </w:tc>
        <w:tc>
          <w:tcPr>
            <w:tcW w:w="637" w:type="dxa"/>
            <w:shd w:val="clear" w:color="auto" w:fill="auto"/>
            <w:tcMar>
              <w:top w:w="0" w:type="dxa"/>
              <w:left w:w="0" w:type="dxa"/>
              <w:bottom w:w="0" w:type="dxa"/>
              <w:right w:w="0" w:type="dxa"/>
            </w:tcMar>
            <w:vAlign w:val="bottom"/>
          </w:tcPr>
          <w:p w14:paraId="154311FE"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shd w:val="clear" w:color="auto" w:fill="auto"/>
            <w:tcMar>
              <w:top w:w="0" w:type="dxa"/>
              <w:left w:w="0" w:type="dxa"/>
              <w:bottom w:w="0" w:type="dxa"/>
              <w:right w:w="0" w:type="dxa"/>
            </w:tcMar>
            <w:vAlign w:val="bottom"/>
          </w:tcPr>
          <w:p w14:paraId="4916043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6CAD25C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498FDF3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7" w:type="dxa"/>
            <w:shd w:val="clear" w:color="auto" w:fill="auto"/>
            <w:tcMar>
              <w:top w:w="0" w:type="dxa"/>
              <w:left w:w="0" w:type="dxa"/>
              <w:bottom w:w="0" w:type="dxa"/>
              <w:right w:w="0" w:type="dxa"/>
            </w:tcMar>
            <w:vAlign w:val="bottom"/>
          </w:tcPr>
          <w:p w14:paraId="2F726425"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4</w:t>
            </w:r>
          </w:p>
        </w:tc>
        <w:tc>
          <w:tcPr>
            <w:tcW w:w="638" w:type="dxa"/>
            <w:shd w:val="clear" w:color="auto" w:fill="auto"/>
            <w:tcMar>
              <w:top w:w="0" w:type="dxa"/>
              <w:left w:w="0" w:type="dxa"/>
              <w:bottom w:w="0" w:type="dxa"/>
              <w:right w:w="0" w:type="dxa"/>
            </w:tcMar>
            <w:vAlign w:val="bottom"/>
          </w:tcPr>
          <w:p w14:paraId="5278B74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7C1B345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6</w:t>
            </w:r>
          </w:p>
        </w:tc>
        <w:tc>
          <w:tcPr>
            <w:tcW w:w="638" w:type="dxa"/>
            <w:shd w:val="clear" w:color="auto" w:fill="auto"/>
            <w:tcMar>
              <w:top w:w="0" w:type="dxa"/>
              <w:left w:w="0" w:type="dxa"/>
              <w:bottom w:w="0" w:type="dxa"/>
              <w:right w:w="0" w:type="dxa"/>
            </w:tcMar>
            <w:vAlign w:val="bottom"/>
          </w:tcPr>
          <w:p w14:paraId="3AB3035C"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14</w:t>
            </w:r>
          </w:p>
        </w:tc>
      </w:tr>
      <w:tr w:rsidR="00FD2585" w:rsidRPr="00A95416" w14:paraId="1E0063BB" w14:textId="77777777" w:rsidTr="00FD2585">
        <w:tc>
          <w:tcPr>
            <w:tcW w:w="926" w:type="dxa"/>
            <w:vMerge/>
            <w:shd w:val="clear" w:color="auto" w:fill="auto"/>
          </w:tcPr>
          <w:p w14:paraId="617E9341"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4FE421F8"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31-40 ans</w:t>
            </w:r>
          </w:p>
        </w:tc>
        <w:tc>
          <w:tcPr>
            <w:tcW w:w="637" w:type="dxa"/>
            <w:shd w:val="clear" w:color="auto" w:fill="auto"/>
            <w:tcMar>
              <w:top w:w="0" w:type="dxa"/>
              <w:left w:w="0" w:type="dxa"/>
              <w:bottom w:w="0" w:type="dxa"/>
              <w:right w:w="0" w:type="dxa"/>
            </w:tcMar>
            <w:vAlign w:val="bottom"/>
          </w:tcPr>
          <w:p w14:paraId="7DF807F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2F56D657"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31699D40"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3BC26B54"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shd w:val="clear" w:color="auto" w:fill="auto"/>
            <w:tcMar>
              <w:top w:w="0" w:type="dxa"/>
              <w:left w:w="0" w:type="dxa"/>
              <w:bottom w:w="0" w:type="dxa"/>
              <w:right w:w="0" w:type="dxa"/>
            </w:tcMar>
            <w:vAlign w:val="bottom"/>
          </w:tcPr>
          <w:p w14:paraId="2C9C4F8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03A2E77A"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1B96DE1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05D380C9"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2</w:t>
            </w:r>
          </w:p>
        </w:tc>
      </w:tr>
      <w:tr w:rsidR="00FD2585" w:rsidRPr="00A95416" w14:paraId="007EE8E2" w14:textId="77777777" w:rsidTr="00FD2585">
        <w:tc>
          <w:tcPr>
            <w:tcW w:w="926" w:type="dxa"/>
            <w:vMerge/>
            <w:shd w:val="clear" w:color="auto" w:fill="auto"/>
          </w:tcPr>
          <w:p w14:paraId="0FFEC611"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3C013871" w14:textId="77777777" w:rsidR="00FD2585" w:rsidRPr="00A95416" w:rsidRDefault="00FD2585" w:rsidP="00FD2585">
            <w:pPr>
              <w:suppressAutoHyphens w:val="0"/>
              <w:spacing w:before="40" w:after="40" w:line="220" w:lineRule="exact"/>
              <w:rPr>
                <w:sz w:val="18"/>
              </w:rPr>
            </w:pPr>
            <w:r w:rsidRPr="00A95416">
              <w:rPr>
                <w:noProof/>
                <w:sz w:val="18"/>
                <w:lang w:val="fr-FR"/>
              </w:rPr>
              <w:t>51-60 ans</w:t>
            </w:r>
          </w:p>
        </w:tc>
        <w:tc>
          <w:tcPr>
            <w:tcW w:w="637" w:type="dxa"/>
            <w:shd w:val="clear" w:color="auto" w:fill="auto"/>
            <w:tcMar>
              <w:top w:w="0" w:type="dxa"/>
              <w:left w:w="0" w:type="dxa"/>
              <w:bottom w:w="0" w:type="dxa"/>
              <w:right w:w="0" w:type="dxa"/>
            </w:tcMar>
            <w:vAlign w:val="bottom"/>
          </w:tcPr>
          <w:p w14:paraId="15DF1EB8"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2BAA404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3D6FB510"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0181EA2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shd w:val="clear" w:color="auto" w:fill="auto"/>
            <w:tcMar>
              <w:top w:w="0" w:type="dxa"/>
              <w:left w:w="0" w:type="dxa"/>
              <w:bottom w:w="0" w:type="dxa"/>
              <w:right w:w="0" w:type="dxa"/>
            </w:tcMar>
            <w:vAlign w:val="bottom"/>
          </w:tcPr>
          <w:p w14:paraId="70017F23"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047743C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6E70C5A5"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775B314A"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2</w:t>
            </w:r>
          </w:p>
        </w:tc>
      </w:tr>
      <w:tr w:rsidR="00FD2585" w:rsidRPr="00A95416" w14:paraId="268B23BC" w14:textId="77777777" w:rsidTr="00FD2585">
        <w:tc>
          <w:tcPr>
            <w:tcW w:w="926" w:type="dxa"/>
            <w:vMerge/>
            <w:shd w:val="clear" w:color="auto" w:fill="auto"/>
          </w:tcPr>
          <w:p w14:paraId="1FB8E977"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13E13906"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61-70 ans</w:t>
            </w:r>
          </w:p>
        </w:tc>
        <w:tc>
          <w:tcPr>
            <w:tcW w:w="637" w:type="dxa"/>
            <w:shd w:val="clear" w:color="auto" w:fill="auto"/>
            <w:tcMar>
              <w:top w:w="0" w:type="dxa"/>
              <w:left w:w="0" w:type="dxa"/>
              <w:bottom w:w="0" w:type="dxa"/>
              <w:right w:w="0" w:type="dxa"/>
            </w:tcMar>
            <w:vAlign w:val="bottom"/>
          </w:tcPr>
          <w:p w14:paraId="42556266"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60ACC2A0"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5EB354EE"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20CE226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shd w:val="clear" w:color="auto" w:fill="auto"/>
            <w:tcMar>
              <w:top w:w="0" w:type="dxa"/>
              <w:left w:w="0" w:type="dxa"/>
              <w:bottom w:w="0" w:type="dxa"/>
              <w:right w:w="0" w:type="dxa"/>
            </w:tcMar>
            <w:vAlign w:val="bottom"/>
          </w:tcPr>
          <w:p w14:paraId="1F0996A4"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4DE4DC48"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5FE393AA"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shd w:val="clear" w:color="auto" w:fill="auto"/>
            <w:tcMar>
              <w:top w:w="0" w:type="dxa"/>
              <w:left w:w="0" w:type="dxa"/>
              <w:bottom w:w="0" w:type="dxa"/>
              <w:right w:w="0" w:type="dxa"/>
            </w:tcMar>
            <w:vAlign w:val="bottom"/>
          </w:tcPr>
          <w:p w14:paraId="38A4D4F9"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4</w:t>
            </w:r>
          </w:p>
        </w:tc>
      </w:tr>
      <w:tr w:rsidR="00FD2585" w:rsidRPr="00A95416" w14:paraId="1D995D7F" w14:textId="77777777" w:rsidTr="000750F4">
        <w:tc>
          <w:tcPr>
            <w:tcW w:w="926" w:type="dxa"/>
            <w:vMerge/>
            <w:shd w:val="clear" w:color="auto" w:fill="auto"/>
          </w:tcPr>
          <w:p w14:paraId="42E69D84" w14:textId="77777777" w:rsidR="00FD2585" w:rsidRPr="00A95416" w:rsidRDefault="00FD2585" w:rsidP="00FD2585">
            <w:pPr>
              <w:suppressAutoHyphens w:val="0"/>
              <w:spacing w:before="40" w:after="40" w:line="220" w:lineRule="exact"/>
              <w:rPr>
                <w:noProof/>
                <w:sz w:val="18"/>
                <w:lang w:val="fr-FR"/>
              </w:rPr>
            </w:pPr>
          </w:p>
        </w:tc>
        <w:tc>
          <w:tcPr>
            <w:tcW w:w="1342" w:type="dxa"/>
            <w:tcBorders>
              <w:bottom w:val="single" w:sz="4" w:space="0" w:color="auto"/>
            </w:tcBorders>
            <w:shd w:val="clear" w:color="auto" w:fill="auto"/>
            <w:tcMar>
              <w:top w:w="0" w:type="dxa"/>
              <w:left w:w="0" w:type="dxa"/>
              <w:bottom w:w="0" w:type="dxa"/>
              <w:right w:w="0" w:type="dxa"/>
            </w:tcMar>
            <w:vAlign w:val="bottom"/>
          </w:tcPr>
          <w:p w14:paraId="2435AFF7"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3AAC567F"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3</w:t>
            </w:r>
          </w:p>
        </w:tc>
        <w:tc>
          <w:tcPr>
            <w:tcW w:w="638" w:type="dxa"/>
            <w:tcBorders>
              <w:bottom w:val="single" w:sz="4" w:space="0" w:color="auto"/>
            </w:tcBorders>
            <w:shd w:val="clear" w:color="auto" w:fill="auto"/>
            <w:tcMar>
              <w:top w:w="0" w:type="dxa"/>
              <w:left w:w="0" w:type="dxa"/>
              <w:bottom w:w="0" w:type="dxa"/>
              <w:right w:w="0" w:type="dxa"/>
            </w:tcMar>
            <w:vAlign w:val="bottom"/>
          </w:tcPr>
          <w:p w14:paraId="007F0FB8"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258AC78F"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581677E4"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3</w:t>
            </w:r>
          </w:p>
        </w:tc>
        <w:tc>
          <w:tcPr>
            <w:tcW w:w="637" w:type="dxa"/>
            <w:tcBorders>
              <w:bottom w:val="single" w:sz="4" w:space="0" w:color="auto"/>
            </w:tcBorders>
            <w:shd w:val="clear" w:color="auto" w:fill="auto"/>
            <w:tcMar>
              <w:top w:w="0" w:type="dxa"/>
              <w:left w:w="0" w:type="dxa"/>
              <w:bottom w:w="0" w:type="dxa"/>
              <w:right w:w="0" w:type="dxa"/>
            </w:tcMar>
            <w:vAlign w:val="bottom"/>
          </w:tcPr>
          <w:p w14:paraId="71023AF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tcBorders>
              <w:bottom w:val="single" w:sz="4" w:space="0" w:color="auto"/>
            </w:tcBorders>
            <w:shd w:val="clear" w:color="auto" w:fill="auto"/>
            <w:tcMar>
              <w:top w:w="0" w:type="dxa"/>
              <w:left w:w="0" w:type="dxa"/>
              <w:bottom w:w="0" w:type="dxa"/>
              <w:right w:w="0" w:type="dxa"/>
            </w:tcMar>
            <w:vAlign w:val="bottom"/>
          </w:tcPr>
          <w:p w14:paraId="7D9DACE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24FF5F0E"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73EE7207"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10</w:t>
            </w:r>
          </w:p>
        </w:tc>
      </w:tr>
      <w:tr w:rsidR="00FD2585" w:rsidRPr="00A95416" w14:paraId="1B9CBA54" w14:textId="77777777" w:rsidTr="000750F4">
        <w:tc>
          <w:tcPr>
            <w:tcW w:w="926" w:type="dxa"/>
            <w:vMerge/>
            <w:shd w:val="clear" w:color="auto" w:fill="auto"/>
          </w:tcPr>
          <w:p w14:paraId="1FA49ACB" w14:textId="77777777" w:rsidR="00FD2585" w:rsidRPr="00A95416" w:rsidRDefault="00FD2585" w:rsidP="00FD2585">
            <w:pPr>
              <w:suppressAutoHyphens w:val="0"/>
              <w:spacing w:before="40" w:after="40" w:line="220" w:lineRule="exact"/>
              <w:rPr>
                <w:noProof/>
                <w:sz w:val="18"/>
                <w:lang w:val="fr-FR"/>
              </w:rPr>
            </w:pPr>
          </w:p>
        </w:tc>
        <w:tc>
          <w:tcPr>
            <w:tcW w:w="13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8D3266E" w14:textId="77777777" w:rsidR="00FD2585" w:rsidRPr="00A95416" w:rsidRDefault="00FD2585" w:rsidP="0085127D">
            <w:pPr>
              <w:suppressAutoHyphens w:val="0"/>
              <w:spacing w:before="80" w:after="80" w:line="220" w:lineRule="exact"/>
              <w:ind w:left="284"/>
              <w:rPr>
                <w:b/>
                <w:noProof/>
                <w:sz w:val="18"/>
                <w:lang w:val="fr-FR"/>
              </w:rPr>
            </w:pPr>
            <w:r w:rsidRPr="00A95416">
              <w:rPr>
                <w:b/>
                <w:noProof/>
                <w:sz w:val="18"/>
                <w:lang w:val="fr-FR"/>
              </w:rPr>
              <w:t>Total annuel</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77604C8"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14</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5A236AF"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B18C318"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1</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00162BC"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6</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035993E"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10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344BC48"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3</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EF81169" w14:textId="77777777" w:rsidR="00FD2585" w:rsidRPr="00A95416" w:rsidRDefault="00FD2585" w:rsidP="0085127D">
            <w:pPr>
              <w:suppressAutoHyphens w:val="0"/>
              <w:spacing w:before="80" w:after="80" w:line="220" w:lineRule="exact"/>
              <w:jc w:val="right"/>
              <w:rPr>
                <w:b/>
                <w:noProof/>
                <w:sz w:val="18"/>
                <w:lang w:val="fr-FR"/>
              </w:rPr>
            </w:pPr>
            <w:r w:rsidRPr="00A95416">
              <w:rPr>
                <w:b/>
                <w:noProof/>
                <w:sz w:val="18"/>
                <w:lang w:val="fr-FR"/>
              </w:rPr>
              <w:t>14</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DC0E1A0" w14:textId="77777777" w:rsidR="00FD2585" w:rsidRPr="003837E0" w:rsidRDefault="00FD2585" w:rsidP="0085127D">
            <w:pPr>
              <w:suppressAutoHyphens w:val="0"/>
              <w:spacing w:before="80" w:after="80" w:line="220" w:lineRule="exact"/>
              <w:jc w:val="right"/>
              <w:rPr>
                <w:b/>
                <w:bCs/>
                <w:noProof/>
                <w:sz w:val="18"/>
                <w:lang w:val="fr-FR"/>
              </w:rPr>
            </w:pPr>
            <w:r w:rsidRPr="003837E0">
              <w:rPr>
                <w:b/>
                <w:bCs/>
                <w:noProof/>
                <w:sz w:val="18"/>
                <w:lang w:val="fr-FR"/>
              </w:rPr>
              <w:t>50</w:t>
            </w:r>
          </w:p>
        </w:tc>
      </w:tr>
      <w:tr w:rsidR="00FD2585" w:rsidRPr="00A95416" w14:paraId="6D815C56" w14:textId="77777777" w:rsidTr="000750F4">
        <w:tc>
          <w:tcPr>
            <w:tcW w:w="926" w:type="dxa"/>
            <w:vMerge w:val="restart"/>
            <w:shd w:val="clear" w:color="auto" w:fill="auto"/>
            <w:tcMar>
              <w:top w:w="80" w:type="dxa"/>
              <w:left w:w="80" w:type="dxa"/>
              <w:bottom w:w="80" w:type="dxa"/>
              <w:right w:w="80" w:type="dxa"/>
            </w:tcMar>
          </w:tcPr>
          <w:p w14:paraId="66A4DE16" w14:textId="77777777" w:rsidR="00FD2585" w:rsidRPr="00A95416" w:rsidRDefault="00FD2585" w:rsidP="00FD2585">
            <w:pPr>
              <w:suppressAutoHyphens w:val="0"/>
              <w:spacing w:before="40" w:after="40" w:line="220" w:lineRule="exact"/>
              <w:rPr>
                <w:noProof/>
                <w:sz w:val="18"/>
                <w:lang w:val="fr-FR"/>
              </w:rPr>
            </w:pPr>
            <w:r w:rsidRPr="00A95416">
              <w:rPr>
                <w:noProof/>
                <w:sz w:val="18"/>
                <w:szCs w:val="16"/>
                <w:lang w:val="fr-FR"/>
              </w:rPr>
              <w:lastRenderedPageBreak/>
              <w:t>Féminin</w:t>
            </w:r>
            <w:r>
              <w:rPr>
                <w:noProof/>
                <w:sz w:val="18"/>
                <w:szCs w:val="16"/>
                <w:lang w:val="fr-FR"/>
              </w:rPr>
              <w:br/>
            </w:r>
            <w:r w:rsidRPr="00A95416">
              <w:rPr>
                <w:noProof/>
                <w:sz w:val="18"/>
                <w:lang w:val="fr-FR"/>
              </w:rPr>
              <w:t>(F)</w:t>
            </w:r>
          </w:p>
        </w:tc>
        <w:tc>
          <w:tcPr>
            <w:tcW w:w="1342" w:type="dxa"/>
            <w:tcBorders>
              <w:top w:val="single" w:sz="4" w:space="0" w:color="auto"/>
            </w:tcBorders>
            <w:shd w:val="clear" w:color="auto" w:fill="auto"/>
            <w:tcMar>
              <w:top w:w="0" w:type="dxa"/>
              <w:left w:w="0" w:type="dxa"/>
              <w:bottom w:w="0" w:type="dxa"/>
              <w:right w:w="0" w:type="dxa"/>
            </w:tcMar>
            <w:vAlign w:val="bottom"/>
          </w:tcPr>
          <w:p w14:paraId="5DE8ED53"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18-30 ans</w:t>
            </w:r>
          </w:p>
        </w:tc>
        <w:tc>
          <w:tcPr>
            <w:tcW w:w="637" w:type="dxa"/>
            <w:tcBorders>
              <w:top w:val="single" w:sz="4" w:space="0" w:color="auto"/>
            </w:tcBorders>
            <w:shd w:val="clear" w:color="auto" w:fill="auto"/>
            <w:tcMar>
              <w:top w:w="0" w:type="dxa"/>
              <w:left w:w="0" w:type="dxa"/>
              <w:bottom w:w="0" w:type="dxa"/>
              <w:right w:w="0" w:type="dxa"/>
            </w:tcMar>
            <w:vAlign w:val="bottom"/>
          </w:tcPr>
          <w:p w14:paraId="4BE5623E"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39F6BD3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49C6A966"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655D7888"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tcBorders>
              <w:top w:val="single" w:sz="4" w:space="0" w:color="auto"/>
            </w:tcBorders>
            <w:shd w:val="clear" w:color="auto" w:fill="auto"/>
            <w:tcMar>
              <w:top w:w="0" w:type="dxa"/>
              <w:left w:w="0" w:type="dxa"/>
              <w:bottom w:w="0" w:type="dxa"/>
              <w:right w:w="0" w:type="dxa"/>
            </w:tcMar>
            <w:vAlign w:val="bottom"/>
          </w:tcPr>
          <w:p w14:paraId="4DE5E860"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08108518"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tcBorders>
            <w:shd w:val="clear" w:color="auto" w:fill="auto"/>
            <w:tcMar>
              <w:top w:w="0" w:type="dxa"/>
              <w:left w:w="0" w:type="dxa"/>
              <w:bottom w:w="0" w:type="dxa"/>
              <w:right w:w="0" w:type="dxa"/>
            </w:tcMar>
            <w:vAlign w:val="bottom"/>
          </w:tcPr>
          <w:p w14:paraId="7CCE918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tcBorders>
              <w:top w:val="single" w:sz="4" w:space="0" w:color="auto"/>
            </w:tcBorders>
            <w:shd w:val="clear" w:color="auto" w:fill="auto"/>
            <w:tcMar>
              <w:top w:w="0" w:type="dxa"/>
              <w:left w:w="0" w:type="dxa"/>
              <w:bottom w:w="0" w:type="dxa"/>
              <w:right w:w="0" w:type="dxa"/>
            </w:tcMar>
            <w:vAlign w:val="bottom"/>
          </w:tcPr>
          <w:p w14:paraId="1BB0ED03"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2</w:t>
            </w:r>
          </w:p>
        </w:tc>
      </w:tr>
      <w:tr w:rsidR="00FD2585" w:rsidRPr="00A95416" w14:paraId="63CB492A" w14:textId="77777777" w:rsidTr="00FD2585">
        <w:tc>
          <w:tcPr>
            <w:tcW w:w="926" w:type="dxa"/>
            <w:vMerge/>
            <w:shd w:val="clear" w:color="auto" w:fill="auto"/>
          </w:tcPr>
          <w:p w14:paraId="16C03DB0"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680B58E2"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41-50 ans</w:t>
            </w:r>
          </w:p>
        </w:tc>
        <w:tc>
          <w:tcPr>
            <w:tcW w:w="637" w:type="dxa"/>
            <w:shd w:val="clear" w:color="auto" w:fill="auto"/>
            <w:tcMar>
              <w:top w:w="0" w:type="dxa"/>
              <w:left w:w="0" w:type="dxa"/>
              <w:bottom w:w="0" w:type="dxa"/>
              <w:right w:w="0" w:type="dxa"/>
            </w:tcMar>
            <w:vAlign w:val="bottom"/>
          </w:tcPr>
          <w:p w14:paraId="165DCF0A"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27DC6C8E"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4E3D46B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1FCEF775"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shd w:val="clear" w:color="auto" w:fill="auto"/>
            <w:tcMar>
              <w:top w:w="0" w:type="dxa"/>
              <w:left w:w="0" w:type="dxa"/>
              <w:bottom w:w="0" w:type="dxa"/>
              <w:right w:w="0" w:type="dxa"/>
            </w:tcMar>
            <w:vAlign w:val="bottom"/>
          </w:tcPr>
          <w:p w14:paraId="61F80B95"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03E1494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74C586E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58D44E43"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1</w:t>
            </w:r>
          </w:p>
        </w:tc>
      </w:tr>
      <w:tr w:rsidR="00FD2585" w:rsidRPr="00A95416" w14:paraId="22A40D45" w14:textId="77777777" w:rsidTr="00FD2585">
        <w:tc>
          <w:tcPr>
            <w:tcW w:w="926" w:type="dxa"/>
            <w:vMerge/>
            <w:shd w:val="clear" w:color="auto" w:fill="auto"/>
          </w:tcPr>
          <w:p w14:paraId="08C2AE85"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2FADEB20"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51-60 ans</w:t>
            </w:r>
          </w:p>
        </w:tc>
        <w:tc>
          <w:tcPr>
            <w:tcW w:w="637" w:type="dxa"/>
            <w:shd w:val="clear" w:color="auto" w:fill="auto"/>
            <w:tcMar>
              <w:top w:w="0" w:type="dxa"/>
              <w:left w:w="0" w:type="dxa"/>
              <w:bottom w:w="0" w:type="dxa"/>
              <w:right w:w="0" w:type="dxa"/>
            </w:tcMar>
            <w:vAlign w:val="bottom"/>
          </w:tcPr>
          <w:p w14:paraId="3E21F70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shd w:val="clear" w:color="auto" w:fill="auto"/>
            <w:tcMar>
              <w:top w:w="0" w:type="dxa"/>
              <w:left w:w="0" w:type="dxa"/>
              <w:bottom w:w="0" w:type="dxa"/>
              <w:right w:w="0" w:type="dxa"/>
            </w:tcMar>
            <w:vAlign w:val="bottom"/>
          </w:tcPr>
          <w:p w14:paraId="380F920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3</w:t>
            </w:r>
          </w:p>
        </w:tc>
        <w:tc>
          <w:tcPr>
            <w:tcW w:w="638" w:type="dxa"/>
            <w:shd w:val="clear" w:color="auto" w:fill="auto"/>
            <w:tcMar>
              <w:top w:w="0" w:type="dxa"/>
              <w:left w:w="0" w:type="dxa"/>
              <w:bottom w:w="0" w:type="dxa"/>
              <w:right w:w="0" w:type="dxa"/>
            </w:tcMar>
            <w:vAlign w:val="bottom"/>
          </w:tcPr>
          <w:p w14:paraId="4862DEE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140D35A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shd w:val="clear" w:color="auto" w:fill="auto"/>
            <w:tcMar>
              <w:top w:w="0" w:type="dxa"/>
              <w:left w:w="0" w:type="dxa"/>
              <w:bottom w:w="0" w:type="dxa"/>
              <w:right w:w="0" w:type="dxa"/>
            </w:tcMar>
            <w:vAlign w:val="bottom"/>
          </w:tcPr>
          <w:p w14:paraId="59CF3DCC"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7E82B2E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7716CC37"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40A55B15"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4</w:t>
            </w:r>
          </w:p>
        </w:tc>
      </w:tr>
      <w:tr w:rsidR="00FD2585" w:rsidRPr="00A95416" w14:paraId="7EF33DB1" w14:textId="77777777" w:rsidTr="00FD2585">
        <w:tc>
          <w:tcPr>
            <w:tcW w:w="926" w:type="dxa"/>
            <w:vMerge/>
            <w:shd w:val="clear" w:color="auto" w:fill="auto"/>
          </w:tcPr>
          <w:p w14:paraId="0A9DE557" w14:textId="77777777" w:rsidR="00FD2585" w:rsidRPr="00A95416" w:rsidRDefault="00FD2585" w:rsidP="00FD2585">
            <w:pPr>
              <w:suppressAutoHyphens w:val="0"/>
              <w:spacing w:before="40" w:after="40" w:line="220" w:lineRule="exact"/>
              <w:rPr>
                <w:noProof/>
                <w:sz w:val="18"/>
                <w:lang w:val="fr-FR"/>
              </w:rPr>
            </w:pPr>
          </w:p>
        </w:tc>
        <w:tc>
          <w:tcPr>
            <w:tcW w:w="1342" w:type="dxa"/>
            <w:shd w:val="clear" w:color="auto" w:fill="auto"/>
            <w:tcMar>
              <w:top w:w="0" w:type="dxa"/>
              <w:left w:w="0" w:type="dxa"/>
              <w:bottom w:w="0" w:type="dxa"/>
              <w:right w:w="0" w:type="dxa"/>
            </w:tcMar>
            <w:vAlign w:val="bottom"/>
          </w:tcPr>
          <w:p w14:paraId="6673E2D7"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71-80 ans</w:t>
            </w:r>
          </w:p>
        </w:tc>
        <w:tc>
          <w:tcPr>
            <w:tcW w:w="637" w:type="dxa"/>
            <w:shd w:val="clear" w:color="auto" w:fill="auto"/>
            <w:tcMar>
              <w:top w:w="0" w:type="dxa"/>
              <w:left w:w="0" w:type="dxa"/>
              <w:bottom w:w="0" w:type="dxa"/>
              <w:right w:w="0" w:type="dxa"/>
            </w:tcMar>
            <w:vAlign w:val="bottom"/>
          </w:tcPr>
          <w:p w14:paraId="06D240B4"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4B08F0C3"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31094B9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4CA5EF7E"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7" w:type="dxa"/>
            <w:shd w:val="clear" w:color="auto" w:fill="auto"/>
            <w:tcMar>
              <w:top w:w="0" w:type="dxa"/>
              <w:left w:w="0" w:type="dxa"/>
              <w:bottom w:w="0" w:type="dxa"/>
              <w:right w:w="0" w:type="dxa"/>
            </w:tcMar>
            <w:vAlign w:val="bottom"/>
          </w:tcPr>
          <w:p w14:paraId="14E1967C"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2D56C121"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743BDDA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shd w:val="clear" w:color="auto" w:fill="auto"/>
            <w:tcMar>
              <w:top w:w="0" w:type="dxa"/>
              <w:left w:w="0" w:type="dxa"/>
              <w:bottom w:w="0" w:type="dxa"/>
              <w:right w:w="0" w:type="dxa"/>
            </w:tcMar>
            <w:vAlign w:val="bottom"/>
          </w:tcPr>
          <w:p w14:paraId="37B391F5"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1</w:t>
            </w:r>
          </w:p>
        </w:tc>
      </w:tr>
      <w:tr w:rsidR="00FD2585" w:rsidRPr="00A95416" w14:paraId="4C4C2C12" w14:textId="77777777" w:rsidTr="000750F4">
        <w:tc>
          <w:tcPr>
            <w:tcW w:w="926" w:type="dxa"/>
            <w:vMerge/>
            <w:shd w:val="clear" w:color="auto" w:fill="auto"/>
          </w:tcPr>
          <w:p w14:paraId="54929966" w14:textId="77777777" w:rsidR="00FD2585" w:rsidRPr="00A95416" w:rsidRDefault="00FD2585" w:rsidP="00FD2585">
            <w:pPr>
              <w:suppressAutoHyphens w:val="0"/>
              <w:spacing w:before="40" w:after="40" w:line="220" w:lineRule="exact"/>
              <w:rPr>
                <w:noProof/>
                <w:sz w:val="18"/>
                <w:lang w:val="fr-FR"/>
              </w:rPr>
            </w:pPr>
          </w:p>
        </w:tc>
        <w:tc>
          <w:tcPr>
            <w:tcW w:w="1342" w:type="dxa"/>
            <w:tcBorders>
              <w:bottom w:val="single" w:sz="4" w:space="0" w:color="auto"/>
            </w:tcBorders>
            <w:shd w:val="clear" w:color="auto" w:fill="auto"/>
            <w:tcMar>
              <w:top w:w="0" w:type="dxa"/>
              <w:left w:w="0" w:type="dxa"/>
              <w:bottom w:w="0" w:type="dxa"/>
              <w:right w:w="0" w:type="dxa"/>
            </w:tcMar>
            <w:vAlign w:val="bottom"/>
          </w:tcPr>
          <w:p w14:paraId="1713BFB0"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Âge non consigné</w:t>
            </w:r>
          </w:p>
        </w:tc>
        <w:tc>
          <w:tcPr>
            <w:tcW w:w="637" w:type="dxa"/>
            <w:tcBorders>
              <w:bottom w:val="single" w:sz="4" w:space="0" w:color="auto"/>
            </w:tcBorders>
            <w:shd w:val="clear" w:color="auto" w:fill="auto"/>
            <w:tcMar>
              <w:top w:w="0" w:type="dxa"/>
              <w:left w:w="0" w:type="dxa"/>
              <w:bottom w:w="0" w:type="dxa"/>
              <w:right w:w="0" w:type="dxa"/>
            </w:tcMar>
            <w:vAlign w:val="bottom"/>
          </w:tcPr>
          <w:p w14:paraId="6BAD906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7C8A054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55FA503C"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7EE4F1F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tcBorders>
              <w:bottom w:val="single" w:sz="4" w:space="0" w:color="auto"/>
            </w:tcBorders>
            <w:shd w:val="clear" w:color="auto" w:fill="auto"/>
            <w:tcMar>
              <w:top w:w="0" w:type="dxa"/>
              <w:left w:w="0" w:type="dxa"/>
              <w:bottom w:w="0" w:type="dxa"/>
              <w:right w:w="0" w:type="dxa"/>
            </w:tcMar>
            <w:vAlign w:val="bottom"/>
          </w:tcPr>
          <w:p w14:paraId="3023D80A"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6A23D7C3"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bottom w:val="single" w:sz="4" w:space="0" w:color="auto"/>
            </w:tcBorders>
            <w:shd w:val="clear" w:color="auto" w:fill="auto"/>
            <w:tcMar>
              <w:top w:w="0" w:type="dxa"/>
              <w:left w:w="0" w:type="dxa"/>
              <w:bottom w:w="0" w:type="dxa"/>
              <w:right w:w="0" w:type="dxa"/>
            </w:tcMar>
            <w:vAlign w:val="bottom"/>
          </w:tcPr>
          <w:p w14:paraId="7C1955C3"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w:t>
            </w:r>
          </w:p>
        </w:tc>
        <w:tc>
          <w:tcPr>
            <w:tcW w:w="638" w:type="dxa"/>
            <w:tcBorders>
              <w:bottom w:val="single" w:sz="4" w:space="0" w:color="auto"/>
            </w:tcBorders>
            <w:shd w:val="clear" w:color="auto" w:fill="auto"/>
            <w:tcMar>
              <w:top w:w="0" w:type="dxa"/>
              <w:left w:w="0" w:type="dxa"/>
              <w:bottom w:w="0" w:type="dxa"/>
              <w:right w:w="0" w:type="dxa"/>
            </w:tcMar>
            <w:vAlign w:val="bottom"/>
          </w:tcPr>
          <w:p w14:paraId="72FC18B1" w14:textId="77777777" w:rsidR="00FD2585" w:rsidRPr="003837E0" w:rsidRDefault="00FD2585" w:rsidP="00FD2585">
            <w:pPr>
              <w:suppressAutoHyphens w:val="0"/>
              <w:spacing w:before="40" w:after="40" w:line="220" w:lineRule="exact"/>
              <w:jc w:val="right"/>
              <w:rPr>
                <w:b/>
                <w:bCs/>
                <w:noProof/>
                <w:sz w:val="18"/>
                <w:lang w:val="fr-FR"/>
              </w:rPr>
            </w:pPr>
            <w:r w:rsidRPr="003837E0">
              <w:rPr>
                <w:b/>
                <w:bCs/>
                <w:noProof/>
                <w:sz w:val="18"/>
                <w:lang w:val="fr-FR"/>
              </w:rPr>
              <w:t>3</w:t>
            </w:r>
          </w:p>
        </w:tc>
      </w:tr>
      <w:tr w:rsidR="00FD2585" w:rsidRPr="00A95416" w14:paraId="3139F3D3" w14:textId="77777777" w:rsidTr="000750F4">
        <w:tc>
          <w:tcPr>
            <w:tcW w:w="926" w:type="dxa"/>
            <w:vMerge/>
            <w:shd w:val="clear" w:color="auto" w:fill="auto"/>
          </w:tcPr>
          <w:p w14:paraId="21438C6D" w14:textId="77777777" w:rsidR="00FD2585" w:rsidRPr="00A95416" w:rsidRDefault="00FD2585" w:rsidP="00FD2585">
            <w:pPr>
              <w:suppressAutoHyphens w:val="0"/>
              <w:spacing w:before="40" w:after="40" w:line="220" w:lineRule="exact"/>
              <w:rPr>
                <w:noProof/>
                <w:sz w:val="18"/>
                <w:lang w:val="fr-FR"/>
              </w:rPr>
            </w:pPr>
          </w:p>
        </w:tc>
        <w:tc>
          <w:tcPr>
            <w:tcW w:w="13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76EFBED" w14:textId="77777777" w:rsidR="00FD2585" w:rsidRPr="00A95416" w:rsidRDefault="00FD2585" w:rsidP="000750F4">
            <w:pPr>
              <w:suppressAutoHyphens w:val="0"/>
              <w:spacing w:before="80" w:after="80" w:line="240" w:lineRule="exact"/>
              <w:ind w:left="284"/>
              <w:rPr>
                <w:b/>
                <w:noProof/>
                <w:sz w:val="18"/>
                <w:lang w:val="fr-FR"/>
              </w:rPr>
            </w:pPr>
            <w:r w:rsidRPr="00A95416">
              <w:rPr>
                <w:b/>
                <w:noProof/>
                <w:sz w:val="18"/>
                <w:lang w:val="fr-FR"/>
              </w:rPr>
              <w:t>Total</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7C39421"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1</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5169871"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4</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EE31AD1"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9888FC1"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1</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6FFB20F"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1</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A5EC635"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0E6DA83"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3</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359A5C9" w14:textId="77777777" w:rsidR="00FD2585" w:rsidRPr="00A95416" w:rsidRDefault="00FD2585" w:rsidP="000750F4">
            <w:pPr>
              <w:suppressAutoHyphens w:val="0"/>
              <w:spacing w:before="80" w:after="80" w:line="240" w:lineRule="exact"/>
              <w:jc w:val="right"/>
              <w:rPr>
                <w:b/>
                <w:noProof/>
                <w:sz w:val="18"/>
                <w:lang w:val="fr-FR"/>
              </w:rPr>
            </w:pPr>
            <w:r w:rsidRPr="00A95416">
              <w:rPr>
                <w:b/>
                <w:noProof/>
                <w:sz w:val="18"/>
                <w:lang w:val="fr-FR"/>
              </w:rPr>
              <w:t>11</w:t>
            </w:r>
          </w:p>
        </w:tc>
      </w:tr>
      <w:tr w:rsidR="00FD2585" w:rsidRPr="00A95416" w14:paraId="4CABB358" w14:textId="77777777" w:rsidTr="000750F4">
        <w:tc>
          <w:tcPr>
            <w:tcW w:w="926" w:type="dxa"/>
            <w:shd w:val="clear" w:color="auto" w:fill="auto"/>
            <w:tcMar>
              <w:top w:w="0" w:type="dxa"/>
              <w:left w:w="0" w:type="dxa"/>
              <w:bottom w:w="0" w:type="dxa"/>
              <w:right w:w="0" w:type="dxa"/>
            </w:tcMar>
          </w:tcPr>
          <w:p w14:paraId="174BBD65" w14:textId="77777777" w:rsidR="00FD2585" w:rsidRPr="00404BD5" w:rsidRDefault="00FD2585" w:rsidP="00FD2585">
            <w:pPr>
              <w:suppressAutoHyphens w:val="0"/>
              <w:spacing w:before="40" w:after="40" w:line="220" w:lineRule="exact"/>
              <w:rPr>
                <w:noProof/>
                <w:spacing w:val="-2"/>
                <w:sz w:val="18"/>
                <w:lang w:val="fr-FR"/>
              </w:rPr>
            </w:pPr>
            <w:r w:rsidRPr="00404BD5">
              <w:rPr>
                <w:noProof/>
                <w:spacing w:val="-2"/>
                <w:sz w:val="18"/>
                <w:lang w:val="fr-FR"/>
              </w:rPr>
              <w:t>Indéterminé</w:t>
            </w:r>
          </w:p>
        </w:tc>
        <w:tc>
          <w:tcPr>
            <w:tcW w:w="13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FAD9A11" w14:textId="77777777" w:rsidR="00FD2585" w:rsidRPr="00A95416" w:rsidRDefault="00FD2585" w:rsidP="00FD2585">
            <w:pPr>
              <w:suppressAutoHyphens w:val="0"/>
              <w:spacing w:before="40" w:after="40" w:line="220" w:lineRule="exact"/>
              <w:rPr>
                <w:noProof/>
                <w:sz w:val="18"/>
                <w:lang w:val="fr-FR"/>
              </w:rPr>
            </w:pPr>
            <w:r w:rsidRPr="00A95416">
              <w:rPr>
                <w:noProof/>
                <w:sz w:val="18"/>
                <w:lang w:val="fr-FR"/>
              </w:rPr>
              <w:t>Âge non consigné</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1FC57DD"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8C3A362"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45FC83B"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9917346"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0</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C001739"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A87DAE5"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8E56054"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8</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2AD47E4" w14:textId="77777777" w:rsidR="00FD2585" w:rsidRPr="00A95416" w:rsidRDefault="00FD2585" w:rsidP="00FD2585">
            <w:pPr>
              <w:suppressAutoHyphens w:val="0"/>
              <w:spacing w:before="40" w:after="40" w:line="220" w:lineRule="exact"/>
              <w:jc w:val="right"/>
              <w:rPr>
                <w:noProof/>
                <w:sz w:val="18"/>
                <w:lang w:val="fr-FR"/>
              </w:rPr>
            </w:pPr>
            <w:r w:rsidRPr="00A95416">
              <w:rPr>
                <w:noProof/>
                <w:sz w:val="18"/>
                <w:lang w:val="fr-FR"/>
              </w:rPr>
              <w:t>12</w:t>
            </w:r>
          </w:p>
        </w:tc>
      </w:tr>
      <w:tr w:rsidR="00FD2585" w:rsidRPr="00A95416" w14:paraId="06954267" w14:textId="77777777" w:rsidTr="000750F4">
        <w:tc>
          <w:tcPr>
            <w:tcW w:w="926" w:type="dxa"/>
            <w:tcBorders>
              <w:bottom w:val="single" w:sz="4" w:space="0" w:color="auto"/>
            </w:tcBorders>
            <w:shd w:val="clear" w:color="auto" w:fill="auto"/>
            <w:tcMar>
              <w:top w:w="0" w:type="dxa"/>
              <w:left w:w="0" w:type="dxa"/>
              <w:bottom w:w="0" w:type="dxa"/>
              <w:right w:w="0" w:type="dxa"/>
            </w:tcMar>
          </w:tcPr>
          <w:p w14:paraId="720C15AD" w14:textId="77777777" w:rsidR="00FD2585" w:rsidRPr="00A95416" w:rsidRDefault="00FD2585" w:rsidP="00FD2585">
            <w:pPr>
              <w:suppressAutoHyphens w:val="0"/>
              <w:spacing w:before="40" w:after="40" w:line="220" w:lineRule="exact"/>
              <w:rPr>
                <w:noProof/>
                <w:sz w:val="18"/>
                <w:lang w:val="fr-FR"/>
              </w:rPr>
            </w:pPr>
          </w:p>
        </w:tc>
        <w:tc>
          <w:tcPr>
            <w:tcW w:w="13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4A89578" w14:textId="77777777" w:rsidR="00FD2585" w:rsidRPr="00A95416" w:rsidRDefault="00FD2585" w:rsidP="00717081">
            <w:pPr>
              <w:suppressAutoHyphens w:val="0"/>
              <w:spacing w:before="80" w:after="80" w:line="220" w:lineRule="exact"/>
              <w:ind w:left="284"/>
              <w:rPr>
                <w:noProof/>
                <w:sz w:val="18"/>
                <w:lang w:val="fr-FR"/>
              </w:rPr>
            </w:pPr>
            <w:r w:rsidRPr="00A95416">
              <w:rPr>
                <w:b/>
                <w:noProof/>
                <w:sz w:val="18"/>
                <w:lang w:val="fr-FR"/>
              </w:rPr>
              <w:t xml:space="preserve">Total </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27AEDBD"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0FF6100"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03901B7"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0</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6036C40"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0</w:t>
            </w:r>
          </w:p>
        </w:tc>
        <w:tc>
          <w:tcPr>
            <w:tcW w:w="63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C5C9184"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6475B02"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2</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A7B1E7C"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8</w:t>
            </w:r>
          </w:p>
        </w:tc>
        <w:tc>
          <w:tcPr>
            <w:tcW w:w="63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4D752F" w14:textId="77777777" w:rsidR="00FD2585" w:rsidRPr="00717081" w:rsidRDefault="00FD2585" w:rsidP="00717081">
            <w:pPr>
              <w:suppressAutoHyphens w:val="0"/>
              <w:spacing w:before="80" w:after="80" w:line="220" w:lineRule="exact"/>
              <w:jc w:val="right"/>
              <w:rPr>
                <w:b/>
                <w:bCs/>
                <w:noProof/>
                <w:sz w:val="18"/>
                <w:lang w:val="fr-FR"/>
              </w:rPr>
            </w:pPr>
            <w:r w:rsidRPr="00717081">
              <w:rPr>
                <w:b/>
                <w:bCs/>
                <w:noProof/>
                <w:sz w:val="18"/>
                <w:lang w:val="fr-FR"/>
              </w:rPr>
              <w:t>12</w:t>
            </w:r>
          </w:p>
        </w:tc>
      </w:tr>
      <w:tr w:rsidR="00FD2585" w:rsidRPr="00A95416" w14:paraId="138748C7" w14:textId="77777777" w:rsidTr="00FD2585">
        <w:tc>
          <w:tcPr>
            <w:tcW w:w="2268" w:type="dxa"/>
            <w:gridSpan w:val="2"/>
            <w:tcBorders>
              <w:top w:val="single" w:sz="4" w:space="0" w:color="auto"/>
              <w:bottom w:val="single" w:sz="12" w:space="0" w:color="auto"/>
            </w:tcBorders>
            <w:shd w:val="clear" w:color="auto" w:fill="auto"/>
            <w:tcMar>
              <w:top w:w="0" w:type="dxa"/>
              <w:left w:w="0" w:type="dxa"/>
              <w:bottom w:w="0" w:type="dxa"/>
              <w:right w:w="0" w:type="dxa"/>
            </w:tcMar>
          </w:tcPr>
          <w:p w14:paraId="272110FB" w14:textId="77777777" w:rsidR="00FD2585" w:rsidRPr="00A95416" w:rsidRDefault="00FD2585" w:rsidP="00FD2585">
            <w:pPr>
              <w:suppressAutoHyphens w:val="0"/>
              <w:spacing w:before="80" w:after="80" w:line="220" w:lineRule="exact"/>
              <w:ind w:left="284"/>
              <w:rPr>
                <w:b/>
                <w:noProof/>
                <w:sz w:val="18"/>
                <w:lang w:val="fr-FR"/>
              </w:rPr>
            </w:pPr>
            <w:r w:rsidRPr="00A95416">
              <w:rPr>
                <w:b/>
                <w:noProof/>
                <w:sz w:val="18"/>
                <w:lang w:val="fr-FR"/>
              </w:rPr>
              <w:t xml:space="preserve">Total général </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A95436D"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15</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B488910"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7</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8BEE3D4"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1</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E3744FC"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7</w:t>
            </w:r>
          </w:p>
        </w:tc>
        <w:tc>
          <w:tcPr>
            <w:tcW w:w="6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95E52E3"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13</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29E920C"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5</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855D06B"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25</w:t>
            </w:r>
          </w:p>
        </w:tc>
        <w:tc>
          <w:tcPr>
            <w:tcW w:w="63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F296EAB" w14:textId="77777777" w:rsidR="00FD2585" w:rsidRPr="00A95416" w:rsidRDefault="00FD2585" w:rsidP="00FD2585">
            <w:pPr>
              <w:suppressAutoHyphens w:val="0"/>
              <w:spacing w:before="80" w:after="80" w:line="220" w:lineRule="exact"/>
              <w:jc w:val="right"/>
              <w:rPr>
                <w:b/>
                <w:noProof/>
                <w:sz w:val="18"/>
                <w:lang w:val="fr-FR"/>
              </w:rPr>
            </w:pPr>
            <w:r w:rsidRPr="00A95416">
              <w:rPr>
                <w:b/>
                <w:noProof/>
                <w:sz w:val="18"/>
                <w:lang w:val="fr-FR"/>
              </w:rPr>
              <w:t>73</w:t>
            </w:r>
          </w:p>
        </w:tc>
      </w:tr>
    </w:tbl>
    <w:p w14:paraId="47FFA5AD" w14:textId="77777777" w:rsidR="00404BD5" w:rsidRPr="00A71DA0" w:rsidRDefault="00404BD5" w:rsidP="008161F3">
      <w:pPr>
        <w:pStyle w:val="Body"/>
        <w:spacing w:before="120" w:after="240" w:line="220" w:lineRule="exact"/>
        <w:ind w:left="1134" w:right="1134" w:firstLine="170"/>
        <w:rPr>
          <w:rFonts w:hAnsi="Times New Roman" w:cs="Times New Roman"/>
          <w:noProof/>
          <w:sz w:val="18"/>
          <w:szCs w:val="24"/>
          <w:lang w:val="fr-FR"/>
        </w:rPr>
      </w:pPr>
      <w:r w:rsidRPr="00404BD5">
        <w:rPr>
          <w:rFonts w:hAnsi="Times New Roman" w:cs="Times New Roman"/>
          <w:i/>
          <w:iCs/>
          <w:noProof/>
          <w:sz w:val="18"/>
          <w:szCs w:val="18"/>
          <w:lang w:val="fr-FR"/>
        </w:rPr>
        <w:t>Source</w:t>
      </w:r>
      <w:r>
        <w:rPr>
          <w:rFonts w:hAnsi="Times New Roman" w:cs="Times New Roman"/>
          <w:noProof/>
          <w:sz w:val="18"/>
          <w:szCs w:val="18"/>
          <w:lang w:val="fr-FR"/>
        </w:rPr>
        <w:t xml:space="preserve"> : </w:t>
      </w:r>
      <w:r w:rsidRPr="00A71DA0">
        <w:rPr>
          <w:rFonts w:hAnsi="Times New Roman" w:cs="Times New Roman"/>
          <w:noProof/>
          <w:sz w:val="18"/>
          <w:szCs w:val="18"/>
          <w:lang w:val="fr-FR"/>
        </w:rPr>
        <w:t xml:space="preserve">Département de statistique </w:t>
      </w:r>
      <w:r>
        <w:rPr>
          <w:rFonts w:hAnsi="Times New Roman" w:cs="Times New Roman"/>
          <w:noProof/>
          <w:sz w:val="18"/>
          <w:szCs w:val="18"/>
          <w:lang w:val="fr-FR"/>
        </w:rPr>
        <w:t>du</w:t>
      </w:r>
      <w:r w:rsidRPr="00A71DA0">
        <w:rPr>
          <w:rFonts w:hAnsi="Times New Roman" w:cs="Times New Roman"/>
          <w:noProof/>
          <w:sz w:val="18"/>
          <w:szCs w:val="18"/>
          <w:lang w:val="fr-FR"/>
        </w:rPr>
        <w:t xml:space="preserve"> </w:t>
      </w:r>
      <w:r w:rsidRPr="001A31DC">
        <w:rPr>
          <w:rFonts w:hAnsi="Times New Roman" w:cs="Times New Roman"/>
          <w:noProof/>
          <w:sz w:val="18"/>
          <w:szCs w:val="18"/>
          <w:lang w:val="fr-FR"/>
        </w:rPr>
        <w:t xml:space="preserve">Bureau du </w:t>
      </w:r>
      <w:r w:rsidRPr="001A31DC">
        <w:rPr>
          <w:rFonts w:hAnsi="Times New Roman" w:cs="Times New Roman"/>
          <w:i/>
          <w:noProof/>
          <w:sz w:val="18"/>
          <w:szCs w:val="18"/>
          <w:lang w:val="fr-FR"/>
        </w:rPr>
        <w:t>Fiscal general</w:t>
      </w:r>
      <w:r w:rsidRPr="001A31DC">
        <w:rPr>
          <w:rFonts w:hAnsi="Times New Roman" w:cs="Times New Roman"/>
          <w:noProof/>
          <w:sz w:val="18"/>
          <w:szCs w:val="18"/>
          <w:lang w:val="fr-FR"/>
        </w:rPr>
        <w:t xml:space="preserve"> de la République</w:t>
      </w:r>
      <w:r w:rsidRPr="00A71DA0">
        <w:rPr>
          <w:rFonts w:hAnsi="Times New Roman" w:cs="Times New Roman"/>
          <w:noProof/>
          <w:sz w:val="18"/>
          <w:szCs w:val="18"/>
          <w:lang w:val="fr-FR"/>
        </w:rPr>
        <w:t>, selon les registres du Service d</w:t>
      </w:r>
      <w:r>
        <w:rPr>
          <w:rFonts w:hAnsi="Times New Roman" w:cs="Times New Roman"/>
          <w:noProof/>
          <w:sz w:val="18"/>
          <w:szCs w:val="18"/>
          <w:lang w:val="fr-FR"/>
        </w:rPr>
        <w:t>’</w:t>
      </w:r>
      <w:r w:rsidRPr="00A71DA0">
        <w:rPr>
          <w:rFonts w:hAnsi="Times New Roman" w:cs="Times New Roman"/>
          <w:noProof/>
          <w:sz w:val="18"/>
          <w:szCs w:val="18"/>
          <w:lang w:val="fr-FR"/>
        </w:rPr>
        <w:t>informatisation et</w:t>
      </w:r>
      <w:r>
        <w:rPr>
          <w:rFonts w:hAnsi="Times New Roman" w:cs="Times New Roman"/>
          <w:noProof/>
          <w:sz w:val="18"/>
          <w:szCs w:val="18"/>
          <w:lang w:val="fr-FR"/>
        </w:rPr>
        <w:t xml:space="preserve"> de gestion </w:t>
      </w:r>
      <w:r w:rsidRPr="00A71DA0">
        <w:rPr>
          <w:rFonts w:hAnsi="Times New Roman" w:cs="Times New Roman"/>
          <w:noProof/>
          <w:sz w:val="18"/>
          <w:szCs w:val="18"/>
          <w:lang w:val="fr-FR"/>
        </w:rPr>
        <w:t>automatisée des procès, arrêtés au mois de mars 2019.</w:t>
      </w:r>
    </w:p>
    <w:p w14:paraId="3583BE35" w14:textId="77777777" w:rsidR="00B51FCF" w:rsidRPr="00BB6F7D" w:rsidRDefault="00B51FCF" w:rsidP="00B51FCF">
      <w:pPr>
        <w:pStyle w:val="Titre1"/>
        <w:spacing w:before="240" w:after="120"/>
        <w:rPr>
          <w:noProof/>
          <w:lang w:val="fr-FR"/>
        </w:rPr>
      </w:pPr>
      <w:r>
        <w:rPr>
          <w:noProof/>
          <w:lang w:val="fr-FR"/>
        </w:rPr>
        <w:t>Tableau</w:t>
      </w:r>
      <w:r w:rsidRPr="00BB6F7D">
        <w:rPr>
          <w:noProof/>
          <w:lang w:val="fr-FR"/>
        </w:rPr>
        <w:t xml:space="preserve"> 20 </w:t>
      </w:r>
      <w:r w:rsidRPr="00BB6F7D">
        <w:rPr>
          <w:noProof/>
          <w:lang w:val="fr-FR"/>
        </w:rPr>
        <w:br/>
      </w:r>
      <w:r>
        <w:rPr>
          <w:b/>
          <w:noProof/>
          <w:lang w:val="fr-FR"/>
        </w:rPr>
        <w:t>Nombre d</w:t>
      </w:r>
      <w:r w:rsidR="002A5D78">
        <w:rPr>
          <w:b/>
          <w:noProof/>
          <w:lang w:val="fr-FR"/>
        </w:rPr>
        <w:t>’</w:t>
      </w:r>
      <w:r>
        <w:rPr>
          <w:b/>
          <w:noProof/>
          <w:lang w:val="fr-FR"/>
        </w:rPr>
        <w:t>affaires de torture poursuivies</w:t>
      </w:r>
    </w:p>
    <w:tbl>
      <w:tblPr>
        <w:tblW w:w="7370" w:type="dxa"/>
        <w:tblInd w:w="1134" w:type="dxa"/>
        <w:tblLayout w:type="fixed"/>
        <w:tblCellMar>
          <w:left w:w="0" w:type="dxa"/>
          <w:right w:w="0" w:type="dxa"/>
        </w:tblCellMar>
        <w:tblLook w:val="04A0" w:firstRow="1" w:lastRow="0" w:firstColumn="1" w:lastColumn="0" w:noHBand="0" w:noVBand="1"/>
      </w:tblPr>
      <w:tblGrid>
        <w:gridCol w:w="993"/>
        <w:gridCol w:w="1423"/>
        <w:gridCol w:w="963"/>
        <w:gridCol w:w="942"/>
        <w:gridCol w:w="960"/>
        <w:gridCol w:w="948"/>
        <w:gridCol w:w="1141"/>
      </w:tblGrid>
      <w:tr w:rsidR="00B51FCF" w:rsidRPr="00D913E5" w14:paraId="4792FFCD" w14:textId="77777777" w:rsidTr="008161F3">
        <w:trPr>
          <w:tblHeader/>
        </w:trPr>
        <w:tc>
          <w:tcPr>
            <w:tcW w:w="993"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1A24C15C" w14:textId="77777777" w:rsidR="00B51FCF" w:rsidRPr="00D913E5" w:rsidRDefault="00B51FCF" w:rsidP="00D913E5">
            <w:pPr>
              <w:suppressAutoHyphens w:val="0"/>
              <w:spacing w:before="80" w:after="80" w:line="200" w:lineRule="exact"/>
              <w:rPr>
                <w:i/>
                <w:noProof/>
                <w:sz w:val="16"/>
                <w:lang w:val="fr-FR"/>
              </w:rPr>
            </w:pPr>
            <w:r w:rsidRPr="00D913E5">
              <w:rPr>
                <w:i/>
                <w:noProof/>
                <w:sz w:val="16"/>
                <w:lang w:val="fr-FR"/>
              </w:rPr>
              <w:t xml:space="preserve">Sexe </w:t>
            </w:r>
          </w:p>
        </w:tc>
        <w:tc>
          <w:tcPr>
            <w:tcW w:w="1423"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0F1AB28D" w14:textId="77777777" w:rsidR="00B51FCF" w:rsidRPr="00D913E5" w:rsidRDefault="00B51FCF" w:rsidP="00D913E5">
            <w:pPr>
              <w:suppressAutoHyphens w:val="0"/>
              <w:spacing w:before="80" w:after="80" w:line="200" w:lineRule="exact"/>
              <w:rPr>
                <w:i/>
                <w:noProof/>
                <w:sz w:val="16"/>
                <w:lang w:val="fr-FR"/>
              </w:rPr>
            </w:pPr>
            <w:r w:rsidRPr="00D913E5">
              <w:rPr>
                <w:i/>
                <w:noProof/>
                <w:sz w:val="16"/>
                <w:lang w:val="fr-FR"/>
              </w:rPr>
              <w:t>Âge</w:t>
            </w:r>
          </w:p>
        </w:tc>
        <w:tc>
          <w:tcPr>
            <w:tcW w:w="3813" w:type="dxa"/>
            <w:gridSpan w:val="4"/>
            <w:tcBorders>
              <w:top w:val="single" w:sz="4" w:space="0" w:color="auto"/>
              <w:bottom w:val="single" w:sz="4" w:space="0" w:color="auto"/>
            </w:tcBorders>
            <w:shd w:val="clear" w:color="auto" w:fill="auto"/>
            <w:tcMar>
              <w:top w:w="0" w:type="dxa"/>
              <w:left w:w="0" w:type="dxa"/>
              <w:bottom w:w="0" w:type="dxa"/>
              <w:right w:w="0" w:type="dxa"/>
            </w:tcMar>
            <w:vAlign w:val="bottom"/>
          </w:tcPr>
          <w:p w14:paraId="0E4093AF" w14:textId="77777777" w:rsidR="00B51FCF" w:rsidRPr="00D913E5" w:rsidRDefault="00B51FCF" w:rsidP="008161F3">
            <w:pPr>
              <w:suppressAutoHyphens w:val="0"/>
              <w:spacing w:before="80" w:after="80" w:line="200" w:lineRule="exact"/>
              <w:jc w:val="center"/>
              <w:rPr>
                <w:i/>
                <w:noProof/>
                <w:sz w:val="16"/>
                <w:lang w:val="fr-FR"/>
              </w:rPr>
            </w:pPr>
            <w:r w:rsidRPr="00D913E5">
              <w:rPr>
                <w:i/>
                <w:noProof/>
                <w:sz w:val="16"/>
                <w:lang w:val="fr-FR"/>
              </w:rPr>
              <w:t>Année</w:t>
            </w:r>
          </w:p>
        </w:tc>
        <w:tc>
          <w:tcPr>
            <w:tcW w:w="114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5E6E467D" w14:textId="77777777" w:rsidR="00B51FCF" w:rsidRPr="008161F3" w:rsidRDefault="00B51FCF" w:rsidP="008161F3">
            <w:pPr>
              <w:suppressAutoHyphens w:val="0"/>
              <w:spacing w:before="80" w:after="80" w:line="200" w:lineRule="exact"/>
              <w:jc w:val="right"/>
              <w:rPr>
                <w:b/>
                <w:bCs/>
                <w:i/>
                <w:noProof/>
                <w:sz w:val="16"/>
                <w:lang w:val="fr-FR"/>
              </w:rPr>
            </w:pPr>
            <w:r w:rsidRPr="008161F3">
              <w:rPr>
                <w:b/>
                <w:bCs/>
                <w:i/>
                <w:noProof/>
                <w:sz w:val="16"/>
                <w:lang w:val="fr-FR"/>
              </w:rPr>
              <w:t>Total</w:t>
            </w:r>
          </w:p>
        </w:tc>
      </w:tr>
      <w:tr w:rsidR="00B51FCF" w:rsidRPr="00D913E5" w14:paraId="4BD67F1F" w14:textId="77777777" w:rsidTr="008161F3">
        <w:trPr>
          <w:tblHeader/>
        </w:trPr>
        <w:tc>
          <w:tcPr>
            <w:tcW w:w="993" w:type="dxa"/>
            <w:vMerge/>
            <w:tcBorders>
              <w:top w:val="single" w:sz="12" w:space="0" w:color="auto"/>
              <w:bottom w:val="single" w:sz="12" w:space="0" w:color="auto"/>
            </w:tcBorders>
            <w:shd w:val="clear" w:color="auto" w:fill="auto"/>
            <w:vAlign w:val="bottom"/>
          </w:tcPr>
          <w:p w14:paraId="6D6C45DE" w14:textId="77777777" w:rsidR="00B51FCF" w:rsidRPr="00D913E5" w:rsidRDefault="00B51FCF" w:rsidP="00D913E5">
            <w:pPr>
              <w:suppressAutoHyphens w:val="0"/>
              <w:spacing w:before="40" w:after="40" w:line="220" w:lineRule="exact"/>
              <w:rPr>
                <w:noProof/>
                <w:sz w:val="18"/>
                <w:lang w:val="fr-FR"/>
              </w:rPr>
            </w:pPr>
          </w:p>
        </w:tc>
        <w:tc>
          <w:tcPr>
            <w:tcW w:w="1423" w:type="dxa"/>
            <w:vMerge/>
            <w:tcBorders>
              <w:top w:val="single" w:sz="12" w:space="0" w:color="auto"/>
              <w:bottom w:val="single" w:sz="12" w:space="0" w:color="auto"/>
            </w:tcBorders>
            <w:shd w:val="clear" w:color="auto" w:fill="auto"/>
            <w:vAlign w:val="bottom"/>
          </w:tcPr>
          <w:p w14:paraId="6DC15327" w14:textId="77777777" w:rsidR="00B51FCF" w:rsidRPr="00D913E5" w:rsidRDefault="00B51FCF" w:rsidP="00D913E5">
            <w:pPr>
              <w:suppressAutoHyphens w:val="0"/>
              <w:spacing w:before="40" w:after="40" w:line="220" w:lineRule="exact"/>
              <w:rPr>
                <w:noProof/>
                <w:sz w:val="18"/>
                <w:lang w:val="fr-FR"/>
              </w:rPr>
            </w:pPr>
          </w:p>
        </w:tc>
        <w:tc>
          <w:tcPr>
            <w:tcW w:w="96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C9FE299" w14:textId="77777777" w:rsidR="00B51FCF" w:rsidRPr="00D913E5" w:rsidRDefault="00B51FCF" w:rsidP="008161F3">
            <w:pPr>
              <w:suppressAutoHyphens w:val="0"/>
              <w:spacing w:before="80" w:after="80" w:line="220" w:lineRule="exact"/>
              <w:jc w:val="right"/>
              <w:rPr>
                <w:i/>
                <w:iCs/>
                <w:noProof/>
                <w:sz w:val="16"/>
                <w:szCs w:val="16"/>
                <w:lang w:val="fr-FR"/>
              </w:rPr>
            </w:pPr>
            <w:r w:rsidRPr="00D913E5">
              <w:rPr>
                <w:i/>
                <w:iCs/>
                <w:noProof/>
                <w:sz w:val="16"/>
                <w:szCs w:val="16"/>
                <w:lang w:val="fr-FR"/>
              </w:rPr>
              <w:t>2016</w:t>
            </w:r>
          </w:p>
        </w:tc>
        <w:tc>
          <w:tcPr>
            <w:tcW w:w="94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CC4E2EC" w14:textId="77777777" w:rsidR="00B51FCF" w:rsidRPr="00D913E5" w:rsidRDefault="00B51FCF" w:rsidP="008161F3">
            <w:pPr>
              <w:suppressAutoHyphens w:val="0"/>
              <w:spacing w:before="80" w:after="80" w:line="220" w:lineRule="exact"/>
              <w:jc w:val="right"/>
              <w:rPr>
                <w:i/>
                <w:iCs/>
                <w:noProof/>
                <w:sz w:val="16"/>
                <w:szCs w:val="16"/>
                <w:lang w:val="fr-FR"/>
              </w:rPr>
            </w:pPr>
            <w:r w:rsidRPr="00D913E5">
              <w:rPr>
                <w:i/>
                <w:iCs/>
                <w:noProof/>
                <w:sz w:val="16"/>
                <w:szCs w:val="16"/>
                <w:lang w:val="fr-FR"/>
              </w:rPr>
              <w:t>2017</w:t>
            </w:r>
          </w:p>
        </w:tc>
        <w:tc>
          <w:tcPr>
            <w:tcW w:w="9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8423B51" w14:textId="77777777" w:rsidR="00B51FCF" w:rsidRPr="00D913E5" w:rsidRDefault="00B51FCF" w:rsidP="008161F3">
            <w:pPr>
              <w:suppressAutoHyphens w:val="0"/>
              <w:spacing w:before="80" w:after="80" w:line="220" w:lineRule="exact"/>
              <w:jc w:val="right"/>
              <w:rPr>
                <w:i/>
                <w:iCs/>
                <w:noProof/>
                <w:sz w:val="16"/>
                <w:szCs w:val="16"/>
                <w:lang w:val="fr-FR"/>
              </w:rPr>
            </w:pPr>
            <w:r w:rsidRPr="00D913E5">
              <w:rPr>
                <w:i/>
                <w:iCs/>
                <w:noProof/>
                <w:sz w:val="16"/>
                <w:szCs w:val="16"/>
                <w:lang w:val="fr-FR"/>
              </w:rPr>
              <w:t>2018</w:t>
            </w:r>
          </w:p>
        </w:tc>
        <w:tc>
          <w:tcPr>
            <w:tcW w:w="94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FEA8C7C" w14:textId="77777777" w:rsidR="00B51FCF" w:rsidRPr="00D913E5" w:rsidRDefault="00B51FCF" w:rsidP="008161F3">
            <w:pPr>
              <w:suppressAutoHyphens w:val="0"/>
              <w:spacing w:before="80" w:after="80" w:line="220" w:lineRule="exact"/>
              <w:jc w:val="right"/>
              <w:rPr>
                <w:i/>
                <w:iCs/>
                <w:noProof/>
                <w:sz w:val="16"/>
                <w:szCs w:val="16"/>
                <w:lang w:val="fr-FR"/>
              </w:rPr>
            </w:pPr>
            <w:r w:rsidRPr="00D913E5">
              <w:rPr>
                <w:i/>
                <w:iCs/>
                <w:noProof/>
                <w:sz w:val="16"/>
                <w:szCs w:val="16"/>
                <w:lang w:val="fr-FR"/>
              </w:rPr>
              <w:t>2019</w:t>
            </w:r>
          </w:p>
        </w:tc>
        <w:tc>
          <w:tcPr>
            <w:tcW w:w="1141" w:type="dxa"/>
            <w:vMerge/>
            <w:tcBorders>
              <w:top w:val="single" w:sz="12" w:space="0" w:color="auto"/>
              <w:bottom w:val="single" w:sz="12" w:space="0" w:color="auto"/>
            </w:tcBorders>
            <w:shd w:val="clear" w:color="auto" w:fill="auto"/>
            <w:vAlign w:val="bottom"/>
          </w:tcPr>
          <w:p w14:paraId="041C46D8" w14:textId="77777777" w:rsidR="00B51FCF" w:rsidRPr="008161F3" w:rsidRDefault="00B51FCF" w:rsidP="00D913E5">
            <w:pPr>
              <w:suppressAutoHyphens w:val="0"/>
              <w:spacing w:before="40" w:after="40" w:line="220" w:lineRule="exact"/>
              <w:jc w:val="right"/>
              <w:rPr>
                <w:b/>
                <w:bCs/>
                <w:noProof/>
                <w:sz w:val="18"/>
                <w:lang w:val="fr-FR"/>
              </w:rPr>
            </w:pPr>
          </w:p>
        </w:tc>
      </w:tr>
      <w:tr w:rsidR="00B51FCF" w:rsidRPr="00D913E5" w14:paraId="69D611A7" w14:textId="77777777" w:rsidTr="008161F3">
        <w:tc>
          <w:tcPr>
            <w:tcW w:w="993" w:type="dxa"/>
            <w:vMerge w:val="restart"/>
            <w:tcBorders>
              <w:top w:val="single" w:sz="12" w:space="0" w:color="auto"/>
            </w:tcBorders>
            <w:shd w:val="clear" w:color="auto" w:fill="auto"/>
            <w:tcMar>
              <w:top w:w="0" w:type="dxa"/>
              <w:left w:w="0" w:type="dxa"/>
              <w:bottom w:w="0" w:type="dxa"/>
              <w:right w:w="0" w:type="dxa"/>
            </w:tcMar>
          </w:tcPr>
          <w:p w14:paraId="7ED79A01" w14:textId="77777777" w:rsidR="00B51FCF" w:rsidRPr="00D913E5" w:rsidRDefault="00B51FCF" w:rsidP="00D913E5">
            <w:pPr>
              <w:suppressAutoHyphens w:val="0"/>
              <w:spacing w:before="40" w:after="40" w:line="220" w:lineRule="exact"/>
              <w:rPr>
                <w:noProof/>
                <w:sz w:val="18"/>
                <w:lang w:val="fr-FR"/>
              </w:rPr>
            </w:pPr>
            <w:r w:rsidRPr="00D913E5">
              <w:rPr>
                <w:noProof/>
                <w:sz w:val="18"/>
                <w:szCs w:val="16"/>
                <w:lang w:val="fr-FR"/>
              </w:rPr>
              <w:t xml:space="preserve">Masculin </w:t>
            </w:r>
            <w:r w:rsidR="008161F3">
              <w:rPr>
                <w:noProof/>
                <w:sz w:val="18"/>
                <w:szCs w:val="16"/>
                <w:lang w:val="fr-FR"/>
              </w:rPr>
              <w:br/>
            </w:r>
            <w:r w:rsidRPr="00D913E5">
              <w:rPr>
                <w:noProof/>
                <w:sz w:val="18"/>
                <w:lang w:val="fr-FR"/>
              </w:rPr>
              <w:t>(M)</w:t>
            </w:r>
          </w:p>
        </w:tc>
        <w:tc>
          <w:tcPr>
            <w:tcW w:w="1423" w:type="dxa"/>
            <w:tcBorders>
              <w:top w:val="single" w:sz="12" w:space="0" w:color="auto"/>
            </w:tcBorders>
            <w:shd w:val="clear" w:color="auto" w:fill="auto"/>
            <w:tcMar>
              <w:top w:w="0" w:type="dxa"/>
              <w:left w:w="0" w:type="dxa"/>
              <w:bottom w:w="0" w:type="dxa"/>
              <w:right w:w="0" w:type="dxa"/>
            </w:tcMar>
            <w:vAlign w:val="bottom"/>
          </w:tcPr>
          <w:p w14:paraId="303C1F16" w14:textId="77777777" w:rsidR="00B51FCF" w:rsidRPr="00D913E5" w:rsidRDefault="00B51FCF" w:rsidP="00D913E5">
            <w:pPr>
              <w:suppressAutoHyphens w:val="0"/>
              <w:spacing w:before="40" w:after="40" w:line="220" w:lineRule="exact"/>
              <w:rPr>
                <w:noProof/>
                <w:sz w:val="18"/>
                <w:lang w:val="fr-FR"/>
              </w:rPr>
            </w:pPr>
            <w:r w:rsidRPr="00D913E5">
              <w:rPr>
                <w:noProof/>
                <w:sz w:val="18"/>
                <w:lang w:val="fr-FR"/>
              </w:rPr>
              <w:t>13-17 ans</w:t>
            </w:r>
          </w:p>
        </w:tc>
        <w:tc>
          <w:tcPr>
            <w:tcW w:w="963" w:type="dxa"/>
            <w:tcBorders>
              <w:top w:val="single" w:sz="12" w:space="0" w:color="auto"/>
            </w:tcBorders>
            <w:shd w:val="clear" w:color="auto" w:fill="auto"/>
            <w:tcMar>
              <w:top w:w="0" w:type="dxa"/>
              <w:left w:w="0" w:type="dxa"/>
              <w:bottom w:w="0" w:type="dxa"/>
              <w:right w:w="0" w:type="dxa"/>
            </w:tcMar>
            <w:vAlign w:val="bottom"/>
          </w:tcPr>
          <w:p w14:paraId="0D815940"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2" w:type="dxa"/>
            <w:tcBorders>
              <w:top w:val="single" w:sz="12" w:space="0" w:color="auto"/>
            </w:tcBorders>
            <w:shd w:val="clear" w:color="auto" w:fill="auto"/>
            <w:tcMar>
              <w:top w:w="0" w:type="dxa"/>
              <w:left w:w="0" w:type="dxa"/>
              <w:bottom w:w="0" w:type="dxa"/>
              <w:right w:w="0" w:type="dxa"/>
            </w:tcMar>
            <w:vAlign w:val="bottom"/>
          </w:tcPr>
          <w:p w14:paraId="36499FF4"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2</w:t>
            </w:r>
          </w:p>
        </w:tc>
        <w:tc>
          <w:tcPr>
            <w:tcW w:w="960" w:type="dxa"/>
            <w:tcBorders>
              <w:top w:val="single" w:sz="12" w:space="0" w:color="auto"/>
            </w:tcBorders>
            <w:shd w:val="clear" w:color="auto" w:fill="auto"/>
            <w:tcMar>
              <w:top w:w="0" w:type="dxa"/>
              <w:left w:w="0" w:type="dxa"/>
              <w:bottom w:w="0" w:type="dxa"/>
              <w:right w:w="0" w:type="dxa"/>
            </w:tcMar>
            <w:vAlign w:val="bottom"/>
          </w:tcPr>
          <w:p w14:paraId="418A13DB"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8" w:type="dxa"/>
            <w:tcBorders>
              <w:top w:val="single" w:sz="12" w:space="0" w:color="auto"/>
            </w:tcBorders>
            <w:shd w:val="clear" w:color="auto" w:fill="auto"/>
            <w:tcMar>
              <w:top w:w="0" w:type="dxa"/>
              <w:left w:w="0" w:type="dxa"/>
              <w:bottom w:w="0" w:type="dxa"/>
              <w:right w:w="0" w:type="dxa"/>
            </w:tcMar>
            <w:vAlign w:val="bottom"/>
          </w:tcPr>
          <w:p w14:paraId="69288595"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1141" w:type="dxa"/>
            <w:tcBorders>
              <w:top w:val="single" w:sz="12" w:space="0" w:color="auto"/>
            </w:tcBorders>
            <w:shd w:val="clear" w:color="auto" w:fill="auto"/>
            <w:tcMar>
              <w:top w:w="0" w:type="dxa"/>
              <w:left w:w="0" w:type="dxa"/>
              <w:bottom w:w="0" w:type="dxa"/>
              <w:right w:w="0" w:type="dxa"/>
            </w:tcMar>
            <w:vAlign w:val="bottom"/>
          </w:tcPr>
          <w:p w14:paraId="52999AD7" w14:textId="77777777" w:rsidR="00B51FCF" w:rsidRPr="008161F3" w:rsidRDefault="00B51FCF" w:rsidP="00D913E5">
            <w:pPr>
              <w:suppressAutoHyphens w:val="0"/>
              <w:spacing w:before="40" w:after="40" w:line="220" w:lineRule="exact"/>
              <w:jc w:val="right"/>
              <w:rPr>
                <w:b/>
                <w:bCs/>
                <w:noProof/>
                <w:sz w:val="18"/>
                <w:lang w:val="fr-FR"/>
              </w:rPr>
            </w:pPr>
            <w:r w:rsidRPr="008161F3">
              <w:rPr>
                <w:b/>
                <w:bCs/>
                <w:noProof/>
                <w:sz w:val="18"/>
                <w:lang w:val="fr-FR"/>
              </w:rPr>
              <w:t>2</w:t>
            </w:r>
          </w:p>
        </w:tc>
      </w:tr>
      <w:tr w:rsidR="00B51FCF" w:rsidRPr="00D913E5" w14:paraId="2F228BFE" w14:textId="77777777" w:rsidTr="008161F3">
        <w:tc>
          <w:tcPr>
            <w:tcW w:w="993" w:type="dxa"/>
            <w:vMerge/>
            <w:shd w:val="clear" w:color="auto" w:fill="auto"/>
          </w:tcPr>
          <w:p w14:paraId="547034EB" w14:textId="77777777" w:rsidR="00B51FCF" w:rsidRPr="00D913E5" w:rsidRDefault="00B51FCF" w:rsidP="00D913E5">
            <w:pPr>
              <w:suppressAutoHyphens w:val="0"/>
              <w:spacing w:before="40" w:after="40" w:line="220" w:lineRule="exact"/>
              <w:rPr>
                <w:noProof/>
                <w:sz w:val="18"/>
                <w:lang w:val="fr-FR"/>
              </w:rPr>
            </w:pPr>
          </w:p>
        </w:tc>
        <w:tc>
          <w:tcPr>
            <w:tcW w:w="1423" w:type="dxa"/>
            <w:shd w:val="clear" w:color="auto" w:fill="auto"/>
            <w:tcMar>
              <w:top w:w="0" w:type="dxa"/>
              <w:left w:w="0" w:type="dxa"/>
              <w:bottom w:w="0" w:type="dxa"/>
              <w:right w:w="0" w:type="dxa"/>
            </w:tcMar>
            <w:vAlign w:val="bottom"/>
          </w:tcPr>
          <w:p w14:paraId="6FAB01DF" w14:textId="77777777" w:rsidR="00B51FCF" w:rsidRPr="00D913E5" w:rsidRDefault="00B51FCF" w:rsidP="00D913E5">
            <w:pPr>
              <w:suppressAutoHyphens w:val="0"/>
              <w:spacing w:before="40" w:after="40" w:line="220" w:lineRule="exact"/>
              <w:rPr>
                <w:noProof/>
                <w:sz w:val="18"/>
                <w:lang w:val="fr-FR"/>
              </w:rPr>
            </w:pPr>
            <w:r w:rsidRPr="00D913E5">
              <w:rPr>
                <w:noProof/>
                <w:sz w:val="18"/>
                <w:lang w:val="fr-FR"/>
              </w:rPr>
              <w:t>18-30 ans</w:t>
            </w:r>
          </w:p>
        </w:tc>
        <w:tc>
          <w:tcPr>
            <w:tcW w:w="963" w:type="dxa"/>
            <w:shd w:val="clear" w:color="auto" w:fill="auto"/>
            <w:tcMar>
              <w:top w:w="0" w:type="dxa"/>
              <w:left w:w="0" w:type="dxa"/>
              <w:bottom w:w="0" w:type="dxa"/>
              <w:right w:w="0" w:type="dxa"/>
            </w:tcMar>
            <w:vAlign w:val="bottom"/>
          </w:tcPr>
          <w:p w14:paraId="0E73B470"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2" w:type="dxa"/>
            <w:shd w:val="clear" w:color="auto" w:fill="auto"/>
            <w:tcMar>
              <w:top w:w="0" w:type="dxa"/>
              <w:left w:w="0" w:type="dxa"/>
              <w:bottom w:w="0" w:type="dxa"/>
              <w:right w:w="0" w:type="dxa"/>
            </w:tcMar>
            <w:vAlign w:val="bottom"/>
          </w:tcPr>
          <w:p w14:paraId="07DDD9DF"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2</w:t>
            </w:r>
          </w:p>
        </w:tc>
        <w:tc>
          <w:tcPr>
            <w:tcW w:w="960" w:type="dxa"/>
            <w:shd w:val="clear" w:color="auto" w:fill="auto"/>
            <w:tcMar>
              <w:top w:w="0" w:type="dxa"/>
              <w:left w:w="0" w:type="dxa"/>
              <w:bottom w:w="0" w:type="dxa"/>
              <w:right w:w="0" w:type="dxa"/>
            </w:tcMar>
            <w:vAlign w:val="bottom"/>
          </w:tcPr>
          <w:p w14:paraId="64FC07CB"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4</w:t>
            </w:r>
          </w:p>
        </w:tc>
        <w:tc>
          <w:tcPr>
            <w:tcW w:w="948" w:type="dxa"/>
            <w:shd w:val="clear" w:color="auto" w:fill="auto"/>
            <w:tcMar>
              <w:top w:w="0" w:type="dxa"/>
              <w:left w:w="0" w:type="dxa"/>
              <w:bottom w:w="0" w:type="dxa"/>
              <w:right w:w="0" w:type="dxa"/>
            </w:tcMar>
            <w:vAlign w:val="bottom"/>
          </w:tcPr>
          <w:p w14:paraId="33C3D109"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1141" w:type="dxa"/>
            <w:shd w:val="clear" w:color="auto" w:fill="auto"/>
            <w:tcMar>
              <w:top w:w="0" w:type="dxa"/>
              <w:left w:w="0" w:type="dxa"/>
              <w:bottom w:w="0" w:type="dxa"/>
              <w:right w:w="0" w:type="dxa"/>
            </w:tcMar>
            <w:vAlign w:val="bottom"/>
          </w:tcPr>
          <w:p w14:paraId="7A371B63" w14:textId="77777777" w:rsidR="00B51FCF" w:rsidRPr="008161F3" w:rsidRDefault="00B51FCF" w:rsidP="00D913E5">
            <w:pPr>
              <w:suppressAutoHyphens w:val="0"/>
              <w:spacing w:before="40" w:after="40" w:line="220" w:lineRule="exact"/>
              <w:jc w:val="right"/>
              <w:rPr>
                <w:b/>
                <w:bCs/>
                <w:noProof/>
                <w:sz w:val="18"/>
                <w:lang w:val="fr-FR"/>
              </w:rPr>
            </w:pPr>
            <w:r w:rsidRPr="008161F3">
              <w:rPr>
                <w:b/>
                <w:bCs/>
                <w:noProof/>
                <w:sz w:val="18"/>
                <w:lang w:val="fr-FR"/>
              </w:rPr>
              <w:t>6</w:t>
            </w:r>
          </w:p>
        </w:tc>
      </w:tr>
      <w:tr w:rsidR="00B51FCF" w:rsidRPr="00D913E5" w14:paraId="4045FD52" w14:textId="77777777" w:rsidTr="008161F3">
        <w:tc>
          <w:tcPr>
            <w:tcW w:w="993" w:type="dxa"/>
            <w:vMerge/>
            <w:shd w:val="clear" w:color="auto" w:fill="auto"/>
          </w:tcPr>
          <w:p w14:paraId="5B615FD2" w14:textId="77777777" w:rsidR="00B51FCF" w:rsidRPr="00D913E5" w:rsidRDefault="00B51FCF" w:rsidP="00D913E5">
            <w:pPr>
              <w:suppressAutoHyphens w:val="0"/>
              <w:spacing w:before="40" w:after="40" w:line="220" w:lineRule="exact"/>
              <w:rPr>
                <w:noProof/>
                <w:sz w:val="18"/>
                <w:lang w:val="fr-FR"/>
              </w:rPr>
            </w:pPr>
          </w:p>
        </w:tc>
        <w:tc>
          <w:tcPr>
            <w:tcW w:w="1423" w:type="dxa"/>
            <w:shd w:val="clear" w:color="auto" w:fill="auto"/>
            <w:tcMar>
              <w:top w:w="0" w:type="dxa"/>
              <w:left w:w="0" w:type="dxa"/>
              <w:bottom w:w="0" w:type="dxa"/>
              <w:right w:w="0" w:type="dxa"/>
            </w:tcMar>
            <w:vAlign w:val="bottom"/>
          </w:tcPr>
          <w:p w14:paraId="41A5DF3E" w14:textId="77777777" w:rsidR="00B51FCF" w:rsidRPr="00D913E5" w:rsidRDefault="00B51FCF" w:rsidP="00D913E5">
            <w:pPr>
              <w:suppressAutoHyphens w:val="0"/>
              <w:spacing w:before="40" w:after="40" w:line="220" w:lineRule="exact"/>
              <w:rPr>
                <w:noProof/>
                <w:sz w:val="18"/>
                <w:lang w:val="fr-FR"/>
              </w:rPr>
            </w:pPr>
            <w:r w:rsidRPr="00D913E5">
              <w:rPr>
                <w:noProof/>
                <w:sz w:val="18"/>
                <w:lang w:val="fr-FR"/>
              </w:rPr>
              <w:t>31-40 ans</w:t>
            </w:r>
          </w:p>
        </w:tc>
        <w:tc>
          <w:tcPr>
            <w:tcW w:w="963" w:type="dxa"/>
            <w:shd w:val="clear" w:color="auto" w:fill="auto"/>
            <w:tcMar>
              <w:top w:w="0" w:type="dxa"/>
              <w:left w:w="0" w:type="dxa"/>
              <w:bottom w:w="0" w:type="dxa"/>
              <w:right w:w="0" w:type="dxa"/>
            </w:tcMar>
            <w:vAlign w:val="bottom"/>
          </w:tcPr>
          <w:p w14:paraId="13723334"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2" w:type="dxa"/>
            <w:shd w:val="clear" w:color="auto" w:fill="auto"/>
            <w:tcMar>
              <w:top w:w="0" w:type="dxa"/>
              <w:left w:w="0" w:type="dxa"/>
              <w:bottom w:w="0" w:type="dxa"/>
              <w:right w:w="0" w:type="dxa"/>
            </w:tcMar>
            <w:vAlign w:val="bottom"/>
          </w:tcPr>
          <w:p w14:paraId="1F231807"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1</w:t>
            </w:r>
          </w:p>
        </w:tc>
        <w:tc>
          <w:tcPr>
            <w:tcW w:w="960" w:type="dxa"/>
            <w:shd w:val="clear" w:color="auto" w:fill="auto"/>
            <w:tcMar>
              <w:top w:w="0" w:type="dxa"/>
              <w:left w:w="0" w:type="dxa"/>
              <w:bottom w:w="0" w:type="dxa"/>
              <w:right w:w="0" w:type="dxa"/>
            </w:tcMar>
            <w:vAlign w:val="bottom"/>
          </w:tcPr>
          <w:p w14:paraId="205D789F"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8" w:type="dxa"/>
            <w:shd w:val="clear" w:color="auto" w:fill="auto"/>
            <w:tcMar>
              <w:top w:w="0" w:type="dxa"/>
              <w:left w:w="0" w:type="dxa"/>
              <w:bottom w:w="0" w:type="dxa"/>
              <w:right w:w="0" w:type="dxa"/>
            </w:tcMar>
            <w:vAlign w:val="bottom"/>
          </w:tcPr>
          <w:p w14:paraId="3CE92874"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1141" w:type="dxa"/>
            <w:shd w:val="clear" w:color="auto" w:fill="auto"/>
            <w:tcMar>
              <w:top w:w="0" w:type="dxa"/>
              <w:left w:w="0" w:type="dxa"/>
              <w:bottom w:w="0" w:type="dxa"/>
              <w:right w:w="0" w:type="dxa"/>
            </w:tcMar>
            <w:vAlign w:val="bottom"/>
          </w:tcPr>
          <w:p w14:paraId="57C1C8EC" w14:textId="77777777" w:rsidR="00B51FCF" w:rsidRPr="008161F3" w:rsidRDefault="00B51FCF" w:rsidP="00D913E5">
            <w:pPr>
              <w:suppressAutoHyphens w:val="0"/>
              <w:spacing w:before="40" w:after="40" w:line="220" w:lineRule="exact"/>
              <w:jc w:val="right"/>
              <w:rPr>
                <w:b/>
                <w:bCs/>
                <w:noProof/>
                <w:sz w:val="18"/>
                <w:lang w:val="fr-FR"/>
              </w:rPr>
            </w:pPr>
            <w:r w:rsidRPr="008161F3">
              <w:rPr>
                <w:b/>
                <w:bCs/>
                <w:noProof/>
                <w:sz w:val="18"/>
                <w:lang w:val="fr-FR"/>
              </w:rPr>
              <w:t>1</w:t>
            </w:r>
          </w:p>
        </w:tc>
      </w:tr>
      <w:tr w:rsidR="00B51FCF" w:rsidRPr="00D913E5" w14:paraId="1F8391D4" w14:textId="77777777" w:rsidTr="008161F3">
        <w:tc>
          <w:tcPr>
            <w:tcW w:w="993" w:type="dxa"/>
            <w:vMerge/>
            <w:shd w:val="clear" w:color="auto" w:fill="auto"/>
          </w:tcPr>
          <w:p w14:paraId="581408BB" w14:textId="77777777" w:rsidR="00B51FCF" w:rsidRPr="00D913E5" w:rsidRDefault="00B51FCF" w:rsidP="00D913E5">
            <w:pPr>
              <w:suppressAutoHyphens w:val="0"/>
              <w:spacing w:before="40" w:after="40" w:line="220" w:lineRule="exact"/>
              <w:rPr>
                <w:noProof/>
                <w:sz w:val="18"/>
                <w:lang w:val="fr-FR"/>
              </w:rPr>
            </w:pPr>
          </w:p>
        </w:tc>
        <w:tc>
          <w:tcPr>
            <w:tcW w:w="1423" w:type="dxa"/>
            <w:shd w:val="clear" w:color="auto" w:fill="auto"/>
            <w:tcMar>
              <w:top w:w="0" w:type="dxa"/>
              <w:left w:w="0" w:type="dxa"/>
              <w:bottom w:w="0" w:type="dxa"/>
              <w:right w:w="0" w:type="dxa"/>
            </w:tcMar>
            <w:vAlign w:val="bottom"/>
          </w:tcPr>
          <w:p w14:paraId="139FD4E3" w14:textId="77777777" w:rsidR="00B51FCF" w:rsidRPr="00D913E5" w:rsidRDefault="00B51FCF" w:rsidP="00D913E5">
            <w:pPr>
              <w:suppressAutoHyphens w:val="0"/>
              <w:spacing w:before="40" w:after="40" w:line="220" w:lineRule="exact"/>
              <w:rPr>
                <w:noProof/>
                <w:sz w:val="18"/>
                <w:lang w:val="fr-FR"/>
              </w:rPr>
            </w:pPr>
            <w:r w:rsidRPr="00D913E5">
              <w:rPr>
                <w:noProof/>
                <w:sz w:val="18"/>
                <w:lang w:val="fr-FR"/>
              </w:rPr>
              <w:t>51-60 ans</w:t>
            </w:r>
          </w:p>
        </w:tc>
        <w:tc>
          <w:tcPr>
            <w:tcW w:w="963" w:type="dxa"/>
            <w:shd w:val="clear" w:color="auto" w:fill="auto"/>
            <w:tcMar>
              <w:top w:w="0" w:type="dxa"/>
              <w:left w:w="0" w:type="dxa"/>
              <w:bottom w:w="0" w:type="dxa"/>
              <w:right w:w="0" w:type="dxa"/>
            </w:tcMar>
            <w:vAlign w:val="bottom"/>
          </w:tcPr>
          <w:p w14:paraId="75B6D1F7"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2" w:type="dxa"/>
            <w:shd w:val="clear" w:color="auto" w:fill="auto"/>
            <w:tcMar>
              <w:top w:w="0" w:type="dxa"/>
              <w:left w:w="0" w:type="dxa"/>
              <w:bottom w:w="0" w:type="dxa"/>
              <w:right w:w="0" w:type="dxa"/>
            </w:tcMar>
            <w:vAlign w:val="bottom"/>
          </w:tcPr>
          <w:p w14:paraId="01A1F834"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60" w:type="dxa"/>
            <w:shd w:val="clear" w:color="auto" w:fill="auto"/>
            <w:tcMar>
              <w:top w:w="0" w:type="dxa"/>
              <w:left w:w="0" w:type="dxa"/>
              <w:bottom w:w="0" w:type="dxa"/>
              <w:right w:w="0" w:type="dxa"/>
            </w:tcMar>
            <w:vAlign w:val="bottom"/>
          </w:tcPr>
          <w:p w14:paraId="3DBBA5F4"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1</w:t>
            </w:r>
          </w:p>
        </w:tc>
        <w:tc>
          <w:tcPr>
            <w:tcW w:w="948" w:type="dxa"/>
            <w:shd w:val="clear" w:color="auto" w:fill="auto"/>
            <w:tcMar>
              <w:top w:w="0" w:type="dxa"/>
              <w:left w:w="0" w:type="dxa"/>
              <w:bottom w:w="0" w:type="dxa"/>
              <w:right w:w="0" w:type="dxa"/>
            </w:tcMar>
            <w:vAlign w:val="bottom"/>
          </w:tcPr>
          <w:p w14:paraId="62DA4AEB"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1141" w:type="dxa"/>
            <w:shd w:val="clear" w:color="auto" w:fill="auto"/>
            <w:tcMar>
              <w:top w:w="0" w:type="dxa"/>
              <w:left w:w="0" w:type="dxa"/>
              <w:bottom w:w="0" w:type="dxa"/>
              <w:right w:w="0" w:type="dxa"/>
            </w:tcMar>
            <w:vAlign w:val="bottom"/>
          </w:tcPr>
          <w:p w14:paraId="6B791766" w14:textId="77777777" w:rsidR="00B51FCF" w:rsidRPr="008161F3" w:rsidRDefault="00B51FCF" w:rsidP="00D913E5">
            <w:pPr>
              <w:suppressAutoHyphens w:val="0"/>
              <w:spacing w:before="40" w:after="40" w:line="220" w:lineRule="exact"/>
              <w:jc w:val="right"/>
              <w:rPr>
                <w:b/>
                <w:bCs/>
                <w:noProof/>
                <w:sz w:val="18"/>
                <w:lang w:val="fr-FR"/>
              </w:rPr>
            </w:pPr>
            <w:r w:rsidRPr="008161F3">
              <w:rPr>
                <w:b/>
                <w:bCs/>
                <w:noProof/>
                <w:sz w:val="18"/>
                <w:lang w:val="fr-FR"/>
              </w:rPr>
              <w:t>1</w:t>
            </w:r>
          </w:p>
        </w:tc>
      </w:tr>
      <w:tr w:rsidR="00B51FCF" w:rsidRPr="00D913E5" w14:paraId="4D299C97" w14:textId="77777777" w:rsidTr="008161F3">
        <w:tc>
          <w:tcPr>
            <w:tcW w:w="993" w:type="dxa"/>
            <w:vMerge/>
            <w:shd w:val="clear" w:color="auto" w:fill="auto"/>
          </w:tcPr>
          <w:p w14:paraId="157E298A" w14:textId="77777777" w:rsidR="00B51FCF" w:rsidRPr="00D913E5" w:rsidRDefault="00B51FCF" w:rsidP="00D913E5">
            <w:pPr>
              <w:suppressAutoHyphens w:val="0"/>
              <w:spacing w:before="40" w:after="40" w:line="220" w:lineRule="exact"/>
              <w:rPr>
                <w:noProof/>
                <w:sz w:val="18"/>
                <w:lang w:val="fr-FR"/>
              </w:rPr>
            </w:pPr>
          </w:p>
        </w:tc>
        <w:tc>
          <w:tcPr>
            <w:tcW w:w="1423" w:type="dxa"/>
            <w:tcBorders>
              <w:bottom w:val="single" w:sz="4" w:space="0" w:color="auto"/>
            </w:tcBorders>
            <w:shd w:val="clear" w:color="auto" w:fill="auto"/>
            <w:tcMar>
              <w:top w:w="0" w:type="dxa"/>
              <w:left w:w="0" w:type="dxa"/>
              <w:bottom w:w="0" w:type="dxa"/>
              <w:right w:w="0" w:type="dxa"/>
            </w:tcMar>
            <w:vAlign w:val="bottom"/>
          </w:tcPr>
          <w:p w14:paraId="240C5D77" w14:textId="77777777" w:rsidR="00B51FCF" w:rsidRPr="00D913E5" w:rsidRDefault="00B51FCF" w:rsidP="00D913E5">
            <w:pPr>
              <w:suppressAutoHyphens w:val="0"/>
              <w:spacing w:before="40" w:after="40" w:line="220" w:lineRule="exact"/>
              <w:rPr>
                <w:noProof/>
                <w:sz w:val="18"/>
                <w:lang w:val="fr-FR"/>
              </w:rPr>
            </w:pPr>
            <w:r w:rsidRPr="00D913E5">
              <w:rPr>
                <w:noProof/>
                <w:sz w:val="18"/>
                <w:lang w:val="fr-FR"/>
              </w:rPr>
              <w:t>61-70 ans</w:t>
            </w:r>
          </w:p>
        </w:tc>
        <w:tc>
          <w:tcPr>
            <w:tcW w:w="963" w:type="dxa"/>
            <w:tcBorders>
              <w:bottom w:val="single" w:sz="4" w:space="0" w:color="auto"/>
            </w:tcBorders>
            <w:shd w:val="clear" w:color="auto" w:fill="auto"/>
            <w:tcMar>
              <w:top w:w="0" w:type="dxa"/>
              <w:left w:w="0" w:type="dxa"/>
              <w:bottom w:w="0" w:type="dxa"/>
              <w:right w:w="0" w:type="dxa"/>
            </w:tcMar>
            <w:vAlign w:val="bottom"/>
          </w:tcPr>
          <w:p w14:paraId="096A58E7"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42" w:type="dxa"/>
            <w:tcBorders>
              <w:bottom w:val="single" w:sz="4" w:space="0" w:color="auto"/>
            </w:tcBorders>
            <w:shd w:val="clear" w:color="auto" w:fill="auto"/>
            <w:tcMar>
              <w:top w:w="0" w:type="dxa"/>
              <w:left w:w="0" w:type="dxa"/>
              <w:bottom w:w="0" w:type="dxa"/>
              <w:right w:w="0" w:type="dxa"/>
            </w:tcMar>
            <w:vAlign w:val="bottom"/>
          </w:tcPr>
          <w:p w14:paraId="4FE15203"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960" w:type="dxa"/>
            <w:tcBorders>
              <w:bottom w:val="single" w:sz="4" w:space="0" w:color="auto"/>
            </w:tcBorders>
            <w:shd w:val="clear" w:color="auto" w:fill="auto"/>
            <w:tcMar>
              <w:top w:w="0" w:type="dxa"/>
              <w:left w:w="0" w:type="dxa"/>
              <w:bottom w:w="0" w:type="dxa"/>
              <w:right w:w="0" w:type="dxa"/>
            </w:tcMar>
            <w:vAlign w:val="bottom"/>
          </w:tcPr>
          <w:p w14:paraId="12140A7E"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1</w:t>
            </w:r>
          </w:p>
        </w:tc>
        <w:tc>
          <w:tcPr>
            <w:tcW w:w="948" w:type="dxa"/>
            <w:tcBorders>
              <w:bottom w:val="single" w:sz="4" w:space="0" w:color="auto"/>
            </w:tcBorders>
            <w:shd w:val="clear" w:color="auto" w:fill="auto"/>
            <w:tcMar>
              <w:top w:w="0" w:type="dxa"/>
              <w:left w:w="0" w:type="dxa"/>
              <w:bottom w:w="0" w:type="dxa"/>
              <w:right w:w="0" w:type="dxa"/>
            </w:tcMar>
            <w:vAlign w:val="bottom"/>
          </w:tcPr>
          <w:p w14:paraId="25E34F9A"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0</w:t>
            </w:r>
          </w:p>
        </w:tc>
        <w:tc>
          <w:tcPr>
            <w:tcW w:w="1141" w:type="dxa"/>
            <w:tcBorders>
              <w:bottom w:val="single" w:sz="4" w:space="0" w:color="auto"/>
            </w:tcBorders>
            <w:shd w:val="clear" w:color="auto" w:fill="auto"/>
            <w:tcMar>
              <w:top w:w="0" w:type="dxa"/>
              <w:left w:w="0" w:type="dxa"/>
              <w:bottom w:w="0" w:type="dxa"/>
              <w:right w:w="0" w:type="dxa"/>
            </w:tcMar>
            <w:vAlign w:val="bottom"/>
          </w:tcPr>
          <w:p w14:paraId="1C7199E5" w14:textId="77777777" w:rsidR="00B51FCF" w:rsidRPr="008161F3" w:rsidRDefault="00B51FCF" w:rsidP="00D913E5">
            <w:pPr>
              <w:suppressAutoHyphens w:val="0"/>
              <w:spacing w:before="40" w:after="40" w:line="220" w:lineRule="exact"/>
              <w:jc w:val="right"/>
              <w:rPr>
                <w:b/>
                <w:bCs/>
                <w:noProof/>
                <w:sz w:val="18"/>
                <w:lang w:val="fr-FR"/>
              </w:rPr>
            </w:pPr>
            <w:r w:rsidRPr="008161F3">
              <w:rPr>
                <w:b/>
                <w:bCs/>
                <w:noProof/>
                <w:sz w:val="18"/>
                <w:lang w:val="fr-FR"/>
              </w:rPr>
              <w:t>1</w:t>
            </w:r>
          </w:p>
        </w:tc>
      </w:tr>
      <w:tr w:rsidR="00B51FCF" w:rsidRPr="00D913E5" w14:paraId="49A45E3C" w14:textId="77777777" w:rsidTr="008161F3">
        <w:tc>
          <w:tcPr>
            <w:tcW w:w="993" w:type="dxa"/>
            <w:vMerge/>
            <w:shd w:val="clear" w:color="auto" w:fill="auto"/>
          </w:tcPr>
          <w:p w14:paraId="506921C0" w14:textId="77777777" w:rsidR="00B51FCF" w:rsidRPr="00D913E5" w:rsidRDefault="00B51FCF" w:rsidP="00D913E5">
            <w:pPr>
              <w:suppressAutoHyphens w:val="0"/>
              <w:spacing w:before="40" w:after="40" w:line="220" w:lineRule="exact"/>
              <w:rPr>
                <w:noProof/>
                <w:sz w:val="18"/>
                <w:lang w:val="fr-FR"/>
              </w:rPr>
            </w:pPr>
          </w:p>
        </w:tc>
        <w:tc>
          <w:tcPr>
            <w:tcW w:w="142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C4094DE" w14:textId="77777777" w:rsidR="00B51FCF" w:rsidRPr="00D913E5" w:rsidRDefault="00B51FCF" w:rsidP="008161F3">
            <w:pPr>
              <w:suppressAutoHyphens w:val="0"/>
              <w:spacing w:before="80" w:after="80" w:line="220" w:lineRule="exact"/>
              <w:ind w:left="284"/>
              <w:rPr>
                <w:noProof/>
                <w:sz w:val="18"/>
                <w:lang w:val="fr-FR"/>
              </w:rPr>
            </w:pPr>
            <w:r w:rsidRPr="00D913E5">
              <w:rPr>
                <w:b/>
                <w:noProof/>
                <w:sz w:val="18"/>
                <w:lang w:val="fr-FR"/>
              </w:rPr>
              <w:t xml:space="preserve">Total </w:t>
            </w:r>
          </w:p>
        </w:tc>
        <w:tc>
          <w:tcPr>
            <w:tcW w:w="96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49C0BDA" w14:textId="77777777" w:rsidR="00B51FCF" w:rsidRPr="008161F3" w:rsidRDefault="00B51FCF" w:rsidP="008161F3">
            <w:pPr>
              <w:suppressAutoHyphens w:val="0"/>
              <w:spacing w:before="80" w:after="80" w:line="220" w:lineRule="exact"/>
              <w:jc w:val="right"/>
              <w:rPr>
                <w:b/>
                <w:bCs/>
                <w:noProof/>
                <w:sz w:val="18"/>
                <w:lang w:val="fr-FR"/>
              </w:rPr>
            </w:pPr>
            <w:r w:rsidRPr="008161F3">
              <w:rPr>
                <w:b/>
                <w:bCs/>
                <w:noProof/>
                <w:sz w:val="18"/>
                <w:lang w:val="fr-FR"/>
              </w:rPr>
              <w:t>0</w:t>
            </w:r>
          </w:p>
        </w:tc>
        <w:tc>
          <w:tcPr>
            <w:tcW w:w="9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17F5FC4" w14:textId="77777777" w:rsidR="00B51FCF" w:rsidRPr="008161F3" w:rsidRDefault="00B51FCF" w:rsidP="008161F3">
            <w:pPr>
              <w:suppressAutoHyphens w:val="0"/>
              <w:spacing w:before="80" w:after="80" w:line="220" w:lineRule="exact"/>
              <w:jc w:val="right"/>
              <w:rPr>
                <w:b/>
                <w:bCs/>
                <w:noProof/>
                <w:sz w:val="18"/>
                <w:lang w:val="fr-FR"/>
              </w:rPr>
            </w:pPr>
            <w:r w:rsidRPr="008161F3">
              <w:rPr>
                <w:b/>
                <w:bCs/>
                <w:noProof/>
                <w:sz w:val="18"/>
                <w:lang w:val="fr-FR"/>
              </w:rPr>
              <w:t>5</w:t>
            </w:r>
          </w:p>
        </w:tc>
        <w:tc>
          <w:tcPr>
            <w:tcW w:w="96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E89DD89" w14:textId="77777777" w:rsidR="00B51FCF" w:rsidRPr="008161F3" w:rsidRDefault="00B51FCF" w:rsidP="008161F3">
            <w:pPr>
              <w:suppressAutoHyphens w:val="0"/>
              <w:spacing w:before="80" w:after="80" w:line="220" w:lineRule="exact"/>
              <w:jc w:val="right"/>
              <w:rPr>
                <w:b/>
                <w:bCs/>
                <w:noProof/>
                <w:sz w:val="18"/>
                <w:lang w:val="fr-FR"/>
              </w:rPr>
            </w:pPr>
            <w:r w:rsidRPr="008161F3">
              <w:rPr>
                <w:b/>
                <w:bCs/>
                <w:noProof/>
                <w:sz w:val="18"/>
                <w:lang w:val="fr-FR"/>
              </w:rPr>
              <w:t>6</w:t>
            </w:r>
          </w:p>
        </w:tc>
        <w:tc>
          <w:tcPr>
            <w:tcW w:w="94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A04AA02" w14:textId="77777777" w:rsidR="00B51FCF" w:rsidRPr="008161F3" w:rsidRDefault="00B51FCF" w:rsidP="008161F3">
            <w:pPr>
              <w:suppressAutoHyphens w:val="0"/>
              <w:spacing w:before="80" w:after="80" w:line="220" w:lineRule="exact"/>
              <w:jc w:val="right"/>
              <w:rPr>
                <w:b/>
                <w:bCs/>
                <w:noProof/>
                <w:sz w:val="18"/>
                <w:lang w:val="fr-FR"/>
              </w:rPr>
            </w:pPr>
            <w:r w:rsidRPr="008161F3">
              <w:rPr>
                <w:b/>
                <w:bCs/>
                <w:noProof/>
                <w:sz w:val="18"/>
                <w:lang w:val="fr-FR"/>
              </w:rPr>
              <w:t>0</w:t>
            </w:r>
          </w:p>
        </w:tc>
        <w:tc>
          <w:tcPr>
            <w:tcW w:w="114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FFAF561" w14:textId="77777777" w:rsidR="00B51FCF" w:rsidRPr="008161F3" w:rsidRDefault="00B51FCF" w:rsidP="008161F3">
            <w:pPr>
              <w:suppressAutoHyphens w:val="0"/>
              <w:spacing w:before="80" w:after="80" w:line="220" w:lineRule="exact"/>
              <w:jc w:val="right"/>
              <w:rPr>
                <w:b/>
                <w:bCs/>
                <w:noProof/>
                <w:sz w:val="18"/>
                <w:lang w:val="fr-FR"/>
              </w:rPr>
            </w:pPr>
            <w:r w:rsidRPr="008161F3">
              <w:rPr>
                <w:b/>
                <w:bCs/>
                <w:noProof/>
                <w:sz w:val="18"/>
                <w:lang w:val="fr-FR"/>
              </w:rPr>
              <w:t>11</w:t>
            </w:r>
          </w:p>
        </w:tc>
      </w:tr>
      <w:tr w:rsidR="00B51FCF" w:rsidRPr="00D913E5" w14:paraId="4AC63F82" w14:textId="77777777" w:rsidTr="008161F3">
        <w:tc>
          <w:tcPr>
            <w:tcW w:w="993" w:type="dxa"/>
            <w:tcBorders>
              <w:bottom w:val="single" w:sz="4" w:space="0" w:color="auto"/>
            </w:tcBorders>
            <w:shd w:val="clear" w:color="auto" w:fill="auto"/>
            <w:tcMar>
              <w:top w:w="0" w:type="dxa"/>
              <w:left w:w="0" w:type="dxa"/>
              <w:bottom w:w="0" w:type="dxa"/>
              <w:right w:w="0" w:type="dxa"/>
            </w:tcMar>
          </w:tcPr>
          <w:p w14:paraId="41BFEF06" w14:textId="77777777" w:rsidR="00B51FCF" w:rsidRPr="008161F3" w:rsidRDefault="00B51FCF" w:rsidP="00D913E5">
            <w:pPr>
              <w:suppressAutoHyphens w:val="0"/>
              <w:spacing w:before="40" w:after="40" w:line="220" w:lineRule="exact"/>
              <w:rPr>
                <w:noProof/>
                <w:spacing w:val="-2"/>
                <w:sz w:val="18"/>
                <w:lang w:val="fr-FR"/>
              </w:rPr>
            </w:pPr>
            <w:r w:rsidRPr="008161F3">
              <w:rPr>
                <w:noProof/>
                <w:spacing w:val="-2"/>
                <w:sz w:val="18"/>
                <w:lang w:val="fr-FR"/>
              </w:rPr>
              <w:t>Indéterminé</w:t>
            </w:r>
          </w:p>
        </w:tc>
        <w:tc>
          <w:tcPr>
            <w:tcW w:w="142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B41A11A" w14:textId="77777777" w:rsidR="00B51FCF" w:rsidRPr="00D913E5" w:rsidRDefault="00B51FCF" w:rsidP="00D913E5">
            <w:pPr>
              <w:suppressAutoHyphens w:val="0"/>
              <w:spacing w:before="40" w:after="40" w:line="220" w:lineRule="exact"/>
              <w:rPr>
                <w:noProof/>
                <w:sz w:val="18"/>
                <w:lang w:val="fr-FR"/>
              </w:rPr>
            </w:pPr>
            <w:r w:rsidRPr="00D913E5">
              <w:rPr>
                <w:noProof/>
                <w:sz w:val="18"/>
                <w:lang w:val="fr-FR"/>
              </w:rPr>
              <w:t>Âge non consigné</w:t>
            </w:r>
          </w:p>
        </w:tc>
        <w:tc>
          <w:tcPr>
            <w:tcW w:w="963"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FCE602D"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1</w:t>
            </w:r>
          </w:p>
        </w:tc>
        <w:tc>
          <w:tcPr>
            <w:tcW w:w="942"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B4C7065"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1</w:t>
            </w:r>
          </w:p>
        </w:tc>
        <w:tc>
          <w:tcPr>
            <w:tcW w:w="96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E80A88F"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4</w:t>
            </w:r>
          </w:p>
        </w:tc>
        <w:tc>
          <w:tcPr>
            <w:tcW w:w="94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8CF55EF" w14:textId="77777777" w:rsidR="00B51FCF" w:rsidRPr="00D913E5" w:rsidRDefault="00B51FCF" w:rsidP="00D913E5">
            <w:pPr>
              <w:suppressAutoHyphens w:val="0"/>
              <w:spacing w:before="40" w:after="40" w:line="220" w:lineRule="exact"/>
              <w:jc w:val="right"/>
              <w:rPr>
                <w:noProof/>
                <w:sz w:val="18"/>
                <w:lang w:val="fr-FR"/>
              </w:rPr>
            </w:pPr>
            <w:r w:rsidRPr="00D913E5">
              <w:rPr>
                <w:noProof/>
                <w:sz w:val="18"/>
                <w:lang w:val="fr-FR"/>
              </w:rPr>
              <w:t>1</w:t>
            </w:r>
          </w:p>
        </w:tc>
        <w:tc>
          <w:tcPr>
            <w:tcW w:w="114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5207F74" w14:textId="77777777" w:rsidR="00B51FCF" w:rsidRPr="008161F3" w:rsidRDefault="00B51FCF" w:rsidP="00D913E5">
            <w:pPr>
              <w:suppressAutoHyphens w:val="0"/>
              <w:spacing w:before="40" w:after="40" w:line="220" w:lineRule="exact"/>
              <w:jc w:val="right"/>
              <w:rPr>
                <w:b/>
                <w:bCs/>
                <w:noProof/>
                <w:sz w:val="18"/>
                <w:lang w:val="fr-FR"/>
              </w:rPr>
            </w:pPr>
            <w:r w:rsidRPr="008161F3">
              <w:rPr>
                <w:b/>
                <w:bCs/>
                <w:noProof/>
                <w:sz w:val="18"/>
                <w:lang w:val="fr-FR"/>
              </w:rPr>
              <w:t>7</w:t>
            </w:r>
          </w:p>
        </w:tc>
      </w:tr>
      <w:tr w:rsidR="00B51FCF" w:rsidRPr="00D913E5" w14:paraId="3E4DC4C2" w14:textId="77777777" w:rsidTr="008161F3">
        <w:tc>
          <w:tcPr>
            <w:tcW w:w="2416" w:type="dxa"/>
            <w:gridSpan w:val="2"/>
            <w:tcBorders>
              <w:top w:val="single" w:sz="4" w:space="0" w:color="auto"/>
              <w:bottom w:val="single" w:sz="12" w:space="0" w:color="auto"/>
            </w:tcBorders>
            <w:shd w:val="clear" w:color="auto" w:fill="auto"/>
            <w:tcMar>
              <w:top w:w="0" w:type="dxa"/>
              <w:left w:w="0" w:type="dxa"/>
              <w:bottom w:w="0" w:type="dxa"/>
              <w:right w:w="0" w:type="dxa"/>
            </w:tcMar>
          </w:tcPr>
          <w:p w14:paraId="327F4B2C" w14:textId="77777777" w:rsidR="00B51FCF" w:rsidRPr="00D913E5" w:rsidRDefault="00B51FCF" w:rsidP="008161F3">
            <w:pPr>
              <w:suppressAutoHyphens w:val="0"/>
              <w:spacing w:before="80" w:after="80" w:line="220" w:lineRule="exact"/>
              <w:ind w:left="284"/>
              <w:rPr>
                <w:b/>
                <w:noProof/>
                <w:sz w:val="18"/>
                <w:lang w:val="fr-FR"/>
              </w:rPr>
            </w:pPr>
            <w:r w:rsidRPr="00D913E5">
              <w:rPr>
                <w:b/>
                <w:noProof/>
                <w:sz w:val="18"/>
                <w:lang w:val="fr-FR"/>
              </w:rPr>
              <w:t xml:space="preserve">Total général </w:t>
            </w:r>
          </w:p>
        </w:tc>
        <w:tc>
          <w:tcPr>
            <w:tcW w:w="96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873B4DE" w14:textId="77777777" w:rsidR="00B51FCF" w:rsidRPr="00D913E5" w:rsidRDefault="00B51FCF" w:rsidP="008161F3">
            <w:pPr>
              <w:suppressAutoHyphens w:val="0"/>
              <w:spacing w:before="80" w:after="80" w:line="220" w:lineRule="exact"/>
              <w:jc w:val="right"/>
              <w:rPr>
                <w:b/>
                <w:noProof/>
                <w:sz w:val="18"/>
                <w:lang w:val="fr-FR"/>
              </w:rPr>
            </w:pPr>
            <w:r w:rsidRPr="00D913E5">
              <w:rPr>
                <w:b/>
                <w:noProof/>
                <w:sz w:val="18"/>
                <w:lang w:val="fr-FR"/>
              </w:rPr>
              <w:t>1</w:t>
            </w:r>
          </w:p>
        </w:tc>
        <w:tc>
          <w:tcPr>
            <w:tcW w:w="94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EE9957" w14:textId="77777777" w:rsidR="00B51FCF" w:rsidRPr="00D913E5" w:rsidRDefault="00B51FCF" w:rsidP="008161F3">
            <w:pPr>
              <w:suppressAutoHyphens w:val="0"/>
              <w:spacing w:before="80" w:after="80" w:line="220" w:lineRule="exact"/>
              <w:jc w:val="right"/>
              <w:rPr>
                <w:b/>
                <w:noProof/>
                <w:sz w:val="18"/>
                <w:lang w:val="fr-FR"/>
              </w:rPr>
            </w:pPr>
            <w:r w:rsidRPr="00D913E5">
              <w:rPr>
                <w:b/>
                <w:noProof/>
                <w:sz w:val="18"/>
                <w:lang w:val="fr-FR"/>
              </w:rPr>
              <w:t>6</w:t>
            </w:r>
          </w:p>
        </w:tc>
        <w:tc>
          <w:tcPr>
            <w:tcW w:w="9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17D7FA4" w14:textId="77777777" w:rsidR="00B51FCF" w:rsidRPr="00D913E5" w:rsidRDefault="00B51FCF" w:rsidP="008161F3">
            <w:pPr>
              <w:suppressAutoHyphens w:val="0"/>
              <w:spacing w:before="80" w:after="80" w:line="220" w:lineRule="exact"/>
              <w:jc w:val="right"/>
              <w:rPr>
                <w:b/>
                <w:noProof/>
                <w:sz w:val="18"/>
                <w:lang w:val="fr-FR"/>
              </w:rPr>
            </w:pPr>
            <w:r w:rsidRPr="00D913E5">
              <w:rPr>
                <w:b/>
                <w:noProof/>
                <w:sz w:val="18"/>
                <w:lang w:val="fr-FR"/>
              </w:rPr>
              <w:t>10</w:t>
            </w:r>
          </w:p>
        </w:tc>
        <w:tc>
          <w:tcPr>
            <w:tcW w:w="94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69672AC" w14:textId="77777777" w:rsidR="00B51FCF" w:rsidRPr="00D913E5" w:rsidRDefault="00B51FCF" w:rsidP="008161F3">
            <w:pPr>
              <w:suppressAutoHyphens w:val="0"/>
              <w:spacing w:before="80" w:after="80" w:line="220" w:lineRule="exact"/>
              <w:jc w:val="right"/>
              <w:rPr>
                <w:b/>
                <w:noProof/>
                <w:sz w:val="18"/>
                <w:lang w:val="fr-FR"/>
              </w:rPr>
            </w:pPr>
            <w:r w:rsidRPr="00D913E5">
              <w:rPr>
                <w:b/>
                <w:noProof/>
                <w:sz w:val="18"/>
                <w:lang w:val="fr-FR"/>
              </w:rPr>
              <w:t>1</w:t>
            </w:r>
          </w:p>
        </w:tc>
        <w:tc>
          <w:tcPr>
            <w:tcW w:w="114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B9FDE4" w14:textId="77777777" w:rsidR="00B51FCF" w:rsidRPr="00D913E5" w:rsidRDefault="00B51FCF" w:rsidP="008161F3">
            <w:pPr>
              <w:suppressAutoHyphens w:val="0"/>
              <w:spacing w:before="80" w:after="80" w:line="220" w:lineRule="exact"/>
              <w:jc w:val="right"/>
              <w:rPr>
                <w:b/>
                <w:noProof/>
                <w:sz w:val="18"/>
                <w:lang w:val="fr-FR"/>
              </w:rPr>
            </w:pPr>
            <w:r w:rsidRPr="00D913E5">
              <w:rPr>
                <w:b/>
                <w:noProof/>
                <w:sz w:val="18"/>
                <w:lang w:val="fr-FR"/>
              </w:rPr>
              <w:t>18</w:t>
            </w:r>
          </w:p>
        </w:tc>
      </w:tr>
    </w:tbl>
    <w:p w14:paraId="48821168" w14:textId="77777777" w:rsidR="00B51FCF" w:rsidRPr="00BB6F7D" w:rsidRDefault="00B51FCF" w:rsidP="00B51FCF">
      <w:pPr>
        <w:pStyle w:val="Body"/>
        <w:spacing w:before="120" w:line="220" w:lineRule="exact"/>
        <w:ind w:left="1134" w:right="1134" w:firstLine="170"/>
        <w:rPr>
          <w:noProof/>
          <w:sz w:val="18"/>
          <w:szCs w:val="18"/>
          <w:lang w:val="fr-FR"/>
        </w:rPr>
      </w:pPr>
      <w:r>
        <w:rPr>
          <w:i/>
          <w:noProof/>
          <w:sz w:val="18"/>
          <w:szCs w:val="18"/>
          <w:lang w:val="fr-FR"/>
        </w:rPr>
        <w:t xml:space="preserve">Source </w:t>
      </w:r>
      <w:r w:rsidRPr="00BB6F7D">
        <w:rPr>
          <w:i/>
          <w:noProof/>
          <w:sz w:val="18"/>
          <w:szCs w:val="18"/>
          <w:lang w:val="fr-FR"/>
        </w:rPr>
        <w:t>:</w:t>
      </w:r>
      <w:r w:rsidRPr="00BB6F7D">
        <w:rPr>
          <w:noProof/>
          <w:sz w:val="18"/>
          <w:szCs w:val="18"/>
          <w:lang w:val="fr-FR"/>
        </w:rPr>
        <w:t xml:space="preserve"> </w:t>
      </w:r>
      <w:r w:rsidRPr="00A71DA0">
        <w:rPr>
          <w:rFonts w:hAnsi="Times New Roman" w:cs="Times New Roman"/>
          <w:noProof/>
          <w:sz w:val="18"/>
          <w:szCs w:val="18"/>
          <w:lang w:val="fr-FR"/>
        </w:rPr>
        <w:t xml:space="preserve">Département de statistique </w:t>
      </w:r>
      <w:r>
        <w:rPr>
          <w:rFonts w:hAnsi="Times New Roman" w:cs="Times New Roman"/>
          <w:noProof/>
          <w:sz w:val="18"/>
          <w:szCs w:val="18"/>
          <w:lang w:val="fr-FR"/>
        </w:rPr>
        <w:t>du</w:t>
      </w:r>
      <w:r w:rsidRPr="00A71DA0">
        <w:rPr>
          <w:rFonts w:hAnsi="Times New Roman" w:cs="Times New Roman"/>
          <w:noProof/>
          <w:sz w:val="18"/>
          <w:szCs w:val="18"/>
          <w:lang w:val="fr-FR"/>
        </w:rPr>
        <w:t xml:space="preserve"> </w:t>
      </w:r>
      <w:r w:rsidRPr="00347354">
        <w:rPr>
          <w:rFonts w:hAnsi="Times New Roman" w:cs="Times New Roman"/>
          <w:noProof/>
          <w:sz w:val="18"/>
          <w:szCs w:val="18"/>
          <w:lang w:val="fr-FR"/>
        </w:rPr>
        <w:t xml:space="preserve">Bureau du </w:t>
      </w:r>
      <w:r>
        <w:rPr>
          <w:rFonts w:hAnsi="Times New Roman" w:cs="Times New Roman"/>
          <w:i/>
          <w:noProof/>
          <w:sz w:val="18"/>
          <w:szCs w:val="18"/>
          <w:lang w:val="fr-FR"/>
        </w:rPr>
        <w:t xml:space="preserve">Fiscal general </w:t>
      </w:r>
      <w:r w:rsidRPr="00347354">
        <w:rPr>
          <w:rFonts w:hAnsi="Times New Roman" w:cs="Times New Roman"/>
          <w:noProof/>
          <w:sz w:val="18"/>
          <w:szCs w:val="18"/>
          <w:lang w:val="fr-FR"/>
        </w:rPr>
        <w:t>de la République</w:t>
      </w:r>
      <w:r w:rsidRPr="00A71DA0">
        <w:rPr>
          <w:rFonts w:hAnsi="Times New Roman" w:cs="Times New Roman"/>
          <w:noProof/>
          <w:sz w:val="18"/>
          <w:szCs w:val="18"/>
          <w:lang w:val="fr-FR"/>
        </w:rPr>
        <w:t>, selon les registres du Service d</w:t>
      </w:r>
      <w:r w:rsidR="002A5D78">
        <w:rPr>
          <w:rFonts w:hAnsi="Times New Roman" w:cs="Times New Roman"/>
          <w:noProof/>
          <w:sz w:val="18"/>
          <w:szCs w:val="18"/>
          <w:lang w:val="fr-FR"/>
        </w:rPr>
        <w:t>’</w:t>
      </w:r>
      <w:r>
        <w:rPr>
          <w:rFonts w:hAnsi="Times New Roman" w:cs="Times New Roman"/>
          <w:noProof/>
          <w:sz w:val="18"/>
          <w:szCs w:val="18"/>
          <w:lang w:val="fr-FR"/>
        </w:rPr>
        <w:t xml:space="preserve">informatisation et de gestion </w:t>
      </w:r>
      <w:r w:rsidRPr="00A71DA0">
        <w:rPr>
          <w:rFonts w:hAnsi="Times New Roman" w:cs="Times New Roman"/>
          <w:noProof/>
          <w:sz w:val="18"/>
          <w:szCs w:val="18"/>
          <w:lang w:val="fr-FR"/>
        </w:rPr>
        <w:t>automatisée des procès, arrêtés au mois de mars 2019.</w:t>
      </w:r>
    </w:p>
    <w:p w14:paraId="40E28ED5" w14:textId="77777777" w:rsidR="00B51FCF" w:rsidRPr="00BB6F7D" w:rsidRDefault="00B51FCF" w:rsidP="00B51FCF">
      <w:pPr>
        <w:pStyle w:val="Titre1"/>
        <w:spacing w:before="240" w:after="120"/>
        <w:rPr>
          <w:noProof/>
          <w:lang w:val="fr-FR"/>
        </w:rPr>
      </w:pPr>
      <w:r>
        <w:rPr>
          <w:noProof/>
          <w:lang w:val="fr-FR"/>
        </w:rPr>
        <w:t xml:space="preserve">Tableau </w:t>
      </w:r>
      <w:r w:rsidRPr="00BB6F7D">
        <w:rPr>
          <w:noProof/>
          <w:lang w:val="fr-FR"/>
        </w:rPr>
        <w:t xml:space="preserve">21 </w:t>
      </w:r>
      <w:r w:rsidRPr="00BB6F7D">
        <w:rPr>
          <w:noProof/>
          <w:lang w:val="fr-FR"/>
        </w:rPr>
        <w:br/>
      </w:r>
      <w:r>
        <w:rPr>
          <w:b/>
          <w:noProof/>
          <w:lang w:val="fr-FR"/>
        </w:rPr>
        <w:t>Nombre de condamnations prononcées pour faits de torture</w:t>
      </w:r>
    </w:p>
    <w:tbl>
      <w:tblPr>
        <w:tblW w:w="7370" w:type="dxa"/>
        <w:tblInd w:w="1134" w:type="dxa"/>
        <w:tblLayout w:type="fixed"/>
        <w:tblCellMar>
          <w:left w:w="0" w:type="dxa"/>
          <w:right w:w="0" w:type="dxa"/>
        </w:tblCellMar>
        <w:tblLook w:val="04A0" w:firstRow="1" w:lastRow="0" w:firstColumn="1" w:lastColumn="0" w:noHBand="0" w:noVBand="1"/>
      </w:tblPr>
      <w:tblGrid>
        <w:gridCol w:w="1661"/>
        <w:gridCol w:w="1480"/>
        <w:gridCol w:w="1233"/>
        <w:gridCol w:w="1271"/>
        <w:gridCol w:w="1725"/>
      </w:tblGrid>
      <w:tr w:rsidR="00B51FCF" w:rsidRPr="00F45E18" w14:paraId="23BDA16C" w14:textId="77777777" w:rsidTr="00F45E18">
        <w:trPr>
          <w:tblHeader/>
        </w:trPr>
        <w:tc>
          <w:tcPr>
            <w:tcW w:w="166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4E8E693B" w14:textId="77777777" w:rsidR="00B51FCF" w:rsidRPr="00F45E18" w:rsidRDefault="00B51FCF" w:rsidP="00F45E18">
            <w:pPr>
              <w:suppressAutoHyphens w:val="0"/>
              <w:spacing w:before="80" w:after="80" w:line="200" w:lineRule="exact"/>
              <w:rPr>
                <w:i/>
                <w:noProof/>
                <w:sz w:val="16"/>
                <w:lang w:val="fr-FR"/>
              </w:rPr>
            </w:pPr>
            <w:r w:rsidRPr="00F45E18">
              <w:rPr>
                <w:i/>
                <w:noProof/>
                <w:sz w:val="16"/>
                <w:lang w:val="fr-FR"/>
              </w:rPr>
              <w:t xml:space="preserve">Sexe </w:t>
            </w:r>
          </w:p>
        </w:tc>
        <w:tc>
          <w:tcPr>
            <w:tcW w:w="1480"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4867CCD5" w14:textId="77777777" w:rsidR="00B51FCF" w:rsidRPr="00F45E18" w:rsidRDefault="00B51FCF" w:rsidP="00F45E18">
            <w:pPr>
              <w:suppressAutoHyphens w:val="0"/>
              <w:spacing w:before="80" w:after="80" w:line="200" w:lineRule="exact"/>
              <w:rPr>
                <w:i/>
                <w:noProof/>
                <w:sz w:val="16"/>
                <w:lang w:val="fr-FR"/>
              </w:rPr>
            </w:pPr>
            <w:r w:rsidRPr="00F45E18">
              <w:rPr>
                <w:i/>
                <w:noProof/>
                <w:sz w:val="16"/>
                <w:lang w:val="fr-FR"/>
              </w:rPr>
              <w:t>Âge</w:t>
            </w:r>
          </w:p>
        </w:tc>
        <w:tc>
          <w:tcPr>
            <w:tcW w:w="2504"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14:paraId="5129DD65" w14:textId="77777777" w:rsidR="00B51FCF" w:rsidRPr="00F45E18" w:rsidRDefault="00B51FCF" w:rsidP="00F45E18">
            <w:pPr>
              <w:suppressAutoHyphens w:val="0"/>
              <w:spacing w:before="80" w:after="80" w:line="200" w:lineRule="exact"/>
              <w:jc w:val="center"/>
              <w:rPr>
                <w:i/>
                <w:noProof/>
                <w:sz w:val="16"/>
                <w:lang w:val="fr-FR"/>
              </w:rPr>
            </w:pPr>
            <w:r w:rsidRPr="00F45E18">
              <w:rPr>
                <w:i/>
                <w:noProof/>
                <w:sz w:val="16"/>
                <w:lang w:val="fr-FR"/>
              </w:rPr>
              <w:t>Année</w:t>
            </w:r>
          </w:p>
        </w:tc>
        <w:tc>
          <w:tcPr>
            <w:tcW w:w="172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4E1F599C" w14:textId="77777777" w:rsidR="00B51FCF" w:rsidRPr="00864565" w:rsidRDefault="00B51FCF" w:rsidP="00F45E18">
            <w:pPr>
              <w:suppressAutoHyphens w:val="0"/>
              <w:spacing w:before="80" w:after="80" w:line="200" w:lineRule="exact"/>
              <w:jc w:val="right"/>
              <w:rPr>
                <w:b/>
                <w:bCs/>
                <w:i/>
                <w:noProof/>
                <w:sz w:val="16"/>
                <w:lang w:val="fr-FR"/>
              </w:rPr>
            </w:pPr>
            <w:r w:rsidRPr="00864565">
              <w:rPr>
                <w:b/>
                <w:bCs/>
                <w:i/>
                <w:noProof/>
                <w:sz w:val="16"/>
                <w:lang w:val="fr-FR"/>
              </w:rPr>
              <w:t>Total</w:t>
            </w:r>
          </w:p>
        </w:tc>
      </w:tr>
      <w:tr w:rsidR="00B51FCF" w:rsidRPr="00F45E18" w14:paraId="77A54AD7" w14:textId="77777777" w:rsidTr="00F45E18">
        <w:trPr>
          <w:tblHeader/>
        </w:trPr>
        <w:tc>
          <w:tcPr>
            <w:tcW w:w="1661" w:type="dxa"/>
            <w:vMerge/>
            <w:tcBorders>
              <w:top w:val="single" w:sz="12" w:space="0" w:color="auto"/>
              <w:bottom w:val="single" w:sz="12" w:space="0" w:color="auto"/>
            </w:tcBorders>
            <w:shd w:val="clear" w:color="auto" w:fill="auto"/>
            <w:vAlign w:val="bottom"/>
          </w:tcPr>
          <w:p w14:paraId="3CE6675A" w14:textId="77777777" w:rsidR="00B51FCF" w:rsidRPr="00F45E18" w:rsidRDefault="00B51FCF" w:rsidP="00F45E18">
            <w:pPr>
              <w:suppressAutoHyphens w:val="0"/>
              <w:spacing w:before="40" w:after="40" w:line="220" w:lineRule="exact"/>
              <w:rPr>
                <w:noProof/>
                <w:sz w:val="18"/>
                <w:lang w:val="fr-FR"/>
              </w:rPr>
            </w:pPr>
          </w:p>
        </w:tc>
        <w:tc>
          <w:tcPr>
            <w:tcW w:w="1480" w:type="dxa"/>
            <w:vMerge/>
            <w:tcBorders>
              <w:top w:val="single" w:sz="12" w:space="0" w:color="auto"/>
              <w:bottom w:val="single" w:sz="12" w:space="0" w:color="auto"/>
            </w:tcBorders>
            <w:shd w:val="clear" w:color="auto" w:fill="auto"/>
            <w:vAlign w:val="bottom"/>
          </w:tcPr>
          <w:p w14:paraId="6E17CD98" w14:textId="77777777" w:rsidR="00B51FCF" w:rsidRPr="00F45E18" w:rsidRDefault="00B51FCF" w:rsidP="00F45E18">
            <w:pPr>
              <w:suppressAutoHyphens w:val="0"/>
              <w:spacing w:before="40" w:after="40" w:line="220" w:lineRule="exact"/>
              <w:rPr>
                <w:noProof/>
                <w:sz w:val="18"/>
                <w:lang w:val="fr-FR"/>
              </w:rPr>
            </w:pPr>
          </w:p>
        </w:tc>
        <w:tc>
          <w:tcPr>
            <w:tcW w:w="123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237419F" w14:textId="77777777" w:rsidR="00B51FCF" w:rsidRPr="00F45E18" w:rsidRDefault="00B51FCF" w:rsidP="00F45E18">
            <w:pPr>
              <w:suppressAutoHyphens w:val="0"/>
              <w:spacing w:before="80" w:after="80" w:line="220" w:lineRule="exact"/>
              <w:jc w:val="right"/>
              <w:rPr>
                <w:i/>
                <w:iCs/>
                <w:noProof/>
                <w:sz w:val="16"/>
                <w:szCs w:val="16"/>
                <w:lang w:val="fr-FR"/>
              </w:rPr>
            </w:pPr>
            <w:r w:rsidRPr="00F45E18">
              <w:rPr>
                <w:i/>
                <w:iCs/>
                <w:noProof/>
                <w:sz w:val="16"/>
                <w:szCs w:val="16"/>
                <w:lang w:val="fr-FR"/>
              </w:rPr>
              <w:t>2017</w:t>
            </w:r>
          </w:p>
        </w:tc>
        <w:tc>
          <w:tcPr>
            <w:tcW w:w="127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CDD3EEA" w14:textId="77777777" w:rsidR="00B51FCF" w:rsidRPr="00F45E18" w:rsidRDefault="00B51FCF" w:rsidP="00F45E18">
            <w:pPr>
              <w:suppressAutoHyphens w:val="0"/>
              <w:spacing w:before="80" w:after="80" w:line="220" w:lineRule="exact"/>
              <w:jc w:val="right"/>
              <w:rPr>
                <w:i/>
                <w:iCs/>
                <w:noProof/>
                <w:sz w:val="16"/>
                <w:szCs w:val="16"/>
                <w:lang w:val="fr-FR"/>
              </w:rPr>
            </w:pPr>
            <w:r w:rsidRPr="00F45E18">
              <w:rPr>
                <w:i/>
                <w:iCs/>
                <w:noProof/>
                <w:sz w:val="16"/>
                <w:szCs w:val="16"/>
                <w:lang w:val="fr-FR"/>
              </w:rPr>
              <w:t>2018</w:t>
            </w:r>
          </w:p>
        </w:tc>
        <w:tc>
          <w:tcPr>
            <w:tcW w:w="1725" w:type="dxa"/>
            <w:vMerge/>
            <w:tcBorders>
              <w:top w:val="single" w:sz="12" w:space="0" w:color="auto"/>
              <w:bottom w:val="single" w:sz="12" w:space="0" w:color="auto"/>
            </w:tcBorders>
            <w:shd w:val="clear" w:color="auto" w:fill="auto"/>
            <w:vAlign w:val="bottom"/>
          </w:tcPr>
          <w:p w14:paraId="0EC35BCC" w14:textId="77777777" w:rsidR="00B51FCF" w:rsidRPr="00864565" w:rsidRDefault="00B51FCF" w:rsidP="00F45E18">
            <w:pPr>
              <w:suppressAutoHyphens w:val="0"/>
              <w:spacing w:before="40" w:after="40" w:line="220" w:lineRule="exact"/>
              <w:jc w:val="right"/>
              <w:rPr>
                <w:b/>
                <w:bCs/>
                <w:noProof/>
                <w:sz w:val="18"/>
                <w:lang w:val="fr-FR"/>
              </w:rPr>
            </w:pPr>
          </w:p>
        </w:tc>
      </w:tr>
      <w:tr w:rsidR="00B51FCF" w:rsidRPr="00F45E18" w14:paraId="291696D1" w14:textId="77777777" w:rsidTr="00F45E18">
        <w:tc>
          <w:tcPr>
            <w:tcW w:w="1661" w:type="dxa"/>
            <w:vMerge w:val="restart"/>
            <w:tcBorders>
              <w:top w:val="single" w:sz="12" w:space="0" w:color="auto"/>
            </w:tcBorders>
            <w:shd w:val="clear" w:color="auto" w:fill="auto"/>
            <w:tcMar>
              <w:top w:w="0" w:type="dxa"/>
              <w:left w:w="0" w:type="dxa"/>
              <w:bottom w:w="0" w:type="dxa"/>
              <w:right w:w="0" w:type="dxa"/>
            </w:tcMar>
          </w:tcPr>
          <w:p w14:paraId="1B3520FB" w14:textId="77777777" w:rsidR="00B51FCF" w:rsidRPr="00F45E18" w:rsidRDefault="00B51FCF" w:rsidP="00F45E18">
            <w:pPr>
              <w:suppressAutoHyphens w:val="0"/>
              <w:spacing w:before="40" w:after="40" w:line="220" w:lineRule="exact"/>
              <w:rPr>
                <w:noProof/>
                <w:sz w:val="18"/>
                <w:lang w:val="fr-FR"/>
              </w:rPr>
            </w:pPr>
            <w:r w:rsidRPr="00F45E18">
              <w:rPr>
                <w:noProof/>
                <w:sz w:val="18"/>
                <w:szCs w:val="16"/>
                <w:lang w:val="fr-FR"/>
              </w:rPr>
              <w:t xml:space="preserve">Masculin </w:t>
            </w:r>
            <w:r w:rsidR="00F45E18">
              <w:rPr>
                <w:noProof/>
                <w:sz w:val="18"/>
                <w:szCs w:val="16"/>
                <w:lang w:val="fr-FR"/>
              </w:rPr>
              <w:br/>
            </w:r>
            <w:r w:rsidRPr="00F45E18">
              <w:rPr>
                <w:noProof/>
                <w:sz w:val="18"/>
                <w:lang w:val="fr-FR"/>
              </w:rPr>
              <w:t>(M)</w:t>
            </w:r>
          </w:p>
        </w:tc>
        <w:tc>
          <w:tcPr>
            <w:tcW w:w="1480" w:type="dxa"/>
            <w:tcBorders>
              <w:top w:val="single" w:sz="12" w:space="0" w:color="auto"/>
            </w:tcBorders>
            <w:shd w:val="clear" w:color="auto" w:fill="auto"/>
            <w:tcMar>
              <w:top w:w="0" w:type="dxa"/>
              <w:left w:w="0" w:type="dxa"/>
              <w:bottom w:w="0" w:type="dxa"/>
              <w:right w:w="0" w:type="dxa"/>
            </w:tcMar>
            <w:vAlign w:val="bottom"/>
          </w:tcPr>
          <w:p w14:paraId="603EEEDC" w14:textId="77777777" w:rsidR="00B51FCF" w:rsidRPr="00F45E18" w:rsidRDefault="00B51FCF" w:rsidP="00F45E18">
            <w:pPr>
              <w:suppressAutoHyphens w:val="0"/>
              <w:spacing w:before="40" w:after="40" w:line="220" w:lineRule="exact"/>
              <w:rPr>
                <w:noProof/>
                <w:sz w:val="18"/>
                <w:lang w:val="fr-FR"/>
              </w:rPr>
            </w:pPr>
            <w:r w:rsidRPr="00F45E18">
              <w:rPr>
                <w:noProof/>
                <w:sz w:val="18"/>
                <w:lang w:val="fr-FR"/>
              </w:rPr>
              <w:t>13-17 ans</w:t>
            </w:r>
          </w:p>
        </w:tc>
        <w:tc>
          <w:tcPr>
            <w:tcW w:w="1233" w:type="dxa"/>
            <w:tcBorders>
              <w:top w:val="single" w:sz="12" w:space="0" w:color="auto"/>
            </w:tcBorders>
            <w:shd w:val="clear" w:color="auto" w:fill="auto"/>
            <w:tcMar>
              <w:top w:w="0" w:type="dxa"/>
              <w:left w:w="0" w:type="dxa"/>
              <w:bottom w:w="0" w:type="dxa"/>
              <w:right w:w="0" w:type="dxa"/>
            </w:tcMar>
            <w:vAlign w:val="bottom"/>
          </w:tcPr>
          <w:p w14:paraId="695E582B" w14:textId="77777777" w:rsidR="00B51FCF" w:rsidRPr="00F45E18" w:rsidRDefault="00B51FCF" w:rsidP="00F45E18">
            <w:pPr>
              <w:suppressAutoHyphens w:val="0"/>
              <w:spacing w:before="40" w:after="40" w:line="220" w:lineRule="exact"/>
              <w:jc w:val="right"/>
              <w:rPr>
                <w:noProof/>
                <w:sz w:val="18"/>
                <w:lang w:val="fr-FR"/>
              </w:rPr>
            </w:pPr>
            <w:r w:rsidRPr="00F45E18">
              <w:rPr>
                <w:noProof/>
                <w:sz w:val="18"/>
                <w:lang w:val="fr-FR"/>
              </w:rPr>
              <w:t>1</w:t>
            </w:r>
          </w:p>
        </w:tc>
        <w:tc>
          <w:tcPr>
            <w:tcW w:w="1271" w:type="dxa"/>
            <w:tcBorders>
              <w:top w:val="single" w:sz="12" w:space="0" w:color="auto"/>
            </w:tcBorders>
            <w:shd w:val="clear" w:color="auto" w:fill="auto"/>
            <w:tcMar>
              <w:top w:w="0" w:type="dxa"/>
              <w:left w:w="0" w:type="dxa"/>
              <w:bottom w:w="0" w:type="dxa"/>
              <w:right w:w="0" w:type="dxa"/>
            </w:tcMar>
            <w:vAlign w:val="bottom"/>
          </w:tcPr>
          <w:p w14:paraId="63695930" w14:textId="77777777" w:rsidR="00B51FCF" w:rsidRPr="00F45E18" w:rsidRDefault="00B51FCF" w:rsidP="00F45E18">
            <w:pPr>
              <w:suppressAutoHyphens w:val="0"/>
              <w:spacing w:before="40" w:after="40" w:line="220" w:lineRule="exact"/>
              <w:jc w:val="right"/>
              <w:rPr>
                <w:noProof/>
                <w:sz w:val="18"/>
                <w:lang w:val="fr-FR"/>
              </w:rPr>
            </w:pPr>
            <w:r w:rsidRPr="00F45E18">
              <w:rPr>
                <w:noProof/>
                <w:sz w:val="18"/>
                <w:lang w:val="fr-FR"/>
              </w:rPr>
              <w:t>0</w:t>
            </w:r>
          </w:p>
        </w:tc>
        <w:tc>
          <w:tcPr>
            <w:tcW w:w="1725" w:type="dxa"/>
            <w:tcBorders>
              <w:top w:val="single" w:sz="12" w:space="0" w:color="auto"/>
            </w:tcBorders>
            <w:shd w:val="clear" w:color="auto" w:fill="auto"/>
            <w:tcMar>
              <w:top w:w="0" w:type="dxa"/>
              <w:left w:w="0" w:type="dxa"/>
              <w:bottom w:w="0" w:type="dxa"/>
              <w:right w:w="0" w:type="dxa"/>
            </w:tcMar>
            <w:vAlign w:val="bottom"/>
          </w:tcPr>
          <w:p w14:paraId="5B8F7208" w14:textId="77777777" w:rsidR="00B51FCF" w:rsidRPr="00864565" w:rsidRDefault="00B51FCF" w:rsidP="00F45E18">
            <w:pPr>
              <w:suppressAutoHyphens w:val="0"/>
              <w:spacing w:before="40" w:after="40" w:line="220" w:lineRule="exact"/>
              <w:jc w:val="right"/>
              <w:rPr>
                <w:b/>
                <w:bCs/>
                <w:noProof/>
                <w:sz w:val="18"/>
                <w:lang w:val="fr-FR"/>
              </w:rPr>
            </w:pPr>
            <w:r w:rsidRPr="00864565">
              <w:rPr>
                <w:b/>
                <w:bCs/>
                <w:noProof/>
                <w:sz w:val="18"/>
                <w:lang w:val="fr-FR"/>
              </w:rPr>
              <w:t>1</w:t>
            </w:r>
          </w:p>
        </w:tc>
      </w:tr>
      <w:tr w:rsidR="00B51FCF" w:rsidRPr="00F45E18" w14:paraId="1B6C1302" w14:textId="77777777" w:rsidTr="00F45E18">
        <w:tc>
          <w:tcPr>
            <w:tcW w:w="1661" w:type="dxa"/>
            <w:vMerge/>
            <w:shd w:val="clear" w:color="auto" w:fill="auto"/>
          </w:tcPr>
          <w:p w14:paraId="62A497B5" w14:textId="77777777" w:rsidR="00B51FCF" w:rsidRPr="00F45E18" w:rsidRDefault="00B51FCF" w:rsidP="00F45E18">
            <w:pPr>
              <w:suppressAutoHyphens w:val="0"/>
              <w:spacing w:before="40" w:after="40" w:line="220" w:lineRule="exact"/>
              <w:rPr>
                <w:noProof/>
                <w:sz w:val="18"/>
                <w:lang w:val="fr-FR"/>
              </w:rPr>
            </w:pPr>
          </w:p>
        </w:tc>
        <w:tc>
          <w:tcPr>
            <w:tcW w:w="1480" w:type="dxa"/>
            <w:shd w:val="clear" w:color="auto" w:fill="auto"/>
            <w:tcMar>
              <w:top w:w="0" w:type="dxa"/>
              <w:left w:w="0" w:type="dxa"/>
              <w:bottom w:w="0" w:type="dxa"/>
              <w:right w:w="0" w:type="dxa"/>
            </w:tcMar>
            <w:vAlign w:val="bottom"/>
          </w:tcPr>
          <w:p w14:paraId="5F5CD50A" w14:textId="77777777" w:rsidR="00B51FCF" w:rsidRPr="00F45E18" w:rsidRDefault="00B51FCF" w:rsidP="00F45E18">
            <w:pPr>
              <w:suppressAutoHyphens w:val="0"/>
              <w:spacing w:before="40" w:after="40" w:line="220" w:lineRule="exact"/>
              <w:rPr>
                <w:noProof/>
                <w:sz w:val="18"/>
                <w:lang w:val="fr-FR"/>
              </w:rPr>
            </w:pPr>
            <w:r w:rsidRPr="00F45E18">
              <w:rPr>
                <w:noProof/>
                <w:sz w:val="18"/>
                <w:lang w:val="fr-FR"/>
              </w:rPr>
              <w:t>18-30 ans</w:t>
            </w:r>
          </w:p>
        </w:tc>
        <w:tc>
          <w:tcPr>
            <w:tcW w:w="1233" w:type="dxa"/>
            <w:shd w:val="clear" w:color="auto" w:fill="auto"/>
            <w:tcMar>
              <w:top w:w="0" w:type="dxa"/>
              <w:left w:w="0" w:type="dxa"/>
              <w:bottom w:w="0" w:type="dxa"/>
              <w:right w:w="0" w:type="dxa"/>
            </w:tcMar>
            <w:vAlign w:val="bottom"/>
          </w:tcPr>
          <w:p w14:paraId="0765DC1E" w14:textId="77777777" w:rsidR="00B51FCF" w:rsidRPr="00F45E18" w:rsidRDefault="00B51FCF" w:rsidP="00F45E18">
            <w:pPr>
              <w:suppressAutoHyphens w:val="0"/>
              <w:spacing w:before="40" w:after="40" w:line="220" w:lineRule="exact"/>
              <w:jc w:val="right"/>
              <w:rPr>
                <w:noProof/>
                <w:sz w:val="18"/>
                <w:lang w:val="fr-FR"/>
              </w:rPr>
            </w:pPr>
            <w:r w:rsidRPr="00F45E18">
              <w:rPr>
                <w:noProof/>
                <w:sz w:val="18"/>
                <w:lang w:val="fr-FR"/>
              </w:rPr>
              <w:t>1</w:t>
            </w:r>
          </w:p>
        </w:tc>
        <w:tc>
          <w:tcPr>
            <w:tcW w:w="1271" w:type="dxa"/>
            <w:shd w:val="clear" w:color="auto" w:fill="auto"/>
            <w:tcMar>
              <w:top w:w="0" w:type="dxa"/>
              <w:left w:w="0" w:type="dxa"/>
              <w:bottom w:w="0" w:type="dxa"/>
              <w:right w:w="0" w:type="dxa"/>
            </w:tcMar>
            <w:vAlign w:val="bottom"/>
          </w:tcPr>
          <w:p w14:paraId="69BA2B8F" w14:textId="77777777" w:rsidR="00B51FCF" w:rsidRPr="00F45E18" w:rsidRDefault="00B51FCF" w:rsidP="00F45E18">
            <w:pPr>
              <w:suppressAutoHyphens w:val="0"/>
              <w:spacing w:before="40" w:after="40" w:line="220" w:lineRule="exact"/>
              <w:jc w:val="right"/>
              <w:rPr>
                <w:noProof/>
                <w:sz w:val="18"/>
                <w:lang w:val="fr-FR"/>
              </w:rPr>
            </w:pPr>
            <w:r w:rsidRPr="00F45E18">
              <w:rPr>
                <w:noProof/>
                <w:sz w:val="18"/>
                <w:lang w:val="fr-FR"/>
              </w:rPr>
              <w:t>1</w:t>
            </w:r>
          </w:p>
        </w:tc>
        <w:tc>
          <w:tcPr>
            <w:tcW w:w="1725" w:type="dxa"/>
            <w:shd w:val="clear" w:color="auto" w:fill="auto"/>
            <w:tcMar>
              <w:top w:w="0" w:type="dxa"/>
              <w:left w:w="0" w:type="dxa"/>
              <w:bottom w:w="0" w:type="dxa"/>
              <w:right w:w="0" w:type="dxa"/>
            </w:tcMar>
            <w:vAlign w:val="bottom"/>
          </w:tcPr>
          <w:p w14:paraId="262603CA" w14:textId="77777777" w:rsidR="00B51FCF" w:rsidRPr="00864565" w:rsidRDefault="00B51FCF" w:rsidP="00F45E18">
            <w:pPr>
              <w:suppressAutoHyphens w:val="0"/>
              <w:spacing w:before="40" w:after="40" w:line="220" w:lineRule="exact"/>
              <w:jc w:val="right"/>
              <w:rPr>
                <w:b/>
                <w:bCs/>
                <w:noProof/>
                <w:sz w:val="18"/>
                <w:lang w:val="fr-FR"/>
              </w:rPr>
            </w:pPr>
            <w:r w:rsidRPr="00864565">
              <w:rPr>
                <w:b/>
                <w:bCs/>
                <w:noProof/>
                <w:sz w:val="18"/>
                <w:lang w:val="fr-FR"/>
              </w:rPr>
              <w:t>2</w:t>
            </w:r>
          </w:p>
        </w:tc>
      </w:tr>
      <w:tr w:rsidR="00B51FCF" w:rsidRPr="00F45E18" w14:paraId="64F6DB37" w14:textId="77777777" w:rsidTr="00F45E18">
        <w:tc>
          <w:tcPr>
            <w:tcW w:w="1661" w:type="dxa"/>
            <w:vMerge/>
            <w:tcBorders>
              <w:bottom w:val="single" w:sz="4" w:space="0" w:color="auto"/>
            </w:tcBorders>
            <w:shd w:val="clear" w:color="auto" w:fill="auto"/>
          </w:tcPr>
          <w:p w14:paraId="1C21F72A" w14:textId="77777777" w:rsidR="00B51FCF" w:rsidRPr="00F45E18" w:rsidRDefault="00B51FCF" w:rsidP="00F45E18">
            <w:pPr>
              <w:suppressAutoHyphens w:val="0"/>
              <w:spacing w:before="40" w:after="40" w:line="220" w:lineRule="exact"/>
              <w:rPr>
                <w:noProof/>
                <w:sz w:val="18"/>
                <w:lang w:val="fr-FR"/>
              </w:rPr>
            </w:pPr>
          </w:p>
        </w:tc>
        <w:tc>
          <w:tcPr>
            <w:tcW w:w="1480" w:type="dxa"/>
            <w:tcBorders>
              <w:bottom w:val="single" w:sz="4" w:space="0" w:color="auto"/>
            </w:tcBorders>
            <w:shd w:val="clear" w:color="auto" w:fill="auto"/>
            <w:tcMar>
              <w:top w:w="0" w:type="dxa"/>
              <w:left w:w="0" w:type="dxa"/>
              <w:bottom w:w="0" w:type="dxa"/>
              <w:right w:w="0" w:type="dxa"/>
            </w:tcMar>
            <w:vAlign w:val="bottom"/>
          </w:tcPr>
          <w:p w14:paraId="5E13CC04" w14:textId="77777777" w:rsidR="00B51FCF" w:rsidRPr="00F45E18" w:rsidRDefault="00B51FCF" w:rsidP="00F45E18">
            <w:pPr>
              <w:suppressAutoHyphens w:val="0"/>
              <w:spacing w:before="40" w:after="40" w:line="220" w:lineRule="exact"/>
              <w:rPr>
                <w:noProof/>
                <w:sz w:val="18"/>
                <w:lang w:val="fr-FR"/>
              </w:rPr>
            </w:pPr>
            <w:r w:rsidRPr="00F45E18">
              <w:rPr>
                <w:noProof/>
                <w:sz w:val="18"/>
                <w:lang w:val="fr-FR"/>
              </w:rPr>
              <w:t>51-60 ans</w:t>
            </w:r>
          </w:p>
        </w:tc>
        <w:tc>
          <w:tcPr>
            <w:tcW w:w="1233" w:type="dxa"/>
            <w:tcBorders>
              <w:bottom w:val="single" w:sz="4" w:space="0" w:color="auto"/>
            </w:tcBorders>
            <w:shd w:val="clear" w:color="auto" w:fill="auto"/>
            <w:tcMar>
              <w:top w:w="0" w:type="dxa"/>
              <w:left w:w="0" w:type="dxa"/>
              <w:bottom w:w="0" w:type="dxa"/>
              <w:right w:w="0" w:type="dxa"/>
            </w:tcMar>
            <w:vAlign w:val="bottom"/>
          </w:tcPr>
          <w:p w14:paraId="3886936A" w14:textId="77777777" w:rsidR="00B51FCF" w:rsidRPr="00F45E18" w:rsidRDefault="00B51FCF" w:rsidP="00F45E18">
            <w:pPr>
              <w:suppressAutoHyphens w:val="0"/>
              <w:spacing w:before="40" w:after="40" w:line="220" w:lineRule="exact"/>
              <w:jc w:val="right"/>
              <w:rPr>
                <w:noProof/>
                <w:sz w:val="18"/>
                <w:lang w:val="fr-FR"/>
              </w:rPr>
            </w:pPr>
            <w:r w:rsidRPr="00F45E18">
              <w:rPr>
                <w:noProof/>
                <w:sz w:val="18"/>
                <w:lang w:val="fr-FR"/>
              </w:rPr>
              <w:t>0</w:t>
            </w:r>
          </w:p>
        </w:tc>
        <w:tc>
          <w:tcPr>
            <w:tcW w:w="1271" w:type="dxa"/>
            <w:tcBorders>
              <w:bottom w:val="single" w:sz="4" w:space="0" w:color="auto"/>
            </w:tcBorders>
            <w:shd w:val="clear" w:color="auto" w:fill="auto"/>
            <w:tcMar>
              <w:top w:w="0" w:type="dxa"/>
              <w:left w:w="0" w:type="dxa"/>
              <w:bottom w:w="0" w:type="dxa"/>
              <w:right w:w="0" w:type="dxa"/>
            </w:tcMar>
            <w:vAlign w:val="bottom"/>
          </w:tcPr>
          <w:p w14:paraId="1DD21ACF" w14:textId="77777777" w:rsidR="00B51FCF" w:rsidRPr="00F45E18" w:rsidRDefault="00B51FCF" w:rsidP="00F45E18">
            <w:pPr>
              <w:suppressAutoHyphens w:val="0"/>
              <w:spacing w:before="40" w:after="40" w:line="220" w:lineRule="exact"/>
              <w:jc w:val="right"/>
              <w:rPr>
                <w:noProof/>
                <w:sz w:val="18"/>
                <w:lang w:val="fr-FR"/>
              </w:rPr>
            </w:pPr>
            <w:r w:rsidRPr="00F45E18">
              <w:rPr>
                <w:noProof/>
                <w:sz w:val="18"/>
                <w:lang w:val="fr-FR"/>
              </w:rPr>
              <w:t>1</w:t>
            </w:r>
          </w:p>
        </w:tc>
        <w:tc>
          <w:tcPr>
            <w:tcW w:w="1725" w:type="dxa"/>
            <w:tcBorders>
              <w:bottom w:val="single" w:sz="4" w:space="0" w:color="auto"/>
            </w:tcBorders>
            <w:shd w:val="clear" w:color="auto" w:fill="auto"/>
            <w:tcMar>
              <w:top w:w="0" w:type="dxa"/>
              <w:left w:w="0" w:type="dxa"/>
              <w:bottom w:w="0" w:type="dxa"/>
              <w:right w:w="0" w:type="dxa"/>
            </w:tcMar>
            <w:vAlign w:val="bottom"/>
          </w:tcPr>
          <w:p w14:paraId="205B2DC0" w14:textId="77777777" w:rsidR="00B51FCF" w:rsidRPr="00864565" w:rsidRDefault="00B51FCF" w:rsidP="00F45E18">
            <w:pPr>
              <w:suppressAutoHyphens w:val="0"/>
              <w:spacing w:before="40" w:after="40" w:line="220" w:lineRule="exact"/>
              <w:jc w:val="right"/>
              <w:rPr>
                <w:b/>
                <w:bCs/>
                <w:noProof/>
                <w:sz w:val="18"/>
                <w:lang w:val="fr-FR"/>
              </w:rPr>
            </w:pPr>
            <w:r w:rsidRPr="00864565">
              <w:rPr>
                <w:b/>
                <w:bCs/>
                <w:noProof/>
                <w:sz w:val="18"/>
                <w:lang w:val="fr-FR"/>
              </w:rPr>
              <w:t>1</w:t>
            </w:r>
          </w:p>
        </w:tc>
      </w:tr>
      <w:tr w:rsidR="00B51FCF" w:rsidRPr="00F45E18" w14:paraId="13E0FEDE" w14:textId="77777777" w:rsidTr="00F45E18">
        <w:tc>
          <w:tcPr>
            <w:tcW w:w="3141" w:type="dxa"/>
            <w:gridSpan w:val="2"/>
            <w:tcBorders>
              <w:top w:val="single" w:sz="4" w:space="0" w:color="auto"/>
              <w:bottom w:val="single" w:sz="12" w:space="0" w:color="auto"/>
            </w:tcBorders>
            <w:shd w:val="clear" w:color="auto" w:fill="auto"/>
            <w:tcMar>
              <w:top w:w="0" w:type="dxa"/>
              <w:left w:w="0" w:type="dxa"/>
              <w:bottom w:w="0" w:type="dxa"/>
              <w:right w:w="0" w:type="dxa"/>
            </w:tcMar>
          </w:tcPr>
          <w:p w14:paraId="6D44BD38" w14:textId="77777777" w:rsidR="00B51FCF" w:rsidRPr="00F45E18" w:rsidRDefault="00B51FCF" w:rsidP="00F45E18">
            <w:pPr>
              <w:suppressAutoHyphens w:val="0"/>
              <w:spacing w:before="80" w:after="80" w:line="220" w:lineRule="exact"/>
              <w:ind w:left="284"/>
              <w:rPr>
                <w:b/>
                <w:noProof/>
                <w:sz w:val="18"/>
                <w:lang w:val="fr-FR"/>
              </w:rPr>
            </w:pPr>
            <w:r w:rsidRPr="00F45E18">
              <w:rPr>
                <w:b/>
                <w:noProof/>
                <w:sz w:val="18"/>
                <w:lang w:val="fr-FR"/>
              </w:rPr>
              <w:t xml:space="preserve">Total général </w:t>
            </w:r>
          </w:p>
        </w:tc>
        <w:tc>
          <w:tcPr>
            <w:tcW w:w="123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11C114C" w14:textId="77777777" w:rsidR="00B51FCF" w:rsidRPr="00F45E18" w:rsidRDefault="00B51FCF" w:rsidP="00F45E18">
            <w:pPr>
              <w:suppressAutoHyphens w:val="0"/>
              <w:spacing w:before="80" w:after="80" w:line="220" w:lineRule="exact"/>
              <w:jc w:val="right"/>
              <w:rPr>
                <w:b/>
                <w:noProof/>
                <w:sz w:val="18"/>
                <w:lang w:val="fr-FR"/>
              </w:rPr>
            </w:pPr>
            <w:r w:rsidRPr="00F45E18">
              <w:rPr>
                <w:b/>
                <w:noProof/>
                <w:sz w:val="18"/>
                <w:lang w:val="fr-FR"/>
              </w:rPr>
              <w:t>2</w:t>
            </w:r>
          </w:p>
        </w:tc>
        <w:tc>
          <w:tcPr>
            <w:tcW w:w="127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CD03F24" w14:textId="77777777" w:rsidR="00B51FCF" w:rsidRPr="00F45E18" w:rsidRDefault="00B51FCF" w:rsidP="00F45E18">
            <w:pPr>
              <w:suppressAutoHyphens w:val="0"/>
              <w:spacing w:before="80" w:after="80" w:line="220" w:lineRule="exact"/>
              <w:jc w:val="right"/>
              <w:rPr>
                <w:b/>
                <w:noProof/>
                <w:sz w:val="18"/>
                <w:lang w:val="fr-FR"/>
              </w:rPr>
            </w:pPr>
            <w:r w:rsidRPr="00F45E18">
              <w:rPr>
                <w:b/>
                <w:noProof/>
                <w:sz w:val="18"/>
                <w:lang w:val="fr-FR"/>
              </w:rPr>
              <w:t>2</w:t>
            </w:r>
          </w:p>
        </w:tc>
        <w:tc>
          <w:tcPr>
            <w:tcW w:w="172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C131A33" w14:textId="77777777" w:rsidR="00B51FCF" w:rsidRPr="00F45E18" w:rsidRDefault="00B51FCF" w:rsidP="00F45E18">
            <w:pPr>
              <w:suppressAutoHyphens w:val="0"/>
              <w:spacing w:before="80" w:after="80" w:line="220" w:lineRule="exact"/>
              <w:jc w:val="right"/>
              <w:rPr>
                <w:b/>
                <w:noProof/>
                <w:sz w:val="18"/>
                <w:lang w:val="fr-FR"/>
              </w:rPr>
            </w:pPr>
            <w:r w:rsidRPr="00F45E18">
              <w:rPr>
                <w:b/>
                <w:noProof/>
                <w:sz w:val="18"/>
                <w:lang w:val="fr-FR"/>
              </w:rPr>
              <w:t>4</w:t>
            </w:r>
          </w:p>
        </w:tc>
      </w:tr>
    </w:tbl>
    <w:p w14:paraId="399E4ED5" w14:textId="77777777" w:rsidR="00864565" w:rsidRPr="00864565" w:rsidRDefault="00864565" w:rsidP="00B51FCF">
      <w:pPr>
        <w:pStyle w:val="Body"/>
        <w:spacing w:before="120" w:line="220" w:lineRule="exact"/>
        <w:ind w:left="1134" w:right="1134" w:firstLine="170"/>
        <w:rPr>
          <w:i/>
          <w:noProof/>
          <w:sz w:val="18"/>
          <w:szCs w:val="18"/>
          <w:lang w:val="fr-FR"/>
        </w:rPr>
      </w:pPr>
      <w:r w:rsidRPr="00864565">
        <w:rPr>
          <w:rFonts w:hAnsi="Times New Roman" w:cs="Times New Roman"/>
          <w:i/>
          <w:iCs/>
          <w:noProof/>
          <w:sz w:val="18"/>
          <w:szCs w:val="18"/>
          <w:lang w:val="fr-FR"/>
        </w:rPr>
        <w:t>Source</w:t>
      </w:r>
      <w:r>
        <w:rPr>
          <w:rFonts w:hAnsi="Times New Roman" w:cs="Times New Roman"/>
          <w:noProof/>
          <w:sz w:val="18"/>
          <w:szCs w:val="18"/>
          <w:lang w:val="fr-FR"/>
        </w:rPr>
        <w:t xml:space="preserve"> : Département de statistique du </w:t>
      </w:r>
      <w:r w:rsidRPr="00A71DA0">
        <w:rPr>
          <w:rFonts w:hAnsi="Times New Roman" w:cs="Times New Roman"/>
          <w:noProof/>
          <w:sz w:val="18"/>
          <w:szCs w:val="18"/>
          <w:lang w:val="fr-FR"/>
        </w:rPr>
        <w:t xml:space="preserve"> </w:t>
      </w:r>
      <w:r w:rsidRPr="001A31DC">
        <w:rPr>
          <w:rFonts w:hAnsi="Times New Roman" w:cs="Times New Roman"/>
          <w:noProof/>
          <w:sz w:val="18"/>
          <w:szCs w:val="18"/>
          <w:lang w:val="fr-FR"/>
        </w:rPr>
        <w:t xml:space="preserve">Bureau du </w:t>
      </w:r>
      <w:r w:rsidRPr="001A31DC">
        <w:rPr>
          <w:rFonts w:hAnsi="Times New Roman" w:cs="Times New Roman"/>
          <w:i/>
          <w:noProof/>
          <w:sz w:val="18"/>
          <w:szCs w:val="18"/>
          <w:lang w:val="fr-FR"/>
        </w:rPr>
        <w:t>Fiscal general</w:t>
      </w:r>
      <w:r w:rsidRPr="001A31DC">
        <w:rPr>
          <w:rFonts w:hAnsi="Times New Roman" w:cs="Times New Roman"/>
          <w:noProof/>
          <w:sz w:val="18"/>
          <w:szCs w:val="18"/>
          <w:lang w:val="fr-FR"/>
        </w:rPr>
        <w:t xml:space="preserve"> de la République</w:t>
      </w:r>
      <w:r w:rsidRPr="00A71DA0">
        <w:rPr>
          <w:rFonts w:hAnsi="Times New Roman" w:cs="Times New Roman"/>
          <w:noProof/>
          <w:sz w:val="18"/>
          <w:szCs w:val="18"/>
          <w:lang w:val="fr-FR"/>
        </w:rPr>
        <w:t>, selon les registres du Service d</w:t>
      </w:r>
      <w:r>
        <w:rPr>
          <w:rFonts w:hAnsi="Times New Roman" w:cs="Times New Roman"/>
          <w:noProof/>
          <w:sz w:val="18"/>
          <w:szCs w:val="18"/>
          <w:lang w:val="fr-FR"/>
        </w:rPr>
        <w:t>’</w:t>
      </w:r>
      <w:r w:rsidRPr="00A71DA0">
        <w:rPr>
          <w:rFonts w:hAnsi="Times New Roman" w:cs="Times New Roman"/>
          <w:noProof/>
          <w:sz w:val="18"/>
          <w:szCs w:val="18"/>
          <w:lang w:val="fr-FR"/>
        </w:rPr>
        <w:t>informatisation et de gestion automatisée des procès, arrêtés au mois de mars 2019.</w:t>
      </w:r>
    </w:p>
    <w:p w14:paraId="09432676" w14:textId="77777777" w:rsidR="00B51FCF" w:rsidRPr="00BB6F7D" w:rsidRDefault="00B51FCF" w:rsidP="00B51FCF">
      <w:pPr>
        <w:pStyle w:val="Titre1"/>
        <w:spacing w:before="240" w:after="120"/>
        <w:rPr>
          <w:noProof/>
          <w:lang w:val="fr-FR"/>
        </w:rPr>
      </w:pPr>
      <w:r>
        <w:rPr>
          <w:noProof/>
          <w:lang w:val="fr-FR"/>
        </w:rPr>
        <w:lastRenderedPageBreak/>
        <w:t>Tableau</w:t>
      </w:r>
      <w:r w:rsidRPr="00BB6F7D">
        <w:rPr>
          <w:noProof/>
          <w:lang w:val="fr-FR"/>
        </w:rPr>
        <w:t xml:space="preserve"> 22 </w:t>
      </w:r>
      <w:r w:rsidRPr="00BB6F7D">
        <w:rPr>
          <w:noProof/>
          <w:lang w:val="fr-FR"/>
        </w:rPr>
        <w:br/>
      </w:r>
      <w:r>
        <w:rPr>
          <w:b/>
          <w:noProof/>
          <w:lang w:val="fr-FR"/>
        </w:rPr>
        <w:t>Nombre de condamnations selon le nombre d</w:t>
      </w:r>
      <w:r w:rsidR="002A5D78">
        <w:rPr>
          <w:b/>
          <w:noProof/>
          <w:lang w:val="fr-FR"/>
        </w:rPr>
        <w:t>’</w:t>
      </w:r>
      <w:r>
        <w:rPr>
          <w:b/>
          <w:noProof/>
          <w:lang w:val="fr-FR"/>
        </w:rPr>
        <w:t>années d</w:t>
      </w:r>
      <w:r w:rsidR="002A5D78">
        <w:rPr>
          <w:b/>
          <w:noProof/>
          <w:lang w:val="fr-FR"/>
        </w:rPr>
        <w:t>’</w:t>
      </w:r>
      <w:r>
        <w:rPr>
          <w:b/>
          <w:noProof/>
          <w:lang w:val="fr-FR"/>
        </w:rPr>
        <w:t>emprisonnement obtenu</w:t>
      </w:r>
    </w:p>
    <w:tbl>
      <w:tblPr>
        <w:tblW w:w="7370" w:type="dxa"/>
        <w:tblInd w:w="1134" w:type="dxa"/>
        <w:tblLayout w:type="fixed"/>
        <w:tblCellMar>
          <w:left w:w="0" w:type="dxa"/>
          <w:right w:w="0" w:type="dxa"/>
        </w:tblCellMar>
        <w:tblLook w:val="04A0" w:firstRow="1" w:lastRow="0" w:firstColumn="1" w:lastColumn="0" w:noHBand="0" w:noVBand="1"/>
      </w:tblPr>
      <w:tblGrid>
        <w:gridCol w:w="2895"/>
        <w:gridCol w:w="1697"/>
        <w:gridCol w:w="1697"/>
        <w:gridCol w:w="1081"/>
      </w:tblGrid>
      <w:tr w:rsidR="00B51FCF" w:rsidRPr="00864565" w14:paraId="555220A3" w14:textId="77777777" w:rsidTr="00864565">
        <w:trPr>
          <w:tblHeader/>
        </w:trPr>
        <w:tc>
          <w:tcPr>
            <w:tcW w:w="289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7027319D" w14:textId="77777777" w:rsidR="00B51FCF" w:rsidRPr="00864565" w:rsidRDefault="00B51FCF" w:rsidP="009F2AD0">
            <w:pPr>
              <w:suppressAutoHyphens w:val="0"/>
              <w:spacing w:before="80" w:after="80" w:line="200" w:lineRule="exact"/>
              <w:rPr>
                <w:i/>
                <w:noProof/>
                <w:sz w:val="16"/>
                <w:lang w:val="fr-FR"/>
              </w:rPr>
            </w:pPr>
            <w:r w:rsidRPr="00864565">
              <w:rPr>
                <w:i/>
                <w:noProof/>
                <w:sz w:val="16"/>
                <w:lang w:val="fr-FR"/>
              </w:rPr>
              <w:t>Nombre d</w:t>
            </w:r>
            <w:r w:rsidR="002A5D78" w:rsidRPr="00864565">
              <w:rPr>
                <w:i/>
                <w:noProof/>
                <w:sz w:val="16"/>
                <w:lang w:val="fr-FR"/>
              </w:rPr>
              <w:t>’</w:t>
            </w:r>
            <w:r w:rsidRPr="00864565">
              <w:rPr>
                <w:i/>
                <w:noProof/>
                <w:sz w:val="16"/>
                <w:lang w:val="fr-FR"/>
              </w:rPr>
              <w:t>années d</w:t>
            </w:r>
            <w:r w:rsidR="002A5D78" w:rsidRPr="00864565">
              <w:rPr>
                <w:i/>
                <w:noProof/>
                <w:sz w:val="16"/>
                <w:lang w:val="fr-FR"/>
              </w:rPr>
              <w:t>’</w:t>
            </w:r>
            <w:r w:rsidRPr="00864565">
              <w:rPr>
                <w:i/>
                <w:noProof/>
                <w:sz w:val="16"/>
                <w:lang w:val="fr-FR"/>
              </w:rPr>
              <w:t>emprisonnement</w:t>
            </w:r>
          </w:p>
        </w:tc>
        <w:tc>
          <w:tcPr>
            <w:tcW w:w="3394"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14:paraId="2AA74F72" w14:textId="77777777" w:rsidR="00B51FCF" w:rsidRPr="00864565" w:rsidRDefault="00B51FCF" w:rsidP="007161FB">
            <w:pPr>
              <w:suppressAutoHyphens w:val="0"/>
              <w:spacing w:before="80" w:after="80" w:line="200" w:lineRule="exact"/>
              <w:jc w:val="center"/>
              <w:rPr>
                <w:i/>
                <w:noProof/>
                <w:sz w:val="16"/>
                <w:lang w:val="fr-FR"/>
              </w:rPr>
            </w:pPr>
            <w:r w:rsidRPr="00864565">
              <w:rPr>
                <w:i/>
                <w:noProof/>
                <w:sz w:val="16"/>
                <w:lang w:val="fr-FR"/>
              </w:rPr>
              <w:t>Année</w:t>
            </w:r>
          </w:p>
        </w:tc>
        <w:tc>
          <w:tcPr>
            <w:tcW w:w="108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6F9F822E" w14:textId="77777777" w:rsidR="00B51FCF" w:rsidRPr="00864565" w:rsidRDefault="00B51FCF" w:rsidP="009F2AD0">
            <w:pPr>
              <w:suppressAutoHyphens w:val="0"/>
              <w:spacing w:before="80" w:after="80" w:line="200" w:lineRule="exact"/>
              <w:jc w:val="right"/>
              <w:rPr>
                <w:i/>
                <w:noProof/>
                <w:sz w:val="16"/>
                <w:lang w:val="fr-FR"/>
              </w:rPr>
            </w:pPr>
            <w:r w:rsidRPr="00864565">
              <w:rPr>
                <w:i/>
                <w:noProof/>
                <w:sz w:val="16"/>
                <w:lang w:val="fr-FR"/>
              </w:rPr>
              <w:t>Total</w:t>
            </w:r>
          </w:p>
        </w:tc>
      </w:tr>
      <w:tr w:rsidR="00B51FCF" w:rsidRPr="00864565" w14:paraId="2496FD19" w14:textId="77777777" w:rsidTr="00864565">
        <w:trPr>
          <w:tblHeader/>
        </w:trPr>
        <w:tc>
          <w:tcPr>
            <w:tcW w:w="2895" w:type="dxa"/>
            <w:vMerge/>
            <w:tcBorders>
              <w:top w:val="single" w:sz="12" w:space="0" w:color="auto"/>
              <w:bottom w:val="single" w:sz="12" w:space="0" w:color="auto"/>
            </w:tcBorders>
            <w:shd w:val="clear" w:color="auto" w:fill="auto"/>
            <w:vAlign w:val="bottom"/>
          </w:tcPr>
          <w:p w14:paraId="4ABAE5DB" w14:textId="77777777" w:rsidR="00B51FCF" w:rsidRPr="00864565" w:rsidRDefault="00B51FCF" w:rsidP="009F2AD0">
            <w:pPr>
              <w:suppressAutoHyphens w:val="0"/>
              <w:spacing w:before="80" w:after="80" w:line="220" w:lineRule="exact"/>
              <w:rPr>
                <w:noProof/>
                <w:sz w:val="18"/>
                <w:lang w:val="fr-FR"/>
              </w:rPr>
            </w:pPr>
          </w:p>
        </w:tc>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F10D7D3" w14:textId="77777777" w:rsidR="00B51FCF" w:rsidRPr="009F2AD0" w:rsidRDefault="00B51FCF" w:rsidP="009F2AD0">
            <w:pPr>
              <w:suppressAutoHyphens w:val="0"/>
              <w:spacing w:before="80" w:after="80" w:line="220" w:lineRule="exact"/>
              <w:jc w:val="right"/>
              <w:rPr>
                <w:i/>
                <w:iCs/>
                <w:noProof/>
                <w:sz w:val="16"/>
                <w:szCs w:val="16"/>
                <w:lang w:val="fr-FR"/>
              </w:rPr>
            </w:pPr>
            <w:r w:rsidRPr="009F2AD0">
              <w:rPr>
                <w:i/>
                <w:iCs/>
                <w:noProof/>
                <w:sz w:val="16"/>
                <w:szCs w:val="16"/>
                <w:lang w:val="fr-FR"/>
              </w:rPr>
              <w:t>2017</w:t>
            </w:r>
          </w:p>
        </w:tc>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434AE9E" w14:textId="77777777" w:rsidR="00B51FCF" w:rsidRPr="009F2AD0" w:rsidRDefault="00B51FCF" w:rsidP="009F2AD0">
            <w:pPr>
              <w:suppressAutoHyphens w:val="0"/>
              <w:spacing w:before="80" w:after="80" w:line="220" w:lineRule="exact"/>
              <w:jc w:val="right"/>
              <w:rPr>
                <w:i/>
                <w:iCs/>
                <w:noProof/>
                <w:sz w:val="16"/>
                <w:szCs w:val="16"/>
                <w:lang w:val="fr-FR"/>
              </w:rPr>
            </w:pPr>
            <w:r w:rsidRPr="009F2AD0">
              <w:rPr>
                <w:i/>
                <w:iCs/>
                <w:noProof/>
                <w:sz w:val="16"/>
                <w:szCs w:val="16"/>
                <w:lang w:val="fr-FR"/>
              </w:rPr>
              <w:t>2018</w:t>
            </w:r>
          </w:p>
        </w:tc>
        <w:tc>
          <w:tcPr>
            <w:tcW w:w="1081" w:type="dxa"/>
            <w:vMerge/>
            <w:tcBorders>
              <w:top w:val="single" w:sz="12" w:space="0" w:color="auto"/>
              <w:bottom w:val="single" w:sz="12" w:space="0" w:color="auto"/>
            </w:tcBorders>
            <w:shd w:val="clear" w:color="auto" w:fill="auto"/>
            <w:vAlign w:val="bottom"/>
          </w:tcPr>
          <w:p w14:paraId="341BABB5" w14:textId="77777777" w:rsidR="00B51FCF" w:rsidRPr="00864565" w:rsidRDefault="00B51FCF" w:rsidP="00864565">
            <w:pPr>
              <w:suppressAutoHyphens w:val="0"/>
              <w:spacing w:before="40" w:after="40" w:line="220" w:lineRule="exact"/>
              <w:jc w:val="right"/>
              <w:rPr>
                <w:noProof/>
                <w:sz w:val="18"/>
                <w:lang w:val="fr-FR"/>
              </w:rPr>
            </w:pPr>
          </w:p>
        </w:tc>
      </w:tr>
      <w:tr w:rsidR="00B51FCF" w:rsidRPr="00864565" w14:paraId="38036F0F" w14:textId="77777777" w:rsidTr="00864565">
        <w:tc>
          <w:tcPr>
            <w:tcW w:w="2895" w:type="dxa"/>
            <w:tcBorders>
              <w:top w:val="single" w:sz="12" w:space="0" w:color="auto"/>
            </w:tcBorders>
            <w:shd w:val="clear" w:color="auto" w:fill="auto"/>
            <w:tcMar>
              <w:top w:w="0" w:type="dxa"/>
              <w:left w:w="0" w:type="dxa"/>
              <w:bottom w:w="0" w:type="dxa"/>
              <w:right w:w="0" w:type="dxa"/>
            </w:tcMar>
          </w:tcPr>
          <w:p w14:paraId="4F78605A" w14:textId="77777777" w:rsidR="00B51FCF" w:rsidRPr="00864565" w:rsidRDefault="00B51FCF" w:rsidP="00864565">
            <w:pPr>
              <w:suppressAutoHyphens w:val="0"/>
              <w:spacing w:before="40" w:after="40" w:line="220" w:lineRule="exact"/>
              <w:rPr>
                <w:noProof/>
                <w:sz w:val="18"/>
                <w:lang w:val="fr-FR"/>
              </w:rPr>
            </w:pPr>
            <w:r w:rsidRPr="00864565">
              <w:rPr>
                <w:noProof/>
                <w:sz w:val="18"/>
                <w:lang w:val="fr-FR"/>
              </w:rPr>
              <w:t>Jusqu</w:t>
            </w:r>
            <w:r w:rsidR="002A5D78" w:rsidRPr="00864565">
              <w:rPr>
                <w:noProof/>
                <w:sz w:val="18"/>
                <w:lang w:val="fr-FR"/>
              </w:rPr>
              <w:t>’</w:t>
            </w:r>
            <w:r w:rsidRPr="00864565">
              <w:rPr>
                <w:noProof/>
                <w:sz w:val="18"/>
                <w:lang w:val="fr-FR"/>
              </w:rPr>
              <w:t xml:space="preserve">à 5 ans </w:t>
            </w:r>
          </w:p>
        </w:tc>
        <w:tc>
          <w:tcPr>
            <w:tcW w:w="1697" w:type="dxa"/>
            <w:tcBorders>
              <w:top w:val="single" w:sz="12" w:space="0" w:color="auto"/>
            </w:tcBorders>
            <w:shd w:val="clear" w:color="auto" w:fill="auto"/>
            <w:tcMar>
              <w:top w:w="0" w:type="dxa"/>
              <w:left w:w="0" w:type="dxa"/>
              <w:bottom w:w="0" w:type="dxa"/>
              <w:right w:w="0" w:type="dxa"/>
            </w:tcMar>
            <w:vAlign w:val="bottom"/>
          </w:tcPr>
          <w:p w14:paraId="58154658"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0</w:t>
            </w:r>
          </w:p>
        </w:tc>
        <w:tc>
          <w:tcPr>
            <w:tcW w:w="1697" w:type="dxa"/>
            <w:tcBorders>
              <w:top w:val="single" w:sz="12" w:space="0" w:color="auto"/>
            </w:tcBorders>
            <w:shd w:val="clear" w:color="auto" w:fill="auto"/>
            <w:tcMar>
              <w:top w:w="0" w:type="dxa"/>
              <w:left w:w="0" w:type="dxa"/>
              <w:bottom w:w="0" w:type="dxa"/>
              <w:right w:w="0" w:type="dxa"/>
            </w:tcMar>
            <w:vAlign w:val="bottom"/>
          </w:tcPr>
          <w:p w14:paraId="43387C27"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1</w:t>
            </w:r>
          </w:p>
        </w:tc>
        <w:tc>
          <w:tcPr>
            <w:tcW w:w="1081" w:type="dxa"/>
            <w:tcBorders>
              <w:top w:val="single" w:sz="12" w:space="0" w:color="auto"/>
            </w:tcBorders>
            <w:shd w:val="clear" w:color="auto" w:fill="auto"/>
            <w:tcMar>
              <w:top w:w="0" w:type="dxa"/>
              <w:left w:w="0" w:type="dxa"/>
              <w:bottom w:w="0" w:type="dxa"/>
              <w:right w:w="0" w:type="dxa"/>
            </w:tcMar>
            <w:vAlign w:val="bottom"/>
          </w:tcPr>
          <w:p w14:paraId="68FFCA5E"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1</w:t>
            </w:r>
          </w:p>
        </w:tc>
      </w:tr>
      <w:tr w:rsidR="00B51FCF" w:rsidRPr="00864565" w14:paraId="48DE79D1" w14:textId="77777777" w:rsidTr="00864565">
        <w:tc>
          <w:tcPr>
            <w:tcW w:w="2895" w:type="dxa"/>
            <w:shd w:val="clear" w:color="auto" w:fill="auto"/>
            <w:tcMar>
              <w:top w:w="0" w:type="dxa"/>
              <w:left w:w="0" w:type="dxa"/>
              <w:bottom w:w="0" w:type="dxa"/>
              <w:right w:w="0" w:type="dxa"/>
            </w:tcMar>
          </w:tcPr>
          <w:p w14:paraId="76C87667" w14:textId="77777777" w:rsidR="00B51FCF" w:rsidRPr="00864565" w:rsidRDefault="00B51FCF" w:rsidP="00864565">
            <w:pPr>
              <w:suppressAutoHyphens w:val="0"/>
              <w:spacing w:before="40" w:after="40" w:line="220" w:lineRule="exact"/>
              <w:rPr>
                <w:noProof/>
                <w:sz w:val="18"/>
                <w:lang w:val="fr-FR"/>
              </w:rPr>
            </w:pPr>
            <w:r w:rsidRPr="00864565">
              <w:rPr>
                <w:noProof/>
                <w:sz w:val="18"/>
                <w:lang w:val="fr-FR"/>
              </w:rPr>
              <w:t>De 5 à 7,5 ans</w:t>
            </w:r>
          </w:p>
        </w:tc>
        <w:tc>
          <w:tcPr>
            <w:tcW w:w="1697" w:type="dxa"/>
            <w:shd w:val="clear" w:color="auto" w:fill="auto"/>
            <w:tcMar>
              <w:top w:w="0" w:type="dxa"/>
              <w:left w:w="0" w:type="dxa"/>
              <w:bottom w:w="0" w:type="dxa"/>
              <w:right w:w="0" w:type="dxa"/>
            </w:tcMar>
            <w:vAlign w:val="bottom"/>
          </w:tcPr>
          <w:p w14:paraId="0373331A"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0</w:t>
            </w:r>
          </w:p>
        </w:tc>
        <w:tc>
          <w:tcPr>
            <w:tcW w:w="1697" w:type="dxa"/>
            <w:shd w:val="clear" w:color="auto" w:fill="auto"/>
            <w:tcMar>
              <w:top w:w="0" w:type="dxa"/>
              <w:left w:w="0" w:type="dxa"/>
              <w:bottom w:w="0" w:type="dxa"/>
              <w:right w:w="0" w:type="dxa"/>
            </w:tcMar>
            <w:vAlign w:val="bottom"/>
          </w:tcPr>
          <w:p w14:paraId="757C0C49"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1</w:t>
            </w:r>
          </w:p>
        </w:tc>
        <w:tc>
          <w:tcPr>
            <w:tcW w:w="1081" w:type="dxa"/>
            <w:shd w:val="clear" w:color="auto" w:fill="auto"/>
            <w:tcMar>
              <w:top w:w="0" w:type="dxa"/>
              <w:left w:w="0" w:type="dxa"/>
              <w:bottom w:w="0" w:type="dxa"/>
              <w:right w:w="0" w:type="dxa"/>
            </w:tcMar>
            <w:vAlign w:val="bottom"/>
          </w:tcPr>
          <w:p w14:paraId="32F0544A"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1</w:t>
            </w:r>
          </w:p>
        </w:tc>
      </w:tr>
      <w:tr w:rsidR="00B51FCF" w:rsidRPr="00864565" w14:paraId="3AEDA5EA" w14:textId="77777777" w:rsidTr="009F2AD0">
        <w:tc>
          <w:tcPr>
            <w:tcW w:w="2895" w:type="dxa"/>
            <w:tcBorders>
              <w:bottom w:val="single" w:sz="4" w:space="0" w:color="auto"/>
            </w:tcBorders>
            <w:shd w:val="clear" w:color="auto" w:fill="auto"/>
            <w:tcMar>
              <w:top w:w="0" w:type="dxa"/>
              <w:left w:w="0" w:type="dxa"/>
              <w:bottom w:w="0" w:type="dxa"/>
              <w:right w:w="0" w:type="dxa"/>
            </w:tcMar>
          </w:tcPr>
          <w:p w14:paraId="19F42616" w14:textId="77777777" w:rsidR="00B51FCF" w:rsidRPr="00864565" w:rsidRDefault="00B51FCF" w:rsidP="00864565">
            <w:pPr>
              <w:suppressAutoHyphens w:val="0"/>
              <w:spacing w:before="40" w:after="40" w:line="220" w:lineRule="exact"/>
              <w:rPr>
                <w:noProof/>
                <w:sz w:val="18"/>
                <w:lang w:val="fr-FR"/>
              </w:rPr>
            </w:pPr>
            <w:r w:rsidRPr="00864565">
              <w:rPr>
                <w:noProof/>
                <w:sz w:val="18"/>
                <w:lang w:val="fr-FR"/>
              </w:rPr>
              <w:t>De 10 à 15 ans</w:t>
            </w:r>
          </w:p>
        </w:tc>
        <w:tc>
          <w:tcPr>
            <w:tcW w:w="1697" w:type="dxa"/>
            <w:tcBorders>
              <w:bottom w:val="single" w:sz="4" w:space="0" w:color="auto"/>
            </w:tcBorders>
            <w:shd w:val="clear" w:color="auto" w:fill="auto"/>
            <w:tcMar>
              <w:top w:w="0" w:type="dxa"/>
              <w:left w:w="0" w:type="dxa"/>
              <w:bottom w:w="0" w:type="dxa"/>
              <w:right w:w="0" w:type="dxa"/>
            </w:tcMar>
            <w:vAlign w:val="bottom"/>
          </w:tcPr>
          <w:p w14:paraId="4665E7B1"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2</w:t>
            </w:r>
          </w:p>
        </w:tc>
        <w:tc>
          <w:tcPr>
            <w:tcW w:w="1697" w:type="dxa"/>
            <w:tcBorders>
              <w:bottom w:val="single" w:sz="4" w:space="0" w:color="auto"/>
            </w:tcBorders>
            <w:shd w:val="clear" w:color="auto" w:fill="auto"/>
            <w:tcMar>
              <w:top w:w="0" w:type="dxa"/>
              <w:left w:w="0" w:type="dxa"/>
              <w:bottom w:w="0" w:type="dxa"/>
              <w:right w:w="0" w:type="dxa"/>
            </w:tcMar>
            <w:vAlign w:val="bottom"/>
          </w:tcPr>
          <w:p w14:paraId="4E765900"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0</w:t>
            </w:r>
          </w:p>
        </w:tc>
        <w:tc>
          <w:tcPr>
            <w:tcW w:w="1081" w:type="dxa"/>
            <w:tcBorders>
              <w:bottom w:val="single" w:sz="4" w:space="0" w:color="auto"/>
            </w:tcBorders>
            <w:shd w:val="clear" w:color="auto" w:fill="auto"/>
            <w:tcMar>
              <w:top w:w="0" w:type="dxa"/>
              <w:left w:w="0" w:type="dxa"/>
              <w:bottom w:w="0" w:type="dxa"/>
              <w:right w:w="0" w:type="dxa"/>
            </w:tcMar>
            <w:vAlign w:val="bottom"/>
          </w:tcPr>
          <w:p w14:paraId="2D413DD3" w14:textId="77777777" w:rsidR="00B51FCF" w:rsidRPr="00864565" w:rsidRDefault="00B51FCF" w:rsidP="00864565">
            <w:pPr>
              <w:suppressAutoHyphens w:val="0"/>
              <w:spacing w:before="40" w:after="40" w:line="220" w:lineRule="exact"/>
              <w:jc w:val="right"/>
              <w:rPr>
                <w:noProof/>
                <w:sz w:val="18"/>
                <w:lang w:val="fr-FR"/>
              </w:rPr>
            </w:pPr>
            <w:r w:rsidRPr="00864565">
              <w:rPr>
                <w:noProof/>
                <w:sz w:val="18"/>
                <w:lang w:val="fr-FR"/>
              </w:rPr>
              <w:t>2</w:t>
            </w:r>
          </w:p>
        </w:tc>
      </w:tr>
      <w:tr w:rsidR="00B51FCF" w:rsidRPr="00864565" w14:paraId="5F286A22" w14:textId="77777777" w:rsidTr="009F2AD0">
        <w:tc>
          <w:tcPr>
            <w:tcW w:w="2895" w:type="dxa"/>
            <w:tcBorders>
              <w:top w:val="single" w:sz="4" w:space="0" w:color="auto"/>
              <w:bottom w:val="single" w:sz="12" w:space="0" w:color="auto"/>
            </w:tcBorders>
            <w:shd w:val="clear" w:color="auto" w:fill="auto"/>
            <w:tcMar>
              <w:top w:w="0" w:type="dxa"/>
              <w:left w:w="0" w:type="dxa"/>
              <w:bottom w:w="0" w:type="dxa"/>
              <w:right w:w="0" w:type="dxa"/>
            </w:tcMar>
          </w:tcPr>
          <w:p w14:paraId="4A02C8D1" w14:textId="77777777" w:rsidR="00B51FCF" w:rsidRPr="00864565" w:rsidRDefault="00B51FCF" w:rsidP="009F2AD0">
            <w:pPr>
              <w:suppressAutoHyphens w:val="0"/>
              <w:spacing w:before="80" w:after="80" w:line="220" w:lineRule="exact"/>
              <w:ind w:left="284"/>
              <w:rPr>
                <w:b/>
                <w:noProof/>
                <w:sz w:val="18"/>
                <w:lang w:val="fr-FR"/>
              </w:rPr>
            </w:pPr>
            <w:r w:rsidRPr="00864565">
              <w:rPr>
                <w:b/>
                <w:noProof/>
                <w:sz w:val="18"/>
                <w:lang w:val="fr-FR"/>
              </w:rPr>
              <w:t>Total général</w:t>
            </w:r>
          </w:p>
        </w:tc>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7DEC65A" w14:textId="77777777" w:rsidR="00B51FCF" w:rsidRPr="00864565" w:rsidRDefault="00B51FCF" w:rsidP="009F2AD0">
            <w:pPr>
              <w:suppressAutoHyphens w:val="0"/>
              <w:spacing w:before="80" w:after="80" w:line="220" w:lineRule="exact"/>
              <w:jc w:val="right"/>
              <w:rPr>
                <w:b/>
                <w:noProof/>
                <w:sz w:val="18"/>
                <w:lang w:val="fr-FR"/>
              </w:rPr>
            </w:pPr>
            <w:r w:rsidRPr="00864565">
              <w:rPr>
                <w:b/>
                <w:noProof/>
                <w:sz w:val="18"/>
                <w:lang w:val="fr-FR"/>
              </w:rPr>
              <w:t>2</w:t>
            </w:r>
          </w:p>
        </w:tc>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86C4F06" w14:textId="77777777" w:rsidR="00B51FCF" w:rsidRPr="00864565" w:rsidRDefault="00B51FCF" w:rsidP="009F2AD0">
            <w:pPr>
              <w:suppressAutoHyphens w:val="0"/>
              <w:spacing w:before="80" w:after="80" w:line="220" w:lineRule="exact"/>
              <w:jc w:val="right"/>
              <w:rPr>
                <w:b/>
                <w:noProof/>
                <w:sz w:val="18"/>
                <w:lang w:val="fr-FR"/>
              </w:rPr>
            </w:pPr>
            <w:r w:rsidRPr="00864565">
              <w:rPr>
                <w:b/>
                <w:noProof/>
                <w:sz w:val="18"/>
                <w:lang w:val="fr-FR"/>
              </w:rPr>
              <w:t>2</w:t>
            </w:r>
          </w:p>
        </w:tc>
        <w:tc>
          <w:tcPr>
            <w:tcW w:w="108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E207B57" w14:textId="77777777" w:rsidR="00B51FCF" w:rsidRPr="00864565" w:rsidRDefault="00B51FCF" w:rsidP="009F2AD0">
            <w:pPr>
              <w:suppressAutoHyphens w:val="0"/>
              <w:spacing w:before="80" w:after="80" w:line="220" w:lineRule="exact"/>
              <w:jc w:val="right"/>
              <w:rPr>
                <w:b/>
                <w:noProof/>
                <w:sz w:val="18"/>
                <w:lang w:val="fr-FR"/>
              </w:rPr>
            </w:pPr>
            <w:r w:rsidRPr="00864565">
              <w:rPr>
                <w:b/>
                <w:bCs/>
                <w:noProof/>
                <w:sz w:val="18"/>
                <w:lang w:val="fr-FR"/>
              </w:rPr>
              <w:t>4</w:t>
            </w:r>
          </w:p>
        </w:tc>
      </w:tr>
    </w:tbl>
    <w:p w14:paraId="2C7C76AA" w14:textId="77777777" w:rsidR="00B51FCF" w:rsidRDefault="00B51FCF" w:rsidP="009F2AD0">
      <w:pPr>
        <w:pStyle w:val="SingleTxtG"/>
        <w:spacing w:before="120"/>
        <w:rPr>
          <w:noProof/>
          <w:lang w:val="fr-FR"/>
        </w:rPr>
      </w:pPr>
      <w:r w:rsidRPr="00BB6F7D">
        <w:rPr>
          <w:noProof/>
          <w:lang w:val="fr-FR"/>
        </w:rPr>
        <w:t>87.</w:t>
      </w:r>
      <w:r w:rsidRPr="00BB6F7D">
        <w:rPr>
          <w:noProof/>
          <w:lang w:val="fr-FR"/>
        </w:rPr>
        <w:tab/>
      </w:r>
      <w:r>
        <w:rPr>
          <w:noProof/>
          <w:lang w:val="fr-FR"/>
        </w:rPr>
        <w:t>Un « Cadre conceptuel de l</w:t>
      </w:r>
      <w:r w:rsidR="002A5D78">
        <w:rPr>
          <w:noProof/>
          <w:lang w:val="fr-FR"/>
        </w:rPr>
        <w:t>’</w:t>
      </w:r>
      <w:r>
        <w:rPr>
          <w:noProof/>
          <w:lang w:val="fr-FR"/>
        </w:rPr>
        <w:t>usage de la force par les agents du maintien de l</w:t>
      </w:r>
      <w:r w:rsidR="002A5D78">
        <w:rPr>
          <w:noProof/>
          <w:lang w:val="fr-FR"/>
        </w:rPr>
        <w:t>’</w:t>
      </w:r>
      <w:r>
        <w:rPr>
          <w:noProof/>
          <w:lang w:val="fr-FR"/>
        </w:rPr>
        <w:t>ordre et le personnel pénitentiaire</w:t>
      </w:r>
      <w:r>
        <w:rPr>
          <w:rStyle w:val="Appelnotedebasdep"/>
          <w:noProof/>
          <w:lang w:val="fr-FR"/>
        </w:rPr>
        <w:footnoteReference w:id="20"/>
      </w:r>
      <w:r>
        <w:rPr>
          <w:noProof/>
          <w:lang w:val="fr-FR"/>
        </w:rPr>
        <w:t> », qui reprend les normes nationales et internationales relatives à l</w:t>
      </w:r>
      <w:r w:rsidR="002A5D78">
        <w:rPr>
          <w:noProof/>
          <w:lang w:val="fr-FR"/>
        </w:rPr>
        <w:t>’</w:t>
      </w:r>
      <w:r>
        <w:rPr>
          <w:noProof/>
          <w:lang w:val="fr-FR"/>
        </w:rPr>
        <w:t>usage de la force et des armes, a été publié en vue de guider ces personnels dans l</w:t>
      </w:r>
      <w:r w:rsidR="002A5D78">
        <w:rPr>
          <w:noProof/>
          <w:lang w:val="fr-FR"/>
        </w:rPr>
        <w:t>’</w:t>
      </w:r>
      <w:r>
        <w:rPr>
          <w:noProof/>
          <w:lang w:val="fr-FR"/>
        </w:rPr>
        <w:t>exercice de leurs fonctions et d</w:t>
      </w:r>
      <w:r w:rsidR="002A5D78">
        <w:rPr>
          <w:noProof/>
          <w:lang w:val="fr-FR"/>
        </w:rPr>
        <w:t>’</w:t>
      </w:r>
      <w:r>
        <w:rPr>
          <w:noProof/>
          <w:lang w:val="fr-FR"/>
        </w:rPr>
        <w:t>empêcher qu</w:t>
      </w:r>
      <w:r w:rsidR="002A5D78">
        <w:rPr>
          <w:noProof/>
          <w:lang w:val="fr-FR"/>
        </w:rPr>
        <w:t>’</w:t>
      </w:r>
      <w:r>
        <w:rPr>
          <w:noProof/>
          <w:lang w:val="fr-FR"/>
        </w:rPr>
        <w:t>ils ne fassent un usage excessif de la force. Ont également été publiées des consignes réglementant l</w:t>
      </w:r>
      <w:r w:rsidR="002A5D78">
        <w:rPr>
          <w:noProof/>
          <w:lang w:val="fr-FR"/>
        </w:rPr>
        <w:t>’</w:t>
      </w:r>
      <w:r>
        <w:rPr>
          <w:noProof/>
          <w:lang w:val="fr-FR"/>
        </w:rPr>
        <w:t xml:space="preserve">utilisation et la manipulation des menottes et des fers et de leurs clefs respectives. </w:t>
      </w:r>
    </w:p>
    <w:p w14:paraId="3DE12935" w14:textId="77777777" w:rsidR="00B51FCF" w:rsidRDefault="00B51FCF" w:rsidP="00B51FCF">
      <w:pPr>
        <w:pStyle w:val="SingleTxtG"/>
        <w:rPr>
          <w:noProof/>
          <w:lang w:val="fr-FR"/>
        </w:rPr>
      </w:pPr>
      <w:r w:rsidRPr="00BB6F7D">
        <w:rPr>
          <w:noProof/>
          <w:lang w:val="fr-FR"/>
        </w:rPr>
        <w:t>88</w:t>
      </w:r>
      <w:r>
        <w:rPr>
          <w:noProof/>
          <w:lang w:val="fr-FR"/>
        </w:rPr>
        <w:t>.</w:t>
      </w:r>
      <w:r>
        <w:rPr>
          <w:noProof/>
          <w:lang w:val="fr-FR"/>
        </w:rPr>
        <w:tab/>
        <w:t>Le droit salvadorien incrimine la torture et les autres traitements ou peines cruels, inhumains ou dégradants, et c</w:t>
      </w:r>
      <w:r w:rsidR="002A5D78">
        <w:rPr>
          <w:noProof/>
          <w:lang w:val="fr-FR"/>
        </w:rPr>
        <w:t>’</w:t>
      </w:r>
      <w:r>
        <w:rPr>
          <w:noProof/>
          <w:lang w:val="fr-FR"/>
        </w:rPr>
        <w:t xml:space="preserve">est au Bureau du </w:t>
      </w:r>
      <w:r>
        <w:rPr>
          <w:i/>
          <w:noProof/>
          <w:lang w:val="fr-FR"/>
        </w:rPr>
        <w:t>Fiscal g</w:t>
      </w:r>
      <w:r w:rsidRPr="00476C7B">
        <w:rPr>
          <w:i/>
          <w:noProof/>
          <w:lang w:val="fr-FR"/>
        </w:rPr>
        <w:t>eneral</w:t>
      </w:r>
      <w:r>
        <w:rPr>
          <w:noProof/>
          <w:lang w:val="fr-FR"/>
        </w:rPr>
        <w:t xml:space="preserve"> de la République qu</w:t>
      </w:r>
      <w:r w:rsidR="002A5D78">
        <w:rPr>
          <w:noProof/>
          <w:lang w:val="fr-FR"/>
        </w:rPr>
        <w:t>’</w:t>
      </w:r>
      <w:r>
        <w:rPr>
          <w:noProof/>
          <w:lang w:val="fr-FR"/>
        </w:rPr>
        <w:t>il revient d</w:t>
      </w:r>
      <w:r w:rsidR="002A5D78">
        <w:rPr>
          <w:noProof/>
          <w:lang w:val="fr-FR"/>
        </w:rPr>
        <w:t>’</w:t>
      </w:r>
      <w:r>
        <w:rPr>
          <w:noProof/>
          <w:lang w:val="fr-FR"/>
        </w:rPr>
        <w:t>enquêter sur les faits de cette nature lorsqu</w:t>
      </w:r>
      <w:r w:rsidR="002A5D78">
        <w:rPr>
          <w:noProof/>
          <w:lang w:val="fr-FR"/>
        </w:rPr>
        <w:t>’</w:t>
      </w:r>
      <w:r>
        <w:rPr>
          <w:noProof/>
          <w:lang w:val="fr-FR"/>
        </w:rPr>
        <w:t>ils sont imputés à des policiers ou à des agents péntitentiaires ; sur le plan administratif cependant, la Direction générale des établissements pénitentiaires s</w:t>
      </w:r>
      <w:r w:rsidR="002A5D78">
        <w:rPr>
          <w:noProof/>
          <w:lang w:val="fr-FR"/>
        </w:rPr>
        <w:t>’</w:t>
      </w:r>
      <w:r>
        <w:rPr>
          <w:noProof/>
          <w:lang w:val="fr-FR"/>
        </w:rPr>
        <w:t>est dotée d</w:t>
      </w:r>
      <w:r w:rsidR="002A5D78">
        <w:rPr>
          <w:noProof/>
          <w:lang w:val="fr-FR"/>
        </w:rPr>
        <w:t>’</w:t>
      </w:r>
      <w:r>
        <w:rPr>
          <w:noProof/>
          <w:lang w:val="fr-FR"/>
        </w:rPr>
        <w:t>une Unité disciplinaire du personnel administratif et d</w:t>
      </w:r>
      <w:r w:rsidR="002A5D78">
        <w:rPr>
          <w:noProof/>
          <w:lang w:val="fr-FR"/>
        </w:rPr>
        <w:t>’</w:t>
      </w:r>
      <w:r>
        <w:rPr>
          <w:noProof/>
          <w:lang w:val="fr-FR"/>
        </w:rPr>
        <w:t>une Unité disciplinaire du personnel de sécurité et pénitentiaire qui sont habilitées à procéder à des investigations et à appliquer des sanctions administratives propres à donner effet au régime disciplinaire de l</w:t>
      </w:r>
      <w:r w:rsidR="002A5D78">
        <w:rPr>
          <w:noProof/>
          <w:lang w:val="fr-FR"/>
        </w:rPr>
        <w:t>’</w:t>
      </w:r>
      <w:r>
        <w:rPr>
          <w:noProof/>
          <w:lang w:val="fr-FR"/>
        </w:rPr>
        <w:t>institution, en tenant dûment compte des droits de la défense, afin de prévenir les mauvais traitements, l</w:t>
      </w:r>
      <w:r w:rsidR="002A5D78">
        <w:rPr>
          <w:noProof/>
          <w:lang w:val="fr-FR"/>
        </w:rPr>
        <w:t>’</w:t>
      </w:r>
      <w:r>
        <w:rPr>
          <w:noProof/>
          <w:lang w:val="fr-FR"/>
        </w:rPr>
        <w:t xml:space="preserve">usage excessif de la force et autres abus de la part des personnels pénitentiaires, grâce à des mécanismes disciplinaires comme les plaintes, les rapports disciplinaires et les rapports des unités exerçant des fonctions de contrôle. </w:t>
      </w:r>
    </w:p>
    <w:p w14:paraId="01F69ABE" w14:textId="77777777" w:rsidR="00B51FCF" w:rsidRDefault="00B51FCF" w:rsidP="00B51FCF">
      <w:pPr>
        <w:pStyle w:val="SingleTxtG"/>
        <w:rPr>
          <w:noProof/>
          <w:lang w:val="fr-FR"/>
        </w:rPr>
      </w:pPr>
      <w:r w:rsidRPr="00BB6F7D">
        <w:rPr>
          <w:noProof/>
          <w:lang w:val="fr-FR"/>
        </w:rPr>
        <w:t>89.</w:t>
      </w:r>
      <w:r w:rsidRPr="00BB6F7D">
        <w:rPr>
          <w:noProof/>
          <w:lang w:val="fr-FR"/>
        </w:rPr>
        <w:tab/>
      </w:r>
      <w:r>
        <w:rPr>
          <w:noProof/>
          <w:lang w:val="fr-FR"/>
        </w:rPr>
        <w:t>Dans les enquêtes faisant suite à des plaintes contre le personnel pénitentiaire, les mesures voulues sont prises pour assurer la sécurité du détenu qui a porté plainte, et s</w:t>
      </w:r>
      <w:r w:rsidR="002A5D78">
        <w:rPr>
          <w:noProof/>
          <w:lang w:val="fr-FR"/>
        </w:rPr>
        <w:t>’</w:t>
      </w:r>
      <w:r>
        <w:rPr>
          <w:noProof/>
          <w:lang w:val="fr-FR"/>
        </w:rPr>
        <w:t>il apparaît qu</w:t>
      </w:r>
      <w:r w:rsidR="002A5D78">
        <w:rPr>
          <w:noProof/>
          <w:lang w:val="fr-FR"/>
        </w:rPr>
        <w:t>’</w:t>
      </w:r>
      <w:r>
        <w:rPr>
          <w:noProof/>
          <w:lang w:val="fr-FR"/>
        </w:rPr>
        <w:t xml:space="preserve">une infraction a été commise, celle-ci est portée à la connaissance de la Police nationale civile ou du Bureau du </w:t>
      </w:r>
      <w:r>
        <w:rPr>
          <w:i/>
          <w:noProof/>
          <w:lang w:val="fr-FR"/>
        </w:rPr>
        <w:t>Fiscal g</w:t>
      </w:r>
      <w:r w:rsidRPr="00476C7B">
        <w:rPr>
          <w:i/>
          <w:noProof/>
          <w:lang w:val="fr-FR"/>
        </w:rPr>
        <w:t>eneral</w:t>
      </w:r>
      <w:r>
        <w:rPr>
          <w:noProof/>
          <w:lang w:val="fr-FR"/>
        </w:rPr>
        <w:t xml:space="preserve"> de la République, qui lui donnent la suite judiciaire voulue. Afin de pouvoir s</w:t>
      </w:r>
      <w:r w:rsidR="002A5D78">
        <w:rPr>
          <w:noProof/>
          <w:lang w:val="fr-FR"/>
        </w:rPr>
        <w:t>’</w:t>
      </w:r>
      <w:r>
        <w:rPr>
          <w:noProof/>
          <w:lang w:val="fr-FR"/>
        </w:rPr>
        <w:t>appuyer sur un système de plainte efficace, la Direction générale des établissements pénitentiaires, agissant par le biais de ses deux unités disciplinaires, a rapproché ses services des usagers, offre à ceux-ci des conseils juridiques et recueille des plaintes en toute confidentialité ; elle s</w:t>
      </w:r>
      <w:r w:rsidR="002A5D78">
        <w:rPr>
          <w:noProof/>
          <w:lang w:val="fr-FR"/>
        </w:rPr>
        <w:t>’</w:t>
      </w:r>
      <w:r>
        <w:rPr>
          <w:noProof/>
          <w:lang w:val="fr-FR"/>
        </w:rPr>
        <w:t>appuie également sur une équipe de conseillers juridiques qui analysent les rapports disciplinaires présentés par les instances administratives de l</w:t>
      </w:r>
      <w:r w:rsidR="002A5D78">
        <w:rPr>
          <w:noProof/>
          <w:lang w:val="fr-FR"/>
        </w:rPr>
        <w:t>’</w:t>
      </w:r>
      <w:r>
        <w:rPr>
          <w:noProof/>
          <w:lang w:val="fr-FR"/>
        </w:rPr>
        <w:t xml:space="preserve">institution. </w:t>
      </w:r>
    </w:p>
    <w:p w14:paraId="6C9B1F3F" w14:textId="77777777" w:rsidR="00B51FCF" w:rsidRDefault="00B51FCF" w:rsidP="00B51FCF">
      <w:pPr>
        <w:pStyle w:val="SingleTxtG"/>
        <w:rPr>
          <w:noProof/>
          <w:lang w:val="fr-FR"/>
        </w:rPr>
      </w:pPr>
      <w:r>
        <w:rPr>
          <w:noProof/>
          <w:lang w:val="fr-FR"/>
        </w:rPr>
        <w:t>90.</w:t>
      </w:r>
      <w:r>
        <w:rPr>
          <w:noProof/>
          <w:lang w:val="fr-FR"/>
        </w:rPr>
        <w:tab/>
        <w:t>Le Ministère de la justice et de la sécurité publique a constitué en 2017 un Comité de l</w:t>
      </w:r>
      <w:r w:rsidR="002A5D78">
        <w:rPr>
          <w:noProof/>
          <w:lang w:val="fr-FR"/>
        </w:rPr>
        <w:t>’</w:t>
      </w:r>
      <w:r>
        <w:rPr>
          <w:noProof/>
          <w:lang w:val="fr-FR"/>
        </w:rPr>
        <w:t>action policière et des droits de l</w:t>
      </w:r>
      <w:r w:rsidR="002A5D78">
        <w:rPr>
          <w:noProof/>
          <w:lang w:val="fr-FR"/>
        </w:rPr>
        <w:t>’</w:t>
      </w:r>
      <w:r>
        <w:rPr>
          <w:noProof/>
          <w:lang w:val="fr-FR"/>
        </w:rPr>
        <w:t>homme auquel participent des associations de défense des droits de l</w:t>
      </w:r>
      <w:r w:rsidR="002A5D78">
        <w:rPr>
          <w:noProof/>
          <w:lang w:val="fr-FR"/>
        </w:rPr>
        <w:t>’</w:t>
      </w:r>
      <w:r>
        <w:rPr>
          <w:noProof/>
          <w:lang w:val="fr-FR"/>
        </w:rPr>
        <w:t>homme. Ce comité a pour principal objectif d</w:t>
      </w:r>
      <w:r w:rsidR="002A5D78">
        <w:rPr>
          <w:noProof/>
          <w:lang w:val="fr-FR"/>
        </w:rPr>
        <w:t>’</w:t>
      </w:r>
      <w:r>
        <w:rPr>
          <w:noProof/>
          <w:lang w:val="fr-FR"/>
        </w:rPr>
        <w:t>ouvrir un espace de suivi interinstitutions des cas de comportement répréhensible de la police. Il a lancé une campagne de mobilisation des dirigeants communautaires, des jeunes des communautés et des Conseils municipaux de prévention de la violence qui s</w:t>
      </w:r>
      <w:r w:rsidR="002A5D78">
        <w:rPr>
          <w:noProof/>
          <w:lang w:val="fr-FR"/>
        </w:rPr>
        <w:t>’</w:t>
      </w:r>
      <w:r>
        <w:rPr>
          <w:noProof/>
          <w:lang w:val="fr-FR"/>
        </w:rPr>
        <w:t>est déroulée dans les municipalités considérées comme prioritaires par le plan « El Salvador Seguro » et dans celles où les associations qui font partie du Comité ont déjà une présence active. Cette campagne a été relayée par la radio et la télévision ainsi que par les réseaux sociaux. Le Comité élabore actuellement un projet d</w:t>
      </w:r>
      <w:r w:rsidR="002A5D78">
        <w:rPr>
          <w:noProof/>
          <w:lang w:val="fr-FR"/>
        </w:rPr>
        <w:t>’</w:t>
      </w:r>
      <w:r>
        <w:rPr>
          <w:noProof/>
          <w:lang w:val="fr-FR"/>
        </w:rPr>
        <w:t>indicateurs permettant d</w:t>
      </w:r>
      <w:r w:rsidR="002A5D78">
        <w:rPr>
          <w:noProof/>
          <w:lang w:val="fr-FR"/>
        </w:rPr>
        <w:t>’</w:t>
      </w:r>
      <w:r>
        <w:rPr>
          <w:noProof/>
          <w:lang w:val="fr-FR"/>
        </w:rPr>
        <w:t>assurer un suivi de l</w:t>
      </w:r>
      <w:r w:rsidR="002A5D78">
        <w:rPr>
          <w:noProof/>
          <w:lang w:val="fr-FR"/>
        </w:rPr>
        <w:t>’</w:t>
      </w:r>
      <w:r>
        <w:rPr>
          <w:noProof/>
          <w:lang w:val="fr-FR"/>
        </w:rPr>
        <w:t>action de la Police nationale civile du point de vue du respect des droits de l</w:t>
      </w:r>
      <w:r w:rsidR="002A5D78">
        <w:rPr>
          <w:noProof/>
          <w:lang w:val="fr-FR"/>
        </w:rPr>
        <w:t>’</w:t>
      </w:r>
      <w:r>
        <w:rPr>
          <w:noProof/>
          <w:lang w:val="fr-FR"/>
        </w:rPr>
        <w:t xml:space="preserve">homme. </w:t>
      </w:r>
    </w:p>
    <w:p w14:paraId="160AA4E2" w14:textId="77777777" w:rsidR="00B51FCF" w:rsidRDefault="00B51FCF" w:rsidP="00B51FCF">
      <w:pPr>
        <w:pStyle w:val="SingleTxtG"/>
        <w:rPr>
          <w:noProof/>
          <w:lang w:val="fr-FR"/>
        </w:rPr>
      </w:pPr>
      <w:r w:rsidRPr="00BB6F7D">
        <w:rPr>
          <w:noProof/>
          <w:lang w:val="fr-FR"/>
        </w:rPr>
        <w:t>91.</w:t>
      </w:r>
      <w:r w:rsidRPr="00BB6F7D">
        <w:rPr>
          <w:noProof/>
          <w:lang w:val="fr-FR"/>
        </w:rPr>
        <w:tab/>
      </w:r>
      <w:r>
        <w:rPr>
          <w:noProof/>
          <w:lang w:val="fr-FR"/>
        </w:rPr>
        <w:t>Pour appliquer les recommandations de la Commission de la Vérité et du Groupe de travail sur les disparitions forcées ou involontaires qui portent sur les violations des droits de l</w:t>
      </w:r>
      <w:r w:rsidR="002A5D78">
        <w:rPr>
          <w:noProof/>
          <w:lang w:val="fr-FR"/>
        </w:rPr>
        <w:t>’</w:t>
      </w:r>
      <w:r>
        <w:rPr>
          <w:noProof/>
          <w:lang w:val="fr-FR"/>
        </w:rPr>
        <w:t>homme commises pendant la guerre (</w:t>
      </w:r>
      <w:r w:rsidRPr="008A07AF">
        <w:rPr>
          <w:noProof/>
        </w:rPr>
        <w:t>CAT/C/SLV/CO/2</w:t>
      </w:r>
      <w:r>
        <w:rPr>
          <w:noProof/>
        </w:rPr>
        <w:t>, par.</w:t>
      </w:r>
      <w:r w:rsidR="008162EB">
        <w:rPr>
          <w:noProof/>
        </w:rPr>
        <w:t> </w:t>
      </w:r>
      <w:r>
        <w:rPr>
          <w:noProof/>
        </w:rPr>
        <w:t xml:space="preserve">15), </w:t>
      </w:r>
      <w:r>
        <w:rPr>
          <w:noProof/>
          <w:lang w:val="fr-FR"/>
        </w:rPr>
        <w:t xml:space="preserve">le Bureau du </w:t>
      </w:r>
      <w:r>
        <w:rPr>
          <w:i/>
          <w:noProof/>
          <w:lang w:val="fr-FR"/>
        </w:rPr>
        <w:t>Fiscal g</w:t>
      </w:r>
      <w:r w:rsidRPr="00476C7B">
        <w:rPr>
          <w:i/>
          <w:noProof/>
          <w:lang w:val="fr-FR"/>
        </w:rPr>
        <w:t>eneral</w:t>
      </w:r>
      <w:r>
        <w:rPr>
          <w:noProof/>
          <w:lang w:val="fr-FR"/>
        </w:rPr>
        <w:t xml:space="preserve"> de la République a créé une unité spécialisée chargée d</w:t>
      </w:r>
      <w:r w:rsidR="002A5D78">
        <w:rPr>
          <w:noProof/>
          <w:lang w:val="fr-FR"/>
        </w:rPr>
        <w:t>’</w:t>
      </w:r>
      <w:r>
        <w:rPr>
          <w:noProof/>
          <w:lang w:val="fr-FR"/>
        </w:rPr>
        <w:t xml:space="preserve">enquêter sur les crimes </w:t>
      </w:r>
      <w:r>
        <w:rPr>
          <w:noProof/>
          <w:lang w:val="fr-FR"/>
        </w:rPr>
        <w:lastRenderedPageBreak/>
        <w:t>commis pendant le conflit armé interne. Cette unité a décidé d</w:t>
      </w:r>
      <w:r w:rsidR="002A5D78">
        <w:rPr>
          <w:noProof/>
          <w:lang w:val="fr-FR"/>
        </w:rPr>
        <w:t>’</w:t>
      </w:r>
      <w:r>
        <w:rPr>
          <w:noProof/>
          <w:lang w:val="fr-FR"/>
        </w:rPr>
        <w:t>ouvrir une enquête sur 160</w:t>
      </w:r>
      <w:r w:rsidR="008162EB">
        <w:rPr>
          <w:noProof/>
          <w:lang w:val="fr-FR"/>
        </w:rPr>
        <w:t> </w:t>
      </w:r>
      <w:r>
        <w:rPr>
          <w:noProof/>
          <w:lang w:val="fr-FR"/>
        </w:rPr>
        <w:t>de ces crimes, dont 40 sur des cas de disparition forcée ou involontaire. Les investigations menées dans le cadre de ces enquêtes sont conformes aux normes nationales et internationales et sont effectuées en coordination avec les organisations de défense des droits de l</w:t>
      </w:r>
      <w:r w:rsidR="002A5D78">
        <w:rPr>
          <w:noProof/>
          <w:lang w:val="fr-FR"/>
        </w:rPr>
        <w:t>’</w:t>
      </w:r>
      <w:r>
        <w:rPr>
          <w:noProof/>
          <w:lang w:val="fr-FR"/>
        </w:rPr>
        <w:t>homme ; il s</w:t>
      </w:r>
      <w:r w:rsidR="002A5D78">
        <w:rPr>
          <w:noProof/>
          <w:lang w:val="fr-FR"/>
        </w:rPr>
        <w:t>’</w:t>
      </w:r>
      <w:r>
        <w:rPr>
          <w:noProof/>
          <w:lang w:val="fr-FR"/>
        </w:rPr>
        <w:t>y ajoute deux affaires de disparition forcée poursuivies devant les tribunaux, mais du chef de « privation de liberté » et non de « disparition forcée », conformément à la loi de 1973 qui était en vigueur au moment des faits et qui ne connaissait pas l</w:t>
      </w:r>
      <w:r w:rsidR="002A5D78">
        <w:rPr>
          <w:noProof/>
          <w:lang w:val="fr-FR"/>
        </w:rPr>
        <w:t>’</w:t>
      </w:r>
      <w:r>
        <w:rPr>
          <w:noProof/>
          <w:lang w:val="fr-FR"/>
        </w:rPr>
        <w:t xml:space="preserve">infraction de disparition forcée. De plus, un décret exécutif a créé en 2017 une </w:t>
      </w:r>
      <w:r w:rsidRPr="00D51D8C">
        <w:rPr>
          <w:noProof/>
          <w:lang w:val="fr-FR"/>
        </w:rPr>
        <w:t xml:space="preserve">Commission nationale pour la recherche des adultes disparus </w:t>
      </w:r>
      <w:r>
        <w:rPr>
          <w:noProof/>
          <w:lang w:val="fr-FR"/>
        </w:rPr>
        <w:t>dans le cadre du</w:t>
      </w:r>
      <w:r w:rsidRPr="00D51D8C">
        <w:rPr>
          <w:noProof/>
          <w:lang w:val="fr-FR"/>
        </w:rPr>
        <w:t xml:space="preserve"> conflit armé en El Salvador</w:t>
      </w:r>
      <w:r>
        <w:rPr>
          <w:noProof/>
          <w:lang w:val="fr-FR"/>
        </w:rPr>
        <w:t>. Pour ce qui est des affaires de torture, neuf informations ont été ouvertes au niveau national et attendent leur renvoi devant la juridiction de jugement.</w:t>
      </w:r>
    </w:p>
    <w:p w14:paraId="3164395C" w14:textId="77777777" w:rsidR="00B51FCF" w:rsidRDefault="00B51FCF" w:rsidP="00B51FCF">
      <w:pPr>
        <w:pStyle w:val="SingleTxtG"/>
        <w:rPr>
          <w:noProof/>
          <w:lang w:val="fr-FR"/>
        </w:rPr>
      </w:pPr>
      <w:r w:rsidRPr="00BB6F7D">
        <w:rPr>
          <w:noProof/>
          <w:lang w:val="fr-FR"/>
        </w:rPr>
        <w:t>92.</w:t>
      </w:r>
      <w:r w:rsidRPr="00BB6F7D">
        <w:rPr>
          <w:noProof/>
          <w:lang w:val="fr-FR"/>
        </w:rPr>
        <w:tab/>
      </w:r>
      <w:r>
        <w:rPr>
          <w:noProof/>
          <w:lang w:val="fr-FR"/>
        </w:rPr>
        <w:t>Le Code pénal range les disparitions forcées sous trois qualifications distinctes : la disparition forcée, prévue à l</w:t>
      </w:r>
      <w:r w:rsidR="002A5D78">
        <w:rPr>
          <w:noProof/>
          <w:lang w:val="fr-FR"/>
        </w:rPr>
        <w:t>’</w:t>
      </w:r>
      <w:r>
        <w:rPr>
          <w:noProof/>
          <w:lang w:val="fr-FR"/>
        </w:rPr>
        <w:t>article 364, la disparition forcée commise par des particuliers, prévue à l</w:t>
      </w:r>
      <w:r w:rsidR="002A5D78">
        <w:rPr>
          <w:noProof/>
          <w:lang w:val="fr-FR"/>
        </w:rPr>
        <w:t>’</w:t>
      </w:r>
      <w:r>
        <w:rPr>
          <w:noProof/>
          <w:lang w:val="fr-FR"/>
        </w:rPr>
        <w:t>article 365 ; et l</w:t>
      </w:r>
      <w:r w:rsidR="002A5D78">
        <w:rPr>
          <w:noProof/>
          <w:lang w:val="fr-FR"/>
        </w:rPr>
        <w:t>’</w:t>
      </w:r>
      <w:r>
        <w:rPr>
          <w:noProof/>
          <w:lang w:val="fr-FR"/>
        </w:rPr>
        <w:t>acquiescement coupable à la disparition de personnes, prévu à l</w:t>
      </w:r>
      <w:r w:rsidR="002A5D78">
        <w:rPr>
          <w:noProof/>
          <w:lang w:val="fr-FR"/>
        </w:rPr>
        <w:t>’</w:t>
      </w:r>
      <w:r>
        <w:rPr>
          <w:noProof/>
          <w:lang w:val="fr-FR"/>
        </w:rPr>
        <w:t>article 366. À cela s</w:t>
      </w:r>
      <w:r w:rsidR="002A5D78">
        <w:rPr>
          <w:noProof/>
          <w:lang w:val="fr-FR"/>
        </w:rPr>
        <w:t>’</w:t>
      </w:r>
      <w:r>
        <w:rPr>
          <w:noProof/>
          <w:lang w:val="fr-FR"/>
        </w:rPr>
        <w:t>ajoute que l</w:t>
      </w:r>
      <w:r w:rsidR="002A5D78">
        <w:rPr>
          <w:noProof/>
          <w:lang w:val="fr-FR"/>
        </w:rPr>
        <w:t>’</w:t>
      </w:r>
      <w:r>
        <w:rPr>
          <w:noProof/>
          <w:lang w:val="fr-FR"/>
        </w:rPr>
        <w:t>alinéa i) du paragraphe 1 de l</w:t>
      </w:r>
      <w:r w:rsidR="002A5D78">
        <w:rPr>
          <w:noProof/>
          <w:lang w:val="fr-FR"/>
        </w:rPr>
        <w:t>’</w:t>
      </w:r>
      <w:r>
        <w:rPr>
          <w:noProof/>
          <w:lang w:val="fr-FR"/>
        </w:rPr>
        <w:t>article 7 du Statut de la Cour pénale internationale, instrument international ratifié par El Salvador</w:t>
      </w:r>
      <w:r>
        <w:rPr>
          <w:rStyle w:val="Appelnotedebasdep"/>
          <w:noProof/>
          <w:lang w:val="fr-FR"/>
        </w:rPr>
        <w:footnoteReference w:id="21"/>
      </w:r>
      <w:r>
        <w:rPr>
          <w:noProof/>
          <w:lang w:val="fr-FR"/>
        </w:rPr>
        <w:t>, incrimine la disparition forcée de personnes.</w:t>
      </w:r>
    </w:p>
    <w:p w14:paraId="6CF94E4B" w14:textId="77777777" w:rsidR="00B51FCF" w:rsidRDefault="00B51FCF" w:rsidP="00B51FCF">
      <w:pPr>
        <w:pStyle w:val="SingleTxtG"/>
        <w:rPr>
          <w:rFonts w:eastAsia="Calibri"/>
          <w:noProof/>
          <w:lang w:val="fr-FR"/>
        </w:rPr>
      </w:pPr>
      <w:r w:rsidRPr="00BB6F7D">
        <w:rPr>
          <w:rFonts w:eastAsia="Calibri"/>
          <w:noProof/>
          <w:lang w:val="fr-FR"/>
        </w:rPr>
        <w:t>93.</w:t>
      </w:r>
      <w:r w:rsidRPr="00BB6F7D">
        <w:rPr>
          <w:rFonts w:eastAsia="Calibri"/>
          <w:noProof/>
          <w:lang w:val="fr-FR"/>
        </w:rPr>
        <w:tab/>
      </w:r>
      <w:r>
        <w:rPr>
          <w:rFonts w:eastAsia="Calibri"/>
          <w:noProof/>
          <w:lang w:val="fr-FR"/>
        </w:rPr>
        <w:t>Avec l</w:t>
      </w:r>
      <w:r w:rsidR="002A5D78">
        <w:rPr>
          <w:rFonts w:eastAsia="Calibri"/>
          <w:noProof/>
          <w:lang w:val="fr-FR"/>
        </w:rPr>
        <w:t>’</w:t>
      </w:r>
      <w:r>
        <w:rPr>
          <w:rFonts w:eastAsia="Calibri"/>
          <w:noProof/>
          <w:lang w:val="fr-FR"/>
        </w:rPr>
        <w:t>aide de l</w:t>
      </w:r>
      <w:r w:rsidR="002A5D78">
        <w:rPr>
          <w:rFonts w:eastAsia="Calibri"/>
          <w:noProof/>
          <w:lang w:val="fr-FR"/>
        </w:rPr>
        <w:t>’</w:t>
      </w:r>
      <w:r w:rsidRPr="0076328E">
        <w:rPr>
          <w:rFonts w:eastAsia="Calibri"/>
          <w:noProof/>
          <w:lang w:val="fr-FR"/>
        </w:rPr>
        <w:t>Office des Nations Unies contre la drogue et le crime</w:t>
      </w:r>
      <w:r>
        <w:rPr>
          <w:rFonts w:eastAsia="Calibri"/>
          <w:noProof/>
          <w:lang w:val="fr-FR"/>
        </w:rPr>
        <w:t>, une équipe technique interinstitutionnelle a été constituée en vue d</w:t>
      </w:r>
      <w:r w:rsidR="002A5D78">
        <w:rPr>
          <w:rFonts w:eastAsia="Calibri"/>
          <w:noProof/>
          <w:lang w:val="fr-FR"/>
        </w:rPr>
        <w:t>’</w:t>
      </w:r>
      <w:r>
        <w:rPr>
          <w:rFonts w:eastAsia="Calibri"/>
          <w:noProof/>
          <w:lang w:val="fr-FR"/>
        </w:rPr>
        <w:t>élaborer des stratégies de recherche des personnes disparues en raison de la criminalité actuelle. Les travaux de cette équipe ont permis de publier un protocole d</w:t>
      </w:r>
      <w:r w:rsidR="002A5D78">
        <w:rPr>
          <w:rFonts w:eastAsia="Calibri"/>
          <w:noProof/>
          <w:lang w:val="fr-FR"/>
        </w:rPr>
        <w:t>’</w:t>
      </w:r>
      <w:r>
        <w:rPr>
          <w:rFonts w:eastAsia="Calibri"/>
          <w:noProof/>
          <w:lang w:val="fr-FR"/>
        </w:rPr>
        <w:t>action urgente et une stratégie de recherche des personnes disparues en El Salvador. Ces deux documents offrent un cadre général pour des interventions d</w:t>
      </w:r>
      <w:r w:rsidR="002A5D78">
        <w:rPr>
          <w:rFonts w:eastAsia="Calibri"/>
          <w:noProof/>
          <w:lang w:val="fr-FR"/>
        </w:rPr>
        <w:t>’</w:t>
      </w:r>
      <w:r>
        <w:rPr>
          <w:rFonts w:eastAsia="Calibri"/>
          <w:noProof/>
          <w:lang w:val="fr-FR"/>
        </w:rPr>
        <w:t>urgence visant à prévenir la disparition forcée de personnes et à faciliter la recherche des personnes disparues grâce à une meilleure planification des diligences voulues pour localiser les personnes recherchées.</w:t>
      </w:r>
    </w:p>
    <w:p w14:paraId="333D8537" w14:textId="77777777" w:rsidR="00B51FCF" w:rsidRDefault="00B51FCF" w:rsidP="00B51FCF">
      <w:pPr>
        <w:pStyle w:val="SingleTxtG"/>
        <w:rPr>
          <w:noProof/>
          <w:lang w:val="fr-FR"/>
        </w:rPr>
      </w:pPr>
      <w:r w:rsidRPr="00BB6F7D">
        <w:rPr>
          <w:noProof/>
          <w:lang w:val="fr-FR"/>
        </w:rPr>
        <w:t>94.</w:t>
      </w:r>
      <w:r w:rsidRPr="00BB6F7D">
        <w:rPr>
          <w:noProof/>
          <w:lang w:val="fr-FR"/>
        </w:rPr>
        <w:tab/>
      </w:r>
      <w:r>
        <w:rPr>
          <w:noProof/>
          <w:lang w:val="fr-FR"/>
        </w:rPr>
        <w:t xml:space="preserve">En décembre 2018, le Bureau du </w:t>
      </w:r>
      <w:r>
        <w:rPr>
          <w:i/>
          <w:noProof/>
          <w:lang w:val="fr-FR"/>
        </w:rPr>
        <w:t>Fiscal g</w:t>
      </w:r>
      <w:r w:rsidRPr="00476C7B">
        <w:rPr>
          <w:i/>
          <w:noProof/>
          <w:lang w:val="fr-FR"/>
        </w:rPr>
        <w:t>eneral</w:t>
      </w:r>
      <w:r>
        <w:rPr>
          <w:noProof/>
          <w:lang w:val="fr-FR"/>
        </w:rPr>
        <w:t xml:space="preserve"> de la République a lancé sa Politique de poursuite pénale des crimes de guerre et crimes contre l</w:t>
      </w:r>
      <w:r w:rsidR="002A5D78">
        <w:rPr>
          <w:noProof/>
          <w:lang w:val="fr-FR"/>
        </w:rPr>
        <w:t>’</w:t>
      </w:r>
      <w:r>
        <w:rPr>
          <w:noProof/>
          <w:lang w:val="fr-FR"/>
        </w:rPr>
        <w:t>humanité commis dans le contexte du conflit armé en El Salvador. Cette politique tient compte des facteurs systémiques qui ont facilité la commission de graves violations des droits de l</w:t>
      </w:r>
      <w:r w:rsidR="002A5D78">
        <w:rPr>
          <w:noProof/>
          <w:lang w:val="fr-FR"/>
        </w:rPr>
        <w:t>’</w:t>
      </w:r>
      <w:r>
        <w:rPr>
          <w:noProof/>
          <w:lang w:val="fr-FR"/>
        </w:rPr>
        <w:t>homme et de la complexité de ces facteurs. Elle est axée sur la prise en charge des victimes, la lutte contre l</w:t>
      </w:r>
      <w:r w:rsidR="002A5D78">
        <w:rPr>
          <w:noProof/>
          <w:lang w:val="fr-FR"/>
        </w:rPr>
        <w:t>’</w:t>
      </w:r>
      <w:r>
        <w:rPr>
          <w:noProof/>
          <w:lang w:val="fr-FR"/>
        </w:rPr>
        <w:t>impunité et le respect sans condition des droits de l</w:t>
      </w:r>
      <w:r w:rsidR="002A5D78">
        <w:rPr>
          <w:noProof/>
          <w:lang w:val="fr-FR"/>
        </w:rPr>
        <w:t>’</w:t>
      </w:r>
      <w:r>
        <w:rPr>
          <w:noProof/>
          <w:lang w:val="fr-FR"/>
        </w:rPr>
        <w:t>homme et s</w:t>
      </w:r>
      <w:r w:rsidR="002A5D78">
        <w:rPr>
          <w:noProof/>
          <w:lang w:val="fr-FR"/>
        </w:rPr>
        <w:t>’</w:t>
      </w:r>
      <w:r>
        <w:rPr>
          <w:noProof/>
          <w:lang w:val="fr-FR"/>
        </w:rPr>
        <w:t>appuie sur une conception transversale du genre, en ce qu</w:t>
      </w:r>
      <w:r w:rsidR="002A5D78">
        <w:rPr>
          <w:noProof/>
          <w:lang w:val="fr-FR"/>
        </w:rPr>
        <w:t>’</w:t>
      </w:r>
      <w:r>
        <w:rPr>
          <w:noProof/>
          <w:lang w:val="fr-FR"/>
        </w:rPr>
        <w:t>elle considère que la violence de genre a pu être un des mobiles des campagnes de répression menées pendant le conflit interne armé. Elle est également inspirée par les principes de diligence voulue, de participation des victimes, de leur famille et de leurs représentants aux investigations pénales, de non-revictimisation et d</w:t>
      </w:r>
      <w:r w:rsidR="002A5D78">
        <w:rPr>
          <w:noProof/>
          <w:lang w:val="fr-FR"/>
        </w:rPr>
        <w:t>’</w:t>
      </w:r>
      <w:r>
        <w:rPr>
          <w:noProof/>
          <w:lang w:val="fr-FR"/>
        </w:rPr>
        <w:t>application du droit international des droits de l</w:t>
      </w:r>
      <w:r w:rsidR="002A5D78">
        <w:rPr>
          <w:noProof/>
          <w:lang w:val="fr-FR"/>
        </w:rPr>
        <w:t>’</w:t>
      </w:r>
      <w:r>
        <w:rPr>
          <w:noProof/>
          <w:lang w:val="fr-FR"/>
        </w:rPr>
        <w:t>homme et du droit international humanitaire.</w:t>
      </w:r>
    </w:p>
    <w:p w14:paraId="5A2C4D18" w14:textId="77777777" w:rsidR="00B51FCF" w:rsidRDefault="00B51FCF" w:rsidP="00B51FCF">
      <w:pPr>
        <w:pStyle w:val="SingleTxtG"/>
        <w:rPr>
          <w:noProof/>
          <w:lang w:val="fr-FR"/>
        </w:rPr>
      </w:pPr>
      <w:r w:rsidRPr="00BB6F7D">
        <w:rPr>
          <w:noProof/>
          <w:lang w:val="fr-FR"/>
        </w:rPr>
        <w:t>95.</w:t>
      </w:r>
      <w:r w:rsidRPr="00BB6F7D">
        <w:rPr>
          <w:noProof/>
          <w:lang w:val="fr-FR"/>
        </w:rPr>
        <w:tab/>
      </w:r>
      <w:r>
        <w:rPr>
          <w:noProof/>
          <w:lang w:val="fr-FR"/>
        </w:rPr>
        <w:t>Dans sa déclaration d</w:t>
      </w:r>
      <w:r w:rsidR="002A5D78">
        <w:rPr>
          <w:noProof/>
          <w:lang w:val="fr-FR"/>
        </w:rPr>
        <w:t>’</w:t>
      </w:r>
      <w:r>
        <w:rPr>
          <w:noProof/>
          <w:lang w:val="fr-FR"/>
        </w:rPr>
        <w:t>inconstitutionnalité de la loi d</w:t>
      </w:r>
      <w:r w:rsidR="002A5D78">
        <w:rPr>
          <w:noProof/>
          <w:lang w:val="fr-FR"/>
        </w:rPr>
        <w:t>’</w:t>
      </w:r>
      <w:r>
        <w:rPr>
          <w:noProof/>
          <w:lang w:val="fr-FR"/>
        </w:rPr>
        <w:t>amnistie générale pour la consolidation de la paix, la Chambre constitutionnelle avait ordonné d</w:t>
      </w:r>
      <w:r w:rsidR="002A5D78">
        <w:rPr>
          <w:noProof/>
          <w:lang w:val="fr-FR"/>
        </w:rPr>
        <w:t>’</w:t>
      </w:r>
      <w:r>
        <w:rPr>
          <w:noProof/>
          <w:lang w:val="fr-FR"/>
        </w:rPr>
        <w:t>adopter les textes nécessaires à son application, ce qui n</w:t>
      </w:r>
      <w:r w:rsidR="002A5D78">
        <w:rPr>
          <w:noProof/>
          <w:lang w:val="fr-FR"/>
        </w:rPr>
        <w:t>’</w:t>
      </w:r>
      <w:r>
        <w:rPr>
          <w:noProof/>
          <w:lang w:val="fr-FR"/>
        </w:rPr>
        <w:t>a pas encore été fait. L</w:t>
      </w:r>
      <w:r w:rsidR="002A5D78">
        <w:rPr>
          <w:noProof/>
          <w:lang w:val="fr-FR"/>
        </w:rPr>
        <w:t>’</w:t>
      </w:r>
      <w:r>
        <w:rPr>
          <w:noProof/>
          <w:lang w:val="fr-FR"/>
        </w:rPr>
        <w:t>Assemblée législative s</w:t>
      </w:r>
      <w:r w:rsidR="002A5D78">
        <w:rPr>
          <w:noProof/>
          <w:lang w:val="fr-FR"/>
        </w:rPr>
        <w:t>’</w:t>
      </w:r>
      <w:r>
        <w:rPr>
          <w:noProof/>
          <w:lang w:val="fr-FR"/>
        </w:rPr>
        <w:t>emploie actuellement à élaborer la législation correspondante, qui doit satisfaire aux critères retenus par la Chambre constitutionnelle dans la déclaration en question.</w:t>
      </w:r>
    </w:p>
    <w:p w14:paraId="709681CF" w14:textId="77777777" w:rsidR="00B51FCF" w:rsidRPr="00AC263A" w:rsidRDefault="00B51FCF" w:rsidP="00B51FCF">
      <w:pPr>
        <w:pStyle w:val="H23G"/>
        <w:rPr>
          <w:noProof/>
          <w:u w:color="000000"/>
          <w:lang w:val="fr-FR"/>
        </w:rPr>
      </w:pPr>
      <w:bookmarkStart w:id="13" w:name="_Toc5"/>
      <w:r>
        <w:rPr>
          <w:u w:color="000000"/>
          <w:lang w:val="es-SV"/>
        </w:rPr>
        <w:tab/>
      </w:r>
      <w:r>
        <w:rPr>
          <w:u w:color="000000"/>
          <w:lang w:val="es-SV"/>
        </w:rPr>
        <w:tab/>
      </w:r>
      <w:r w:rsidRPr="00AC263A">
        <w:rPr>
          <w:noProof/>
          <w:u w:color="000000"/>
          <w:lang w:val="fr-FR"/>
        </w:rPr>
        <w:t>Art</w:t>
      </w:r>
      <w:r>
        <w:rPr>
          <w:noProof/>
          <w:u w:color="000000"/>
          <w:lang w:val="fr-FR"/>
        </w:rPr>
        <w:t>icle</w:t>
      </w:r>
      <w:r w:rsidRPr="00AC263A">
        <w:rPr>
          <w:noProof/>
          <w:u w:color="000000"/>
          <w:lang w:val="fr-FR"/>
        </w:rPr>
        <w:t xml:space="preserve"> 14</w:t>
      </w:r>
      <w:bookmarkEnd w:id="13"/>
    </w:p>
    <w:p w14:paraId="58FED836" w14:textId="77777777" w:rsidR="00B51FCF" w:rsidRDefault="00B51FCF" w:rsidP="00B51FCF">
      <w:pPr>
        <w:pStyle w:val="SingleTxtG"/>
        <w:rPr>
          <w:noProof/>
          <w:lang w:val="fr-FR"/>
        </w:rPr>
      </w:pPr>
      <w:r w:rsidRPr="00AC263A">
        <w:rPr>
          <w:noProof/>
          <w:lang w:val="fr-FR"/>
        </w:rPr>
        <w:t>96.</w:t>
      </w:r>
      <w:r w:rsidRPr="00AC263A">
        <w:rPr>
          <w:noProof/>
          <w:lang w:val="fr-FR"/>
        </w:rPr>
        <w:tab/>
      </w:r>
      <w:r>
        <w:rPr>
          <w:noProof/>
          <w:lang w:val="fr-FR"/>
        </w:rPr>
        <w:t>Le décret exécutif n</w:t>
      </w:r>
      <w:r w:rsidRPr="00AC263A">
        <w:rPr>
          <w:noProof/>
          <w:vertAlign w:val="superscript"/>
          <w:lang w:val="fr-FR"/>
        </w:rPr>
        <w:t>o</w:t>
      </w:r>
      <w:r w:rsidR="00592B52">
        <w:rPr>
          <w:noProof/>
          <w:lang w:val="fr-FR"/>
        </w:rPr>
        <w:t> </w:t>
      </w:r>
      <w:r>
        <w:rPr>
          <w:noProof/>
          <w:lang w:val="fr-FR"/>
        </w:rPr>
        <w:t>204 d</w:t>
      </w:r>
      <w:r w:rsidR="002A5D78">
        <w:rPr>
          <w:noProof/>
          <w:lang w:val="fr-FR"/>
        </w:rPr>
        <w:t>’</w:t>
      </w:r>
      <w:r>
        <w:rPr>
          <w:noProof/>
          <w:lang w:val="fr-FR"/>
        </w:rPr>
        <w:t>octobre 2013 portait création d</w:t>
      </w:r>
      <w:r w:rsidR="002A5D78">
        <w:rPr>
          <w:noProof/>
          <w:lang w:val="fr-FR"/>
        </w:rPr>
        <w:t>’</w:t>
      </w:r>
      <w:r>
        <w:rPr>
          <w:noProof/>
          <w:lang w:val="fr-FR"/>
        </w:rPr>
        <w:t xml:space="preserve">un programme </w:t>
      </w:r>
      <w:r w:rsidRPr="00C020B5">
        <w:rPr>
          <w:noProof/>
          <w:lang w:val="fr-FR"/>
        </w:rPr>
        <w:t>de réparation en faveur des victimes de violations graves des droits de l</w:t>
      </w:r>
      <w:r w:rsidR="002A5D78">
        <w:rPr>
          <w:noProof/>
          <w:lang w:val="fr-FR"/>
        </w:rPr>
        <w:t>’</w:t>
      </w:r>
      <w:r w:rsidRPr="00C020B5">
        <w:rPr>
          <w:noProof/>
          <w:lang w:val="fr-FR"/>
        </w:rPr>
        <w:t>homme commises dans le cadre du conflit armé interne</w:t>
      </w:r>
      <w:r>
        <w:rPr>
          <w:noProof/>
          <w:lang w:val="fr-FR"/>
        </w:rPr>
        <w:t>, qui a pour objectif de mettre divers mécanismes de réparation au service de ces victimes. Les faits de torture et les violences sexuelles contre les femmes figurent au nombre des violations graves ouvrant droit à réparation. Les réparations envisagées peuvent prendre la forme de mesures de réadaptation, d</w:t>
      </w:r>
      <w:r w:rsidR="002A5D78">
        <w:rPr>
          <w:noProof/>
          <w:lang w:val="fr-FR"/>
        </w:rPr>
        <w:t>’</w:t>
      </w:r>
      <w:r>
        <w:rPr>
          <w:noProof/>
          <w:lang w:val="fr-FR"/>
        </w:rPr>
        <w:t>indemnisation, d</w:t>
      </w:r>
      <w:r w:rsidR="002A5D78">
        <w:rPr>
          <w:noProof/>
          <w:lang w:val="fr-FR"/>
        </w:rPr>
        <w:t>’</w:t>
      </w:r>
      <w:r>
        <w:rPr>
          <w:noProof/>
          <w:lang w:val="fr-FR"/>
        </w:rPr>
        <w:t>hommage à la mémoire des victimes et de garanties de non-répétition des faits. À ce jour, 4</w:t>
      </w:r>
      <w:r w:rsidR="00592B52">
        <w:rPr>
          <w:noProof/>
          <w:lang w:val="fr-FR"/>
        </w:rPr>
        <w:t> </w:t>
      </w:r>
      <w:r>
        <w:rPr>
          <w:noProof/>
          <w:lang w:val="fr-FR"/>
        </w:rPr>
        <w:t>462 personnes inscrites au Registre des victimes bénéficient des différentes mesures de réparation instituées par ce programme, y compris le versement d</w:t>
      </w:r>
      <w:r w:rsidR="002A5D78">
        <w:rPr>
          <w:noProof/>
          <w:lang w:val="fr-FR"/>
        </w:rPr>
        <w:t>’</w:t>
      </w:r>
      <w:r>
        <w:rPr>
          <w:noProof/>
          <w:lang w:val="fr-FR"/>
        </w:rPr>
        <w:t>une indemnité sous forme de virements de fonds périodiques.</w:t>
      </w:r>
    </w:p>
    <w:p w14:paraId="43B96CC1" w14:textId="77777777" w:rsidR="00B51FCF" w:rsidRDefault="00B51FCF" w:rsidP="00B51FCF">
      <w:pPr>
        <w:pStyle w:val="SingleTxtG"/>
        <w:rPr>
          <w:noProof/>
          <w:lang w:val="fr-FR"/>
        </w:rPr>
      </w:pPr>
      <w:r w:rsidRPr="00AC263A">
        <w:rPr>
          <w:noProof/>
          <w:lang w:val="fr-FR"/>
        </w:rPr>
        <w:lastRenderedPageBreak/>
        <w:t>97.</w:t>
      </w:r>
      <w:r w:rsidRPr="00AC263A">
        <w:rPr>
          <w:noProof/>
          <w:lang w:val="fr-FR"/>
        </w:rPr>
        <w:tab/>
      </w:r>
      <w:r>
        <w:rPr>
          <w:noProof/>
          <w:lang w:val="fr-FR"/>
        </w:rPr>
        <w:t>Le nombre de ces bénéficiaires augmente progressivement du fait que le Registre des victimes, constitué en 2012 et 2013, restera ouvert à de nouvelles inscriptions jusqu</w:t>
      </w:r>
      <w:r w:rsidR="002A5D78">
        <w:rPr>
          <w:noProof/>
          <w:lang w:val="fr-FR"/>
        </w:rPr>
        <w:t>’</w:t>
      </w:r>
      <w:r>
        <w:rPr>
          <w:noProof/>
          <w:lang w:val="fr-FR"/>
        </w:rPr>
        <w:t>à ce que l</w:t>
      </w:r>
      <w:r w:rsidR="002A5D78">
        <w:rPr>
          <w:noProof/>
          <w:lang w:val="fr-FR"/>
        </w:rPr>
        <w:t>’</w:t>
      </w:r>
      <w:r>
        <w:rPr>
          <w:noProof/>
          <w:lang w:val="fr-FR"/>
        </w:rPr>
        <w:t>on soit parvenu à identifier l</w:t>
      </w:r>
      <w:r w:rsidR="002A5D78">
        <w:rPr>
          <w:noProof/>
          <w:lang w:val="fr-FR"/>
        </w:rPr>
        <w:t>’</w:t>
      </w:r>
      <w:r>
        <w:rPr>
          <w:noProof/>
          <w:lang w:val="fr-FR"/>
        </w:rPr>
        <w:t>ensemble des victimes. Le Registre est administré par un conseil de direction qui comprend des représentants du Secrétariat à l</w:t>
      </w:r>
      <w:r w:rsidR="002A5D78">
        <w:rPr>
          <w:noProof/>
          <w:lang w:val="fr-FR"/>
        </w:rPr>
        <w:t>’</w:t>
      </w:r>
      <w:r>
        <w:rPr>
          <w:noProof/>
          <w:lang w:val="fr-FR"/>
        </w:rPr>
        <w:t>inclusion sociale, lequel est chargé de sa coordination, du Ministère des relations extérieures et de la Direction générale de la satistique et du recensement, auxquels s</w:t>
      </w:r>
      <w:r w:rsidR="002A5D78">
        <w:rPr>
          <w:noProof/>
          <w:lang w:val="fr-FR"/>
        </w:rPr>
        <w:t>’</w:t>
      </w:r>
      <w:r>
        <w:rPr>
          <w:noProof/>
          <w:lang w:val="fr-FR"/>
        </w:rPr>
        <w:t xml:space="preserve">ajoutent des représentants des associations de victimes désignés par un mécanisme électoral à large participation. Le Bureau du Procureur </w:t>
      </w:r>
      <w:r w:rsidRPr="00F0222E">
        <w:rPr>
          <w:noProof/>
          <w:lang w:val="fr-FR"/>
        </w:rPr>
        <w:t>pour la défense des droits de l</w:t>
      </w:r>
      <w:r w:rsidR="002A5D78">
        <w:rPr>
          <w:noProof/>
          <w:lang w:val="fr-FR"/>
        </w:rPr>
        <w:t>’</w:t>
      </w:r>
      <w:r w:rsidRPr="00F0222E">
        <w:rPr>
          <w:noProof/>
          <w:lang w:val="fr-FR"/>
        </w:rPr>
        <w:t>homme</w:t>
      </w:r>
      <w:r>
        <w:rPr>
          <w:noProof/>
          <w:lang w:val="fr-FR"/>
        </w:rPr>
        <w:t xml:space="preserve"> participe à ses travaux en qualité d</w:t>
      </w:r>
      <w:r w:rsidR="002A5D78">
        <w:rPr>
          <w:noProof/>
          <w:lang w:val="fr-FR"/>
        </w:rPr>
        <w:t>’</w:t>
      </w:r>
      <w:r>
        <w:rPr>
          <w:noProof/>
          <w:lang w:val="fr-FR"/>
        </w:rPr>
        <w:t xml:space="preserve">observateur. </w:t>
      </w:r>
    </w:p>
    <w:p w14:paraId="3B8DF97C" w14:textId="77777777" w:rsidR="00B51FCF" w:rsidRPr="00AC263A" w:rsidRDefault="00B51FCF" w:rsidP="00B51FCF">
      <w:pPr>
        <w:pStyle w:val="H23G"/>
        <w:rPr>
          <w:noProof/>
          <w:u w:color="000000"/>
          <w:lang w:val="fr-FR"/>
        </w:rPr>
      </w:pPr>
      <w:bookmarkStart w:id="14" w:name="_Toc6"/>
      <w:r w:rsidRPr="00AC263A">
        <w:rPr>
          <w:noProof/>
          <w:u w:color="000000"/>
          <w:lang w:val="fr-FR"/>
        </w:rPr>
        <w:tab/>
      </w:r>
      <w:r w:rsidRPr="00AC263A">
        <w:rPr>
          <w:noProof/>
          <w:u w:color="000000"/>
          <w:lang w:val="fr-FR"/>
        </w:rPr>
        <w:tab/>
        <w:t>Art</w:t>
      </w:r>
      <w:r>
        <w:rPr>
          <w:noProof/>
          <w:u w:color="000000"/>
          <w:lang w:val="fr-FR"/>
        </w:rPr>
        <w:t>icle</w:t>
      </w:r>
      <w:r w:rsidRPr="00AC263A">
        <w:rPr>
          <w:noProof/>
          <w:u w:color="000000"/>
          <w:lang w:val="fr-FR"/>
        </w:rPr>
        <w:t xml:space="preserve"> 15</w:t>
      </w:r>
      <w:bookmarkEnd w:id="14"/>
    </w:p>
    <w:p w14:paraId="50A8EDED" w14:textId="77777777" w:rsidR="00B51FCF" w:rsidRDefault="00B51FCF" w:rsidP="00B51FCF">
      <w:pPr>
        <w:pStyle w:val="SingleTxtG"/>
        <w:rPr>
          <w:noProof/>
          <w:lang w:val="fr-FR"/>
        </w:rPr>
      </w:pPr>
      <w:r w:rsidRPr="00AC263A">
        <w:rPr>
          <w:noProof/>
          <w:lang w:val="fr-FR"/>
        </w:rPr>
        <w:t>98.</w:t>
      </w:r>
      <w:r w:rsidRPr="00AC263A">
        <w:rPr>
          <w:noProof/>
          <w:lang w:val="fr-FR"/>
        </w:rPr>
        <w:tab/>
      </w:r>
      <w:r>
        <w:rPr>
          <w:noProof/>
          <w:lang w:val="fr-FR"/>
        </w:rPr>
        <w:t>En ce qui concerne les aveux et autres déclarations obtenus sous la contrainte, le Code de procédure pénale en vigueur depuis 2009 règle les droits du mis en cause, les modalités de l</w:t>
      </w:r>
      <w:r w:rsidR="002A5D78">
        <w:rPr>
          <w:noProof/>
          <w:lang w:val="fr-FR"/>
        </w:rPr>
        <w:t>’</w:t>
      </w:r>
      <w:r>
        <w:rPr>
          <w:noProof/>
          <w:lang w:val="fr-FR"/>
        </w:rPr>
        <w:t>interrogatoire, la déclaration sur les faits, les méthodes interdites pour obtenir une déclaration, la légalité de la preuve, etc. Les aveux obtenus sous la contrainte sont réputés attenter aux droits et aux garanties fondamentales du mis en cause, entraînent la nullité absolue de la procédure et peuvent être dénoncés au juge même qui est saisi de l</w:t>
      </w:r>
      <w:r w:rsidR="002A5D78">
        <w:rPr>
          <w:noProof/>
          <w:lang w:val="fr-FR"/>
        </w:rPr>
        <w:t>’</w:t>
      </w:r>
      <w:r>
        <w:rPr>
          <w:noProof/>
          <w:lang w:val="fr-FR"/>
        </w:rPr>
        <w:t xml:space="preserve">affaire. Le mis en cause peut également former des recours en </w:t>
      </w:r>
      <w:r w:rsidRPr="00A4162B">
        <w:rPr>
          <w:i/>
          <w:noProof/>
          <w:lang w:val="fr-FR"/>
        </w:rPr>
        <w:t>habeas corpus</w:t>
      </w:r>
      <w:r>
        <w:rPr>
          <w:noProof/>
          <w:lang w:val="fr-FR"/>
        </w:rPr>
        <w:t xml:space="preserve"> ou en </w:t>
      </w:r>
      <w:r w:rsidRPr="00A4162B">
        <w:rPr>
          <w:i/>
          <w:noProof/>
          <w:lang w:val="fr-FR"/>
        </w:rPr>
        <w:t xml:space="preserve">amparo </w:t>
      </w:r>
      <w:r>
        <w:rPr>
          <w:noProof/>
          <w:lang w:val="fr-FR"/>
        </w:rPr>
        <w:t xml:space="preserve">qui permettront de décider si les faits dénoncés constituent une atteinte illégale à ses droits et, éventuellement, de rétablir ces droits. </w:t>
      </w:r>
    </w:p>
    <w:p w14:paraId="7BBC7BCE" w14:textId="77777777" w:rsidR="00B51FCF" w:rsidRPr="00AC263A" w:rsidRDefault="00B51FCF" w:rsidP="00B51FCF">
      <w:pPr>
        <w:pStyle w:val="H23G"/>
        <w:rPr>
          <w:noProof/>
          <w:lang w:val="fr-FR"/>
        </w:rPr>
      </w:pPr>
      <w:r w:rsidRPr="00AC263A">
        <w:rPr>
          <w:noProof/>
          <w:lang w:val="fr-FR"/>
        </w:rPr>
        <w:tab/>
      </w:r>
      <w:r w:rsidRPr="00AC263A">
        <w:rPr>
          <w:noProof/>
          <w:lang w:val="fr-FR"/>
        </w:rPr>
        <w:tab/>
        <w:t>Art</w:t>
      </w:r>
      <w:r>
        <w:rPr>
          <w:noProof/>
          <w:lang w:val="fr-FR"/>
        </w:rPr>
        <w:t>icle</w:t>
      </w:r>
      <w:r w:rsidRPr="00AC263A">
        <w:rPr>
          <w:noProof/>
          <w:lang w:val="fr-FR"/>
        </w:rPr>
        <w:t xml:space="preserve"> 16</w:t>
      </w:r>
    </w:p>
    <w:p w14:paraId="08E67E75" w14:textId="77777777" w:rsidR="00B51FCF" w:rsidRDefault="00B51FCF" w:rsidP="00B51FCF">
      <w:pPr>
        <w:pStyle w:val="SingleTxtG"/>
        <w:rPr>
          <w:noProof/>
          <w:lang w:val="fr-FR"/>
        </w:rPr>
      </w:pPr>
      <w:r w:rsidRPr="00AC263A">
        <w:rPr>
          <w:noProof/>
          <w:lang w:val="fr-FR"/>
        </w:rPr>
        <w:t>99.</w:t>
      </w:r>
      <w:r w:rsidRPr="00AC263A">
        <w:rPr>
          <w:noProof/>
          <w:lang w:val="fr-FR"/>
        </w:rPr>
        <w:tab/>
      </w:r>
      <w:r>
        <w:rPr>
          <w:noProof/>
          <w:lang w:val="fr-FR"/>
        </w:rPr>
        <w:t xml:space="preserve">Créée en 2010 par décret exécutif, la </w:t>
      </w:r>
      <w:r w:rsidRPr="00D51D8C">
        <w:rPr>
          <w:noProof/>
          <w:lang w:val="fr-FR"/>
        </w:rPr>
        <w:t>Commission nationale pour la recherche des enfants disparus pendant le conflit armé interne</w:t>
      </w:r>
      <w:r>
        <w:rPr>
          <w:noProof/>
          <w:lang w:val="fr-FR"/>
        </w:rPr>
        <w:t xml:space="preserve"> est chargée de procéder à des enquêtes sur les disparitions d</w:t>
      </w:r>
      <w:r w:rsidR="002A5D78">
        <w:rPr>
          <w:noProof/>
          <w:lang w:val="fr-FR"/>
        </w:rPr>
        <w:t>’</w:t>
      </w:r>
      <w:r>
        <w:rPr>
          <w:noProof/>
          <w:lang w:val="fr-FR"/>
        </w:rPr>
        <w:t xml:space="preserve">enfants pendant le conflit armé, de localiser les enfants </w:t>
      </w:r>
      <w:r w:rsidR="00592B52">
        <w:rPr>
          <w:noProof/>
          <w:lang w:val="fr-FR"/>
        </w:rPr>
        <w:t>−</w:t>
      </w:r>
      <w:r>
        <w:rPr>
          <w:noProof/>
          <w:lang w:val="fr-FR"/>
        </w:rPr>
        <w:t xml:space="preserve"> aujourd</w:t>
      </w:r>
      <w:r w:rsidR="002A5D78">
        <w:rPr>
          <w:noProof/>
          <w:lang w:val="fr-FR"/>
        </w:rPr>
        <w:t>’</w:t>
      </w:r>
      <w:r>
        <w:rPr>
          <w:noProof/>
          <w:lang w:val="fr-FR"/>
        </w:rPr>
        <w:t xml:space="preserve">hui adultes </w:t>
      </w:r>
      <w:r w:rsidR="00592B52">
        <w:rPr>
          <w:noProof/>
          <w:lang w:val="fr-FR"/>
        </w:rPr>
        <w:t>−</w:t>
      </w:r>
      <w:r>
        <w:rPr>
          <w:noProof/>
          <w:lang w:val="fr-FR"/>
        </w:rPr>
        <w:t xml:space="preserve"> ainsi disparus et de les réunir avec leurs parents biologiques ; elle apporte également un soutien psychologique et social aux familles victimes de disparition forcée de l</w:t>
      </w:r>
      <w:r w:rsidR="002A5D78">
        <w:rPr>
          <w:noProof/>
          <w:lang w:val="fr-FR"/>
        </w:rPr>
        <w:t>’</w:t>
      </w:r>
      <w:r>
        <w:rPr>
          <w:noProof/>
          <w:lang w:val="fr-FR"/>
        </w:rPr>
        <w:t>un des leurs. La Commission nationale est composée de trois commissaires, dont l</w:t>
      </w:r>
      <w:r w:rsidR="002A5D78">
        <w:rPr>
          <w:noProof/>
          <w:lang w:val="fr-FR"/>
        </w:rPr>
        <w:t>’</w:t>
      </w:r>
      <w:r>
        <w:rPr>
          <w:noProof/>
          <w:lang w:val="fr-FR"/>
        </w:rPr>
        <w:t>un est proposé par les organisations représentatives des victimes du conflit armé, et elle est présidée par le Procureur pour la défense des droits de l</w:t>
      </w:r>
      <w:r w:rsidR="002A5D78">
        <w:rPr>
          <w:noProof/>
          <w:lang w:val="fr-FR"/>
        </w:rPr>
        <w:t>’</w:t>
      </w:r>
      <w:r>
        <w:rPr>
          <w:noProof/>
          <w:lang w:val="fr-FR"/>
        </w:rPr>
        <w:t>homme. Elle a d</w:t>
      </w:r>
      <w:r w:rsidR="002A5D78">
        <w:rPr>
          <w:noProof/>
          <w:lang w:val="fr-FR"/>
        </w:rPr>
        <w:t>’</w:t>
      </w:r>
      <w:r>
        <w:rPr>
          <w:noProof/>
          <w:lang w:val="fr-FR"/>
        </w:rPr>
        <w:t>autres missions, parmi lesquelles celles de promouvoir le droit des victimes à la vérité ; de veiller à la sauvegarde et à la défense de leur droit à l</w:t>
      </w:r>
      <w:r w:rsidR="002A5D78">
        <w:rPr>
          <w:noProof/>
          <w:lang w:val="fr-FR"/>
        </w:rPr>
        <w:t>’</w:t>
      </w:r>
      <w:r>
        <w:rPr>
          <w:noProof/>
          <w:lang w:val="fr-FR"/>
        </w:rPr>
        <w:t>identité ; de promouvoir la restauration des rapports familiaux entre les victimes de disparition et leur parentèle biologique ; d</w:t>
      </w:r>
      <w:r w:rsidR="002A5D78">
        <w:rPr>
          <w:noProof/>
          <w:lang w:val="fr-FR"/>
        </w:rPr>
        <w:t>’</w:t>
      </w:r>
      <w:r>
        <w:rPr>
          <w:noProof/>
          <w:lang w:val="fr-FR"/>
        </w:rPr>
        <w:t>organiser des campagnes nationales de sensibilisation ; et de promouvoir des actions éducatives sur les droits des victimes de la disparition d</w:t>
      </w:r>
      <w:r w:rsidR="002A5D78">
        <w:rPr>
          <w:noProof/>
          <w:lang w:val="fr-FR"/>
        </w:rPr>
        <w:t>’</w:t>
      </w:r>
      <w:r>
        <w:rPr>
          <w:noProof/>
          <w:lang w:val="fr-FR"/>
        </w:rPr>
        <w:t>enfants. Au mois de mai 2019, la Commission nationale avait enregistré 319 cas de disparition forcée d</w:t>
      </w:r>
      <w:r w:rsidR="002A5D78">
        <w:rPr>
          <w:noProof/>
          <w:lang w:val="fr-FR"/>
        </w:rPr>
        <w:t>’</w:t>
      </w:r>
      <w:r>
        <w:rPr>
          <w:noProof/>
          <w:lang w:val="fr-FR"/>
        </w:rPr>
        <w:t>enfant, dont 92 ont été élucidés.</w:t>
      </w:r>
    </w:p>
    <w:p w14:paraId="0D8E0248" w14:textId="77777777" w:rsidR="00B51FCF" w:rsidRDefault="00B51FCF" w:rsidP="00B51FCF">
      <w:pPr>
        <w:pStyle w:val="SingleTxtG"/>
        <w:rPr>
          <w:noProof/>
          <w:lang w:val="fr-FR"/>
        </w:rPr>
      </w:pPr>
      <w:r w:rsidRPr="00AC263A">
        <w:rPr>
          <w:noProof/>
          <w:lang w:val="fr-FR"/>
        </w:rPr>
        <w:t>100.</w:t>
      </w:r>
      <w:r w:rsidRPr="00AC263A">
        <w:rPr>
          <w:noProof/>
          <w:lang w:val="fr-FR"/>
        </w:rPr>
        <w:tab/>
      </w:r>
      <w:r>
        <w:rPr>
          <w:noProof/>
          <w:lang w:val="fr-FR"/>
        </w:rPr>
        <w:t xml:space="preserve">Créée elle aussi par décret exécutif, mais en 2017, la </w:t>
      </w:r>
      <w:r w:rsidRPr="00F33A53">
        <w:rPr>
          <w:noProof/>
          <w:lang w:val="fr-FR"/>
        </w:rPr>
        <w:t xml:space="preserve">Commission nationale pour la recherche des adultes disparus </w:t>
      </w:r>
      <w:r>
        <w:rPr>
          <w:noProof/>
          <w:lang w:val="fr-FR"/>
        </w:rPr>
        <w:t>dans le contexte du</w:t>
      </w:r>
      <w:r w:rsidRPr="00F33A53">
        <w:rPr>
          <w:noProof/>
          <w:lang w:val="fr-FR"/>
        </w:rPr>
        <w:t xml:space="preserve"> conflit armé en El Salvador</w:t>
      </w:r>
      <w:r>
        <w:rPr>
          <w:noProof/>
          <w:lang w:val="fr-FR"/>
        </w:rPr>
        <w:t xml:space="preserve"> (CONABUSQUEDA) est le fruit d</w:t>
      </w:r>
      <w:r w:rsidR="002A5D78">
        <w:rPr>
          <w:noProof/>
          <w:lang w:val="fr-FR"/>
        </w:rPr>
        <w:t>’</w:t>
      </w:r>
      <w:r>
        <w:rPr>
          <w:noProof/>
          <w:lang w:val="fr-FR"/>
        </w:rPr>
        <w:t>un travail mené en commun avec des organisations de la société civile représentatives des victimes du conflit armé interne. Elle est composée de trois commissaires désignés à l</w:t>
      </w:r>
      <w:r w:rsidR="002A5D78">
        <w:rPr>
          <w:noProof/>
          <w:lang w:val="fr-FR"/>
        </w:rPr>
        <w:t>’</w:t>
      </w:r>
      <w:r>
        <w:rPr>
          <w:noProof/>
          <w:lang w:val="fr-FR"/>
        </w:rPr>
        <w:t>issue d</w:t>
      </w:r>
      <w:r w:rsidR="002A5D78">
        <w:rPr>
          <w:noProof/>
          <w:lang w:val="fr-FR"/>
        </w:rPr>
        <w:t>’</w:t>
      </w:r>
      <w:r>
        <w:rPr>
          <w:noProof/>
          <w:lang w:val="fr-FR"/>
        </w:rPr>
        <w:t>un processus de sélection qui prévoit une large participation des associations de victimes. Les commissaires doivent remplir un certain nombre de conditions et notamment justifier d</w:t>
      </w:r>
      <w:r w:rsidR="002A5D78">
        <w:rPr>
          <w:noProof/>
          <w:lang w:val="fr-FR"/>
        </w:rPr>
        <w:t>’</w:t>
      </w:r>
      <w:r>
        <w:rPr>
          <w:noProof/>
          <w:lang w:val="fr-FR"/>
        </w:rPr>
        <w:t>une expérience de travail au contact des victimes et d</w:t>
      </w:r>
      <w:r w:rsidR="002A5D78">
        <w:rPr>
          <w:noProof/>
          <w:lang w:val="fr-FR"/>
        </w:rPr>
        <w:t>’</w:t>
      </w:r>
      <w:r>
        <w:rPr>
          <w:noProof/>
          <w:lang w:val="fr-FR"/>
        </w:rPr>
        <w:t>une bonne connaissance du phénomène des disparitions forcée en El Salvador. L</w:t>
      </w:r>
      <w:r w:rsidR="002A5D78">
        <w:rPr>
          <w:noProof/>
          <w:lang w:val="fr-FR"/>
        </w:rPr>
        <w:t>’</w:t>
      </w:r>
      <w:r>
        <w:rPr>
          <w:noProof/>
          <w:lang w:val="fr-FR"/>
        </w:rPr>
        <w:t>une et l</w:t>
      </w:r>
      <w:r w:rsidR="002A5D78">
        <w:rPr>
          <w:noProof/>
          <w:lang w:val="fr-FR"/>
        </w:rPr>
        <w:t>’</w:t>
      </w:r>
      <w:r>
        <w:rPr>
          <w:noProof/>
          <w:lang w:val="fr-FR"/>
        </w:rPr>
        <w:t>autre commission relèvent du Ministère des relations extérieures, mais elles conduisent leurs travaux en toute indépendance sur le double plan opérationnel et technique et disposent d</w:t>
      </w:r>
      <w:r w:rsidR="002A5D78">
        <w:rPr>
          <w:noProof/>
          <w:lang w:val="fr-FR"/>
        </w:rPr>
        <w:t>’</w:t>
      </w:r>
      <w:r>
        <w:rPr>
          <w:noProof/>
          <w:lang w:val="fr-FR"/>
        </w:rPr>
        <w:t>un budget propre.</w:t>
      </w:r>
    </w:p>
    <w:p w14:paraId="1BFA4B57" w14:textId="77777777" w:rsidR="00B51FCF" w:rsidRDefault="00B51FCF" w:rsidP="00B51FCF">
      <w:pPr>
        <w:pStyle w:val="SingleTxtG"/>
        <w:rPr>
          <w:noProof/>
          <w:lang w:val="fr-FR"/>
        </w:rPr>
      </w:pPr>
      <w:r w:rsidRPr="00AC263A">
        <w:rPr>
          <w:noProof/>
          <w:lang w:val="fr-FR"/>
        </w:rPr>
        <w:t>101.</w:t>
      </w:r>
      <w:r w:rsidRPr="00AC263A">
        <w:rPr>
          <w:noProof/>
          <w:lang w:val="fr-FR"/>
        </w:rPr>
        <w:tab/>
      </w:r>
      <w:r>
        <w:rPr>
          <w:noProof/>
          <w:lang w:val="fr-FR"/>
        </w:rPr>
        <w:t>En ce qui concerne la réparation du préjudice subi et l</w:t>
      </w:r>
      <w:r w:rsidR="002A5D78">
        <w:rPr>
          <w:noProof/>
          <w:lang w:val="fr-FR"/>
        </w:rPr>
        <w:t>’</w:t>
      </w:r>
      <w:r>
        <w:rPr>
          <w:noProof/>
          <w:lang w:val="fr-FR"/>
        </w:rPr>
        <w:t>indemnisation des victimes et de leur famille, le décret exécutif n</w:t>
      </w:r>
      <w:r w:rsidRPr="00AC263A">
        <w:rPr>
          <w:noProof/>
          <w:vertAlign w:val="superscript"/>
          <w:lang w:val="fr-FR"/>
        </w:rPr>
        <w:t>o</w:t>
      </w:r>
      <w:r w:rsidR="008C324A">
        <w:rPr>
          <w:noProof/>
          <w:lang w:val="fr-FR"/>
        </w:rPr>
        <w:t> </w:t>
      </w:r>
      <w:r>
        <w:rPr>
          <w:noProof/>
          <w:lang w:val="fr-FR"/>
        </w:rPr>
        <w:t xml:space="preserve">204 adopté en octobre 2013 a créé un programme </w:t>
      </w:r>
      <w:r w:rsidRPr="00C020B5">
        <w:rPr>
          <w:noProof/>
          <w:lang w:val="fr-FR"/>
        </w:rPr>
        <w:t>de réparation en faveur des victimes de violations graves des droits de l</w:t>
      </w:r>
      <w:r w:rsidR="002A5D78">
        <w:rPr>
          <w:noProof/>
          <w:lang w:val="fr-FR"/>
        </w:rPr>
        <w:t>’</w:t>
      </w:r>
      <w:r w:rsidRPr="00C020B5">
        <w:rPr>
          <w:noProof/>
          <w:lang w:val="fr-FR"/>
        </w:rPr>
        <w:t>homme commises dans le cadre du conflit armé</w:t>
      </w:r>
      <w:r>
        <w:rPr>
          <w:noProof/>
          <w:lang w:val="fr-FR"/>
        </w:rPr>
        <w:t xml:space="preserve"> interne qui envisage diverses mesures de réadaptation, d</w:t>
      </w:r>
      <w:r w:rsidR="002A5D78">
        <w:rPr>
          <w:noProof/>
          <w:lang w:val="fr-FR"/>
        </w:rPr>
        <w:t>’</w:t>
      </w:r>
      <w:r>
        <w:rPr>
          <w:noProof/>
          <w:lang w:val="fr-FR"/>
        </w:rPr>
        <w:t>indemnisation et d</w:t>
      </w:r>
      <w:r w:rsidR="002A5D78">
        <w:rPr>
          <w:noProof/>
          <w:lang w:val="fr-FR"/>
        </w:rPr>
        <w:t>’</w:t>
      </w:r>
      <w:r>
        <w:rPr>
          <w:noProof/>
          <w:lang w:val="fr-FR"/>
        </w:rPr>
        <w:t>hommage à la mémoire des disparus, ainsi que des garanties de non-répétition des faits. Le même décret impose des obligations spécifiques à diverses institutions du pouvoir exécutif, en fonction de leurs compétences respectives, dans les domaines de la santé, de l</w:t>
      </w:r>
      <w:r w:rsidR="002A5D78">
        <w:rPr>
          <w:noProof/>
          <w:lang w:val="fr-FR"/>
        </w:rPr>
        <w:t>’</w:t>
      </w:r>
      <w:r>
        <w:rPr>
          <w:noProof/>
          <w:lang w:val="fr-FR"/>
        </w:rPr>
        <w:t>éducation, de la mémoire historique et de la participation à la vie économique. Le projet d</w:t>
      </w:r>
      <w:r w:rsidR="002A5D78">
        <w:rPr>
          <w:noProof/>
          <w:lang w:val="fr-FR"/>
        </w:rPr>
        <w:t>’</w:t>
      </w:r>
      <w:r>
        <w:rPr>
          <w:noProof/>
          <w:lang w:val="fr-FR"/>
        </w:rPr>
        <w:t>indemnisation compris dans le programme de réparation est opérationnel et a commencé à verser une pension aux victimes à titre d</w:t>
      </w:r>
      <w:r w:rsidR="002A5D78">
        <w:rPr>
          <w:noProof/>
          <w:lang w:val="fr-FR"/>
        </w:rPr>
        <w:t>’</w:t>
      </w:r>
      <w:r>
        <w:rPr>
          <w:noProof/>
          <w:lang w:val="fr-FR"/>
        </w:rPr>
        <w:t>indemnité.</w:t>
      </w:r>
    </w:p>
    <w:p w14:paraId="6C291182" w14:textId="77777777" w:rsidR="00B51FCF" w:rsidRDefault="00B51FCF" w:rsidP="00B51FCF">
      <w:pPr>
        <w:pStyle w:val="SingleTxtG"/>
        <w:rPr>
          <w:noProof/>
          <w:lang w:val="fr-FR"/>
        </w:rPr>
      </w:pPr>
      <w:r w:rsidRPr="00AC263A">
        <w:rPr>
          <w:noProof/>
          <w:lang w:val="fr-FR"/>
        </w:rPr>
        <w:lastRenderedPageBreak/>
        <w:t>102.</w:t>
      </w:r>
      <w:r w:rsidRPr="00AC263A">
        <w:rPr>
          <w:noProof/>
          <w:lang w:val="fr-FR"/>
        </w:rPr>
        <w:tab/>
      </w:r>
      <w:r>
        <w:rPr>
          <w:noProof/>
          <w:lang w:val="fr-FR"/>
        </w:rPr>
        <w:t>Plusieurs autres mesures ont été adoptées en application du décret exécutif n</w:t>
      </w:r>
      <w:r w:rsidRPr="00AC263A">
        <w:rPr>
          <w:noProof/>
          <w:vertAlign w:val="superscript"/>
          <w:lang w:val="fr-FR"/>
        </w:rPr>
        <w:t>o</w:t>
      </w:r>
      <w:r w:rsidR="008C324A">
        <w:rPr>
          <w:noProof/>
          <w:lang w:val="fr-FR"/>
        </w:rPr>
        <w:t> </w:t>
      </w:r>
      <w:r>
        <w:rPr>
          <w:noProof/>
          <w:lang w:val="fr-FR"/>
        </w:rPr>
        <w:t>204, parmi lesquelles la publication d</w:t>
      </w:r>
      <w:r w:rsidR="002A5D78">
        <w:rPr>
          <w:noProof/>
          <w:lang w:val="fr-FR"/>
        </w:rPr>
        <w:t>’</w:t>
      </w:r>
      <w:r>
        <w:rPr>
          <w:noProof/>
          <w:lang w:val="fr-FR"/>
        </w:rPr>
        <w:t>une nouvelle édition du rapport intitulé « De la Locura a la Esperanza. La guerra de 12 años en El Salvador » (De la folie à l</w:t>
      </w:r>
      <w:r w:rsidR="002A5D78">
        <w:rPr>
          <w:noProof/>
          <w:lang w:val="fr-FR"/>
        </w:rPr>
        <w:t>’</w:t>
      </w:r>
      <w:r>
        <w:rPr>
          <w:noProof/>
          <w:lang w:val="fr-FR"/>
        </w:rPr>
        <w:t>espoir. La guerre de douze ans en El Salvador) issu des travaux de la Commission de la Vérité</w:t>
      </w:r>
      <w:r>
        <w:rPr>
          <w:rStyle w:val="Appelnotedebasdep"/>
          <w:noProof/>
          <w:lang w:val="fr-FR"/>
        </w:rPr>
        <w:footnoteReference w:id="22"/>
      </w:r>
      <w:r>
        <w:rPr>
          <w:noProof/>
          <w:lang w:val="fr-FR"/>
        </w:rPr>
        <w:t>. C</w:t>
      </w:r>
      <w:r w:rsidR="002A5D78">
        <w:rPr>
          <w:noProof/>
          <w:lang w:val="fr-FR"/>
        </w:rPr>
        <w:t>’</w:t>
      </w:r>
      <w:r>
        <w:rPr>
          <w:noProof/>
          <w:lang w:val="fr-FR"/>
        </w:rPr>
        <w:t>est encore ce décret qui a permis d</w:t>
      </w:r>
      <w:r w:rsidR="002A5D78">
        <w:rPr>
          <w:noProof/>
          <w:lang w:val="fr-FR"/>
        </w:rPr>
        <w:t>’</w:t>
      </w:r>
      <w:r>
        <w:rPr>
          <w:noProof/>
          <w:lang w:val="fr-FR"/>
        </w:rPr>
        <w:t>introduire la question de la mémoire historique dans la programmation de la Radio nationale et de la Télévision nationale d</w:t>
      </w:r>
      <w:r w:rsidR="002A5D78">
        <w:rPr>
          <w:noProof/>
          <w:lang w:val="fr-FR"/>
        </w:rPr>
        <w:t>’</w:t>
      </w:r>
      <w:r>
        <w:rPr>
          <w:noProof/>
          <w:lang w:val="fr-FR"/>
        </w:rPr>
        <w:t>El Salvador, avec l</w:t>
      </w:r>
      <w:r w:rsidR="002A5D78">
        <w:rPr>
          <w:noProof/>
          <w:lang w:val="fr-FR"/>
        </w:rPr>
        <w:t>’</w:t>
      </w:r>
      <w:r>
        <w:rPr>
          <w:noProof/>
          <w:lang w:val="fr-FR"/>
        </w:rPr>
        <w:t>émission « Memoria Viva » ; de son côté, le Secrétariat à la culture de la Présidence de la République a organisé la sélection et l</w:t>
      </w:r>
      <w:r w:rsidR="002A5D78">
        <w:rPr>
          <w:noProof/>
          <w:lang w:val="fr-FR"/>
        </w:rPr>
        <w:t>’</w:t>
      </w:r>
      <w:r>
        <w:rPr>
          <w:noProof/>
          <w:lang w:val="fr-FR"/>
        </w:rPr>
        <w:t>inscription au Registre des biens culturels de certains immeubles présentant une importance particulière pour la mémoire historique de faits constitutifs de violations graves des droits de l</w:t>
      </w:r>
      <w:r w:rsidR="002A5D78">
        <w:rPr>
          <w:noProof/>
          <w:lang w:val="fr-FR"/>
        </w:rPr>
        <w:t>’</w:t>
      </w:r>
      <w:r>
        <w:rPr>
          <w:noProof/>
          <w:lang w:val="fr-FR"/>
        </w:rPr>
        <w:t xml:space="preserve">homme et, en collaboration avec les associations représentatives des victimes, elle les a fait déclarer monuments historiques. </w:t>
      </w:r>
    </w:p>
    <w:p w14:paraId="7E919E4F" w14:textId="77777777" w:rsidR="00B51FCF" w:rsidRDefault="00B51FCF" w:rsidP="00B51FCF">
      <w:pPr>
        <w:pStyle w:val="SingleTxtG"/>
        <w:rPr>
          <w:noProof/>
          <w:lang w:val="fr-FR"/>
        </w:rPr>
      </w:pPr>
      <w:r w:rsidRPr="00AC263A">
        <w:rPr>
          <w:noProof/>
          <w:lang w:val="fr-FR"/>
        </w:rPr>
        <w:t>103.</w:t>
      </w:r>
      <w:r w:rsidRPr="00AC263A">
        <w:rPr>
          <w:noProof/>
          <w:lang w:val="fr-FR"/>
        </w:rPr>
        <w:tab/>
      </w:r>
      <w:r>
        <w:rPr>
          <w:noProof/>
          <w:lang w:val="fr-FR"/>
        </w:rPr>
        <w:t xml:space="preserve">En ce qui concerne les mesures visant </w:t>
      </w:r>
      <w:r w:rsidR="008C324A">
        <w:rPr>
          <w:noProof/>
          <w:lang w:val="fr-FR"/>
        </w:rPr>
        <w:t xml:space="preserve">à </w:t>
      </w:r>
      <w:r>
        <w:rPr>
          <w:noProof/>
          <w:lang w:val="fr-FR"/>
        </w:rPr>
        <w:t>interdire les châtiments corporels dans la famille, le Conseil national de l</w:t>
      </w:r>
      <w:r w:rsidR="002A5D78">
        <w:rPr>
          <w:noProof/>
          <w:lang w:val="fr-FR"/>
        </w:rPr>
        <w:t>’</w:t>
      </w:r>
      <w:r>
        <w:rPr>
          <w:noProof/>
          <w:lang w:val="fr-FR"/>
        </w:rPr>
        <w:t>enfance et de l</w:t>
      </w:r>
      <w:r w:rsidR="002A5D78">
        <w:rPr>
          <w:noProof/>
          <w:lang w:val="fr-FR"/>
        </w:rPr>
        <w:t>’</w:t>
      </w:r>
      <w:r>
        <w:rPr>
          <w:noProof/>
          <w:lang w:val="fr-FR"/>
        </w:rPr>
        <w:t xml:space="preserve">adolescence conduit une stratégie </w:t>
      </w:r>
      <w:r w:rsidRPr="00FE3A51">
        <w:rPr>
          <w:noProof/>
          <w:lang w:val="fr-FR"/>
        </w:rPr>
        <w:t>d</w:t>
      </w:r>
      <w:r w:rsidR="002A5D78">
        <w:rPr>
          <w:noProof/>
          <w:lang w:val="fr-FR"/>
        </w:rPr>
        <w:t>’</w:t>
      </w:r>
      <w:r w:rsidRPr="00FE3A51">
        <w:rPr>
          <w:noProof/>
          <w:lang w:val="fr-FR"/>
        </w:rPr>
        <w:t xml:space="preserve">information et de sensibilisation </w:t>
      </w:r>
      <w:r>
        <w:rPr>
          <w:noProof/>
          <w:lang w:val="fr-FR"/>
        </w:rPr>
        <w:t>aux</w:t>
      </w:r>
      <w:r w:rsidRPr="00FE3A51">
        <w:rPr>
          <w:noProof/>
          <w:lang w:val="fr-FR"/>
        </w:rPr>
        <w:t xml:space="preserve"> droits des enfants et des adolescents auprès des agents du Système national de </w:t>
      </w:r>
      <w:r>
        <w:rPr>
          <w:noProof/>
          <w:lang w:val="fr-FR"/>
        </w:rPr>
        <w:t>protection intégrale des enfants et des adolescents</w:t>
      </w:r>
      <w:r w:rsidRPr="00FE3A51">
        <w:rPr>
          <w:noProof/>
          <w:lang w:val="fr-FR"/>
        </w:rPr>
        <w:t>, des intervenants locaux et nationaux, des fa</w:t>
      </w:r>
      <w:r>
        <w:rPr>
          <w:noProof/>
          <w:lang w:val="fr-FR"/>
        </w:rPr>
        <w:t>milles et des collectivités. Cette stratégie</w:t>
      </w:r>
      <w:r w:rsidRPr="00FE3A51">
        <w:rPr>
          <w:noProof/>
          <w:lang w:val="fr-FR"/>
        </w:rPr>
        <w:t xml:space="preserve"> comprend des programmes de sensibilisation et de formation </w:t>
      </w:r>
      <w:r>
        <w:rPr>
          <w:noProof/>
          <w:lang w:val="fr-FR"/>
        </w:rPr>
        <w:t>aux</w:t>
      </w:r>
      <w:r w:rsidRPr="00FE3A51">
        <w:rPr>
          <w:noProof/>
          <w:lang w:val="fr-FR"/>
        </w:rPr>
        <w:t xml:space="preserve"> principes directeurs et</w:t>
      </w:r>
      <w:r>
        <w:rPr>
          <w:noProof/>
          <w:lang w:val="fr-FR"/>
        </w:rPr>
        <w:t xml:space="preserve"> aux</w:t>
      </w:r>
      <w:r w:rsidRPr="00FE3A51">
        <w:rPr>
          <w:noProof/>
          <w:lang w:val="fr-FR"/>
        </w:rPr>
        <w:t xml:space="preserve"> </w:t>
      </w:r>
      <w:r>
        <w:rPr>
          <w:noProof/>
          <w:lang w:val="fr-FR"/>
        </w:rPr>
        <w:t>mécanismes de la</w:t>
      </w:r>
      <w:r w:rsidRPr="00FE3A51">
        <w:rPr>
          <w:noProof/>
          <w:lang w:val="fr-FR"/>
        </w:rPr>
        <w:t xml:space="preserve"> protection</w:t>
      </w:r>
      <w:r>
        <w:rPr>
          <w:noProof/>
          <w:lang w:val="fr-FR"/>
        </w:rPr>
        <w:t xml:space="preserve">. Le Conseil national </w:t>
      </w:r>
      <w:r w:rsidRPr="00FE3A51">
        <w:rPr>
          <w:noProof/>
          <w:lang w:val="fr-FR"/>
        </w:rPr>
        <w:t xml:space="preserve">a en outre publié des lignes directrices pour la coordination du Système national de protection </w:t>
      </w:r>
      <w:r>
        <w:rPr>
          <w:noProof/>
          <w:lang w:val="fr-FR"/>
        </w:rPr>
        <w:t xml:space="preserve">contre la violence qui affecte les enfants et les adolescents </w:t>
      </w:r>
      <w:r w:rsidRPr="00FE3A51">
        <w:rPr>
          <w:noProof/>
          <w:lang w:val="fr-FR"/>
        </w:rPr>
        <w:t xml:space="preserve">et </w:t>
      </w:r>
      <w:r>
        <w:rPr>
          <w:noProof/>
          <w:lang w:val="fr-FR"/>
        </w:rPr>
        <w:t>mis en place</w:t>
      </w:r>
      <w:r w:rsidRPr="00FE3A51">
        <w:rPr>
          <w:noProof/>
          <w:lang w:val="fr-FR"/>
        </w:rPr>
        <w:t xml:space="preserve"> des réseaux d</w:t>
      </w:r>
      <w:r w:rsidR="002A5D78">
        <w:rPr>
          <w:noProof/>
          <w:lang w:val="fr-FR"/>
        </w:rPr>
        <w:t>’</w:t>
      </w:r>
      <w:r w:rsidRPr="00FE3A51">
        <w:rPr>
          <w:noProof/>
          <w:lang w:val="fr-FR"/>
        </w:rPr>
        <w:t xml:space="preserve">orientation pour le traitement efficace des affaires dans lesquelles les droits des enfants et des adolescents </w:t>
      </w:r>
      <w:r>
        <w:rPr>
          <w:noProof/>
          <w:lang w:val="fr-FR"/>
        </w:rPr>
        <w:t>ont été</w:t>
      </w:r>
      <w:r w:rsidRPr="00FE3A51">
        <w:rPr>
          <w:noProof/>
          <w:lang w:val="fr-FR"/>
        </w:rPr>
        <w:t xml:space="preserve"> menacés ou violés.</w:t>
      </w:r>
    </w:p>
    <w:p w14:paraId="33734718" w14:textId="77777777" w:rsidR="00B51FCF" w:rsidRDefault="00B51FCF" w:rsidP="00B51FCF">
      <w:pPr>
        <w:pStyle w:val="SingleTxtG"/>
        <w:rPr>
          <w:noProof/>
          <w:lang w:val="fr-FR"/>
        </w:rPr>
      </w:pPr>
      <w:r w:rsidRPr="00AC263A">
        <w:rPr>
          <w:noProof/>
          <w:lang w:val="fr-FR"/>
        </w:rPr>
        <w:t>104.</w:t>
      </w:r>
      <w:r w:rsidRPr="00AC263A">
        <w:rPr>
          <w:noProof/>
          <w:lang w:val="fr-FR"/>
        </w:rPr>
        <w:tab/>
      </w:r>
      <w:r>
        <w:rPr>
          <w:noProof/>
          <w:lang w:val="fr-FR"/>
        </w:rPr>
        <w:t>Le Code pénal réprime</w:t>
      </w:r>
      <w:r w:rsidRPr="00F26257">
        <w:rPr>
          <w:noProof/>
          <w:lang w:val="fr-FR"/>
        </w:rPr>
        <w:t xml:space="preserve"> les mauvais traitements à enfant, </w:t>
      </w:r>
      <w:r>
        <w:rPr>
          <w:noProof/>
          <w:lang w:val="fr-FR"/>
        </w:rPr>
        <w:t xml:space="preserve">et </w:t>
      </w:r>
      <w:r w:rsidRPr="00F26257">
        <w:rPr>
          <w:noProof/>
          <w:lang w:val="fr-FR"/>
        </w:rPr>
        <w:t>le Conseil national de l</w:t>
      </w:r>
      <w:r w:rsidR="002A5D78">
        <w:rPr>
          <w:noProof/>
          <w:lang w:val="fr-FR"/>
        </w:rPr>
        <w:t>’</w:t>
      </w:r>
      <w:r w:rsidRPr="00F26257">
        <w:rPr>
          <w:noProof/>
          <w:lang w:val="fr-FR"/>
        </w:rPr>
        <w:t>enfance et de l</w:t>
      </w:r>
      <w:r w:rsidR="002A5D78">
        <w:rPr>
          <w:noProof/>
          <w:lang w:val="fr-FR"/>
        </w:rPr>
        <w:t>’</w:t>
      </w:r>
      <w:r w:rsidRPr="00F26257">
        <w:rPr>
          <w:noProof/>
          <w:lang w:val="fr-FR"/>
        </w:rPr>
        <w:t>adolescence a mis au point</w:t>
      </w:r>
      <w:r>
        <w:rPr>
          <w:noProof/>
          <w:lang w:val="fr-FR"/>
        </w:rPr>
        <w:t xml:space="preserve"> </w:t>
      </w:r>
      <w:r w:rsidRPr="00F26257">
        <w:rPr>
          <w:noProof/>
          <w:lang w:val="fr-FR"/>
        </w:rPr>
        <w:t xml:space="preserve">une stratégie de </w:t>
      </w:r>
      <w:r>
        <w:rPr>
          <w:noProof/>
          <w:lang w:val="fr-FR"/>
        </w:rPr>
        <w:t xml:space="preserve">prévention de ces mauvais traitements </w:t>
      </w:r>
      <w:r w:rsidRPr="00F26257">
        <w:rPr>
          <w:noProof/>
          <w:lang w:val="fr-FR"/>
        </w:rPr>
        <w:t>qui repose sur deux campagnes</w:t>
      </w:r>
      <w:r>
        <w:rPr>
          <w:noProof/>
          <w:lang w:val="fr-FR"/>
        </w:rPr>
        <w:t xml:space="preserve"> de communication intitulées</w:t>
      </w:r>
      <w:r w:rsidRPr="00F26257">
        <w:rPr>
          <w:noProof/>
          <w:lang w:val="fr-FR"/>
        </w:rPr>
        <w:t xml:space="preserve"> «</w:t>
      </w:r>
      <w:r w:rsidR="009C429F">
        <w:rPr>
          <w:noProof/>
          <w:lang w:val="fr-FR"/>
        </w:rPr>
        <w:t> </w:t>
      </w:r>
      <w:r w:rsidRPr="00F26257">
        <w:rPr>
          <w:noProof/>
          <w:lang w:val="fr-FR"/>
        </w:rPr>
        <w:t>Marcá mi vida</w:t>
      </w:r>
      <w:r w:rsidR="009C429F">
        <w:rPr>
          <w:noProof/>
          <w:lang w:val="fr-FR"/>
        </w:rPr>
        <w:t> </w:t>
      </w:r>
      <w:r w:rsidRPr="00F26257">
        <w:rPr>
          <w:noProof/>
          <w:lang w:val="fr-FR"/>
        </w:rPr>
        <w:t>»</w:t>
      </w:r>
      <w:r>
        <w:rPr>
          <w:noProof/>
          <w:lang w:val="fr-FR"/>
        </w:rPr>
        <w:t xml:space="preserve"> (Attention à ma vie) </w:t>
      </w:r>
      <w:r w:rsidRPr="00F26257">
        <w:rPr>
          <w:noProof/>
          <w:lang w:val="fr-FR"/>
        </w:rPr>
        <w:t>et «</w:t>
      </w:r>
      <w:r w:rsidR="009C429F">
        <w:rPr>
          <w:noProof/>
          <w:lang w:val="fr-FR"/>
        </w:rPr>
        <w:t> </w:t>
      </w:r>
      <w:r w:rsidRPr="00F26257">
        <w:rPr>
          <w:noProof/>
          <w:lang w:val="fr-FR"/>
        </w:rPr>
        <w:t>La protección comienza en el hogar</w:t>
      </w:r>
      <w:r w:rsidR="009C429F">
        <w:rPr>
          <w:noProof/>
          <w:lang w:val="fr-FR"/>
        </w:rPr>
        <w:t> </w:t>
      </w:r>
      <w:r w:rsidRPr="00F26257">
        <w:rPr>
          <w:noProof/>
          <w:lang w:val="fr-FR"/>
        </w:rPr>
        <w:t>»</w:t>
      </w:r>
      <w:r>
        <w:rPr>
          <w:noProof/>
          <w:lang w:val="fr-FR"/>
        </w:rPr>
        <w:t xml:space="preserve"> (La protection commence à la maison)</w:t>
      </w:r>
      <w:r w:rsidRPr="00F26257">
        <w:rPr>
          <w:noProof/>
          <w:lang w:val="fr-FR"/>
        </w:rPr>
        <w:t>.</w:t>
      </w:r>
      <w:r>
        <w:rPr>
          <w:noProof/>
          <w:lang w:val="fr-FR"/>
        </w:rPr>
        <w:t xml:space="preserve"> La campagne </w:t>
      </w:r>
      <w:r w:rsidRPr="00F26257">
        <w:rPr>
          <w:noProof/>
          <w:lang w:val="fr-FR"/>
        </w:rPr>
        <w:t>«</w:t>
      </w:r>
      <w:r w:rsidR="009C429F">
        <w:rPr>
          <w:noProof/>
          <w:lang w:val="fr-FR"/>
        </w:rPr>
        <w:t> </w:t>
      </w:r>
      <w:r w:rsidRPr="00F26257">
        <w:rPr>
          <w:noProof/>
          <w:lang w:val="fr-FR"/>
        </w:rPr>
        <w:t>Marcá mi vida</w:t>
      </w:r>
      <w:r w:rsidR="009C429F">
        <w:rPr>
          <w:noProof/>
          <w:lang w:val="fr-FR"/>
        </w:rPr>
        <w:t> </w:t>
      </w:r>
      <w:r w:rsidRPr="00F26257">
        <w:rPr>
          <w:noProof/>
          <w:lang w:val="fr-FR"/>
        </w:rPr>
        <w:t>»</w:t>
      </w:r>
      <w:r>
        <w:rPr>
          <w:noProof/>
          <w:lang w:val="fr-FR"/>
        </w:rPr>
        <w:t xml:space="preserve"> met l</w:t>
      </w:r>
      <w:r w:rsidR="002A5D78">
        <w:rPr>
          <w:noProof/>
          <w:lang w:val="fr-FR"/>
        </w:rPr>
        <w:t>’</w:t>
      </w:r>
      <w:r>
        <w:rPr>
          <w:noProof/>
          <w:lang w:val="fr-FR"/>
        </w:rPr>
        <w:t>accent sur l</w:t>
      </w:r>
      <w:r w:rsidR="002A5D78">
        <w:rPr>
          <w:noProof/>
          <w:lang w:val="fr-FR"/>
        </w:rPr>
        <w:t>’</w:t>
      </w:r>
      <w:r>
        <w:rPr>
          <w:noProof/>
          <w:lang w:val="fr-FR"/>
        </w:rPr>
        <w:t xml:space="preserve">élimination de pratiques susceptibles de provoquer des dommages physiques et psychologiques. Depuis 2016, </w:t>
      </w:r>
      <w:r w:rsidRPr="00F26257">
        <w:rPr>
          <w:noProof/>
          <w:lang w:val="fr-FR"/>
        </w:rPr>
        <w:t>une émission radiophonique intitulée «</w:t>
      </w:r>
      <w:r w:rsidR="009C429F">
        <w:rPr>
          <w:noProof/>
          <w:lang w:val="fr-FR"/>
        </w:rPr>
        <w:t> </w:t>
      </w:r>
      <w:r w:rsidRPr="00F26257">
        <w:rPr>
          <w:noProof/>
          <w:lang w:val="fr-FR"/>
        </w:rPr>
        <w:t>Hablá Conmigo</w:t>
      </w:r>
      <w:r w:rsidR="009C429F">
        <w:rPr>
          <w:noProof/>
          <w:lang w:val="fr-FR"/>
        </w:rPr>
        <w:t> </w:t>
      </w:r>
      <w:r w:rsidRPr="00F26257">
        <w:rPr>
          <w:noProof/>
          <w:lang w:val="fr-FR"/>
        </w:rPr>
        <w:t xml:space="preserve">» </w:t>
      </w:r>
      <w:r>
        <w:rPr>
          <w:noProof/>
          <w:lang w:val="fr-FR"/>
        </w:rPr>
        <w:t>(Parle avec moi)</w:t>
      </w:r>
      <w:r w:rsidRPr="00F26257">
        <w:rPr>
          <w:noProof/>
          <w:lang w:val="fr-FR"/>
        </w:rPr>
        <w:t xml:space="preserve"> cherche à faire évoluer</w:t>
      </w:r>
      <w:r>
        <w:rPr>
          <w:noProof/>
          <w:lang w:val="fr-FR"/>
        </w:rPr>
        <w:t xml:space="preserve"> certaines pratiques culturelles et à orienter</w:t>
      </w:r>
      <w:r w:rsidRPr="00F26257">
        <w:rPr>
          <w:noProof/>
          <w:lang w:val="fr-FR"/>
        </w:rPr>
        <w:t xml:space="preserve"> l</w:t>
      </w:r>
      <w:r w:rsidR="002A5D78">
        <w:rPr>
          <w:noProof/>
          <w:lang w:val="fr-FR"/>
        </w:rPr>
        <w:t>’</w:t>
      </w:r>
      <w:r w:rsidRPr="00F26257">
        <w:rPr>
          <w:noProof/>
          <w:lang w:val="fr-FR"/>
        </w:rPr>
        <w:t>éducation vers l</w:t>
      </w:r>
      <w:r w:rsidR="002A5D78">
        <w:rPr>
          <w:noProof/>
          <w:lang w:val="fr-FR"/>
        </w:rPr>
        <w:t>’</w:t>
      </w:r>
      <w:r w:rsidRPr="00F26257">
        <w:rPr>
          <w:noProof/>
          <w:lang w:val="fr-FR"/>
        </w:rPr>
        <w:t xml:space="preserve">application des méthodes de la discipline positive. En 2017, </w:t>
      </w:r>
      <w:r>
        <w:rPr>
          <w:noProof/>
          <w:lang w:val="fr-FR"/>
        </w:rPr>
        <w:t xml:space="preserve">une révision de </w:t>
      </w:r>
      <w:r w:rsidRPr="00F26257">
        <w:rPr>
          <w:noProof/>
          <w:lang w:val="fr-FR"/>
        </w:rPr>
        <w:t xml:space="preserve">la loi sur la </w:t>
      </w:r>
      <w:r>
        <w:rPr>
          <w:noProof/>
          <w:lang w:val="fr-FR"/>
        </w:rPr>
        <w:t>protection intégrale des enfants</w:t>
      </w:r>
      <w:r w:rsidRPr="00F26257">
        <w:rPr>
          <w:noProof/>
          <w:lang w:val="fr-FR"/>
        </w:rPr>
        <w:t xml:space="preserve"> et des adolescents a </w:t>
      </w:r>
      <w:r>
        <w:rPr>
          <w:noProof/>
          <w:lang w:val="fr-FR"/>
        </w:rPr>
        <w:t>consacré l</w:t>
      </w:r>
      <w:r w:rsidR="002A5D78">
        <w:rPr>
          <w:noProof/>
          <w:lang w:val="fr-FR"/>
        </w:rPr>
        <w:t>’</w:t>
      </w:r>
      <w:r>
        <w:rPr>
          <w:noProof/>
          <w:lang w:val="fr-FR"/>
        </w:rPr>
        <w:t>interdiction de</w:t>
      </w:r>
      <w:r w:rsidRPr="00F26257">
        <w:rPr>
          <w:noProof/>
          <w:lang w:val="fr-FR"/>
        </w:rPr>
        <w:t xml:space="preserve"> toute forme de violence contre les enfants et les adolescents dans les établissements d</w:t>
      </w:r>
      <w:r w:rsidR="002A5D78">
        <w:rPr>
          <w:noProof/>
          <w:lang w:val="fr-FR"/>
        </w:rPr>
        <w:t>’</w:t>
      </w:r>
      <w:r w:rsidRPr="00F26257">
        <w:rPr>
          <w:noProof/>
          <w:lang w:val="fr-FR"/>
        </w:rPr>
        <w:t xml:space="preserve">enseignement tant publics que privés. </w:t>
      </w:r>
      <w:r>
        <w:rPr>
          <w:noProof/>
          <w:lang w:val="fr-FR"/>
        </w:rPr>
        <w:t>De son côté</w:t>
      </w:r>
      <w:r w:rsidRPr="00F26257">
        <w:rPr>
          <w:noProof/>
          <w:lang w:val="fr-FR"/>
        </w:rPr>
        <w:t>, l</w:t>
      </w:r>
      <w:r w:rsidR="002A5D78">
        <w:rPr>
          <w:noProof/>
          <w:lang w:val="fr-FR"/>
        </w:rPr>
        <w:t>’</w:t>
      </w:r>
      <w:r w:rsidRPr="00F26257">
        <w:rPr>
          <w:noProof/>
          <w:lang w:val="fr-FR"/>
        </w:rPr>
        <w:t>Institut salvadorien pour le développement complet de l</w:t>
      </w:r>
      <w:r w:rsidR="002A5D78">
        <w:rPr>
          <w:noProof/>
          <w:lang w:val="fr-FR"/>
        </w:rPr>
        <w:t>’</w:t>
      </w:r>
      <w:r w:rsidRPr="00F26257">
        <w:rPr>
          <w:noProof/>
          <w:lang w:val="fr-FR"/>
        </w:rPr>
        <w:t>enfant et de l</w:t>
      </w:r>
      <w:r w:rsidR="002A5D78">
        <w:rPr>
          <w:noProof/>
          <w:lang w:val="fr-FR"/>
        </w:rPr>
        <w:t>’</w:t>
      </w:r>
      <w:r w:rsidRPr="00F26257">
        <w:rPr>
          <w:noProof/>
          <w:lang w:val="fr-FR"/>
        </w:rPr>
        <w:t>adolescent a mis en place un programme</w:t>
      </w:r>
      <w:r>
        <w:rPr>
          <w:noProof/>
          <w:lang w:val="fr-FR"/>
        </w:rPr>
        <w:t xml:space="preserve"> spécial pour la petite enfance</w:t>
      </w:r>
      <w:r w:rsidRPr="00F26257">
        <w:rPr>
          <w:noProof/>
          <w:lang w:val="fr-FR"/>
        </w:rPr>
        <w:t xml:space="preserve"> qui prône des méthodes d</w:t>
      </w:r>
      <w:r w:rsidR="002A5D78">
        <w:rPr>
          <w:noProof/>
          <w:lang w:val="fr-FR"/>
        </w:rPr>
        <w:t>’</w:t>
      </w:r>
      <w:r w:rsidRPr="00F26257">
        <w:rPr>
          <w:noProof/>
          <w:lang w:val="fr-FR"/>
        </w:rPr>
        <w:t xml:space="preserve">éducation </w:t>
      </w:r>
      <w:r>
        <w:rPr>
          <w:noProof/>
          <w:lang w:val="fr-FR"/>
        </w:rPr>
        <w:t>et d</w:t>
      </w:r>
      <w:r w:rsidR="002A5D78">
        <w:rPr>
          <w:noProof/>
          <w:lang w:val="fr-FR"/>
        </w:rPr>
        <w:t>’</w:t>
      </w:r>
      <w:r>
        <w:rPr>
          <w:noProof/>
          <w:lang w:val="fr-FR"/>
        </w:rPr>
        <w:t>enseignement sans violence. L</w:t>
      </w:r>
      <w:r w:rsidR="002A5D78">
        <w:rPr>
          <w:noProof/>
          <w:lang w:val="fr-FR"/>
        </w:rPr>
        <w:t>’</w:t>
      </w:r>
      <w:r>
        <w:rPr>
          <w:noProof/>
          <w:lang w:val="fr-FR"/>
        </w:rPr>
        <w:t>Institut a également mis en place</w:t>
      </w:r>
      <w:r w:rsidRPr="00F26257">
        <w:rPr>
          <w:noProof/>
          <w:lang w:val="fr-FR"/>
        </w:rPr>
        <w:t xml:space="preserve"> la formation «</w:t>
      </w:r>
      <w:r w:rsidR="009C429F">
        <w:rPr>
          <w:noProof/>
          <w:lang w:val="fr-FR"/>
        </w:rPr>
        <w:t> </w:t>
      </w:r>
      <w:r w:rsidRPr="00F26257">
        <w:rPr>
          <w:noProof/>
          <w:lang w:val="fr-FR"/>
        </w:rPr>
        <w:t>También Soy Persona</w:t>
      </w:r>
      <w:r w:rsidR="009C429F">
        <w:rPr>
          <w:noProof/>
          <w:lang w:val="fr-FR"/>
        </w:rPr>
        <w:t> </w:t>
      </w:r>
      <w:r w:rsidRPr="00F26257">
        <w:rPr>
          <w:noProof/>
          <w:lang w:val="fr-FR"/>
        </w:rPr>
        <w:t>»</w:t>
      </w:r>
      <w:r>
        <w:rPr>
          <w:noProof/>
          <w:lang w:val="fr-FR"/>
        </w:rPr>
        <w:t xml:space="preserve"> (Je suis aussi une personne)</w:t>
      </w:r>
      <w:r w:rsidRPr="00F26257">
        <w:rPr>
          <w:noProof/>
          <w:lang w:val="fr-FR"/>
        </w:rPr>
        <w:t>, qui s</w:t>
      </w:r>
      <w:r w:rsidR="002A5D78">
        <w:rPr>
          <w:noProof/>
          <w:lang w:val="fr-FR"/>
        </w:rPr>
        <w:t>’</w:t>
      </w:r>
      <w:r w:rsidRPr="00F26257">
        <w:rPr>
          <w:noProof/>
          <w:lang w:val="fr-FR"/>
        </w:rPr>
        <w:t>adresse aux parents, aux tuteurs et aux représentants d</w:t>
      </w:r>
      <w:r w:rsidR="002A5D78">
        <w:rPr>
          <w:noProof/>
          <w:lang w:val="fr-FR"/>
        </w:rPr>
        <w:t>’</w:t>
      </w:r>
      <w:r w:rsidRPr="00F26257">
        <w:rPr>
          <w:noProof/>
          <w:lang w:val="fr-FR"/>
        </w:rPr>
        <w:t>institutions s</w:t>
      </w:r>
      <w:r w:rsidR="002A5D78">
        <w:rPr>
          <w:noProof/>
          <w:lang w:val="fr-FR"/>
        </w:rPr>
        <w:t>’</w:t>
      </w:r>
      <w:r w:rsidRPr="00F26257">
        <w:rPr>
          <w:noProof/>
          <w:lang w:val="fr-FR"/>
        </w:rPr>
        <w:t>occupant d</w:t>
      </w:r>
      <w:r w:rsidR="002A5D78">
        <w:rPr>
          <w:noProof/>
          <w:lang w:val="fr-FR"/>
        </w:rPr>
        <w:t>’</w:t>
      </w:r>
      <w:r w:rsidRPr="00F26257">
        <w:rPr>
          <w:noProof/>
          <w:lang w:val="fr-FR"/>
        </w:rPr>
        <w:t>enfants ou d</w:t>
      </w:r>
      <w:r w:rsidR="002A5D78">
        <w:rPr>
          <w:noProof/>
          <w:lang w:val="fr-FR"/>
        </w:rPr>
        <w:t>’</w:t>
      </w:r>
      <w:r w:rsidRPr="00F26257">
        <w:rPr>
          <w:noProof/>
          <w:lang w:val="fr-FR"/>
        </w:rPr>
        <w:t>adolescents, et</w:t>
      </w:r>
      <w:r>
        <w:rPr>
          <w:noProof/>
          <w:lang w:val="fr-FR"/>
        </w:rPr>
        <w:t xml:space="preserve"> qui</w:t>
      </w:r>
      <w:r w:rsidRPr="00F26257">
        <w:rPr>
          <w:noProof/>
          <w:lang w:val="fr-FR"/>
        </w:rPr>
        <w:t xml:space="preserve"> porte sur la</w:t>
      </w:r>
      <w:r>
        <w:rPr>
          <w:noProof/>
          <w:lang w:val="fr-FR"/>
        </w:rPr>
        <w:t xml:space="preserve"> communication émotionnelle,</w:t>
      </w:r>
      <w:r w:rsidRPr="00F26257">
        <w:rPr>
          <w:noProof/>
          <w:lang w:val="fr-FR"/>
        </w:rPr>
        <w:t xml:space="preserve"> la compréhension des comportements des enfants et des adolescents</w:t>
      </w:r>
      <w:r>
        <w:rPr>
          <w:noProof/>
          <w:lang w:val="fr-FR"/>
        </w:rPr>
        <w:t xml:space="preserve"> et</w:t>
      </w:r>
      <w:r w:rsidRPr="00F26257">
        <w:rPr>
          <w:noProof/>
          <w:lang w:val="fr-FR"/>
        </w:rPr>
        <w:t xml:space="preserve"> les outils nécessaires pour interagir correctement avec eux.</w:t>
      </w:r>
    </w:p>
    <w:p w14:paraId="687B2A13" w14:textId="77777777" w:rsidR="00B51FCF" w:rsidRDefault="00B51FCF" w:rsidP="00B51FCF">
      <w:pPr>
        <w:pStyle w:val="SingleTxtG"/>
        <w:rPr>
          <w:noProof/>
          <w:lang w:val="fr-FR"/>
        </w:rPr>
      </w:pPr>
      <w:r w:rsidRPr="00AC263A">
        <w:rPr>
          <w:noProof/>
          <w:lang w:val="fr-FR"/>
        </w:rPr>
        <w:t>105.</w:t>
      </w:r>
      <w:r w:rsidRPr="00AC263A">
        <w:rPr>
          <w:noProof/>
          <w:lang w:val="fr-FR"/>
        </w:rPr>
        <w:tab/>
      </w:r>
      <w:r w:rsidRPr="00A557A3">
        <w:rPr>
          <w:noProof/>
          <w:lang w:val="fr-FR"/>
        </w:rPr>
        <w:t xml:space="preserve">En 2016, El Salvador </w:t>
      </w:r>
      <w:r>
        <w:rPr>
          <w:noProof/>
          <w:lang w:val="fr-FR"/>
        </w:rPr>
        <w:t xml:space="preserve">est devenu un pays « pionnier » du </w:t>
      </w:r>
      <w:r w:rsidRPr="00F65FB8">
        <w:rPr>
          <w:noProof/>
          <w:lang w:val="fr-FR"/>
        </w:rPr>
        <w:t>Partenariat mondial pour l</w:t>
      </w:r>
      <w:r w:rsidR="002A5D78">
        <w:rPr>
          <w:noProof/>
          <w:lang w:val="fr-FR"/>
        </w:rPr>
        <w:t>’</w:t>
      </w:r>
      <w:r w:rsidRPr="00F65FB8">
        <w:rPr>
          <w:noProof/>
          <w:lang w:val="fr-FR"/>
        </w:rPr>
        <w:t>élimination de la violence envers les enfants</w:t>
      </w:r>
      <w:r>
        <w:rPr>
          <w:noProof/>
          <w:lang w:val="fr-FR"/>
        </w:rPr>
        <w:t>. U</w:t>
      </w:r>
      <w:r w:rsidRPr="00A557A3">
        <w:rPr>
          <w:noProof/>
          <w:lang w:val="fr-FR"/>
        </w:rPr>
        <w:t>n protocole d</w:t>
      </w:r>
      <w:r w:rsidR="002A5D78">
        <w:rPr>
          <w:noProof/>
          <w:lang w:val="fr-FR"/>
        </w:rPr>
        <w:t>’</w:t>
      </w:r>
      <w:r w:rsidRPr="00A557A3">
        <w:rPr>
          <w:noProof/>
          <w:lang w:val="fr-FR"/>
        </w:rPr>
        <w:t>accord en vue de l</w:t>
      </w:r>
      <w:r w:rsidR="002A5D78">
        <w:rPr>
          <w:noProof/>
          <w:lang w:val="fr-FR"/>
        </w:rPr>
        <w:t>’</w:t>
      </w:r>
      <w:r w:rsidRPr="00A557A3">
        <w:rPr>
          <w:noProof/>
          <w:lang w:val="fr-FR"/>
        </w:rPr>
        <w:t>élaboration d</w:t>
      </w:r>
      <w:r w:rsidR="002A5D78">
        <w:rPr>
          <w:noProof/>
          <w:lang w:val="fr-FR"/>
        </w:rPr>
        <w:t>’</w:t>
      </w:r>
      <w:r w:rsidRPr="00A557A3">
        <w:rPr>
          <w:noProof/>
          <w:lang w:val="fr-FR"/>
        </w:rPr>
        <w:t>un plan d</w:t>
      </w:r>
      <w:r w:rsidR="002A5D78">
        <w:rPr>
          <w:noProof/>
          <w:lang w:val="fr-FR"/>
        </w:rPr>
        <w:t>’</w:t>
      </w:r>
      <w:r w:rsidRPr="00A557A3">
        <w:rPr>
          <w:noProof/>
          <w:lang w:val="fr-FR"/>
        </w:rPr>
        <w:t>action visant à faire cesser toute forme de violence à l</w:t>
      </w:r>
      <w:r w:rsidR="002A5D78">
        <w:rPr>
          <w:noProof/>
          <w:lang w:val="fr-FR"/>
        </w:rPr>
        <w:t>’</w:t>
      </w:r>
      <w:r w:rsidRPr="00A557A3">
        <w:rPr>
          <w:noProof/>
          <w:lang w:val="fr-FR"/>
        </w:rPr>
        <w:t>égard des enfants et des adolescents</w:t>
      </w:r>
      <w:r>
        <w:rPr>
          <w:noProof/>
          <w:lang w:val="fr-FR"/>
        </w:rPr>
        <w:t xml:space="preserve"> a été signé en octobre 2018 à l</w:t>
      </w:r>
      <w:r w:rsidR="002A5D78">
        <w:rPr>
          <w:noProof/>
          <w:lang w:val="fr-FR"/>
        </w:rPr>
        <w:t>’</w:t>
      </w:r>
      <w:r>
        <w:rPr>
          <w:noProof/>
          <w:lang w:val="fr-FR"/>
        </w:rPr>
        <w:t>occasion du lancement public du Partenariat mondial</w:t>
      </w:r>
      <w:r w:rsidRPr="00A557A3">
        <w:rPr>
          <w:noProof/>
          <w:lang w:val="fr-FR"/>
        </w:rPr>
        <w:t>.</w:t>
      </w:r>
    </w:p>
    <w:p w14:paraId="580A0A3F" w14:textId="77777777" w:rsidR="00B51FCF" w:rsidRDefault="00B51FCF" w:rsidP="00B51FCF">
      <w:pPr>
        <w:pStyle w:val="SingleTxtG"/>
        <w:rPr>
          <w:noProof/>
          <w:lang w:val="fr-FR"/>
        </w:rPr>
      </w:pPr>
      <w:r w:rsidRPr="00AC263A">
        <w:rPr>
          <w:noProof/>
          <w:lang w:val="fr-FR"/>
        </w:rPr>
        <w:t>106.</w:t>
      </w:r>
      <w:r w:rsidRPr="00AC263A">
        <w:rPr>
          <w:noProof/>
          <w:lang w:val="fr-FR"/>
        </w:rPr>
        <w:tab/>
      </w:r>
      <w:r>
        <w:rPr>
          <w:noProof/>
          <w:lang w:val="fr-FR"/>
        </w:rPr>
        <w:t>Par le truchement des comités de protection de l</w:t>
      </w:r>
      <w:r w:rsidR="002A5D78">
        <w:rPr>
          <w:noProof/>
          <w:lang w:val="fr-FR"/>
        </w:rPr>
        <w:t>’</w:t>
      </w:r>
      <w:r>
        <w:rPr>
          <w:noProof/>
          <w:lang w:val="fr-FR"/>
        </w:rPr>
        <w:t>enfance et de l</w:t>
      </w:r>
      <w:r w:rsidR="002A5D78">
        <w:rPr>
          <w:noProof/>
          <w:lang w:val="fr-FR"/>
        </w:rPr>
        <w:t>’</w:t>
      </w:r>
      <w:r>
        <w:rPr>
          <w:noProof/>
          <w:lang w:val="fr-FR"/>
        </w:rPr>
        <w:t xml:space="preserve">adolescence mis en place dans les </w:t>
      </w:r>
      <w:r w:rsidR="003C1A51">
        <w:rPr>
          <w:noProof/>
          <w:lang w:val="fr-FR"/>
        </w:rPr>
        <w:t>14</w:t>
      </w:r>
      <w:r>
        <w:rPr>
          <w:noProof/>
          <w:lang w:val="fr-FR"/>
        </w:rPr>
        <w:t xml:space="preserve"> départements du pays, le Conseil national de l</w:t>
      </w:r>
      <w:r w:rsidR="002A5D78">
        <w:rPr>
          <w:noProof/>
          <w:lang w:val="fr-FR"/>
        </w:rPr>
        <w:t>’</w:t>
      </w:r>
      <w:r>
        <w:rPr>
          <w:noProof/>
          <w:lang w:val="fr-FR"/>
        </w:rPr>
        <w:t>enfance et de l</w:t>
      </w:r>
      <w:r w:rsidR="002A5D78">
        <w:rPr>
          <w:noProof/>
          <w:lang w:val="fr-FR"/>
        </w:rPr>
        <w:t>’</w:t>
      </w:r>
      <w:r>
        <w:rPr>
          <w:noProof/>
          <w:lang w:val="fr-FR"/>
        </w:rPr>
        <w:t>adolescence applique une large gamme de mesures et de sanctions d</w:t>
      </w:r>
      <w:r w:rsidR="002A5D78">
        <w:rPr>
          <w:noProof/>
          <w:lang w:val="fr-FR"/>
        </w:rPr>
        <w:t>’</w:t>
      </w:r>
      <w:r>
        <w:rPr>
          <w:noProof/>
          <w:lang w:val="fr-FR"/>
        </w:rPr>
        <w:t>ordre administratif. Les mesures adoptées ont généralement un caractère éducatif : inclusion dans des programmes ; prescription d</w:t>
      </w:r>
      <w:r w:rsidR="002A5D78">
        <w:rPr>
          <w:noProof/>
          <w:lang w:val="fr-FR"/>
        </w:rPr>
        <w:t>’</w:t>
      </w:r>
      <w:r>
        <w:rPr>
          <w:noProof/>
          <w:lang w:val="fr-FR"/>
        </w:rPr>
        <w:t>un traitement médical, psychologique ou psychiatrique pour l</w:t>
      </w:r>
      <w:r w:rsidR="002A5D78">
        <w:rPr>
          <w:noProof/>
          <w:lang w:val="fr-FR"/>
        </w:rPr>
        <w:t>’</w:t>
      </w:r>
      <w:r>
        <w:rPr>
          <w:noProof/>
          <w:lang w:val="fr-FR"/>
        </w:rPr>
        <w:t>enfant concerné ou pour sa mère, son père ou son représentant légal ; admonestation du père ou de la mère à raison des actes qu</w:t>
      </w:r>
      <w:r w:rsidR="002A5D78">
        <w:rPr>
          <w:noProof/>
          <w:lang w:val="fr-FR"/>
        </w:rPr>
        <w:t>’</w:t>
      </w:r>
      <w:r>
        <w:rPr>
          <w:noProof/>
          <w:lang w:val="fr-FR"/>
        </w:rPr>
        <w:t>ils ont commis. Dans le cadre scolaire, ces mesures prennent la forme de journées de formation aux droits humains de l</w:t>
      </w:r>
      <w:r w:rsidR="002A5D78">
        <w:rPr>
          <w:noProof/>
          <w:lang w:val="fr-FR"/>
        </w:rPr>
        <w:t>’</w:t>
      </w:r>
      <w:r>
        <w:rPr>
          <w:noProof/>
          <w:lang w:val="fr-FR"/>
        </w:rPr>
        <w:t>enfant et de l</w:t>
      </w:r>
      <w:r w:rsidR="002A5D78">
        <w:rPr>
          <w:noProof/>
          <w:lang w:val="fr-FR"/>
        </w:rPr>
        <w:t>’</w:t>
      </w:r>
      <w:r>
        <w:rPr>
          <w:noProof/>
          <w:lang w:val="fr-FR"/>
        </w:rPr>
        <w:t xml:space="preserve">adolescent ; à des actes publics de reconnaissance des fautes commises et à des actions de réparation comme le pardon </w:t>
      </w:r>
      <w:r>
        <w:rPr>
          <w:noProof/>
          <w:lang w:val="fr-FR"/>
        </w:rPr>
        <w:lastRenderedPageBreak/>
        <w:t>demandé en public ou la participation de l</w:t>
      </w:r>
      <w:r w:rsidR="002A5D78">
        <w:rPr>
          <w:noProof/>
          <w:lang w:val="fr-FR"/>
        </w:rPr>
        <w:t>’</w:t>
      </w:r>
      <w:r>
        <w:rPr>
          <w:noProof/>
          <w:lang w:val="fr-FR"/>
        </w:rPr>
        <w:t>enfant ou de l</w:t>
      </w:r>
      <w:r w:rsidR="002A5D78">
        <w:rPr>
          <w:noProof/>
          <w:lang w:val="fr-FR"/>
        </w:rPr>
        <w:t>’</w:t>
      </w:r>
      <w:r>
        <w:rPr>
          <w:noProof/>
          <w:lang w:val="fr-FR"/>
        </w:rPr>
        <w:t xml:space="preserve">adolescent à des activités dont il avait été précédemment exclu. </w:t>
      </w:r>
    </w:p>
    <w:p w14:paraId="1437E995" w14:textId="77777777" w:rsidR="00B51FCF" w:rsidRDefault="00B51FCF" w:rsidP="00B51FCF">
      <w:pPr>
        <w:pStyle w:val="SingleTxtG"/>
        <w:rPr>
          <w:noProof/>
          <w:lang w:val="fr-FR"/>
        </w:rPr>
      </w:pPr>
      <w:r w:rsidRPr="00AC263A">
        <w:rPr>
          <w:noProof/>
          <w:lang w:val="fr-FR"/>
        </w:rPr>
        <w:t>107.</w:t>
      </w:r>
      <w:r w:rsidRPr="00AC263A">
        <w:rPr>
          <w:noProof/>
          <w:lang w:val="fr-FR"/>
        </w:rPr>
        <w:tab/>
      </w:r>
      <w:r>
        <w:rPr>
          <w:noProof/>
          <w:lang w:val="fr-FR"/>
        </w:rPr>
        <w:t>En ce qui concerne les mesures tendant à interdire les châtiments corporels dans les « institutions de protection de remplacement » (qui assurent la prise en charge de l</w:t>
      </w:r>
      <w:r w:rsidR="002A5D78">
        <w:rPr>
          <w:noProof/>
          <w:lang w:val="fr-FR"/>
        </w:rPr>
        <w:t>’</w:t>
      </w:r>
      <w:r>
        <w:rPr>
          <w:noProof/>
          <w:lang w:val="fr-FR"/>
        </w:rPr>
        <w:t>enfant hors de sa famille pour le protéger), l</w:t>
      </w:r>
      <w:r w:rsidR="002A5D78">
        <w:rPr>
          <w:noProof/>
          <w:lang w:val="fr-FR"/>
        </w:rPr>
        <w:t>’</w:t>
      </w:r>
      <w:r w:rsidRPr="00F26257">
        <w:rPr>
          <w:noProof/>
          <w:lang w:val="fr-FR"/>
        </w:rPr>
        <w:t>Institut salvadorien pour le développement complet de l</w:t>
      </w:r>
      <w:r w:rsidR="002A5D78">
        <w:rPr>
          <w:noProof/>
          <w:lang w:val="fr-FR"/>
        </w:rPr>
        <w:t>’</w:t>
      </w:r>
      <w:r w:rsidRPr="00F26257">
        <w:rPr>
          <w:noProof/>
          <w:lang w:val="fr-FR"/>
        </w:rPr>
        <w:t>enfant et de l</w:t>
      </w:r>
      <w:r w:rsidR="002A5D78">
        <w:rPr>
          <w:noProof/>
          <w:lang w:val="fr-FR"/>
        </w:rPr>
        <w:t>’</w:t>
      </w:r>
      <w:r w:rsidRPr="00F26257">
        <w:rPr>
          <w:noProof/>
          <w:lang w:val="fr-FR"/>
        </w:rPr>
        <w:t>adolescent</w:t>
      </w:r>
      <w:r>
        <w:rPr>
          <w:noProof/>
          <w:lang w:val="fr-FR"/>
        </w:rPr>
        <w:t xml:space="preserve"> est chargé de coordonner et superviser les unités de prise en charge du Réseau de prise en charge partagée. Ces unités ont pour fonctions d</w:t>
      </w:r>
      <w:r w:rsidR="002A5D78">
        <w:rPr>
          <w:noProof/>
          <w:lang w:val="fr-FR"/>
        </w:rPr>
        <w:t>’</w:t>
      </w:r>
      <w:r>
        <w:rPr>
          <w:noProof/>
          <w:lang w:val="fr-FR"/>
        </w:rPr>
        <w:t>assurer la protection, le suivi, la défense, la promotion et la diffusion des droits des enfants et des adolescents. L</w:t>
      </w:r>
      <w:r w:rsidR="002A5D78">
        <w:rPr>
          <w:noProof/>
          <w:lang w:val="fr-FR"/>
        </w:rPr>
        <w:t>’</w:t>
      </w:r>
      <w:r>
        <w:rPr>
          <w:noProof/>
          <w:lang w:val="fr-FR"/>
        </w:rPr>
        <w:t>Institut salvadorien contrôle au moins tous les trois mois le fonctionnement des programmes de protection de remplacement des enfants et adolescents, surtout pour vérifier que les droits de ceux-ci sont respectés, et s</w:t>
      </w:r>
      <w:r w:rsidR="002A5D78">
        <w:rPr>
          <w:noProof/>
          <w:lang w:val="fr-FR"/>
        </w:rPr>
        <w:t>’</w:t>
      </w:r>
      <w:r>
        <w:rPr>
          <w:noProof/>
          <w:lang w:val="fr-FR"/>
        </w:rPr>
        <w:t>il constate une situation irrégulière, il doit la signaler immédiatement au Conseil national de l</w:t>
      </w:r>
      <w:r w:rsidR="002A5D78">
        <w:rPr>
          <w:noProof/>
          <w:lang w:val="fr-FR"/>
        </w:rPr>
        <w:t>’</w:t>
      </w:r>
      <w:r>
        <w:rPr>
          <w:noProof/>
          <w:lang w:val="fr-FR"/>
        </w:rPr>
        <w:t>enfance et de l</w:t>
      </w:r>
      <w:r w:rsidR="002A5D78">
        <w:rPr>
          <w:noProof/>
          <w:lang w:val="fr-FR"/>
        </w:rPr>
        <w:t>’</w:t>
      </w:r>
      <w:r>
        <w:rPr>
          <w:noProof/>
          <w:lang w:val="fr-FR"/>
        </w:rPr>
        <w:t>adolescence et aux autres autorités compétentes aux fins de déterminer la réponse à lui donner. Du fait qu</w:t>
      </w:r>
      <w:r w:rsidR="002A5D78">
        <w:rPr>
          <w:noProof/>
          <w:lang w:val="fr-FR"/>
        </w:rPr>
        <w:t>’</w:t>
      </w:r>
      <w:r>
        <w:rPr>
          <w:noProof/>
          <w:lang w:val="fr-FR"/>
        </w:rPr>
        <w:t>il a également compétence pour superviser l</w:t>
      </w:r>
      <w:r w:rsidR="002A5D78">
        <w:rPr>
          <w:noProof/>
          <w:lang w:val="fr-FR"/>
        </w:rPr>
        <w:t>’</w:t>
      </w:r>
      <w:r>
        <w:rPr>
          <w:noProof/>
          <w:lang w:val="fr-FR"/>
        </w:rPr>
        <w:t>exécution des mesures de placement en institution ou de prise en charge alternative, le Conseil national assure un suivi périodique de l</w:t>
      </w:r>
      <w:r w:rsidR="002A5D78">
        <w:rPr>
          <w:noProof/>
          <w:lang w:val="fr-FR"/>
        </w:rPr>
        <w:t>’</w:t>
      </w:r>
      <w:r>
        <w:rPr>
          <w:noProof/>
          <w:lang w:val="fr-FR"/>
        </w:rPr>
        <w:t>application des</w:t>
      </w:r>
      <w:r w:rsidR="00611216">
        <w:rPr>
          <w:noProof/>
          <w:lang w:val="fr-FR"/>
        </w:rPr>
        <w:t xml:space="preserve"> </w:t>
      </w:r>
      <w:r>
        <w:rPr>
          <w:noProof/>
          <w:lang w:val="fr-FR"/>
        </w:rPr>
        <w:t>« l</w:t>
      </w:r>
      <w:r w:rsidRPr="00F12772">
        <w:rPr>
          <w:noProof/>
          <w:lang w:val="fr-FR"/>
        </w:rPr>
        <w:t>ignes directrices relatives à la protection de remplacement pour les enfants</w:t>
      </w:r>
      <w:r>
        <w:rPr>
          <w:noProof/>
          <w:lang w:val="fr-FR"/>
        </w:rPr>
        <w:t> » approuvées par l</w:t>
      </w:r>
      <w:r w:rsidR="002A5D78">
        <w:rPr>
          <w:noProof/>
          <w:lang w:val="fr-FR"/>
        </w:rPr>
        <w:t>’</w:t>
      </w:r>
      <w:r>
        <w:rPr>
          <w:noProof/>
          <w:lang w:val="fr-FR"/>
        </w:rPr>
        <w:t>Assemblée générale de l</w:t>
      </w:r>
      <w:r w:rsidR="002A5D78">
        <w:rPr>
          <w:noProof/>
          <w:lang w:val="fr-FR"/>
        </w:rPr>
        <w:t>’</w:t>
      </w:r>
      <w:r>
        <w:rPr>
          <w:noProof/>
          <w:lang w:val="fr-FR"/>
        </w:rPr>
        <w:t>ONU et du « guide à l</w:t>
      </w:r>
      <w:r w:rsidR="002A5D78">
        <w:rPr>
          <w:noProof/>
          <w:lang w:val="fr-FR"/>
        </w:rPr>
        <w:t>’</w:t>
      </w:r>
      <w:r>
        <w:rPr>
          <w:noProof/>
          <w:lang w:val="fr-FR"/>
        </w:rPr>
        <w:t xml:space="preserve">intention du personnel des organismes publics et privés chargés de protéger les droits des enfants et des adolescents » </w:t>
      </w:r>
      <w:r w:rsidRPr="00410C6E">
        <w:rPr>
          <w:noProof/>
          <w:lang w:val="fr-FR"/>
        </w:rPr>
        <w:t xml:space="preserve">publié </w:t>
      </w:r>
      <w:r>
        <w:rPr>
          <w:noProof/>
          <w:lang w:val="fr-FR"/>
        </w:rPr>
        <w:t xml:space="preserve">conjointement </w:t>
      </w:r>
      <w:r w:rsidRPr="00410C6E">
        <w:rPr>
          <w:noProof/>
          <w:lang w:val="fr-FR"/>
        </w:rPr>
        <w:t>par le Réseau latino-américain de l</w:t>
      </w:r>
      <w:r w:rsidR="002A5D78">
        <w:rPr>
          <w:noProof/>
          <w:lang w:val="fr-FR"/>
        </w:rPr>
        <w:t>’</w:t>
      </w:r>
      <w:r w:rsidRPr="00410C6E">
        <w:rPr>
          <w:noProof/>
          <w:lang w:val="fr-FR"/>
        </w:rPr>
        <w:t>accueil en milieu familal et l</w:t>
      </w:r>
      <w:r w:rsidR="002A5D78">
        <w:rPr>
          <w:noProof/>
          <w:lang w:val="fr-FR"/>
        </w:rPr>
        <w:t>’</w:t>
      </w:r>
      <w:r w:rsidRPr="00410C6E">
        <w:rPr>
          <w:noProof/>
          <w:lang w:val="fr-FR"/>
        </w:rPr>
        <w:t>UNICEF</w:t>
      </w:r>
      <w:r>
        <w:rPr>
          <w:noProof/>
          <w:lang w:val="fr-FR"/>
        </w:rPr>
        <w:t>.</w:t>
      </w:r>
    </w:p>
    <w:p w14:paraId="4008B2AD" w14:textId="77777777" w:rsidR="00B51FCF" w:rsidRDefault="00B51FCF" w:rsidP="00B51FCF">
      <w:pPr>
        <w:pStyle w:val="SingleTxtG"/>
        <w:rPr>
          <w:noProof/>
          <w:lang w:val="fr-FR"/>
        </w:rPr>
      </w:pPr>
      <w:r w:rsidRPr="00AC263A">
        <w:rPr>
          <w:noProof/>
          <w:lang w:val="fr-FR"/>
        </w:rPr>
        <w:t>108.</w:t>
      </w:r>
      <w:r w:rsidRPr="00AC263A">
        <w:rPr>
          <w:noProof/>
          <w:lang w:val="fr-FR"/>
        </w:rPr>
        <w:tab/>
      </w:r>
      <w:r>
        <w:rPr>
          <w:noProof/>
          <w:lang w:val="fr-FR"/>
        </w:rPr>
        <w:t>En ce qui concerne l</w:t>
      </w:r>
      <w:r w:rsidR="002A5D78">
        <w:rPr>
          <w:noProof/>
          <w:lang w:val="fr-FR"/>
        </w:rPr>
        <w:t>’</w:t>
      </w:r>
      <w:r>
        <w:rPr>
          <w:noProof/>
          <w:lang w:val="fr-FR"/>
        </w:rPr>
        <w:t>interdiction légale de l</w:t>
      </w:r>
      <w:r w:rsidR="002A5D78">
        <w:rPr>
          <w:noProof/>
          <w:lang w:val="fr-FR"/>
        </w:rPr>
        <w:t>’</w:t>
      </w:r>
      <w:r>
        <w:rPr>
          <w:noProof/>
          <w:lang w:val="fr-FR"/>
        </w:rPr>
        <w:t xml:space="preserve">avortement, </w:t>
      </w:r>
      <w:r w:rsidRPr="0083558F">
        <w:rPr>
          <w:noProof/>
          <w:lang w:val="fr-FR"/>
        </w:rPr>
        <w:t>l</w:t>
      </w:r>
      <w:r w:rsidR="002A5D78">
        <w:rPr>
          <w:noProof/>
          <w:lang w:val="fr-FR"/>
        </w:rPr>
        <w:t>’</w:t>
      </w:r>
      <w:r w:rsidRPr="0083558F">
        <w:rPr>
          <w:noProof/>
          <w:lang w:val="fr-FR"/>
        </w:rPr>
        <w:t>Assemblée législative a été saisie</w:t>
      </w:r>
      <w:r>
        <w:rPr>
          <w:noProof/>
          <w:lang w:val="fr-FR"/>
        </w:rPr>
        <w:t xml:space="preserve"> en juillet 2016</w:t>
      </w:r>
      <w:r w:rsidRPr="0083558F">
        <w:rPr>
          <w:noProof/>
          <w:lang w:val="fr-FR"/>
        </w:rPr>
        <w:t xml:space="preserve"> d</w:t>
      </w:r>
      <w:r w:rsidR="002A5D78">
        <w:rPr>
          <w:noProof/>
          <w:lang w:val="fr-FR"/>
        </w:rPr>
        <w:t>’</w:t>
      </w:r>
      <w:r w:rsidRPr="0083558F">
        <w:rPr>
          <w:noProof/>
          <w:lang w:val="fr-FR"/>
        </w:rPr>
        <w:t>une proposition de réforme des dispositions du Code pénal relatives à l</w:t>
      </w:r>
      <w:r w:rsidR="002A5D78">
        <w:rPr>
          <w:noProof/>
          <w:lang w:val="fr-FR"/>
        </w:rPr>
        <w:t>’</w:t>
      </w:r>
      <w:r w:rsidRPr="0083558F">
        <w:rPr>
          <w:noProof/>
          <w:lang w:val="fr-FR"/>
        </w:rPr>
        <w:t xml:space="preserve">avortement </w:t>
      </w:r>
      <w:r>
        <w:rPr>
          <w:noProof/>
          <w:lang w:val="fr-FR"/>
        </w:rPr>
        <w:t>consenti et à l</w:t>
      </w:r>
      <w:r w:rsidR="002A5D78">
        <w:rPr>
          <w:noProof/>
          <w:lang w:val="fr-FR"/>
        </w:rPr>
        <w:t>’</w:t>
      </w:r>
      <w:r>
        <w:rPr>
          <w:noProof/>
          <w:lang w:val="fr-FR"/>
        </w:rPr>
        <w:t>auto-avortement</w:t>
      </w:r>
      <w:r w:rsidRPr="0083558F">
        <w:rPr>
          <w:noProof/>
          <w:lang w:val="fr-FR"/>
        </w:rPr>
        <w:t xml:space="preserve"> </w:t>
      </w:r>
      <w:r>
        <w:rPr>
          <w:noProof/>
          <w:lang w:val="fr-FR"/>
        </w:rPr>
        <w:t>aux termes de laquelle ces actes ne sera</w:t>
      </w:r>
      <w:r w:rsidRPr="0083558F">
        <w:rPr>
          <w:noProof/>
          <w:lang w:val="fr-FR"/>
        </w:rPr>
        <w:t xml:space="preserve">ient plus </w:t>
      </w:r>
      <w:r>
        <w:rPr>
          <w:noProof/>
          <w:lang w:val="fr-FR"/>
        </w:rPr>
        <w:t>passibles de sanctions pénales</w:t>
      </w:r>
      <w:r w:rsidRPr="0083558F">
        <w:rPr>
          <w:noProof/>
          <w:lang w:val="fr-FR"/>
        </w:rPr>
        <w:t xml:space="preserve"> dans les cas suivants</w:t>
      </w:r>
      <w:r w:rsidR="00611216">
        <w:rPr>
          <w:noProof/>
          <w:lang w:val="fr-FR"/>
        </w:rPr>
        <w:t> </w:t>
      </w:r>
      <w:r w:rsidRPr="0083558F">
        <w:rPr>
          <w:noProof/>
          <w:lang w:val="fr-FR"/>
        </w:rPr>
        <w:t xml:space="preserve">: lorsque </w:t>
      </w:r>
      <w:r>
        <w:rPr>
          <w:noProof/>
          <w:lang w:val="fr-FR"/>
        </w:rPr>
        <w:t>la grossesse est la conséquence d</w:t>
      </w:r>
      <w:r w:rsidR="002A5D78">
        <w:rPr>
          <w:noProof/>
          <w:lang w:val="fr-FR"/>
        </w:rPr>
        <w:t>’</w:t>
      </w:r>
      <w:r>
        <w:rPr>
          <w:noProof/>
          <w:lang w:val="fr-FR"/>
        </w:rPr>
        <w:t>un viol ou de la traite de personnes</w:t>
      </w:r>
      <w:r w:rsidR="00611216">
        <w:rPr>
          <w:noProof/>
          <w:lang w:val="fr-FR"/>
        </w:rPr>
        <w:t> </w:t>
      </w:r>
      <w:r w:rsidRPr="0083558F">
        <w:rPr>
          <w:noProof/>
          <w:lang w:val="fr-FR"/>
        </w:rPr>
        <w:t>; pour sauver la vie de la femme enceinte et protéger sa santé</w:t>
      </w:r>
      <w:r w:rsidR="00611216">
        <w:rPr>
          <w:noProof/>
          <w:lang w:val="fr-FR"/>
        </w:rPr>
        <w:t> </w:t>
      </w:r>
      <w:r w:rsidRPr="0083558F">
        <w:rPr>
          <w:noProof/>
          <w:lang w:val="fr-FR"/>
        </w:rPr>
        <w:t>; et en cas de malformation du fœtus qui le rendrait non viable en milieu extra-utérin.</w:t>
      </w:r>
      <w:r>
        <w:rPr>
          <w:noProof/>
          <w:lang w:val="fr-FR"/>
        </w:rPr>
        <w:t xml:space="preserve"> L</w:t>
      </w:r>
      <w:r w:rsidR="002A5D78">
        <w:rPr>
          <w:noProof/>
          <w:lang w:val="fr-FR"/>
        </w:rPr>
        <w:t>’</w:t>
      </w:r>
      <w:r>
        <w:rPr>
          <w:noProof/>
          <w:lang w:val="fr-FR"/>
        </w:rPr>
        <w:t>Assemblée législative n</w:t>
      </w:r>
      <w:r w:rsidR="002A5D78">
        <w:rPr>
          <w:noProof/>
          <w:lang w:val="fr-FR"/>
        </w:rPr>
        <w:t>’</w:t>
      </w:r>
      <w:r>
        <w:rPr>
          <w:noProof/>
          <w:lang w:val="fr-FR"/>
        </w:rPr>
        <w:t>a pas encore conclu son examen de cette proposition.</w:t>
      </w:r>
    </w:p>
    <w:p w14:paraId="28BB5D82" w14:textId="77777777" w:rsidR="00B51FCF" w:rsidRDefault="00B51FCF" w:rsidP="00B51FCF">
      <w:pPr>
        <w:pStyle w:val="SingleTxtG"/>
        <w:rPr>
          <w:noProof/>
          <w:lang w:val="fr-FR"/>
        </w:rPr>
      </w:pPr>
      <w:r w:rsidRPr="00AC263A">
        <w:rPr>
          <w:noProof/>
          <w:lang w:val="fr-FR"/>
        </w:rPr>
        <w:t>109.</w:t>
      </w:r>
      <w:r w:rsidRPr="00AC263A">
        <w:rPr>
          <w:noProof/>
          <w:lang w:val="fr-FR"/>
        </w:rPr>
        <w:tab/>
      </w:r>
      <w:r w:rsidRPr="0040782D">
        <w:rPr>
          <w:noProof/>
          <w:lang w:val="fr-FR"/>
        </w:rPr>
        <w:t>En 2018, la Cour suprême de justice a accordé une commutation de leur peine (</w:t>
      </w:r>
      <w:r w:rsidRPr="0040782D">
        <w:rPr>
          <w:i/>
          <w:noProof/>
          <w:lang w:val="fr-FR"/>
        </w:rPr>
        <w:t>indulto</w:t>
      </w:r>
      <w:r w:rsidRPr="0040782D">
        <w:rPr>
          <w:noProof/>
          <w:lang w:val="fr-FR"/>
        </w:rPr>
        <w:t xml:space="preserve">) à deux femmes qui avaient été condamnées pour des faits liés à des </w:t>
      </w:r>
      <w:r>
        <w:rPr>
          <w:noProof/>
          <w:lang w:val="fr-FR"/>
        </w:rPr>
        <w:t>urgences obstétricales</w:t>
      </w:r>
      <w:r w:rsidRPr="0040782D">
        <w:rPr>
          <w:noProof/>
          <w:lang w:val="fr-FR"/>
        </w:rPr>
        <w:t xml:space="preserve">, et depuis 2016 le Ministère de la justice et de la sécurité publique a </w:t>
      </w:r>
      <w:r>
        <w:rPr>
          <w:noProof/>
          <w:lang w:val="fr-FR"/>
        </w:rPr>
        <w:t>accordé</w:t>
      </w:r>
      <w:r w:rsidRPr="0040782D">
        <w:rPr>
          <w:noProof/>
          <w:lang w:val="fr-FR"/>
        </w:rPr>
        <w:t xml:space="preserve"> 21 commutations de peine </w:t>
      </w:r>
      <w:r>
        <w:rPr>
          <w:noProof/>
          <w:lang w:val="fr-FR"/>
        </w:rPr>
        <w:t>à des</w:t>
      </w:r>
      <w:r w:rsidRPr="0040782D">
        <w:rPr>
          <w:noProof/>
          <w:lang w:val="fr-FR"/>
        </w:rPr>
        <w:t xml:space="preserve"> femmes condamnées du chef de meurtre aggravé en raison </w:t>
      </w:r>
      <w:r>
        <w:rPr>
          <w:noProof/>
          <w:lang w:val="fr-FR"/>
        </w:rPr>
        <w:t>d</w:t>
      </w:r>
      <w:r w:rsidR="002A5D78">
        <w:rPr>
          <w:noProof/>
          <w:lang w:val="fr-FR"/>
        </w:rPr>
        <w:t>’</w:t>
      </w:r>
      <w:r>
        <w:rPr>
          <w:noProof/>
          <w:lang w:val="fr-FR"/>
        </w:rPr>
        <w:t>urgences obstétricales</w:t>
      </w:r>
      <w:r w:rsidRPr="0040782D">
        <w:rPr>
          <w:noProof/>
          <w:lang w:val="fr-FR"/>
        </w:rPr>
        <w:t xml:space="preserve"> et mis en place un plan de réinsertion sociale et de réparation </w:t>
      </w:r>
      <w:r>
        <w:rPr>
          <w:noProof/>
          <w:lang w:val="fr-FR"/>
        </w:rPr>
        <w:t>en faveur des femmes ayant eu à répondre du même chef devant la justice</w:t>
      </w:r>
      <w:r w:rsidRPr="0040782D">
        <w:rPr>
          <w:noProof/>
          <w:lang w:val="fr-FR"/>
        </w:rPr>
        <w:t>.</w:t>
      </w:r>
    </w:p>
    <w:p w14:paraId="36FF02B8" w14:textId="77777777" w:rsidR="00B51FCF" w:rsidRPr="00AC263A" w:rsidRDefault="00B51FCF" w:rsidP="00B51FCF">
      <w:pPr>
        <w:pStyle w:val="H23G"/>
        <w:rPr>
          <w:noProof/>
          <w:u w:color="000000"/>
          <w:lang w:val="fr-FR"/>
        </w:rPr>
      </w:pPr>
      <w:bookmarkStart w:id="15" w:name="_Toc7"/>
      <w:r w:rsidRPr="00AC263A">
        <w:rPr>
          <w:noProof/>
          <w:u w:color="000000"/>
          <w:lang w:val="fr-FR"/>
        </w:rPr>
        <w:tab/>
      </w:r>
      <w:r w:rsidRPr="00AC263A">
        <w:rPr>
          <w:noProof/>
          <w:u w:color="000000"/>
          <w:lang w:val="fr-FR"/>
        </w:rPr>
        <w:tab/>
      </w:r>
      <w:bookmarkEnd w:id="15"/>
      <w:r>
        <w:rPr>
          <w:noProof/>
          <w:u w:color="000000"/>
          <w:lang w:val="fr-FR"/>
        </w:rPr>
        <w:t>Questions diverses</w:t>
      </w:r>
    </w:p>
    <w:p w14:paraId="7018130D" w14:textId="77777777" w:rsidR="00B51FCF" w:rsidRDefault="00B51FCF" w:rsidP="00B51FCF">
      <w:pPr>
        <w:pStyle w:val="SingleTxtG"/>
        <w:rPr>
          <w:noProof/>
          <w:lang w:val="fr-FR"/>
        </w:rPr>
      </w:pPr>
      <w:r w:rsidRPr="00AC263A">
        <w:rPr>
          <w:noProof/>
          <w:lang w:val="fr-FR"/>
        </w:rPr>
        <w:t>110.</w:t>
      </w:r>
      <w:r w:rsidRPr="00AC263A">
        <w:rPr>
          <w:noProof/>
          <w:lang w:val="fr-FR"/>
        </w:rPr>
        <w:tab/>
      </w:r>
      <w:r>
        <w:rPr>
          <w:noProof/>
          <w:lang w:val="fr-FR"/>
        </w:rPr>
        <w:t>El Salvador a ratifié en 2014 le d</w:t>
      </w:r>
      <w:r w:rsidRPr="00055E0B">
        <w:rPr>
          <w:noProof/>
          <w:lang w:val="fr-FR"/>
        </w:rPr>
        <w:t xml:space="preserve">euxième </w:t>
      </w:r>
      <w:r w:rsidR="001B4BC1">
        <w:rPr>
          <w:noProof/>
          <w:lang w:val="fr-FR"/>
        </w:rPr>
        <w:t>P</w:t>
      </w:r>
      <w:r w:rsidRPr="00055E0B">
        <w:rPr>
          <w:noProof/>
          <w:lang w:val="fr-FR"/>
        </w:rPr>
        <w:t>rotocole facultatif se rapportant au Pacte international relatif aux droits civils et politiques, visant à abolir la peine de mort</w:t>
      </w:r>
      <w:r>
        <w:rPr>
          <w:noProof/>
          <w:lang w:val="fr-FR"/>
        </w:rPr>
        <w:t>, en formulant cependant une réserve qui lui permet d</w:t>
      </w:r>
      <w:r w:rsidR="002A5D78">
        <w:rPr>
          <w:noProof/>
          <w:lang w:val="fr-FR"/>
        </w:rPr>
        <w:t>’</w:t>
      </w:r>
      <w:r>
        <w:rPr>
          <w:noProof/>
          <w:lang w:val="fr-FR"/>
        </w:rPr>
        <w:t>appliquer la peine de mort conformément aux dispositions de l</w:t>
      </w:r>
      <w:r w:rsidR="002A5D78">
        <w:rPr>
          <w:noProof/>
          <w:lang w:val="fr-FR"/>
        </w:rPr>
        <w:t>’</w:t>
      </w:r>
      <w:r>
        <w:rPr>
          <w:noProof/>
          <w:lang w:val="fr-FR"/>
        </w:rPr>
        <w:t>article 27 de sa Constitution, c</w:t>
      </w:r>
      <w:r w:rsidR="002A5D78">
        <w:rPr>
          <w:noProof/>
          <w:lang w:val="fr-FR"/>
        </w:rPr>
        <w:t>’</w:t>
      </w:r>
      <w:r>
        <w:rPr>
          <w:noProof/>
          <w:lang w:val="fr-FR"/>
        </w:rPr>
        <w:t xml:space="preserve">est-à-dire « uniquement… dans les cas prévus par les lois militaires pendant un état de guerre internationale » ; il a ratifié en 2015 le Statut de Rome de la Cour pénale internationale ; et il a retiré en 2016 sa réserve à la Convention contre la torture </w:t>
      </w:r>
      <w:r w:rsidRPr="00AF6951">
        <w:rPr>
          <w:noProof/>
          <w:lang w:val="fr-FR"/>
        </w:rPr>
        <w:t>et autres peines ou traitements cruels, inhumains et dégradants</w:t>
      </w:r>
      <w:r>
        <w:rPr>
          <w:noProof/>
          <w:lang w:val="fr-FR"/>
        </w:rPr>
        <w:t>. L</w:t>
      </w:r>
      <w:r w:rsidR="002A5D78">
        <w:rPr>
          <w:noProof/>
          <w:lang w:val="fr-FR"/>
        </w:rPr>
        <w:t>’</w:t>
      </w:r>
      <w:r>
        <w:rPr>
          <w:noProof/>
          <w:lang w:val="fr-FR"/>
        </w:rPr>
        <w:t>Assemblée législative, dont la composition a changé avec les élections de 2018 et dont le mandat court jusqu</w:t>
      </w:r>
      <w:r w:rsidR="002A5D78">
        <w:rPr>
          <w:noProof/>
          <w:lang w:val="fr-FR"/>
        </w:rPr>
        <w:t>’</w:t>
      </w:r>
      <w:r>
        <w:rPr>
          <w:noProof/>
          <w:lang w:val="fr-FR"/>
        </w:rPr>
        <w:t xml:space="preserve">en 2021, examine actuellement la </w:t>
      </w:r>
      <w:r w:rsidRPr="0042123A">
        <w:rPr>
          <w:noProof/>
          <w:lang w:val="fr-FR"/>
        </w:rPr>
        <w:t>Convention internationale pour la protection de toutes les personnes contre les disparitions forcées</w:t>
      </w:r>
      <w:r>
        <w:rPr>
          <w:noProof/>
          <w:lang w:val="fr-FR"/>
        </w:rPr>
        <w:t xml:space="preserve">, le </w:t>
      </w:r>
      <w:r w:rsidRPr="0042123A">
        <w:rPr>
          <w:noProof/>
          <w:lang w:val="fr-FR"/>
        </w:rPr>
        <w:t>Protocole facultatif se rapportant à la Convention contre la torture et autres peines ou traitements cruels, inhumains ou dégradants</w:t>
      </w:r>
      <w:r>
        <w:rPr>
          <w:noProof/>
          <w:lang w:val="fr-FR"/>
        </w:rPr>
        <w:t xml:space="preserve"> et le </w:t>
      </w:r>
      <w:r w:rsidRPr="0042123A">
        <w:rPr>
          <w:noProof/>
          <w:lang w:val="fr-FR"/>
        </w:rPr>
        <w:t>Protocole facultatif à</w:t>
      </w:r>
      <w:r>
        <w:rPr>
          <w:noProof/>
          <w:lang w:val="fr-FR"/>
        </w:rPr>
        <w:t xml:space="preserve"> la Convention </w:t>
      </w:r>
      <w:r w:rsidRPr="0042123A">
        <w:rPr>
          <w:noProof/>
          <w:lang w:val="fr-FR"/>
        </w:rPr>
        <w:t>sur l</w:t>
      </w:r>
      <w:r w:rsidR="002A5D78">
        <w:rPr>
          <w:noProof/>
          <w:lang w:val="fr-FR"/>
        </w:rPr>
        <w:t>’</w:t>
      </w:r>
      <w:r w:rsidRPr="0042123A">
        <w:rPr>
          <w:noProof/>
          <w:lang w:val="fr-FR"/>
        </w:rPr>
        <w:t>élimination de toutes les formes de discrimination à l</w:t>
      </w:r>
      <w:r w:rsidR="002A5D78">
        <w:rPr>
          <w:noProof/>
          <w:lang w:val="fr-FR"/>
        </w:rPr>
        <w:t>’</w:t>
      </w:r>
      <w:r w:rsidRPr="0042123A">
        <w:rPr>
          <w:noProof/>
          <w:lang w:val="fr-FR"/>
        </w:rPr>
        <w:t>égard des femmes</w:t>
      </w:r>
      <w:r>
        <w:rPr>
          <w:noProof/>
          <w:lang w:val="fr-FR"/>
        </w:rPr>
        <w:t>.</w:t>
      </w:r>
    </w:p>
    <w:p w14:paraId="669FBB21" w14:textId="77777777" w:rsidR="00B51FCF" w:rsidRDefault="00B51FCF" w:rsidP="00B51FCF">
      <w:pPr>
        <w:pStyle w:val="SingleTxtG"/>
        <w:rPr>
          <w:noProof/>
          <w:lang w:val="fr-FR"/>
        </w:rPr>
      </w:pPr>
      <w:r w:rsidRPr="00AC263A">
        <w:rPr>
          <w:noProof/>
          <w:lang w:val="fr-FR"/>
        </w:rPr>
        <w:t>111.</w:t>
      </w:r>
      <w:r w:rsidRPr="00AC263A">
        <w:rPr>
          <w:noProof/>
          <w:lang w:val="fr-FR"/>
        </w:rPr>
        <w:tab/>
      </w:r>
      <w:r>
        <w:rPr>
          <w:noProof/>
          <w:lang w:val="fr-FR"/>
        </w:rPr>
        <w:t xml:space="preserve">En ce qui concerne les autres instruments internationaux ratifiés par El Salvador, notre pays a ratifié en 2011 le </w:t>
      </w:r>
      <w:r w:rsidRPr="0060147C">
        <w:rPr>
          <w:noProof/>
          <w:lang w:val="fr-FR"/>
        </w:rPr>
        <w:t>Protocole facultatif se rapportant au Pacte international relatif aux droits économiques, sociaux et culturels</w:t>
      </w:r>
      <w:r>
        <w:rPr>
          <w:noProof/>
          <w:lang w:val="fr-FR"/>
        </w:rPr>
        <w:t>.</w:t>
      </w:r>
    </w:p>
    <w:p w14:paraId="18DABFED" w14:textId="77777777" w:rsidR="00B51FCF" w:rsidRPr="00206935" w:rsidRDefault="00B51FCF" w:rsidP="007B1228">
      <w:pPr>
        <w:pStyle w:val="H1G"/>
        <w:rPr>
          <w:noProof/>
          <w:u w:color="000000"/>
          <w:lang w:val="fr-FR"/>
        </w:rPr>
      </w:pPr>
      <w:bookmarkStart w:id="16" w:name="_Toc8"/>
      <w:r w:rsidRPr="00AC263A">
        <w:rPr>
          <w:noProof/>
          <w:u w:color="000000"/>
          <w:lang w:val="fr-FR"/>
        </w:rPr>
        <w:lastRenderedPageBreak/>
        <w:tab/>
      </w:r>
      <w:r w:rsidRPr="00AC263A">
        <w:rPr>
          <w:noProof/>
          <w:u w:color="000000"/>
          <w:lang w:val="fr-FR"/>
        </w:rPr>
        <w:tab/>
      </w:r>
      <w:r w:rsidRPr="00DB339F">
        <w:rPr>
          <w:noProof/>
          <w:spacing w:val="-2"/>
          <w:u w:color="000000"/>
          <w:lang w:val="fr-FR"/>
        </w:rPr>
        <w:t xml:space="preserve">Informations générales sur la situation nationale en matière </w:t>
      </w:r>
      <w:r w:rsidR="00DB339F" w:rsidRPr="00DB339F">
        <w:rPr>
          <w:noProof/>
          <w:spacing w:val="-2"/>
          <w:u w:color="000000"/>
          <w:lang w:val="fr-FR"/>
        </w:rPr>
        <w:br/>
      </w:r>
      <w:r w:rsidRPr="00DB339F">
        <w:rPr>
          <w:noProof/>
          <w:spacing w:val="2"/>
          <w:u w:color="000000"/>
          <w:lang w:val="fr-FR"/>
        </w:rPr>
        <w:t>de droits de l</w:t>
      </w:r>
      <w:r w:rsidR="002A5D78" w:rsidRPr="00DB339F">
        <w:rPr>
          <w:noProof/>
          <w:spacing w:val="2"/>
          <w:u w:color="000000"/>
          <w:lang w:val="fr-FR"/>
        </w:rPr>
        <w:t>’</w:t>
      </w:r>
      <w:r w:rsidRPr="00DB339F">
        <w:rPr>
          <w:noProof/>
          <w:spacing w:val="2"/>
          <w:u w:color="000000"/>
          <w:lang w:val="fr-FR"/>
        </w:rPr>
        <w:t xml:space="preserve">homme, y compris sur les faits nouveaux et </w:t>
      </w:r>
      <w:r w:rsidR="00DB339F">
        <w:rPr>
          <w:noProof/>
          <w:u w:color="000000"/>
          <w:lang w:val="fr-FR"/>
        </w:rPr>
        <w:br/>
      </w:r>
      <w:r>
        <w:rPr>
          <w:noProof/>
          <w:u w:color="000000"/>
          <w:lang w:val="fr-FR"/>
        </w:rPr>
        <w:t>les mesures se rapportant à l</w:t>
      </w:r>
      <w:r w:rsidR="002A5D78">
        <w:rPr>
          <w:noProof/>
          <w:u w:color="000000"/>
          <w:lang w:val="fr-FR"/>
        </w:rPr>
        <w:t>’</w:t>
      </w:r>
      <w:r>
        <w:rPr>
          <w:noProof/>
          <w:u w:color="000000"/>
          <w:lang w:val="fr-FR"/>
        </w:rPr>
        <w:t>application de la Convention</w:t>
      </w:r>
    </w:p>
    <w:bookmarkEnd w:id="16"/>
    <w:p w14:paraId="1B019FE5" w14:textId="77777777" w:rsidR="00B51FCF" w:rsidRPr="005364F0" w:rsidRDefault="00B51FCF" w:rsidP="00B51FCF">
      <w:pPr>
        <w:pStyle w:val="SingleTxtG"/>
        <w:rPr>
          <w:iCs/>
          <w:noProof/>
          <w:lang w:val="fr-FR"/>
        </w:rPr>
      </w:pPr>
      <w:r w:rsidRPr="00AC263A">
        <w:rPr>
          <w:noProof/>
          <w:lang w:val="fr-FR"/>
        </w:rPr>
        <w:t>112.</w:t>
      </w:r>
      <w:r w:rsidRPr="00AC263A">
        <w:rPr>
          <w:i/>
          <w:iCs/>
          <w:noProof/>
          <w:lang w:val="fr-FR"/>
        </w:rPr>
        <w:tab/>
      </w:r>
      <w:r w:rsidRPr="005364F0">
        <w:rPr>
          <w:iCs/>
          <w:noProof/>
          <w:lang w:val="fr-FR"/>
        </w:rPr>
        <w:t>Afin de garantir la conformité du cadre juridique interne avec les normes internationales en matière de droits de l</w:t>
      </w:r>
      <w:r w:rsidR="002A5D78">
        <w:rPr>
          <w:iCs/>
          <w:noProof/>
          <w:lang w:val="fr-FR"/>
        </w:rPr>
        <w:t>’</w:t>
      </w:r>
      <w:r w:rsidRPr="005364F0">
        <w:rPr>
          <w:iCs/>
          <w:noProof/>
          <w:lang w:val="fr-FR"/>
        </w:rPr>
        <w:t>homme, El Salvad</w:t>
      </w:r>
      <w:r>
        <w:rPr>
          <w:iCs/>
          <w:noProof/>
          <w:lang w:val="fr-FR"/>
        </w:rPr>
        <w:t>or a adopté les lois suivantes</w:t>
      </w:r>
      <w:r w:rsidR="00DB339F">
        <w:rPr>
          <w:iCs/>
          <w:noProof/>
          <w:lang w:val="fr-FR"/>
        </w:rPr>
        <w:t> </w:t>
      </w:r>
      <w:r>
        <w:rPr>
          <w:iCs/>
          <w:noProof/>
          <w:lang w:val="fr-FR"/>
        </w:rPr>
        <w:t>: loi sur l</w:t>
      </w:r>
      <w:r w:rsidR="002A5D78">
        <w:rPr>
          <w:iCs/>
          <w:noProof/>
          <w:lang w:val="fr-FR"/>
        </w:rPr>
        <w:t>’</w:t>
      </w:r>
      <w:r>
        <w:rPr>
          <w:iCs/>
          <w:noProof/>
          <w:lang w:val="fr-FR"/>
        </w:rPr>
        <w:t>accès à l</w:t>
      </w:r>
      <w:r w:rsidR="002A5D78">
        <w:rPr>
          <w:iCs/>
          <w:noProof/>
          <w:lang w:val="fr-FR"/>
        </w:rPr>
        <w:t>’</w:t>
      </w:r>
      <w:r>
        <w:rPr>
          <w:iCs/>
          <w:noProof/>
          <w:lang w:val="fr-FR"/>
        </w:rPr>
        <w:t>information publique (2011)</w:t>
      </w:r>
      <w:r w:rsidR="00DB339F">
        <w:rPr>
          <w:iCs/>
          <w:noProof/>
          <w:lang w:val="fr-FR"/>
        </w:rPr>
        <w:t> ;</w:t>
      </w:r>
      <w:r>
        <w:rPr>
          <w:iCs/>
          <w:noProof/>
          <w:lang w:val="fr-FR"/>
        </w:rPr>
        <w:t xml:space="preserve"> </w:t>
      </w:r>
      <w:r w:rsidRPr="00D9121C">
        <w:rPr>
          <w:iCs/>
          <w:noProof/>
          <w:lang w:val="fr-FR"/>
        </w:rPr>
        <w:t>loi spéciale pour la protection et la promotion des migrants salvadoriens et des membres de leur famille</w:t>
      </w:r>
      <w:r>
        <w:rPr>
          <w:iCs/>
          <w:noProof/>
          <w:lang w:val="fr-FR"/>
        </w:rPr>
        <w:t xml:space="preserve"> (2011)</w:t>
      </w:r>
      <w:r w:rsidR="00DB339F">
        <w:rPr>
          <w:iCs/>
          <w:noProof/>
          <w:lang w:val="fr-FR"/>
        </w:rPr>
        <w:t> ;</w:t>
      </w:r>
      <w:r>
        <w:rPr>
          <w:iCs/>
          <w:noProof/>
          <w:lang w:val="fr-FR"/>
        </w:rPr>
        <w:t xml:space="preserve"> loi sur </w:t>
      </w:r>
      <w:r w:rsidRPr="00D9121C">
        <w:rPr>
          <w:iCs/>
          <w:noProof/>
          <w:lang w:val="fr-FR"/>
        </w:rPr>
        <w:t>la protection, la promotion et le soutien de l</w:t>
      </w:r>
      <w:r w:rsidR="002A5D78">
        <w:rPr>
          <w:iCs/>
          <w:noProof/>
          <w:lang w:val="fr-FR"/>
        </w:rPr>
        <w:t>’</w:t>
      </w:r>
      <w:r w:rsidRPr="00D9121C">
        <w:rPr>
          <w:iCs/>
          <w:noProof/>
          <w:lang w:val="fr-FR"/>
        </w:rPr>
        <w:t>allaitement maternel</w:t>
      </w:r>
      <w:r>
        <w:rPr>
          <w:iCs/>
          <w:noProof/>
          <w:lang w:val="fr-FR"/>
        </w:rPr>
        <w:t xml:space="preserve"> (201</w:t>
      </w:r>
      <w:r w:rsidR="00DB339F">
        <w:rPr>
          <w:iCs/>
          <w:noProof/>
          <w:lang w:val="fr-FR"/>
        </w:rPr>
        <w:t>3</w:t>
      </w:r>
      <w:r>
        <w:rPr>
          <w:iCs/>
          <w:noProof/>
          <w:lang w:val="fr-FR"/>
        </w:rPr>
        <w:t>)</w:t>
      </w:r>
      <w:r w:rsidR="00DB339F">
        <w:rPr>
          <w:iCs/>
          <w:noProof/>
          <w:lang w:val="fr-FR"/>
        </w:rPr>
        <w:t> ;</w:t>
      </w:r>
      <w:r>
        <w:rPr>
          <w:iCs/>
          <w:noProof/>
          <w:lang w:val="fr-FR"/>
        </w:rPr>
        <w:t xml:space="preserve"> </w:t>
      </w:r>
      <w:r w:rsidRPr="00D9121C">
        <w:rPr>
          <w:iCs/>
          <w:noProof/>
          <w:lang w:val="fr-FR"/>
        </w:rPr>
        <w:t xml:space="preserve">loi spéciale </w:t>
      </w:r>
      <w:r>
        <w:rPr>
          <w:iCs/>
          <w:noProof/>
          <w:lang w:val="fr-FR"/>
        </w:rPr>
        <w:t xml:space="preserve">relative à la </w:t>
      </w:r>
      <w:r w:rsidRPr="00D9121C">
        <w:rPr>
          <w:iCs/>
          <w:noProof/>
          <w:lang w:val="fr-FR"/>
        </w:rPr>
        <w:t>lutte contre la traite des personnes (2014)</w:t>
      </w:r>
      <w:r w:rsidR="00DB339F">
        <w:rPr>
          <w:iCs/>
          <w:noProof/>
          <w:lang w:val="fr-FR"/>
        </w:rPr>
        <w:t> ;</w:t>
      </w:r>
      <w:r>
        <w:rPr>
          <w:iCs/>
          <w:noProof/>
          <w:lang w:val="fr-FR"/>
        </w:rPr>
        <w:t xml:space="preserve"> </w:t>
      </w:r>
      <w:r w:rsidRPr="00D9121C">
        <w:rPr>
          <w:iCs/>
          <w:noProof/>
          <w:lang w:val="fr-FR"/>
        </w:rPr>
        <w:t>loi relative à la réparatio</w:t>
      </w:r>
      <w:r>
        <w:rPr>
          <w:iCs/>
          <w:noProof/>
          <w:lang w:val="fr-FR"/>
        </w:rPr>
        <w:t>n du préjudice moral (2015)</w:t>
      </w:r>
      <w:r w:rsidR="00DB339F">
        <w:rPr>
          <w:iCs/>
          <w:noProof/>
          <w:lang w:val="fr-FR"/>
        </w:rPr>
        <w:t> ;</w:t>
      </w:r>
      <w:r>
        <w:rPr>
          <w:iCs/>
          <w:noProof/>
          <w:lang w:val="fr-FR"/>
        </w:rPr>
        <w:t xml:space="preserve"> </w:t>
      </w:r>
      <w:r w:rsidRPr="00D9121C">
        <w:rPr>
          <w:iCs/>
          <w:noProof/>
          <w:lang w:val="fr-FR"/>
        </w:rPr>
        <w:t>loi</w:t>
      </w:r>
      <w:r>
        <w:rPr>
          <w:iCs/>
          <w:noProof/>
          <w:lang w:val="fr-FR"/>
        </w:rPr>
        <w:t xml:space="preserve"> sur la culture (2016)</w:t>
      </w:r>
      <w:r w:rsidR="00DB339F">
        <w:rPr>
          <w:iCs/>
          <w:noProof/>
          <w:lang w:val="fr-FR"/>
        </w:rPr>
        <w:t> ;</w:t>
      </w:r>
      <w:r>
        <w:rPr>
          <w:iCs/>
          <w:noProof/>
          <w:lang w:val="fr-FR"/>
        </w:rPr>
        <w:t xml:space="preserve"> </w:t>
      </w:r>
      <w:r w:rsidRPr="00D9121C">
        <w:rPr>
          <w:iCs/>
          <w:noProof/>
          <w:lang w:val="fr-FR"/>
        </w:rPr>
        <w:t>loi spé</w:t>
      </w:r>
      <w:r>
        <w:rPr>
          <w:iCs/>
          <w:noProof/>
          <w:lang w:val="fr-FR"/>
        </w:rPr>
        <w:t>ciale sur l</w:t>
      </w:r>
      <w:r w:rsidR="002A5D78">
        <w:rPr>
          <w:iCs/>
          <w:noProof/>
          <w:lang w:val="fr-FR"/>
        </w:rPr>
        <w:t>’</w:t>
      </w:r>
      <w:r>
        <w:rPr>
          <w:iCs/>
          <w:noProof/>
          <w:lang w:val="fr-FR"/>
        </w:rPr>
        <w:t>adoption (2016)</w:t>
      </w:r>
      <w:r w:rsidR="00DB339F">
        <w:rPr>
          <w:iCs/>
          <w:noProof/>
          <w:lang w:val="fr-FR"/>
        </w:rPr>
        <w:t> ;</w:t>
      </w:r>
      <w:r>
        <w:rPr>
          <w:iCs/>
          <w:noProof/>
          <w:lang w:val="fr-FR"/>
        </w:rPr>
        <w:t xml:space="preserve"> </w:t>
      </w:r>
      <w:r w:rsidRPr="00D9121C">
        <w:rPr>
          <w:iCs/>
          <w:noProof/>
          <w:lang w:val="fr-FR"/>
        </w:rPr>
        <w:t>loi relative à la juridiction administra</w:t>
      </w:r>
      <w:r>
        <w:rPr>
          <w:iCs/>
          <w:noProof/>
          <w:lang w:val="fr-FR"/>
        </w:rPr>
        <w:t>tive (2017)</w:t>
      </w:r>
      <w:r w:rsidR="00DB339F">
        <w:rPr>
          <w:iCs/>
          <w:noProof/>
          <w:lang w:val="fr-FR"/>
        </w:rPr>
        <w:t> ;</w:t>
      </w:r>
      <w:r>
        <w:rPr>
          <w:iCs/>
          <w:noProof/>
          <w:lang w:val="fr-FR"/>
        </w:rPr>
        <w:t xml:space="preserve"> </w:t>
      </w:r>
      <w:r w:rsidRPr="00D9121C">
        <w:rPr>
          <w:iCs/>
          <w:noProof/>
          <w:lang w:val="fr-FR"/>
        </w:rPr>
        <w:t xml:space="preserve">loi </w:t>
      </w:r>
      <w:r>
        <w:rPr>
          <w:iCs/>
          <w:noProof/>
          <w:lang w:val="fr-FR"/>
        </w:rPr>
        <w:t>sur la santé mentale (2017)</w:t>
      </w:r>
      <w:r w:rsidR="00DB339F">
        <w:rPr>
          <w:iCs/>
          <w:noProof/>
          <w:lang w:val="fr-FR"/>
        </w:rPr>
        <w:t> ;</w:t>
      </w:r>
      <w:r>
        <w:rPr>
          <w:iCs/>
          <w:noProof/>
          <w:lang w:val="fr-FR"/>
        </w:rPr>
        <w:t xml:space="preserve"> </w:t>
      </w:r>
      <w:r w:rsidRPr="00D9121C">
        <w:rPr>
          <w:iCs/>
          <w:noProof/>
          <w:lang w:val="fr-FR"/>
        </w:rPr>
        <w:t>loi relative aux procéd</w:t>
      </w:r>
      <w:r>
        <w:rPr>
          <w:iCs/>
          <w:noProof/>
          <w:lang w:val="fr-FR"/>
        </w:rPr>
        <w:t>ures administratives (2018)</w:t>
      </w:r>
      <w:r w:rsidR="00DB339F">
        <w:rPr>
          <w:iCs/>
          <w:noProof/>
          <w:lang w:val="fr-FR"/>
        </w:rPr>
        <w:t> ;</w:t>
      </w:r>
      <w:r>
        <w:rPr>
          <w:iCs/>
          <w:noProof/>
          <w:lang w:val="fr-FR"/>
        </w:rPr>
        <w:t xml:space="preserve"> </w:t>
      </w:r>
      <w:r w:rsidRPr="00D9121C">
        <w:rPr>
          <w:iCs/>
          <w:noProof/>
          <w:lang w:val="fr-FR"/>
        </w:rPr>
        <w:t>loi spéciale régissant les conditions de la mise en place par les employeurs de services de garderie s</w:t>
      </w:r>
      <w:r>
        <w:rPr>
          <w:iCs/>
          <w:noProof/>
          <w:lang w:val="fr-FR"/>
        </w:rPr>
        <w:t>ur le lieu de travail (2018)</w:t>
      </w:r>
      <w:r w:rsidR="00DB339F">
        <w:rPr>
          <w:iCs/>
          <w:noProof/>
          <w:lang w:val="fr-FR"/>
        </w:rPr>
        <w:t> ;</w:t>
      </w:r>
      <w:r w:rsidRPr="00D9121C">
        <w:rPr>
          <w:iCs/>
          <w:noProof/>
          <w:lang w:val="fr-FR"/>
        </w:rPr>
        <w:t xml:space="preserve"> loi sur la réforme </w:t>
      </w:r>
      <w:r>
        <w:rPr>
          <w:iCs/>
          <w:noProof/>
          <w:lang w:val="fr-FR"/>
        </w:rPr>
        <w:t>de la réglementation (2018)</w:t>
      </w:r>
      <w:r w:rsidR="00DB339F">
        <w:rPr>
          <w:iCs/>
          <w:noProof/>
          <w:lang w:val="fr-FR"/>
        </w:rPr>
        <w:t> ;</w:t>
      </w:r>
      <w:r>
        <w:rPr>
          <w:iCs/>
          <w:noProof/>
          <w:lang w:val="fr-FR"/>
        </w:rPr>
        <w:t xml:space="preserve"> </w:t>
      </w:r>
      <w:r w:rsidRPr="00D9121C">
        <w:rPr>
          <w:iCs/>
          <w:noProof/>
          <w:lang w:val="fr-FR"/>
        </w:rPr>
        <w:t>loi sur l</w:t>
      </w:r>
      <w:r w:rsidR="002A5D78">
        <w:rPr>
          <w:iCs/>
          <w:noProof/>
          <w:lang w:val="fr-FR"/>
        </w:rPr>
        <w:t>’</w:t>
      </w:r>
      <w:r w:rsidRPr="00D9121C">
        <w:rPr>
          <w:iCs/>
          <w:noProof/>
          <w:lang w:val="fr-FR"/>
        </w:rPr>
        <w:t>élimination des obsta</w:t>
      </w:r>
      <w:r>
        <w:rPr>
          <w:iCs/>
          <w:noProof/>
          <w:lang w:val="fr-FR"/>
        </w:rPr>
        <w:t>cles bureaucratiques (2019)</w:t>
      </w:r>
      <w:r w:rsidR="00DB339F">
        <w:rPr>
          <w:iCs/>
          <w:noProof/>
          <w:lang w:val="fr-FR"/>
        </w:rPr>
        <w:t> ;</w:t>
      </w:r>
      <w:r>
        <w:rPr>
          <w:iCs/>
          <w:noProof/>
          <w:lang w:val="fr-FR"/>
        </w:rPr>
        <w:t xml:space="preserve"> </w:t>
      </w:r>
      <w:r w:rsidRPr="00D9121C">
        <w:rPr>
          <w:iCs/>
          <w:noProof/>
          <w:lang w:val="fr-FR"/>
        </w:rPr>
        <w:t>loi spéciale sur les migrations</w:t>
      </w:r>
      <w:r>
        <w:rPr>
          <w:iCs/>
          <w:noProof/>
          <w:lang w:val="fr-FR"/>
        </w:rPr>
        <w:t xml:space="preserve"> et les étrangers (2019)</w:t>
      </w:r>
      <w:r w:rsidR="00DB339F">
        <w:rPr>
          <w:iCs/>
          <w:noProof/>
          <w:lang w:val="fr-FR"/>
        </w:rPr>
        <w:t xml:space="preserve"> ; </w:t>
      </w:r>
      <w:r>
        <w:rPr>
          <w:iCs/>
          <w:noProof/>
          <w:lang w:val="fr-FR"/>
        </w:rPr>
        <w:t xml:space="preserve">et </w:t>
      </w:r>
      <w:r w:rsidRPr="00FD419D">
        <w:rPr>
          <w:iCs/>
          <w:noProof/>
          <w:lang w:val="fr-FR"/>
        </w:rPr>
        <w:t>loi relative au Système national intégré de santé (2019). En outre, les textes ci-après ont é</w:t>
      </w:r>
      <w:r>
        <w:rPr>
          <w:iCs/>
          <w:noProof/>
          <w:lang w:val="fr-FR"/>
        </w:rPr>
        <w:t>té révisés</w:t>
      </w:r>
      <w:r w:rsidR="00DB339F">
        <w:rPr>
          <w:iCs/>
          <w:noProof/>
          <w:lang w:val="fr-FR"/>
        </w:rPr>
        <w:t> </w:t>
      </w:r>
      <w:r>
        <w:rPr>
          <w:iCs/>
          <w:noProof/>
          <w:lang w:val="fr-FR"/>
        </w:rPr>
        <w:t>: Code pénal, Code de procédure pénale, Code de la famille, Code du travail,</w:t>
      </w:r>
      <w:r w:rsidRPr="00FD419D">
        <w:rPr>
          <w:iCs/>
          <w:noProof/>
          <w:lang w:val="fr-FR"/>
        </w:rPr>
        <w:t xml:space="preserve"> loi sur </w:t>
      </w:r>
      <w:r>
        <w:rPr>
          <w:iCs/>
          <w:noProof/>
          <w:lang w:val="fr-FR"/>
        </w:rPr>
        <w:t xml:space="preserve">la violence dans la famille, </w:t>
      </w:r>
      <w:r w:rsidRPr="00FD419D">
        <w:rPr>
          <w:iCs/>
          <w:noProof/>
          <w:lang w:val="fr-FR"/>
        </w:rPr>
        <w:t>l</w:t>
      </w:r>
      <w:r>
        <w:rPr>
          <w:iCs/>
          <w:noProof/>
          <w:lang w:val="fr-FR"/>
        </w:rPr>
        <w:t>oi générale sur l</w:t>
      </w:r>
      <w:r w:rsidR="002A5D78">
        <w:rPr>
          <w:iCs/>
          <w:noProof/>
          <w:lang w:val="fr-FR"/>
        </w:rPr>
        <w:t>’</w:t>
      </w:r>
      <w:r>
        <w:rPr>
          <w:iCs/>
          <w:noProof/>
          <w:lang w:val="fr-FR"/>
        </w:rPr>
        <w:t xml:space="preserve">éducation, </w:t>
      </w:r>
      <w:r w:rsidRPr="00FD419D">
        <w:rPr>
          <w:iCs/>
          <w:noProof/>
          <w:lang w:val="fr-FR"/>
        </w:rPr>
        <w:t>loi relative à</w:t>
      </w:r>
      <w:r>
        <w:rPr>
          <w:iCs/>
          <w:noProof/>
          <w:lang w:val="fr-FR"/>
        </w:rPr>
        <w:t xml:space="preserve"> la profession d</w:t>
      </w:r>
      <w:r w:rsidR="002A5D78">
        <w:rPr>
          <w:iCs/>
          <w:noProof/>
          <w:lang w:val="fr-FR"/>
        </w:rPr>
        <w:t>’</w:t>
      </w:r>
      <w:r>
        <w:rPr>
          <w:iCs/>
          <w:noProof/>
          <w:lang w:val="fr-FR"/>
        </w:rPr>
        <w:t xml:space="preserve">enseignant, </w:t>
      </w:r>
      <w:r w:rsidRPr="00FD419D">
        <w:rPr>
          <w:iCs/>
          <w:noProof/>
          <w:lang w:val="fr-FR"/>
        </w:rPr>
        <w:t>loi spéciale visant à garantir aux femmes un</w:t>
      </w:r>
      <w:r>
        <w:rPr>
          <w:iCs/>
          <w:noProof/>
          <w:lang w:val="fr-FR"/>
        </w:rPr>
        <w:t xml:space="preserve">e vie exempte de violence et </w:t>
      </w:r>
      <w:r w:rsidRPr="00FD419D">
        <w:rPr>
          <w:iCs/>
          <w:noProof/>
          <w:lang w:val="fr-FR"/>
        </w:rPr>
        <w:t>loi spéciale pour la protection et la promotion des migrants salvadoriens et des membres de leur famille.</w:t>
      </w:r>
    </w:p>
    <w:p w14:paraId="285FE1E5" w14:textId="77777777" w:rsidR="00B51FCF" w:rsidRDefault="00B51FCF" w:rsidP="00B51FCF">
      <w:pPr>
        <w:pStyle w:val="SingleTxtG"/>
        <w:rPr>
          <w:noProof/>
          <w:lang w:val="fr-FR"/>
        </w:rPr>
      </w:pPr>
      <w:r w:rsidRPr="00AC263A">
        <w:rPr>
          <w:noProof/>
          <w:lang w:val="fr-FR"/>
        </w:rPr>
        <w:t>113.</w:t>
      </w:r>
      <w:r w:rsidRPr="00AC263A">
        <w:rPr>
          <w:noProof/>
          <w:lang w:val="fr-FR"/>
        </w:rPr>
        <w:tab/>
      </w:r>
      <w:r w:rsidRPr="00DF27D5">
        <w:rPr>
          <w:noProof/>
          <w:lang w:val="fr-FR"/>
        </w:rPr>
        <w:t>Les politiques publiques, plans d</w:t>
      </w:r>
      <w:r w:rsidR="002A5D78">
        <w:rPr>
          <w:noProof/>
          <w:lang w:val="fr-FR"/>
        </w:rPr>
        <w:t>’</w:t>
      </w:r>
      <w:r w:rsidRPr="00DF27D5">
        <w:rPr>
          <w:noProof/>
          <w:lang w:val="fr-FR"/>
        </w:rPr>
        <w:t>action, programmes et stratégies ci-après viennent compléter le cadr</w:t>
      </w:r>
      <w:r>
        <w:rPr>
          <w:noProof/>
          <w:lang w:val="fr-FR"/>
        </w:rPr>
        <w:t>e législatif</w:t>
      </w:r>
      <w:r w:rsidR="00DB339F">
        <w:rPr>
          <w:noProof/>
          <w:lang w:val="fr-FR"/>
        </w:rPr>
        <w:t> </w:t>
      </w:r>
      <w:r>
        <w:rPr>
          <w:noProof/>
          <w:lang w:val="fr-FR"/>
        </w:rPr>
        <w:t>:</w:t>
      </w:r>
      <w:r w:rsidRPr="00DF27D5">
        <w:rPr>
          <w:noProof/>
          <w:lang w:val="fr-FR"/>
        </w:rPr>
        <w:t xml:space="preserve"> politique nationale de protection globale des enfants e</w:t>
      </w:r>
      <w:r>
        <w:rPr>
          <w:noProof/>
          <w:lang w:val="fr-FR"/>
        </w:rPr>
        <w:t>t des adolescents 2013-2023</w:t>
      </w:r>
      <w:r w:rsidR="00DB339F">
        <w:rPr>
          <w:noProof/>
          <w:lang w:val="fr-FR"/>
        </w:rPr>
        <w:t> ;</w:t>
      </w:r>
      <w:r>
        <w:rPr>
          <w:noProof/>
          <w:lang w:val="fr-FR"/>
        </w:rPr>
        <w:t xml:space="preserve"> </w:t>
      </w:r>
      <w:r w:rsidRPr="00DF27D5">
        <w:rPr>
          <w:noProof/>
          <w:lang w:val="fr-FR"/>
        </w:rPr>
        <w:t xml:space="preserve">politique nationale visant à garantir aux femmes </w:t>
      </w:r>
      <w:r>
        <w:rPr>
          <w:noProof/>
          <w:lang w:val="fr-FR"/>
        </w:rPr>
        <w:t>une vie exempte de violence</w:t>
      </w:r>
      <w:r w:rsidR="00B631DD">
        <w:rPr>
          <w:noProof/>
          <w:lang w:val="fr-FR"/>
        </w:rPr>
        <w:t> ;</w:t>
      </w:r>
      <w:r>
        <w:rPr>
          <w:noProof/>
          <w:lang w:val="fr-FR"/>
        </w:rPr>
        <w:t xml:space="preserve"> </w:t>
      </w:r>
      <w:r w:rsidRPr="00DF27D5">
        <w:rPr>
          <w:noProof/>
          <w:lang w:val="fr-FR"/>
        </w:rPr>
        <w:t xml:space="preserve">politique publique en </w:t>
      </w:r>
      <w:r>
        <w:rPr>
          <w:noProof/>
          <w:lang w:val="fr-FR"/>
        </w:rPr>
        <w:t>faveur des peuples autochtones d</w:t>
      </w:r>
      <w:r w:rsidR="002A5D78">
        <w:rPr>
          <w:noProof/>
          <w:lang w:val="fr-FR"/>
        </w:rPr>
        <w:t>’</w:t>
      </w:r>
      <w:r>
        <w:rPr>
          <w:noProof/>
          <w:lang w:val="fr-FR"/>
        </w:rPr>
        <w:t>E</w:t>
      </w:r>
      <w:r w:rsidRPr="00DF27D5">
        <w:rPr>
          <w:noProof/>
          <w:lang w:val="fr-FR"/>
        </w:rPr>
        <w:t>l Salvador</w:t>
      </w:r>
      <w:r>
        <w:rPr>
          <w:noProof/>
          <w:lang w:val="fr-FR"/>
        </w:rPr>
        <w:t>,</w:t>
      </w:r>
      <w:r w:rsidRPr="00DF27D5">
        <w:rPr>
          <w:noProof/>
          <w:lang w:val="fr-FR"/>
        </w:rPr>
        <w:t xml:space="preserve"> politique nationale de santé</w:t>
      </w:r>
      <w:r>
        <w:rPr>
          <w:noProof/>
          <w:lang w:val="fr-FR"/>
        </w:rPr>
        <w:t xml:space="preserve"> pour les peuples autochtones d</w:t>
      </w:r>
      <w:r w:rsidR="002A5D78">
        <w:rPr>
          <w:noProof/>
          <w:lang w:val="fr-FR"/>
        </w:rPr>
        <w:t>’</w:t>
      </w:r>
      <w:r>
        <w:rPr>
          <w:noProof/>
          <w:lang w:val="fr-FR"/>
        </w:rPr>
        <w:t>El Salvador</w:t>
      </w:r>
      <w:r w:rsidR="00B631DD">
        <w:rPr>
          <w:noProof/>
          <w:lang w:val="fr-FR"/>
        </w:rPr>
        <w:t> ;</w:t>
      </w:r>
      <w:r>
        <w:rPr>
          <w:noProof/>
          <w:lang w:val="fr-FR"/>
        </w:rPr>
        <w:t xml:space="preserve"> </w:t>
      </w:r>
      <w:r w:rsidRPr="00DF27D5">
        <w:rPr>
          <w:noProof/>
          <w:lang w:val="fr-FR"/>
        </w:rPr>
        <w:t>politique publi</w:t>
      </w:r>
      <w:r>
        <w:rPr>
          <w:noProof/>
          <w:lang w:val="fr-FR"/>
        </w:rPr>
        <w:t>que de la culture 2014-2019</w:t>
      </w:r>
      <w:r w:rsidR="00B631DD">
        <w:rPr>
          <w:noProof/>
          <w:lang w:val="fr-FR"/>
        </w:rPr>
        <w:t> ;</w:t>
      </w:r>
      <w:r>
        <w:rPr>
          <w:noProof/>
          <w:lang w:val="fr-FR"/>
        </w:rPr>
        <w:t xml:space="preserve"> </w:t>
      </w:r>
      <w:r w:rsidRPr="00DF27D5">
        <w:rPr>
          <w:noProof/>
          <w:lang w:val="fr-FR"/>
        </w:rPr>
        <w:t>politique nationale e</w:t>
      </w:r>
      <w:r>
        <w:rPr>
          <w:noProof/>
          <w:lang w:val="fr-FR"/>
        </w:rPr>
        <w:t>n faveur de l</w:t>
      </w:r>
      <w:r w:rsidR="002A5D78">
        <w:rPr>
          <w:noProof/>
          <w:lang w:val="fr-FR"/>
        </w:rPr>
        <w:t>’</w:t>
      </w:r>
      <w:r>
        <w:rPr>
          <w:noProof/>
          <w:lang w:val="fr-FR"/>
        </w:rPr>
        <w:t>emploi décent</w:t>
      </w:r>
      <w:r w:rsidR="00B631DD">
        <w:rPr>
          <w:noProof/>
          <w:lang w:val="fr-FR"/>
        </w:rPr>
        <w:t> ;</w:t>
      </w:r>
      <w:r>
        <w:rPr>
          <w:noProof/>
          <w:lang w:val="fr-FR"/>
        </w:rPr>
        <w:t xml:space="preserve"> </w:t>
      </w:r>
      <w:r w:rsidRPr="00DF27D5">
        <w:rPr>
          <w:noProof/>
          <w:lang w:val="fr-FR"/>
        </w:rPr>
        <w:t>politique n</w:t>
      </w:r>
      <w:r>
        <w:rPr>
          <w:noProof/>
          <w:lang w:val="fr-FR"/>
        </w:rPr>
        <w:t>ationale de santé 2015-2019</w:t>
      </w:r>
      <w:r w:rsidR="00B631DD">
        <w:rPr>
          <w:noProof/>
          <w:lang w:val="fr-FR"/>
        </w:rPr>
        <w:t> ;</w:t>
      </w:r>
      <w:r>
        <w:rPr>
          <w:noProof/>
          <w:lang w:val="fr-FR"/>
        </w:rPr>
        <w:t xml:space="preserve"> </w:t>
      </w:r>
      <w:r w:rsidRPr="00DF27D5">
        <w:rPr>
          <w:noProof/>
          <w:lang w:val="fr-FR"/>
        </w:rPr>
        <w:t>politique du Ministère de l</w:t>
      </w:r>
      <w:r w:rsidR="002A5D78">
        <w:rPr>
          <w:noProof/>
          <w:lang w:val="fr-FR"/>
        </w:rPr>
        <w:t>’</w:t>
      </w:r>
      <w:r w:rsidRPr="00DF27D5">
        <w:rPr>
          <w:noProof/>
          <w:lang w:val="fr-FR"/>
        </w:rPr>
        <w:t>éducation, des sciences et de la technologie pour l</w:t>
      </w:r>
      <w:r w:rsidR="002A5D78">
        <w:rPr>
          <w:noProof/>
          <w:lang w:val="fr-FR"/>
        </w:rPr>
        <w:t>’</w:t>
      </w:r>
      <w:r w:rsidRPr="00DF27D5">
        <w:rPr>
          <w:noProof/>
          <w:lang w:val="fr-FR"/>
        </w:rPr>
        <w:t>équité et l</w:t>
      </w:r>
      <w:r w:rsidR="002A5D78">
        <w:rPr>
          <w:noProof/>
          <w:lang w:val="fr-FR"/>
        </w:rPr>
        <w:t>’</w:t>
      </w:r>
      <w:r w:rsidRPr="00DF27D5">
        <w:rPr>
          <w:noProof/>
          <w:lang w:val="fr-FR"/>
        </w:rPr>
        <w:t>égalité hommes femmes et son plan de mise en œuvre 2016-2020</w:t>
      </w:r>
      <w:r w:rsidR="00B631DD">
        <w:rPr>
          <w:noProof/>
          <w:lang w:val="fr-FR"/>
        </w:rPr>
        <w:t> ;</w:t>
      </w:r>
      <w:r w:rsidRPr="00DF27D5">
        <w:rPr>
          <w:noProof/>
          <w:lang w:val="fr-FR"/>
        </w:rPr>
        <w:t xml:space="preserve"> politique pour l</w:t>
      </w:r>
      <w:r w:rsidR="002A5D78">
        <w:rPr>
          <w:noProof/>
          <w:lang w:val="fr-FR"/>
        </w:rPr>
        <w:t>’</w:t>
      </w:r>
      <w:r w:rsidRPr="00DF27D5">
        <w:rPr>
          <w:noProof/>
          <w:lang w:val="fr-FR"/>
        </w:rPr>
        <w:t>équité et l</w:t>
      </w:r>
      <w:r w:rsidR="002A5D78">
        <w:rPr>
          <w:noProof/>
          <w:lang w:val="fr-FR"/>
        </w:rPr>
        <w:t>’</w:t>
      </w:r>
      <w:r w:rsidRPr="00DF27D5">
        <w:rPr>
          <w:noProof/>
          <w:lang w:val="fr-FR"/>
        </w:rPr>
        <w:t>égalité hommes</w:t>
      </w:r>
      <w:r>
        <w:rPr>
          <w:noProof/>
          <w:lang w:val="fr-FR"/>
        </w:rPr>
        <w:t>-femmes en matière de santé</w:t>
      </w:r>
      <w:r w:rsidR="00B631DD">
        <w:rPr>
          <w:noProof/>
          <w:lang w:val="fr-FR"/>
        </w:rPr>
        <w:t> ;</w:t>
      </w:r>
      <w:r>
        <w:rPr>
          <w:noProof/>
          <w:lang w:val="fr-FR"/>
        </w:rPr>
        <w:t xml:space="preserve"> </w:t>
      </w:r>
      <w:r w:rsidRPr="00DF27D5">
        <w:rPr>
          <w:noProof/>
          <w:lang w:val="fr-FR"/>
        </w:rPr>
        <w:t>politique nationale relative au logement et à l</w:t>
      </w:r>
      <w:r w:rsidR="002A5D78">
        <w:rPr>
          <w:noProof/>
          <w:lang w:val="fr-FR"/>
        </w:rPr>
        <w:t>’</w:t>
      </w:r>
      <w:r w:rsidRPr="00DF27D5">
        <w:rPr>
          <w:noProof/>
          <w:lang w:val="fr-FR"/>
        </w:rPr>
        <w:t>habitat</w:t>
      </w:r>
      <w:r w:rsidR="00B631DD">
        <w:rPr>
          <w:noProof/>
          <w:lang w:val="fr-FR"/>
        </w:rPr>
        <w:t> ;</w:t>
      </w:r>
      <w:r>
        <w:rPr>
          <w:noProof/>
          <w:lang w:val="fr-FR"/>
        </w:rPr>
        <w:t xml:space="preserve"> </w:t>
      </w:r>
      <w:r w:rsidRPr="00DF27D5">
        <w:rPr>
          <w:noProof/>
          <w:lang w:val="fr-FR"/>
        </w:rPr>
        <w:t>politique nationale de gestion int</w:t>
      </w:r>
      <w:r>
        <w:rPr>
          <w:noProof/>
          <w:lang w:val="fr-FR"/>
        </w:rPr>
        <w:t>égrée des ressources en eau</w:t>
      </w:r>
      <w:r w:rsidR="00B631DD">
        <w:rPr>
          <w:noProof/>
          <w:lang w:val="fr-FR"/>
        </w:rPr>
        <w:t> ;</w:t>
      </w:r>
      <w:r>
        <w:rPr>
          <w:noProof/>
          <w:lang w:val="fr-FR"/>
        </w:rPr>
        <w:t xml:space="preserve"> </w:t>
      </w:r>
      <w:r w:rsidRPr="00DF27D5">
        <w:rPr>
          <w:noProof/>
          <w:lang w:val="fr-FR"/>
        </w:rPr>
        <w:t xml:space="preserve">politique nationale </w:t>
      </w:r>
      <w:r>
        <w:rPr>
          <w:noProof/>
          <w:lang w:val="fr-FR"/>
        </w:rPr>
        <w:t>de protection et de</w:t>
      </w:r>
      <w:r w:rsidRPr="00DF27D5">
        <w:rPr>
          <w:noProof/>
          <w:lang w:val="fr-FR"/>
        </w:rPr>
        <w:t xml:space="preserve"> promotion des migrants et des membres de leur famille</w:t>
      </w:r>
      <w:r w:rsidR="00B631DD">
        <w:rPr>
          <w:noProof/>
          <w:lang w:val="fr-FR"/>
        </w:rPr>
        <w:t> ;</w:t>
      </w:r>
      <w:r>
        <w:rPr>
          <w:noProof/>
          <w:lang w:val="fr-FR"/>
        </w:rPr>
        <w:t xml:space="preserve"> p</w:t>
      </w:r>
      <w:r w:rsidRPr="00DF27D5">
        <w:rPr>
          <w:noProof/>
          <w:lang w:val="fr-FR"/>
        </w:rPr>
        <w:t>lan national de mise en œuvre de la politique nationale de protection complète des enfants e</w:t>
      </w:r>
      <w:r>
        <w:rPr>
          <w:noProof/>
          <w:lang w:val="fr-FR"/>
        </w:rPr>
        <w:t>t des adolescents 2014-2019</w:t>
      </w:r>
      <w:r w:rsidR="00B631DD">
        <w:rPr>
          <w:noProof/>
          <w:lang w:val="fr-FR"/>
        </w:rPr>
        <w:t> ;</w:t>
      </w:r>
      <w:r>
        <w:rPr>
          <w:noProof/>
          <w:lang w:val="fr-FR"/>
        </w:rPr>
        <w:t xml:space="preserve"> p</w:t>
      </w:r>
      <w:r w:rsidRPr="00DF27D5">
        <w:rPr>
          <w:noProof/>
          <w:lang w:val="fr-FR"/>
        </w:rPr>
        <w:t>lan national d</w:t>
      </w:r>
      <w:r w:rsidR="002A5D78">
        <w:rPr>
          <w:noProof/>
          <w:lang w:val="fr-FR"/>
        </w:rPr>
        <w:t>’</w:t>
      </w:r>
      <w:r w:rsidRPr="00DF27D5">
        <w:rPr>
          <w:noProof/>
          <w:lang w:val="fr-FR"/>
        </w:rPr>
        <w:t>action 2017-2022 pour l</w:t>
      </w:r>
      <w:r w:rsidR="002A5D78">
        <w:rPr>
          <w:noProof/>
          <w:lang w:val="fr-FR"/>
        </w:rPr>
        <w:t>’</w:t>
      </w:r>
      <w:r w:rsidRPr="00DF27D5">
        <w:rPr>
          <w:noProof/>
          <w:lang w:val="fr-FR"/>
        </w:rPr>
        <w:t>application de la résolution 1325 sur les fem</w:t>
      </w:r>
      <w:r>
        <w:rPr>
          <w:noProof/>
          <w:lang w:val="fr-FR"/>
        </w:rPr>
        <w:t>mes, la paix et la sécurité, p</w:t>
      </w:r>
      <w:r w:rsidRPr="00DF27D5">
        <w:rPr>
          <w:noProof/>
          <w:lang w:val="fr-FR"/>
        </w:rPr>
        <w:t>lan nation</w:t>
      </w:r>
      <w:r>
        <w:rPr>
          <w:noProof/>
          <w:lang w:val="fr-FR"/>
        </w:rPr>
        <w:t>al pour l</w:t>
      </w:r>
      <w:r w:rsidR="002A5D78">
        <w:rPr>
          <w:noProof/>
          <w:lang w:val="fr-FR"/>
        </w:rPr>
        <w:t>’</w:t>
      </w:r>
      <w:r>
        <w:rPr>
          <w:noProof/>
          <w:lang w:val="fr-FR"/>
        </w:rPr>
        <w:t>égalité 2016-2020</w:t>
      </w:r>
      <w:r w:rsidR="00B631DD">
        <w:rPr>
          <w:noProof/>
          <w:lang w:val="fr-FR"/>
        </w:rPr>
        <w:t> ;</w:t>
      </w:r>
      <w:r>
        <w:rPr>
          <w:noProof/>
          <w:lang w:val="fr-FR"/>
        </w:rPr>
        <w:t xml:space="preserve"> pl</w:t>
      </w:r>
      <w:r w:rsidRPr="00DF27D5">
        <w:rPr>
          <w:noProof/>
          <w:lang w:val="fr-FR"/>
        </w:rPr>
        <w:t xml:space="preserve">an de mise en œuvre de la politique nationale visant à garantir aux femmes </w:t>
      </w:r>
      <w:r>
        <w:rPr>
          <w:noProof/>
          <w:lang w:val="fr-FR"/>
        </w:rPr>
        <w:t>une vie exempte de violence</w:t>
      </w:r>
      <w:r w:rsidR="00B631DD">
        <w:rPr>
          <w:noProof/>
          <w:lang w:val="fr-FR"/>
        </w:rPr>
        <w:t> ;</w:t>
      </w:r>
      <w:r>
        <w:rPr>
          <w:noProof/>
          <w:lang w:val="fr-FR"/>
        </w:rPr>
        <w:t xml:space="preserve"> p</w:t>
      </w:r>
      <w:r w:rsidRPr="00DF27D5">
        <w:rPr>
          <w:noProof/>
          <w:lang w:val="fr-FR"/>
        </w:rPr>
        <w:t>lan stratégique national en faveur de l</w:t>
      </w:r>
      <w:r w:rsidR="002A5D78">
        <w:rPr>
          <w:noProof/>
          <w:lang w:val="fr-FR"/>
        </w:rPr>
        <w:t>’</w:t>
      </w:r>
      <w:r w:rsidRPr="00DF27D5">
        <w:rPr>
          <w:noProof/>
          <w:lang w:val="fr-FR"/>
        </w:rPr>
        <w:t>all</w:t>
      </w:r>
      <w:r>
        <w:rPr>
          <w:noProof/>
          <w:lang w:val="fr-FR"/>
        </w:rPr>
        <w:t>aitement maternel 2016-2019</w:t>
      </w:r>
      <w:r w:rsidR="00B631DD">
        <w:rPr>
          <w:noProof/>
          <w:lang w:val="fr-FR"/>
        </w:rPr>
        <w:t> ;</w:t>
      </w:r>
      <w:r>
        <w:rPr>
          <w:noProof/>
          <w:lang w:val="fr-FR"/>
        </w:rPr>
        <w:t xml:space="preserve"> p</w:t>
      </w:r>
      <w:r w:rsidRPr="00DF27D5">
        <w:rPr>
          <w:noProof/>
          <w:lang w:val="fr-FR"/>
        </w:rPr>
        <w:t>lan national de développement, de protection et d</w:t>
      </w:r>
      <w:r w:rsidR="002A5D78">
        <w:rPr>
          <w:noProof/>
          <w:lang w:val="fr-FR"/>
        </w:rPr>
        <w:t>’</w:t>
      </w:r>
      <w:r w:rsidRPr="00DF27D5">
        <w:rPr>
          <w:noProof/>
          <w:lang w:val="fr-FR"/>
        </w:rPr>
        <w:t>incl</w:t>
      </w:r>
      <w:r>
        <w:rPr>
          <w:noProof/>
          <w:lang w:val="fr-FR"/>
        </w:rPr>
        <w:t>usion sociale (Plan social)</w:t>
      </w:r>
      <w:r w:rsidR="00B631DD">
        <w:rPr>
          <w:noProof/>
          <w:lang w:val="fr-FR"/>
        </w:rPr>
        <w:t> ;</w:t>
      </w:r>
      <w:r>
        <w:rPr>
          <w:noProof/>
          <w:lang w:val="fr-FR"/>
        </w:rPr>
        <w:t xml:space="preserve"> p</w:t>
      </w:r>
      <w:r w:rsidRPr="00DF27D5">
        <w:rPr>
          <w:noProof/>
          <w:lang w:val="fr-FR"/>
        </w:rPr>
        <w:t>lan national de gestion intégrée des resso</w:t>
      </w:r>
      <w:r>
        <w:rPr>
          <w:noProof/>
          <w:lang w:val="fr-FR"/>
        </w:rPr>
        <w:t>urces en eau</w:t>
      </w:r>
      <w:r w:rsidR="00B631DD">
        <w:rPr>
          <w:noProof/>
          <w:lang w:val="fr-FR"/>
        </w:rPr>
        <w:t> ;</w:t>
      </w:r>
      <w:r>
        <w:rPr>
          <w:noProof/>
          <w:lang w:val="fr-FR"/>
        </w:rPr>
        <w:t xml:space="preserve"> p</w:t>
      </w:r>
      <w:r w:rsidRPr="00DF27D5">
        <w:rPr>
          <w:noProof/>
          <w:lang w:val="fr-FR"/>
        </w:rPr>
        <w:t>lan national d</w:t>
      </w:r>
      <w:r w:rsidR="002A5D78">
        <w:rPr>
          <w:noProof/>
          <w:lang w:val="fr-FR"/>
        </w:rPr>
        <w:t>’</w:t>
      </w:r>
      <w:r w:rsidRPr="00DF27D5">
        <w:rPr>
          <w:noProof/>
          <w:lang w:val="fr-FR"/>
        </w:rPr>
        <w:t>action en fa</w:t>
      </w:r>
      <w:r>
        <w:rPr>
          <w:noProof/>
          <w:lang w:val="fr-FR"/>
        </w:rPr>
        <w:t>veur des peuples autochtones d</w:t>
      </w:r>
      <w:r w:rsidR="002A5D78">
        <w:rPr>
          <w:noProof/>
          <w:lang w:val="fr-FR"/>
        </w:rPr>
        <w:t>’</w:t>
      </w:r>
      <w:r>
        <w:rPr>
          <w:noProof/>
          <w:lang w:val="fr-FR"/>
        </w:rPr>
        <w:t>El Salvador</w:t>
      </w:r>
      <w:r w:rsidR="00B631DD">
        <w:rPr>
          <w:noProof/>
          <w:lang w:val="fr-FR"/>
        </w:rPr>
        <w:t> ;</w:t>
      </w:r>
      <w:r>
        <w:rPr>
          <w:noProof/>
          <w:lang w:val="fr-FR"/>
        </w:rPr>
        <w:t xml:space="preserve"> p</w:t>
      </w:r>
      <w:r w:rsidRPr="00DF27D5">
        <w:rPr>
          <w:noProof/>
          <w:lang w:val="fr-FR"/>
        </w:rPr>
        <w:t>lan pour la sécurité nation</w:t>
      </w:r>
      <w:r>
        <w:rPr>
          <w:noProof/>
          <w:lang w:val="fr-FR"/>
        </w:rPr>
        <w:t>ale «</w:t>
      </w:r>
      <w:r w:rsidR="00B631DD">
        <w:rPr>
          <w:noProof/>
          <w:lang w:val="fr-FR"/>
        </w:rPr>
        <w:t> </w:t>
      </w:r>
      <w:r>
        <w:rPr>
          <w:noProof/>
          <w:lang w:val="fr-FR"/>
        </w:rPr>
        <w:t>El Salvador Seguro</w:t>
      </w:r>
      <w:r w:rsidR="00B631DD">
        <w:rPr>
          <w:noProof/>
          <w:lang w:val="fr-FR"/>
        </w:rPr>
        <w:t> </w:t>
      </w:r>
      <w:r>
        <w:rPr>
          <w:noProof/>
          <w:lang w:val="fr-FR"/>
        </w:rPr>
        <w:t>», p</w:t>
      </w:r>
      <w:r w:rsidRPr="00DF27D5">
        <w:rPr>
          <w:noProof/>
          <w:lang w:val="fr-FR"/>
        </w:rPr>
        <w:t>lan national relatif à l</w:t>
      </w:r>
      <w:r w:rsidR="002A5D78">
        <w:rPr>
          <w:noProof/>
          <w:lang w:val="fr-FR"/>
        </w:rPr>
        <w:t>’</w:t>
      </w:r>
      <w:r w:rsidRPr="00DF27D5">
        <w:rPr>
          <w:noProof/>
          <w:lang w:val="fr-FR"/>
        </w:rPr>
        <w:t>eau pot</w:t>
      </w:r>
      <w:r>
        <w:rPr>
          <w:noProof/>
          <w:lang w:val="fr-FR"/>
        </w:rPr>
        <w:t>able et à l</w:t>
      </w:r>
      <w:r w:rsidR="002A5D78">
        <w:rPr>
          <w:noProof/>
          <w:lang w:val="fr-FR"/>
        </w:rPr>
        <w:t>’</w:t>
      </w:r>
      <w:r>
        <w:rPr>
          <w:noProof/>
          <w:lang w:val="fr-FR"/>
        </w:rPr>
        <w:t>assainissement</w:t>
      </w:r>
      <w:r w:rsidR="00B631DD">
        <w:rPr>
          <w:noProof/>
          <w:lang w:val="fr-FR"/>
        </w:rPr>
        <w:t> ;</w:t>
      </w:r>
      <w:r>
        <w:rPr>
          <w:noProof/>
          <w:lang w:val="fr-FR"/>
        </w:rPr>
        <w:t xml:space="preserve"> p</w:t>
      </w:r>
      <w:r w:rsidRPr="00DF27D5">
        <w:rPr>
          <w:noProof/>
          <w:lang w:val="fr-FR"/>
        </w:rPr>
        <w:t>rogramm</w:t>
      </w:r>
      <w:r>
        <w:rPr>
          <w:noProof/>
          <w:lang w:val="fr-FR"/>
        </w:rPr>
        <w:t>e national d</w:t>
      </w:r>
      <w:r w:rsidR="002A5D78">
        <w:rPr>
          <w:noProof/>
          <w:lang w:val="fr-FR"/>
        </w:rPr>
        <w:t>’</w:t>
      </w:r>
      <w:r>
        <w:rPr>
          <w:noProof/>
          <w:lang w:val="fr-FR"/>
        </w:rPr>
        <w:t>alphabétisation</w:t>
      </w:r>
      <w:r w:rsidR="00B631DD">
        <w:rPr>
          <w:noProof/>
          <w:lang w:val="fr-FR"/>
        </w:rPr>
        <w:t> ;</w:t>
      </w:r>
      <w:r>
        <w:rPr>
          <w:noProof/>
          <w:lang w:val="fr-FR"/>
        </w:rPr>
        <w:t xml:space="preserve"> p</w:t>
      </w:r>
      <w:r w:rsidRPr="00DF27D5">
        <w:rPr>
          <w:noProof/>
          <w:lang w:val="fr-FR"/>
        </w:rPr>
        <w:t>rogramme de modalités d</w:t>
      </w:r>
      <w:r w:rsidR="002A5D78">
        <w:rPr>
          <w:noProof/>
          <w:lang w:val="fr-FR"/>
        </w:rPr>
        <w:t>’</w:t>
      </w:r>
      <w:r w:rsidRPr="00DF27D5">
        <w:rPr>
          <w:noProof/>
          <w:lang w:val="fr-FR"/>
        </w:rPr>
        <w:t>enseignement flexibles</w:t>
      </w:r>
      <w:r w:rsidR="00B631DD">
        <w:rPr>
          <w:noProof/>
          <w:lang w:val="fr-FR"/>
        </w:rPr>
        <w:t> ;</w:t>
      </w:r>
      <w:r>
        <w:rPr>
          <w:noProof/>
          <w:lang w:val="fr-FR"/>
        </w:rPr>
        <w:t xml:space="preserve"> p</w:t>
      </w:r>
      <w:r w:rsidRPr="00DF27D5">
        <w:rPr>
          <w:noProof/>
          <w:lang w:val="fr-FR"/>
        </w:rPr>
        <w:t>rogramme pour l</w:t>
      </w:r>
      <w:r w:rsidR="002A5D78">
        <w:rPr>
          <w:noProof/>
          <w:lang w:val="fr-FR"/>
        </w:rPr>
        <w:t>’</w:t>
      </w:r>
      <w:r w:rsidRPr="00DF27D5">
        <w:rPr>
          <w:noProof/>
          <w:lang w:val="fr-FR"/>
        </w:rPr>
        <w:t>emploi et l</w:t>
      </w:r>
      <w:r w:rsidR="002A5D78">
        <w:rPr>
          <w:noProof/>
          <w:lang w:val="fr-FR"/>
        </w:rPr>
        <w:t>’</w:t>
      </w:r>
      <w:r w:rsidRPr="00DF27D5">
        <w:rPr>
          <w:noProof/>
          <w:lang w:val="fr-FR"/>
        </w:rPr>
        <w:t>emp</w:t>
      </w:r>
      <w:r>
        <w:rPr>
          <w:noProof/>
          <w:lang w:val="fr-FR"/>
        </w:rPr>
        <w:t>loyabilité «</w:t>
      </w:r>
      <w:r w:rsidR="00B631DD">
        <w:rPr>
          <w:noProof/>
          <w:lang w:val="fr-FR"/>
        </w:rPr>
        <w:t> </w:t>
      </w:r>
      <w:r>
        <w:rPr>
          <w:noProof/>
          <w:lang w:val="fr-FR"/>
        </w:rPr>
        <w:t>Jóvenes con Todo</w:t>
      </w:r>
      <w:r w:rsidR="00B631DD">
        <w:rPr>
          <w:noProof/>
          <w:lang w:val="fr-FR"/>
        </w:rPr>
        <w:t> </w:t>
      </w:r>
      <w:r>
        <w:rPr>
          <w:noProof/>
          <w:lang w:val="fr-FR"/>
        </w:rPr>
        <w:t>»</w:t>
      </w:r>
      <w:r w:rsidR="00B631DD">
        <w:rPr>
          <w:noProof/>
          <w:lang w:val="fr-FR"/>
        </w:rPr>
        <w:t> ;</w:t>
      </w:r>
      <w:r>
        <w:rPr>
          <w:noProof/>
          <w:lang w:val="fr-FR"/>
        </w:rPr>
        <w:t xml:space="preserve"> s</w:t>
      </w:r>
      <w:r w:rsidRPr="00DF27D5">
        <w:rPr>
          <w:noProof/>
          <w:lang w:val="fr-FR"/>
        </w:rPr>
        <w:t>tratégie nationale intersectorielle de préventi</w:t>
      </w:r>
      <w:r>
        <w:rPr>
          <w:noProof/>
          <w:lang w:val="fr-FR"/>
        </w:rPr>
        <w:t>on des grossesses précoces</w:t>
      </w:r>
      <w:r w:rsidR="00B631DD">
        <w:rPr>
          <w:noProof/>
          <w:lang w:val="fr-FR"/>
        </w:rPr>
        <w:t> ;</w:t>
      </w:r>
      <w:r>
        <w:rPr>
          <w:noProof/>
          <w:lang w:val="fr-FR"/>
        </w:rPr>
        <w:t xml:space="preserve"> s</w:t>
      </w:r>
      <w:r w:rsidRPr="00DF27D5">
        <w:rPr>
          <w:noProof/>
          <w:lang w:val="fr-FR"/>
        </w:rPr>
        <w:t xml:space="preserve">tratégie de prévention du féminicide et des violences </w:t>
      </w:r>
      <w:r>
        <w:rPr>
          <w:noProof/>
          <w:lang w:val="fr-FR"/>
        </w:rPr>
        <w:t>sexuelles à l</w:t>
      </w:r>
      <w:r w:rsidR="002A5D78">
        <w:rPr>
          <w:noProof/>
          <w:lang w:val="fr-FR"/>
        </w:rPr>
        <w:t>’</w:t>
      </w:r>
      <w:r>
        <w:rPr>
          <w:noProof/>
          <w:lang w:val="fr-FR"/>
        </w:rPr>
        <w:t>égard des femmes</w:t>
      </w:r>
      <w:r w:rsidR="00B631DD">
        <w:rPr>
          <w:noProof/>
          <w:lang w:val="fr-FR"/>
        </w:rPr>
        <w:t> ;</w:t>
      </w:r>
      <w:r>
        <w:rPr>
          <w:noProof/>
          <w:lang w:val="fr-FR"/>
        </w:rPr>
        <w:t xml:space="preserve"> et s</w:t>
      </w:r>
      <w:r w:rsidRPr="00DF27D5">
        <w:rPr>
          <w:noProof/>
          <w:lang w:val="fr-FR"/>
        </w:rPr>
        <w:t>tratégie nationale de développement complet du jeune enfant 2018-2028.</w:t>
      </w:r>
    </w:p>
    <w:p w14:paraId="0169CF88" w14:textId="77777777" w:rsidR="00B51FCF" w:rsidRDefault="00B51FCF" w:rsidP="00B51FCF">
      <w:pPr>
        <w:pStyle w:val="SingleTxtG"/>
        <w:rPr>
          <w:noProof/>
          <w:lang w:val="fr-FR"/>
        </w:rPr>
      </w:pPr>
      <w:r w:rsidRPr="00AC263A">
        <w:rPr>
          <w:noProof/>
          <w:lang w:val="fr-FR"/>
        </w:rPr>
        <w:t>114.</w:t>
      </w:r>
      <w:r w:rsidRPr="00AC263A">
        <w:rPr>
          <w:noProof/>
          <w:lang w:val="fr-FR"/>
        </w:rPr>
        <w:tab/>
      </w:r>
      <w:r>
        <w:rPr>
          <w:noProof/>
          <w:lang w:val="fr-FR"/>
        </w:rPr>
        <w:t xml:space="preserve">En ce qui concerne les mesures spécifiques tendant à garantir les droits de sa population migrante, El Salvador a adopté en 2011 une </w:t>
      </w:r>
      <w:r w:rsidRPr="00FD67DB">
        <w:rPr>
          <w:noProof/>
          <w:lang w:val="fr-FR"/>
        </w:rPr>
        <w:t>loi spéciale pour la protection et la promotion des migrants salvadoriens et des membres de leur famille</w:t>
      </w:r>
      <w:r>
        <w:rPr>
          <w:noProof/>
          <w:lang w:val="fr-FR"/>
        </w:rPr>
        <w:t xml:space="preserve"> qui portait création d</w:t>
      </w:r>
      <w:r w:rsidR="002A5D78">
        <w:rPr>
          <w:noProof/>
          <w:lang w:val="fr-FR"/>
        </w:rPr>
        <w:t>’</w:t>
      </w:r>
      <w:r>
        <w:rPr>
          <w:noProof/>
          <w:lang w:val="fr-FR"/>
        </w:rPr>
        <w:t xml:space="preserve">un Conseil national </w:t>
      </w:r>
      <w:r w:rsidRPr="00476202">
        <w:rPr>
          <w:noProof/>
          <w:lang w:val="fr-FR"/>
        </w:rPr>
        <w:t>pour la protection et la promotion des migrants et des membres de leur famille</w:t>
      </w:r>
      <w:r>
        <w:rPr>
          <w:noProof/>
          <w:lang w:val="fr-FR"/>
        </w:rPr>
        <w:t xml:space="preserve"> (COMIGRANTES). Ce conseil est un organisme autonome à caractère interinstitutionnel et intersectoriel qui a pour mission de vérifier la bonne exécution de la </w:t>
      </w:r>
      <w:r w:rsidRPr="00476202">
        <w:rPr>
          <w:noProof/>
          <w:lang w:val="fr-FR"/>
        </w:rPr>
        <w:t xml:space="preserve">politique nationale </w:t>
      </w:r>
      <w:r>
        <w:rPr>
          <w:noProof/>
          <w:lang w:val="fr-FR"/>
        </w:rPr>
        <w:t>de protection et de</w:t>
      </w:r>
      <w:r w:rsidRPr="00476202">
        <w:rPr>
          <w:noProof/>
          <w:lang w:val="fr-FR"/>
        </w:rPr>
        <w:t xml:space="preserve"> promotion des migrants et des membres de leur famille</w:t>
      </w:r>
      <w:r>
        <w:rPr>
          <w:noProof/>
          <w:lang w:val="fr-FR"/>
        </w:rPr>
        <w:t xml:space="preserve"> lancée en 2017.</w:t>
      </w:r>
    </w:p>
    <w:p w14:paraId="534B56DE" w14:textId="77777777" w:rsidR="00B51FCF" w:rsidRDefault="00B51FCF" w:rsidP="00530820">
      <w:pPr>
        <w:pStyle w:val="SingleTxtG"/>
        <w:keepNext/>
        <w:keepLines/>
        <w:rPr>
          <w:noProof/>
          <w:lang w:val="fr-FR"/>
        </w:rPr>
      </w:pPr>
      <w:r w:rsidRPr="00AC263A">
        <w:rPr>
          <w:noProof/>
          <w:lang w:val="fr-FR"/>
        </w:rPr>
        <w:lastRenderedPageBreak/>
        <w:t>115.</w:t>
      </w:r>
      <w:r w:rsidRPr="00AC263A">
        <w:rPr>
          <w:noProof/>
          <w:lang w:val="fr-FR"/>
        </w:rPr>
        <w:tab/>
      </w:r>
      <w:r>
        <w:rPr>
          <w:noProof/>
          <w:lang w:val="fr-FR"/>
        </w:rPr>
        <w:t>Pour prendre en charge les enfants et adolescents migrants, El Salvador s</w:t>
      </w:r>
      <w:r w:rsidR="002A5D78">
        <w:rPr>
          <w:noProof/>
          <w:lang w:val="fr-FR"/>
        </w:rPr>
        <w:t>’</w:t>
      </w:r>
      <w:r>
        <w:rPr>
          <w:noProof/>
          <w:lang w:val="fr-FR"/>
        </w:rPr>
        <w:t>appuie sur un comité de coordination réunissant le Conseil national de l</w:t>
      </w:r>
      <w:r w:rsidR="002A5D78">
        <w:rPr>
          <w:noProof/>
          <w:lang w:val="fr-FR"/>
        </w:rPr>
        <w:t>’</w:t>
      </w:r>
      <w:r>
        <w:rPr>
          <w:noProof/>
          <w:lang w:val="fr-FR"/>
        </w:rPr>
        <w:t>enfance et de l</w:t>
      </w:r>
      <w:r w:rsidR="002A5D78">
        <w:rPr>
          <w:noProof/>
          <w:lang w:val="fr-FR"/>
        </w:rPr>
        <w:t>’</w:t>
      </w:r>
      <w:r>
        <w:rPr>
          <w:noProof/>
          <w:lang w:val="fr-FR"/>
        </w:rPr>
        <w:t>adolescence, l</w:t>
      </w:r>
      <w:r w:rsidR="002A5D78">
        <w:rPr>
          <w:noProof/>
          <w:lang w:val="fr-FR"/>
        </w:rPr>
        <w:t>’</w:t>
      </w:r>
      <w:r>
        <w:rPr>
          <w:noProof/>
          <w:lang w:val="fr-FR"/>
        </w:rPr>
        <w:t>Institut salvadorien pour le développement complet de l</w:t>
      </w:r>
      <w:r w:rsidR="002A5D78">
        <w:rPr>
          <w:noProof/>
          <w:lang w:val="fr-FR"/>
        </w:rPr>
        <w:t>’</w:t>
      </w:r>
      <w:r>
        <w:rPr>
          <w:noProof/>
          <w:lang w:val="fr-FR"/>
        </w:rPr>
        <w:t>enfant et de l</w:t>
      </w:r>
      <w:r w:rsidR="002A5D78">
        <w:rPr>
          <w:noProof/>
          <w:lang w:val="fr-FR"/>
        </w:rPr>
        <w:t>’</w:t>
      </w:r>
      <w:r>
        <w:rPr>
          <w:noProof/>
          <w:lang w:val="fr-FR"/>
        </w:rPr>
        <w:t>adolescent, la Direction générale des migrations et des étrangers, le Ministère des relations extérieures, le Bureau du Procureur général de la République, la Police nationale civile et le Ministère de la santé. Le Conseil national a publié les directives techniques suivantes</w:t>
      </w:r>
      <w:r w:rsidR="00D3740D">
        <w:rPr>
          <w:noProof/>
          <w:lang w:val="fr-FR"/>
        </w:rPr>
        <w:t xml:space="preserve"> </w:t>
      </w:r>
      <w:r>
        <w:rPr>
          <w:noProof/>
          <w:lang w:val="fr-FR"/>
        </w:rPr>
        <w:t>pour encadrer les interventions interinstitutionnelles en matière d</w:t>
      </w:r>
      <w:r w:rsidR="002A5D78">
        <w:rPr>
          <w:noProof/>
          <w:lang w:val="fr-FR"/>
        </w:rPr>
        <w:t>’</w:t>
      </w:r>
      <w:r>
        <w:rPr>
          <w:noProof/>
          <w:lang w:val="fr-FR"/>
        </w:rPr>
        <w:t>accueil, de prise en charge et de protection de l</w:t>
      </w:r>
      <w:r w:rsidR="002A5D78">
        <w:rPr>
          <w:noProof/>
          <w:lang w:val="fr-FR"/>
        </w:rPr>
        <w:t>’</w:t>
      </w:r>
      <w:r>
        <w:rPr>
          <w:noProof/>
          <w:lang w:val="fr-FR"/>
        </w:rPr>
        <w:t>enfance migrante</w:t>
      </w:r>
      <w:r w:rsidR="00D3740D">
        <w:rPr>
          <w:noProof/>
          <w:lang w:val="fr-FR"/>
        </w:rPr>
        <w:t> </w:t>
      </w:r>
      <w:r>
        <w:rPr>
          <w:noProof/>
          <w:lang w:val="fr-FR"/>
        </w:rPr>
        <w:t>: « Lignes directrices techniques pour l</w:t>
      </w:r>
      <w:r w:rsidR="002A5D78">
        <w:rPr>
          <w:noProof/>
          <w:lang w:val="fr-FR"/>
        </w:rPr>
        <w:t>’</w:t>
      </w:r>
      <w:r>
        <w:rPr>
          <w:noProof/>
          <w:lang w:val="fr-FR"/>
        </w:rPr>
        <w:t>accueil, la prise en charge et la protection des enfants revenant en El Salvador par la voie terrestre et aérienne pour cause de migration irrégulière » (2014) et « Protocole de protection et prise en charge des enfants et adolescents migrants salvadoriens » (2017). Il a également élaboré une feuille de route pour la prise en charge des enfants et adolescents rapatriés et l</w:t>
      </w:r>
      <w:r w:rsidR="002A5D78">
        <w:rPr>
          <w:noProof/>
          <w:lang w:val="fr-FR"/>
        </w:rPr>
        <w:t>’</w:t>
      </w:r>
      <w:r>
        <w:rPr>
          <w:noProof/>
          <w:lang w:val="fr-FR"/>
        </w:rPr>
        <w:t>établissement de profils de vulnérabilité.</w:t>
      </w:r>
    </w:p>
    <w:p w14:paraId="0C5060EA" w14:textId="77777777" w:rsidR="00B51FCF" w:rsidRDefault="00B51FCF" w:rsidP="00B51FCF">
      <w:pPr>
        <w:pStyle w:val="SingleTxtG"/>
        <w:rPr>
          <w:noProof/>
          <w:lang w:val="fr-FR"/>
        </w:rPr>
      </w:pPr>
      <w:r w:rsidRPr="00AC263A">
        <w:rPr>
          <w:noProof/>
          <w:lang w:val="fr-FR"/>
        </w:rPr>
        <w:t>116.</w:t>
      </w:r>
      <w:r w:rsidRPr="00AC263A">
        <w:rPr>
          <w:noProof/>
          <w:lang w:val="fr-FR"/>
        </w:rPr>
        <w:tab/>
      </w:r>
      <w:r>
        <w:rPr>
          <w:noProof/>
          <w:lang w:val="fr-FR"/>
        </w:rPr>
        <w:t>La nouvelle loi spéciale sur les migrations et les étrangers adoptée en 2019 élargit l</w:t>
      </w:r>
      <w:r w:rsidR="002A5D78">
        <w:rPr>
          <w:noProof/>
          <w:lang w:val="fr-FR"/>
        </w:rPr>
        <w:t>’</w:t>
      </w:r>
      <w:r>
        <w:rPr>
          <w:noProof/>
          <w:lang w:val="fr-FR"/>
        </w:rPr>
        <w:t>éventail des catégories dites « migratoires » ouvrant aux étrangers l</w:t>
      </w:r>
      <w:r w:rsidR="002A5D78">
        <w:rPr>
          <w:noProof/>
          <w:lang w:val="fr-FR"/>
        </w:rPr>
        <w:t>’</w:t>
      </w:r>
      <w:r>
        <w:rPr>
          <w:noProof/>
          <w:lang w:val="fr-FR"/>
        </w:rPr>
        <w:t>admission sur le territoire salvadorien. Elle protège les étrangers en leur assurant une large gamme de droits, parmi lesquels le droit de demander un refuge, l</w:t>
      </w:r>
      <w:r w:rsidR="002A5D78">
        <w:rPr>
          <w:noProof/>
          <w:lang w:val="fr-FR"/>
        </w:rPr>
        <w:t>’</w:t>
      </w:r>
      <w:r>
        <w:rPr>
          <w:noProof/>
          <w:lang w:val="fr-FR"/>
        </w:rPr>
        <w:t xml:space="preserve">asile ou une admission au séjour temporaire pour motifs humanitaires. </w:t>
      </w:r>
    </w:p>
    <w:p w14:paraId="02A29CEB" w14:textId="77777777" w:rsidR="000E6673" w:rsidRPr="008162EB" w:rsidRDefault="008162EB" w:rsidP="008162EB">
      <w:pPr>
        <w:pStyle w:val="SingleTxtG"/>
        <w:spacing w:before="240" w:after="0"/>
        <w:jc w:val="center"/>
        <w:rPr>
          <w:u w:val="single"/>
          <w:lang w:val="fr-FR"/>
        </w:rPr>
      </w:pPr>
      <w:r>
        <w:rPr>
          <w:noProof/>
          <w:u w:val="single"/>
          <w:lang w:val="fr-FR"/>
        </w:rPr>
        <w:tab/>
      </w:r>
      <w:r>
        <w:rPr>
          <w:noProof/>
          <w:u w:val="single"/>
          <w:lang w:val="fr-FR"/>
        </w:rPr>
        <w:tab/>
      </w:r>
      <w:r>
        <w:rPr>
          <w:noProof/>
          <w:u w:val="single"/>
          <w:lang w:val="fr-FR"/>
        </w:rPr>
        <w:tab/>
      </w:r>
      <w:r w:rsidR="006B50F1">
        <w:rPr>
          <w:noProof/>
          <w:u w:val="single"/>
          <w:lang w:val="fr-FR"/>
        </w:rPr>
        <w:tab/>
      </w:r>
      <w:bookmarkStart w:id="17" w:name="_GoBack"/>
      <w:bookmarkEnd w:id="17"/>
    </w:p>
    <w:sectPr w:rsidR="000E6673" w:rsidRPr="008162EB" w:rsidSect="00B51FCF">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D2DB" w14:textId="77777777" w:rsidR="00967F69" w:rsidRPr="009C4D45" w:rsidRDefault="00967F69" w:rsidP="009C4D45">
      <w:pPr>
        <w:pStyle w:val="Pieddepage"/>
      </w:pPr>
    </w:p>
  </w:endnote>
  <w:endnote w:type="continuationSeparator" w:id="0">
    <w:p w14:paraId="6679ED1C" w14:textId="77777777" w:rsidR="00967F69" w:rsidRPr="009C4D45" w:rsidRDefault="00967F69" w:rsidP="009C4D45">
      <w:pPr>
        <w:pStyle w:val="Pieddepage"/>
      </w:pPr>
    </w:p>
  </w:endnote>
  <w:endnote w:type="continuationNotice" w:id="1">
    <w:p w14:paraId="499D1D81" w14:textId="77777777" w:rsidR="00967F69" w:rsidRDefault="00967F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C1B" w14:textId="77777777" w:rsidR="00967F69" w:rsidRPr="00BE1FA0" w:rsidRDefault="00967F69" w:rsidP="00BE1FA0">
    <w:pPr>
      <w:pStyle w:val="Pieddepage"/>
      <w:tabs>
        <w:tab w:val="right" w:pos="9638"/>
      </w:tabs>
    </w:pPr>
    <w:r w:rsidRPr="00BE1FA0">
      <w:rPr>
        <w:b/>
        <w:sz w:val="18"/>
      </w:rPr>
      <w:fldChar w:fldCharType="begin"/>
    </w:r>
    <w:r w:rsidRPr="00BE1FA0">
      <w:rPr>
        <w:b/>
        <w:sz w:val="18"/>
      </w:rPr>
      <w:instrText xml:space="preserve"> PAGE  \* MERGEFORMAT </w:instrText>
    </w:r>
    <w:r w:rsidRPr="00BE1FA0">
      <w:rPr>
        <w:b/>
        <w:sz w:val="18"/>
      </w:rPr>
      <w:fldChar w:fldCharType="separate"/>
    </w:r>
    <w:r w:rsidRPr="00BE1FA0">
      <w:rPr>
        <w:b/>
        <w:noProof/>
        <w:sz w:val="18"/>
      </w:rPr>
      <w:t>2</w:t>
    </w:r>
    <w:r w:rsidRPr="00BE1FA0">
      <w:rPr>
        <w:b/>
        <w:sz w:val="18"/>
      </w:rPr>
      <w:fldChar w:fldCharType="end"/>
    </w:r>
    <w:r>
      <w:rPr>
        <w:b/>
        <w:sz w:val="18"/>
      </w:rPr>
      <w:tab/>
    </w:r>
    <w:r>
      <w:t>GE.20-04111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4EDD" w14:textId="77777777" w:rsidR="00967F69" w:rsidRPr="00BE1FA0" w:rsidRDefault="00967F69" w:rsidP="00BE1FA0">
    <w:pPr>
      <w:pStyle w:val="Pieddepage"/>
      <w:tabs>
        <w:tab w:val="right" w:pos="9638"/>
      </w:tabs>
      <w:rPr>
        <w:b/>
        <w:sz w:val="18"/>
      </w:rPr>
    </w:pPr>
    <w:r>
      <w:t>GE.20-04111</w:t>
    </w:r>
    <w:r>
      <w:tab/>
    </w:r>
    <w:r w:rsidRPr="00BE1FA0">
      <w:rPr>
        <w:b/>
        <w:sz w:val="18"/>
      </w:rPr>
      <w:fldChar w:fldCharType="begin"/>
    </w:r>
    <w:r w:rsidRPr="00BE1FA0">
      <w:rPr>
        <w:b/>
        <w:sz w:val="18"/>
      </w:rPr>
      <w:instrText xml:space="preserve"> PAGE  \* MERGEFORMAT </w:instrText>
    </w:r>
    <w:r w:rsidRPr="00BE1FA0">
      <w:rPr>
        <w:b/>
        <w:sz w:val="18"/>
      </w:rPr>
      <w:fldChar w:fldCharType="separate"/>
    </w:r>
    <w:r w:rsidRPr="00BE1FA0">
      <w:rPr>
        <w:b/>
        <w:noProof/>
        <w:sz w:val="18"/>
      </w:rPr>
      <w:t>3</w:t>
    </w:r>
    <w:r w:rsidRPr="00BE1F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EF58" w14:textId="77777777" w:rsidR="00967F69" w:rsidRPr="00BE1FA0" w:rsidRDefault="00967F69" w:rsidP="00BE1FA0">
    <w:pPr>
      <w:pStyle w:val="Pieddepage"/>
      <w:spacing w:before="120"/>
      <w:rPr>
        <w:sz w:val="20"/>
      </w:rPr>
    </w:pPr>
    <w:r>
      <w:rPr>
        <w:sz w:val="20"/>
      </w:rPr>
      <w:t>GE.</w:t>
    </w:r>
    <w:r>
      <w:rPr>
        <w:noProof/>
        <w:lang w:eastAsia="fr-CH"/>
      </w:rPr>
      <w:drawing>
        <wp:anchor distT="0" distB="0" distL="114300" distR="114300" simplePos="0" relativeHeight="251637760" behindDoc="0" locked="0" layoutInCell="1" allowOverlap="0" wp14:anchorId="3B636B80" wp14:editId="701FD59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20-04111  (F)    290520    090620</w:t>
    </w:r>
    <w:r>
      <w:rPr>
        <w:sz w:val="20"/>
      </w:rPr>
      <w:br/>
    </w:r>
    <w:r w:rsidRPr="00BE1FA0">
      <w:rPr>
        <w:rFonts w:ascii="C39T30Lfz" w:hAnsi="C39T30Lfz"/>
        <w:sz w:val="56"/>
      </w:rPr>
      <w:t></w:t>
    </w:r>
    <w:r w:rsidRPr="00BE1FA0">
      <w:rPr>
        <w:rFonts w:ascii="C39T30Lfz" w:hAnsi="C39T30Lfz"/>
        <w:sz w:val="56"/>
      </w:rPr>
      <w:t></w:t>
    </w:r>
    <w:r w:rsidRPr="00BE1FA0">
      <w:rPr>
        <w:rFonts w:ascii="C39T30Lfz" w:hAnsi="C39T30Lfz"/>
        <w:sz w:val="56"/>
      </w:rPr>
      <w:t></w:t>
    </w:r>
    <w:r w:rsidRPr="00BE1FA0">
      <w:rPr>
        <w:rFonts w:ascii="C39T30Lfz" w:hAnsi="C39T30Lfz"/>
        <w:sz w:val="56"/>
      </w:rPr>
      <w:t></w:t>
    </w:r>
    <w:r w:rsidRPr="00BE1FA0">
      <w:rPr>
        <w:rFonts w:ascii="C39T30Lfz" w:hAnsi="C39T30Lfz"/>
        <w:sz w:val="56"/>
      </w:rPr>
      <w:t></w:t>
    </w:r>
    <w:r w:rsidRPr="00BE1FA0">
      <w:rPr>
        <w:rFonts w:ascii="C39T30Lfz" w:hAnsi="C39T30Lfz"/>
        <w:sz w:val="56"/>
      </w:rPr>
      <w:t></w:t>
    </w:r>
    <w:r w:rsidRPr="00BE1FA0">
      <w:rPr>
        <w:rFonts w:ascii="C39T30Lfz" w:hAnsi="C39T30Lfz"/>
        <w:sz w:val="56"/>
      </w:rPr>
      <w:t></w:t>
    </w:r>
    <w:r w:rsidRPr="00BE1FA0">
      <w:rPr>
        <w:rFonts w:ascii="C39T30Lfz" w:hAnsi="C39T30Lfz"/>
        <w:sz w:val="56"/>
      </w:rPr>
      <w:t></w:t>
    </w:r>
    <w:r w:rsidRPr="00BE1FA0">
      <w:rPr>
        <w:rFonts w:ascii="C39T30Lfz" w:hAnsi="C39T30Lfz"/>
        <w:sz w:val="56"/>
      </w:rPr>
      <w:t></w:t>
    </w:r>
    <w:r>
      <w:rPr>
        <w:noProof/>
        <w:sz w:val="20"/>
      </w:rPr>
      <w:drawing>
        <wp:anchor distT="0" distB="0" distL="114300" distR="114300" simplePos="0" relativeHeight="251640832" behindDoc="0" locked="0" layoutInCell="1" allowOverlap="1" wp14:anchorId="105184EE" wp14:editId="2265632C">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83BD" w14:textId="77777777" w:rsidR="00967F69" w:rsidRPr="000E6673" w:rsidRDefault="00967F69" w:rsidP="000E6673">
    <w:pPr>
      <w:pStyle w:val="Pieddepage"/>
    </w:pPr>
    <w:r>
      <w:rPr>
        <w:noProof/>
      </w:rPr>
      <mc:AlternateContent>
        <mc:Choice Requires="wps">
          <w:drawing>
            <wp:anchor distT="0" distB="0" distL="114300" distR="114300" simplePos="0" relativeHeight="251649024" behindDoc="0" locked="0" layoutInCell="1" allowOverlap="1" wp14:anchorId="4A552CAC" wp14:editId="409FAC35">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FD03F7" w14:textId="77777777" w:rsidR="00967F69" w:rsidRPr="00BE1FA0" w:rsidRDefault="00967F69" w:rsidP="000E6673">
                          <w:pPr>
                            <w:pStyle w:val="Pieddepage"/>
                            <w:tabs>
                              <w:tab w:val="right" w:pos="9638"/>
                            </w:tabs>
                          </w:pPr>
                          <w:r w:rsidRPr="00BE1FA0">
                            <w:rPr>
                              <w:b/>
                              <w:sz w:val="18"/>
                            </w:rPr>
                            <w:fldChar w:fldCharType="begin"/>
                          </w:r>
                          <w:r w:rsidRPr="00BE1FA0">
                            <w:rPr>
                              <w:b/>
                              <w:sz w:val="18"/>
                            </w:rPr>
                            <w:instrText xml:space="preserve"> PAGE  \* MERGEFORMAT </w:instrText>
                          </w:r>
                          <w:r w:rsidRPr="00BE1FA0">
                            <w:rPr>
                              <w:b/>
                              <w:sz w:val="18"/>
                            </w:rPr>
                            <w:fldChar w:fldCharType="separate"/>
                          </w:r>
                          <w:r>
                            <w:rPr>
                              <w:b/>
                              <w:sz w:val="18"/>
                            </w:rPr>
                            <w:t>26</w:t>
                          </w:r>
                          <w:r w:rsidRPr="00BE1FA0">
                            <w:rPr>
                              <w:b/>
                              <w:sz w:val="18"/>
                            </w:rPr>
                            <w:fldChar w:fldCharType="end"/>
                          </w:r>
                          <w:r>
                            <w:rPr>
                              <w:b/>
                              <w:sz w:val="18"/>
                            </w:rPr>
                            <w:tab/>
                          </w:r>
                          <w:r>
                            <w:t>GE.20-04111</w:t>
                          </w:r>
                        </w:p>
                        <w:p w14:paraId="1F8E0129" w14:textId="77777777" w:rsidR="00967F69" w:rsidRDefault="00967F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552CAC" id="_x0000_t202" coordsize="21600,21600" o:spt="202" path="m,l,21600r21600,l21600,xe">
              <v:stroke joinstyle="miter"/>
              <v:path gradientshapeok="t" o:connecttype="rect"/>
            </v:shapetype>
            <v:shape id="Zone de texte 5" o:spid="_x0000_s1028"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62FD03F7" w14:textId="77777777" w:rsidR="00967F69" w:rsidRPr="00BE1FA0" w:rsidRDefault="00967F69" w:rsidP="000E6673">
                    <w:pPr>
                      <w:pStyle w:val="Pieddepage"/>
                      <w:tabs>
                        <w:tab w:val="right" w:pos="9638"/>
                      </w:tabs>
                    </w:pPr>
                    <w:r w:rsidRPr="00BE1FA0">
                      <w:rPr>
                        <w:b/>
                        <w:sz w:val="18"/>
                      </w:rPr>
                      <w:fldChar w:fldCharType="begin"/>
                    </w:r>
                    <w:r w:rsidRPr="00BE1FA0">
                      <w:rPr>
                        <w:b/>
                        <w:sz w:val="18"/>
                      </w:rPr>
                      <w:instrText xml:space="preserve"> PAGE  \* MERGEFORMAT </w:instrText>
                    </w:r>
                    <w:r w:rsidRPr="00BE1FA0">
                      <w:rPr>
                        <w:b/>
                        <w:sz w:val="18"/>
                      </w:rPr>
                      <w:fldChar w:fldCharType="separate"/>
                    </w:r>
                    <w:r>
                      <w:rPr>
                        <w:b/>
                        <w:sz w:val="18"/>
                      </w:rPr>
                      <w:t>26</w:t>
                    </w:r>
                    <w:r w:rsidRPr="00BE1FA0">
                      <w:rPr>
                        <w:b/>
                        <w:sz w:val="18"/>
                      </w:rPr>
                      <w:fldChar w:fldCharType="end"/>
                    </w:r>
                    <w:r>
                      <w:rPr>
                        <w:b/>
                        <w:sz w:val="18"/>
                      </w:rPr>
                      <w:tab/>
                    </w:r>
                    <w:r>
                      <w:t>GE.20-04111</w:t>
                    </w:r>
                  </w:p>
                  <w:p w14:paraId="1F8E0129" w14:textId="77777777" w:rsidR="00967F69" w:rsidRDefault="00967F6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992A" w14:textId="77777777" w:rsidR="00967F69" w:rsidRPr="000E6673" w:rsidRDefault="00967F69" w:rsidP="000E6673">
    <w:pPr>
      <w:pStyle w:val="Pieddepage"/>
    </w:pPr>
    <w:r>
      <w:rPr>
        <w:noProof/>
      </w:rPr>
      <mc:AlternateContent>
        <mc:Choice Requires="wps">
          <w:drawing>
            <wp:anchor distT="0" distB="0" distL="114300" distR="114300" simplePos="0" relativeHeight="251657216" behindDoc="0" locked="0" layoutInCell="1" allowOverlap="1" wp14:anchorId="489E5268" wp14:editId="7CCC41DC">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FCDB24" w14:textId="77777777" w:rsidR="00967F69" w:rsidRPr="00BE1FA0" w:rsidRDefault="00967F69" w:rsidP="000E6673">
                          <w:pPr>
                            <w:pStyle w:val="Pieddepage"/>
                            <w:tabs>
                              <w:tab w:val="right" w:pos="9638"/>
                            </w:tabs>
                            <w:rPr>
                              <w:b/>
                              <w:sz w:val="18"/>
                            </w:rPr>
                          </w:pPr>
                          <w:r>
                            <w:t>GE.20-04111</w:t>
                          </w:r>
                          <w:r>
                            <w:tab/>
                          </w:r>
                          <w:r w:rsidRPr="00BE1FA0">
                            <w:rPr>
                              <w:b/>
                              <w:sz w:val="18"/>
                            </w:rPr>
                            <w:fldChar w:fldCharType="begin"/>
                          </w:r>
                          <w:r w:rsidRPr="00BE1FA0">
                            <w:rPr>
                              <w:b/>
                              <w:sz w:val="18"/>
                            </w:rPr>
                            <w:instrText xml:space="preserve"> PAGE  \* MERGEFORMAT </w:instrText>
                          </w:r>
                          <w:r w:rsidRPr="00BE1FA0">
                            <w:rPr>
                              <w:b/>
                              <w:sz w:val="18"/>
                            </w:rPr>
                            <w:fldChar w:fldCharType="separate"/>
                          </w:r>
                          <w:r>
                            <w:rPr>
                              <w:b/>
                              <w:sz w:val="18"/>
                            </w:rPr>
                            <w:t>27</w:t>
                          </w:r>
                          <w:r w:rsidRPr="00BE1FA0">
                            <w:rPr>
                              <w:b/>
                              <w:sz w:val="18"/>
                            </w:rPr>
                            <w:fldChar w:fldCharType="end"/>
                          </w:r>
                        </w:p>
                        <w:p w14:paraId="716FB484" w14:textId="77777777" w:rsidR="00967F69" w:rsidRDefault="00967F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9E5268" id="_x0000_t202" coordsize="21600,21600" o:spt="202" path="m,l,21600r21600,l21600,xe">
              <v:stroke joinstyle="miter"/>
              <v:path gradientshapeok="t" o:connecttype="rect"/>
            </v:shapetype>
            <v:shape id="Zone de texte 7"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AFCDB24" w14:textId="77777777" w:rsidR="00967F69" w:rsidRPr="00BE1FA0" w:rsidRDefault="00967F69" w:rsidP="000E6673">
                    <w:pPr>
                      <w:pStyle w:val="Pieddepage"/>
                      <w:tabs>
                        <w:tab w:val="right" w:pos="9638"/>
                      </w:tabs>
                      <w:rPr>
                        <w:b/>
                        <w:sz w:val="18"/>
                      </w:rPr>
                    </w:pPr>
                    <w:r>
                      <w:t>GE.20-04111</w:t>
                    </w:r>
                    <w:r>
                      <w:tab/>
                    </w:r>
                    <w:r w:rsidRPr="00BE1FA0">
                      <w:rPr>
                        <w:b/>
                        <w:sz w:val="18"/>
                      </w:rPr>
                      <w:fldChar w:fldCharType="begin"/>
                    </w:r>
                    <w:r w:rsidRPr="00BE1FA0">
                      <w:rPr>
                        <w:b/>
                        <w:sz w:val="18"/>
                      </w:rPr>
                      <w:instrText xml:space="preserve"> PAGE  \* MERGEFORMAT </w:instrText>
                    </w:r>
                    <w:r w:rsidRPr="00BE1FA0">
                      <w:rPr>
                        <w:b/>
                        <w:sz w:val="18"/>
                      </w:rPr>
                      <w:fldChar w:fldCharType="separate"/>
                    </w:r>
                    <w:r>
                      <w:rPr>
                        <w:b/>
                        <w:sz w:val="18"/>
                      </w:rPr>
                      <w:t>27</w:t>
                    </w:r>
                    <w:r w:rsidRPr="00BE1FA0">
                      <w:rPr>
                        <w:b/>
                        <w:sz w:val="18"/>
                      </w:rPr>
                      <w:fldChar w:fldCharType="end"/>
                    </w:r>
                  </w:p>
                  <w:p w14:paraId="716FB484" w14:textId="77777777" w:rsidR="00967F69" w:rsidRDefault="00967F6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0B87" w14:textId="77777777" w:rsidR="00967F69" w:rsidRPr="00B51FCF" w:rsidRDefault="00967F69" w:rsidP="00B51FC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B51FCF">
      <w:t>GE.20-04111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27D8" w14:textId="77777777" w:rsidR="00967F69" w:rsidRPr="00B51FCF" w:rsidRDefault="00967F69" w:rsidP="00B51FCF">
    <w:pPr>
      <w:pStyle w:val="Pieddepage"/>
      <w:tabs>
        <w:tab w:val="right" w:pos="9638"/>
      </w:tabs>
      <w:rPr>
        <w:b/>
        <w:sz w:val="18"/>
      </w:rPr>
    </w:pPr>
    <w:r>
      <w:t>GE.</w:t>
    </w:r>
    <w:r w:rsidRPr="00B51FCF">
      <w:t>20</w:t>
    </w:r>
    <w:r>
      <w:t>-</w:t>
    </w:r>
    <w:r w:rsidRPr="00B51FCF">
      <w:t>04111</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E55B" w14:textId="77777777" w:rsidR="00967F69" w:rsidRPr="009C4D45" w:rsidRDefault="00967F69" w:rsidP="009C4D45">
      <w:pPr>
        <w:pStyle w:val="Pieddepage"/>
        <w:tabs>
          <w:tab w:val="right" w:pos="2155"/>
        </w:tabs>
        <w:spacing w:after="80" w:line="240" w:lineRule="atLeast"/>
        <w:ind w:left="680"/>
        <w:rPr>
          <w:u w:val="single"/>
        </w:rPr>
      </w:pPr>
      <w:r>
        <w:rPr>
          <w:u w:val="single"/>
        </w:rPr>
        <w:tab/>
      </w:r>
    </w:p>
  </w:footnote>
  <w:footnote w:type="continuationSeparator" w:id="0">
    <w:p w14:paraId="06FDE1EA" w14:textId="77777777" w:rsidR="00967F69" w:rsidRPr="00035AE4" w:rsidRDefault="00967F69" w:rsidP="00035AE4">
      <w:pPr>
        <w:pStyle w:val="Pieddepage"/>
        <w:tabs>
          <w:tab w:val="right" w:pos="2155"/>
        </w:tabs>
        <w:spacing w:after="80" w:line="240" w:lineRule="atLeast"/>
        <w:ind w:left="680"/>
        <w:rPr>
          <w:u w:val="single"/>
        </w:rPr>
      </w:pPr>
      <w:r>
        <w:rPr>
          <w:u w:val="single"/>
        </w:rPr>
        <w:tab/>
      </w:r>
    </w:p>
  </w:footnote>
  <w:footnote w:type="continuationNotice" w:id="1">
    <w:p w14:paraId="5FC78F6A" w14:textId="77777777" w:rsidR="00967F69" w:rsidRPr="00035AE4" w:rsidRDefault="00967F69">
      <w:pPr>
        <w:spacing w:line="240" w:lineRule="auto"/>
        <w:rPr>
          <w:sz w:val="2"/>
          <w:szCs w:val="2"/>
        </w:rPr>
      </w:pPr>
    </w:p>
  </w:footnote>
  <w:footnote w:id="2">
    <w:p w14:paraId="43078C35" w14:textId="77777777" w:rsidR="00967F69" w:rsidRPr="003A3CE4" w:rsidRDefault="00967F69" w:rsidP="00975D23">
      <w:pPr>
        <w:pStyle w:val="Notedebasdepage"/>
      </w:pPr>
      <w:r>
        <w:tab/>
      </w:r>
      <w:r w:rsidRPr="00975D23">
        <w:rPr>
          <w:rStyle w:val="Appelnotedebasdep"/>
          <w:sz w:val="20"/>
          <w:vertAlign w:val="baseline"/>
        </w:rPr>
        <w:t>*</w:t>
      </w:r>
      <w:r w:rsidRPr="003A3CE4">
        <w:tab/>
      </w:r>
      <w:r w:rsidRPr="00047D91">
        <w:t xml:space="preserve">La </w:t>
      </w:r>
      <w:r w:rsidRPr="00975D23">
        <w:t>version</w:t>
      </w:r>
      <w:r w:rsidRPr="00047D91">
        <w:t xml:space="preserve"> originale du présent document n’a pas été revue par les services d’édition.</w:t>
      </w:r>
    </w:p>
  </w:footnote>
  <w:footnote w:id="3">
    <w:p w14:paraId="139AADB1" w14:textId="3D7B21EE" w:rsidR="00967F69" w:rsidRPr="00530820" w:rsidRDefault="00967F69">
      <w:pPr>
        <w:pStyle w:val="Notedebasdepage"/>
      </w:pPr>
      <w:r>
        <w:tab/>
      </w:r>
      <w:r>
        <w:rPr>
          <w:rStyle w:val="Appelnotedebasdep"/>
        </w:rPr>
        <w:footnoteRef/>
      </w:r>
      <w:r>
        <w:tab/>
      </w:r>
      <w:r>
        <w:rPr>
          <w:noProof/>
          <w:lang w:val="fr-FR"/>
        </w:rPr>
        <w:t xml:space="preserve">Modification du Code pénal par addition de l’article 366-A : </w:t>
      </w:r>
      <w:r w:rsidRPr="00530820">
        <w:fldChar w:fldCharType="begin"/>
      </w:r>
      <w:r w:rsidRPr="00530820">
        <w:instrText xml:space="preserve"> HYPERLINK "https://www.asamblea.gob.sv/sites/default/files/documents/decretos/171117_073225431_archivo_documento_legislativo.pdf" </w:instrText>
      </w:r>
      <w:r w:rsidRPr="00530820">
        <w:fldChar w:fldCharType="separate"/>
      </w:r>
      <w:r w:rsidRPr="00530820">
        <w:rPr>
          <w:rStyle w:val="Hyperlink0"/>
          <w:szCs w:val="18"/>
          <w:u w:val="none"/>
        </w:rPr>
        <w:t>https://www.asamblea.gob.sv/sites/default/files/documents/decretos/171117_073225431_archivo_documento_legislativo.pdf</w:t>
      </w:r>
      <w:r w:rsidRPr="00530820">
        <w:rPr>
          <w:rStyle w:val="Hyperlink0"/>
          <w:szCs w:val="18"/>
          <w:u w:val="none"/>
        </w:rPr>
        <w:fldChar w:fldCharType="end"/>
      </w:r>
      <w:r w:rsidRPr="00530820">
        <w:rPr>
          <w:rStyle w:val="Hyperlink0"/>
          <w:szCs w:val="18"/>
          <w:u w:val="none"/>
        </w:rPr>
        <w:t>.</w:t>
      </w:r>
    </w:p>
  </w:footnote>
  <w:footnote w:id="4">
    <w:p w14:paraId="30060A03" w14:textId="37D17AA2" w:rsidR="00967F69" w:rsidRPr="002B1BF1" w:rsidRDefault="00967F69" w:rsidP="00706C13">
      <w:pPr>
        <w:pStyle w:val="Notedebasdepage"/>
        <w:rPr>
          <w:lang w:val="fr-CA"/>
        </w:rPr>
      </w:pPr>
      <w:r w:rsidRPr="00530820">
        <w:rPr>
          <w:lang w:val="fr-CA"/>
        </w:rPr>
        <w:tab/>
      </w:r>
      <w:r w:rsidRPr="00530820">
        <w:rPr>
          <w:rStyle w:val="Appelnotedebasdep"/>
        </w:rPr>
        <w:footnoteRef/>
      </w:r>
      <w:r w:rsidRPr="00530820">
        <w:rPr>
          <w:lang w:val="fr-CA"/>
        </w:rPr>
        <w:tab/>
        <w:t xml:space="preserve">Code pénal : </w:t>
      </w:r>
      <w:r w:rsidRPr="00530820">
        <w:fldChar w:fldCharType="begin"/>
      </w:r>
      <w:r w:rsidRPr="00530820">
        <w:instrText xml:space="preserve"> HYPERLINK "https://www.asamblea.gob.sv/sites/default/files/documents/decretos/C0AB56F8-AF37-4F25-AD90-08AE401C0BA7.pdf" </w:instrText>
      </w:r>
      <w:r w:rsidRPr="00530820">
        <w:fldChar w:fldCharType="separate"/>
      </w:r>
      <w:r w:rsidRPr="00530820">
        <w:rPr>
          <w:rStyle w:val="Hyperlink0"/>
          <w:szCs w:val="18"/>
          <w:u w:val="none"/>
        </w:rPr>
        <w:t>https://www.asamblea.gob.sv/sites/default/files/documents/decretos/C0AB56F8-AF37-4F25-AD90-08AE401C0BA7.pdf</w:t>
      </w:r>
      <w:r w:rsidRPr="00530820">
        <w:rPr>
          <w:rStyle w:val="Hyperlink0"/>
          <w:szCs w:val="18"/>
          <w:u w:val="none"/>
        </w:rPr>
        <w:fldChar w:fldCharType="end"/>
      </w:r>
      <w:r w:rsidRPr="003E47EF">
        <w:rPr>
          <w:rStyle w:val="Hyperlink0"/>
          <w:szCs w:val="18"/>
        </w:rPr>
        <w:t>.</w:t>
      </w:r>
    </w:p>
  </w:footnote>
  <w:footnote w:id="5">
    <w:p w14:paraId="72BADD18" w14:textId="7A5A6427" w:rsidR="00967F69" w:rsidRPr="002040CA" w:rsidRDefault="00967F69" w:rsidP="00706C13">
      <w:pPr>
        <w:pStyle w:val="Notedebasdepage"/>
        <w:rPr>
          <w:lang w:val="fr-CA"/>
        </w:rPr>
      </w:pPr>
      <w:r>
        <w:tab/>
      </w:r>
      <w:r>
        <w:rPr>
          <w:rStyle w:val="Appelnotedebasdep"/>
        </w:rPr>
        <w:footnoteRef/>
      </w:r>
      <w:r>
        <w:tab/>
      </w:r>
      <w:r w:rsidRPr="002040CA">
        <w:rPr>
          <w:noProof/>
          <w:lang w:val="fr-FR"/>
        </w:rPr>
        <w:t>Code de procédure pénale</w:t>
      </w:r>
      <w:r>
        <w:rPr>
          <w:noProof/>
          <w:lang w:val="fr-FR"/>
        </w:rPr>
        <w:t> </w:t>
      </w:r>
      <w:r w:rsidRPr="002040CA">
        <w:rPr>
          <w:noProof/>
          <w:lang w:val="fr-FR"/>
        </w:rPr>
        <w:t xml:space="preserve">: </w:t>
      </w:r>
      <w:r>
        <w:fldChar w:fldCharType="begin"/>
      </w:r>
      <w:r>
        <w:instrText xml:space="preserve"> HYPERLINK "https://www.asamblea.gob.sv/sites/default/files/documents/decretos/171117_072931433_archivo_documento_legislativo.pdf" </w:instrText>
      </w:r>
      <w:r>
        <w:fldChar w:fldCharType="separate"/>
      </w:r>
      <w:r w:rsidRPr="00D96281">
        <w:rPr>
          <w:rStyle w:val="Lienhypertexte"/>
          <w:szCs w:val="18"/>
          <w:u w:color="0000FF"/>
        </w:rPr>
        <w:t>https://www.asamblea.gob.sv/sites/default/files/documents/</w:t>
      </w:r>
      <w:r w:rsidRPr="00D96281">
        <w:rPr>
          <w:rStyle w:val="Lienhypertexte"/>
          <w:szCs w:val="18"/>
          <w:u w:color="0000FF"/>
        </w:rPr>
        <w:br/>
      </w:r>
      <w:proofErr w:type="spellStart"/>
      <w:r w:rsidRPr="00D96281">
        <w:rPr>
          <w:rStyle w:val="Lienhypertexte"/>
          <w:szCs w:val="18"/>
          <w:u w:color="0000FF"/>
        </w:rPr>
        <w:t>decretos</w:t>
      </w:r>
      <w:proofErr w:type="spellEnd"/>
      <w:r w:rsidRPr="00D96281">
        <w:rPr>
          <w:rStyle w:val="Lienhypertexte"/>
          <w:szCs w:val="18"/>
          <w:u w:color="0000FF"/>
        </w:rPr>
        <w:t>/171117_072931433_archivo_documento_legislativo.pdf</w:t>
      </w:r>
      <w:r>
        <w:rPr>
          <w:rStyle w:val="Lienhypertexte"/>
          <w:szCs w:val="18"/>
          <w:u w:color="0000FF"/>
        </w:rPr>
        <w:fldChar w:fldCharType="end"/>
      </w:r>
      <w:r>
        <w:rPr>
          <w:rStyle w:val="Lienhypertexte"/>
          <w:szCs w:val="18"/>
          <w:u w:color="0000FF"/>
        </w:rPr>
        <w:t>.</w:t>
      </w:r>
    </w:p>
  </w:footnote>
  <w:footnote w:id="6">
    <w:p w14:paraId="05C0D0EB" w14:textId="78C11B0F" w:rsidR="00967F69" w:rsidRPr="002040CA" w:rsidRDefault="00967F69" w:rsidP="00706C13">
      <w:pPr>
        <w:pStyle w:val="Notedebasdepage"/>
        <w:rPr>
          <w:lang w:val="fr-CA"/>
        </w:rPr>
      </w:pPr>
      <w:r>
        <w:tab/>
      </w:r>
      <w:r>
        <w:rPr>
          <w:rStyle w:val="Appelnotedebasdep"/>
        </w:rPr>
        <w:footnoteRef/>
      </w:r>
      <w:r>
        <w:tab/>
      </w:r>
      <w:r>
        <w:rPr>
          <w:lang w:val="fr-CA"/>
        </w:rPr>
        <w:t xml:space="preserve">Constitution de la République : </w:t>
      </w:r>
      <w:r>
        <w:fldChar w:fldCharType="begin"/>
      </w:r>
      <w:r>
        <w:instrText xml:space="preserve"> HYPERLINK "https://www.asamblea.gob.sv/sites/default/files/documents/decretos/171117_072857074_archivo_documento_legislativo.pdf" </w:instrText>
      </w:r>
      <w:r>
        <w:fldChar w:fldCharType="separate"/>
      </w:r>
      <w:r w:rsidRPr="000D71D0">
        <w:rPr>
          <w:rStyle w:val="Lienhypertexte"/>
          <w:szCs w:val="18"/>
          <w:u w:color="0000FF"/>
        </w:rPr>
        <w:t>https://www.asamblea.gob.sv/sites/default/files/documents/decretos/</w:t>
      </w:r>
      <w:r w:rsidRPr="000D71D0">
        <w:rPr>
          <w:rStyle w:val="Lienhypertexte"/>
          <w:szCs w:val="18"/>
          <w:u w:color="0000FF"/>
        </w:rPr>
        <w:br/>
        <w:t>171117_072857074_archivo_documento_legislativo.pdf</w:t>
      </w:r>
      <w:r>
        <w:rPr>
          <w:rStyle w:val="Lienhypertexte"/>
          <w:szCs w:val="18"/>
          <w:u w:color="0000FF"/>
        </w:rPr>
        <w:fldChar w:fldCharType="end"/>
      </w:r>
      <w:r>
        <w:rPr>
          <w:rStyle w:val="Lienhypertexte"/>
          <w:szCs w:val="18"/>
          <w:u w:color="0000FF"/>
        </w:rPr>
        <w:t>.</w:t>
      </w:r>
    </w:p>
  </w:footnote>
  <w:footnote w:id="7">
    <w:p w14:paraId="511B69C3" w14:textId="2338080F" w:rsidR="00967F69" w:rsidRPr="00D02127" w:rsidRDefault="00967F69" w:rsidP="00706C13">
      <w:pPr>
        <w:pStyle w:val="Notedebasdepage"/>
        <w:rPr>
          <w:lang w:val="fr-CA"/>
        </w:rPr>
      </w:pPr>
      <w:r>
        <w:tab/>
      </w:r>
      <w:r>
        <w:rPr>
          <w:rStyle w:val="Appelnotedebasdep"/>
        </w:rPr>
        <w:footnoteRef/>
      </w:r>
      <w:r>
        <w:tab/>
      </w:r>
      <w:r>
        <w:rPr>
          <w:noProof/>
          <w:lang w:val="fr-FR"/>
        </w:rPr>
        <w:t xml:space="preserve">Loi sur la protection intégrale des enfants et des adolescents : </w:t>
      </w:r>
      <w:r>
        <w:fldChar w:fldCharType="begin"/>
      </w:r>
      <w:r>
        <w:instrText xml:space="preserve"> HYPERLINK "https://www.asamblea.gob.sv/sites/default/files/documents/decretos/3F9B9266-DEF0-401E-92A0-5FD23785E100.pdf" </w:instrText>
      </w:r>
      <w:r>
        <w:fldChar w:fldCharType="separate"/>
      </w:r>
      <w:r w:rsidRPr="00D96281">
        <w:rPr>
          <w:rStyle w:val="Lienhypertexte"/>
          <w:szCs w:val="18"/>
          <w:u w:color="0000FF"/>
        </w:rPr>
        <w:t>https://www.asamblea.gob.sv/sites/default/files/documents/decretos/3F9B9266-DEF0-401E-92A0-5FD23785E100.pdf</w:t>
      </w:r>
      <w:r>
        <w:rPr>
          <w:rStyle w:val="Lienhypertexte"/>
          <w:szCs w:val="18"/>
          <w:u w:color="0000FF"/>
        </w:rPr>
        <w:fldChar w:fldCharType="end"/>
      </w:r>
      <w:r>
        <w:rPr>
          <w:rStyle w:val="Lienhypertexte"/>
          <w:szCs w:val="18"/>
          <w:u w:color="0000FF"/>
        </w:rPr>
        <w:t>.</w:t>
      </w:r>
    </w:p>
  </w:footnote>
  <w:footnote w:id="8">
    <w:p w14:paraId="23B545FE" w14:textId="3799F9CC" w:rsidR="00967F69" w:rsidRPr="00530820" w:rsidRDefault="00967F69" w:rsidP="00706C13">
      <w:pPr>
        <w:pStyle w:val="Notedebasdepage"/>
        <w:rPr>
          <w:lang w:val="fr-CA"/>
        </w:rPr>
      </w:pPr>
      <w:r>
        <w:tab/>
      </w:r>
      <w:r>
        <w:rPr>
          <w:rStyle w:val="Appelnotedebasdep"/>
        </w:rPr>
        <w:footnoteRef/>
      </w:r>
      <w:r>
        <w:tab/>
      </w:r>
      <w:r>
        <w:rPr>
          <w:lang w:val="fr-CA"/>
        </w:rPr>
        <w:t xml:space="preserve">Loi pénitentiaire : </w:t>
      </w:r>
      <w:r w:rsidRPr="00530820">
        <w:fldChar w:fldCharType="begin"/>
      </w:r>
      <w:r w:rsidRPr="00530820">
        <w:instrText xml:space="preserve"> HYPERLINK "https://www.asamblea.gob.sv/sites/default/files/documents/decretos/BA7E081F-43DC-4439-82A9-045E5CB656FE.pdf" </w:instrText>
      </w:r>
      <w:r w:rsidRPr="00530820">
        <w:fldChar w:fldCharType="separate"/>
      </w:r>
      <w:r w:rsidRPr="00530820">
        <w:rPr>
          <w:rStyle w:val="Hyperlink0"/>
          <w:szCs w:val="18"/>
          <w:u w:val="none"/>
        </w:rPr>
        <w:t>https://www.asamblea.gob.sv/sites/default/files/documents/decretos/BA7E081F-43DC-4439-82A9-045E5CB656FE.pdf</w:t>
      </w:r>
      <w:r w:rsidRPr="00530820">
        <w:rPr>
          <w:rStyle w:val="Hyperlink0"/>
          <w:szCs w:val="18"/>
          <w:u w:val="none"/>
        </w:rPr>
        <w:fldChar w:fldCharType="end"/>
      </w:r>
      <w:r w:rsidRPr="00530820">
        <w:rPr>
          <w:rStyle w:val="Hyperlink0"/>
          <w:szCs w:val="18"/>
          <w:u w:val="none"/>
        </w:rPr>
        <w:t>.</w:t>
      </w:r>
    </w:p>
  </w:footnote>
  <w:footnote w:id="9">
    <w:p w14:paraId="7C4AE72E" w14:textId="2910D27D" w:rsidR="00967F69" w:rsidRPr="00020EC0" w:rsidRDefault="00967F69" w:rsidP="00706C13">
      <w:pPr>
        <w:pStyle w:val="Notedebasdepage"/>
        <w:rPr>
          <w:lang w:val="fr-CA"/>
        </w:rPr>
      </w:pPr>
      <w:r>
        <w:tab/>
      </w:r>
      <w:r>
        <w:rPr>
          <w:rStyle w:val="Appelnotedebasdep"/>
        </w:rPr>
        <w:footnoteRef/>
      </w:r>
      <w:r>
        <w:tab/>
      </w:r>
      <w:r w:rsidRPr="003E47EF">
        <w:rPr>
          <w:i/>
          <w:szCs w:val="18"/>
        </w:rPr>
        <w:t>Habeas Corpus</w:t>
      </w:r>
      <w:r w:rsidRPr="007B4F88">
        <w:rPr>
          <w:szCs w:val="18"/>
        </w:rPr>
        <w:t xml:space="preserve"> 203/204/205-2007</w:t>
      </w:r>
      <w:r>
        <w:rPr>
          <w:szCs w:val="18"/>
        </w:rPr>
        <w:t> </w:t>
      </w:r>
      <w:r w:rsidRPr="007B4F88">
        <w:rPr>
          <w:szCs w:val="18"/>
        </w:rPr>
        <w:t xml:space="preserve">: </w:t>
      </w:r>
      <w:r>
        <w:fldChar w:fldCharType="begin"/>
      </w:r>
      <w:r>
        <w:instrText xml:space="preserve"> HYPERLINK "http://www.jurisprudencia.gob.sv/DocumentosBoveda/D/1/2010-2019/2011/07/91C56.PDF" </w:instrText>
      </w:r>
      <w:r>
        <w:fldChar w:fldCharType="separate"/>
      </w:r>
      <w:r w:rsidRPr="000D71D0">
        <w:rPr>
          <w:rStyle w:val="Lienhypertexte"/>
          <w:szCs w:val="18"/>
          <w:u w:color="0000FF"/>
        </w:rPr>
        <w:t>http://www.jurisprudencia.gob.sv/DocumentosBoveda/D/1/2010-2019/2011/07/91C56.PDF</w:t>
      </w:r>
      <w:r>
        <w:rPr>
          <w:rStyle w:val="Lienhypertexte"/>
          <w:szCs w:val="18"/>
          <w:u w:color="0000FF"/>
        </w:rPr>
        <w:fldChar w:fldCharType="end"/>
      </w:r>
      <w:r>
        <w:rPr>
          <w:rStyle w:val="Lienhypertexte"/>
          <w:szCs w:val="18"/>
          <w:u w:color="0000FF"/>
        </w:rPr>
        <w:t>.</w:t>
      </w:r>
    </w:p>
  </w:footnote>
  <w:footnote w:id="10">
    <w:p w14:paraId="6093BB9B" w14:textId="0567D4EA" w:rsidR="00967F69" w:rsidRPr="00396492" w:rsidRDefault="00967F69" w:rsidP="00706C13">
      <w:pPr>
        <w:pStyle w:val="Notedebasdepage"/>
        <w:rPr>
          <w:color w:val="0000FF"/>
        </w:rPr>
      </w:pPr>
      <w:r>
        <w:tab/>
      </w:r>
      <w:r>
        <w:rPr>
          <w:rStyle w:val="Appelnotedebasdep"/>
        </w:rPr>
        <w:footnoteRef/>
      </w:r>
      <w:r>
        <w:tab/>
      </w:r>
      <w:proofErr w:type="spellStart"/>
      <w:r w:rsidRPr="00D36492">
        <w:rPr>
          <w:rFonts w:eastAsia="Arial Unicode MS"/>
          <w:i/>
          <w:szCs w:val="18"/>
        </w:rPr>
        <w:t>Amparo</w:t>
      </w:r>
      <w:proofErr w:type="spellEnd"/>
      <w:r w:rsidRPr="007B4F88">
        <w:rPr>
          <w:rFonts w:eastAsia="Arial Unicode MS"/>
          <w:szCs w:val="18"/>
        </w:rPr>
        <w:t xml:space="preserve"> 665-2010</w:t>
      </w:r>
      <w:r>
        <w:rPr>
          <w:rFonts w:eastAsia="Arial Unicode MS"/>
          <w:szCs w:val="18"/>
        </w:rPr>
        <w:t> </w:t>
      </w:r>
      <w:r w:rsidRPr="007B4F88">
        <w:rPr>
          <w:rFonts w:eastAsia="Arial Unicode MS"/>
          <w:szCs w:val="18"/>
        </w:rPr>
        <w:t xml:space="preserve">: </w:t>
      </w:r>
      <w:r>
        <w:fldChar w:fldCharType="begin"/>
      </w:r>
      <w:r>
        <w:instrText xml:space="preserve"> HYPERLINK "http://www.jurisprudencia.gob.sv/busqueda/showFile.php?bd=1&amp;data=DocumentosBoveda%2FD%2F1%2F2010-19%2F2014%2F02%2FA4419.PDF&amp;number=672793&amp;fecha=05/02/2014&amp;numero=665-2010&amp;cesta=0&amp;singlePage=false" </w:instrText>
      </w:r>
      <w:r>
        <w:fldChar w:fldCharType="separate"/>
      </w:r>
      <w:r w:rsidRPr="00D96281">
        <w:rPr>
          <w:rStyle w:val="Lienhypertexte"/>
        </w:rPr>
        <w:t>http://www.jurisprudencia.gob.sv/busqueda/showFile.php?bd=1&amp;data=</w:t>
      </w:r>
      <w:r w:rsidRPr="00D96281">
        <w:rPr>
          <w:rStyle w:val="Lienhypertexte"/>
        </w:rPr>
        <w:br/>
        <w:t>DocumentosBoveda%2FD%2F1%2F2010-19%2F2014%2F02%2FA4419.PDF&amp;number=672793&amp;fecha=05/02/2014&amp;numero=665-2010&amp;cesta=0&amp;singlePage=false</w:t>
      </w:r>
      <w:r>
        <w:rPr>
          <w:rStyle w:val="Lienhypertexte"/>
        </w:rPr>
        <w:fldChar w:fldCharType="end"/>
      </w:r>
      <w:r w:rsidRPr="00BC2983">
        <w:rPr>
          <w:rStyle w:val="Lienhypertexte"/>
        </w:rPr>
        <w:t>'</w:t>
      </w:r>
      <w:r>
        <w:rPr>
          <w:rStyle w:val="Lienhypertexte"/>
        </w:rPr>
        <w:t>.</w:t>
      </w:r>
    </w:p>
  </w:footnote>
  <w:footnote w:id="11">
    <w:p w14:paraId="1E9118BB" w14:textId="7B5FBDC4" w:rsidR="00967F69" w:rsidRPr="00C00EFC" w:rsidRDefault="00967F69" w:rsidP="00706C13">
      <w:pPr>
        <w:pStyle w:val="Notedebasdepage"/>
        <w:rPr>
          <w:szCs w:val="18"/>
        </w:rPr>
      </w:pPr>
      <w:r>
        <w:tab/>
      </w:r>
      <w:r>
        <w:rPr>
          <w:rStyle w:val="Appelnotedebasdep"/>
        </w:rPr>
        <w:footnoteRef/>
      </w:r>
      <w:r>
        <w:tab/>
      </w:r>
      <w:proofErr w:type="spellStart"/>
      <w:r w:rsidRPr="00D36492">
        <w:rPr>
          <w:rFonts w:eastAsia="Arial Unicode MS"/>
          <w:i/>
          <w:szCs w:val="18"/>
        </w:rPr>
        <w:t>Inconstitucionalidad</w:t>
      </w:r>
      <w:proofErr w:type="spellEnd"/>
      <w:r w:rsidRPr="007B4F88">
        <w:rPr>
          <w:rFonts w:eastAsia="Arial Unicode MS"/>
          <w:szCs w:val="18"/>
        </w:rPr>
        <w:t xml:space="preserve"> 91-2007</w:t>
      </w:r>
      <w:r>
        <w:rPr>
          <w:rFonts w:eastAsia="Arial Unicode MS"/>
          <w:szCs w:val="18"/>
        </w:rPr>
        <w:t> </w:t>
      </w:r>
      <w:r w:rsidRPr="007B4F88">
        <w:rPr>
          <w:rFonts w:eastAsia="Arial Unicode MS"/>
          <w:szCs w:val="18"/>
        </w:rPr>
        <w:t>:</w:t>
      </w:r>
      <w:r>
        <w:rPr>
          <w:rFonts w:eastAsia="Arial Unicode MS"/>
          <w:szCs w:val="18"/>
        </w:rPr>
        <w:t xml:space="preserve"> </w:t>
      </w:r>
      <w:r>
        <w:fldChar w:fldCharType="begin"/>
      </w:r>
      <w:r>
        <w:instrText xml:space="preserve"> HYPERLINK "http://www.csj.gob.sv/Comunicaciones/Boletin_informativo/2010/Septiembre_2010/Sentencia%2091-2007%20Art%20191%20con%20voto%20razonado.pdf" </w:instrText>
      </w:r>
      <w:r>
        <w:fldChar w:fldCharType="separate"/>
      </w:r>
      <w:r w:rsidRPr="000D71D0">
        <w:rPr>
          <w:rStyle w:val="Lienhypertexte"/>
          <w:szCs w:val="18"/>
          <w:u w:color="0000FF"/>
        </w:rPr>
        <w:t>http://www.csj.gob.sv/Comunicaciones/Boletin_informativo/</w:t>
      </w:r>
      <w:r w:rsidRPr="000D71D0">
        <w:rPr>
          <w:rStyle w:val="Lienhypertexte"/>
          <w:szCs w:val="18"/>
          <w:u w:color="0000FF"/>
        </w:rPr>
        <w:br/>
        <w:t>2010/Septiembre_2010/Sentencia%2091-2007%20Art%20191%20con%20voto%20razonado.pdf</w:t>
      </w:r>
      <w:r>
        <w:rPr>
          <w:rStyle w:val="Lienhypertexte"/>
          <w:szCs w:val="18"/>
          <w:u w:color="0000FF"/>
        </w:rPr>
        <w:fldChar w:fldCharType="end"/>
      </w:r>
      <w:r>
        <w:rPr>
          <w:rStyle w:val="Lienhypertexte"/>
          <w:szCs w:val="18"/>
          <w:u w:color="0000FF"/>
        </w:rPr>
        <w:t>.</w:t>
      </w:r>
    </w:p>
  </w:footnote>
  <w:footnote w:id="12">
    <w:p w14:paraId="3F6E753B" w14:textId="23000137" w:rsidR="00967F69" w:rsidRDefault="00967F69">
      <w:pPr>
        <w:pStyle w:val="Notedebasdepage"/>
      </w:pPr>
      <w:r>
        <w:tab/>
      </w:r>
      <w:r>
        <w:rPr>
          <w:rStyle w:val="Appelnotedebasdep"/>
        </w:rPr>
        <w:footnoteRef/>
      </w:r>
      <w:r>
        <w:tab/>
        <w:t xml:space="preserve">Voir </w:t>
      </w:r>
      <w:r>
        <w:fldChar w:fldCharType="begin"/>
      </w:r>
      <w:r>
        <w:instrText xml:space="preserve"> HYPERLINK "http://www.jurisprudencia.gob.sv/busqueda/showFile.php?bd=1&amp;data=%09%09DocumentosBoveda%2FD%2F1%2F2000-2009%2F2008%2F02%2F3074.PDF&amp;number=%0912404&amp;fecha=29/02/2008&amp;numero=125-2005&amp;cesta=0&amp;singlePage=false" </w:instrText>
      </w:r>
      <w:r>
        <w:fldChar w:fldCharType="separate"/>
      </w:r>
      <w:r w:rsidRPr="00F661E9">
        <w:rPr>
          <w:rStyle w:val="Lienhypertexte"/>
          <w:szCs w:val="18"/>
          <w:u w:color="0000FF"/>
          <w:lang w:val="fr-FR"/>
        </w:rPr>
        <w:t>http://www.jurisprudencia.gob.sv/busqueda/showFile.php?bd=1&amp;data=</w:t>
      </w:r>
      <w:r w:rsidRPr="00F661E9">
        <w:rPr>
          <w:rStyle w:val="Lienhypertexte"/>
          <w:szCs w:val="18"/>
          <w:lang w:val="fr-FR"/>
        </w:rPr>
        <w:t>DocumentosBoveda</w:t>
      </w:r>
      <w:r>
        <w:rPr>
          <w:rStyle w:val="Lienhypertexte"/>
          <w:szCs w:val="18"/>
          <w:lang w:val="fr-FR"/>
        </w:rPr>
        <w:br/>
      </w:r>
      <w:r w:rsidRPr="00F661E9">
        <w:rPr>
          <w:rStyle w:val="Lienhypertexte"/>
          <w:szCs w:val="18"/>
          <w:lang w:val="fr-FR"/>
        </w:rPr>
        <w:t>%2FD%2F1%2F2000-2009%2F2008%2F02%2F3074.PDF&amp;number=</w:t>
      </w:r>
      <w:r w:rsidRPr="00F661E9">
        <w:rPr>
          <w:rStyle w:val="Lienhypertexte"/>
          <w:szCs w:val="18"/>
          <w:u w:color="0000FF"/>
          <w:lang w:val="fr-FR"/>
        </w:rPr>
        <w:t>12404&amp;fecha=</w:t>
      </w:r>
      <w:r>
        <w:rPr>
          <w:rStyle w:val="Lienhypertexte"/>
          <w:szCs w:val="18"/>
          <w:u w:color="0000FF"/>
          <w:lang w:val="fr-FR"/>
        </w:rPr>
        <w:br/>
      </w:r>
      <w:r w:rsidRPr="00F661E9">
        <w:rPr>
          <w:rStyle w:val="Lienhypertexte"/>
          <w:szCs w:val="18"/>
          <w:u w:color="0000FF"/>
          <w:lang w:val="fr-FR"/>
        </w:rPr>
        <w:t>29/02/2008&amp;numero=125-2005&amp;cesta=0&amp;singlePage=false</w:t>
      </w:r>
      <w:r>
        <w:rPr>
          <w:rStyle w:val="Lienhypertexte"/>
          <w:szCs w:val="18"/>
          <w:u w:color="0000FF"/>
          <w:lang w:val="fr-FR"/>
        </w:rPr>
        <w:fldChar w:fldCharType="end"/>
      </w:r>
      <w:r w:rsidRPr="00F661E9">
        <w:rPr>
          <w:szCs w:val="18"/>
          <w:lang w:val="fr-FR"/>
        </w:rPr>
        <w:t>'</w:t>
      </w:r>
      <w:r>
        <w:rPr>
          <w:szCs w:val="18"/>
          <w:lang w:val="fr-FR"/>
        </w:rPr>
        <w:t>.</w:t>
      </w:r>
    </w:p>
  </w:footnote>
  <w:footnote w:id="13">
    <w:p w14:paraId="0B943439" w14:textId="523B5BF1" w:rsidR="00967F69" w:rsidRPr="00C00EFC" w:rsidRDefault="00967F69" w:rsidP="00706C13">
      <w:pPr>
        <w:pStyle w:val="Notedebasdepage"/>
        <w:rPr>
          <w:lang w:val="fr-CA"/>
        </w:rPr>
      </w:pPr>
      <w:r>
        <w:tab/>
      </w:r>
      <w:r>
        <w:rPr>
          <w:rStyle w:val="Appelnotedebasdep"/>
        </w:rPr>
        <w:footnoteRef/>
      </w:r>
      <w:r>
        <w:tab/>
        <w:t xml:space="preserve">Voir </w:t>
      </w:r>
      <w:r>
        <w:fldChar w:fldCharType="begin"/>
      </w:r>
      <w:r>
        <w:instrText xml:space="preserve"> HYPERLINK "http://www.jurisprudencia.gob.sv/busqueda/showFile.php?bd=1&amp;data=%09DocumentosBoveda%2FD%2F1%2F2010-2019%2F2010%2F12%2F8A908.PDF%09&amp;number=567560&amp;fecha=23/12/2010&amp;numero=5-2001AC&amp;cesta=0&amp;singlePage=false" </w:instrText>
      </w:r>
      <w:r>
        <w:fldChar w:fldCharType="separate"/>
      </w:r>
      <w:r w:rsidRPr="00F661E9">
        <w:rPr>
          <w:rStyle w:val="Lienhypertexte"/>
          <w:szCs w:val="18"/>
          <w:u w:color="0000FF"/>
          <w:lang w:val="fr-FR"/>
        </w:rPr>
        <w:t>http://www.jurisprudencia.gob.sv/busqueda/showFile.php?bd=1&amp;data=DocumentosBoveda%</w:t>
      </w:r>
      <w:r>
        <w:rPr>
          <w:rStyle w:val="Lienhypertexte"/>
          <w:szCs w:val="18"/>
          <w:u w:color="0000FF"/>
          <w:lang w:val="fr-FR"/>
        </w:rPr>
        <w:br/>
      </w:r>
      <w:r w:rsidRPr="00F661E9">
        <w:rPr>
          <w:rStyle w:val="Lienhypertexte"/>
          <w:szCs w:val="18"/>
          <w:u w:color="0000FF"/>
          <w:lang w:val="fr-FR"/>
        </w:rPr>
        <w:t>2FD%2F1%2F2010-2019%2F2010%2F12%2F8A908.PDF&amp;number=567560&amp;fecha</w:t>
      </w:r>
      <w:r>
        <w:rPr>
          <w:rStyle w:val="Lienhypertexte"/>
          <w:szCs w:val="18"/>
          <w:u w:color="0000FF"/>
          <w:lang w:val="fr-FR"/>
        </w:rPr>
        <w:br/>
      </w:r>
      <w:r w:rsidRPr="00F661E9">
        <w:rPr>
          <w:rStyle w:val="Lienhypertexte"/>
          <w:szCs w:val="18"/>
          <w:u w:color="0000FF"/>
          <w:lang w:val="fr-FR"/>
        </w:rPr>
        <w:t>=23/12/2010&amp;numero=5-2001AC&amp;cesta=0&amp;singlePage=false</w:t>
      </w:r>
      <w:r>
        <w:rPr>
          <w:rStyle w:val="Lienhypertexte"/>
          <w:szCs w:val="18"/>
          <w:u w:color="0000FF"/>
          <w:lang w:val="fr-FR"/>
        </w:rPr>
        <w:fldChar w:fldCharType="end"/>
      </w:r>
      <w:r w:rsidRPr="00F661E9">
        <w:rPr>
          <w:szCs w:val="18"/>
          <w:lang w:val="fr-FR"/>
        </w:rPr>
        <w:t>'</w:t>
      </w:r>
      <w:r>
        <w:rPr>
          <w:szCs w:val="18"/>
          <w:lang w:val="fr-FR"/>
        </w:rPr>
        <w:t>.</w:t>
      </w:r>
    </w:p>
  </w:footnote>
  <w:footnote w:id="14">
    <w:p w14:paraId="4FA435BD" w14:textId="4A4318E6" w:rsidR="00967F69" w:rsidRPr="00C00EFC" w:rsidRDefault="00967F69" w:rsidP="00706C13">
      <w:pPr>
        <w:pStyle w:val="Notedebasdepage"/>
        <w:rPr>
          <w:lang w:val="fr-CA"/>
        </w:rPr>
      </w:pPr>
      <w:r>
        <w:tab/>
      </w:r>
      <w:r>
        <w:rPr>
          <w:rStyle w:val="Appelnotedebasdep"/>
        </w:rPr>
        <w:footnoteRef/>
      </w:r>
      <w:r>
        <w:tab/>
        <w:t xml:space="preserve">Voir </w:t>
      </w:r>
      <w:r>
        <w:fldChar w:fldCharType="begin"/>
      </w:r>
      <w:r>
        <w:instrText xml:space="preserve"> HYPERLINK "http://www.jurisprudencia.gob.sv/busqueda/showFile.php?bd=1&amp;data=DocumentosBoveda%25%092FD%2F1%2F2010-2019%2F2016%2F07%2FBA3A5.PDF&amp;number=762789&amp;fecha=13/07/2016&amp;numero=44-2013AC&amp;cesta=0&amp;singlePage=false" </w:instrText>
      </w:r>
      <w:r>
        <w:fldChar w:fldCharType="separate"/>
      </w:r>
      <w:r w:rsidRPr="00F661E9">
        <w:rPr>
          <w:rStyle w:val="Lienhypertexte"/>
          <w:szCs w:val="18"/>
          <w:u w:color="0000FF"/>
          <w:lang w:val="fr-FR"/>
        </w:rPr>
        <w:t>http://www.jurisprudencia.gob.sv/busqueda/showFile.php?bd=1&amp;data=DocumentosBoveda</w:t>
      </w:r>
      <w:r>
        <w:rPr>
          <w:rStyle w:val="Lienhypertexte"/>
          <w:szCs w:val="18"/>
          <w:u w:color="0000FF"/>
          <w:lang w:val="fr-FR"/>
        </w:rPr>
        <w:br/>
      </w:r>
      <w:r w:rsidRPr="00F661E9">
        <w:rPr>
          <w:rStyle w:val="Lienhypertexte"/>
          <w:szCs w:val="18"/>
          <w:u w:color="0000FF"/>
          <w:lang w:val="fr-FR"/>
        </w:rPr>
        <w:t>%</w:t>
      </w:r>
      <w:r w:rsidRPr="00F661E9">
        <w:rPr>
          <w:rStyle w:val="Lienhypertexte"/>
          <w:szCs w:val="18"/>
          <w:lang w:val="fr-FR"/>
        </w:rPr>
        <w:t>2FD%2F1%2F2010-2019%2F2016%2F07%2FBA3A5.PDF&amp;number=762789&amp;fecha=</w:t>
      </w:r>
      <w:r w:rsidRPr="00F661E9">
        <w:rPr>
          <w:rStyle w:val="Lienhypertexte"/>
          <w:szCs w:val="18"/>
          <w:lang w:val="fr-FR"/>
        </w:rPr>
        <w:br/>
        <w:t>13/07/2016&amp;</w:t>
      </w:r>
      <w:r w:rsidRPr="00F661E9">
        <w:rPr>
          <w:rStyle w:val="Lienhypertexte"/>
          <w:szCs w:val="18"/>
          <w:u w:color="0000FF"/>
          <w:lang w:val="fr-FR"/>
        </w:rPr>
        <w:t>numero=44-2013AC&amp;cesta=0&amp;singlePage=false</w:t>
      </w:r>
      <w:r>
        <w:rPr>
          <w:rStyle w:val="Lienhypertexte"/>
          <w:szCs w:val="18"/>
          <w:u w:color="0000FF"/>
          <w:lang w:val="fr-FR"/>
        </w:rPr>
        <w:fldChar w:fldCharType="end"/>
      </w:r>
      <w:r w:rsidRPr="00F661E9">
        <w:rPr>
          <w:szCs w:val="18"/>
          <w:lang w:val="fr-FR"/>
        </w:rPr>
        <w:t>'</w:t>
      </w:r>
      <w:r>
        <w:rPr>
          <w:szCs w:val="18"/>
          <w:lang w:val="fr-FR"/>
        </w:rPr>
        <w:t>.</w:t>
      </w:r>
    </w:p>
  </w:footnote>
  <w:footnote w:id="15">
    <w:p w14:paraId="69AE74FD" w14:textId="0B1EFC0F" w:rsidR="00967F69" w:rsidRPr="00530820" w:rsidRDefault="00967F69" w:rsidP="00706C13">
      <w:pPr>
        <w:pStyle w:val="Notedebasdepage"/>
        <w:rPr>
          <w:lang w:val="fr-CA"/>
        </w:rPr>
      </w:pPr>
      <w:r>
        <w:tab/>
      </w:r>
      <w:r>
        <w:rPr>
          <w:rStyle w:val="Appelnotedebasdep"/>
        </w:rPr>
        <w:footnoteRef/>
      </w:r>
      <w:r>
        <w:tab/>
        <w:t xml:space="preserve">Voir </w:t>
      </w:r>
      <w:r w:rsidRPr="00530820">
        <w:fldChar w:fldCharType="begin"/>
      </w:r>
      <w:r w:rsidRPr="00530820">
        <w:instrText xml:space="preserve"> HYPERLINK "http://www.asamblea.gob.sv/eparlamento/indice-legislativo/buscador-de-documentos-legislativos/ley-de-proscripcion-de-maras-pandillas-agrupaciones-asociaciones-y-organizaciones-de-naturaleza-criminal" </w:instrText>
      </w:r>
      <w:r w:rsidRPr="00530820">
        <w:fldChar w:fldCharType="separate"/>
      </w:r>
      <w:r w:rsidRPr="00530820">
        <w:rPr>
          <w:rStyle w:val="Hyperlink0"/>
          <w:szCs w:val="18"/>
          <w:u w:val="none"/>
        </w:rPr>
        <w:t>http://www.asamblea.gob.sv/eparlamento/indice-legislativo/buscador-de-documentos-legislativos/ley-de-proscripcion-de-maras-pandillas-agrupaciones-asociaciones-y-organizaciones-de-naturaleza-criminal</w:t>
      </w:r>
      <w:r w:rsidRPr="00530820">
        <w:rPr>
          <w:rStyle w:val="Hyperlink0"/>
          <w:szCs w:val="18"/>
          <w:u w:val="none"/>
        </w:rPr>
        <w:fldChar w:fldCharType="end"/>
      </w:r>
      <w:r w:rsidRPr="00530820">
        <w:rPr>
          <w:rStyle w:val="Hyperlink0"/>
          <w:szCs w:val="18"/>
          <w:u w:val="none"/>
        </w:rPr>
        <w:t>.</w:t>
      </w:r>
    </w:p>
  </w:footnote>
  <w:footnote w:id="16">
    <w:p w14:paraId="64CB0C3D" w14:textId="3EB89062" w:rsidR="00967F69" w:rsidRPr="007414D7" w:rsidRDefault="00967F69" w:rsidP="00706C13">
      <w:pPr>
        <w:pStyle w:val="Notedebasdepage"/>
        <w:rPr>
          <w:noProof/>
          <w:lang w:val="fr-FR"/>
        </w:rPr>
      </w:pPr>
      <w:r>
        <w:rPr>
          <w:noProof/>
          <w:lang w:val="fr-FR"/>
        </w:rPr>
        <w:t xml:space="preserve"> </w:t>
      </w:r>
      <w:r>
        <w:rPr>
          <w:noProof/>
          <w:lang w:val="fr-FR"/>
        </w:rPr>
        <w:tab/>
      </w:r>
      <w:r w:rsidRPr="007414D7">
        <w:rPr>
          <w:rStyle w:val="Appelnotedebasdep"/>
          <w:noProof/>
          <w:lang w:val="fr-FR"/>
        </w:rPr>
        <w:footnoteRef/>
      </w:r>
      <w:r>
        <w:rPr>
          <w:noProof/>
          <w:lang w:val="fr-FR"/>
        </w:rPr>
        <w:tab/>
        <w:t>L</w:t>
      </w:r>
      <w:r w:rsidRPr="007414D7">
        <w:rPr>
          <w:noProof/>
          <w:lang w:val="fr-FR"/>
        </w:rPr>
        <w:t>oi spéciale visant à garantir aux femmes une vie exempte de violence</w:t>
      </w:r>
      <w:r>
        <w:rPr>
          <w:noProof/>
          <w:lang w:val="fr-FR"/>
        </w:rPr>
        <w:t xml:space="preserve"> : </w:t>
      </w:r>
      <w:r>
        <w:fldChar w:fldCharType="begin"/>
      </w:r>
      <w:r>
        <w:instrText xml:space="preserve"> HYPERLINK "http://www.asamblea.gob.sv/eparlamento/indice-legislativo/buscador-de-documentoslegislativos/ley-especial-integral-para-una-vida-libre-de-violncia-para-las-mujeres" </w:instrText>
      </w:r>
      <w:r>
        <w:fldChar w:fldCharType="separate"/>
      </w:r>
      <w:r w:rsidRPr="004467B7">
        <w:rPr>
          <w:rStyle w:val="Lienhypertexte"/>
        </w:rPr>
        <w:t>http://www.asamblea.gob.sv/eparlamento/indice-legislativo/buscador-de-documentoslegislativos/ley-especial-integral-para-una-vida-libre-de-violncia-para-las-mujeres</w:t>
      </w:r>
      <w:r>
        <w:rPr>
          <w:rStyle w:val="Lienhypertexte"/>
        </w:rPr>
        <w:fldChar w:fldCharType="end"/>
      </w:r>
      <w:r>
        <w:t>.</w:t>
      </w:r>
    </w:p>
  </w:footnote>
  <w:footnote w:id="17">
    <w:p w14:paraId="5CA16370" w14:textId="77777777" w:rsidR="00967F69" w:rsidRDefault="00967F69" w:rsidP="00706C13">
      <w:pPr>
        <w:pStyle w:val="Notedebasdepage"/>
        <w:rPr>
          <w:lang w:val="fr-FR"/>
        </w:rPr>
      </w:pPr>
      <w:r>
        <w:tab/>
      </w:r>
      <w:r>
        <w:rPr>
          <w:rStyle w:val="Appelnotedebasdep"/>
        </w:rPr>
        <w:footnoteRef/>
      </w:r>
      <w:r>
        <w:tab/>
      </w:r>
      <w:r>
        <w:rPr>
          <w:lang w:val="fr-FR"/>
        </w:rPr>
        <w:t>L</w:t>
      </w:r>
      <w:r w:rsidRPr="00163654">
        <w:rPr>
          <w:lang w:val="fr-FR"/>
        </w:rPr>
        <w:t>oi relative à la détermination du statut de réfugié</w:t>
      </w:r>
      <w:r>
        <w:rPr>
          <w:lang w:val="fr-FR"/>
        </w:rPr>
        <w:t> :</w:t>
      </w:r>
    </w:p>
    <w:p w14:paraId="3670B361" w14:textId="4987DDA3" w:rsidR="00967F69" w:rsidRPr="002810C8" w:rsidRDefault="00967F69" w:rsidP="003C6317">
      <w:pPr>
        <w:pStyle w:val="Notedebasdepage"/>
        <w:ind w:hanging="141"/>
        <w:rPr>
          <w:lang w:val="es-ES"/>
        </w:rPr>
      </w:pPr>
      <w:r w:rsidRPr="002810C8">
        <w:rPr>
          <w:rStyle w:val="Hyperlink2"/>
          <w:szCs w:val="18"/>
          <w:u w:val="none"/>
        </w:rPr>
        <w:tab/>
      </w:r>
      <w:r w:rsidRPr="002810C8">
        <w:rPr>
          <w:rStyle w:val="Hyperlink2"/>
          <w:szCs w:val="18"/>
          <w:u w:val="none"/>
        </w:rPr>
        <w:tab/>
      </w:r>
      <w:r>
        <w:fldChar w:fldCharType="begin"/>
      </w:r>
      <w:r>
        <w:instrText xml:space="preserve"> HYPERLINK "http://www.asamblea.gob.sv/eparlamento/indice-legislativo/buscador-de-documentos-legislativos/ley-para-la-determinacion-de-la-condicion-de-personas-refugiadas" </w:instrText>
      </w:r>
      <w:r>
        <w:fldChar w:fldCharType="separate"/>
      </w:r>
      <w:r w:rsidRPr="002810C8">
        <w:rPr>
          <w:rStyle w:val="Hyperlink2"/>
          <w:color w:val="auto"/>
          <w:szCs w:val="18"/>
          <w:u w:val="none"/>
        </w:rPr>
        <w:t>http://www.asamblea.gob.sv/eparlamento/indice-legislativo/buscador-de-documentos-legislativos/ley-para-la-determinacion-de-la-condicion-de-personas-refugiadas</w:t>
      </w:r>
      <w:r>
        <w:rPr>
          <w:rStyle w:val="Hyperlink2"/>
          <w:color w:val="auto"/>
          <w:szCs w:val="18"/>
          <w:u w:val="none"/>
        </w:rPr>
        <w:fldChar w:fldCharType="end"/>
      </w:r>
      <w:r w:rsidRPr="002810C8">
        <w:rPr>
          <w:rStyle w:val="Hyperlink2"/>
          <w:color w:val="auto"/>
          <w:szCs w:val="18"/>
        </w:rPr>
        <w:t>.</w:t>
      </w:r>
    </w:p>
  </w:footnote>
  <w:footnote w:id="18">
    <w:p w14:paraId="1C9E551A" w14:textId="77777777" w:rsidR="00967F69" w:rsidRPr="0051234C" w:rsidRDefault="00967F69" w:rsidP="00706C13">
      <w:pPr>
        <w:pStyle w:val="Notedebasdepage"/>
        <w:rPr>
          <w:noProof/>
          <w:lang w:val="fr-FR"/>
        </w:rPr>
      </w:pPr>
      <w:r>
        <w:rPr>
          <w:noProof/>
          <w:lang w:val="fr-FR"/>
        </w:rPr>
        <w:tab/>
      </w:r>
      <w:r>
        <w:rPr>
          <w:rStyle w:val="Appelnotedebasdep"/>
        </w:rPr>
        <w:footnoteRef/>
      </w:r>
      <w:r>
        <w:rPr>
          <w:noProof/>
          <w:lang w:val="fr-FR"/>
        </w:rPr>
        <w:tab/>
      </w:r>
      <w:r w:rsidRPr="0051234C">
        <w:rPr>
          <w:noProof/>
          <w:lang w:val="fr-FR"/>
        </w:rPr>
        <w:t>Publié au Journal officiel du 25</w:t>
      </w:r>
      <w:r>
        <w:rPr>
          <w:noProof/>
          <w:lang w:val="fr-FR"/>
        </w:rPr>
        <w:t> </w:t>
      </w:r>
      <w:r w:rsidRPr="0051234C">
        <w:rPr>
          <w:noProof/>
          <w:lang w:val="fr-FR"/>
        </w:rPr>
        <w:t>avril 2019, n</w:t>
      </w:r>
      <w:r w:rsidRPr="0051234C">
        <w:rPr>
          <w:noProof/>
          <w:vertAlign w:val="superscript"/>
          <w:lang w:val="fr-FR"/>
        </w:rPr>
        <w:t>o</w:t>
      </w:r>
      <w:r>
        <w:rPr>
          <w:noProof/>
          <w:lang w:val="fr-FR"/>
        </w:rPr>
        <w:t> </w:t>
      </w:r>
      <w:r w:rsidRPr="0051234C">
        <w:rPr>
          <w:noProof/>
          <w:lang w:val="fr-FR"/>
        </w:rPr>
        <w:t>75, tome 423.</w:t>
      </w:r>
    </w:p>
  </w:footnote>
  <w:footnote w:id="19">
    <w:p w14:paraId="01337727" w14:textId="77777777" w:rsidR="00967F69" w:rsidRPr="00B66C01" w:rsidRDefault="00967F69" w:rsidP="00B51FCF">
      <w:pPr>
        <w:pStyle w:val="Notedebasdepage"/>
        <w:ind w:hanging="141"/>
        <w:rPr>
          <w:lang w:val="fr-CA"/>
        </w:rPr>
      </w:pPr>
      <w:r>
        <w:rPr>
          <w:rStyle w:val="Appelnotedebasdep"/>
        </w:rPr>
        <w:footnoteRef/>
      </w:r>
      <w:r w:rsidRPr="00B66C01">
        <w:rPr>
          <w:noProof/>
          <w:lang w:val="fr-FR"/>
        </w:rPr>
        <w:t xml:space="preserve"> Décret législatif </w:t>
      </w:r>
      <w:r w:rsidRPr="00A10602">
        <w:rPr>
          <w:rFonts w:eastAsia="MS Mincho"/>
          <w:noProof/>
          <w:szCs w:val="22"/>
          <w:lang w:val="fr-FR"/>
        </w:rPr>
        <w:t>n</w:t>
      </w:r>
      <w:r w:rsidRPr="00A10602">
        <w:rPr>
          <w:rFonts w:eastAsia="MS Mincho"/>
          <w:noProof/>
          <w:szCs w:val="22"/>
          <w:vertAlign w:val="superscript"/>
          <w:lang w:val="fr-FR"/>
        </w:rPr>
        <w:t>o</w:t>
      </w:r>
      <w:r>
        <w:rPr>
          <w:noProof/>
          <w:lang w:val="fr-FR"/>
        </w:rPr>
        <w:t> </w:t>
      </w:r>
      <w:r w:rsidRPr="00B66C01">
        <w:rPr>
          <w:noProof/>
          <w:lang w:val="fr-FR"/>
        </w:rPr>
        <w:t>924 du 8</w:t>
      </w:r>
      <w:r>
        <w:rPr>
          <w:noProof/>
          <w:lang w:val="fr-FR"/>
        </w:rPr>
        <w:t> </w:t>
      </w:r>
      <w:r w:rsidRPr="00B66C01">
        <w:rPr>
          <w:noProof/>
          <w:lang w:val="fr-FR"/>
        </w:rPr>
        <w:t>janvier 2015, publié le 4</w:t>
      </w:r>
      <w:r>
        <w:rPr>
          <w:noProof/>
          <w:lang w:val="fr-FR"/>
        </w:rPr>
        <w:t> </w:t>
      </w:r>
      <w:r w:rsidRPr="00B66C01">
        <w:rPr>
          <w:noProof/>
          <w:lang w:val="fr-FR"/>
        </w:rPr>
        <w:t>février 2015 au Journal officiel n</w:t>
      </w:r>
      <w:r w:rsidRPr="00B66C01">
        <w:rPr>
          <w:noProof/>
          <w:vertAlign w:val="superscript"/>
          <w:lang w:val="fr-FR"/>
        </w:rPr>
        <w:t>o</w:t>
      </w:r>
      <w:r>
        <w:rPr>
          <w:noProof/>
          <w:lang w:val="fr-FR"/>
        </w:rPr>
        <w:t> </w:t>
      </w:r>
      <w:r w:rsidRPr="00B66C01">
        <w:rPr>
          <w:noProof/>
          <w:lang w:val="fr-FR"/>
        </w:rPr>
        <w:t>23, tome n</w:t>
      </w:r>
      <w:r w:rsidRPr="00B66C01">
        <w:rPr>
          <w:noProof/>
          <w:vertAlign w:val="superscript"/>
          <w:lang w:val="fr-FR"/>
        </w:rPr>
        <w:t>o</w:t>
      </w:r>
      <w:r>
        <w:rPr>
          <w:noProof/>
          <w:lang w:val="fr-FR"/>
        </w:rPr>
        <w:t> </w:t>
      </w:r>
      <w:r w:rsidRPr="00B66C01">
        <w:rPr>
          <w:noProof/>
          <w:lang w:val="fr-FR"/>
        </w:rPr>
        <w:t>406.</w:t>
      </w:r>
    </w:p>
  </w:footnote>
  <w:footnote w:id="20">
    <w:p w14:paraId="2E6EC931" w14:textId="7C4E8E7A" w:rsidR="00967F69" w:rsidRPr="00626DC5" w:rsidRDefault="00967F69" w:rsidP="00B51FCF">
      <w:pPr>
        <w:pStyle w:val="Notedebasdepage"/>
        <w:rPr>
          <w:lang w:val="fr-CA"/>
        </w:rPr>
      </w:pPr>
      <w:r>
        <w:tab/>
      </w:r>
      <w:r>
        <w:rPr>
          <w:rStyle w:val="Appelnotedebasdep"/>
        </w:rPr>
        <w:footnoteRef/>
      </w:r>
      <w:r>
        <w:tab/>
      </w:r>
      <w:r w:rsidRPr="00626DC5">
        <w:t xml:space="preserve">Marco </w:t>
      </w:r>
      <w:proofErr w:type="spellStart"/>
      <w:r w:rsidRPr="00626DC5">
        <w:t>Conceptual</w:t>
      </w:r>
      <w:proofErr w:type="spellEnd"/>
      <w:r w:rsidRPr="00626DC5">
        <w:t xml:space="preserve"> para el </w:t>
      </w:r>
      <w:proofErr w:type="spellStart"/>
      <w:r w:rsidRPr="00626DC5">
        <w:t>Uso</w:t>
      </w:r>
      <w:proofErr w:type="spellEnd"/>
      <w:r w:rsidRPr="00626DC5">
        <w:t xml:space="preserve"> de la </w:t>
      </w:r>
      <w:proofErr w:type="spellStart"/>
      <w:r w:rsidRPr="00626DC5">
        <w:t>Fuerza</w:t>
      </w:r>
      <w:proofErr w:type="spellEnd"/>
      <w:r w:rsidRPr="00626DC5">
        <w:t xml:space="preserve"> y el </w:t>
      </w:r>
      <w:proofErr w:type="spellStart"/>
      <w:r w:rsidRPr="00626DC5">
        <w:t>Empleo</w:t>
      </w:r>
      <w:proofErr w:type="spellEnd"/>
      <w:r w:rsidRPr="00626DC5">
        <w:t xml:space="preserve"> de Armas </w:t>
      </w:r>
      <w:proofErr w:type="spellStart"/>
      <w:r w:rsidRPr="00626DC5">
        <w:t>Letales</w:t>
      </w:r>
      <w:proofErr w:type="spellEnd"/>
      <w:r w:rsidRPr="00626DC5">
        <w:t xml:space="preserve"> en la </w:t>
      </w:r>
      <w:proofErr w:type="spellStart"/>
      <w:r w:rsidRPr="00626DC5">
        <w:t>Policía</w:t>
      </w:r>
      <w:proofErr w:type="spellEnd"/>
      <w:r w:rsidRPr="00626DC5">
        <w:t xml:space="preserve"> </w:t>
      </w:r>
      <w:proofErr w:type="spellStart"/>
      <w:r w:rsidRPr="00626DC5">
        <w:t>Nacional</w:t>
      </w:r>
      <w:proofErr w:type="spellEnd"/>
      <w:r w:rsidRPr="00626DC5">
        <w:t xml:space="preserve"> Civil de El Salvador</w:t>
      </w:r>
      <w:r>
        <w:t> </w:t>
      </w:r>
      <w:r w:rsidRPr="00626DC5">
        <w:t xml:space="preserve">: </w:t>
      </w:r>
      <w:hyperlink r:id="rId1" w:history="1">
        <w:r w:rsidRPr="00626DC5">
          <w:rPr>
            <w:rStyle w:val="Lienhypertexte"/>
          </w:rPr>
          <w:t>http://www.seguridad.gob.sv/DescargaManual/</w:t>
        </w:r>
      </w:hyperlink>
      <w:r w:rsidRPr="00626DC5">
        <w:t>.</w:t>
      </w:r>
      <w:r>
        <w:t xml:space="preserve"> </w:t>
      </w:r>
    </w:p>
  </w:footnote>
  <w:footnote w:id="21">
    <w:p w14:paraId="6B293537" w14:textId="77777777" w:rsidR="00967F69" w:rsidRPr="00F812F1" w:rsidRDefault="00967F69" w:rsidP="00B51FCF">
      <w:pPr>
        <w:pStyle w:val="Notedebasdepage"/>
        <w:rPr>
          <w:lang w:val="fr-CA"/>
        </w:rPr>
      </w:pPr>
      <w:r>
        <w:tab/>
      </w:r>
      <w:r>
        <w:rPr>
          <w:rStyle w:val="Appelnotedebasdep"/>
        </w:rPr>
        <w:footnoteRef/>
      </w:r>
      <w:r>
        <w:tab/>
      </w:r>
      <w:r w:rsidRPr="00F812F1">
        <w:rPr>
          <w:lang w:val="fr-FR"/>
        </w:rPr>
        <w:t>Décret législatif nº</w:t>
      </w:r>
      <w:r>
        <w:rPr>
          <w:lang w:val="fr-FR"/>
        </w:rPr>
        <w:t> </w:t>
      </w:r>
      <w:r w:rsidRPr="00F812F1">
        <w:rPr>
          <w:lang w:val="fr-FR"/>
        </w:rPr>
        <w:t>197, Journal officiel nº</w:t>
      </w:r>
      <w:r>
        <w:rPr>
          <w:lang w:val="fr-FR"/>
        </w:rPr>
        <w:t> </w:t>
      </w:r>
      <w:r w:rsidRPr="00F812F1">
        <w:rPr>
          <w:lang w:val="fr-FR"/>
        </w:rPr>
        <w:t>236 du 22</w:t>
      </w:r>
      <w:r>
        <w:rPr>
          <w:lang w:val="fr-FR"/>
        </w:rPr>
        <w:t> </w:t>
      </w:r>
      <w:r w:rsidRPr="00F812F1">
        <w:rPr>
          <w:lang w:val="fr-FR"/>
        </w:rPr>
        <w:t>novembre 2015, tome nº</w:t>
      </w:r>
      <w:r>
        <w:rPr>
          <w:lang w:val="fr-FR"/>
        </w:rPr>
        <w:t> </w:t>
      </w:r>
      <w:r w:rsidRPr="00F812F1">
        <w:rPr>
          <w:lang w:val="fr-FR"/>
        </w:rPr>
        <w:t>409.</w:t>
      </w:r>
    </w:p>
  </w:footnote>
  <w:footnote w:id="22">
    <w:p w14:paraId="26EB7136" w14:textId="6CBCDD79" w:rsidR="00967F69" w:rsidRPr="00345F9A" w:rsidRDefault="00967F69" w:rsidP="00B51FCF">
      <w:pPr>
        <w:pStyle w:val="Notedebasdepage"/>
        <w:rPr>
          <w:lang w:val="fr-CA"/>
        </w:rPr>
      </w:pPr>
      <w:r>
        <w:tab/>
      </w:r>
      <w:r>
        <w:rPr>
          <w:rStyle w:val="Appelnotedebasdep"/>
        </w:rPr>
        <w:footnoteRef/>
      </w:r>
      <w:r>
        <w:tab/>
        <w:t xml:space="preserve">Voir </w:t>
      </w:r>
      <w:r>
        <w:fldChar w:fldCharType="begin"/>
      </w:r>
      <w:r>
        <w:instrText xml:space="preserve"> HYPERLINK "http://www.rree.gob.sv/index.php?option=com_k2&amp;view=item&amp;id=5461:programa-de-reparacion-a-victimas-del-conflicto-armado-presenta-nueva-edicion-del-informe-de-la-comision-de-la-verdad&amp;Itemid=1770" </w:instrText>
      </w:r>
      <w:r>
        <w:fldChar w:fldCharType="separate"/>
      </w:r>
      <w:r w:rsidRPr="00345F9A">
        <w:rPr>
          <w:rStyle w:val="Lienhypertexte"/>
        </w:rPr>
        <w:t>http://www.rree.gob.sv/index.php?option=com_k2&amp;view=item&amp;id=5461:programa-de-reparacion-a-victimas-del-conflicto-armado-presenta-nueva-edicion-del-informe-de-la-comision-de-la-verdad&amp;Itemid=1770</w:t>
      </w:r>
      <w:r>
        <w:rPr>
          <w:rStyle w:val="Lienhypertexte"/>
        </w:rPr>
        <w:fldChar w:fldCharType="end"/>
      </w:r>
      <w:r w:rsidRPr="009C42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74BC" w14:textId="5EDCFFE8" w:rsidR="00967F69" w:rsidRPr="00BE1FA0" w:rsidRDefault="00967F69">
    <w:pPr>
      <w:pStyle w:val="En-tte"/>
    </w:pPr>
    <w:fldSimple w:instr=" TITLE  \* MERGEFORMAT ">
      <w:r w:rsidR="00B16049">
        <w:t>CAT/C/SLV/3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6D4A" w14:textId="73DAD9F0" w:rsidR="00967F69" w:rsidRPr="00BE1FA0" w:rsidRDefault="00967F69" w:rsidP="00BE1FA0">
    <w:pPr>
      <w:pStyle w:val="En-tte"/>
      <w:jc w:val="right"/>
    </w:pPr>
    <w:fldSimple w:instr=" TITLE  \* MERGEFORMAT ">
      <w:r w:rsidR="00B16049">
        <w:t>CAT/C/SLV/3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F6C5" w14:textId="77777777" w:rsidR="00967F69" w:rsidRPr="000E6673" w:rsidRDefault="00967F69" w:rsidP="000E6673">
    <w:r>
      <w:rPr>
        <w:noProof/>
      </w:rPr>
      <mc:AlternateContent>
        <mc:Choice Requires="wps">
          <w:drawing>
            <wp:anchor distT="0" distB="0" distL="114300" distR="114300" simplePos="0" relativeHeight="251644928" behindDoc="0" locked="0" layoutInCell="1" allowOverlap="1" wp14:anchorId="269A581E" wp14:editId="0A33352B">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6A46F9" w14:textId="10D88A3C" w:rsidR="00967F69" w:rsidRPr="00BE1FA0" w:rsidRDefault="00967F69" w:rsidP="000E6673">
                          <w:pPr>
                            <w:pStyle w:val="En-tte"/>
                          </w:pPr>
                          <w:fldSimple w:instr=" TITLE  \* MERGEFORMAT ">
                            <w:r w:rsidR="00B16049">
                              <w:t>CAT/C/SLV/3</w:t>
                            </w:r>
                          </w:fldSimple>
                        </w:p>
                        <w:p w14:paraId="1A31A08A" w14:textId="77777777" w:rsidR="00967F69" w:rsidRDefault="00967F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9A581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449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3A6A46F9" w14:textId="10D88A3C" w:rsidR="00967F69" w:rsidRPr="00BE1FA0" w:rsidRDefault="00967F69" w:rsidP="000E6673">
                    <w:pPr>
                      <w:pStyle w:val="En-tte"/>
                    </w:pPr>
                    <w:fldSimple w:instr=" TITLE  \* MERGEFORMAT ">
                      <w:r w:rsidR="00B16049">
                        <w:t>CAT/C/SLV/3</w:t>
                      </w:r>
                    </w:fldSimple>
                  </w:p>
                  <w:p w14:paraId="1A31A08A" w14:textId="77777777" w:rsidR="00967F69" w:rsidRDefault="00967F6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18C9" w14:textId="77777777" w:rsidR="00967F69" w:rsidRPr="000E6673" w:rsidRDefault="00967F69" w:rsidP="000E6673">
    <w:r>
      <w:rPr>
        <w:noProof/>
      </w:rPr>
      <mc:AlternateContent>
        <mc:Choice Requires="wps">
          <w:drawing>
            <wp:anchor distT="0" distB="0" distL="114300" distR="114300" simplePos="0" relativeHeight="251653120" behindDoc="0" locked="0" layoutInCell="1" allowOverlap="1" wp14:anchorId="698B63EC" wp14:editId="23854282">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32ABC86" w14:textId="3844ABAF" w:rsidR="00967F69" w:rsidRPr="00BE1FA0" w:rsidRDefault="00967F69" w:rsidP="000E6673">
                          <w:pPr>
                            <w:pStyle w:val="En-tte"/>
                            <w:jc w:val="right"/>
                          </w:pPr>
                          <w:fldSimple w:instr=" TITLE  \* MERGEFORMAT ">
                            <w:r w:rsidR="00B16049">
                              <w:t>CAT/C/SLV/3</w:t>
                            </w:r>
                          </w:fldSimple>
                        </w:p>
                        <w:p w14:paraId="198F0B77" w14:textId="77777777" w:rsidR="00967F69" w:rsidRDefault="00967F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8B63EC"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14:paraId="032ABC86" w14:textId="3844ABAF" w:rsidR="00967F69" w:rsidRPr="00BE1FA0" w:rsidRDefault="00967F69" w:rsidP="000E6673">
                    <w:pPr>
                      <w:pStyle w:val="En-tte"/>
                      <w:jc w:val="right"/>
                    </w:pPr>
                    <w:fldSimple w:instr=" TITLE  \* MERGEFORMAT ">
                      <w:r w:rsidR="00B16049">
                        <w:t>CAT/C/SLV/3</w:t>
                      </w:r>
                    </w:fldSimple>
                  </w:p>
                  <w:p w14:paraId="198F0B77" w14:textId="77777777" w:rsidR="00967F69" w:rsidRDefault="00967F6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6861" w14:textId="2D20B21D" w:rsidR="00967F69" w:rsidRPr="00B51FCF" w:rsidRDefault="00967F69" w:rsidP="00B51FCF">
    <w:pPr>
      <w:pStyle w:val="En-tte"/>
    </w:pPr>
    <w:fldSimple w:instr=" TITLE  \* MERGEFORMAT ">
      <w:r w:rsidR="00B16049">
        <w:t>CAT/C/SLV/3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6BA2" w14:textId="5B3E5EAE" w:rsidR="00967F69" w:rsidRPr="00B51FCF" w:rsidRDefault="00967F69" w:rsidP="00B51FCF">
    <w:pPr>
      <w:pStyle w:val="En-tte"/>
      <w:jc w:val="right"/>
    </w:pPr>
    <w:fldSimple w:instr=" TITLE  \* MERGEFORMAT ">
      <w:r w:rsidR="00B16049">
        <w:t>CAT/C/SLV/3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82A4510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DC3FDB"/>
    <w:multiLevelType w:val="multilevel"/>
    <w:tmpl w:val="01B863D8"/>
    <w:styleLink w:val="List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800"/>
        </w:tabs>
        <w:ind w:left="1800" w:hanging="360"/>
      </w:pPr>
      <w:rPr>
        <w:position w:val="0"/>
        <w:sz w:val="24"/>
        <w:szCs w:val="24"/>
        <w:rtl w:val="0"/>
      </w:rPr>
    </w:lvl>
    <w:lvl w:ilvl="2">
      <w:start w:val="1"/>
      <w:numFmt w:val="lowerRoman"/>
      <w:lvlText w:val="%3."/>
      <w:lvlJc w:val="left"/>
      <w:pPr>
        <w:tabs>
          <w:tab w:val="num" w:pos="2520"/>
        </w:tabs>
        <w:ind w:left="2520" w:hanging="296"/>
      </w:pPr>
      <w:rPr>
        <w:position w:val="0"/>
        <w:sz w:val="24"/>
        <w:szCs w:val="24"/>
        <w:rtl w:val="0"/>
      </w:rPr>
    </w:lvl>
    <w:lvl w:ilvl="3">
      <w:start w:val="1"/>
      <w:numFmt w:val="decimal"/>
      <w:lvlText w:val="%4."/>
      <w:lvlJc w:val="left"/>
      <w:pPr>
        <w:tabs>
          <w:tab w:val="num" w:pos="3240"/>
        </w:tabs>
        <w:ind w:left="3240" w:hanging="360"/>
      </w:pPr>
      <w:rPr>
        <w:position w:val="0"/>
        <w:sz w:val="24"/>
        <w:szCs w:val="24"/>
        <w:rtl w:val="0"/>
      </w:rPr>
    </w:lvl>
    <w:lvl w:ilvl="4">
      <w:start w:val="1"/>
      <w:numFmt w:val="lowerLetter"/>
      <w:lvlText w:val="%5."/>
      <w:lvlJc w:val="left"/>
      <w:pPr>
        <w:tabs>
          <w:tab w:val="num" w:pos="3960"/>
        </w:tabs>
        <w:ind w:left="3960" w:hanging="360"/>
      </w:pPr>
      <w:rPr>
        <w:position w:val="0"/>
        <w:sz w:val="24"/>
        <w:szCs w:val="24"/>
        <w:rtl w:val="0"/>
      </w:rPr>
    </w:lvl>
    <w:lvl w:ilvl="5">
      <w:start w:val="1"/>
      <w:numFmt w:val="lowerRoman"/>
      <w:lvlText w:val="%6."/>
      <w:lvlJc w:val="left"/>
      <w:pPr>
        <w:tabs>
          <w:tab w:val="num" w:pos="4680"/>
        </w:tabs>
        <w:ind w:left="4680" w:hanging="296"/>
      </w:pPr>
      <w:rPr>
        <w:position w:val="0"/>
        <w:sz w:val="24"/>
        <w:szCs w:val="24"/>
        <w:rtl w:val="0"/>
      </w:rPr>
    </w:lvl>
    <w:lvl w:ilvl="6">
      <w:start w:val="1"/>
      <w:numFmt w:val="decimal"/>
      <w:lvlText w:val="%7."/>
      <w:lvlJc w:val="left"/>
      <w:pPr>
        <w:tabs>
          <w:tab w:val="num" w:pos="5400"/>
        </w:tabs>
        <w:ind w:left="5400" w:hanging="360"/>
      </w:pPr>
      <w:rPr>
        <w:position w:val="0"/>
        <w:sz w:val="24"/>
        <w:szCs w:val="24"/>
        <w:rtl w:val="0"/>
      </w:rPr>
    </w:lvl>
    <w:lvl w:ilvl="7">
      <w:start w:val="1"/>
      <w:numFmt w:val="lowerLetter"/>
      <w:lvlText w:val="%8."/>
      <w:lvlJc w:val="left"/>
      <w:pPr>
        <w:tabs>
          <w:tab w:val="num" w:pos="6120"/>
        </w:tabs>
        <w:ind w:left="6120" w:hanging="360"/>
      </w:pPr>
      <w:rPr>
        <w:position w:val="0"/>
        <w:sz w:val="24"/>
        <w:szCs w:val="24"/>
        <w:rtl w:val="0"/>
      </w:rPr>
    </w:lvl>
    <w:lvl w:ilvl="8">
      <w:start w:val="1"/>
      <w:numFmt w:val="lowerRoman"/>
      <w:lvlText w:val="%9."/>
      <w:lvlJc w:val="left"/>
      <w:pPr>
        <w:tabs>
          <w:tab w:val="num" w:pos="6840"/>
        </w:tabs>
        <w:ind w:left="6840" w:hanging="296"/>
      </w:pPr>
      <w:rPr>
        <w:position w:val="0"/>
        <w:sz w:val="24"/>
        <w:szCs w:val="24"/>
        <w:rtl w:val="0"/>
      </w:rPr>
    </w:lvl>
  </w:abstractNum>
  <w:abstractNum w:abstractNumId="2" w15:restartNumberingAfterBreak="0">
    <w:nsid w:val="3ACF4EB2"/>
    <w:multiLevelType w:val="hybridMultilevel"/>
    <w:tmpl w:val="25D0135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01D2161"/>
    <w:multiLevelType w:val="hybridMultilevel"/>
    <w:tmpl w:val="75E2C86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5D972346"/>
    <w:multiLevelType w:val="multilevel"/>
    <w:tmpl w:val="DAFED58E"/>
    <w:styleLink w:val="Dash"/>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 w15:restartNumberingAfterBreak="0">
    <w:nsid w:val="5E6B006F"/>
    <w:multiLevelType w:val="multilevel"/>
    <w:tmpl w:val="0C0A0023"/>
    <w:styleLink w:val="ArticleSection"/>
    <w:lvl w:ilvl="0">
      <w:start w:val="1"/>
      <w:numFmt w:val="upperRoman"/>
      <w:lvlText w:val="Artículo %1."/>
      <w:lvlJc w:val="left"/>
      <w:pPr>
        <w:tabs>
          <w:tab w:val="num" w:pos="1582"/>
        </w:tabs>
        <w:ind w:left="142"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6" w15:restartNumberingAfterBreak="0">
    <w:nsid w:val="68AD07B2"/>
    <w:multiLevelType w:val="hybridMultilevel"/>
    <w:tmpl w:val="4A00644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3"/>
  </w:num>
  <w:num w:numId="3">
    <w:abstractNumId w:val="6"/>
  </w:num>
  <w:num w:numId="4">
    <w:abstractNumId w:val="2"/>
  </w:num>
  <w:num w:numId="5">
    <w:abstractNumId w:val="0"/>
  </w:num>
  <w:num w:numId="6">
    <w:abstractNumId w:val="9"/>
  </w:num>
  <w:num w:numId="7">
    <w:abstractNumId w:val="8"/>
  </w:num>
  <w:num w:numId="8">
    <w:abstractNumId w:val="5"/>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53"/>
    <w:rsid w:val="00023842"/>
    <w:rsid w:val="00035AE4"/>
    <w:rsid w:val="00037DF1"/>
    <w:rsid w:val="000750F4"/>
    <w:rsid w:val="0007796D"/>
    <w:rsid w:val="000A5D15"/>
    <w:rsid w:val="000E6673"/>
    <w:rsid w:val="00101756"/>
    <w:rsid w:val="00111F2F"/>
    <w:rsid w:val="0014365E"/>
    <w:rsid w:val="00176178"/>
    <w:rsid w:val="00196533"/>
    <w:rsid w:val="001A03B9"/>
    <w:rsid w:val="001A7BAE"/>
    <w:rsid w:val="001B0CD1"/>
    <w:rsid w:val="001B4BC1"/>
    <w:rsid w:val="001B61C7"/>
    <w:rsid w:val="001B6B87"/>
    <w:rsid w:val="001D4313"/>
    <w:rsid w:val="001F525A"/>
    <w:rsid w:val="00205D32"/>
    <w:rsid w:val="00215009"/>
    <w:rsid w:val="0027161E"/>
    <w:rsid w:val="002810C8"/>
    <w:rsid w:val="002A5D78"/>
    <w:rsid w:val="002D3837"/>
    <w:rsid w:val="00325D4D"/>
    <w:rsid w:val="00357735"/>
    <w:rsid w:val="003837E0"/>
    <w:rsid w:val="003A76B4"/>
    <w:rsid w:val="003C1A51"/>
    <w:rsid w:val="003C6317"/>
    <w:rsid w:val="003E618A"/>
    <w:rsid w:val="00404BD5"/>
    <w:rsid w:val="00407F8A"/>
    <w:rsid w:val="00412953"/>
    <w:rsid w:val="00446FE5"/>
    <w:rsid w:val="00452B62"/>
    <w:rsid w:val="00465B91"/>
    <w:rsid w:val="004D6539"/>
    <w:rsid w:val="004F046A"/>
    <w:rsid w:val="005065CC"/>
    <w:rsid w:val="00530820"/>
    <w:rsid w:val="00553A1F"/>
    <w:rsid w:val="00573BE5"/>
    <w:rsid w:val="00586ED3"/>
    <w:rsid w:val="00587A52"/>
    <w:rsid w:val="00592B52"/>
    <w:rsid w:val="005970D5"/>
    <w:rsid w:val="005A51D3"/>
    <w:rsid w:val="005B1A02"/>
    <w:rsid w:val="005B4E23"/>
    <w:rsid w:val="005B66A4"/>
    <w:rsid w:val="005D6C25"/>
    <w:rsid w:val="00611216"/>
    <w:rsid w:val="00621144"/>
    <w:rsid w:val="006318F1"/>
    <w:rsid w:val="00637469"/>
    <w:rsid w:val="00653B7F"/>
    <w:rsid w:val="00674990"/>
    <w:rsid w:val="006A3A5E"/>
    <w:rsid w:val="006B50F1"/>
    <w:rsid w:val="006E5079"/>
    <w:rsid w:val="00706C13"/>
    <w:rsid w:val="0071601D"/>
    <w:rsid w:val="007161FB"/>
    <w:rsid w:val="00717081"/>
    <w:rsid w:val="007242E5"/>
    <w:rsid w:val="007432FB"/>
    <w:rsid w:val="00784C16"/>
    <w:rsid w:val="0079411E"/>
    <w:rsid w:val="007B1228"/>
    <w:rsid w:val="0080684C"/>
    <w:rsid w:val="00807D21"/>
    <w:rsid w:val="008161F3"/>
    <w:rsid w:val="008162EB"/>
    <w:rsid w:val="00840C6C"/>
    <w:rsid w:val="0085127D"/>
    <w:rsid w:val="00853092"/>
    <w:rsid w:val="00864565"/>
    <w:rsid w:val="00871C75"/>
    <w:rsid w:val="008776DC"/>
    <w:rsid w:val="008C324A"/>
    <w:rsid w:val="00901851"/>
    <w:rsid w:val="00922CDF"/>
    <w:rsid w:val="0092668A"/>
    <w:rsid w:val="00967F69"/>
    <w:rsid w:val="009705C8"/>
    <w:rsid w:val="00975D23"/>
    <w:rsid w:val="00983834"/>
    <w:rsid w:val="00997BDD"/>
    <w:rsid w:val="009A38BF"/>
    <w:rsid w:val="009C429F"/>
    <w:rsid w:val="009C4D45"/>
    <w:rsid w:val="009E136B"/>
    <w:rsid w:val="009F2AD0"/>
    <w:rsid w:val="009F531E"/>
    <w:rsid w:val="00A05770"/>
    <w:rsid w:val="00A10602"/>
    <w:rsid w:val="00A10BC7"/>
    <w:rsid w:val="00A355E6"/>
    <w:rsid w:val="00A37C92"/>
    <w:rsid w:val="00A50AB5"/>
    <w:rsid w:val="00A55941"/>
    <w:rsid w:val="00A651E5"/>
    <w:rsid w:val="00A704A8"/>
    <w:rsid w:val="00A712E6"/>
    <w:rsid w:val="00A75541"/>
    <w:rsid w:val="00A77C74"/>
    <w:rsid w:val="00A87E5C"/>
    <w:rsid w:val="00A95416"/>
    <w:rsid w:val="00A962D7"/>
    <w:rsid w:val="00AA0CD3"/>
    <w:rsid w:val="00AB1B55"/>
    <w:rsid w:val="00AE323C"/>
    <w:rsid w:val="00AF345F"/>
    <w:rsid w:val="00B16049"/>
    <w:rsid w:val="00B20EBA"/>
    <w:rsid w:val="00B41197"/>
    <w:rsid w:val="00B51FCF"/>
    <w:rsid w:val="00B631DD"/>
    <w:rsid w:val="00B73C67"/>
    <w:rsid w:val="00B74239"/>
    <w:rsid w:val="00B95E02"/>
    <w:rsid w:val="00BA41F4"/>
    <w:rsid w:val="00BC57F1"/>
    <w:rsid w:val="00BE1FA0"/>
    <w:rsid w:val="00C02897"/>
    <w:rsid w:val="00C10584"/>
    <w:rsid w:val="00C309D6"/>
    <w:rsid w:val="00C50C89"/>
    <w:rsid w:val="00CA5CE1"/>
    <w:rsid w:val="00CD326D"/>
    <w:rsid w:val="00D21E12"/>
    <w:rsid w:val="00D26EFC"/>
    <w:rsid w:val="00D341D3"/>
    <w:rsid w:val="00D3740D"/>
    <w:rsid w:val="00D4046D"/>
    <w:rsid w:val="00D70B15"/>
    <w:rsid w:val="00D913E5"/>
    <w:rsid w:val="00D93189"/>
    <w:rsid w:val="00DA2FB4"/>
    <w:rsid w:val="00DA504B"/>
    <w:rsid w:val="00DB1831"/>
    <w:rsid w:val="00DB339F"/>
    <w:rsid w:val="00DD3BFD"/>
    <w:rsid w:val="00DD5F53"/>
    <w:rsid w:val="00DE129A"/>
    <w:rsid w:val="00E26945"/>
    <w:rsid w:val="00E51EF5"/>
    <w:rsid w:val="00E554A4"/>
    <w:rsid w:val="00EA0D23"/>
    <w:rsid w:val="00EA3F83"/>
    <w:rsid w:val="00EE6EA3"/>
    <w:rsid w:val="00F024C6"/>
    <w:rsid w:val="00F15B2B"/>
    <w:rsid w:val="00F32859"/>
    <w:rsid w:val="00F45E18"/>
    <w:rsid w:val="00F660DF"/>
    <w:rsid w:val="00F943C8"/>
    <w:rsid w:val="00F95C08"/>
    <w:rsid w:val="00FA7860"/>
    <w:rsid w:val="00FC2AD7"/>
    <w:rsid w:val="00FC5584"/>
    <w:rsid w:val="00FD2585"/>
    <w:rsid w:val="00FE46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9E305B"/>
  <w15:docId w15:val="{A7C29487-B9BC-4D1E-A1C0-99F9F893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667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B6B87"/>
    <w:pPr>
      <w:keepNext/>
      <w:keepLines/>
      <w:spacing w:after="0" w:line="240" w:lineRule="auto"/>
      <w:ind w:right="0"/>
      <w:jc w:val="left"/>
      <w:outlineLvl w:val="0"/>
    </w:pPr>
  </w:style>
  <w:style w:type="paragraph" w:styleId="Titre2">
    <w:name w:val="heading 2"/>
    <w:basedOn w:val="Normal"/>
    <w:next w:val="Normal"/>
    <w:link w:val="Titre2Car"/>
    <w:semiHidden/>
    <w:qFormat/>
    <w:rsid w:val="000E6673"/>
    <w:pPr>
      <w:numPr>
        <w:ilvl w:val="1"/>
        <w:numId w:val="8"/>
      </w:numPr>
      <w:outlineLvl w:val="1"/>
    </w:pPr>
  </w:style>
  <w:style w:type="paragraph" w:styleId="Titre3">
    <w:name w:val="heading 3"/>
    <w:basedOn w:val="Normal"/>
    <w:next w:val="Normal"/>
    <w:link w:val="Titre3Car"/>
    <w:semiHidden/>
    <w:qFormat/>
    <w:rsid w:val="000E6673"/>
    <w:pPr>
      <w:numPr>
        <w:ilvl w:val="2"/>
        <w:numId w:val="8"/>
      </w:numPr>
      <w:outlineLvl w:val="2"/>
    </w:pPr>
  </w:style>
  <w:style w:type="paragraph" w:styleId="Titre4">
    <w:name w:val="heading 4"/>
    <w:basedOn w:val="Normal"/>
    <w:next w:val="Normal"/>
    <w:link w:val="Titre4Car"/>
    <w:semiHidden/>
    <w:qFormat/>
    <w:rsid w:val="000E6673"/>
    <w:pPr>
      <w:numPr>
        <w:ilvl w:val="3"/>
        <w:numId w:val="8"/>
      </w:numPr>
      <w:outlineLvl w:val="3"/>
    </w:pPr>
  </w:style>
  <w:style w:type="paragraph" w:styleId="Titre5">
    <w:name w:val="heading 5"/>
    <w:basedOn w:val="Normal"/>
    <w:next w:val="Normal"/>
    <w:link w:val="Titre5Car"/>
    <w:semiHidden/>
    <w:qFormat/>
    <w:rsid w:val="000E6673"/>
    <w:pPr>
      <w:numPr>
        <w:ilvl w:val="4"/>
        <w:numId w:val="8"/>
      </w:numPr>
      <w:outlineLvl w:val="4"/>
    </w:pPr>
  </w:style>
  <w:style w:type="paragraph" w:styleId="Titre6">
    <w:name w:val="heading 6"/>
    <w:basedOn w:val="Normal"/>
    <w:next w:val="Normal"/>
    <w:link w:val="Titre6Car"/>
    <w:semiHidden/>
    <w:qFormat/>
    <w:rsid w:val="000E6673"/>
    <w:pPr>
      <w:numPr>
        <w:ilvl w:val="5"/>
        <w:numId w:val="8"/>
      </w:numPr>
      <w:outlineLvl w:val="5"/>
    </w:pPr>
  </w:style>
  <w:style w:type="paragraph" w:styleId="Titre7">
    <w:name w:val="heading 7"/>
    <w:basedOn w:val="Normal"/>
    <w:next w:val="Normal"/>
    <w:link w:val="Titre7Car"/>
    <w:semiHidden/>
    <w:qFormat/>
    <w:rsid w:val="000E6673"/>
    <w:pPr>
      <w:numPr>
        <w:ilvl w:val="6"/>
        <w:numId w:val="8"/>
      </w:numPr>
      <w:outlineLvl w:val="6"/>
    </w:pPr>
  </w:style>
  <w:style w:type="paragraph" w:styleId="Titre8">
    <w:name w:val="heading 8"/>
    <w:basedOn w:val="Normal"/>
    <w:next w:val="Normal"/>
    <w:link w:val="Titre8Car"/>
    <w:semiHidden/>
    <w:qFormat/>
    <w:rsid w:val="000E6673"/>
    <w:pPr>
      <w:numPr>
        <w:ilvl w:val="7"/>
        <w:numId w:val="8"/>
      </w:numPr>
      <w:outlineLvl w:val="7"/>
    </w:pPr>
  </w:style>
  <w:style w:type="paragraph" w:styleId="Titre9">
    <w:name w:val="heading 9"/>
    <w:basedOn w:val="Normal"/>
    <w:next w:val="Normal"/>
    <w:link w:val="Titre9Car"/>
    <w:semiHidden/>
    <w:qFormat/>
    <w:rsid w:val="000E6673"/>
    <w:pPr>
      <w:numPr>
        <w:ilvl w:val="8"/>
        <w:numId w:val="8"/>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E6673"/>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E6673"/>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E6673"/>
    <w:pPr>
      <w:spacing w:line="240" w:lineRule="auto"/>
    </w:pPr>
    <w:rPr>
      <w:sz w:val="16"/>
    </w:rPr>
  </w:style>
  <w:style w:type="character" w:customStyle="1" w:styleId="PieddepageCar">
    <w:name w:val="Pied de page Car"/>
    <w:aliases w:val="3_G Car"/>
    <w:basedOn w:val="Policepardfaut"/>
    <w:link w:val="Pieddepage"/>
    <w:rsid w:val="000E6673"/>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0E66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E667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E66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E66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E66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E667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E6673"/>
    <w:pPr>
      <w:spacing w:after="120"/>
      <w:ind w:left="1134" w:right="1134"/>
      <w:jc w:val="both"/>
    </w:pPr>
  </w:style>
  <w:style w:type="paragraph" w:customStyle="1" w:styleId="SLG">
    <w:name w:val="__S_L_G"/>
    <w:basedOn w:val="Normal"/>
    <w:next w:val="Normal"/>
    <w:rsid w:val="000E6673"/>
    <w:pPr>
      <w:keepNext/>
      <w:keepLines/>
      <w:spacing w:before="240" w:after="240" w:line="580" w:lineRule="exact"/>
      <w:ind w:left="1134" w:right="1134"/>
    </w:pPr>
    <w:rPr>
      <w:b/>
      <w:sz w:val="56"/>
    </w:rPr>
  </w:style>
  <w:style w:type="paragraph" w:customStyle="1" w:styleId="SMG">
    <w:name w:val="__S_M_G"/>
    <w:basedOn w:val="Normal"/>
    <w:next w:val="Normal"/>
    <w:rsid w:val="000E6673"/>
    <w:pPr>
      <w:keepNext/>
      <w:keepLines/>
      <w:spacing w:before="240" w:after="240" w:line="420" w:lineRule="exact"/>
      <w:ind w:left="1134" w:right="1134"/>
    </w:pPr>
    <w:rPr>
      <w:b/>
      <w:sz w:val="40"/>
    </w:rPr>
  </w:style>
  <w:style w:type="paragraph" w:customStyle="1" w:styleId="SSG">
    <w:name w:val="__S_S_G"/>
    <w:basedOn w:val="Normal"/>
    <w:next w:val="Normal"/>
    <w:rsid w:val="000E6673"/>
    <w:pPr>
      <w:keepNext/>
      <w:keepLines/>
      <w:spacing w:before="240" w:after="240" w:line="300" w:lineRule="exact"/>
      <w:ind w:left="1134" w:right="1134"/>
    </w:pPr>
    <w:rPr>
      <w:b/>
      <w:sz w:val="28"/>
    </w:rPr>
  </w:style>
  <w:style w:type="paragraph" w:customStyle="1" w:styleId="XLargeG">
    <w:name w:val="__XLarge_G"/>
    <w:basedOn w:val="Normal"/>
    <w:next w:val="Normal"/>
    <w:rsid w:val="000E6673"/>
    <w:pPr>
      <w:keepNext/>
      <w:keepLines/>
      <w:spacing w:before="240" w:after="240" w:line="420" w:lineRule="exact"/>
      <w:ind w:left="1134" w:right="1134"/>
    </w:pPr>
    <w:rPr>
      <w:b/>
      <w:sz w:val="40"/>
    </w:rPr>
  </w:style>
  <w:style w:type="paragraph" w:customStyle="1" w:styleId="Bullet1G">
    <w:name w:val="_Bullet 1_G"/>
    <w:basedOn w:val="Normal"/>
    <w:qFormat/>
    <w:rsid w:val="000E6673"/>
    <w:pPr>
      <w:numPr>
        <w:numId w:val="3"/>
      </w:numPr>
      <w:spacing w:after="120"/>
      <w:ind w:right="1134"/>
      <w:jc w:val="both"/>
    </w:pPr>
  </w:style>
  <w:style w:type="paragraph" w:customStyle="1" w:styleId="Bullet2G">
    <w:name w:val="_Bullet 2_G"/>
    <w:basedOn w:val="Normal"/>
    <w:qFormat/>
    <w:rsid w:val="000E6673"/>
    <w:pPr>
      <w:numPr>
        <w:numId w:val="4"/>
      </w:numPr>
      <w:spacing w:after="120"/>
      <w:ind w:right="1134"/>
      <w:jc w:val="both"/>
    </w:pPr>
  </w:style>
  <w:style w:type="paragraph" w:customStyle="1" w:styleId="ParNoG">
    <w:name w:val="_ParNo_G"/>
    <w:basedOn w:val="Normal"/>
    <w:qFormat/>
    <w:rsid w:val="000E6673"/>
    <w:pPr>
      <w:numPr>
        <w:numId w:val="5"/>
      </w:numPr>
      <w:tabs>
        <w:tab w:val="clear" w:pos="1701"/>
      </w:tabs>
      <w:spacing w:after="120"/>
      <w:ind w:right="1134"/>
      <w:jc w:val="both"/>
    </w:pPr>
  </w:style>
  <w:style w:type="character" w:styleId="Appelnotedebasdep">
    <w:name w:val="footnote reference"/>
    <w:aliases w:val="4_G"/>
    <w:basedOn w:val="Policepardfaut"/>
    <w:uiPriority w:val="99"/>
    <w:qFormat/>
    <w:rsid w:val="000E6673"/>
    <w:rPr>
      <w:rFonts w:ascii="Times New Roman" w:hAnsi="Times New Roman"/>
      <w:sz w:val="18"/>
      <w:vertAlign w:val="superscript"/>
      <w:lang w:val="fr-CH"/>
    </w:rPr>
  </w:style>
  <w:style w:type="character" w:styleId="Appeldenotedefin">
    <w:name w:val="endnote reference"/>
    <w:aliases w:val="1_G"/>
    <w:basedOn w:val="Appelnotedebasdep"/>
    <w:qFormat/>
    <w:rsid w:val="000E6673"/>
    <w:rPr>
      <w:rFonts w:ascii="Times New Roman" w:hAnsi="Times New Roman"/>
      <w:sz w:val="18"/>
      <w:vertAlign w:val="superscript"/>
      <w:lang w:val="fr-CH"/>
    </w:rPr>
  </w:style>
  <w:style w:type="table" w:styleId="Grilledutableau">
    <w:name w:val="Table Grid"/>
    <w:basedOn w:val="TableauNormal"/>
    <w:rsid w:val="000E667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E6673"/>
    <w:rPr>
      <w:color w:val="0000FF"/>
      <w:u w:val="none"/>
    </w:rPr>
  </w:style>
  <w:style w:type="character" w:styleId="Lienhypertextesuivivisit">
    <w:name w:val="FollowedHyperlink"/>
    <w:basedOn w:val="Policepardfaut"/>
    <w:unhideWhenUsed/>
    <w:rsid w:val="000E6673"/>
    <w:rPr>
      <w:color w:val="0000FF"/>
      <w:u w:val="none"/>
    </w:rPr>
  </w:style>
  <w:style w:type="paragraph" w:styleId="Notedebasdepage">
    <w:name w:val="footnote text"/>
    <w:aliases w:val="5_G"/>
    <w:basedOn w:val="Normal"/>
    <w:link w:val="NotedebasdepageCar"/>
    <w:qFormat/>
    <w:rsid w:val="000E667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E6673"/>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E6673"/>
  </w:style>
  <w:style w:type="character" w:customStyle="1" w:styleId="NotedefinCar">
    <w:name w:val="Note de fin Car"/>
    <w:aliases w:val="2_G Car"/>
    <w:basedOn w:val="Policepardfaut"/>
    <w:link w:val="Notedefin"/>
    <w:rsid w:val="000E6673"/>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E6673"/>
    <w:rPr>
      <w:rFonts w:ascii="Times New Roman" w:hAnsi="Times New Roman"/>
      <w:b/>
      <w:sz w:val="18"/>
      <w:lang w:val="fr-CH"/>
    </w:rPr>
  </w:style>
  <w:style w:type="character" w:customStyle="1" w:styleId="Titre1Car">
    <w:name w:val="Titre 1 Car"/>
    <w:aliases w:val="Table_G Car"/>
    <w:basedOn w:val="Policepardfaut"/>
    <w:link w:val="Titre1"/>
    <w:rsid w:val="001B6B8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E6673"/>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E6673"/>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0E6673"/>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0E6673"/>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0E6673"/>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0E6673"/>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0E6673"/>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0E6673"/>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653B7F"/>
    <w:rPr>
      <w:rFonts w:ascii="Times New Roman" w:eastAsiaTheme="minorHAnsi" w:hAnsi="Times New Roman" w:cs="Times New Roman"/>
      <w:b/>
      <w:sz w:val="34"/>
      <w:szCs w:val="20"/>
      <w:lang w:eastAsia="en-US"/>
    </w:rPr>
  </w:style>
  <w:style w:type="character" w:styleId="AcronymeHTML">
    <w:name w:val="HTML Acronym"/>
    <w:basedOn w:val="Policepardfaut"/>
    <w:semiHidden/>
    <w:rsid w:val="00653B7F"/>
  </w:style>
  <w:style w:type="character" w:styleId="CitationHTML">
    <w:name w:val="HTML Cite"/>
    <w:semiHidden/>
    <w:rsid w:val="00653B7F"/>
    <w:rPr>
      <w:i/>
      <w:iCs/>
    </w:rPr>
  </w:style>
  <w:style w:type="character" w:styleId="CodeHTML">
    <w:name w:val="HTML Code"/>
    <w:semiHidden/>
    <w:rsid w:val="00653B7F"/>
    <w:rPr>
      <w:rFonts w:ascii="Courier New" w:hAnsi="Courier New" w:cs="Courier New"/>
      <w:sz w:val="20"/>
      <w:szCs w:val="20"/>
    </w:rPr>
  </w:style>
  <w:style w:type="paragraph" w:styleId="Listecontinue">
    <w:name w:val="List Continue"/>
    <w:basedOn w:val="Normal"/>
    <w:semiHidden/>
    <w:rsid w:val="00653B7F"/>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653B7F"/>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653B7F"/>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653B7F"/>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653B7F"/>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653B7F"/>
    <w:rPr>
      <w:i/>
      <w:iCs/>
    </w:rPr>
  </w:style>
  <w:style w:type="paragraph" w:styleId="AdresseHTML">
    <w:name w:val="HTML Address"/>
    <w:basedOn w:val="Normal"/>
    <w:link w:val="AdresseHTMLCar"/>
    <w:semiHidden/>
    <w:rsid w:val="00653B7F"/>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653B7F"/>
    <w:rPr>
      <w:rFonts w:ascii="Times New Roman" w:eastAsia="Times New Roman" w:hAnsi="Times New Roman" w:cs="Times New Roman"/>
      <w:i/>
      <w:iCs/>
      <w:sz w:val="20"/>
      <w:szCs w:val="20"/>
      <w:lang w:val="es-ES" w:eastAsia="es-ES"/>
    </w:rPr>
  </w:style>
  <w:style w:type="character" w:styleId="ExempleHTML">
    <w:name w:val="HTML Sample"/>
    <w:semiHidden/>
    <w:rsid w:val="00653B7F"/>
    <w:rPr>
      <w:rFonts w:ascii="Courier New" w:hAnsi="Courier New" w:cs="Courier New"/>
    </w:rPr>
  </w:style>
  <w:style w:type="paragraph" w:styleId="En-ttedemessage">
    <w:name w:val="Message Header"/>
    <w:basedOn w:val="Normal"/>
    <w:link w:val="En-ttedemessageCar"/>
    <w:semiHidden/>
    <w:rsid w:val="00653B7F"/>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653B7F"/>
    <w:rPr>
      <w:rFonts w:ascii="Arial" w:eastAsia="Times New Roman" w:hAnsi="Arial" w:cs="Arial"/>
      <w:sz w:val="24"/>
      <w:szCs w:val="24"/>
      <w:shd w:val="pct20" w:color="auto" w:fill="auto"/>
      <w:lang w:val="es-ES" w:eastAsia="es-ES"/>
    </w:rPr>
  </w:style>
  <w:style w:type="paragraph" w:styleId="Date">
    <w:name w:val="Date"/>
    <w:basedOn w:val="Normal"/>
    <w:next w:val="Normal"/>
    <w:link w:val="DateCar"/>
    <w:semiHidden/>
    <w:rsid w:val="00653B7F"/>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653B7F"/>
    <w:rPr>
      <w:rFonts w:ascii="Times New Roman" w:eastAsia="Times New Roman" w:hAnsi="Times New Roman" w:cs="Times New Roman"/>
      <w:sz w:val="20"/>
      <w:szCs w:val="20"/>
      <w:lang w:val="es-ES" w:eastAsia="es-ES"/>
    </w:rPr>
  </w:style>
  <w:style w:type="paragraph" w:styleId="Signature">
    <w:name w:val="Signature"/>
    <w:basedOn w:val="Normal"/>
    <w:link w:val="SignatureCar"/>
    <w:semiHidden/>
    <w:rsid w:val="00653B7F"/>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653B7F"/>
    <w:rPr>
      <w:rFonts w:ascii="Times New Roman" w:eastAsia="Times New Roman" w:hAnsi="Times New Roman" w:cs="Times New Roman"/>
      <w:sz w:val="20"/>
      <w:szCs w:val="20"/>
      <w:lang w:val="es-ES" w:eastAsia="es-ES"/>
    </w:rPr>
  </w:style>
  <w:style w:type="paragraph" w:styleId="Signaturelectronique">
    <w:name w:val="E-mail Signature"/>
    <w:basedOn w:val="Normal"/>
    <w:link w:val="SignaturelectroniqueCar"/>
    <w:semiHidden/>
    <w:rsid w:val="00653B7F"/>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653B7F"/>
    <w:rPr>
      <w:rFonts w:ascii="Times New Roman" w:eastAsia="Times New Roman" w:hAnsi="Times New Roman" w:cs="Times New Roman"/>
      <w:sz w:val="20"/>
      <w:szCs w:val="20"/>
      <w:lang w:val="es-ES" w:eastAsia="es-ES"/>
    </w:rPr>
  </w:style>
  <w:style w:type="paragraph" w:styleId="PrformatHTML">
    <w:name w:val="HTML Preformatted"/>
    <w:basedOn w:val="Normal"/>
    <w:link w:val="PrformatHTMLCar"/>
    <w:semiHidden/>
    <w:rsid w:val="00653B7F"/>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653B7F"/>
    <w:rPr>
      <w:rFonts w:ascii="Courier New" w:eastAsia="Times New Roman" w:hAnsi="Courier New" w:cs="Courier New"/>
      <w:sz w:val="20"/>
      <w:szCs w:val="20"/>
      <w:lang w:val="es-ES" w:eastAsia="es-ES"/>
    </w:rPr>
  </w:style>
  <w:style w:type="paragraph" w:styleId="Liste">
    <w:name w:val="List"/>
    <w:basedOn w:val="Normal"/>
    <w:semiHidden/>
    <w:rsid w:val="00653B7F"/>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653B7F"/>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653B7F"/>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653B7F"/>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653B7F"/>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653B7F"/>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653B7F"/>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653B7F"/>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653B7F"/>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653B7F"/>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semiHidden/>
    <w:rsid w:val="00653B7F"/>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653B7F"/>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653B7F"/>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653B7F"/>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653B7F"/>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653B7F"/>
    <w:rPr>
      <w:rFonts w:ascii="Courier New" w:hAnsi="Courier New" w:cs="Courier New"/>
      <w:sz w:val="20"/>
      <w:szCs w:val="20"/>
    </w:rPr>
  </w:style>
  <w:style w:type="paragraph" w:styleId="NormalWeb">
    <w:name w:val="Normal (Web)"/>
    <w:basedOn w:val="Normal"/>
    <w:semiHidden/>
    <w:rsid w:val="00653B7F"/>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basedOn w:val="Policepardfaut"/>
    <w:semiHidden/>
    <w:rsid w:val="00653B7F"/>
  </w:style>
  <w:style w:type="paragraph" w:styleId="Adresseexpditeur">
    <w:name w:val="envelope return"/>
    <w:basedOn w:val="Normal"/>
    <w:semiHidden/>
    <w:rsid w:val="00653B7F"/>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653B7F"/>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653B7F"/>
    <w:rPr>
      <w:rFonts w:ascii="Times New Roman" w:eastAsia="Times New Roman" w:hAnsi="Times New Roman" w:cs="Times New Roman"/>
      <w:sz w:val="20"/>
      <w:szCs w:val="20"/>
      <w:lang w:val="es-ES" w:eastAsia="es-ES"/>
    </w:rPr>
  </w:style>
  <w:style w:type="paragraph" w:styleId="Retraitcorpsdetexte2">
    <w:name w:val="Body Text Indent 2"/>
    <w:basedOn w:val="Normal"/>
    <w:link w:val="Retraitcorpsdetexte2Car"/>
    <w:semiHidden/>
    <w:rsid w:val="00653B7F"/>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semiHidden/>
    <w:rsid w:val="00653B7F"/>
    <w:rPr>
      <w:rFonts w:ascii="Times New Roman" w:eastAsia="Times New Roman" w:hAnsi="Times New Roman" w:cs="Times New Roman"/>
      <w:sz w:val="20"/>
      <w:szCs w:val="20"/>
      <w:lang w:val="es-ES" w:eastAsia="es-ES"/>
    </w:rPr>
  </w:style>
  <w:style w:type="paragraph" w:styleId="Retraitcorpsdetexte3">
    <w:name w:val="Body Text Indent 3"/>
    <w:basedOn w:val="Normal"/>
    <w:link w:val="Retraitcorpsdetexte3Car"/>
    <w:semiHidden/>
    <w:rsid w:val="00653B7F"/>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semiHidden/>
    <w:rsid w:val="00653B7F"/>
    <w:rPr>
      <w:rFonts w:ascii="Times New Roman" w:eastAsia="Times New Roman" w:hAnsi="Times New Roman" w:cs="Times New Roman"/>
      <w:sz w:val="16"/>
      <w:szCs w:val="16"/>
      <w:lang w:val="es-ES" w:eastAsia="es-ES"/>
    </w:rPr>
  </w:style>
  <w:style w:type="paragraph" w:styleId="Retraitcorpsdetexte">
    <w:name w:val="Body Text Indent"/>
    <w:basedOn w:val="Normal"/>
    <w:link w:val="RetraitcorpsdetexteCar"/>
    <w:semiHidden/>
    <w:rsid w:val="00653B7F"/>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semiHidden/>
    <w:rsid w:val="00653B7F"/>
    <w:rPr>
      <w:rFonts w:ascii="Times New Roman" w:eastAsia="Times New Roman" w:hAnsi="Times New Roman" w:cs="Times New Roman"/>
      <w:sz w:val="20"/>
      <w:szCs w:val="20"/>
      <w:lang w:val="es-ES" w:eastAsia="es-ES"/>
    </w:rPr>
  </w:style>
  <w:style w:type="paragraph" w:styleId="Retraitnormal">
    <w:name w:val="Normal Indent"/>
    <w:basedOn w:val="Normal"/>
    <w:semiHidden/>
    <w:rsid w:val="00653B7F"/>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semiHidden/>
    <w:rsid w:val="00653B7F"/>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semiHidden/>
    <w:rsid w:val="00653B7F"/>
    <w:rPr>
      <w:rFonts w:ascii="Arial" w:eastAsia="Times New Roman" w:hAnsi="Arial" w:cs="Arial"/>
      <w:sz w:val="24"/>
      <w:szCs w:val="24"/>
      <w:lang w:val="es-ES" w:eastAsia="es-ES"/>
    </w:rPr>
  </w:style>
  <w:style w:type="table" w:styleId="Tableausimple1">
    <w:name w:val="Table Simple 1"/>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classique1">
    <w:name w:val="Table Classic 1"/>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53B7F"/>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1">
    <w:name w:val="Table Grid 1"/>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53B7F"/>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rsid w:val="00653B7F"/>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2">
    <w:name w:val="Table Subtle 2"/>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653B7F"/>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2">
    <w:name w:val="Table Web 2"/>
    <w:basedOn w:val="TableauNormal"/>
    <w:rsid w:val="00653B7F"/>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53B7F"/>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653B7F"/>
    <w:rPr>
      <w:rFonts w:ascii="Courier New" w:hAnsi="Courier New" w:cs="Courier New"/>
      <w:sz w:val="20"/>
      <w:szCs w:val="20"/>
    </w:rPr>
  </w:style>
  <w:style w:type="paragraph" w:styleId="Normalcentr">
    <w:name w:val="Block Text"/>
    <w:basedOn w:val="Normal"/>
    <w:semiHidden/>
    <w:rsid w:val="00653B7F"/>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semiHidden/>
    <w:rsid w:val="00653B7F"/>
    <w:rPr>
      <w:b/>
      <w:bCs/>
    </w:rPr>
  </w:style>
  <w:style w:type="paragraph" w:styleId="Corpsdetexte">
    <w:name w:val="Body Text"/>
    <w:basedOn w:val="Normal"/>
    <w:link w:val="CorpsdetexteCar"/>
    <w:rsid w:val="00653B7F"/>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rsid w:val="00653B7F"/>
    <w:rPr>
      <w:rFonts w:ascii="Times New Roman" w:eastAsia="Times New Roman" w:hAnsi="Times New Roman" w:cs="Times New Roman"/>
      <w:sz w:val="20"/>
      <w:szCs w:val="20"/>
      <w:lang w:val="es-ES" w:eastAsia="es-ES"/>
    </w:rPr>
  </w:style>
  <w:style w:type="paragraph" w:styleId="Corpsdetexte2">
    <w:name w:val="Body Text 2"/>
    <w:basedOn w:val="Normal"/>
    <w:link w:val="Corpsdetexte2Car"/>
    <w:semiHidden/>
    <w:rsid w:val="00653B7F"/>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semiHidden/>
    <w:rsid w:val="00653B7F"/>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semiHidden/>
    <w:rsid w:val="00653B7F"/>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semiHidden/>
    <w:rsid w:val="00653B7F"/>
    <w:rPr>
      <w:rFonts w:ascii="Times New Roman" w:eastAsia="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653B7F"/>
    <w:pPr>
      <w:ind w:firstLine="210"/>
    </w:pPr>
  </w:style>
  <w:style w:type="character" w:customStyle="1" w:styleId="Retrait1religneCar">
    <w:name w:val="Retrait 1re ligne Car"/>
    <w:basedOn w:val="CorpsdetexteCar"/>
    <w:link w:val="Retrait1religne"/>
    <w:semiHidden/>
    <w:rsid w:val="00653B7F"/>
    <w:rPr>
      <w:rFonts w:ascii="Times New Roman" w:eastAsia="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653B7F"/>
    <w:pPr>
      <w:ind w:firstLine="210"/>
    </w:pPr>
  </w:style>
  <w:style w:type="character" w:customStyle="1" w:styleId="Retraitcorpset1religCar">
    <w:name w:val="Retrait corps et 1re lig. Car"/>
    <w:basedOn w:val="RetraitcorpsdetexteCar"/>
    <w:link w:val="Retraitcorpset1relig"/>
    <w:semiHidden/>
    <w:rsid w:val="00653B7F"/>
    <w:rPr>
      <w:rFonts w:ascii="Times New Roman" w:eastAsia="Times New Roman" w:hAnsi="Times New Roman" w:cs="Times New Roman"/>
      <w:sz w:val="20"/>
      <w:szCs w:val="20"/>
      <w:lang w:val="es-ES" w:eastAsia="es-ES"/>
    </w:rPr>
  </w:style>
  <w:style w:type="paragraph" w:styleId="Textebrut">
    <w:name w:val="Plain Text"/>
    <w:basedOn w:val="Normal"/>
    <w:link w:val="TextebrutCar"/>
    <w:semiHidden/>
    <w:rsid w:val="00653B7F"/>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semiHidden/>
    <w:rsid w:val="00653B7F"/>
    <w:rPr>
      <w:rFonts w:ascii="Courier New" w:eastAsia="Times New Roman" w:hAnsi="Courier New" w:cs="Courier New"/>
      <w:sz w:val="20"/>
      <w:szCs w:val="20"/>
      <w:lang w:val="es-ES" w:eastAsia="es-ES"/>
    </w:rPr>
  </w:style>
  <w:style w:type="paragraph" w:styleId="Titre">
    <w:name w:val="Title"/>
    <w:basedOn w:val="Normal"/>
    <w:link w:val="TitreCar"/>
    <w:semiHidden/>
    <w:rsid w:val="00653B7F"/>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semiHidden/>
    <w:rsid w:val="00653B7F"/>
    <w:rPr>
      <w:rFonts w:ascii="Arial" w:eastAsia="Times New Roman" w:hAnsi="Arial" w:cs="Arial"/>
      <w:b/>
      <w:bCs/>
      <w:kern w:val="28"/>
      <w:sz w:val="32"/>
      <w:szCs w:val="32"/>
      <w:lang w:val="es-ES" w:eastAsia="es-ES"/>
    </w:rPr>
  </w:style>
  <w:style w:type="character" w:styleId="VariableHTML">
    <w:name w:val="HTML Variable"/>
    <w:semiHidden/>
    <w:rsid w:val="00653B7F"/>
    <w:rPr>
      <w:i/>
      <w:iCs/>
    </w:rPr>
  </w:style>
  <w:style w:type="paragraph" w:styleId="Citationintense">
    <w:name w:val="Intense Quote"/>
    <w:basedOn w:val="Normal"/>
    <w:next w:val="Normal"/>
    <w:link w:val="CitationintenseCar"/>
    <w:uiPriority w:val="30"/>
    <w:semiHidden/>
    <w:rsid w:val="00653B7F"/>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semiHidden/>
    <w:rsid w:val="00653B7F"/>
    <w:rPr>
      <w:rFonts w:ascii="Times New Roman" w:eastAsia="Times New Roman" w:hAnsi="Times New Roman" w:cs="Times New Roman"/>
      <w:b/>
      <w:bCs/>
      <w:i/>
      <w:iCs/>
      <w:color w:val="4F81BD"/>
      <w:sz w:val="20"/>
      <w:szCs w:val="20"/>
      <w:lang w:val="es-ES" w:eastAsia="es-ES"/>
    </w:rPr>
  </w:style>
  <w:style w:type="paragraph" w:customStyle="1" w:styleId="HeaderFooter">
    <w:name w:val="Header &amp; Footer"/>
    <w:rsid w:val="00653B7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US"/>
    </w:rPr>
  </w:style>
  <w:style w:type="paragraph" w:customStyle="1" w:styleId="Body">
    <w:name w:val="Body"/>
    <w:rsid w:val="00653B7F"/>
    <w:pPr>
      <w:pBdr>
        <w:top w:val="nil"/>
        <w:left w:val="nil"/>
        <w:bottom w:val="nil"/>
        <w:right w:val="nil"/>
        <w:between w:val="nil"/>
        <w:bar w:val="nil"/>
      </w:pBdr>
      <w:spacing w:after="0" w:line="240" w:lineRule="atLeast"/>
    </w:pPr>
    <w:rPr>
      <w:rFonts w:ascii="Times New Roman" w:eastAsia="Arial Unicode MS" w:hAnsi="Arial Unicode MS" w:cs="Arial Unicode MS"/>
      <w:color w:val="000000"/>
      <w:sz w:val="20"/>
      <w:szCs w:val="20"/>
      <w:u w:color="000000"/>
      <w:bdr w:val="nil"/>
      <w:lang w:val="en-US" w:eastAsia="en-US"/>
    </w:rPr>
  </w:style>
  <w:style w:type="paragraph" w:styleId="Sansinterligne">
    <w:name w:val="No Spacing"/>
    <w:rsid w:val="00653B7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n-US"/>
    </w:rPr>
  </w:style>
  <w:style w:type="paragraph" w:styleId="En-ttedetabledesmatires">
    <w:name w:val="TOC Heading"/>
    <w:next w:val="Body"/>
    <w:rsid w:val="00653B7F"/>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en-US"/>
    </w:rPr>
  </w:style>
  <w:style w:type="paragraph" w:styleId="TM1">
    <w:name w:val="toc 1"/>
    <w:rsid w:val="00653B7F"/>
    <w:pPr>
      <w:pBdr>
        <w:top w:val="nil"/>
        <w:left w:val="nil"/>
        <w:bottom w:val="nil"/>
        <w:right w:val="nil"/>
        <w:between w:val="nil"/>
        <w:bar w:val="nil"/>
      </w:pBdr>
      <w:tabs>
        <w:tab w:val="right" w:leader="dot" w:pos="9340"/>
      </w:tabs>
      <w:spacing w:after="100" w:line="360" w:lineRule="auto"/>
    </w:pPr>
    <w:rPr>
      <w:rFonts w:ascii="Times New Roman" w:eastAsia="Times New Roman" w:hAnsi="Times New Roman" w:cs="Times New Roman"/>
      <w:color w:val="000000"/>
      <w:sz w:val="20"/>
      <w:szCs w:val="20"/>
      <w:u w:color="000000"/>
      <w:bdr w:val="nil"/>
      <w:lang w:val="es-ES_tradnl" w:eastAsia="en-US"/>
    </w:rPr>
  </w:style>
  <w:style w:type="paragraph" w:customStyle="1" w:styleId="Heading">
    <w:name w:val="Heading"/>
    <w:next w:val="Body"/>
    <w:rsid w:val="00653B7F"/>
    <w:pPr>
      <w:keepNext/>
      <w:keepLines/>
      <w:pBdr>
        <w:top w:val="nil"/>
        <w:left w:val="nil"/>
        <w:bottom w:val="nil"/>
        <w:right w:val="nil"/>
        <w:between w:val="nil"/>
        <w:bar w:val="nil"/>
      </w:pBdr>
      <w:spacing w:before="480" w:after="0" w:line="240" w:lineRule="atLeast"/>
      <w:outlineLvl w:val="0"/>
    </w:pPr>
    <w:rPr>
      <w:rFonts w:ascii="Cambria" w:eastAsia="Cambria" w:hAnsi="Cambria" w:cs="Cambria"/>
      <w:b/>
      <w:bCs/>
      <w:color w:val="365F91"/>
      <w:sz w:val="28"/>
      <w:szCs w:val="28"/>
      <w:u w:color="365F91"/>
      <w:bdr w:val="nil"/>
      <w:lang w:val="en-US" w:eastAsia="en-US"/>
    </w:rPr>
  </w:style>
  <w:style w:type="character" w:customStyle="1" w:styleId="Link">
    <w:name w:val="Link"/>
    <w:rsid w:val="00653B7F"/>
    <w:rPr>
      <w:color w:val="0000FF"/>
      <w:u w:val="single" w:color="0000FF"/>
    </w:rPr>
  </w:style>
  <w:style w:type="character" w:customStyle="1" w:styleId="Hyperlink0">
    <w:name w:val="Hyperlink.0"/>
    <w:basedOn w:val="Link"/>
    <w:rsid w:val="00653B7F"/>
    <w:rPr>
      <w:color w:val="0000FF"/>
      <w:u w:val="single" w:color="0000FF"/>
    </w:rPr>
  </w:style>
  <w:style w:type="paragraph" w:styleId="Paragraphedeliste">
    <w:name w:val="List Paragraph"/>
    <w:rsid w:val="00653B7F"/>
    <w:pPr>
      <w:pBdr>
        <w:top w:val="nil"/>
        <w:left w:val="nil"/>
        <w:bottom w:val="nil"/>
        <w:right w:val="nil"/>
        <w:between w:val="nil"/>
        <w:bar w:val="nil"/>
      </w:pBdr>
      <w:spacing w:after="0"/>
      <w:ind w:left="720"/>
    </w:pPr>
    <w:rPr>
      <w:rFonts w:ascii="Calibri" w:eastAsia="Calibri" w:hAnsi="Calibri" w:cs="Calibri"/>
      <w:color w:val="000000"/>
      <w:u w:color="000000"/>
      <w:bdr w:val="nil"/>
      <w:lang w:val="en-US" w:eastAsia="en-US"/>
    </w:rPr>
  </w:style>
  <w:style w:type="character" w:customStyle="1" w:styleId="Hyperlink1">
    <w:name w:val="Hyperlink.1"/>
    <w:basedOn w:val="Link"/>
    <w:rsid w:val="00653B7F"/>
    <w:rPr>
      <w:color w:val="0000FF"/>
      <w:sz w:val="18"/>
      <w:szCs w:val="18"/>
      <w:u w:val="single" w:color="0000FF"/>
      <w:lang w:val="es-ES_tradnl"/>
    </w:rPr>
  </w:style>
  <w:style w:type="character" w:customStyle="1" w:styleId="Hyperlink2">
    <w:name w:val="Hyperlink.2"/>
    <w:basedOn w:val="Link"/>
    <w:rsid w:val="00653B7F"/>
    <w:rPr>
      <w:color w:val="0000FF"/>
      <w:sz w:val="20"/>
      <w:szCs w:val="20"/>
      <w:u w:val="single" w:color="0000FF"/>
    </w:rPr>
  </w:style>
  <w:style w:type="numbering" w:customStyle="1" w:styleId="List0">
    <w:name w:val="List 0"/>
    <w:basedOn w:val="ImportedStyle6"/>
    <w:rsid w:val="00653B7F"/>
    <w:pPr>
      <w:numPr>
        <w:numId w:val="1"/>
      </w:numPr>
    </w:pPr>
  </w:style>
  <w:style w:type="numbering" w:customStyle="1" w:styleId="ImportedStyle6">
    <w:name w:val="Imported Style 6"/>
    <w:rsid w:val="00653B7F"/>
  </w:style>
  <w:style w:type="paragraph" w:customStyle="1" w:styleId="Default">
    <w:name w:val="Default"/>
    <w:rsid w:val="00653B7F"/>
    <w:pPr>
      <w:pBdr>
        <w:top w:val="nil"/>
        <w:left w:val="nil"/>
        <w:bottom w:val="nil"/>
        <w:right w:val="nil"/>
        <w:between w:val="nil"/>
        <w:bar w:val="nil"/>
      </w:pBdr>
      <w:spacing w:after="0" w:line="240" w:lineRule="auto"/>
    </w:pPr>
    <w:rPr>
      <w:rFonts w:ascii="Tahoma" w:eastAsia="Arial Unicode MS" w:hAnsi="Arial Unicode MS" w:cs="Arial Unicode MS"/>
      <w:color w:val="000000"/>
      <w:sz w:val="24"/>
      <w:szCs w:val="24"/>
      <w:u w:color="000000"/>
      <w:bdr w:val="nil"/>
      <w:lang w:val="es-ES_tradnl" w:eastAsia="en-US"/>
    </w:rPr>
  </w:style>
  <w:style w:type="character" w:customStyle="1" w:styleId="Mentionnonrsolue1">
    <w:name w:val="Mention non résolue1"/>
    <w:basedOn w:val="Policepardfaut"/>
    <w:uiPriority w:val="99"/>
    <w:semiHidden/>
    <w:unhideWhenUsed/>
    <w:rsid w:val="00653B7F"/>
    <w:rPr>
      <w:color w:val="605E5C"/>
      <w:shd w:val="clear" w:color="auto" w:fill="E1DFDD"/>
    </w:rPr>
  </w:style>
  <w:style w:type="character" w:styleId="Marquedecommentaire">
    <w:name w:val="annotation reference"/>
    <w:basedOn w:val="Policepardfaut"/>
    <w:semiHidden/>
    <w:unhideWhenUsed/>
    <w:rsid w:val="00653B7F"/>
    <w:rPr>
      <w:sz w:val="16"/>
      <w:szCs w:val="16"/>
    </w:rPr>
  </w:style>
  <w:style w:type="paragraph" w:styleId="Commentaire">
    <w:name w:val="annotation text"/>
    <w:basedOn w:val="Normal"/>
    <w:link w:val="CommentaireCar"/>
    <w:unhideWhenUsed/>
    <w:rsid w:val="00653B7F"/>
    <w:pPr>
      <w:suppressAutoHyphens w:val="0"/>
      <w:kinsoku/>
      <w:overflowPunct/>
      <w:autoSpaceDE/>
      <w:autoSpaceDN/>
      <w:adjustRightInd/>
      <w:snapToGrid/>
      <w:spacing w:line="240" w:lineRule="auto"/>
    </w:pPr>
    <w:rPr>
      <w:rFonts w:eastAsia="Times New Roman"/>
      <w:lang w:val="es-ES" w:eastAsia="es-ES"/>
    </w:rPr>
  </w:style>
  <w:style w:type="character" w:customStyle="1" w:styleId="CommentaireCar">
    <w:name w:val="Commentaire Car"/>
    <w:basedOn w:val="Policepardfaut"/>
    <w:link w:val="Commentaire"/>
    <w:rsid w:val="00653B7F"/>
    <w:rPr>
      <w:rFonts w:ascii="Times New Roman" w:eastAsia="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semiHidden/>
    <w:unhideWhenUsed/>
    <w:rsid w:val="00653B7F"/>
    <w:rPr>
      <w:b/>
      <w:bCs/>
    </w:rPr>
  </w:style>
  <w:style w:type="character" w:customStyle="1" w:styleId="ObjetducommentaireCar">
    <w:name w:val="Objet du commentaire Car"/>
    <w:basedOn w:val="CommentaireCar"/>
    <w:link w:val="Objetducommentaire"/>
    <w:semiHidden/>
    <w:rsid w:val="00653B7F"/>
    <w:rPr>
      <w:rFonts w:ascii="Times New Roman" w:eastAsia="Times New Roman" w:hAnsi="Times New Roman" w:cs="Times New Roman"/>
      <w:b/>
      <w:bCs/>
      <w:sz w:val="20"/>
      <w:szCs w:val="20"/>
      <w:lang w:val="es-ES" w:eastAsia="es-ES"/>
    </w:rPr>
  </w:style>
  <w:style w:type="numbering" w:styleId="111111">
    <w:name w:val="Outline List 2"/>
    <w:basedOn w:val="Aucuneliste"/>
    <w:semiHidden/>
    <w:rsid w:val="00B51FCF"/>
    <w:pPr>
      <w:numPr>
        <w:numId w:val="6"/>
      </w:numPr>
    </w:pPr>
  </w:style>
  <w:style w:type="numbering" w:styleId="1ai">
    <w:name w:val="Outline List 1"/>
    <w:basedOn w:val="Aucuneliste"/>
    <w:semiHidden/>
    <w:rsid w:val="00B51FCF"/>
    <w:pPr>
      <w:numPr>
        <w:numId w:val="7"/>
      </w:numPr>
    </w:pPr>
  </w:style>
  <w:style w:type="numbering" w:styleId="ArticleSection">
    <w:name w:val="Outline List 3"/>
    <w:basedOn w:val="Aucuneliste"/>
    <w:semiHidden/>
    <w:rsid w:val="00B51FCF"/>
    <w:pPr>
      <w:numPr>
        <w:numId w:val="8"/>
      </w:numPr>
    </w:pPr>
  </w:style>
  <w:style w:type="paragraph" w:styleId="Formuledepolitesse">
    <w:name w:val="Closing"/>
    <w:basedOn w:val="Normal"/>
    <w:link w:val="FormuledepolitesseCar"/>
    <w:semiHidden/>
    <w:rsid w:val="00B51FCF"/>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B51FCF"/>
    <w:rPr>
      <w:rFonts w:ascii="Times New Roman" w:eastAsia="Times New Roman" w:hAnsi="Times New Roman" w:cs="Times New Roman"/>
      <w:sz w:val="20"/>
      <w:szCs w:val="20"/>
      <w:lang w:val="es-ES" w:eastAsia="es-ES"/>
    </w:rPr>
  </w:style>
  <w:style w:type="paragraph" w:styleId="Adressedestinataire">
    <w:name w:val="envelope address"/>
    <w:basedOn w:val="Normal"/>
    <w:semiHidden/>
    <w:rsid w:val="00B51FCF"/>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paragraph" w:styleId="Titredenote">
    <w:name w:val="Note Heading"/>
    <w:basedOn w:val="Normal"/>
    <w:next w:val="Normal"/>
    <w:link w:val="TitredenoteCar"/>
    <w:semiHidden/>
    <w:rsid w:val="00B51FCF"/>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B51FCF"/>
    <w:rPr>
      <w:rFonts w:ascii="Times New Roman" w:eastAsia="Times New Roman" w:hAnsi="Times New Roman" w:cs="Times New Roman"/>
      <w:sz w:val="20"/>
      <w:szCs w:val="20"/>
      <w:lang w:val="es-ES" w:eastAsia="es-ES"/>
    </w:rPr>
  </w:style>
  <w:style w:type="character" w:styleId="Accentuation">
    <w:name w:val="Emphasis"/>
    <w:uiPriority w:val="20"/>
    <w:qFormat/>
    <w:rsid w:val="00B51FCF"/>
    <w:rPr>
      <w:i/>
      <w:iCs/>
    </w:rPr>
  </w:style>
  <w:style w:type="table" w:styleId="Tableausimple3">
    <w:name w:val="Table Simple 3"/>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B51FCF"/>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B51FCF"/>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B51FCF"/>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1">
    <w:name w:val="Table Subtle 1"/>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B51FCF"/>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centuationintense">
    <w:name w:val="Intense Emphasis"/>
    <w:uiPriority w:val="21"/>
    <w:semiHidden/>
    <w:rsid w:val="00B51FCF"/>
    <w:rPr>
      <w:b/>
      <w:bCs/>
      <w:i/>
      <w:iCs/>
      <w:color w:val="4F81BD"/>
    </w:rPr>
  </w:style>
  <w:style w:type="paragraph" w:customStyle="1" w:styleId="BodyA">
    <w:name w:val="Body A"/>
    <w:rsid w:val="00B51FC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n-US"/>
    </w:rPr>
  </w:style>
  <w:style w:type="paragraph" w:customStyle="1" w:styleId="BodyAA">
    <w:name w:val="Body A A"/>
    <w:rsid w:val="00B51FCF"/>
    <w:pPr>
      <w:pBdr>
        <w:top w:val="nil"/>
        <w:left w:val="nil"/>
        <w:bottom w:val="nil"/>
        <w:right w:val="nil"/>
        <w:between w:val="nil"/>
        <w:bar w:val="nil"/>
      </w:pBdr>
      <w:spacing w:after="0" w:line="240" w:lineRule="atLeast"/>
    </w:pPr>
    <w:rPr>
      <w:rFonts w:ascii="Calibri" w:eastAsia="Calibri" w:hAnsi="Calibri" w:cs="Calibri"/>
      <w:color w:val="000000"/>
      <w:u w:color="000000"/>
      <w:bdr w:val="nil"/>
      <w:lang w:val="en-US" w:eastAsia="en-US"/>
    </w:rPr>
  </w:style>
  <w:style w:type="numbering" w:customStyle="1" w:styleId="Dash">
    <w:name w:val="Dash"/>
    <w:rsid w:val="00B51FCF"/>
    <w:pPr>
      <w:numPr>
        <w:numId w:val="10"/>
      </w:numPr>
    </w:pPr>
  </w:style>
  <w:style w:type="paragraph" w:customStyle="1" w:styleId="BodyB">
    <w:name w:val="Body B"/>
    <w:rsid w:val="00B51FC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guridad.gob.sv/Descarga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40</Pages>
  <Words>18530</Words>
  <Characters>105626</Characters>
  <Application>Microsoft Office Word</Application>
  <DocSecurity>0</DocSecurity>
  <Lines>880</Lines>
  <Paragraphs>247</Paragraphs>
  <ScaleCrop>false</ScaleCrop>
  <HeadingPairs>
    <vt:vector size="2" baseType="variant">
      <vt:variant>
        <vt:lpstr>Titre</vt:lpstr>
      </vt:variant>
      <vt:variant>
        <vt:i4>1</vt:i4>
      </vt:variant>
    </vt:vector>
  </HeadingPairs>
  <TitlesOfParts>
    <vt:vector size="1" baseType="lpstr">
      <vt:lpstr>CAT/C/SLV/3</vt:lpstr>
    </vt:vector>
  </TitlesOfParts>
  <Company>DCM</Company>
  <LinksUpToDate>false</LinksUpToDate>
  <CharactersWithSpaces>123909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CAT/C/SLV/3</dc:title>
  <dc:subject/>
  <dc:creator>Fabienne CRELIER</dc:creator>
  <cp:keywords/>
  <cp:lastModifiedBy>Fabienne CRELIER</cp:lastModifiedBy>
  <cp:revision>3</cp:revision>
  <cp:lastPrinted>2020-06-09T14:42:00Z</cp:lastPrinted>
  <dcterms:created xsi:type="dcterms:W3CDTF">2020-06-09T14:42:00Z</dcterms:created>
  <dcterms:modified xsi:type="dcterms:W3CDTF">2020-06-09T14:45:00Z</dcterms:modified>
</cp:coreProperties>
</file>