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3349E4"/>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72697" w:rsidP="003349E4">
            <w:pPr>
              <w:jc w:val="right"/>
            </w:pPr>
            <w:r w:rsidRPr="009C494E">
              <w:rPr>
                <w:sz w:val="40"/>
                <w:lang w:val="en-GB"/>
              </w:rPr>
              <w:t>CRPD</w:t>
            </w:r>
            <w:r w:rsidRPr="009C494E">
              <w:rPr>
                <w:lang w:val="en-GB"/>
              </w:rPr>
              <w:t>/C/VUT/1</w:t>
            </w:r>
          </w:p>
        </w:tc>
      </w:tr>
      <w:tr w:rsidR="002D5AAC" w:rsidRPr="00572697"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eastAsia="zh-CN"/>
              </w:rPr>
              <w:drawing>
                <wp:inline distT="0" distB="0" distL="0" distR="0" wp14:anchorId="3FB6BDAC" wp14:editId="60974B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572697" w:rsidRPr="009C494E" w:rsidRDefault="00572697" w:rsidP="00572697">
            <w:pPr>
              <w:spacing w:before="240" w:line="240" w:lineRule="exact"/>
              <w:rPr>
                <w:lang w:val="en-GB"/>
              </w:rPr>
            </w:pPr>
            <w:r w:rsidRPr="009C494E">
              <w:rPr>
                <w:lang w:val="en-GB"/>
              </w:rPr>
              <w:t>Distr.: General</w:t>
            </w:r>
          </w:p>
          <w:p w:rsidR="00572697" w:rsidRPr="009C494E" w:rsidRDefault="00572697" w:rsidP="00572697">
            <w:pPr>
              <w:rPr>
                <w:lang w:val="en-GB"/>
              </w:rPr>
            </w:pPr>
            <w:r w:rsidRPr="009C494E">
              <w:rPr>
                <w:lang w:val="en-GB"/>
              </w:rPr>
              <w:t>2 October 2017</w:t>
            </w:r>
          </w:p>
          <w:p w:rsidR="00572697" w:rsidRPr="009C494E" w:rsidRDefault="00572697" w:rsidP="00572697">
            <w:pPr>
              <w:rPr>
                <w:lang w:val="en-GB"/>
              </w:rPr>
            </w:pPr>
            <w:r w:rsidRPr="009C494E">
              <w:rPr>
                <w:lang w:val="en-GB"/>
              </w:rPr>
              <w:t>Russian</w:t>
            </w:r>
          </w:p>
          <w:p w:rsidR="00572697" w:rsidRPr="006116C9" w:rsidRDefault="00572697" w:rsidP="00572697">
            <w:pPr>
              <w:rPr>
                <w:spacing w:val="0"/>
                <w:w w:val="100"/>
                <w:lang w:val="en-US"/>
              </w:rPr>
            </w:pPr>
            <w:r w:rsidRPr="009C494E">
              <w:rPr>
                <w:lang w:val="en-GB"/>
              </w:rPr>
              <w:t>Original: English</w:t>
            </w:r>
          </w:p>
          <w:p w:rsidR="00572697" w:rsidRPr="009C494E" w:rsidRDefault="00572697" w:rsidP="00572697">
            <w:pPr>
              <w:rPr>
                <w:lang w:val="en-GB"/>
              </w:rPr>
            </w:pPr>
            <w:r w:rsidRPr="009C494E">
              <w:rPr>
                <w:spacing w:val="0"/>
                <w:w w:val="100"/>
                <w:lang w:val="en-GB"/>
              </w:rPr>
              <w:t>English, Russian and Spanish only</w:t>
            </w:r>
          </w:p>
          <w:p w:rsidR="002D5AAC" w:rsidRPr="008934D2" w:rsidRDefault="002D5AAC" w:rsidP="00572697">
            <w:pPr>
              <w:spacing w:before="240"/>
              <w:rPr>
                <w:lang w:val="en-US"/>
              </w:rPr>
            </w:pPr>
          </w:p>
        </w:tc>
      </w:tr>
    </w:tbl>
    <w:p w:rsidR="002F00C1" w:rsidRPr="009C494E" w:rsidRDefault="002F00C1" w:rsidP="002F00C1">
      <w:pPr>
        <w:spacing w:before="120"/>
        <w:rPr>
          <w:b/>
          <w:sz w:val="24"/>
          <w:szCs w:val="24"/>
        </w:rPr>
      </w:pPr>
      <w:r w:rsidRPr="009C494E">
        <w:rPr>
          <w:b/>
          <w:sz w:val="24"/>
          <w:szCs w:val="24"/>
        </w:rPr>
        <w:t>Комитет по правам инвалидов</w:t>
      </w:r>
    </w:p>
    <w:p w:rsidR="002F00C1" w:rsidRPr="009C494E" w:rsidRDefault="002F00C1" w:rsidP="002F00C1">
      <w:pPr>
        <w:pStyle w:val="HMGR"/>
      </w:pPr>
      <w:r w:rsidRPr="009C494E">
        <w:tab/>
      </w:r>
      <w:r w:rsidRPr="009C494E">
        <w:tab/>
        <w:t xml:space="preserve">Первоначальный доклад Вануату, представленный в соответствии со статьей 35 Конвенции, который должен был быть представлен </w:t>
      </w:r>
      <w:r w:rsidR="00986BEF">
        <w:t xml:space="preserve">в </w:t>
      </w:r>
      <w:r w:rsidRPr="009C494E">
        <w:t>2010 году</w:t>
      </w:r>
      <w:r w:rsidRPr="009C494E">
        <w:rPr>
          <w:b w:val="0"/>
          <w:sz w:val="20"/>
        </w:rPr>
        <w:footnoteReference w:customMarkFollows="1" w:id="1"/>
        <w:t>*</w:t>
      </w:r>
    </w:p>
    <w:p w:rsidR="002F00C1" w:rsidRPr="009C494E" w:rsidRDefault="002F00C1" w:rsidP="002F00C1">
      <w:pPr>
        <w:pStyle w:val="SingleTxtGR"/>
        <w:jc w:val="right"/>
      </w:pPr>
      <w:r w:rsidRPr="009C494E">
        <w:t>[Дата получения: 13 августа 2015 года]</w:t>
      </w:r>
    </w:p>
    <w:p w:rsidR="002F00C1" w:rsidRPr="009C494E" w:rsidRDefault="002F00C1" w:rsidP="002F00C1">
      <w:pPr>
        <w:spacing w:after="120"/>
        <w:rPr>
          <w:sz w:val="28"/>
          <w:szCs w:val="28"/>
        </w:rPr>
      </w:pPr>
      <w:r w:rsidRPr="009C494E">
        <w:br w:type="page"/>
      </w:r>
      <w:r w:rsidRPr="009C494E">
        <w:rPr>
          <w:sz w:val="28"/>
          <w:szCs w:val="28"/>
        </w:rPr>
        <w:lastRenderedPageBreak/>
        <w:t>Содержание</w:t>
      </w:r>
    </w:p>
    <w:p w:rsidR="002F00C1" w:rsidRPr="009C494E" w:rsidRDefault="002F00C1" w:rsidP="002F00C1">
      <w:pPr>
        <w:tabs>
          <w:tab w:val="right" w:pos="9638"/>
        </w:tabs>
        <w:spacing w:after="120"/>
        <w:ind w:left="283"/>
        <w:rPr>
          <w:i/>
          <w:color w:val="000000"/>
          <w:sz w:val="18"/>
        </w:rPr>
      </w:pPr>
      <w:r w:rsidRPr="009C494E">
        <w:rPr>
          <w:i/>
          <w:color w:val="000000"/>
          <w:sz w:val="18"/>
        </w:rPr>
        <w:tab/>
        <w:t>Стр.</w:t>
      </w:r>
    </w:p>
    <w:p w:rsidR="002F00C1" w:rsidRPr="009C494E" w:rsidRDefault="002F00C1" w:rsidP="002F00C1">
      <w:pPr>
        <w:tabs>
          <w:tab w:val="right" w:pos="851"/>
          <w:tab w:val="left" w:pos="1701"/>
          <w:tab w:val="right" w:leader="dot" w:pos="8931"/>
          <w:tab w:val="right" w:pos="9639"/>
        </w:tabs>
        <w:spacing w:after="120"/>
        <w:ind w:left="2127" w:hanging="993"/>
      </w:pPr>
      <w:r>
        <w:t>Сокращения</w:t>
      </w:r>
      <w:r w:rsidRPr="009C494E">
        <w:tab/>
      </w:r>
      <w:r w:rsidRPr="009C494E">
        <w:tab/>
        <w:t>4</w:t>
      </w:r>
    </w:p>
    <w:p w:rsidR="002F00C1" w:rsidRPr="009C494E" w:rsidRDefault="002F00C1" w:rsidP="002F00C1">
      <w:pPr>
        <w:tabs>
          <w:tab w:val="right" w:pos="851"/>
          <w:tab w:val="right" w:leader="dot" w:pos="8931"/>
          <w:tab w:val="right" w:pos="9639"/>
        </w:tabs>
        <w:spacing w:after="120"/>
        <w:ind w:left="1985" w:hanging="851"/>
      </w:pPr>
      <w:r>
        <w:t>Введение</w:t>
      </w:r>
      <w:r>
        <w:tab/>
      </w:r>
      <w:r w:rsidRPr="009C494E">
        <w:tab/>
      </w:r>
      <w:r>
        <w:t>5</w:t>
      </w:r>
    </w:p>
    <w:p w:rsidR="002F00C1" w:rsidRPr="009C494E" w:rsidRDefault="002F00C1" w:rsidP="002F00C1">
      <w:pPr>
        <w:tabs>
          <w:tab w:val="right" w:pos="851"/>
          <w:tab w:val="left" w:pos="2127"/>
          <w:tab w:val="right" w:leader="dot" w:pos="8931"/>
          <w:tab w:val="right" w:pos="9639"/>
        </w:tabs>
        <w:spacing w:after="120"/>
        <w:ind w:left="2127" w:hanging="426"/>
      </w:pPr>
      <w:r w:rsidRPr="00550B3C">
        <w:t>Справочная информация о Вануату</w:t>
      </w:r>
      <w:r w:rsidRPr="009C494E">
        <w:tab/>
      </w:r>
      <w:r w:rsidRPr="009C494E">
        <w:tab/>
      </w:r>
      <w:r>
        <w:t>7</w:t>
      </w:r>
    </w:p>
    <w:p w:rsidR="002F00C1" w:rsidRPr="009C494E" w:rsidRDefault="002F00C1" w:rsidP="002F00C1">
      <w:pPr>
        <w:tabs>
          <w:tab w:val="right" w:pos="851"/>
          <w:tab w:val="left" w:pos="1701"/>
          <w:tab w:val="right" w:leader="dot" w:pos="8931"/>
          <w:tab w:val="right" w:pos="9639"/>
        </w:tabs>
        <w:spacing w:after="120"/>
        <w:ind w:left="2127" w:hanging="993"/>
      </w:pPr>
      <w:r w:rsidRPr="00550B3C">
        <w:t>Часть А. Статьи 1</w:t>
      </w:r>
      <w:r>
        <w:t>–</w:t>
      </w:r>
      <w:r w:rsidRPr="00550B3C">
        <w:t>4</w:t>
      </w:r>
      <w:r w:rsidRPr="00550B3C">
        <w:tab/>
      </w:r>
      <w:r w:rsidRPr="009C494E">
        <w:tab/>
      </w:r>
      <w:r>
        <w:t>13</w:t>
      </w:r>
    </w:p>
    <w:p w:rsidR="002F00C1" w:rsidRPr="009C494E" w:rsidRDefault="002F00C1" w:rsidP="002F00C1">
      <w:pPr>
        <w:tabs>
          <w:tab w:val="right" w:pos="851"/>
          <w:tab w:val="left" w:pos="1701"/>
          <w:tab w:val="right" w:leader="dot" w:pos="8931"/>
          <w:tab w:val="right" w:pos="9639"/>
        </w:tabs>
        <w:spacing w:after="120"/>
        <w:ind w:left="1701"/>
      </w:pPr>
      <w:r w:rsidRPr="00F54B00">
        <w:t xml:space="preserve">Меры, принятые в целях приведения национальных законодательства </w:t>
      </w:r>
      <w:r>
        <w:br/>
      </w:r>
      <w:r w:rsidRPr="00F54B00">
        <w:t>и политики в соответствие с Конвенцией</w:t>
      </w:r>
      <w:r w:rsidRPr="009C494E">
        <w:tab/>
      </w:r>
      <w:r w:rsidRPr="009C494E">
        <w:tab/>
      </w:r>
      <w:r>
        <w:t>13</w:t>
      </w:r>
    </w:p>
    <w:p w:rsidR="002F00C1" w:rsidRPr="009C494E" w:rsidRDefault="002F00C1" w:rsidP="00C90C79">
      <w:pPr>
        <w:tabs>
          <w:tab w:val="right" w:pos="851"/>
          <w:tab w:val="left" w:pos="1701"/>
          <w:tab w:val="right" w:leader="dot" w:pos="8931"/>
          <w:tab w:val="right" w:pos="9639"/>
        </w:tabs>
        <w:spacing w:after="120"/>
        <w:ind w:left="2127" w:hanging="993"/>
      </w:pPr>
      <w:r w:rsidRPr="00550B3C">
        <w:t>Часть В. Статьи 5</w:t>
      </w:r>
      <w:r w:rsidR="00C90C79">
        <w:t>–</w:t>
      </w:r>
      <w:r w:rsidRPr="00550B3C">
        <w:t>8</w:t>
      </w:r>
      <w:r w:rsidRPr="00550B3C">
        <w:tab/>
      </w:r>
      <w:r>
        <w:tab/>
        <w:t>17</w:t>
      </w:r>
    </w:p>
    <w:p w:rsidR="002F00C1" w:rsidRPr="009C494E" w:rsidRDefault="002F00C1" w:rsidP="002F00C1">
      <w:pPr>
        <w:tabs>
          <w:tab w:val="left" w:pos="1701"/>
          <w:tab w:val="left" w:pos="3261"/>
          <w:tab w:val="right" w:leader="dot" w:pos="8931"/>
          <w:tab w:val="right" w:pos="9639"/>
        </w:tabs>
        <w:spacing w:after="120"/>
        <w:ind w:left="1701"/>
      </w:pPr>
      <w:r w:rsidRPr="00550B3C">
        <w:t>Статья 5: Равенство и недискриминация</w:t>
      </w:r>
      <w:r w:rsidRPr="009C494E">
        <w:tab/>
      </w:r>
      <w:r w:rsidRPr="009C494E">
        <w:tab/>
      </w:r>
      <w:r>
        <w:t>1</w:t>
      </w:r>
      <w:r w:rsidRPr="009C494E">
        <w:t>7</w:t>
      </w:r>
    </w:p>
    <w:p w:rsidR="002F00C1" w:rsidRPr="009C494E" w:rsidRDefault="002F00C1" w:rsidP="002F00C1">
      <w:pPr>
        <w:tabs>
          <w:tab w:val="left" w:pos="1701"/>
          <w:tab w:val="left" w:pos="3261"/>
          <w:tab w:val="right" w:leader="dot" w:pos="8931"/>
          <w:tab w:val="right" w:pos="9639"/>
        </w:tabs>
        <w:spacing w:after="120"/>
        <w:ind w:left="1701"/>
      </w:pPr>
      <w:r w:rsidRPr="00550B3C">
        <w:t>Статья 8: Просветительно-воспитательная работа</w:t>
      </w:r>
      <w:r w:rsidRPr="009C494E">
        <w:tab/>
      </w:r>
      <w:r w:rsidRPr="009C494E">
        <w:tab/>
      </w:r>
      <w:r>
        <w:t>1</w:t>
      </w:r>
      <w:r w:rsidRPr="009C494E">
        <w:t>8</w:t>
      </w:r>
    </w:p>
    <w:p w:rsidR="002F00C1" w:rsidRPr="009C494E" w:rsidRDefault="002F00C1" w:rsidP="002F00C1">
      <w:pPr>
        <w:tabs>
          <w:tab w:val="right" w:pos="851"/>
          <w:tab w:val="left" w:pos="1701"/>
          <w:tab w:val="right" w:leader="dot" w:pos="8931"/>
          <w:tab w:val="right" w:pos="9639"/>
        </w:tabs>
        <w:spacing w:after="120"/>
        <w:ind w:left="2127" w:hanging="993"/>
      </w:pPr>
      <w:r>
        <w:t>Часть С. Статьи 9–</w:t>
      </w:r>
      <w:r w:rsidRPr="00550B3C">
        <w:t>30</w:t>
      </w:r>
      <w:r w:rsidRPr="00550B3C">
        <w:tab/>
      </w:r>
      <w:r>
        <w:tab/>
        <w:t>21</w:t>
      </w:r>
    </w:p>
    <w:p w:rsidR="002F00C1" w:rsidRPr="009C494E" w:rsidRDefault="002F00C1" w:rsidP="002F00C1">
      <w:pPr>
        <w:tabs>
          <w:tab w:val="left" w:pos="1701"/>
          <w:tab w:val="left" w:pos="3261"/>
          <w:tab w:val="right" w:leader="dot" w:pos="8931"/>
          <w:tab w:val="right" w:pos="9639"/>
        </w:tabs>
        <w:spacing w:after="120"/>
        <w:ind w:left="1701"/>
      </w:pPr>
      <w:r w:rsidRPr="00550B3C">
        <w:t>Статья 9: Доступность</w:t>
      </w:r>
      <w:r w:rsidRPr="009C494E">
        <w:tab/>
      </w:r>
      <w:r w:rsidRPr="009C494E">
        <w:tab/>
      </w:r>
      <w:r>
        <w:t>21</w:t>
      </w:r>
    </w:p>
    <w:p w:rsidR="002F00C1" w:rsidRPr="009C494E" w:rsidRDefault="002F00C1" w:rsidP="002F00C1">
      <w:pPr>
        <w:tabs>
          <w:tab w:val="left" w:pos="1701"/>
          <w:tab w:val="left" w:pos="3261"/>
          <w:tab w:val="right" w:leader="dot" w:pos="8931"/>
          <w:tab w:val="right" w:pos="9639"/>
        </w:tabs>
        <w:spacing w:after="120"/>
        <w:ind w:left="1701"/>
      </w:pPr>
      <w:r w:rsidRPr="00550B3C">
        <w:t>Статья 10: Право на жизнь</w:t>
      </w:r>
      <w:r w:rsidRPr="009C494E">
        <w:tab/>
      </w:r>
      <w:r w:rsidRPr="009C494E">
        <w:tab/>
      </w:r>
      <w:r>
        <w:t>22</w:t>
      </w:r>
    </w:p>
    <w:p w:rsidR="002F00C1" w:rsidRPr="0042241A" w:rsidRDefault="002F00C1" w:rsidP="002F00C1">
      <w:pPr>
        <w:tabs>
          <w:tab w:val="left" w:pos="1701"/>
          <w:tab w:val="left" w:pos="3261"/>
          <w:tab w:val="right" w:leader="dot" w:pos="8931"/>
          <w:tab w:val="right" w:pos="9639"/>
        </w:tabs>
        <w:spacing w:after="120"/>
        <w:ind w:left="1701"/>
      </w:pPr>
      <w:r w:rsidRPr="00550B3C">
        <w:t>Статья 11: Ситуации риска и чрезвычайные гуманитарные ситуации</w:t>
      </w:r>
      <w:r w:rsidRPr="009C494E">
        <w:tab/>
      </w:r>
      <w:r w:rsidRPr="009C494E">
        <w:tab/>
      </w:r>
      <w:r w:rsidR="0042241A">
        <w:t>2</w:t>
      </w:r>
      <w:r w:rsidR="0042241A" w:rsidRPr="0042241A">
        <w:t>2</w:t>
      </w:r>
    </w:p>
    <w:p w:rsidR="002F00C1" w:rsidRPr="009C494E" w:rsidRDefault="002F00C1" w:rsidP="002F00C1">
      <w:pPr>
        <w:tabs>
          <w:tab w:val="left" w:pos="1701"/>
          <w:tab w:val="left" w:pos="3261"/>
          <w:tab w:val="right" w:leader="dot" w:pos="8931"/>
          <w:tab w:val="right" w:pos="9639"/>
        </w:tabs>
        <w:spacing w:after="120"/>
        <w:ind w:left="1701"/>
      </w:pPr>
      <w:r w:rsidRPr="00550B3C">
        <w:t>Статья 12: Равенство перед законом</w:t>
      </w:r>
      <w:r w:rsidRPr="009C494E">
        <w:tab/>
      </w:r>
      <w:r w:rsidRPr="009C494E">
        <w:tab/>
      </w:r>
      <w:r>
        <w:t>24</w:t>
      </w:r>
    </w:p>
    <w:p w:rsidR="002F00C1" w:rsidRPr="00B40413" w:rsidRDefault="002F00C1" w:rsidP="002F00C1">
      <w:pPr>
        <w:tabs>
          <w:tab w:val="left" w:pos="1701"/>
          <w:tab w:val="left" w:pos="3261"/>
          <w:tab w:val="right" w:leader="dot" w:pos="8931"/>
          <w:tab w:val="right" w:pos="9639"/>
        </w:tabs>
        <w:spacing w:after="120"/>
        <w:ind w:left="1701"/>
      </w:pPr>
      <w:r w:rsidRPr="00550B3C">
        <w:t>Статья 13: Доступ к правосудию</w:t>
      </w:r>
      <w:r w:rsidRPr="009C494E">
        <w:tab/>
      </w:r>
      <w:r w:rsidRPr="009C494E">
        <w:tab/>
      </w:r>
      <w:r w:rsidR="0042241A">
        <w:t>2</w:t>
      </w:r>
      <w:r w:rsidR="0042241A" w:rsidRPr="00B40413">
        <w:t>4</w:t>
      </w:r>
    </w:p>
    <w:p w:rsidR="002F00C1" w:rsidRPr="009C494E" w:rsidRDefault="002F00C1" w:rsidP="002F00C1">
      <w:pPr>
        <w:tabs>
          <w:tab w:val="left" w:pos="1701"/>
          <w:tab w:val="left" w:pos="3261"/>
          <w:tab w:val="right" w:leader="dot" w:pos="8931"/>
          <w:tab w:val="right" w:pos="9639"/>
        </w:tabs>
        <w:spacing w:after="120"/>
        <w:ind w:left="1701"/>
      </w:pPr>
      <w:r w:rsidRPr="00550B3C">
        <w:t>Статья 14: Свобода и личная неприкосновенность</w:t>
      </w:r>
      <w:r w:rsidRPr="009C494E">
        <w:tab/>
      </w:r>
      <w:r w:rsidRPr="009C494E">
        <w:tab/>
      </w:r>
      <w:r>
        <w:t>26</w:t>
      </w:r>
    </w:p>
    <w:p w:rsidR="002F00C1" w:rsidRPr="009C494E" w:rsidRDefault="002F00C1" w:rsidP="002F00C1">
      <w:pPr>
        <w:tabs>
          <w:tab w:val="left" w:pos="1701"/>
          <w:tab w:val="left" w:pos="3261"/>
          <w:tab w:val="right" w:leader="dot" w:pos="8931"/>
          <w:tab w:val="right" w:pos="9639"/>
        </w:tabs>
        <w:spacing w:after="120"/>
        <w:ind w:left="1701"/>
      </w:pPr>
      <w:r w:rsidRPr="00F54B00">
        <w:t>Статья 15: Свобода от пыток и жестоких, бесчеловечных или унижающих</w:t>
      </w:r>
      <w:r>
        <w:t xml:space="preserve"> </w:t>
      </w:r>
      <w:r>
        <w:br/>
      </w:r>
      <w:r w:rsidRPr="00F54B00">
        <w:t>достоинство видов обращения и наказания</w:t>
      </w:r>
      <w:r w:rsidRPr="009C494E">
        <w:tab/>
      </w:r>
      <w:r w:rsidRPr="009C494E">
        <w:tab/>
      </w:r>
      <w:r>
        <w:t>26</w:t>
      </w:r>
    </w:p>
    <w:p w:rsidR="002F00C1" w:rsidRPr="0042241A" w:rsidRDefault="002F00C1" w:rsidP="002F00C1">
      <w:pPr>
        <w:tabs>
          <w:tab w:val="left" w:pos="1701"/>
          <w:tab w:val="left" w:pos="3261"/>
          <w:tab w:val="right" w:leader="dot" w:pos="8931"/>
          <w:tab w:val="right" w:pos="9639"/>
        </w:tabs>
        <w:spacing w:after="120"/>
        <w:ind w:left="1701"/>
      </w:pPr>
      <w:r w:rsidRPr="00550B3C">
        <w:t>Статья 16: Свобода от эксплуатации, насилия и надругательства</w:t>
      </w:r>
      <w:r w:rsidRPr="009C494E">
        <w:tab/>
      </w:r>
      <w:r w:rsidRPr="009C494E">
        <w:tab/>
      </w:r>
      <w:r w:rsidR="0042241A">
        <w:t>2</w:t>
      </w:r>
      <w:r w:rsidR="0042241A" w:rsidRPr="0042241A">
        <w:t>6</w:t>
      </w:r>
    </w:p>
    <w:p w:rsidR="002F00C1" w:rsidRPr="009C494E" w:rsidRDefault="002F00C1" w:rsidP="002F00C1">
      <w:pPr>
        <w:tabs>
          <w:tab w:val="left" w:pos="1701"/>
          <w:tab w:val="left" w:pos="3261"/>
          <w:tab w:val="right" w:leader="dot" w:pos="8931"/>
          <w:tab w:val="right" w:pos="9639"/>
        </w:tabs>
        <w:spacing w:after="120"/>
        <w:ind w:left="1701"/>
      </w:pPr>
      <w:r w:rsidRPr="00550B3C">
        <w:t>Статья 17: Защита личной целостности</w:t>
      </w:r>
      <w:r w:rsidRPr="009C494E">
        <w:tab/>
      </w:r>
      <w:r w:rsidRPr="009C494E">
        <w:tab/>
      </w:r>
      <w:r>
        <w:t>27</w:t>
      </w:r>
    </w:p>
    <w:p w:rsidR="002F00C1" w:rsidRPr="009C494E" w:rsidRDefault="002F00C1" w:rsidP="002F00C1">
      <w:pPr>
        <w:tabs>
          <w:tab w:val="left" w:pos="1701"/>
          <w:tab w:val="left" w:pos="3261"/>
          <w:tab w:val="right" w:leader="dot" w:pos="8931"/>
          <w:tab w:val="right" w:pos="9639"/>
        </w:tabs>
        <w:spacing w:after="120"/>
        <w:ind w:left="1701"/>
      </w:pPr>
      <w:r w:rsidRPr="00550B3C">
        <w:t>Статья 18: Свобода передвижения и гражданство</w:t>
      </w:r>
      <w:r w:rsidRPr="009C494E">
        <w:tab/>
      </w:r>
      <w:r w:rsidRPr="009C494E">
        <w:tab/>
      </w:r>
      <w:r>
        <w:t>27</w:t>
      </w:r>
    </w:p>
    <w:p w:rsidR="002F00C1" w:rsidRPr="009C494E" w:rsidRDefault="002F00C1" w:rsidP="002F00C1">
      <w:pPr>
        <w:tabs>
          <w:tab w:val="left" w:pos="1701"/>
          <w:tab w:val="left" w:pos="3261"/>
          <w:tab w:val="right" w:leader="dot" w:pos="8931"/>
          <w:tab w:val="right" w:pos="9639"/>
        </w:tabs>
        <w:spacing w:after="120"/>
        <w:ind w:left="1701"/>
      </w:pPr>
      <w:r w:rsidRPr="00550B3C">
        <w:t xml:space="preserve">Статья 19: Самостоятельный образ жизни и вовлеченность </w:t>
      </w:r>
      <w:r>
        <w:br/>
      </w:r>
      <w:r w:rsidRPr="00550B3C">
        <w:t>в местное сообщество</w:t>
      </w:r>
      <w:r w:rsidRPr="009C494E">
        <w:tab/>
      </w:r>
      <w:r w:rsidRPr="009C494E">
        <w:tab/>
      </w:r>
      <w:r>
        <w:t>2</w:t>
      </w:r>
      <w:r w:rsidRPr="009C494E">
        <w:t>8</w:t>
      </w:r>
    </w:p>
    <w:p w:rsidR="002F00C1" w:rsidRPr="009C494E" w:rsidRDefault="002F00C1" w:rsidP="002F00C1">
      <w:pPr>
        <w:tabs>
          <w:tab w:val="left" w:pos="1701"/>
          <w:tab w:val="left" w:pos="3261"/>
          <w:tab w:val="right" w:leader="dot" w:pos="8931"/>
          <w:tab w:val="right" w:pos="9639"/>
        </w:tabs>
        <w:spacing w:after="120"/>
        <w:ind w:left="1701"/>
      </w:pPr>
      <w:r w:rsidRPr="00550B3C">
        <w:t>Статья 20: Индивидуальная мобильность</w:t>
      </w:r>
      <w:r w:rsidRPr="009C494E">
        <w:tab/>
      </w:r>
      <w:r w:rsidRPr="009C494E">
        <w:tab/>
      </w:r>
      <w:r>
        <w:t>28</w:t>
      </w:r>
    </w:p>
    <w:p w:rsidR="002F00C1" w:rsidRPr="009C494E" w:rsidRDefault="002F00C1" w:rsidP="0042241A">
      <w:pPr>
        <w:tabs>
          <w:tab w:val="left" w:pos="1701"/>
          <w:tab w:val="right" w:leader="dot" w:pos="8931"/>
          <w:tab w:val="right" w:pos="9639"/>
        </w:tabs>
        <w:spacing w:after="120"/>
        <w:ind w:left="1701"/>
      </w:pPr>
      <w:r w:rsidRPr="00550B3C">
        <w:t xml:space="preserve">Статья 21: Свобода выражения мнения и убеждений и доступ </w:t>
      </w:r>
      <w:r>
        <w:br/>
      </w:r>
      <w:r w:rsidRPr="00550B3C">
        <w:t>к информации</w:t>
      </w:r>
      <w:r w:rsidRPr="009C494E">
        <w:tab/>
      </w:r>
      <w:r>
        <w:tab/>
        <w:t>2</w:t>
      </w:r>
      <w:r w:rsidRPr="009C494E">
        <w:t>9</w:t>
      </w:r>
    </w:p>
    <w:p w:rsidR="002F00C1" w:rsidRPr="009C494E" w:rsidRDefault="002F00C1" w:rsidP="002F00C1">
      <w:pPr>
        <w:tabs>
          <w:tab w:val="left" w:pos="1701"/>
          <w:tab w:val="left" w:pos="3261"/>
          <w:tab w:val="right" w:leader="dot" w:pos="8931"/>
          <w:tab w:val="right" w:pos="9639"/>
        </w:tabs>
        <w:spacing w:after="120"/>
        <w:ind w:left="1701"/>
      </w:pPr>
      <w:r w:rsidRPr="00550B3C">
        <w:t>Статья 22: Неприкосновенность частной жизни</w:t>
      </w:r>
      <w:r w:rsidRPr="009C494E">
        <w:tab/>
      </w:r>
      <w:r w:rsidRPr="009C494E">
        <w:tab/>
      </w:r>
      <w:r>
        <w:t>30</w:t>
      </w:r>
    </w:p>
    <w:p w:rsidR="002F00C1" w:rsidRPr="009C494E" w:rsidRDefault="002F00C1" w:rsidP="002F00C1">
      <w:pPr>
        <w:tabs>
          <w:tab w:val="left" w:pos="1701"/>
          <w:tab w:val="left" w:pos="3261"/>
          <w:tab w:val="right" w:leader="dot" w:pos="8931"/>
          <w:tab w:val="right" w:pos="9639"/>
        </w:tabs>
        <w:spacing w:after="120"/>
        <w:ind w:left="1701"/>
      </w:pPr>
      <w:r w:rsidRPr="00550B3C">
        <w:t>Статья 23: Уважение дома и семьи</w:t>
      </w:r>
      <w:r w:rsidRPr="009C494E">
        <w:tab/>
      </w:r>
      <w:r w:rsidRPr="009C494E">
        <w:tab/>
      </w:r>
      <w:r>
        <w:t>30</w:t>
      </w:r>
    </w:p>
    <w:p w:rsidR="002F00C1" w:rsidRPr="009C494E" w:rsidRDefault="002F00C1" w:rsidP="002F00C1">
      <w:pPr>
        <w:tabs>
          <w:tab w:val="left" w:pos="1701"/>
          <w:tab w:val="left" w:pos="3261"/>
          <w:tab w:val="right" w:leader="dot" w:pos="8931"/>
          <w:tab w:val="right" w:pos="9639"/>
        </w:tabs>
        <w:spacing w:after="120"/>
        <w:ind w:left="1701"/>
      </w:pPr>
      <w:r w:rsidRPr="00550B3C">
        <w:t>Статья 24: Образование</w:t>
      </w:r>
      <w:r w:rsidRPr="009C494E">
        <w:tab/>
      </w:r>
      <w:r w:rsidRPr="009C494E">
        <w:tab/>
      </w:r>
      <w:r>
        <w:t>30</w:t>
      </w:r>
    </w:p>
    <w:p w:rsidR="002F00C1" w:rsidRPr="009C494E" w:rsidRDefault="002F00C1" w:rsidP="002F00C1">
      <w:pPr>
        <w:tabs>
          <w:tab w:val="left" w:pos="1701"/>
          <w:tab w:val="left" w:pos="3261"/>
          <w:tab w:val="right" w:leader="dot" w:pos="8931"/>
          <w:tab w:val="right" w:pos="9639"/>
        </w:tabs>
        <w:spacing w:after="120"/>
        <w:ind w:left="1701"/>
      </w:pPr>
      <w:r w:rsidRPr="00550B3C">
        <w:t>Статья 25: Здоровье</w:t>
      </w:r>
      <w:r w:rsidRPr="009C494E">
        <w:tab/>
      </w:r>
      <w:r w:rsidRPr="009C494E">
        <w:tab/>
      </w:r>
      <w:r>
        <w:t>35</w:t>
      </w:r>
    </w:p>
    <w:p w:rsidR="002F00C1" w:rsidRPr="009C494E" w:rsidRDefault="002F00C1" w:rsidP="002F00C1">
      <w:pPr>
        <w:tabs>
          <w:tab w:val="left" w:pos="1701"/>
          <w:tab w:val="left" w:pos="3261"/>
          <w:tab w:val="right" w:leader="dot" w:pos="8931"/>
          <w:tab w:val="right" w:pos="9639"/>
        </w:tabs>
        <w:spacing w:after="120"/>
        <w:ind w:left="1701"/>
      </w:pPr>
      <w:r w:rsidRPr="00550B3C">
        <w:t>Статья 26: Абилитация и реабилитация</w:t>
      </w:r>
      <w:r w:rsidRPr="009C494E">
        <w:tab/>
      </w:r>
      <w:r w:rsidRPr="009C494E">
        <w:tab/>
      </w:r>
      <w:r>
        <w:t>37</w:t>
      </w:r>
    </w:p>
    <w:p w:rsidR="002F00C1" w:rsidRPr="009C494E" w:rsidRDefault="002F00C1" w:rsidP="002F00C1">
      <w:pPr>
        <w:tabs>
          <w:tab w:val="left" w:pos="1701"/>
          <w:tab w:val="left" w:pos="3261"/>
          <w:tab w:val="right" w:leader="dot" w:pos="8931"/>
          <w:tab w:val="right" w:pos="9639"/>
        </w:tabs>
        <w:spacing w:after="120"/>
        <w:ind w:left="1701"/>
      </w:pPr>
      <w:r w:rsidRPr="00550B3C">
        <w:t>Статья 27: Труд и занятость</w:t>
      </w:r>
      <w:r w:rsidRPr="009C494E">
        <w:tab/>
      </w:r>
      <w:r w:rsidRPr="009C494E">
        <w:tab/>
      </w:r>
      <w:r>
        <w:t>3</w:t>
      </w:r>
      <w:r w:rsidRPr="009C494E">
        <w:t>9</w:t>
      </w:r>
    </w:p>
    <w:p w:rsidR="002F00C1" w:rsidRPr="009C494E" w:rsidRDefault="002F00C1" w:rsidP="002F00C1">
      <w:pPr>
        <w:tabs>
          <w:tab w:val="left" w:pos="1701"/>
          <w:tab w:val="left" w:pos="3261"/>
          <w:tab w:val="right" w:leader="dot" w:pos="8931"/>
          <w:tab w:val="right" w:pos="9639"/>
        </w:tabs>
        <w:spacing w:after="120"/>
        <w:ind w:left="1701"/>
      </w:pPr>
      <w:r w:rsidRPr="00550B3C">
        <w:t>Статья 28: Достаточный жизненный уровень и социальная защита</w:t>
      </w:r>
      <w:r w:rsidRPr="009C494E">
        <w:tab/>
      </w:r>
      <w:r w:rsidRPr="009C494E">
        <w:tab/>
      </w:r>
      <w:r>
        <w:t>40</w:t>
      </w:r>
    </w:p>
    <w:p w:rsidR="002F00C1" w:rsidRPr="009C494E" w:rsidRDefault="002F00C1" w:rsidP="002F00C1">
      <w:pPr>
        <w:tabs>
          <w:tab w:val="left" w:pos="1701"/>
          <w:tab w:val="left" w:pos="3261"/>
          <w:tab w:val="right" w:leader="dot" w:pos="8931"/>
          <w:tab w:val="right" w:pos="9639"/>
        </w:tabs>
        <w:spacing w:after="120"/>
        <w:ind w:left="1701"/>
      </w:pPr>
      <w:r w:rsidRPr="00550B3C">
        <w:t>Статья 29: Участие в политической и общественной жизни</w:t>
      </w:r>
      <w:r w:rsidRPr="009C494E">
        <w:tab/>
      </w:r>
      <w:r w:rsidRPr="009C494E">
        <w:tab/>
      </w:r>
      <w:r>
        <w:t>40</w:t>
      </w:r>
    </w:p>
    <w:p w:rsidR="002F00C1" w:rsidRPr="009C494E" w:rsidRDefault="002F00C1" w:rsidP="002F00C1">
      <w:pPr>
        <w:tabs>
          <w:tab w:val="left" w:pos="1701"/>
          <w:tab w:val="left" w:pos="3261"/>
          <w:tab w:val="right" w:leader="dot" w:pos="8931"/>
          <w:tab w:val="right" w:pos="9639"/>
        </w:tabs>
        <w:spacing w:after="120"/>
        <w:ind w:left="1701"/>
      </w:pPr>
      <w:r w:rsidRPr="00F54B00">
        <w:t xml:space="preserve">Статья 30: Участие в культурной жизни, проведении досуга и отдыха </w:t>
      </w:r>
      <w:r>
        <w:br/>
      </w:r>
      <w:r w:rsidRPr="00F54B00">
        <w:t>и</w:t>
      </w:r>
      <w:r>
        <w:t xml:space="preserve"> </w:t>
      </w:r>
      <w:r w:rsidRPr="00F54B00">
        <w:t>занятии спортом</w:t>
      </w:r>
      <w:r w:rsidRPr="009C494E">
        <w:tab/>
      </w:r>
      <w:r w:rsidRPr="009C494E">
        <w:tab/>
      </w:r>
      <w:r>
        <w:t>41</w:t>
      </w:r>
    </w:p>
    <w:p w:rsidR="002F00C1" w:rsidRPr="009C494E" w:rsidRDefault="002F00C1" w:rsidP="002F00C1">
      <w:pPr>
        <w:tabs>
          <w:tab w:val="right" w:pos="851"/>
          <w:tab w:val="left" w:pos="1701"/>
          <w:tab w:val="right" w:leader="dot" w:pos="8931"/>
          <w:tab w:val="right" w:pos="9639"/>
        </w:tabs>
        <w:spacing w:after="120"/>
        <w:ind w:left="2127" w:hanging="993"/>
      </w:pPr>
      <w:r w:rsidRPr="00550B3C">
        <w:t>Часть D. Статьи 6</w:t>
      </w:r>
      <w:r>
        <w:t>–</w:t>
      </w:r>
      <w:r w:rsidRPr="00550B3C">
        <w:t>7</w:t>
      </w:r>
      <w:r w:rsidRPr="00550B3C">
        <w:tab/>
      </w:r>
      <w:r w:rsidRPr="009C494E">
        <w:tab/>
        <w:t>4</w:t>
      </w:r>
      <w:r>
        <w:t>2</w:t>
      </w:r>
    </w:p>
    <w:p w:rsidR="002F00C1" w:rsidRPr="009C494E" w:rsidRDefault="002F00C1" w:rsidP="002F00C1">
      <w:pPr>
        <w:tabs>
          <w:tab w:val="left" w:pos="1701"/>
          <w:tab w:val="left" w:pos="3261"/>
          <w:tab w:val="right" w:leader="dot" w:pos="8931"/>
          <w:tab w:val="right" w:pos="9639"/>
        </w:tabs>
        <w:spacing w:after="120"/>
        <w:ind w:left="1701"/>
      </w:pPr>
      <w:r w:rsidRPr="00550B3C">
        <w:t>Статья 6: Женщины-инвалиды</w:t>
      </w:r>
      <w:r w:rsidRPr="009C494E">
        <w:tab/>
      </w:r>
      <w:r w:rsidRPr="009C494E">
        <w:tab/>
      </w:r>
      <w:r>
        <w:t>42</w:t>
      </w:r>
    </w:p>
    <w:p w:rsidR="002F00C1" w:rsidRPr="009C494E" w:rsidRDefault="002F00C1" w:rsidP="002F00C1">
      <w:pPr>
        <w:tabs>
          <w:tab w:val="left" w:pos="1701"/>
          <w:tab w:val="left" w:pos="3261"/>
          <w:tab w:val="right" w:leader="dot" w:pos="8931"/>
          <w:tab w:val="right" w:pos="9639"/>
        </w:tabs>
        <w:spacing w:after="120"/>
        <w:ind w:left="1701"/>
      </w:pPr>
      <w:r w:rsidRPr="00550B3C">
        <w:t>Статья 7: Дети-инвалиды</w:t>
      </w:r>
      <w:r w:rsidRPr="009C494E">
        <w:tab/>
      </w:r>
      <w:r w:rsidRPr="009C494E">
        <w:tab/>
      </w:r>
      <w:r>
        <w:t>43</w:t>
      </w:r>
    </w:p>
    <w:p w:rsidR="002F00C1" w:rsidRPr="009C494E" w:rsidRDefault="002F00C1" w:rsidP="002F00C1">
      <w:pPr>
        <w:tabs>
          <w:tab w:val="right" w:pos="851"/>
          <w:tab w:val="left" w:pos="1701"/>
          <w:tab w:val="right" w:leader="dot" w:pos="8931"/>
          <w:tab w:val="right" w:pos="9639"/>
        </w:tabs>
        <w:spacing w:after="120"/>
        <w:ind w:left="2127" w:hanging="993"/>
      </w:pPr>
      <w:r w:rsidRPr="00550B3C">
        <w:lastRenderedPageBreak/>
        <w:t>Часть E. Статьи 31</w:t>
      </w:r>
      <w:r>
        <w:t>–</w:t>
      </w:r>
      <w:r w:rsidRPr="00550B3C">
        <w:t>33</w:t>
      </w:r>
      <w:r w:rsidRPr="00550B3C">
        <w:tab/>
      </w:r>
      <w:r w:rsidRPr="00550B3C">
        <w:tab/>
      </w:r>
      <w:r w:rsidRPr="009C494E">
        <w:t>4</w:t>
      </w:r>
      <w:r>
        <w:t>5</w:t>
      </w:r>
    </w:p>
    <w:p w:rsidR="002F00C1" w:rsidRPr="009C494E" w:rsidRDefault="002F00C1" w:rsidP="002F00C1">
      <w:pPr>
        <w:tabs>
          <w:tab w:val="left" w:pos="1701"/>
          <w:tab w:val="left" w:pos="3261"/>
          <w:tab w:val="right" w:leader="dot" w:pos="8931"/>
          <w:tab w:val="right" w:pos="9639"/>
        </w:tabs>
        <w:spacing w:after="120"/>
        <w:ind w:left="1701"/>
      </w:pPr>
      <w:r w:rsidRPr="00550B3C">
        <w:t>Статья 31: Статистика и сбор данных</w:t>
      </w:r>
      <w:r w:rsidRPr="009C494E">
        <w:tab/>
      </w:r>
      <w:r w:rsidRPr="009C494E">
        <w:tab/>
      </w:r>
      <w:r>
        <w:t>4</w:t>
      </w:r>
      <w:r w:rsidRPr="009C494E">
        <w:t>5</w:t>
      </w:r>
    </w:p>
    <w:p w:rsidR="002F00C1" w:rsidRPr="009C494E" w:rsidRDefault="002F00C1" w:rsidP="002F00C1">
      <w:pPr>
        <w:tabs>
          <w:tab w:val="left" w:pos="1701"/>
          <w:tab w:val="left" w:pos="3261"/>
          <w:tab w:val="right" w:leader="dot" w:pos="8931"/>
          <w:tab w:val="right" w:pos="9639"/>
        </w:tabs>
        <w:spacing w:after="120"/>
        <w:ind w:left="1701"/>
      </w:pPr>
      <w:r w:rsidRPr="00550B3C">
        <w:t>Статья 32: Международное сотрудничество</w:t>
      </w:r>
      <w:r w:rsidRPr="009C494E">
        <w:tab/>
      </w:r>
      <w:r w:rsidRPr="009C494E">
        <w:tab/>
      </w:r>
      <w:r>
        <w:t>47</w:t>
      </w:r>
    </w:p>
    <w:p w:rsidR="002F00C1" w:rsidRPr="009C494E" w:rsidRDefault="002F00C1" w:rsidP="002F00C1">
      <w:pPr>
        <w:tabs>
          <w:tab w:val="left" w:pos="1701"/>
          <w:tab w:val="left" w:pos="3261"/>
          <w:tab w:val="right" w:leader="dot" w:pos="8931"/>
          <w:tab w:val="right" w:pos="9639"/>
        </w:tabs>
        <w:spacing w:after="120"/>
        <w:ind w:left="1701"/>
      </w:pPr>
      <w:r w:rsidRPr="00550B3C">
        <w:t>Статья 33: Национальное осуществление и мониторинг</w:t>
      </w:r>
      <w:r w:rsidRPr="009C494E">
        <w:tab/>
      </w:r>
      <w:r w:rsidRPr="009C494E">
        <w:tab/>
        <w:t>4</w:t>
      </w:r>
      <w:r>
        <w:t>8</w:t>
      </w:r>
    </w:p>
    <w:p w:rsidR="002F00C1" w:rsidRPr="009C494E" w:rsidRDefault="002F00C1" w:rsidP="002F00C1">
      <w:pPr>
        <w:tabs>
          <w:tab w:val="right" w:pos="851"/>
          <w:tab w:val="right" w:leader="dot" w:pos="8931"/>
          <w:tab w:val="right" w:pos="9639"/>
        </w:tabs>
        <w:spacing w:after="120"/>
        <w:ind w:left="1701" w:hanging="567"/>
      </w:pPr>
      <w:r w:rsidRPr="00550B3C">
        <w:t>Резюме</w:t>
      </w:r>
      <w:r w:rsidRPr="009C494E">
        <w:tab/>
      </w:r>
      <w:r w:rsidRPr="009C494E">
        <w:tab/>
        <w:t>4</w:t>
      </w:r>
      <w:r>
        <w:t>9</w:t>
      </w:r>
    </w:p>
    <w:p w:rsidR="002F00C1" w:rsidRPr="009C494E" w:rsidRDefault="002F00C1" w:rsidP="002F00C1">
      <w:pPr>
        <w:tabs>
          <w:tab w:val="right" w:pos="851"/>
          <w:tab w:val="right" w:leader="dot" w:pos="8931"/>
          <w:tab w:val="right" w:pos="9639"/>
        </w:tabs>
        <w:spacing w:after="120"/>
        <w:ind w:left="1985" w:hanging="851"/>
      </w:pPr>
      <w:r w:rsidRPr="00550B3C">
        <w:t>Справочная информация</w:t>
      </w:r>
      <w:r>
        <w:tab/>
      </w:r>
      <w:r w:rsidRPr="009C494E">
        <w:tab/>
      </w:r>
      <w:r>
        <w:t>50</w:t>
      </w:r>
    </w:p>
    <w:p w:rsidR="002F00C1" w:rsidRPr="009C494E" w:rsidRDefault="002F00C1" w:rsidP="002F00C1">
      <w:pPr>
        <w:pStyle w:val="H1GR"/>
      </w:pPr>
      <w:r w:rsidRPr="009C494E">
        <w:br w:type="page"/>
      </w:r>
      <w:r w:rsidRPr="009C494E">
        <w:lastRenderedPageBreak/>
        <w:t>Сокращения</w:t>
      </w:r>
    </w:p>
    <w:p w:rsidR="002F00C1" w:rsidRPr="009C494E" w:rsidRDefault="002F00C1" w:rsidP="002F00C1">
      <w:pPr>
        <w:pStyle w:val="SingleTxtGR"/>
        <w:tabs>
          <w:tab w:val="clear" w:pos="1701"/>
        </w:tabs>
        <w:jc w:val="left"/>
      </w:pPr>
      <w:r w:rsidRPr="009C494E">
        <w:t>АусАИД</w:t>
      </w:r>
      <w:r w:rsidRPr="009C494E">
        <w:tab/>
        <w:t>Австралийское агентство по международному развитию</w:t>
      </w:r>
    </w:p>
    <w:p w:rsidR="002F00C1" w:rsidRPr="009C494E" w:rsidRDefault="002F00C1" w:rsidP="002F00C1">
      <w:pPr>
        <w:pStyle w:val="SingleTxtGR"/>
        <w:tabs>
          <w:tab w:val="clear" w:pos="1701"/>
        </w:tabs>
        <w:ind w:left="2268" w:hanging="1134"/>
        <w:jc w:val="left"/>
      </w:pPr>
      <w:r w:rsidRPr="009C494E">
        <w:t>КПП</w:t>
      </w:r>
      <w:r w:rsidRPr="009C494E">
        <w:tab/>
        <w:t xml:space="preserve">Конвенция против пыток и других жестоких, бесчеловечных </w:t>
      </w:r>
      <w:r w:rsidRPr="009C494E">
        <w:br/>
        <w:t>или унижающих достоинство видов обращения и наказания</w:t>
      </w:r>
    </w:p>
    <w:p w:rsidR="002F00C1" w:rsidRPr="009C494E" w:rsidRDefault="002F00C1" w:rsidP="002F00C1">
      <w:pPr>
        <w:pStyle w:val="SingleTxtGR"/>
        <w:tabs>
          <w:tab w:val="clear" w:pos="1701"/>
        </w:tabs>
        <w:jc w:val="left"/>
      </w:pPr>
      <w:r w:rsidRPr="009C494E">
        <w:t>РБО</w:t>
      </w:r>
      <w:r w:rsidRPr="009C494E">
        <w:tab/>
        <w:t xml:space="preserve">Реабилитация на базе общин </w:t>
      </w:r>
    </w:p>
    <w:p w:rsidR="002F00C1" w:rsidRPr="009C494E" w:rsidRDefault="002F00C1" w:rsidP="002F00C1">
      <w:pPr>
        <w:pStyle w:val="SingleTxtGR"/>
        <w:tabs>
          <w:tab w:val="clear" w:pos="1701"/>
        </w:tabs>
        <w:ind w:left="2268" w:hanging="1134"/>
        <w:jc w:val="left"/>
      </w:pPr>
      <w:r w:rsidRPr="009C494E">
        <w:t>КЛДОЖ</w:t>
      </w:r>
      <w:r w:rsidRPr="009C494E">
        <w:tab/>
        <w:t xml:space="preserve">Конвенция о ликвидации всех форм дискриминации </w:t>
      </w:r>
      <w:r w:rsidRPr="009C494E">
        <w:br/>
        <w:t>в отношении женщин</w:t>
      </w:r>
    </w:p>
    <w:p w:rsidR="002F00C1" w:rsidRPr="009C494E" w:rsidRDefault="002F00C1" w:rsidP="002F00C1">
      <w:pPr>
        <w:pStyle w:val="SingleTxtGR"/>
        <w:tabs>
          <w:tab w:val="clear" w:pos="1701"/>
        </w:tabs>
        <w:jc w:val="left"/>
      </w:pPr>
      <w:r w:rsidRPr="009C494E">
        <w:t>КПР</w:t>
      </w:r>
      <w:r w:rsidRPr="009C494E">
        <w:tab/>
        <w:t xml:space="preserve">Конвенция о правах ребенка </w:t>
      </w:r>
    </w:p>
    <w:p w:rsidR="002F00C1" w:rsidRPr="009C494E" w:rsidRDefault="002F00C1" w:rsidP="002F00C1">
      <w:pPr>
        <w:pStyle w:val="SingleTxtGR"/>
        <w:tabs>
          <w:tab w:val="clear" w:pos="1701"/>
        </w:tabs>
        <w:jc w:val="left"/>
      </w:pPr>
      <w:r w:rsidRPr="009C494E">
        <w:t>КПИ</w:t>
      </w:r>
      <w:r w:rsidRPr="009C494E">
        <w:tab/>
        <w:t>Конвенция о правах инвалидов</w:t>
      </w:r>
    </w:p>
    <w:p w:rsidR="002F00C1" w:rsidRPr="009C494E" w:rsidRDefault="002F00C1" w:rsidP="002F00C1">
      <w:pPr>
        <w:pStyle w:val="SingleTxtGR"/>
        <w:tabs>
          <w:tab w:val="clear" w:pos="1701"/>
        </w:tabs>
        <w:jc w:val="left"/>
      </w:pPr>
      <w:r w:rsidRPr="009C494E">
        <w:t>ОГО</w:t>
      </w:r>
      <w:r w:rsidRPr="009C494E">
        <w:tab/>
        <w:t>Организация гражданского общества</w:t>
      </w:r>
    </w:p>
    <w:p w:rsidR="002F00C1" w:rsidRPr="009C494E" w:rsidRDefault="002F00C1" w:rsidP="002F00C1">
      <w:pPr>
        <w:pStyle w:val="SingleTxtGR"/>
        <w:tabs>
          <w:tab w:val="clear" w:pos="1701"/>
        </w:tabs>
        <w:ind w:left="2268" w:hanging="1134"/>
        <w:jc w:val="left"/>
      </w:pPr>
      <w:r w:rsidRPr="009C494E">
        <w:t>АПЗИ</w:t>
      </w:r>
      <w:r w:rsidRPr="009C494E">
        <w:tab/>
        <w:t xml:space="preserve">Ассоциация по вопросам поддержки и защиты интересов </w:t>
      </w:r>
      <w:r w:rsidRPr="009C494E">
        <w:br/>
        <w:t>инвалидов</w:t>
      </w:r>
    </w:p>
    <w:p w:rsidR="002F00C1" w:rsidRPr="009C494E" w:rsidRDefault="002F00C1" w:rsidP="002F00C1">
      <w:pPr>
        <w:pStyle w:val="SingleTxtGR"/>
        <w:tabs>
          <w:tab w:val="clear" w:pos="1701"/>
        </w:tabs>
        <w:jc w:val="left"/>
      </w:pPr>
      <w:r w:rsidRPr="009C494E">
        <w:t>ОИ</w:t>
      </w:r>
      <w:r w:rsidRPr="009C494E">
        <w:tab/>
        <w:t>Организация инвалидов</w:t>
      </w:r>
    </w:p>
    <w:p w:rsidR="002F00C1" w:rsidRPr="009C494E" w:rsidRDefault="002F00C1" w:rsidP="002F00C1">
      <w:pPr>
        <w:pStyle w:val="SingleTxtGR"/>
        <w:tabs>
          <w:tab w:val="clear" w:pos="1701"/>
        </w:tabs>
        <w:ind w:left="2268" w:hanging="1134"/>
        <w:jc w:val="left"/>
      </w:pPr>
      <w:r w:rsidRPr="009C494E">
        <w:t>СФМИ</w:t>
      </w:r>
      <w:r w:rsidRPr="009C494E">
        <w:tab/>
        <w:t xml:space="preserve">Совещание Форума на уровне министров по вопросам </w:t>
      </w:r>
      <w:r w:rsidRPr="009C494E">
        <w:br/>
        <w:t xml:space="preserve">инвалидности </w:t>
      </w:r>
    </w:p>
    <w:p w:rsidR="002F00C1" w:rsidRPr="009C494E" w:rsidRDefault="002F00C1" w:rsidP="002F00C1">
      <w:pPr>
        <w:pStyle w:val="SingleTxtGR"/>
        <w:tabs>
          <w:tab w:val="clear" w:pos="1701"/>
        </w:tabs>
        <w:jc w:val="left"/>
      </w:pPr>
      <w:r w:rsidRPr="009C494E">
        <w:t>МПГПП</w:t>
      </w:r>
      <w:r w:rsidRPr="009C494E">
        <w:tab/>
        <w:t>Международный пакт о гражданских и политических правах</w:t>
      </w:r>
    </w:p>
    <w:p w:rsidR="002F00C1" w:rsidRPr="009C494E" w:rsidRDefault="002F00C1" w:rsidP="002F00C1">
      <w:pPr>
        <w:pStyle w:val="SingleTxtGR"/>
        <w:tabs>
          <w:tab w:val="clear" w:pos="1701"/>
        </w:tabs>
        <w:jc w:val="left"/>
      </w:pPr>
      <w:r w:rsidRPr="009C494E">
        <w:t>МОТ</w:t>
      </w:r>
      <w:r w:rsidRPr="009C494E">
        <w:tab/>
        <w:t xml:space="preserve">Международная организация труда </w:t>
      </w:r>
    </w:p>
    <w:p w:rsidR="002F00C1" w:rsidRPr="009C494E" w:rsidRDefault="002F00C1" w:rsidP="002F00C1">
      <w:pPr>
        <w:pStyle w:val="SingleTxtGR"/>
        <w:tabs>
          <w:tab w:val="clear" w:pos="1701"/>
        </w:tabs>
        <w:ind w:left="2268" w:hanging="1134"/>
        <w:jc w:val="left"/>
      </w:pPr>
      <w:r w:rsidRPr="009C494E">
        <w:t>ЦРДТ</w:t>
      </w:r>
      <w:r w:rsidRPr="009C494E">
        <w:tab/>
        <w:t xml:space="preserve">Цели в области развития, сформулированные в Декларации </w:t>
      </w:r>
      <w:r w:rsidRPr="009C494E">
        <w:br/>
        <w:t>тысячелетия</w:t>
      </w:r>
    </w:p>
    <w:p w:rsidR="002F00C1" w:rsidRPr="009C494E" w:rsidRDefault="002F00C1" w:rsidP="002F00C1">
      <w:pPr>
        <w:pStyle w:val="SingleTxtGR"/>
        <w:tabs>
          <w:tab w:val="clear" w:pos="1701"/>
        </w:tabs>
        <w:jc w:val="left"/>
      </w:pPr>
      <w:r w:rsidRPr="009C494E">
        <w:t>MФЭ</w:t>
      </w:r>
      <w:r w:rsidRPr="009C494E">
        <w:tab/>
        <w:t>Министерство финансов и экономики</w:t>
      </w:r>
    </w:p>
    <w:p w:rsidR="002F00C1" w:rsidRPr="009C494E" w:rsidRDefault="002F00C1" w:rsidP="002F00C1">
      <w:pPr>
        <w:pStyle w:val="SingleTxtGR"/>
        <w:tabs>
          <w:tab w:val="clear" w:pos="1701"/>
        </w:tabs>
        <w:jc w:val="left"/>
      </w:pPr>
      <w:r w:rsidRPr="009C494E">
        <w:t>MВД</w:t>
      </w:r>
      <w:r w:rsidRPr="009C494E">
        <w:tab/>
        <w:t>Министерство внутренних дел</w:t>
      </w:r>
    </w:p>
    <w:p w:rsidR="002F00C1" w:rsidRPr="009C494E" w:rsidRDefault="002F00C1" w:rsidP="002F00C1">
      <w:pPr>
        <w:pStyle w:val="SingleTxtGR"/>
        <w:tabs>
          <w:tab w:val="clear" w:pos="1701"/>
        </w:tabs>
        <w:jc w:val="left"/>
      </w:pPr>
      <w:r>
        <w:t>Mинобр</w:t>
      </w:r>
      <w:r>
        <w:tab/>
        <w:t>Министерство образования</w:t>
      </w:r>
    </w:p>
    <w:p w:rsidR="002F00C1" w:rsidRPr="009C494E" w:rsidRDefault="002F00C1" w:rsidP="002F00C1">
      <w:pPr>
        <w:pStyle w:val="SingleTxtGR"/>
        <w:tabs>
          <w:tab w:val="clear" w:pos="1701"/>
        </w:tabs>
        <w:jc w:val="left"/>
      </w:pPr>
      <w:r w:rsidRPr="009C494E">
        <w:t>НПД</w:t>
      </w:r>
      <w:r w:rsidRPr="009C494E">
        <w:tab/>
        <w:t>Национал</w:t>
      </w:r>
      <w:r>
        <w:t>ьная политика в интересах детей</w:t>
      </w:r>
    </w:p>
    <w:p w:rsidR="002F00C1" w:rsidRPr="009C494E" w:rsidRDefault="002F00C1" w:rsidP="002F00C1">
      <w:pPr>
        <w:pStyle w:val="SingleTxtGR"/>
        <w:tabs>
          <w:tab w:val="clear" w:pos="1701"/>
        </w:tabs>
        <w:ind w:left="2268" w:hanging="1134"/>
        <w:jc w:val="left"/>
      </w:pPr>
      <w:r w:rsidRPr="009C494E">
        <w:t>НПИПД</w:t>
      </w:r>
      <w:r w:rsidRPr="009C494E">
        <w:tab/>
        <w:t xml:space="preserve">Национальная политика в отношении инвалидов </w:t>
      </w:r>
      <w:r w:rsidRPr="009C494E">
        <w:br/>
        <w:t>и План действий</w:t>
      </w:r>
    </w:p>
    <w:p w:rsidR="002F00C1" w:rsidRPr="009C494E" w:rsidRDefault="002F00C1" w:rsidP="002F00C1">
      <w:pPr>
        <w:pStyle w:val="SingleTxtGR"/>
        <w:tabs>
          <w:tab w:val="clear" w:pos="1701"/>
        </w:tabs>
        <w:jc w:val="left"/>
      </w:pPr>
      <w:r w:rsidRPr="009C494E">
        <w:t>НПО</w:t>
      </w:r>
      <w:r w:rsidRPr="009C494E">
        <w:tab/>
        <w:t>Неправительственная организация</w:t>
      </w:r>
    </w:p>
    <w:p w:rsidR="002F00C1" w:rsidRPr="009C494E" w:rsidRDefault="002F00C1" w:rsidP="002F00C1">
      <w:pPr>
        <w:pStyle w:val="SingleTxtGR"/>
        <w:tabs>
          <w:tab w:val="clear" w:pos="1701"/>
        </w:tabs>
        <w:jc w:val="left"/>
      </w:pPr>
      <w:r w:rsidRPr="009C494E">
        <w:t>НСУВ</w:t>
      </w:r>
      <w:r w:rsidRPr="009C494E">
        <w:tab/>
        <w:t>Национальное статистическое управление Вануату</w:t>
      </w:r>
    </w:p>
    <w:p w:rsidR="002F00C1" w:rsidRPr="009C494E" w:rsidRDefault="002F00C1" w:rsidP="002F00C1">
      <w:pPr>
        <w:pStyle w:val="SingleTxtGR"/>
        <w:tabs>
          <w:tab w:val="clear" w:pos="1701"/>
        </w:tabs>
        <w:jc w:val="left"/>
      </w:pPr>
      <w:r w:rsidRPr="009C494E">
        <w:t>НЗАИД</w:t>
      </w:r>
      <w:r w:rsidRPr="009C494E">
        <w:tab/>
        <w:t xml:space="preserve">Агентство Новой Зеландии по международному развитию </w:t>
      </w:r>
    </w:p>
    <w:p w:rsidR="002F00C1" w:rsidRPr="009C494E" w:rsidRDefault="002F00C1" w:rsidP="002F00C1">
      <w:pPr>
        <w:pStyle w:val="SingleTxtGR"/>
        <w:tabs>
          <w:tab w:val="clear" w:pos="1701"/>
        </w:tabs>
        <w:ind w:left="2268" w:hanging="1134"/>
        <w:jc w:val="left"/>
      </w:pPr>
      <w:r w:rsidRPr="009C494E">
        <w:t>ФПВК</w:t>
      </w:r>
      <w:r w:rsidRPr="009C494E">
        <w:tab/>
        <w:t xml:space="preserve">Факультативный протокол к Конвенции о правах ребенка, </w:t>
      </w:r>
      <w:r w:rsidRPr="009C494E">
        <w:br/>
        <w:t>касающийся участия детей в вооруженных конфликтах</w:t>
      </w:r>
    </w:p>
    <w:p w:rsidR="002F00C1" w:rsidRPr="009C494E" w:rsidRDefault="002F00C1" w:rsidP="002F00C1">
      <w:pPr>
        <w:pStyle w:val="SingleTxtGR"/>
        <w:tabs>
          <w:tab w:val="clear" w:pos="1701"/>
        </w:tabs>
        <w:ind w:left="2268" w:hanging="1134"/>
        <w:jc w:val="left"/>
      </w:pPr>
      <w:r w:rsidRPr="009C494E">
        <w:t>ФПТД</w:t>
      </w:r>
      <w:r w:rsidRPr="009C494E">
        <w:tab/>
        <w:t xml:space="preserve">Факультативный протокол к Конвенции о правах ребенка, </w:t>
      </w:r>
      <w:r w:rsidRPr="009C494E">
        <w:br/>
        <w:t xml:space="preserve">касающийся торговли детьми, детской проституции </w:t>
      </w:r>
      <w:r w:rsidRPr="009C494E">
        <w:br/>
        <w:t>и детской порнографии</w:t>
      </w:r>
    </w:p>
    <w:p w:rsidR="002F00C1" w:rsidRPr="009C494E" w:rsidRDefault="002F00C1" w:rsidP="002F00C1">
      <w:pPr>
        <w:pStyle w:val="SingleTxtGR"/>
        <w:tabs>
          <w:tab w:val="clear" w:pos="1701"/>
        </w:tabs>
        <w:jc w:val="left"/>
      </w:pPr>
      <w:r w:rsidRPr="009C494E">
        <w:t>СФОТО</w:t>
      </w:r>
      <w:r w:rsidRPr="009C494E">
        <w:tab/>
        <w:t>Секретариат Форума островов Тихого океана</w:t>
      </w:r>
    </w:p>
    <w:p w:rsidR="002F00C1" w:rsidRPr="009C494E" w:rsidRDefault="002F00C1" w:rsidP="002F00C1">
      <w:pPr>
        <w:pStyle w:val="SingleTxtGR"/>
        <w:tabs>
          <w:tab w:val="clear" w:pos="1701"/>
        </w:tabs>
        <w:ind w:left="2268" w:hanging="1134"/>
        <w:jc w:val="left"/>
      </w:pPr>
      <w:r w:rsidRPr="009C494E">
        <w:t>ТРСИ</w:t>
      </w:r>
      <w:r w:rsidRPr="009C494E">
        <w:tab/>
        <w:t xml:space="preserve">Тихоокеанская региональная стратегия по вопросам </w:t>
      </w:r>
      <w:r w:rsidRPr="009C494E">
        <w:br/>
        <w:t>инвалидности</w:t>
      </w:r>
    </w:p>
    <w:p w:rsidR="002F00C1" w:rsidRPr="009C494E" w:rsidRDefault="002F00C1" w:rsidP="002F00C1">
      <w:pPr>
        <w:pStyle w:val="SingleTxtGR"/>
        <w:tabs>
          <w:tab w:val="clear" w:pos="1701"/>
        </w:tabs>
        <w:jc w:val="left"/>
      </w:pPr>
      <w:r w:rsidRPr="009C494E">
        <w:t>РГПР</w:t>
      </w:r>
      <w:r w:rsidRPr="009C494E">
        <w:tab/>
        <w:t>Региональная группа по правозащитным ресурсам</w:t>
      </w:r>
    </w:p>
    <w:p w:rsidR="002F00C1" w:rsidRPr="009C494E" w:rsidRDefault="002F00C1" w:rsidP="002F00C1">
      <w:pPr>
        <w:pStyle w:val="SingleTxtGR"/>
        <w:tabs>
          <w:tab w:val="clear" w:pos="1701"/>
        </w:tabs>
        <w:jc w:val="left"/>
      </w:pPr>
      <w:r w:rsidRPr="009C494E">
        <w:t>АПС</w:t>
      </w:r>
      <w:r w:rsidRPr="009C494E">
        <w:tab/>
        <w:t>Ассоциация «Плюмерия» в провинции Санма</w:t>
      </w:r>
    </w:p>
    <w:p w:rsidR="002F00C1" w:rsidRPr="009C494E" w:rsidRDefault="002F00C1" w:rsidP="002F00C1">
      <w:pPr>
        <w:pStyle w:val="SingleTxtGR"/>
        <w:tabs>
          <w:tab w:val="clear" w:pos="1701"/>
        </w:tabs>
        <w:jc w:val="left"/>
      </w:pPr>
      <w:r w:rsidRPr="009C494E">
        <w:t>СТС</w:t>
      </w:r>
      <w:r w:rsidRPr="009C494E">
        <w:tab/>
        <w:t>Секретариат Тихоокеанского сообщества</w:t>
      </w:r>
    </w:p>
    <w:p w:rsidR="002F00C1" w:rsidRPr="009C494E" w:rsidRDefault="002F00C1" w:rsidP="002F00C1">
      <w:pPr>
        <w:pStyle w:val="SingleTxtGR"/>
        <w:tabs>
          <w:tab w:val="clear" w:pos="1701"/>
        </w:tabs>
        <w:jc w:val="left"/>
      </w:pPr>
      <w:r w:rsidRPr="009C494E">
        <w:t>ВДПЧ</w:t>
      </w:r>
      <w:r w:rsidRPr="009C494E">
        <w:tab/>
        <w:t>Всеобщая декларация прав человека</w:t>
      </w:r>
    </w:p>
    <w:p w:rsidR="002F00C1" w:rsidRPr="009C494E" w:rsidRDefault="002F00C1" w:rsidP="002F00C1">
      <w:pPr>
        <w:pStyle w:val="SingleTxtGR"/>
        <w:tabs>
          <w:tab w:val="clear" w:pos="1701"/>
        </w:tabs>
        <w:jc w:val="left"/>
      </w:pPr>
      <w:r w:rsidRPr="009C494E">
        <w:t>ОИВ</w:t>
      </w:r>
      <w:r w:rsidRPr="009C494E">
        <w:tab/>
        <w:t>Общество инвалидов Вануату</w:t>
      </w:r>
    </w:p>
    <w:p w:rsidR="002F00C1" w:rsidRPr="009C494E" w:rsidRDefault="002F00C1" w:rsidP="002F00C1">
      <w:pPr>
        <w:pStyle w:val="HChGR"/>
      </w:pPr>
      <w:r w:rsidRPr="009C494E">
        <w:br w:type="page"/>
      </w:r>
      <w:r w:rsidRPr="009C494E">
        <w:lastRenderedPageBreak/>
        <w:tab/>
      </w:r>
      <w:r w:rsidRPr="009C494E">
        <w:tab/>
        <w:t>Введение</w:t>
      </w:r>
    </w:p>
    <w:p w:rsidR="002F00C1" w:rsidRPr="009C494E" w:rsidRDefault="002F00C1" w:rsidP="002F00C1">
      <w:pPr>
        <w:pStyle w:val="SingleTxtGR"/>
      </w:pPr>
      <w:r w:rsidRPr="009C494E">
        <w:t>1.</w:t>
      </w:r>
      <w:r w:rsidRPr="009C494E">
        <w:tab/>
        <w:t xml:space="preserve">Правительство Вануату имеет честь представить Комитету Организации Объединенных Наций по правам инвалидов первоначальный доклад Вануату в соответствии с </w:t>
      </w:r>
      <w:r w:rsidRPr="009C494E">
        <w:rPr>
          <w:i/>
        </w:rPr>
        <w:t>Конвенцией о правах инвалидов</w:t>
      </w:r>
      <w:r w:rsidRPr="009C494E">
        <w:t>. Вануату ратифицировало Конвенцию о правах инвалидов без всяких оговорок в рамках имеющейся юрисдикции 23 июня 2008 года. Став участником Конвенции, правительство Вануату подтвердило свою приверженность делу улучшения положения инвалидов в</w:t>
      </w:r>
      <w:r>
        <w:t> </w:t>
      </w:r>
      <w:r w:rsidRPr="009C494E">
        <w:t>Вануату. При прочтении настоящего доклада наряду с общим базовым документом Вануату можно убедиться в приверженности Вануату соблюдению прав инвалидов. Правительство прилагает значительные усилия к обеспечению того, чтобы инвалиды в Вануату могли в полной мере пользоваться наравне с другими жителями страны всеми правами человека и основными свободами в соответствии с Конвенцией. Настоящий доклад свидетельствует о том, что правительство Вануату стремится использовать все возможности для обеспечения эффективного осуществления Конвенции в Вануату и уважения и поощрения неотъемлемого достоинства инвалидов.</w:t>
      </w:r>
    </w:p>
    <w:p w:rsidR="002F00C1" w:rsidRPr="009C494E" w:rsidRDefault="002F00C1" w:rsidP="002F00C1">
      <w:pPr>
        <w:pStyle w:val="H23GR"/>
      </w:pPr>
      <w:r w:rsidRPr="009C494E">
        <w:tab/>
      </w:r>
      <w:r w:rsidRPr="009C494E">
        <w:tab/>
        <w:t>Международные конвенции</w:t>
      </w:r>
    </w:p>
    <w:p w:rsidR="002F00C1" w:rsidRPr="009C494E" w:rsidRDefault="002F00C1" w:rsidP="002F00C1">
      <w:pPr>
        <w:pStyle w:val="SingleTxtGR"/>
      </w:pPr>
      <w:r w:rsidRPr="009C494E">
        <w:t>2.</w:t>
      </w:r>
      <w:r w:rsidRPr="009C494E">
        <w:tab/>
        <w:t>Правительство Вануату ратифицировало без каких-либо оговорок следующие международные конвенции о правах человека:</w:t>
      </w:r>
    </w:p>
    <w:p w:rsidR="002F00C1" w:rsidRPr="009C494E" w:rsidRDefault="002F00C1" w:rsidP="002F00C1">
      <w:pPr>
        <w:pStyle w:val="Bullet1GR"/>
      </w:pPr>
      <w:r w:rsidRPr="009C494E">
        <w:t>Конвенцию о правах ребенка (КПР) в 1993 году;</w:t>
      </w:r>
    </w:p>
    <w:p w:rsidR="002F00C1" w:rsidRPr="009C494E" w:rsidRDefault="002F00C1" w:rsidP="002F00C1">
      <w:pPr>
        <w:pStyle w:val="Bullet1GR"/>
      </w:pPr>
      <w:r w:rsidRPr="009C494E">
        <w:t>Факультативный протокол к Конвенции о правах ребенка, касающийся участия детей в вооруженных конфликтах (ФПВК), в 2007 году;</w:t>
      </w:r>
    </w:p>
    <w:p w:rsidR="002F00C1" w:rsidRPr="009C494E" w:rsidRDefault="002F00C1" w:rsidP="002F00C1">
      <w:pPr>
        <w:pStyle w:val="Bullet1GR"/>
      </w:pPr>
      <w:r w:rsidRPr="009C494E">
        <w:t>Факультативный протокол, касающийся торговли детьми, детской проституции и детской порнографии (ФПТД), в 2007 году;</w:t>
      </w:r>
    </w:p>
    <w:p w:rsidR="002F00C1" w:rsidRPr="009C494E" w:rsidRDefault="002F00C1" w:rsidP="002F00C1">
      <w:pPr>
        <w:pStyle w:val="Bullet1GR"/>
      </w:pPr>
      <w:r w:rsidRPr="009C494E">
        <w:t>Конвенцию о ликвидации всех форм дискриминации в отношении женщин (КЛДЖ) в 1995 году;</w:t>
      </w:r>
    </w:p>
    <w:p w:rsidR="002F00C1" w:rsidRPr="009C494E" w:rsidRDefault="002F00C1" w:rsidP="002F00C1">
      <w:pPr>
        <w:pStyle w:val="Bullet1GR"/>
      </w:pPr>
      <w:r w:rsidRPr="009C494E">
        <w:t>Международный пакт о гражданских и политических правах (МПГПП) в 2008 году;</w:t>
      </w:r>
    </w:p>
    <w:p w:rsidR="002F00C1" w:rsidRPr="009C494E" w:rsidRDefault="002F00C1" w:rsidP="002F00C1">
      <w:pPr>
        <w:pStyle w:val="Bullet1GR"/>
      </w:pPr>
      <w:r w:rsidRPr="009C494E">
        <w:t>Конвенцию против пыток и других жестоких, бесчеловечных или унижающих достоинство видов обращения и наказания (КПП) в 2011 году;</w:t>
      </w:r>
    </w:p>
    <w:p w:rsidR="002F00C1" w:rsidRPr="009C494E" w:rsidRDefault="002F00C1" w:rsidP="002F00C1">
      <w:pPr>
        <w:pStyle w:val="Bullet1GR"/>
      </w:pPr>
      <w:r w:rsidRPr="009C494E">
        <w:t>Правительство Вануату подписало Международную конвенцию о защите всех лиц от насильственных исчезновений в 2007 году.</w:t>
      </w:r>
    </w:p>
    <w:p w:rsidR="002F00C1" w:rsidRPr="009C494E" w:rsidRDefault="002F00C1" w:rsidP="002F00C1">
      <w:pPr>
        <w:pStyle w:val="H23GR"/>
      </w:pPr>
      <w:r w:rsidRPr="009C494E">
        <w:tab/>
      </w:r>
      <w:r w:rsidRPr="009C494E">
        <w:tab/>
        <w:t>Подготовка и структура доклада</w:t>
      </w:r>
    </w:p>
    <w:p w:rsidR="002F00C1" w:rsidRPr="009C494E" w:rsidRDefault="002F00C1" w:rsidP="002F00C1">
      <w:pPr>
        <w:pStyle w:val="SingleTxtGR"/>
      </w:pPr>
      <w:r w:rsidRPr="009C494E">
        <w:t>3.</w:t>
      </w:r>
      <w:r w:rsidRPr="009C494E">
        <w:tab/>
        <w:t xml:space="preserve">Настоящий доклад был подготовлен в соответствии с </w:t>
      </w:r>
      <w:r w:rsidRPr="0042241A">
        <w:rPr>
          <w:i/>
          <w:iCs/>
        </w:rPr>
        <w:t>руководящими</w:t>
      </w:r>
      <w:r w:rsidRPr="009C494E">
        <w:t xml:space="preserve"> </w:t>
      </w:r>
      <w:r w:rsidRPr="0042241A">
        <w:rPr>
          <w:i/>
          <w:iCs/>
        </w:rPr>
        <w:t>принципами</w:t>
      </w:r>
      <w:r w:rsidRPr="009C494E">
        <w:t xml:space="preserve"> Комитета, </w:t>
      </w:r>
      <w:r w:rsidRPr="0042241A">
        <w:rPr>
          <w:i/>
          <w:iCs/>
        </w:rPr>
        <w:t>касающимися подготовки</w:t>
      </w:r>
      <w:r w:rsidRPr="009C494E">
        <w:t xml:space="preserve"> документа по конкретному договору, который должен представляться государствами-участниками в соответствии с пунктом 1 статьи 35 Конвенции о правах инвалидов и Согласованными руководящими принципами представления докладов согласно международным договорам о правах человека, включая руководящие принципы подготовки общего базового документа и целевых документов по конкретным договорам. Настоящий доклад следует читать вместе с общим базовым документом. В докладе освещается достигнутый прогресс, в том числе в том, что касается мер, принятых в целом ряде областей различными государственными министерствами, а также в том, что касается консультаций, проведенных во всех шести провинциях Вануату в целях выявления трудностей, которые препятствуют полному участию инвалидов в жизни общества в Вануату. Доклад содержит подробную информацию о ходе осуществления статей 1–33 Конвенции. </w:t>
      </w:r>
    </w:p>
    <w:p w:rsidR="002F00C1" w:rsidRPr="009C494E" w:rsidRDefault="002F00C1" w:rsidP="002F00C1">
      <w:pPr>
        <w:pStyle w:val="SingleTxtGR"/>
      </w:pPr>
      <w:r w:rsidRPr="009C494E">
        <w:t>4.</w:t>
      </w:r>
      <w:r w:rsidRPr="009C494E">
        <w:tab/>
        <w:t>К числу основных международных событий, приведших к принятию деклараций, заявлений, конвенций и других мер, которые легли в основу рекомен</w:t>
      </w:r>
      <w:r w:rsidRPr="009C494E">
        <w:lastRenderedPageBreak/>
        <w:t>дованных стратегий и приоритетных направлений деятельности в Вануату, относятся следующие:</w:t>
      </w:r>
    </w:p>
    <w:p w:rsidR="002F00C1" w:rsidRPr="009C494E" w:rsidRDefault="002F00C1" w:rsidP="002F00C1">
      <w:pPr>
        <w:pStyle w:val="Bullet1GR"/>
      </w:pPr>
      <w:r w:rsidRPr="009C494E">
        <w:t xml:space="preserve">Конвенция Международной организации труда № 159 о профессиональной реабилитации и занятости инвалидов (1983 год); </w:t>
      </w:r>
    </w:p>
    <w:p w:rsidR="002F00C1" w:rsidRPr="009C494E" w:rsidRDefault="002F00C1" w:rsidP="002F00C1">
      <w:pPr>
        <w:pStyle w:val="Bullet1GR"/>
      </w:pPr>
      <w:r w:rsidRPr="009C494E">
        <w:t>Конвенция о правах ребенка (ратифицирована в 1993 году);</w:t>
      </w:r>
    </w:p>
    <w:p w:rsidR="002F00C1" w:rsidRPr="009C494E" w:rsidRDefault="002F00C1" w:rsidP="002F00C1">
      <w:pPr>
        <w:pStyle w:val="Bullet1GR"/>
      </w:pPr>
      <w:r w:rsidRPr="009C494E">
        <w:t>Конвенция о ликвидации всех форм дискриминации в отношении женщин (1995 год)</w:t>
      </w:r>
      <w:r w:rsidR="0042241A">
        <w:t>;</w:t>
      </w:r>
    </w:p>
    <w:p w:rsidR="002F00C1" w:rsidRPr="009C494E" w:rsidRDefault="002F00C1" w:rsidP="002F00C1">
      <w:pPr>
        <w:pStyle w:val="Bullet1GR"/>
      </w:pPr>
      <w:r w:rsidRPr="009C494E">
        <w:t xml:space="preserve">Декларация ЭСКАТО об Азиатско-тихоокеанском десятилетии инвалидов, 1993–2002 годы (1992 год); </w:t>
      </w:r>
    </w:p>
    <w:p w:rsidR="002F00C1" w:rsidRPr="009C494E" w:rsidRDefault="002F00C1" w:rsidP="002F00C1">
      <w:pPr>
        <w:pStyle w:val="Bullet1GR"/>
      </w:pPr>
      <w:r w:rsidRPr="009C494E">
        <w:t xml:space="preserve">Стандартные правила обеспечения равных возможностей для инвалидов Организации Объединенных Наций (1993 год); </w:t>
      </w:r>
    </w:p>
    <w:p w:rsidR="002F00C1" w:rsidRPr="009C494E" w:rsidRDefault="002F00C1" w:rsidP="002F00C1">
      <w:pPr>
        <w:pStyle w:val="Bullet1GR"/>
      </w:pPr>
      <w:r w:rsidRPr="009C494E">
        <w:t>Саламанкская декларация и Рамки действий по образованию лиц с особыми потребностями (1994 год);</w:t>
      </w:r>
    </w:p>
    <w:p w:rsidR="002F00C1" w:rsidRPr="009C494E" w:rsidRDefault="002F00C1" w:rsidP="002F00C1">
      <w:pPr>
        <w:pStyle w:val="Bullet1GR"/>
      </w:pPr>
      <w:r w:rsidRPr="009C494E">
        <w:t>Дакарские рамки действий: Образование для всех (2000 год);</w:t>
      </w:r>
    </w:p>
    <w:p w:rsidR="002F00C1" w:rsidRPr="009C494E" w:rsidRDefault="002F00C1" w:rsidP="002F00C1">
      <w:pPr>
        <w:pStyle w:val="Bullet1GR"/>
      </w:pPr>
      <w:r w:rsidRPr="009C494E">
        <w:t>Резолюция ЭСКАТО о продлении Азиатско-тихоокеанского десятилетия инвалидов на 2003–2012 годы (резолюция 58/4) (2002 год);</w:t>
      </w:r>
    </w:p>
    <w:p w:rsidR="002F00C1" w:rsidRPr="009C494E" w:rsidRDefault="002F00C1" w:rsidP="002F00C1">
      <w:pPr>
        <w:pStyle w:val="Bullet1GR"/>
      </w:pPr>
      <w:r w:rsidRPr="009C494E">
        <w:t>Одобрение главами государств Тихоокеанского форума Бивакоской основы для действий на пороге тысячелетия и ее последующее включение в Тихоокеанский план действий (2002 год); и</w:t>
      </w:r>
    </w:p>
    <w:p w:rsidR="002F00C1" w:rsidRPr="009C494E" w:rsidRDefault="002F00C1" w:rsidP="002F00C1">
      <w:pPr>
        <w:pStyle w:val="Bullet1GR"/>
      </w:pPr>
      <w:r w:rsidRPr="009C494E">
        <w:t>Конвенция о правах инвалидов (2008 год).</w:t>
      </w:r>
    </w:p>
    <w:p w:rsidR="002F00C1" w:rsidRPr="009C494E" w:rsidRDefault="002F00C1" w:rsidP="002F00C1">
      <w:pPr>
        <w:pStyle w:val="SingleTxtGR"/>
      </w:pPr>
      <w:r w:rsidRPr="009C494E">
        <w:t>5.</w:t>
      </w:r>
      <w:r w:rsidRPr="009C494E">
        <w:tab/>
        <w:t>В докладе также рассматриваются Национальная политика в отношении инвалидов и План действий на 2008–2015 годы (НПИПД) и другие региональные обязательства в области инвалидности, включая:</w:t>
      </w:r>
    </w:p>
    <w:p w:rsidR="002F00C1" w:rsidRPr="009C494E" w:rsidRDefault="002F00C1" w:rsidP="002F00C1">
      <w:pPr>
        <w:pStyle w:val="Bullet1GR"/>
      </w:pPr>
      <w:r w:rsidRPr="009C494E">
        <w:t>Тихоокеанскую региональную стратегию по вопросам инвалидности;</w:t>
      </w:r>
    </w:p>
    <w:p w:rsidR="002F00C1" w:rsidRPr="009C494E" w:rsidRDefault="002F00C1" w:rsidP="002F00C1">
      <w:pPr>
        <w:pStyle w:val="Bullet1GR"/>
      </w:pPr>
      <w:r w:rsidRPr="009C494E">
        <w:t xml:space="preserve">Тихоокеанскую рамочную программу в области образования и Бивакоскую основу для действий на пороге тысячелетия. </w:t>
      </w:r>
    </w:p>
    <w:p w:rsidR="002F00C1" w:rsidRPr="009C494E" w:rsidRDefault="002F00C1" w:rsidP="002F00C1">
      <w:pPr>
        <w:pStyle w:val="H23GR"/>
      </w:pPr>
      <w:r w:rsidRPr="009C494E">
        <w:tab/>
      </w:r>
      <w:r w:rsidRPr="009C494E">
        <w:tab/>
        <w:t>Консультации с заинтересованными сторонами</w:t>
      </w:r>
    </w:p>
    <w:p w:rsidR="002F00C1" w:rsidRPr="009C494E" w:rsidRDefault="002F00C1" w:rsidP="002F00C1">
      <w:pPr>
        <w:pStyle w:val="SingleTxtGR"/>
      </w:pPr>
      <w:r w:rsidRPr="009C494E">
        <w:t>6.</w:t>
      </w:r>
      <w:r w:rsidRPr="009C494E">
        <w:tab/>
        <w:t>Процесс консультаций в рамках подготовки настоящего доклада начался в феврале 2013 года с участием государственных министерств, неправительственных организаций и частного сектора как в Порт-Виле, так и на отдаленных островах посредством проведения углубленных собеседований и целенаправленных групповых обсуждений по вопросам инвалидности.</w:t>
      </w:r>
    </w:p>
    <w:p w:rsidR="002F00C1" w:rsidRPr="009C494E" w:rsidRDefault="002F00C1" w:rsidP="002F00C1">
      <w:pPr>
        <w:pStyle w:val="SingleTxtGR"/>
      </w:pPr>
      <w:r w:rsidRPr="009C494E">
        <w:t>7.</w:t>
      </w:r>
      <w:r w:rsidRPr="009C494E">
        <w:tab/>
        <w:t>С большей часть</w:t>
      </w:r>
      <w:r>
        <w:t>ю</w:t>
      </w:r>
      <w:r w:rsidRPr="009C494E">
        <w:t xml:space="preserve"> государственных министерств, неправительственных организаций и организаций инвалидов была проведена общенациональная консультация в целях подробного информирования заинтересованных сторон о требованиях Конвенции. В ходе подготовки настоящего доклада техническая поддержка была предоставлена секретариатом Форума тихоокеанских островов (СФТО) и Южно-Тихоокеанским сообществом/Региональной группой по правозащитным ресурсам (ЮТС/РГПР).</w:t>
      </w:r>
    </w:p>
    <w:p w:rsidR="002F00C1" w:rsidRPr="009C494E" w:rsidRDefault="002F00C1" w:rsidP="002F00C1">
      <w:pPr>
        <w:pStyle w:val="H23GR"/>
      </w:pPr>
      <w:r w:rsidRPr="009C494E">
        <w:tab/>
      </w:r>
      <w:r w:rsidRPr="009C494E">
        <w:tab/>
        <w:t>Положение с Факультативным протоколом</w:t>
      </w:r>
    </w:p>
    <w:p w:rsidR="002F00C1" w:rsidRPr="009C494E" w:rsidRDefault="002F00C1" w:rsidP="002F00C1">
      <w:pPr>
        <w:pStyle w:val="SingleTxtGR"/>
      </w:pPr>
      <w:r w:rsidRPr="009C494E">
        <w:t>8.</w:t>
      </w:r>
      <w:r w:rsidRPr="009C494E">
        <w:tab/>
        <w:t>Факультативный протокол к Конвенции о правах инвалидов до сих пор не подписан и не ратифицирован Вануату. В настоящее время в Национальной политике в отношении инвалидов и Плане действий не предусмотрены никакие действия в этом отношении.</w:t>
      </w:r>
    </w:p>
    <w:p w:rsidR="002F00C1" w:rsidRPr="009C494E" w:rsidRDefault="002F00C1" w:rsidP="002F00C1">
      <w:pPr>
        <w:pStyle w:val="H1GR"/>
      </w:pPr>
      <w:r w:rsidRPr="009C494E">
        <w:lastRenderedPageBreak/>
        <w:tab/>
      </w:r>
      <w:r w:rsidRPr="009C494E">
        <w:tab/>
        <w:t>Справочная информация о Вануату</w:t>
      </w:r>
    </w:p>
    <w:p w:rsidR="002F00C1" w:rsidRPr="009C494E" w:rsidRDefault="002F00C1" w:rsidP="002F00C1">
      <w:pPr>
        <w:pStyle w:val="SingleTxtGR"/>
        <w:spacing w:line="230" w:lineRule="atLeast"/>
      </w:pPr>
      <w:r w:rsidRPr="009C494E">
        <w:t>9.</w:t>
      </w:r>
      <w:r w:rsidRPr="009C494E">
        <w:tab/>
        <w:t>Вануату, что означает «наша земля», управлялось совместно Великобританией и Францией на протяжении 74 лет. Эта территория была иначе известна как англо-французский Кондоминиум. Известная также ранее как «Новые Гебриды», она получила независимость 30 июля 1980 года как суверенное демократическое государство</w:t>
      </w:r>
      <w:r w:rsidRPr="009C494E">
        <w:rPr>
          <w:rStyle w:val="FootnoteReference"/>
        </w:rPr>
        <w:footnoteReference w:id="2"/>
      </w:r>
      <w:r w:rsidRPr="009C494E">
        <w:t>. Имеющий форму английской буквы Y архипелаг Вануату простирается на более 1 300 километров в центре прямоугольной территории, очерченной Фиджи (на востоке), Австралией (на западе), Соломоновыми Островами (на севере) и Новой Каледонией (на юге). 83 острова, из которых 65 обитаемы, имеют общую площадь суши в размере 12 281 километра и расположены между 13° и 21° южной широты и 165° и 170° восточной долготы</w:t>
      </w:r>
      <w:r w:rsidRPr="009C494E">
        <w:rPr>
          <w:rStyle w:val="FootnoteReference"/>
        </w:rPr>
        <w:footnoteReference w:id="3"/>
      </w:r>
      <w:r w:rsidRPr="009C494E">
        <w:t>.</w:t>
      </w:r>
    </w:p>
    <w:p w:rsidR="002F00C1" w:rsidRPr="009C494E" w:rsidRDefault="002F00C1" w:rsidP="0042241A">
      <w:pPr>
        <w:pStyle w:val="SingleTxtGR"/>
        <w:spacing w:line="230" w:lineRule="atLeast"/>
      </w:pPr>
      <w:r w:rsidRPr="009C494E">
        <w:t>10.</w:t>
      </w:r>
      <w:r w:rsidRPr="009C494E">
        <w:tab/>
        <w:t xml:space="preserve">В 1994 году в стране была проведена реорганизация, и в соответствии с Законом о децентрализации вместо 11 островных советов были созданы </w:t>
      </w:r>
      <w:r w:rsidRPr="009C494E">
        <w:br/>
        <w:t>шесть провинций</w:t>
      </w:r>
      <w:r w:rsidRPr="009C494E">
        <w:rPr>
          <w:rStyle w:val="FootnoteReference"/>
        </w:rPr>
        <w:footnoteReference w:id="4"/>
      </w:r>
      <w:r w:rsidRPr="009C494E">
        <w:t>. Названия этих провинций были образованы из начальных букв входящих в их состав основных островов</w:t>
      </w:r>
      <w:r w:rsidR="0042241A" w:rsidRPr="009C494E">
        <w:rPr>
          <w:rStyle w:val="FootnoteReference"/>
        </w:rPr>
        <w:footnoteReference w:id="5"/>
      </w:r>
      <w:r w:rsidRPr="009C494E">
        <w:t xml:space="preserve"> (в общей сложности 17 островов). Двумя самыми крупными городами Вануату являются Порт-Вила – столица, – который находится на острове Эфате, и Люганвиль, который находится на острове Эспириту-Санто.</w:t>
      </w:r>
    </w:p>
    <w:p w:rsidR="002F00C1" w:rsidRPr="009C494E" w:rsidRDefault="002F00C1" w:rsidP="0042241A">
      <w:pPr>
        <w:pStyle w:val="SingleTxtGR"/>
        <w:spacing w:line="230" w:lineRule="atLeast"/>
      </w:pPr>
      <w:r w:rsidRPr="009C494E">
        <w:t>11.</w:t>
      </w:r>
      <w:r w:rsidRPr="009C494E">
        <w:tab/>
        <w:t>В соответствии с Законом о муниципалитетах</w:t>
      </w:r>
      <w:r w:rsidR="0042241A" w:rsidRPr="009C494E">
        <w:rPr>
          <w:rStyle w:val="FootnoteReference"/>
        </w:rPr>
        <w:footnoteReference w:id="6"/>
      </w:r>
      <w:r w:rsidRPr="009C494E">
        <w:t xml:space="preserve"> министр уполномочен объявлять любой район в Вануату муниципалитетом. На основании приказа министр может также дать муниципалитету название, определить и изменить его границы и объявить, что этот район не является более муниципалитетом</w:t>
      </w:r>
      <w:r w:rsidRPr="009C494E">
        <w:rPr>
          <w:rStyle w:val="FootnoteReference"/>
        </w:rPr>
        <w:footnoteReference w:id="7"/>
      </w:r>
      <w:r w:rsidRPr="009C494E">
        <w:t>. В настоящее время в Вануату существуют три объявленных муниципалитета, а именно: Порт-Вила, главная столица (Эфате), Люганвиль (Санто) и Ленакел (Танна).</w:t>
      </w:r>
    </w:p>
    <w:p w:rsidR="002F00C1" w:rsidRPr="009C494E" w:rsidRDefault="002F00C1" w:rsidP="002F00C1">
      <w:pPr>
        <w:pStyle w:val="SingleTxtGR"/>
        <w:spacing w:line="230" w:lineRule="atLeast"/>
      </w:pPr>
      <w:r w:rsidRPr="009C494E">
        <w:t>12.</w:t>
      </w:r>
      <w:r w:rsidRPr="009C494E">
        <w:tab/>
        <w:t xml:space="preserve">Большинство островов имеют гористый рельеф и вулканическое </w:t>
      </w:r>
      <w:r w:rsidRPr="009C494E">
        <w:br/>
        <w:t>происхождение. Самой высокой точкой в Вануату является гора Табвемасана высотой в 1 879 метров (6 158 футов) над уровнем моря, которая находится на острове Эспириту-Санто. В Вануату есть несколько действующих вулканов, включая вулкан Ясур на острове Танна, – один из самых доступных вулканов в мире, – а также несколько подводных вулканов (Туристическое бюро Вануату, 2009 год). Географически Вануату расположено вдоль так называемого геологического «огненного кольца», и климатические опасности являются нормой. Соответственно, из-за вулканического происхождения островов Вануату постоянно грозит опасность вулканических извержений, землетрясений, цунами и оползней</w:t>
      </w:r>
      <w:r w:rsidRPr="009C494E">
        <w:rPr>
          <w:rStyle w:val="FootnoteReference"/>
        </w:rPr>
        <w:footnoteReference w:id="8"/>
      </w:r>
      <w:r w:rsidRPr="009C494E">
        <w:t>.</w:t>
      </w:r>
    </w:p>
    <w:p w:rsidR="002F00C1" w:rsidRPr="009C494E" w:rsidRDefault="002F00C1" w:rsidP="002F00C1">
      <w:pPr>
        <w:pStyle w:val="H23GR"/>
        <w:spacing w:line="230" w:lineRule="atLeast"/>
      </w:pPr>
      <w:r w:rsidRPr="009C494E">
        <w:tab/>
      </w:r>
      <w:r w:rsidRPr="009C494E">
        <w:tab/>
        <w:t>Демография</w:t>
      </w:r>
    </w:p>
    <w:p w:rsidR="002F00C1" w:rsidRPr="009C494E" w:rsidRDefault="002F00C1" w:rsidP="002F00C1">
      <w:pPr>
        <w:pStyle w:val="SingleTxtGR"/>
        <w:spacing w:line="230" w:lineRule="atLeast"/>
      </w:pPr>
      <w:r w:rsidRPr="009C494E">
        <w:t>13.</w:t>
      </w:r>
      <w:r w:rsidRPr="009C494E">
        <w:tab/>
        <w:t>Первая национальная перепись населения в Вануату была проведена в 1967 году, после чего следующая перепись была проведена в 1979 году.</w:t>
      </w:r>
    </w:p>
    <w:p w:rsidR="002F00C1" w:rsidRPr="009C494E" w:rsidRDefault="002F00C1" w:rsidP="002F00C1">
      <w:pPr>
        <w:pStyle w:val="SingleTxtGR"/>
        <w:spacing w:line="230" w:lineRule="atLeast"/>
      </w:pPr>
      <w:r w:rsidRPr="009C494E">
        <w:t>14.</w:t>
      </w:r>
      <w:r w:rsidRPr="009C494E">
        <w:tab/>
        <w:t>С 1979 года национальная перепись в Вануату проводится каждые 10 лет. Последняя национальная перепись населения была проведена в ноябре 2009 года, и, согласно ее результатам, общая численность населения Вануату составляет 234 023 человека. Статистические данные за 2009 год свидетельствуют об увеличении общей численности населения со времени переписи 1999 года при среднем годовом приросте населения в размере 2,3% или увеличении на 4 733 человека в год (см. таблицу 1).</w:t>
      </w:r>
    </w:p>
    <w:p w:rsidR="002F00C1" w:rsidRPr="009C494E" w:rsidRDefault="002F00C1" w:rsidP="002F00C1">
      <w:pPr>
        <w:pStyle w:val="HChGR"/>
        <w:tabs>
          <w:tab w:val="left" w:pos="2410"/>
        </w:tabs>
        <w:spacing w:before="0" w:after="80" w:line="240" w:lineRule="atLeast"/>
        <w:sectPr w:rsidR="002F00C1" w:rsidRPr="009C494E" w:rsidSect="0021506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2F00C1" w:rsidRPr="009C494E" w:rsidRDefault="00EF0904" w:rsidP="0053738C">
      <w:pPr>
        <w:pStyle w:val="H23GR"/>
        <w:ind w:left="284" w:right="0" w:firstLine="0"/>
      </w:pPr>
      <w:r>
        <w:rPr>
          <w:noProof/>
          <w:lang w:val="en-US" w:eastAsia="zh-CN"/>
        </w:rPr>
        <w:lastRenderedPageBreak/>
        <mc:AlternateContent>
          <mc:Choice Requires="wps">
            <w:drawing>
              <wp:anchor distT="0" distB="0" distL="114300" distR="114300" simplePos="0" relativeHeight="251670528" behindDoc="0" locked="0" layoutInCell="1" allowOverlap="1" wp14:anchorId="4B8FB628" wp14:editId="634BFBD7">
                <wp:simplePos x="0" y="0"/>
                <wp:positionH relativeFrom="column">
                  <wp:posOffset>8772525</wp:posOffset>
                </wp:positionH>
                <wp:positionV relativeFrom="paragraph">
                  <wp:posOffset>49530</wp:posOffset>
                </wp:positionV>
                <wp:extent cx="216000" cy="6119495"/>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19495"/>
                        </a:xfrm>
                        <a:prstGeom prst="rect">
                          <a:avLst/>
                        </a:prstGeom>
                        <a:solidFill>
                          <a:srgbClr val="FFFFFF"/>
                        </a:solidFill>
                        <a:ln w="9525">
                          <a:noFill/>
                          <a:miter lim="800000"/>
                          <a:headEnd/>
                          <a:tailEnd/>
                        </a:ln>
                      </wps:spPr>
                      <wps:txbx>
                        <w:txbxContent>
                          <w:p w:rsidR="00D91931" w:rsidRPr="006116C9" w:rsidRDefault="00D91931" w:rsidP="006116C9">
                            <w:pPr>
                              <w:pStyle w:val="Header"/>
                            </w:pPr>
                            <w:r>
                              <w:t>CRPD/C/</w:t>
                            </w:r>
                            <w:r>
                              <w:rPr>
                                <w:lang w:val="en-US"/>
                              </w:rPr>
                              <w:t>VUT</w:t>
                            </w:r>
                            <w:r w:rsidRPr="00A15416">
                              <w:t>/1</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FB628" id="_x0000_t202" coordsize="21600,21600" o:spt="202" path="m,l,21600r21600,l21600,xe">
                <v:stroke joinstyle="miter"/>
                <v:path gradientshapeok="t" o:connecttype="rect"/>
              </v:shapetype>
              <v:shape id="Надпись 2" o:spid="_x0000_s1026" type="#_x0000_t202" style="position:absolute;left:0;text-align:left;margin-left:690.75pt;margin-top:3.9pt;width:17pt;height:48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" stroked="f">
                <v:textbox style="layout-flow:vertical" inset="0,0,0,0">
                  <w:txbxContent>
                    <w:p w:rsidR="00D91931" w:rsidRPr="006116C9" w:rsidRDefault="00D91931" w:rsidP="006116C9">
                      <w:pPr>
                        <w:pStyle w:val="Header"/>
                      </w:pPr>
                      <w:r>
                        <w:t>CRPD/C/</w:t>
                      </w:r>
                      <w:r>
                        <w:rPr>
                          <w:lang w:val="en-US"/>
                        </w:rPr>
                        <w:t>VUT</w:t>
                      </w:r>
                      <w:r w:rsidRPr="00A15416">
                        <w:t>/1</w:t>
                      </w:r>
                    </w:p>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14:anchorId="6E54EF66" wp14:editId="4B71106B">
                <wp:simplePos x="0" y="0"/>
                <wp:positionH relativeFrom="column">
                  <wp:posOffset>-617220</wp:posOffset>
                </wp:positionH>
                <wp:positionV relativeFrom="paragraph">
                  <wp:posOffset>48895</wp:posOffset>
                </wp:positionV>
                <wp:extent cx="216000" cy="6300000"/>
                <wp:effectExtent l="0" t="0" r="0" b="57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300000"/>
                        </a:xfrm>
                        <a:prstGeom prst="rect">
                          <a:avLst/>
                        </a:prstGeom>
                        <a:solidFill>
                          <a:srgbClr val="FFFFFF"/>
                        </a:solidFill>
                        <a:ln w="9525">
                          <a:noFill/>
                          <a:miter lim="800000"/>
                          <a:headEnd/>
                          <a:tailEnd/>
                        </a:ln>
                      </wps:spPr>
                      <wps:txbx>
                        <w:txbxContent>
                          <w:p w:rsidR="00D91931" w:rsidRDefault="00D91931" w:rsidP="00E548CD">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8</w:t>
                            </w:r>
                            <w:r>
                              <w:rPr>
                                <w:rStyle w:val="PageNumber"/>
                              </w:rPr>
                              <w:fldChar w:fldCharType="end"/>
                            </w:r>
                            <w:r>
                              <w:rPr>
                                <w:rStyle w:val="PageNumber"/>
                              </w:rPr>
                              <w:tab/>
                            </w:r>
                            <w:r>
                              <w:rPr>
                                <w:lang w:val="en-US"/>
                              </w:rPr>
                              <w:t>GE.1</w:t>
                            </w:r>
                            <w:r>
                              <w:t>7</w:t>
                            </w:r>
                            <w:r>
                              <w:rPr>
                                <w:lang w:val="en-US"/>
                              </w:rPr>
                              <w:t>-</w:t>
                            </w:r>
                            <w:r>
                              <w:t>17</w:t>
                            </w:r>
                            <w:r>
                              <w:rPr>
                                <w:lang w:val="ru-RU"/>
                              </w:rPr>
                              <w:t>231</w:t>
                            </w:r>
                            <w:r>
                              <w:t xml:space="preserve">   (EXT)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4EF66" id="_x0000_s1027" type="#_x0000_t202" style="position:absolute;left:0;text-align:left;margin-left:-48.6pt;margin-top:3.85pt;width:17pt;height:49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" stroked="f">
                <v:textbox style="layout-flow:vertical" inset="0,0,0,0">
                  <w:txbxContent>
                    <w:p w:rsidR="00D91931" w:rsidRDefault="00D91931" w:rsidP="00E548CD">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8</w:t>
                      </w:r>
                      <w:r>
                        <w:rPr>
                          <w:rStyle w:val="PageNumber"/>
                        </w:rPr>
                        <w:fldChar w:fldCharType="end"/>
                      </w:r>
                      <w:r>
                        <w:rPr>
                          <w:rStyle w:val="PageNumber"/>
                        </w:rPr>
                        <w:tab/>
                      </w:r>
                      <w:r>
                        <w:rPr>
                          <w:lang w:val="en-US"/>
                        </w:rPr>
                        <w:t>GE.1</w:t>
                      </w:r>
                      <w:r>
                        <w:t>7</w:t>
                      </w:r>
                      <w:r>
                        <w:rPr>
                          <w:lang w:val="en-US"/>
                        </w:rPr>
                        <w:t>-</w:t>
                      </w:r>
                      <w:r>
                        <w:t>17</w:t>
                      </w:r>
                      <w:r>
                        <w:rPr>
                          <w:lang w:val="ru-RU"/>
                        </w:rPr>
                        <w:t>231</w:t>
                      </w:r>
                      <w:r>
                        <w:t xml:space="preserve">   (EXT)</w:t>
                      </w:r>
                    </w:p>
                  </w:txbxContent>
                </v:textbox>
              </v:shape>
            </w:pict>
          </mc:Fallback>
        </mc:AlternateContent>
      </w:r>
      <w:r w:rsidR="0053738C">
        <w:tab/>
      </w:r>
      <w:r w:rsidR="002F00C1" w:rsidRPr="009C494E">
        <w:t>Таблица 1. Общая численность населения в разбивке по пр</w:t>
      </w:r>
      <w:bookmarkStart w:id="0" w:name="_GoBack"/>
      <w:bookmarkEnd w:id="0"/>
      <w:r w:rsidR="002F00C1" w:rsidRPr="009C494E">
        <w:t xml:space="preserve">овинциям, годам проведения переписи населения </w:t>
      </w:r>
      <w:r w:rsidR="002F00C1" w:rsidRPr="009C494E">
        <w:br/>
        <w:t xml:space="preserve">и плотности населения в Вануату: 1999–2009 годы </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70"/>
        <w:gridCol w:w="891"/>
        <w:gridCol w:w="1095"/>
        <w:gridCol w:w="1114"/>
        <w:gridCol w:w="1096"/>
        <w:gridCol w:w="1132"/>
        <w:gridCol w:w="1388"/>
        <w:gridCol w:w="785"/>
        <w:gridCol w:w="804"/>
        <w:gridCol w:w="785"/>
        <w:gridCol w:w="767"/>
        <w:gridCol w:w="732"/>
      </w:tblGrid>
      <w:tr w:rsidR="002F00C1" w:rsidRPr="009C494E" w:rsidTr="006116C9">
        <w:trPr>
          <w:cantSplit/>
          <w:trHeight w:val="240"/>
        </w:trPr>
        <w:tc>
          <w:tcPr>
            <w:tcW w:w="1770" w:type="dxa"/>
            <w:tcBorders>
              <w:bottom w:val="nil"/>
            </w:tcBorders>
            <w:shd w:val="clear" w:color="auto" w:fill="auto"/>
          </w:tcPr>
          <w:p w:rsidR="002F00C1" w:rsidRPr="009C494E" w:rsidRDefault="002F00C1" w:rsidP="006116C9">
            <w:pPr>
              <w:spacing w:before="80" w:after="80" w:line="200" w:lineRule="exact"/>
              <w:jc w:val="right"/>
              <w:rPr>
                <w:i/>
                <w:sz w:val="16"/>
                <w:szCs w:val="16"/>
              </w:rPr>
            </w:pPr>
          </w:p>
        </w:tc>
        <w:tc>
          <w:tcPr>
            <w:tcW w:w="5328" w:type="dxa"/>
            <w:gridSpan w:val="5"/>
            <w:tcBorders>
              <w:top w:val="single" w:sz="4" w:space="0" w:color="auto"/>
              <w:bottom w:val="single" w:sz="4" w:space="0" w:color="auto"/>
            </w:tcBorders>
            <w:shd w:val="clear" w:color="auto" w:fill="auto"/>
            <w:vAlign w:val="bottom"/>
          </w:tcPr>
          <w:p w:rsidR="002F00C1" w:rsidRPr="009C494E" w:rsidRDefault="002F00C1" w:rsidP="006116C9">
            <w:pPr>
              <w:spacing w:before="80" w:after="80" w:line="200" w:lineRule="exact"/>
              <w:jc w:val="center"/>
              <w:rPr>
                <w:i/>
                <w:sz w:val="16"/>
                <w:szCs w:val="16"/>
              </w:rPr>
            </w:pPr>
            <w:r w:rsidRPr="009C494E">
              <w:rPr>
                <w:i/>
                <w:sz w:val="16"/>
                <w:szCs w:val="16"/>
              </w:rPr>
              <w:t>Численность населения в год проведения переписи</w:t>
            </w:r>
          </w:p>
        </w:tc>
        <w:tc>
          <w:tcPr>
            <w:tcW w:w="1388" w:type="dxa"/>
            <w:tcBorders>
              <w:top w:val="single" w:sz="4" w:space="0" w:color="auto"/>
              <w:bottom w:val="single" w:sz="4" w:space="0" w:color="auto"/>
            </w:tcBorders>
            <w:shd w:val="clear" w:color="auto" w:fill="auto"/>
            <w:vAlign w:val="bottom"/>
          </w:tcPr>
          <w:p w:rsidR="002F00C1" w:rsidRPr="009C494E" w:rsidRDefault="002F00C1" w:rsidP="0053738C">
            <w:pPr>
              <w:spacing w:before="80" w:after="80" w:line="200" w:lineRule="exact"/>
              <w:jc w:val="right"/>
              <w:rPr>
                <w:i/>
                <w:sz w:val="16"/>
                <w:szCs w:val="16"/>
              </w:rPr>
            </w:pPr>
            <w:r w:rsidRPr="009C494E">
              <w:rPr>
                <w:i/>
                <w:sz w:val="16"/>
                <w:szCs w:val="16"/>
              </w:rPr>
              <w:t xml:space="preserve">Площадь </w:t>
            </w:r>
            <w:r w:rsidRPr="009C494E">
              <w:rPr>
                <w:i/>
                <w:sz w:val="16"/>
                <w:szCs w:val="16"/>
              </w:rPr>
              <w:br/>
              <w:t>территории</w:t>
            </w:r>
          </w:p>
        </w:tc>
        <w:tc>
          <w:tcPr>
            <w:tcW w:w="3873" w:type="dxa"/>
            <w:gridSpan w:val="5"/>
            <w:tcBorders>
              <w:top w:val="single" w:sz="4" w:space="0" w:color="auto"/>
              <w:bottom w:val="single" w:sz="4" w:space="0" w:color="auto"/>
            </w:tcBorders>
            <w:shd w:val="clear" w:color="auto" w:fill="auto"/>
            <w:vAlign w:val="bottom"/>
          </w:tcPr>
          <w:p w:rsidR="002F00C1" w:rsidRPr="009C494E" w:rsidRDefault="002F00C1" w:rsidP="006116C9">
            <w:pPr>
              <w:spacing w:before="80" w:after="80" w:line="200" w:lineRule="exact"/>
              <w:jc w:val="center"/>
              <w:rPr>
                <w:i/>
                <w:sz w:val="16"/>
                <w:szCs w:val="16"/>
              </w:rPr>
            </w:pPr>
            <w:r w:rsidRPr="009C494E">
              <w:rPr>
                <w:i/>
                <w:sz w:val="16"/>
                <w:szCs w:val="16"/>
              </w:rPr>
              <w:t>Плотность населения</w:t>
            </w:r>
            <w:r w:rsidRPr="009C494E">
              <w:rPr>
                <w:i/>
                <w:sz w:val="16"/>
                <w:szCs w:val="16"/>
              </w:rPr>
              <w:br/>
              <w:t>(Численность населения на кв. км)</w:t>
            </w:r>
          </w:p>
        </w:tc>
      </w:tr>
      <w:tr w:rsidR="002F00C1" w:rsidRPr="009C494E" w:rsidTr="006116C9">
        <w:trPr>
          <w:cantSplit/>
          <w:trHeight w:val="240"/>
        </w:trPr>
        <w:tc>
          <w:tcPr>
            <w:tcW w:w="1770" w:type="dxa"/>
            <w:tcBorders>
              <w:top w:val="nil"/>
              <w:bottom w:val="single" w:sz="12" w:space="0" w:color="auto"/>
            </w:tcBorders>
            <w:shd w:val="clear" w:color="auto" w:fill="auto"/>
          </w:tcPr>
          <w:p w:rsidR="002F00C1" w:rsidRPr="009C494E" w:rsidRDefault="002F00C1" w:rsidP="006116C9">
            <w:pPr>
              <w:spacing w:before="80" w:after="80" w:line="200" w:lineRule="exact"/>
              <w:rPr>
                <w:i/>
                <w:sz w:val="16"/>
                <w:szCs w:val="16"/>
              </w:rPr>
            </w:pPr>
            <w:r w:rsidRPr="009C494E">
              <w:rPr>
                <w:i/>
                <w:sz w:val="16"/>
                <w:szCs w:val="16"/>
              </w:rPr>
              <w:t>Провинция</w:t>
            </w:r>
          </w:p>
        </w:tc>
        <w:tc>
          <w:tcPr>
            <w:tcW w:w="891"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1967 год</w:t>
            </w:r>
          </w:p>
        </w:tc>
        <w:tc>
          <w:tcPr>
            <w:tcW w:w="1095"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1979 год</w:t>
            </w:r>
          </w:p>
        </w:tc>
        <w:tc>
          <w:tcPr>
            <w:tcW w:w="1114"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1989 год</w:t>
            </w:r>
          </w:p>
        </w:tc>
        <w:tc>
          <w:tcPr>
            <w:tcW w:w="1096"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1999 год</w:t>
            </w:r>
          </w:p>
        </w:tc>
        <w:tc>
          <w:tcPr>
            <w:tcW w:w="1132"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2009 год</w:t>
            </w:r>
          </w:p>
        </w:tc>
        <w:tc>
          <w:tcPr>
            <w:tcW w:w="138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(кв. км)</w:t>
            </w:r>
          </w:p>
        </w:tc>
        <w:tc>
          <w:tcPr>
            <w:tcW w:w="785"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1967 год</w:t>
            </w:r>
          </w:p>
        </w:tc>
        <w:tc>
          <w:tcPr>
            <w:tcW w:w="804"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1979 год</w:t>
            </w:r>
          </w:p>
        </w:tc>
        <w:tc>
          <w:tcPr>
            <w:tcW w:w="785"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1989 год</w:t>
            </w:r>
          </w:p>
        </w:tc>
        <w:tc>
          <w:tcPr>
            <w:tcW w:w="767"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1999 год</w:t>
            </w:r>
          </w:p>
        </w:tc>
        <w:tc>
          <w:tcPr>
            <w:tcW w:w="732"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00" w:lineRule="exact"/>
              <w:jc w:val="right"/>
              <w:rPr>
                <w:i/>
                <w:sz w:val="16"/>
                <w:szCs w:val="16"/>
              </w:rPr>
            </w:pPr>
            <w:r w:rsidRPr="009C494E">
              <w:rPr>
                <w:i/>
                <w:sz w:val="16"/>
                <w:szCs w:val="16"/>
              </w:rPr>
              <w:t>2009 год</w:t>
            </w:r>
          </w:p>
        </w:tc>
      </w:tr>
      <w:tr w:rsidR="002F00C1" w:rsidRPr="009C494E" w:rsidTr="006116C9">
        <w:trPr>
          <w:cantSplit/>
          <w:trHeight w:val="240"/>
        </w:trPr>
        <w:tc>
          <w:tcPr>
            <w:tcW w:w="1770" w:type="dxa"/>
            <w:tcBorders>
              <w:top w:val="single" w:sz="12" w:space="0" w:color="auto"/>
            </w:tcBorders>
            <w:shd w:val="clear" w:color="auto" w:fill="auto"/>
          </w:tcPr>
          <w:p w:rsidR="002F00C1" w:rsidRPr="009C494E" w:rsidRDefault="002F00C1" w:rsidP="006116C9">
            <w:pPr>
              <w:spacing w:before="40" w:after="40" w:line="220" w:lineRule="exact"/>
              <w:rPr>
                <w:sz w:val="18"/>
                <w:szCs w:val="18"/>
              </w:rPr>
            </w:pPr>
            <w:r w:rsidRPr="009C494E">
              <w:rPr>
                <w:sz w:val="18"/>
                <w:szCs w:val="18"/>
              </w:rPr>
              <w:t>Вануату</w:t>
            </w:r>
          </w:p>
        </w:tc>
        <w:tc>
          <w:tcPr>
            <w:tcW w:w="891"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77 710</w:t>
            </w:r>
          </w:p>
        </w:tc>
        <w:tc>
          <w:tcPr>
            <w:tcW w:w="1095"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111 251</w:t>
            </w:r>
          </w:p>
        </w:tc>
        <w:tc>
          <w:tcPr>
            <w:tcW w:w="1114"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142 419</w:t>
            </w:r>
          </w:p>
        </w:tc>
        <w:tc>
          <w:tcPr>
            <w:tcW w:w="1096"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186 678</w:t>
            </w:r>
          </w:p>
        </w:tc>
        <w:tc>
          <w:tcPr>
            <w:tcW w:w="1132"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234 023</w:t>
            </w:r>
          </w:p>
        </w:tc>
        <w:tc>
          <w:tcPr>
            <w:tcW w:w="138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12 281,25</w:t>
            </w:r>
          </w:p>
        </w:tc>
        <w:tc>
          <w:tcPr>
            <w:tcW w:w="785"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6,3</w:t>
            </w:r>
          </w:p>
        </w:tc>
        <w:tc>
          <w:tcPr>
            <w:tcW w:w="804"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9,1</w:t>
            </w:r>
          </w:p>
        </w:tc>
        <w:tc>
          <w:tcPr>
            <w:tcW w:w="785"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11,6</w:t>
            </w:r>
          </w:p>
        </w:tc>
        <w:tc>
          <w:tcPr>
            <w:tcW w:w="767"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15,2</w:t>
            </w:r>
          </w:p>
        </w:tc>
        <w:tc>
          <w:tcPr>
            <w:tcW w:w="732"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19,1</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Торба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3 481</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4 958</w:t>
            </w:r>
            <w:r w:rsidRPr="009C494E">
              <w:rPr>
                <w:noProof/>
                <w:sz w:val="18"/>
                <w:szCs w:val="18"/>
                <w:lang w:val="en-US" w:eastAsia="zh-CN"/>
              </w:rPr>
              <w:drawing>
                <wp:anchor distT="0" distB="0" distL="114300" distR="114300" simplePos="0" relativeHeight="251659264" behindDoc="1" locked="0" layoutInCell="1" allowOverlap="1" wp14:anchorId="24CC656C" wp14:editId="505BAD7C">
                  <wp:simplePos x="0" y="0"/>
                  <wp:positionH relativeFrom="column">
                    <wp:posOffset>-36830</wp:posOffset>
                  </wp:positionH>
                  <wp:positionV relativeFrom="paragraph">
                    <wp:posOffset>-20810855</wp:posOffset>
                  </wp:positionV>
                  <wp:extent cx="6541135" cy="3753485"/>
                  <wp:effectExtent l="0" t="0" r="0" b="0"/>
                  <wp:wrapNone/>
                  <wp:docPr id="12" name="Picture 5" descr="map_of_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_of_vanuat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1135" cy="3753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5 985</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7 757</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9 359</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867,33</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4</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5,7</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6,9</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8,9</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10,8</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Санма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12 785</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19 423</w:t>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25 542</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36 084</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45 855</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4 262,06</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4,6</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6</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8,5</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10,8</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Пенама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13 968</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18 937</w:t>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22 281</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26 646</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30 819</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1 203,92</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11,6</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15,7</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18,5</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22,1</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25,6</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Малампа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17 407</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23 567</w:t>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28 174</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32 705</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36 727</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2 808,41</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6,2</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8,4</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10</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11,6</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13,1</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Шефа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17 633</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26 860</w:t>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38 023</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54 439</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78 723</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1 507,36</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11,7</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17,8</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25,2</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36,1</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52,2</w:t>
            </w:r>
          </w:p>
        </w:tc>
      </w:tr>
      <w:tr w:rsidR="002F00C1" w:rsidRPr="009C494E" w:rsidTr="006116C9">
        <w:trPr>
          <w:cantSplit/>
          <w:trHeight w:val="240"/>
        </w:trPr>
        <w:tc>
          <w:tcPr>
            <w:tcW w:w="1770" w:type="dxa"/>
            <w:shd w:val="clear" w:color="auto" w:fill="auto"/>
          </w:tcPr>
          <w:p w:rsidR="002F00C1" w:rsidRPr="009C494E" w:rsidRDefault="002F00C1" w:rsidP="006116C9">
            <w:pPr>
              <w:spacing w:before="40" w:after="40" w:line="220" w:lineRule="exact"/>
              <w:rPr>
                <w:sz w:val="18"/>
                <w:szCs w:val="18"/>
              </w:rPr>
            </w:pPr>
            <w:r w:rsidRPr="009C494E">
              <w:rPr>
                <w:sz w:val="18"/>
                <w:szCs w:val="18"/>
              </w:rPr>
              <w:t>Тафеа</w:t>
            </w:r>
          </w:p>
        </w:tc>
        <w:tc>
          <w:tcPr>
            <w:tcW w:w="891"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12 436</w:t>
            </w:r>
          </w:p>
        </w:tc>
        <w:tc>
          <w:tcPr>
            <w:tcW w:w="109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17 506</w:t>
            </w:r>
          </w:p>
        </w:tc>
        <w:tc>
          <w:tcPr>
            <w:tcW w:w="111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22 414</w:t>
            </w:r>
          </w:p>
        </w:tc>
        <w:tc>
          <w:tcPr>
            <w:tcW w:w="1096"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29 047</w:t>
            </w:r>
          </w:p>
        </w:tc>
        <w:tc>
          <w:tcPr>
            <w:tcW w:w="11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32 540</w:t>
            </w:r>
          </w:p>
        </w:tc>
        <w:tc>
          <w:tcPr>
            <w:tcW w:w="1388"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1 632,17</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7.6</w:t>
            </w:r>
          </w:p>
        </w:tc>
        <w:tc>
          <w:tcPr>
            <w:tcW w:w="804"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10,7</w:t>
            </w:r>
          </w:p>
        </w:tc>
        <w:tc>
          <w:tcPr>
            <w:tcW w:w="785"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13,7</w:t>
            </w:r>
          </w:p>
        </w:tc>
        <w:tc>
          <w:tcPr>
            <w:tcW w:w="767"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17,8</w:t>
            </w:r>
          </w:p>
        </w:tc>
        <w:tc>
          <w:tcPr>
            <w:tcW w:w="732" w:type="dxa"/>
            <w:shd w:val="clear" w:color="auto" w:fill="auto"/>
            <w:vAlign w:val="bottom"/>
          </w:tcPr>
          <w:p w:rsidR="002F00C1" w:rsidRPr="009C494E" w:rsidRDefault="002F00C1" w:rsidP="006116C9">
            <w:pPr>
              <w:spacing w:before="40" w:after="40" w:line="220" w:lineRule="exact"/>
              <w:jc w:val="right"/>
              <w:rPr>
                <w:sz w:val="18"/>
                <w:szCs w:val="18"/>
              </w:rPr>
            </w:pPr>
            <w:r w:rsidRPr="009C494E">
              <w:rPr>
                <w:sz w:val="18"/>
                <w:szCs w:val="18"/>
              </w:rPr>
              <w:t>19,9</w:t>
            </w:r>
          </w:p>
        </w:tc>
      </w:tr>
    </w:tbl>
    <w:p w:rsidR="002F00C1" w:rsidRPr="009C494E" w:rsidRDefault="0053738C" w:rsidP="0053738C">
      <w:pPr>
        <w:spacing w:before="120" w:line="220" w:lineRule="exact"/>
        <w:ind w:firstLine="170"/>
        <w:rPr>
          <w:sz w:val="18"/>
          <w:szCs w:val="18"/>
        </w:rPr>
      </w:pPr>
      <w:r>
        <w:rPr>
          <w:i/>
          <w:sz w:val="18"/>
          <w:szCs w:val="18"/>
        </w:rPr>
        <w:t xml:space="preserve">     </w:t>
      </w:r>
      <w:r w:rsidR="002F00C1" w:rsidRPr="009C494E">
        <w:rPr>
          <w:i/>
          <w:sz w:val="18"/>
          <w:szCs w:val="18"/>
        </w:rPr>
        <w:t>Источник</w:t>
      </w:r>
      <w:r w:rsidR="002F00C1" w:rsidRPr="009C494E">
        <w:rPr>
          <w:sz w:val="18"/>
          <w:szCs w:val="18"/>
        </w:rPr>
        <w:t>: Национальное статистическое управление Вануату (НСУВ), 2009 год, сводная информация за 2007 год.</w:t>
      </w:r>
    </w:p>
    <w:p w:rsidR="00EF0904" w:rsidRPr="009C494E" w:rsidRDefault="00EF0904" w:rsidP="002F00C1"/>
    <w:p w:rsidR="002F00C1" w:rsidRDefault="002F00C1" w:rsidP="002F00C1">
      <w:pPr>
        <w:sectPr w:rsidR="002F00C1" w:rsidSect="002F00C1">
          <w:footerReference w:type="default" r:id="rId15"/>
          <w:footerReference w:type="first" r:id="rId16"/>
          <w:endnotePr>
            <w:numFmt w:val="decimal"/>
          </w:endnotePr>
          <w:pgSz w:w="16838" w:h="11906" w:orient="landscape" w:code="9"/>
          <w:pgMar w:top="1134" w:right="1134" w:bottom="1134" w:left="1418" w:header="851" w:footer="567" w:gutter="0"/>
          <w:cols w:space="708"/>
          <w:titlePg/>
          <w:docGrid w:linePitch="360"/>
        </w:sectPr>
      </w:pPr>
    </w:p>
    <w:p w:rsidR="002F00C1" w:rsidRPr="009C494E" w:rsidRDefault="002F00C1" w:rsidP="002F00C1">
      <w:pPr>
        <w:pStyle w:val="SingleTxtGR"/>
      </w:pPr>
      <w:r w:rsidRPr="009C494E">
        <w:lastRenderedPageBreak/>
        <w:t>15.</w:t>
      </w:r>
      <w:r w:rsidRPr="009C494E">
        <w:tab/>
        <w:t>Министерство образования (Минобр) собирает данные о фактическом числе инвалидов, обучающихся в школах. В таблице 2 приведена сводная информация об обучающихся в школах детях с различными видами инвалидности в разбивке по провинциям по состоянию на 2007 год.</w:t>
      </w:r>
    </w:p>
    <w:p w:rsidR="002F00C1" w:rsidRPr="009C494E" w:rsidRDefault="002F00C1" w:rsidP="002F00C1">
      <w:pPr>
        <w:pStyle w:val="H23GR"/>
      </w:pPr>
      <w:r w:rsidRPr="009C494E">
        <w:tab/>
      </w:r>
      <w:r w:rsidRPr="009C494E">
        <w:tab/>
        <w:t>Таблица 2. Сводная информация о детях с различными видами инвалидности по состоянию на 2007 год</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89"/>
        <w:gridCol w:w="547"/>
        <w:gridCol w:w="644"/>
        <w:gridCol w:w="830"/>
        <w:gridCol w:w="691"/>
        <w:gridCol w:w="691"/>
        <w:gridCol w:w="691"/>
        <w:gridCol w:w="691"/>
        <w:gridCol w:w="691"/>
        <w:gridCol w:w="691"/>
        <w:gridCol w:w="657"/>
        <w:gridCol w:w="792"/>
      </w:tblGrid>
      <w:tr w:rsidR="002F00C1" w:rsidRPr="009C494E" w:rsidTr="006116C9">
        <w:trPr>
          <w:cantSplit/>
          <w:trHeight w:val="1786"/>
          <w:tblHeader/>
        </w:trPr>
        <w:tc>
          <w:tcPr>
            <w:tcW w:w="770" w:type="dxa"/>
            <w:tcBorders>
              <w:top w:val="single" w:sz="4" w:space="0" w:color="auto"/>
              <w:bottom w:val="single" w:sz="12" w:space="0" w:color="auto"/>
            </w:tcBorders>
            <w:shd w:val="clear" w:color="auto" w:fill="auto"/>
            <w:textDirection w:val="btLr"/>
          </w:tcPr>
          <w:p w:rsidR="002F00C1" w:rsidRPr="009C494E" w:rsidRDefault="002F00C1" w:rsidP="006116C9">
            <w:pPr>
              <w:spacing w:after="80" w:line="200" w:lineRule="exact"/>
              <w:ind w:left="57" w:right="57"/>
              <w:rPr>
                <w:rFonts w:cs="Times New Roman"/>
                <w:i/>
                <w:sz w:val="16"/>
                <w:szCs w:val="16"/>
              </w:rPr>
            </w:pPr>
            <w:r w:rsidRPr="009C494E">
              <w:rPr>
                <w:rFonts w:cs="Times New Roman"/>
                <w:i/>
                <w:sz w:val="16"/>
                <w:szCs w:val="16"/>
              </w:rPr>
              <w:t>Провинция/Остров</w:t>
            </w:r>
          </w:p>
        </w:tc>
        <w:tc>
          <w:tcPr>
            <w:tcW w:w="474"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Синдром Дауна</w:t>
            </w:r>
          </w:p>
        </w:tc>
        <w:tc>
          <w:tcPr>
            <w:tcW w:w="55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Нарушение слуха</w:t>
            </w:r>
          </w:p>
        </w:tc>
        <w:tc>
          <w:tcPr>
            <w:tcW w:w="719"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Нарушение </w:t>
            </w:r>
            <w:r w:rsidRPr="009C494E">
              <w:rPr>
                <w:rFonts w:cs="Times New Roman"/>
                <w:i/>
                <w:sz w:val="16"/>
                <w:szCs w:val="16"/>
              </w:rPr>
              <w:br/>
              <w:t>обучаемости</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Умственная </w:t>
            </w:r>
            <w:r w:rsidRPr="009C494E">
              <w:rPr>
                <w:rFonts w:cs="Times New Roman"/>
                <w:i/>
                <w:sz w:val="16"/>
                <w:szCs w:val="16"/>
              </w:rPr>
              <w:br/>
              <w:t>неполноценность</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Множественная </w:t>
            </w:r>
            <w:r w:rsidRPr="009C494E">
              <w:rPr>
                <w:rFonts w:cs="Times New Roman"/>
                <w:i/>
                <w:sz w:val="16"/>
                <w:szCs w:val="16"/>
              </w:rPr>
              <w:br/>
              <w:t>инвалидность</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Прочие виды </w:t>
            </w:r>
            <w:r w:rsidRPr="009C494E">
              <w:rPr>
                <w:rFonts w:cs="Times New Roman"/>
                <w:i/>
                <w:sz w:val="16"/>
                <w:szCs w:val="16"/>
              </w:rPr>
              <w:br/>
              <w:t>инвалидности</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Физическая </w:t>
            </w:r>
            <w:r w:rsidRPr="009C494E">
              <w:rPr>
                <w:rFonts w:cs="Times New Roman"/>
                <w:i/>
                <w:sz w:val="16"/>
                <w:szCs w:val="16"/>
              </w:rPr>
              <w:br/>
              <w:t>нетрудоспособность</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Нарушение зрения</w:t>
            </w:r>
          </w:p>
        </w:tc>
        <w:tc>
          <w:tcPr>
            <w:tcW w:w="598"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 xml:space="preserve">Социальные </w:t>
            </w:r>
            <w:r w:rsidRPr="009C494E">
              <w:rPr>
                <w:rFonts w:cs="Times New Roman"/>
                <w:i/>
                <w:sz w:val="16"/>
                <w:szCs w:val="16"/>
              </w:rPr>
              <w:br/>
              <w:t>и эмоциональные проблемы</w:t>
            </w:r>
          </w:p>
        </w:tc>
        <w:tc>
          <w:tcPr>
            <w:tcW w:w="569"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Нарушение речи</w:t>
            </w:r>
          </w:p>
        </w:tc>
        <w:tc>
          <w:tcPr>
            <w:tcW w:w="686" w:type="dxa"/>
            <w:tcBorders>
              <w:top w:val="single" w:sz="4" w:space="0" w:color="auto"/>
              <w:bottom w:val="single" w:sz="12" w:space="0" w:color="auto"/>
            </w:tcBorders>
            <w:shd w:val="clear" w:color="auto" w:fill="auto"/>
            <w:textDirection w:val="btLr"/>
            <w:vAlign w:val="bottom"/>
          </w:tcPr>
          <w:p w:rsidR="002F00C1" w:rsidRPr="009C494E" w:rsidRDefault="002F00C1" w:rsidP="006116C9">
            <w:pPr>
              <w:spacing w:before="80" w:line="200" w:lineRule="exact"/>
              <w:ind w:left="57" w:right="57"/>
              <w:rPr>
                <w:rFonts w:cs="Times New Roman"/>
                <w:i/>
                <w:sz w:val="16"/>
                <w:szCs w:val="16"/>
              </w:rPr>
            </w:pPr>
            <w:r w:rsidRPr="009C494E">
              <w:rPr>
                <w:rFonts w:cs="Times New Roman"/>
                <w:i/>
                <w:sz w:val="16"/>
                <w:szCs w:val="16"/>
              </w:rPr>
              <w:t>Всего</w:t>
            </w:r>
          </w:p>
        </w:tc>
      </w:tr>
      <w:tr w:rsidR="002F00C1" w:rsidRPr="009C494E" w:rsidTr="006116C9">
        <w:trPr>
          <w:cantSplit/>
          <w:trHeight w:val="240"/>
        </w:trPr>
        <w:tc>
          <w:tcPr>
            <w:tcW w:w="770" w:type="dxa"/>
            <w:tcBorders>
              <w:top w:val="single" w:sz="12" w:space="0" w:color="auto"/>
            </w:tcBorders>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Малампа</w:t>
            </w:r>
          </w:p>
        </w:tc>
        <w:tc>
          <w:tcPr>
            <w:tcW w:w="474"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w:t>
            </w:r>
          </w:p>
        </w:tc>
        <w:tc>
          <w:tcPr>
            <w:tcW w:w="55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49</w:t>
            </w:r>
          </w:p>
        </w:tc>
        <w:tc>
          <w:tcPr>
            <w:tcW w:w="719"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622</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35</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15</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17</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20</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41</w:t>
            </w:r>
          </w:p>
        </w:tc>
        <w:tc>
          <w:tcPr>
            <w:tcW w:w="598"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34</w:t>
            </w:r>
          </w:p>
        </w:tc>
        <w:tc>
          <w:tcPr>
            <w:tcW w:w="569"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29</w:t>
            </w:r>
          </w:p>
        </w:tc>
        <w:tc>
          <w:tcPr>
            <w:tcW w:w="686" w:type="dxa"/>
            <w:tcBorders>
              <w:top w:val="single" w:sz="12"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865</w:t>
            </w:r>
          </w:p>
        </w:tc>
      </w:tr>
      <w:tr w:rsidR="002F00C1" w:rsidRPr="009C494E" w:rsidTr="006116C9">
        <w:trPr>
          <w:cantSplit/>
          <w:trHeight w:val="240"/>
        </w:trPr>
        <w:tc>
          <w:tcPr>
            <w:tcW w:w="770" w:type="dxa"/>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Пенама</w:t>
            </w:r>
          </w:p>
        </w:tc>
        <w:tc>
          <w:tcPr>
            <w:tcW w:w="474"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w:t>
            </w:r>
          </w:p>
        </w:tc>
        <w:tc>
          <w:tcPr>
            <w:tcW w:w="55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92</w:t>
            </w:r>
          </w:p>
        </w:tc>
        <w:tc>
          <w:tcPr>
            <w:tcW w:w="71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297</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17</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9</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52</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13</w:t>
            </w:r>
          </w:p>
        </w:tc>
        <w:tc>
          <w:tcPr>
            <w:tcW w:w="56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21</w:t>
            </w:r>
          </w:p>
        </w:tc>
        <w:tc>
          <w:tcPr>
            <w:tcW w:w="686"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514</w:t>
            </w:r>
          </w:p>
        </w:tc>
      </w:tr>
      <w:tr w:rsidR="002F00C1" w:rsidRPr="009C494E" w:rsidTr="006116C9">
        <w:trPr>
          <w:cantSplit/>
          <w:trHeight w:val="240"/>
        </w:trPr>
        <w:tc>
          <w:tcPr>
            <w:tcW w:w="770" w:type="dxa"/>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Санма</w:t>
            </w:r>
          </w:p>
        </w:tc>
        <w:tc>
          <w:tcPr>
            <w:tcW w:w="474"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w:t>
            </w:r>
          </w:p>
        </w:tc>
        <w:tc>
          <w:tcPr>
            <w:tcW w:w="55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203</w:t>
            </w:r>
          </w:p>
        </w:tc>
        <w:tc>
          <w:tcPr>
            <w:tcW w:w="71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915</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105</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47</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25</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28</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151</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157</w:t>
            </w:r>
          </w:p>
        </w:tc>
        <w:tc>
          <w:tcPr>
            <w:tcW w:w="56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w:t>
            </w:r>
          </w:p>
        </w:tc>
        <w:tc>
          <w:tcPr>
            <w:tcW w:w="686"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1 642</w:t>
            </w:r>
          </w:p>
        </w:tc>
      </w:tr>
      <w:tr w:rsidR="002F00C1" w:rsidRPr="009C494E" w:rsidTr="006116C9">
        <w:trPr>
          <w:cantSplit/>
          <w:trHeight w:val="240"/>
        </w:trPr>
        <w:tc>
          <w:tcPr>
            <w:tcW w:w="770" w:type="dxa"/>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Шефа</w:t>
            </w:r>
          </w:p>
        </w:tc>
        <w:tc>
          <w:tcPr>
            <w:tcW w:w="474"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37</w:t>
            </w:r>
          </w:p>
        </w:tc>
        <w:tc>
          <w:tcPr>
            <w:tcW w:w="55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84</w:t>
            </w:r>
          </w:p>
        </w:tc>
        <w:tc>
          <w:tcPr>
            <w:tcW w:w="71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810</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42</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17</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10</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43</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88</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69</w:t>
            </w:r>
          </w:p>
        </w:tc>
        <w:tc>
          <w:tcPr>
            <w:tcW w:w="56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61</w:t>
            </w:r>
          </w:p>
        </w:tc>
        <w:tc>
          <w:tcPr>
            <w:tcW w:w="686"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1 261</w:t>
            </w:r>
          </w:p>
        </w:tc>
      </w:tr>
      <w:tr w:rsidR="002F00C1" w:rsidRPr="009C494E" w:rsidTr="006116C9">
        <w:trPr>
          <w:cantSplit/>
          <w:trHeight w:val="240"/>
        </w:trPr>
        <w:tc>
          <w:tcPr>
            <w:tcW w:w="770" w:type="dxa"/>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Тафеа</w:t>
            </w:r>
          </w:p>
        </w:tc>
        <w:tc>
          <w:tcPr>
            <w:tcW w:w="474"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7</w:t>
            </w:r>
          </w:p>
        </w:tc>
        <w:tc>
          <w:tcPr>
            <w:tcW w:w="55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117</w:t>
            </w:r>
          </w:p>
        </w:tc>
        <w:tc>
          <w:tcPr>
            <w:tcW w:w="71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454</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20</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14</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31</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40</w:t>
            </w:r>
          </w:p>
        </w:tc>
        <w:tc>
          <w:tcPr>
            <w:tcW w:w="598"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97</w:t>
            </w:r>
          </w:p>
        </w:tc>
        <w:tc>
          <w:tcPr>
            <w:tcW w:w="569"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36</w:t>
            </w:r>
          </w:p>
        </w:tc>
        <w:tc>
          <w:tcPr>
            <w:tcW w:w="686" w:type="dxa"/>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824</w:t>
            </w:r>
          </w:p>
        </w:tc>
      </w:tr>
      <w:tr w:rsidR="002F00C1" w:rsidRPr="009C494E" w:rsidTr="006116C9">
        <w:trPr>
          <w:cantSplit/>
          <w:trHeight w:val="240"/>
        </w:trPr>
        <w:tc>
          <w:tcPr>
            <w:tcW w:w="770" w:type="dxa"/>
            <w:tcBorders>
              <w:bottom w:val="single" w:sz="4" w:space="0" w:color="auto"/>
            </w:tcBorders>
            <w:shd w:val="clear" w:color="auto" w:fill="auto"/>
          </w:tcPr>
          <w:p w:rsidR="002F00C1" w:rsidRPr="009C494E" w:rsidRDefault="002F00C1" w:rsidP="006116C9">
            <w:pPr>
              <w:spacing w:before="40" w:after="40" w:line="220" w:lineRule="exact"/>
              <w:rPr>
                <w:rFonts w:cs="Times New Roman"/>
                <w:sz w:val="18"/>
                <w:szCs w:val="18"/>
              </w:rPr>
            </w:pPr>
            <w:r w:rsidRPr="009C494E">
              <w:rPr>
                <w:rFonts w:cs="Times New Roman"/>
                <w:sz w:val="18"/>
                <w:szCs w:val="18"/>
              </w:rPr>
              <w:t>Торба</w:t>
            </w:r>
          </w:p>
        </w:tc>
        <w:tc>
          <w:tcPr>
            <w:tcW w:w="474"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6</w:t>
            </w:r>
          </w:p>
        </w:tc>
        <w:tc>
          <w:tcPr>
            <w:tcW w:w="55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35</w:t>
            </w:r>
          </w:p>
        </w:tc>
        <w:tc>
          <w:tcPr>
            <w:tcW w:w="719"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264</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35</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27</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6</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19</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24</w:t>
            </w:r>
          </w:p>
        </w:tc>
        <w:tc>
          <w:tcPr>
            <w:tcW w:w="598"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28</w:t>
            </w:r>
          </w:p>
        </w:tc>
        <w:tc>
          <w:tcPr>
            <w:tcW w:w="569"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21</w:t>
            </w:r>
          </w:p>
        </w:tc>
        <w:tc>
          <w:tcPr>
            <w:tcW w:w="686" w:type="dxa"/>
            <w:tcBorders>
              <w:bottom w:val="single" w:sz="4" w:space="0" w:color="auto"/>
            </w:tcBorders>
            <w:shd w:val="clear" w:color="auto" w:fill="auto"/>
            <w:vAlign w:val="bottom"/>
          </w:tcPr>
          <w:p w:rsidR="002F00C1" w:rsidRPr="009C494E" w:rsidRDefault="002F00C1" w:rsidP="006116C9">
            <w:pPr>
              <w:spacing w:before="40" w:after="40" w:line="220" w:lineRule="exact"/>
              <w:jc w:val="right"/>
              <w:rPr>
                <w:rFonts w:cs="Times New Roman"/>
                <w:sz w:val="18"/>
                <w:szCs w:val="18"/>
              </w:rPr>
            </w:pPr>
            <w:r w:rsidRPr="009C494E">
              <w:rPr>
                <w:rFonts w:cs="Times New Roman"/>
                <w:sz w:val="18"/>
                <w:szCs w:val="18"/>
              </w:rPr>
              <w:t>465</w:t>
            </w:r>
          </w:p>
        </w:tc>
      </w:tr>
      <w:tr w:rsidR="002F00C1" w:rsidRPr="009C494E" w:rsidTr="006116C9">
        <w:trPr>
          <w:cantSplit/>
          <w:trHeight w:val="240"/>
        </w:trPr>
        <w:tc>
          <w:tcPr>
            <w:tcW w:w="770" w:type="dxa"/>
            <w:tcBorders>
              <w:top w:val="single" w:sz="4" w:space="0" w:color="auto"/>
              <w:bottom w:val="single" w:sz="12" w:space="0" w:color="auto"/>
            </w:tcBorders>
            <w:shd w:val="clear" w:color="auto" w:fill="auto"/>
          </w:tcPr>
          <w:p w:rsidR="002F00C1" w:rsidRPr="009C494E" w:rsidRDefault="002F00C1" w:rsidP="006116C9">
            <w:pPr>
              <w:spacing w:before="80" w:after="80" w:line="220" w:lineRule="exact"/>
              <w:ind w:firstLine="284"/>
              <w:rPr>
                <w:rFonts w:cs="Times New Roman"/>
                <w:b/>
                <w:sz w:val="18"/>
                <w:szCs w:val="18"/>
              </w:rPr>
            </w:pPr>
            <w:r w:rsidRPr="009C494E">
              <w:rPr>
                <w:rFonts w:cs="Times New Roman"/>
                <w:b/>
                <w:sz w:val="18"/>
                <w:szCs w:val="18"/>
              </w:rPr>
              <w:t>Итого</w:t>
            </w:r>
          </w:p>
        </w:tc>
        <w:tc>
          <w:tcPr>
            <w:tcW w:w="474"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60</w:t>
            </w:r>
          </w:p>
        </w:tc>
        <w:tc>
          <w:tcPr>
            <w:tcW w:w="55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580</w:t>
            </w:r>
          </w:p>
        </w:tc>
        <w:tc>
          <w:tcPr>
            <w:tcW w:w="719"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3 362</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254</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129</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67</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149</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396</w:t>
            </w:r>
          </w:p>
        </w:tc>
        <w:tc>
          <w:tcPr>
            <w:tcW w:w="598"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398</w:t>
            </w:r>
          </w:p>
        </w:tc>
        <w:tc>
          <w:tcPr>
            <w:tcW w:w="569"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176</w:t>
            </w:r>
          </w:p>
        </w:tc>
        <w:tc>
          <w:tcPr>
            <w:tcW w:w="686" w:type="dxa"/>
            <w:tcBorders>
              <w:top w:val="single" w:sz="4" w:space="0" w:color="auto"/>
              <w:bottom w:val="single" w:sz="12" w:space="0" w:color="auto"/>
            </w:tcBorders>
            <w:shd w:val="clear" w:color="auto" w:fill="auto"/>
            <w:vAlign w:val="bottom"/>
          </w:tcPr>
          <w:p w:rsidR="002F00C1" w:rsidRPr="009C494E" w:rsidRDefault="002F00C1" w:rsidP="006116C9">
            <w:pPr>
              <w:spacing w:before="80" w:after="80" w:line="220" w:lineRule="exact"/>
              <w:jc w:val="right"/>
              <w:rPr>
                <w:rFonts w:cs="Times New Roman"/>
                <w:b/>
                <w:sz w:val="18"/>
                <w:szCs w:val="18"/>
              </w:rPr>
            </w:pPr>
            <w:r w:rsidRPr="009C494E">
              <w:rPr>
                <w:rFonts w:cs="Times New Roman"/>
                <w:b/>
                <w:sz w:val="18"/>
                <w:szCs w:val="18"/>
              </w:rPr>
              <w:t>5 571</w:t>
            </w:r>
          </w:p>
        </w:tc>
      </w:tr>
    </w:tbl>
    <w:p w:rsidR="002F00C1" w:rsidRPr="009C494E" w:rsidRDefault="002F00C1" w:rsidP="00C4178C">
      <w:pPr>
        <w:pStyle w:val="SingleTxtGR"/>
        <w:spacing w:before="120" w:line="220" w:lineRule="exact"/>
        <w:ind w:firstLine="170"/>
        <w:rPr>
          <w:rFonts w:eastAsiaTheme="minorHAnsi" w:cstheme="minorBidi"/>
          <w:sz w:val="18"/>
          <w:szCs w:val="18"/>
        </w:rPr>
      </w:pPr>
      <w:r w:rsidRPr="009C494E">
        <w:rPr>
          <w:rFonts w:eastAsiaTheme="minorHAnsi" w:cstheme="minorBidi"/>
          <w:i/>
          <w:sz w:val="18"/>
          <w:szCs w:val="18"/>
        </w:rPr>
        <w:t>Источник</w:t>
      </w:r>
      <w:r w:rsidRPr="009C494E">
        <w:rPr>
          <w:rFonts w:eastAsiaTheme="minorHAnsi" w:cstheme="minorBidi"/>
          <w:sz w:val="18"/>
          <w:szCs w:val="18"/>
        </w:rPr>
        <w:t>: Министерство образования.</w:t>
      </w:r>
    </w:p>
    <w:p w:rsidR="002F00C1" w:rsidRPr="009C494E" w:rsidRDefault="002F00C1" w:rsidP="002F00C1">
      <w:pPr>
        <w:pStyle w:val="H23GR"/>
      </w:pPr>
      <w:r w:rsidRPr="009C494E">
        <w:tab/>
      </w:r>
      <w:r w:rsidRPr="009C494E">
        <w:tab/>
        <w:t>Структура экономики</w:t>
      </w:r>
    </w:p>
    <w:p w:rsidR="002F00C1" w:rsidRPr="009C494E" w:rsidRDefault="002F00C1" w:rsidP="002F00C1">
      <w:pPr>
        <w:pStyle w:val="SingleTxtGR"/>
      </w:pPr>
      <w:r w:rsidRPr="009C494E">
        <w:t>16.</w:t>
      </w:r>
      <w:r w:rsidRPr="009C494E">
        <w:tab/>
        <w:t>В недавнем прошлом Вануату являлась одной из самых быстро растущих экономик среди островных стран Тихого океана. В период с 2003 по 2009 год реальный (в неизменных ценах) валовой внутренний продукт (ВВП) увеличивался в среднем на 5% в год</w:t>
      </w:r>
      <w:r w:rsidRPr="009C494E">
        <w:rPr>
          <w:rStyle w:val="FootnoteReference"/>
        </w:rPr>
        <w:footnoteReference w:id="9"/>
      </w:r>
      <w:r w:rsidRPr="009C494E">
        <w:t>. По оценкам, темпы экономического роста в 2010 году были ниже и находились на уровне 2,2%, что обусловлено спадом в секторе услуг в результате сокращения связанных с туризмом инвестиций и расходов, а также завершением крупных строительных и инженерных проектов.</w:t>
      </w:r>
    </w:p>
    <w:p w:rsidR="002F00C1" w:rsidRPr="009C494E" w:rsidRDefault="002F00C1" w:rsidP="002F00C1">
      <w:pPr>
        <w:pStyle w:val="SingleTxtGR"/>
      </w:pPr>
      <w:r w:rsidRPr="009C494E">
        <w:t>17.</w:t>
      </w:r>
      <w:r w:rsidRPr="009C494E">
        <w:tab/>
        <w:t>Туризм, телекоммуникации, авиатранспортная отрасль и, в определенной степени, строительный сектор продолжают расти в силу различных политических инициатив и других сопутствующих внешних факторов</w:t>
      </w:r>
      <w:r w:rsidRPr="009C494E">
        <w:rPr>
          <w:rStyle w:val="FootnoteReference"/>
        </w:rPr>
        <w:footnoteReference w:id="10"/>
      </w:r>
      <w:r w:rsidRPr="009C494E">
        <w:t>. Соответственно, политика правительства заключается в поощрении сельскохозяйственного производства, создании благоприятных условий для экономического роста, возглавляемого частным сектором, и инвестиций в инфраструктуру, особенно в сельских районах, а также в развитии туризма как главной опоры экономики.</w:t>
      </w:r>
    </w:p>
    <w:p w:rsidR="002F00C1" w:rsidRPr="009C494E" w:rsidRDefault="002F00C1" w:rsidP="002F00C1">
      <w:pPr>
        <w:pStyle w:val="SingleTxtGR"/>
      </w:pPr>
      <w:r w:rsidRPr="009C494E">
        <w:t>18.</w:t>
      </w:r>
      <w:r w:rsidRPr="009C494E">
        <w:tab/>
        <w:t>Сельское хозяйство вносит значительный вклад в ВВП за счет экспорта сырьевых товаров и ведения в большей части сельских общин натурального фермерского хозяйства (производства за собственный счет). Сектор услуг вносит наибольший вклад в общий ВВП, охватывая государственное управление, розничную торговлю, сектор гостиниц и временных платных жилых помещений, а также финансы и инвестиции. Согласно оценкам, деятельность, связанная с туризмом, составляет 45% всей экономической деятельности</w:t>
      </w:r>
      <w:r w:rsidRPr="009C494E">
        <w:rPr>
          <w:rStyle w:val="FootnoteReference"/>
        </w:rPr>
        <w:footnoteReference w:id="11"/>
      </w:r>
      <w:r w:rsidRPr="009C494E">
        <w:t>.</w:t>
      </w:r>
    </w:p>
    <w:p w:rsidR="002F00C1" w:rsidRPr="009C494E" w:rsidRDefault="002F00C1" w:rsidP="00C4178C">
      <w:pPr>
        <w:pStyle w:val="SingleTxtGR"/>
      </w:pPr>
      <w:r w:rsidRPr="009C494E">
        <w:t>19.</w:t>
      </w:r>
      <w:r w:rsidRPr="009C494E">
        <w:tab/>
        <w:t>В настоящее время Национальное статистическое управление Вануату не собирает информацию, необходимую для определения размера валового национального дохода (ВНД), однако, если добавить к ВВП прямые иностран</w:t>
      </w:r>
      <w:r w:rsidRPr="009C494E">
        <w:lastRenderedPageBreak/>
        <w:t>ные инвестиции в жилищное строительство и денежные переводы сезонных работников, ВНД за 2010 год составит 66 765 млн вату или 278 </w:t>
      </w:r>
      <w:r w:rsidR="00C4178C">
        <w:t>000</w:t>
      </w:r>
      <w:r w:rsidRPr="009C494E">
        <w:t> вату в расчете на душу населения.</w:t>
      </w:r>
    </w:p>
    <w:p w:rsidR="002F00C1" w:rsidRPr="009C494E" w:rsidRDefault="002F00C1" w:rsidP="002F00C1">
      <w:pPr>
        <w:pStyle w:val="H23GR"/>
      </w:pPr>
      <w:r w:rsidRPr="009C494E">
        <w:tab/>
      </w:r>
      <w:r w:rsidRPr="009C494E">
        <w:tab/>
        <w:t>Международные конвенции (охватывающие вопросы инвалидности)</w:t>
      </w:r>
    </w:p>
    <w:p w:rsidR="002F00C1" w:rsidRPr="009C494E" w:rsidRDefault="002F00C1" w:rsidP="002F00C1">
      <w:pPr>
        <w:pStyle w:val="SingleTxtGR"/>
      </w:pPr>
      <w:r w:rsidRPr="009C494E">
        <w:t>20.</w:t>
      </w:r>
      <w:r w:rsidRPr="009C494E">
        <w:tab/>
        <w:t xml:space="preserve">Как уже было отмечено, Вануату ратифицировало КПР в 1993 году. В пункте 1 статьи 2 КПР четко предусматривается недопущение дискриминации по ряду признаков, включая инвалидность. Конвенция о правах </w:t>
      </w:r>
      <w:r w:rsidRPr="009C494E">
        <w:br/>
        <w:t>ребенка – статья 23 КПР – призывает государства-участники признать,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признать право на особую заботу; признать особые нужды неполноценного ребенка и обеспечить эффективный доступ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и способствовать обмену информацией в области профилактического здравоохранения и медицинского, психологического и функционального лечения неполноценных детей.</w:t>
      </w:r>
    </w:p>
    <w:p w:rsidR="002F00C1" w:rsidRPr="009C494E" w:rsidRDefault="002F00C1" w:rsidP="002F00C1">
      <w:pPr>
        <w:pStyle w:val="SingleTxtGR"/>
      </w:pPr>
      <w:r w:rsidRPr="009C494E">
        <w:t>21.</w:t>
      </w:r>
      <w:r w:rsidRPr="009C494E">
        <w:tab/>
        <w:t>Вместе с тем статья 1 КПИ не ограничивает круг инвалидов только лицами с умственными или физическими недостатками, признавая, что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Это представляет Вануату хорошую возможность для пересмотра и изменения своих законодательных и административных норм, которые были основаны на таких ограничительных определениях.</w:t>
      </w:r>
    </w:p>
    <w:p w:rsidR="002F00C1" w:rsidRPr="009C494E" w:rsidRDefault="002F00C1" w:rsidP="00C4178C">
      <w:pPr>
        <w:pStyle w:val="SingleTxtGR"/>
      </w:pPr>
      <w:r w:rsidRPr="009C494E">
        <w:t>22.</w:t>
      </w:r>
      <w:r w:rsidRPr="009C494E">
        <w:tab/>
        <w:t xml:space="preserve">Вануату является участником Конвенции о ликвидации всех форм дискриминации в отношении женщин (КЛДОЖ), которую оно ратифицировало 13 апреля 1995 года. Хотя права женщин-инвалидов не определены конкретно в 16 основных статьях КЛДОЖ, </w:t>
      </w:r>
      <w:r w:rsidRPr="009C494E">
        <w:rPr>
          <w:i/>
        </w:rPr>
        <w:t>Рекомендация общего характера № 18</w:t>
      </w:r>
      <w:r w:rsidRPr="009C494E">
        <w:t xml:space="preserve"> предусматривает обязательное представление государствами-участниками докладов о положении женщин-инвалидов</w:t>
      </w:r>
      <w:r w:rsidRPr="009C494E">
        <w:rPr>
          <w:rStyle w:val="FootnoteReference"/>
        </w:rPr>
        <w:footnoteReference w:id="12"/>
      </w:r>
      <w:r w:rsidRPr="009C494E">
        <w:t>. В первоначальном, втором и третьем докладах Вануату о ходе осуществления КЛДОЖ представлена некоторая информация о положении женщин-инвалидов и девочек-инвалидов, но не содержится достаточной информации, касающейся приоритетной задачи № 2 Бивакоской основы для действий на пороге тысячелетия</w:t>
      </w:r>
      <w:r w:rsidR="00C4178C" w:rsidRPr="009C494E">
        <w:rPr>
          <w:rStyle w:val="FootnoteReference"/>
        </w:rPr>
        <w:footnoteReference w:id="13"/>
      </w:r>
      <w:r w:rsidRPr="009C494E">
        <w:t>, или других сведений о дискриминации в отношении женщин-инвалидов и девочек-инвалидов, их доступе к образованию и другим услугам.</w:t>
      </w:r>
    </w:p>
    <w:p w:rsidR="002F00C1" w:rsidRPr="009C494E" w:rsidRDefault="002F00C1" w:rsidP="002F00C1">
      <w:pPr>
        <w:pStyle w:val="H23GR"/>
      </w:pPr>
      <w:r w:rsidRPr="009C494E">
        <w:tab/>
      </w:r>
      <w:r w:rsidRPr="009C494E">
        <w:tab/>
        <w:t>Международная помощь</w:t>
      </w:r>
    </w:p>
    <w:p w:rsidR="002F00C1" w:rsidRPr="009C494E" w:rsidRDefault="002F00C1" w:rsidP="002F00C1">
      <w:pPr>
        <w:pStyle w:val="SingleTxtGR"/>
      </w:pPr>
      <w:r w:rsidRPr="009C494E">
        <w:t>23.</w:t>
      </w:r>
      <w:r w:rsidRPr="009C494E">
        <w:tab/>
        <w:t>Правительство Вануату получало помощь в рамках своих двусторонних соглашений с различными партнерами-донорами. Новозеландское агентство по международному развитию (НЗАИД) оказало финансовую поддержку правительству Вануату в разработке его первой национальной политики в отношении инвалидов и национального плана действий.</w:t>
      </w:r>
    </w:p>
    <w:p w:rsidR="002F00C1" w:rsidRPr="009C494E" w:rsidRDefault="002F00C1" w:rsidP="002F00C1">
      <w:pPr>
        <w:pStyle w:val="SingleTxtGR"/>
      </w:pPr>
      <w:r w:rsidRPr="009C494E">
        <w:lastRenderedPageBreak/>
        <w:t>24.</w:t>
      </w:r>
      <w:r w:rsidRPr="009C494E">
        <w:tab/>
        <w:t>С помощью партнеров по развитию правительство Вануату поддерживало деятельность организаций инвалидов. Австралийское агентство по международному развитию (АусАИД) продолжает оказывать поддержку организациям инвалидов в осуществлении следующих проектов:</w:t>
      </w:r>
    </w:p>
    <w:p w:rsidR="002F00C1" w:rsidRPr="009C494E" w:rsidRDefault="002F00C1" w:rsidP="002F00C1">
      <w:pPr>
        <w:pStyle w:val="Bullet1GR"/>
      </w:pPr>
      <w:r w:rsidRPr="009C494E">
        <w:t>проведение обследований состояния глаз и носовой полости у жителей провинции Пенама, которые осуществляются Обществом инвалидов Вануату (ОИВ);</w:t>
      </w:r>
    </w:p>
    <w:p w:rsidR="002F00C1" w:rsidRPr="009C494E" w:rsidRDefault="002F00C1" w:rsidP="002F00C1">
      <w:pPr>
        <w:pStyle w:val="Bullet1GR"/>
      </w:pPr>
      <w:r w:rsidRPr="009C494E">
        <w:t>проведение учебной подготовки по вопросам наращивания потенциала и финансирование основных видов информационно-пропагандистской деятельности, осуществляемой Ассоциацией инвалидов.</w:t>
      </w:r>
    </w:p>
    <w:p w:rsidR="002F00C1" w:rsidRPr="009C494E" w:rsidRDefault="002F00C1" w:rsidP="002F00C1">
      <w:pPr>
        <w:pStyle w:val="SingleTxtGR"/>
      </w:pPr>
      <w:r w:rsidRPr="009C494E">
        <w:t>25.</w:t>
      </w:r>
      <w:r w:rsidRPr="009C494E">
        <w:tab/>
        <w:t>Европейский союз профинансировал обследование по вопросам инвалидности, проведенное Обществом инвалидов Вануату (</w:t>
      </w:r>
      <w:r w:rsidRPr="00CC2DAB">
        <w:t>ОИВ</w:t>
      </w:r>
      <w:r w:rsidRPr="009C494E">
        <w:t>) в 2005 году.</w:t>
      </w:r>
    </w:p>
    <w:p w:rsidR="002F00C1" w:rsidRPr="009C494E" w:rsidRDefault="002F00C1" w:rsidP="002F00C1">
      <w:pPr>
        <w:pStyle w:val="H23GR"/>
      </w:pPr>
      <w:r w:rsidRPr="009C494E">
        <w:tab/>
      </w:r>
      <w:r w:rsidRPr="009C494E">
        <w:tab/>
        <w:t>Региональные обязательства</w:t>
      </w:r>
    </w:p>
    <w:p w:rsidR="002F00C1" w:rsidRPr="009C494E" w:rsidRDefault="002F00C1" w:rsidP="002F00C1">
      <w:pPr>
        <w:pStyle w:val="SingleTxtGR"/>
      </w:pPr>
      <w:r w:rsidRPr="009C494E">
        <w:t>26.</w:t>
      </w:r>
      <w:r w:rsidRPr="009C494E">
        <w:tab/>
        <w:t>Правительство Вануату приняло участие в межправительственном совещании, посвященном завершению провозглашенного ЭСКАТО Азиатско-тихоокеанского десятилетия инвалидов, которое состоялось в Оцу, Япония, в октябре 2002 года и на котором была принята Бивакоская основа для действий на пороге тысячелетия (БОДТ). В 2002 году правительство Вануату приняло участие в совещании министров образования Форума, на котором были обсуждены вопросы образования для детей и молодых людей с различными видами</w:t>
      </w:r>
      <w:r>
        <w:t xml:space="preserve"> инвалидности. На этом совещании</w:t>
      </w:r>
      <w:r w:rsidRPr="009C494E">
        <w:t xml:space="preserve"> было также отмечено и подчеркнуто, что наличие доступа к надлежащему образованию и профессиональной подготовке имеет чрезвычайно важное значение для того, чтобы инвалиды могли зарабатывать средства к существованию и разорвать порочный круг зависимости и нищеты.</w:t>
      </w:r>
    </w:p>
    <w:p w:rsidR="002F00C1" w:rsidRPr="009C494E" w:rsidRDefault="002F00C1" w:rsidP="002F00C1">
      <w:pPr>
        <w:pStyle w:val="SingleTxtGR"/>
      </w:pPr>
      <w:r w:rsidRPr="009C494E">
        <w:t>27.</w:t>
      </w:r>
      <w:r w:rsidRPr="009C494E">
        <w:tab/>
        <w:t>Будучи членом Форума тихоокеанских островов, правительство Вануату приняло участие в ряду других тихоокеанских стран в тридцать четвертом совещании лидеров Форума тихоокеанских островов, состоявшемся в Окленде, Новая Зеландия, в 2003 году. Правительство Вануату выступило инициатором включения проблем инвалидности в Повестку дня лидеров Форума тихоокеанских островов. В своем коммюнике совещания 2003 года лидеры Форума признали, что одной из наиболее приоритетных задач для правительств тихоокеанских стран должна стать выработка политики, которая позволит ликвидировать препятствия и расширить доступ и координацию действий для инвалидов. Они также призвали региональные и международные организации продолжать скоординированные исследования, которые будут способствовать выработке политики и повышению осведомленности в общинах тихоокеанских государств.</w:t>
      </w:r>
    </w:p>
    <w:p w:rsidR="002F00C1" w:rsidRPr="009C494E" w:rsidRDefault="002F00C1" w:rsidP="002F00C1">
      <w:pPr>
        <w:pStyle w:val="SingleTxtGR"/>
      </w:pPr>
      <w:r w:rsidRPr="009C494E">
        <w:t>28.</w:t>
      </w:r>
      <w:r w:rsidRPr="009C494E">
        <w:tab/>
        <w:t>Правительство Вануату признало и убедилось на практике, что за последние два десятилетия подход к инвалидности видоизменился от «благотворительного» подхода или обеспечения благосостояния до правозащитного подхода к этой проблеме. В 2003 году лидеры Форума тихоокеанских островов также утвердили Бивакоскую основу для действий на пороге тысячелетия, в которой предусмотрен ряд целей, над достижением которых тихоокеанские страны будут работать на протяжении следующих 10 лет.</w:t>
      </w:r>
    </w:p>
    <w:p w:rsidR="002F00C1" w:rsidRPr="009C494E" w:rsidRDefault="002F00C1" w:rsidP="002F00C1">
      <w:pPr>
        <w:pStyle w:val="SingleTxtGR"/>
      </w:pPr>
      <w:r w:rsidRPr="009C494E">
        <w:t>29.</w:t>
      </w:r>
      <w:r w:rsidRPr="009C494E">
        <w:tab/>
        <w:t>В 2005 году правительство Вануату также приняло участие в работе Форума лидеров тихоокеанских островов, на котором был принят Тихоокеанский план укрепления регионального сотрудничества и интеграции. Основное внимание в этом Тихоокеанском плане уделяется укреплению и углублению связей между суверенными странами региона. Прогресс и события в области инвалидности отражены в инициативе 12.5 Плана.</w:t>
      </w:r>
    </w:p>
    <w:p w:rsidR="002F00C1" w:rsidRPr="009C494E" w:rsidRDefault="002F00C1" w:rsidP="002F00C1">
      <w:pPr>
        <w:pStyle w:val="SingleTxtGR"/>
      </w:pPr>
      <w:r w:rsidRPr="009C494E">
        <w:t>30.</w:t>
      </w:r>
      <w:r w:rsidRPr="009C494E">
        <w:tab/>
        <w:t>В 2009 году Вануату приняло участие в совещании Форума лидеров тихоокеанских островов, которое состоялось в Кэрнсе, Австралия, и на котором было вновь заявлено о поддержке инвалидов и была подтверждена необходимость уделения большего внимания этой находящейся в наиболее неблагопри</w:t>
      </w:r>
      <w:r w:rsidRPr="009C494E">
        <w:lastRenderedPageBreak/>
        <w:t>ятном положении группе людей, которые входят в число беднейших и наиболее уязвимых слоев населения. Участники совещания признали, что инвалиды сталкиваются с многочисленными препятствиями, мешающими их полному и всестороннему участию в жизни общества. Лидеры отметили далее, что в ходе реализации Региональной стратегии в области инвалидности основное внимание следует сосредоточить на необходимости решения тех проблем, которые стоят перед инвалидами в Тихоокеанском регионе, с тем чтобы повысить уровень информированности о важности обеспечения доступа к более широким и более равноправным возможностям для повышения качества их жизни и полного осуществления всех неотъемлемых прав человека.</w:t>
      </w:r>
    </w:p>
    <w:p w:rsidR="002F00C1" w:rsidRPr="009C494E" w:rsidRDefault="002F00C1" w:rsidP="002F00C1">
      <w:pPr>
        <w:pStyle w:val="SingleTxtGR"/>
      </w:pPr>
      <w:r w:rsidRPr="009C494E">
        <w:t>31.</w:t>
      </w:r>
      <w:r w:rsidRPr="009C494E">
        <w:tab/>
        <w:t>Со времени, как правительство Вануату ратифицировало Конвенцию о правах инвалидов (КПИ), оно провозгласило свое намерение стать частью договора, который закрепляет универсальность правовых норм для осуществления прав человека инвалидов. КПИ содействует сдвигу в сознании людей, приводящему к пониманию того, что ограничения, создаваемые инвалидностью, не являются проблемой конкретного человека, а являются проблемой препятствий, создаваемых обществом. КПИ может предоставить конкретное руководство и создать рамочную основу для национальных действий даже тех стран, которые еще не ратифицировали эту Конвенцию.</w:t>
      </w:r>
    </w:p>
    <w:p w:rsidR="002F00C1" w:rsidRPr="009C494E" w:rsidRDefault="002F00C1" w:rsidP="002F00C1">
      <w:pPr>
        <w:pStyle w:val="SingleTxtGR"/>
      </w:pPr>
      <w:r w:rsidRPr="009C494E">
        <w:t>32.</w:t>
      </w:r>
      <w:r w:rsidRPr="009C494E">
        <w:tab/>
        <w:t>Далее, в октябре 2009 года правительство Вануату приняло участие в совещании Форума министров по делам инвалидов (СФМИ), которое состоялось на Островах Кука и в ходе которого была принята Тихоокеанская региональная стратегия по вопросам инвалидности (ТРСИ). Доклад о работе этого совещания был полностью одобрен в 2010 году на совещании Форума лидеров тихоокеанских островов, которое состоялось в Вануату.</w:t>
      </w:r>
    </w:p>
    <w:p w:rsidR="002F00C1" w:rsidRPr="009C494E" w:rsidRDefault="002F00C1" w:rsidP="002F00C1">
      <w:pPr>
        <w:pStyle w:val="SingleTxtGR"/>
      </w:pPr>
      <w:r w:rsidRPr="009C494E">
        <w:t>33.</w:t>
      </w:r>
      <w:r w:rsidRPr="009C494E">
        <w:tab/>
        <w:t>Тихоокеанская региональная стратегия по вопросам инвалидности на 2010–2015 годы преследует следующие цели:</w:t>
      </w:r>
    </w:p>
    <w:p w:rsidR="002F00C1" w:rsidRPr="009C494E" w:rsidRDefault="002F00C1" w:rsidP="002F00C1">
      <w:pPr>
        <w:pStyle w:val="Bullet1GR"/>
      </w:pPr>
      <w:r w:rsidRPr="009C494E">
        <w:t>поддержать страны – члены Форума тихоокеанских островов в деле защиты и поощрения прав инвалидов;</w:t>
      </w:r>
    </w:p>
    <w:p w:rsidR="002F00C1" w:rsidRPr="009C494E" w:rsidRDefault="002F00C1" w:rsidP="002F00C1">
      <w:pPr>
        <w:pStyle w:val="Bullet1GR"/>
      </w:pPr>
      <w:r w:rsidRPr="009C494E">
        <w:t>создать рамочные основы для координации действий партнеров в области развития, правительств и гражданского общества в деле построения в странах Тихоокеанского региона обществ, полностью учитывающих интересы инвалидов; и</w:t>
      </w:r>
    </w:p>
    <w:p w:rsidR="002F00C1" w:rsidRPr="009C494E" w:rsidRDefault="002F00C1" w:rsidP="002F00C1">
      <w:pPr>
        <w:pStyle w:val="Bullet1GR"/>
      </w:pPr>
      <w:r w:rsidRPr="009C494E">
        <w:t>усилить приверженность всех заинтересованных сторон делу осуществления Конвенции о правах инвалидов и других документов по правам человека, которые касаются инвалидности.</w:t>
      </w:r>
    </w:p>
    <w:p w:rsidR="002F00C1" w:rsidRPr="009C494E" w:rsidRDefault="002F00C1" w:rsidP="002F00C1">
      <w:pPr>
        <w:pStyle w:val="SingleTxtGR"/>
      </w:pPr>
      <w:r w:rsidRPr="009C494E">
        <w:t>34.</w:t>
      </w:r>
      <w:r w:rsidRPr="009C494E">
        <w:tab/>
        <w:t>Тихоокеанская региональная стратегия по вопросам инвалидности (ТРСИ) представляет собой веский аргумент в пользу регионализма, определяя те конкретные области, в которых основывающийся на сотрудничестве региональный подход будет поддерживать действия на национальном уровне. После принятия в 2012 году Бивакоской основы для действий на пороге тысячелетия (БОДТ), охватывающей Азиатско-Тихоокеанский регион, ТРСИ опирается на результаты проделанной к настоящему времени работы и использует конкретный подход, учитывающий интересы Тихоокеанского региона. Конвенция о правах инвалидов (КПИ) является основой для ТРСИ; эта Стратегия должна поддерживать те страны, которые подписали и/или ратифицировали КПИ, а также поддерживать использование Конвенции в качестве инструмента для инклюзивного развития тех стран, которые ее еще не подписали.</w:t>
      </w:r>
    </w:p>
    <w:p w:rsidR="002F00C1" w:rsidRPr="009C494E" w:rsidRDefault="002F00C1" w:rsidP="002F00C1">
      <w:pPr>
        <w:pStyle w:val="SingleTxtGR"/>
      </w:pPr>
      <w:r w:rsidRPr="009C494E">
        <w:t>35.</w:t>
      </w:r>
      <w:r w:rsidRPr="009C494E">
        <w:tab/>
        <w:t>Правительство Вануату также приняло участие в двух (2) совещаниях министров стран Тихоокеанских островов: в 2009 году на Островах Кука и недавно, в октябре 2012 года, в Порт-Морсби, Папуа-Новая Гвинея. Эти совещания позволили министрам, курирующим вопросы инвалидности, обсудить и утвердить действия в различных проблемных областях в отношении инвалидности в Тихоокеанском регионе.</w:t>
      </w:r>
    </w:p>
    <w:p w:rsidR="002F00C1" w:rsidRPr="009C494E" w:rsidRDefault="002F00C1" w:rsidP="002F00C1">
      <w:pPr>
        <w:pStyle w:val="SingleTxtGR"/>
      </w:pPr>
      <w:r w:rsidRPr="009C494E">
        <w:lastRenderedPageBreak/>
        <w:t>36.</w:t>
      </w:r>
      <w:r w:rsidRPr="009C494E">
        <w:tab/>
        <w:t xml:space="preserve">В 2012 году Вануату приняло участие в работе межправительственного совещания высокого уровня, посвященного завершению провозглашенного ЭСКАТО Азиатско-Тихоокеанского десятилетия инвалидов на период </w:t>
      </w:r>
      <w:r w:rsidRPr="009C494E">
        <w:br/>
        <w:t xml:space="preserve">2003–2012 годов, которое состоялось в Инчхоне, Южная Корея, в октябре-ноябре 2012 года и на котором была принята Инчхонская стратегия для нового Десятилетия инвалидов на период 2013–2022 годов. Страны Азиатско-Тихоокеанского региона обеспечат, чтобы в течение периода этого Десятилетия соблюдение прав инвалидов </w:t>
      </w:r>
      <w:r w:rsidRPr="008A09E9">
        <w:rPr>
          <w:i/>
          <w:iCs/>
        </w:rPr>
        <w:t>стало реальностью</w:t>
      </w:r>
      <w:r w:rsidRPr="009C494E">
        <w:t>. Инчхонская стратегия состоит из 10 взаимосвязанных целей, 27 задач и 62 показателя. Сроки достижения этих целей и задач совпадают со сроками Азиатско-Тихоокеанского десятилетия инвалидов на период 2013–2022 годов. Поставленные цели отражают желаемые конечные результаты. Задачи должны быть выполнены в течение установленных сроков. Целевые показатели позволят оценить прогресс в ходе выполнения поставленных задач и убедиться в их выполнении. Предусмотрены два вида показателей: основные показатели и дополнительные показатели</w:t>
      </w:r>
      <w:r w:rsidRPr="009C494E">
        <w:rPr>
          <w:rStyle w:val="FootnoteReference"/>
        </w:rPr>
        <w:footnoteReference w:id="14"/>
      </w:r>
      <w:r w:rsidRPr="009C494E">
        <w:t>. Все показатели должны быть дезагрегированы по признаку пола, когда это возможно.</w:t>
      </w:r>
    </w:p>
    <w:p w:rsidR="002F00C1" w:rsidRPr="009C494E" w:rsidRDefault="002F00C1" w:rsidP="002F00C1">
      <w:pPr>
        <w:pStyle w:val="SingleTxtGR"/>
      </w:pPr>
      <w:r w:rsidRPr="009C494E">
        <w:t>37.</w:t>
      </w:r>
      <w:r w:rsidRPr="009C494E">
        <w:tab/>
        <w:t>Правительство Вануату, действуя по линии Министерства юстиции и общинных служб (MЮОС) в рамках текущей программы реабилитации на базе общин (РБО), преобразует определенные разделы Инчхонской стратегии в Национальный план действий, который может быть легко осуществлен.</w:t>
      </w:r>
    </w:p>
    <w:p w:rsidR="002F00C1" w:rsidRPr="009C494E" w:rsidRDefault="002F00C1" w:rsidP="002F00C1">
      <w:pPr>
        <w:pStyle w:val="H23GR"/>
      </w:pPr>
      <w:bookmarkStart w:id="1" w:name="_Toc294878626"/>
      <w:bookmarkStart w:id="2" w:name="_Toc295223315"/>
      <w:r w:rsidRPr="009C494E">
        <w:tab/>
      </w:r>
      <w:r w:rsidRPr="009C494E">
        <w:tab/>
        <w:t>Многосторонние связи</w:t>
      </w:r>
      <w:bookmarkEnd w:id="1"/>
      <w:bookmarkEnd w:id="2"/>
    </w:p>
    <w:p w:rsidR="002F00C1" w:rsidRPr="009C494E" w:rsidRDefault="002F00C1" w:rsidP="002F00C1">
      <w:pPr>
        <w:pStyle w:val="SingleTxtGR"/>
      </w:pPr>
      <w:r w:rsidRPr="009C494E">
        <w:t>38.</w:t>
      </w:r>
      <w:r w:rsidRPr="009C494E">
        <w:tab/>
        <w:t>Вануату заключило широкий круг двусторонних и многосторонних договоров и стало членом ряда региональных и международных организаций. Вануату является членом Азиатского банка развития (АБР), Продовольственной и сельскохозяйственной организации Объединенных Наций (ФАО), Международной организации гражданской авиации (ИКАО), Всемирной организации здравоохранения (ВОЗ), Организации Объединенных Наций по вопросам образования, науки и культуры (ЮНЕСКО) и Международной морской организации (ИМО). Вануату также является членом региональных организаций, включая Передовую группу меланезийских государств (ПГМГ), секретариат Форума тихоокеанских островов (СФТО) и секретариат Тихоокеанского сообщества (СТС).</w:t>
      </w:r>
    </w:p>
    <w:p w:rsidR="002F00C1" w:rsidRPr="009C494E" w:rsidRDefault="002F00C1" w:rsidP="002F00C1">
      <w:pPr>
        <w:pStyle w:val="HChGR"/>
      </w:pPr>
      <w:r w:rsidRPr="009C494E">
        <w:tab/>
      </w:r>
      <w:r w:rsidRPr="009C494E">
        <w:tab/>
        <w:t>Часть А. Статьи 1–4</w:t>
      </w:r>
    </w:p>
    <w:p w:rsidR="002F00C1" w:rsidRPr="009C494E" w:rsidRDefault="002F00C1" w:rsidP="002F00C1">
      <w:pPr>
        <w:pStyle w:val="H1GR"/>
      </w:pPr>
      <w:r w:rsidRPr="009C494E">
        <w:tab/>
      </w:r>
      <w:r w:rsidRPr="009C494E">
        <w:tab/>
        <w:t>Меры, принятые в целях приведения национальных законодательства и политики в соответствие с Конвенцией</w:t>
      </w:r>
    </w:p>
    <w:p w:rsidR="002F00C1" w:rsidRPr="009C494E" w:rsidRDefault="002F00C1" w:rsidP="002F00C1">
      <w:pPr>
        <w:pStyle w:val="SingleTxtGR"/>
      </w:pPr>
      <w:r w:rsidRPr="009C494E">
        <w:t>39.</w:t>
      </w:r>
      <w:r w:rsidRPr="009C494E">
        <w:tab/>
        <w:t xml:space="preserve">В Конституции Республики Вануату признается, что с учетом любых ограничений, установленных законом для неграждан, все люди имеют право на следующие основные права и свободы личности без какой-либо дискриминации по признаку расы, места происхождения, религиозных или традиционных убеждений, политических взглядов, языка или пола при условии уважения прав и свобод других лиц и соблюдения законных общественных интересов в области обороны, безопасности, общественного порядка, благосостояния и здоровой жизни: право на свободу; право на личную неприкосновенность; право на защиту со стороны закона; право на свободу от бесчеловечного обращения и принудительного труда; право на свободу совести и вероисповедания; право на свободу выражения мнений; право на свободу собраний и ассоциации; </w:t>
      </w:r>
      <w:r w:rsidRPr="009C494E">
        <w:lastRenderedPageBreak/>
        <w:t>право на свободу передвижения; право на защиту неприкосновенности жилища и другого имущества и защиту от несправедливого лишения имущества; право на равное обращение в соответствии с законом или административными актами, исходя при этом из того, что ни один закон не противоречит настоящему подпункту в том, что он предусматривает предоставление специальных благ, благосостояние, защиту или улучшение положения женщин, детей и молодых людей, представителей групп населения, находящихся в неблагоприятном положении, и жителей менее развитых районов</w:t>
      </w:r>
      <w:r w:rsidRPr="009C494E">
        <w:rPr>
          <w:rStyle w:val="FootnoteReference"/>
        </w:rPr>
        <w:footnoteReference w:id="15"/>
      </w:r>
      <w:r w:rsidRPr="009C494E">
        <w:t>.</w:t>
      </w:r>
    </w:p>
    <w:p w:rsidR="002F00C1" w:rsidRPr="009C494E" w:rsidRDefault="002F00C1" w:rsidP="002F00C1">
      <w:pPr>
        <w:pStyle w:val="SingleTxtGR"/>
      </w:pPr>
      <w:r w:rsidRPr="009C494E">
        <w:t>40.</w:t>
      </w:r>
      <w:r w:rsidRPr="009C494E">
        <w:tab/>
        <w:t>Хотя действующая Конституция не содержит четкого положения о том, что инвалидность не может использоваться в качестве основания для дискриминации, категория лиц, находящихся в неблагоприятном положении, о которы</w:t>
      </w:r>
      <w:r w:rsidR="008A09E9">
        <w:t>х говорится в главе 2 (5) </w:t>
      </w:r>
      <w:r w:rsidRPr="009C494E">
        <w:t>k) Конституции Вануату, включает инвалидов. В этой связи Конституция также предусматривает для инвалидов защиту и равные права.</w:t>
      </w:r>
    </w:p>
    <w:p w:rsidR="002F00C1" w:rsidRPr="009C494E" w:rsidRDefault="002F00C1" w:rsidP="002F00C1">
      <w:pPr>
        <w:pStyle w:val="SingleTxtGR"/>
      </w:pPr>
      <w:r w:rsidRPr="009C494E">
        <w:t>41.</w:t>
      </w:r>
      <w:r w:rsidRPr="009C494E">
        <w:tab/>
        <w:t xml:space="preserve">В настоящее время в Вануату нет специального закона об инвалидах. Предполагается, что Конвенция о правах инвалидов будет использована в качестве модели для разработки в Вануату конкретных законодательных норм о защите инвалидов. Национальная политика в отношении инвалидов и План действий на 2008–2015 годы определяют дискриминацию на основе инвалидности как любое отличие, исключение или ограничение по признаку пола, возраста, расы, места происхождения, географического (городского/сельского) местоположения, культуры, языка, физической, умственной или психической инвалидности, производственной деятельности, политических убеждений или деятельности, религиозных убеждений или деятельности, сексуальной ориентации, беременности, статуса родителя или лица, выполняющего обязанности по уходу/семейные обязанности, или личной связи с любым лицом, обладающим любой из этих характеристик, которая воздействует или нацелена на ослабление или сведение на нет признания, реализации или осуществления инвалидами, независимо от их семейного положения, на основе равенства с другими мужчинами и женщинами, прав человека и основных свобод в политической, </w:t>
      </w:r>
      <w:r w:rsidRPr="009C494E">
        <w:br/>
        <w:t xml:space="preserve">экономической, социальной, культурной, гражданской или любой другой области. Национальная политика в отношении инвалидов и План действий </w:t>
      </w:r>
      <w:r w:rsidRPr="009C494E">
        <w:br/>
        <w:t>на 2008–2015 годы охватывают все формы дискриминации, включая отказ в разумном приспособлении. В этих документах также содержится определение инвалидов как лиц с долговременными физическими, психическими, умственными или сенсорными нарушениями, которые в сочетании с различными барьерами могут мешать их полному и эффективному участию в жизни общества наравне с другими.</w:t>
      </w:r>
    </w:p>
    <w:p w:rsidR="002F00C1" w:rsidRPr="009C494E" w:rsidRDefault="002F00C1" w:rsidP="002F00C1">
      <w:pPr>
        <w:pStyle w:val="SingleTxtGR"/>
      </w:pPr>
      <w:r w:rsidRPr="009C494E">
        <w:t>42.</w:t>
      </w:r>
      <w:r w:rsidRPr="009C494E">
        <w:tab/>
        <w:t>Вануату имеет законодательные акты, содержащие конкретные ссылки на инвалидов. В принятом в 2001 году Законе № 21 об образовании ясно предусмотрены запрет на дискриминацию по признаку инвалидности и возможность доступа к образованию для всех детей-инвалидов. В Законе № 10 о службе исполнения наказаний 2006 года предусматривается, что руководитель исправительного учреждения должен обеспечить удовлетворение особых потребностей инвалидов.</w:t>
      </w:r>
    </w:p>
    <w:p w:rsidR="002F00C1" w:rsidRPr="009C494E" w:rsidRDefault="002F00C1" w:rsidP="002F00C1">
      <w:pPr>
        <w:pStyle w:val="SingleTxtGR"/>
      </w:pPr>
      <w:r w:rsidRPr="009C494E">
        <w:t>43.</w:t>
      </w:r>
      <w:r w:rsidRPr="009C494E">
        <w:tab/>
        <w:t>Закон Вануату о защите семьи 2008 года нацелен на сокращение домашнего насилия на всех уровнях вануатского общества и поощрение гармоничных семейных отношений, а также предусматривает механизм, с помощью которого третья сторона может прибегать к средствам правовой защиты в целях оказания помощи инвалидам в ситуациях, связанных с домашним насилием.</w:t>
      </w:r>
    </w:p>
    <w:p w:rsidR="002F00C1" w:rsidRPr="009C494E" w:rsidRDefault="002F00C1" w:rsidP="002F00C1">
      <w:pPr>
        <w:pStyle w:val="SingleTxtGR"/>
      </w:pPr>
      <w:r w:rsidRPr="009C494E">
        <w:t>44.</w:t>
      </w:r>
      <w:r w:rsidRPr="009C494E">
        <w:tab/>
        <w:t>Глава 38 Нормативного положения о психиатрической больнице предусматривает прием и содержание под присмотром «психически больных лиц» в психиатрической больнице Порт-Вилы – единственной больнице в стране, которая располагает соответствующим отделением (Вануату, 1965 год).</w:t>
      </w:r>
    </w:p>
    <w:p w:rsidR="002F00C1" w:rsidRPr="009C494E" w:rsidRDefault="002F00C1" w:rsidP="002F00C1">
      <w:pPr>
        <w:pStyle w:val="SingleTxtGR"/>
      </w:pPr>
      <w:r w:rsidRPr="009C494E">
        <w:lastRenderedPageBreak/>
        <w:t>45.</w:t>
      </w:r>
      <w:r w:rsidRPr="009C494E">
        <w:tab/>
        <w:t xml:space="preserve">В стратегической цели 8 Национальной политики в отношении инвалидов и Плана действий Вануату содержится призыв к правительству Вануату принять закон об инвалидах, в котором определения понятий «инвалиды» и «дискриминация» соответствовало бы Конвенции Организации Объединенных Наций о правах инвалидов. Следует отметить, что после того, как Вануату подписало </w:t>
      </w:r>
      <w:r w:rsidRPr="008D403C">
        <w:rPr>
          <w:i/>
          <w:iCs/>
        </w:rPr>
        <w:t>Прокламацию о всестороннем участии и полном равенстве людей с инвалидностью в Азиатско-Тихоокеанском регионе</w:t>
      </w:r>
      <w:r w:rsidRPr="009C494E">
        <w:t>, правительство предприняло в апреле 1999 года попытку разработать проект закона об инвалидах, соответственно уполномочив для этого Государственное правовое управление. В июле 2013 года сотрудник, курирующий вопросы инвалидов, и Группа разработки нормативно-правовых документов Государственного правового управления приступили к обсуждению проекта законодательного акта об инвалидах. Эта инициатива осуществляется посредством разработки программного документа на основе редакционных указаний, утвержденных Советом министров.</w:t>
      </w:r>
    </w:p>
    <w:p w:rsidR="002F00C1" w:rsidRPr="009C494E" w:rsidRDefault="002F00C1" w:rsidP="002F00C1">
      <w:pPr>
        <w:pStyle w:val="SingleTxtGR"/>
      </w:pPr>
      <w:r w:rsidRPr="009C494E">
        <w:t>46.</w:t>
      </w:r>
      <w:r w:rsidRPr="009C494E">
        <w:tab/>
        <w:t>Проведенные в ходе этого процесса обсуждения привели к достижению договоренности между правительством Вануату и секретариатом Форума тихоокеанских островов и ЭСКАТО. Проведение законодательного обзора соблюдения КПИ запланировано на октябрь 2015 года и может привести к разработке и принятию в Вануату закона об инвалидах в 2016 году.</w:t>
      </w:r>
    </w:p>
    <w:p w:rsidR="002F00C1" w:rsidRPr="009C494E" w:rsidRDefault="002F00C1" w:rsidP="002F00C1">
      <w:pPr>
        <w:pStyle w:val="SingleTxtGR"/>
      </w:pPr>
      <w:r w:rsidRPr="009C494E">
        <w:t>47.</w:t>
      </w:r>
      <w:r w:rsidRPr="009C494E">
        <w:tab/>
        <w:t>Правительство Вануату продемонстрировало свою приверженность поощрению полной реализации закрепленных в Конвенции прав, создав в структуре Министерства юстиции и общинных служб координационный центр по вопросам инвалидов. Сотрудник по вопросам инвалидов уполномочен координировать государственные программы и действия в интересах инвалидов. Этот сотрудник по вопросам инвалидов также оказывает профессиональную консультативную помощь и иную поддержку правительству и неправительственным организациям по вопросам, касающимся инвалидов. С 2009 года правительство Вануату также включает в регулярный государственный бюджет финансовые ассигнования в размере 4 млн вату. Эти финансовые ассигнования предназначены для неправительственных организаций (НПО) и организаций гражданского общества (ОГО), которые осуществляют программы в интересах инвалидов и других уязвимых групп населения. В 2006 году правительство учредило Национальный комитет по делам инвалидов, который контролирует осуществление политики и обеспечивает учет положений КПИ в действиях правительства и гражданского общества по защите интересов инвалидов.</w:t>
      </w:r>
    </w:p>
    <w:p w:rsidR="002F00C1" w:rsidRPr="009C494E" w:rsidRDefault="002F00C1" w:rsidP="002F00C1">
      <w:pPr>
        <w:pStyle w:val="SingleTxtGR"/>
      </w:pPr>
      <w:r w:rsidRPr="009C494E">
        <w:t>48.</w:t>
      </w:r>
      <w:r w:rsidRPr="009C494E">
        <w:tab/>
        <w:t>Правительство последовательно принимает необходимые и надлежащие меры по изменению положения и внесению коррективов в целях обеспечения того, чтобы инвалиды могли реализовывать и осуществлять свои права человека и основные свободы наравне с другими людьми. Например, в состав Национального комитета по делам инвалидов, провинциальных комитетов по делам инвалидов, Национального комитета по делам молодежи и других органов, занимающихся вопросами инвалидности, входит представитель инвалидов.</w:t>
      </w:r>
    </w:p>
    <w:p w:rsidR="002F00C1" w:rsidRPr="009C494E" w:rsidRDefault="002F00C1" w:rsidP="002F00C1">
      <w:pPr>
        <w:pStyle w:val="SingleTxtGR"/>
      </w:pPr>
      <w:r w:rsidRPr="009C494E">
        <w:t>49.</w:t>
      </w:r>
      <w:r w:rsidRPr="009C494E">
        <w:tab/>
        <w:t>Общие принципы и обязательства, предусмотренные в статьях 3 и 4 Конвенции, включены в девять политических директив Национальной политики в отношении инвалидов и Плана действий на 2008–2015 годы, которые охватывают вопросы координации действий на национальном уровне, самопомощи и реабилитации, женщин-инвалидов, профессиональной подготовки и занятости, доступа к внешней среде и общественному транспорту, сокращения масштабов нищеты, ранней диагностики и вмешательства, доступа к информации и средствам коммуникации и регионального сотрудничества. Правительство разработало 6 (шесть) руководящих принципов для обеспечения эффективного осуществления и поощрения прав, закрепленных в Конвенции. К этим принципам относятся следующие:</w:t>
      </w:r>
    </w:p>
    <w:p w:rsidR="002F00C1" w:rsidRPr="009C494E" w:rsidRDefault="002F00C1" w:rsidP="002F00C1">
      <w:pPr>
        <w:pStyle w:val="Bullet1GR"/>
      </w:pPr>
      <w:r w:rsidRPr="009C494E">
        <w:t>абилитация и реабилитация;</w:t>
      </w:r>
    </w:p>
    <w:p w:rsidR="002F00C1" w:rsidRPr="009C494E" w:rsidRDefault="002F00C1" w:rsidP="002F00C1">
      <w:pPr>
        <w:pStyle w:val="Bullet1GR"/>
      </w:pPr>
      <w:r w:rsidRPr="009C494E">
        <w:t>положение женщин-инвалидов;</w:t>
      </w:r>
    </w:p>
    <w:p w:rsidR="002F00C1" w:rsidRPr="009C494E" w:rsidRDefault="002F00C1" w:rsidP="002F00C1">
      <w:pPr>
        <w:pStyle w:val="Bullet1GR"/>
      </w:pPr>
      <w:r w:rsidRPr="009C494E">
        <w:t>образование;</w:t>
      </w:r>
    </w:p>
    <w:p w:rsidR="002F00C1" w:rsidRPr="009C494E" w:rsidRDefault="002F00C1" w:rsidP="002F00C1">
      <w:pPr>
        <w:pStyle w:val="Bullet1GR"/>
      </w:pPr>
      <w:r w:rsidRPr="009C494E">
        <w:lastRenderedPageBreak/>
        <w:t xml:space="preserve">профессиональная подготовка и занятость; и </w:t>
      </w:r>
    </w:p>
    <w:p w:rsidR="002F00C1" w:rsidRPr="009C494E" w:rsidRDefault="002F00C1" w:rsidP="002F00C1">
      <w:pPr>
        <w:pStyle w:val="Bullet1GR"/>
      </w:pPr>
      <w:r w:rsidRPr="009C494E">
        <w:t>обеспечение доступности для инвалидов.</w:t>
      </w:r>
    </w:p>
    <w:p w:rsidR="002F00C1" w:rsidRPr="009C494E" w:rsidRDefault="002F00C1" w:rsidP="002F00C1">
      <w:pPr>
        <w:pStyle w:val="SingleTxtGR"/>
      </w:pPr>
      <w:r w:rsidRPr="009C494E">
        <w:t>Эти права последовательно реализуются и предполагают совместную работу с организацией гражданского общества в целях осуществления всех других прав, в частности прав, предусмотренных в статье 29, которая касается участия инвалидов в политической и общественной жизни.</w:t>
      </w:r>
    </w:p>
    <w:p w:rsidR="002F00C1" w:rsidRPr="009C494E" w:rsidRDefault="002F00C1" w:rsidP="002F00C1">
      <w:pPr>
        <w:pStyle w:val="SingleTxtGR"/>
      </w:pPr>
      <w:r w:rsidRPr="009C494E">
        <w:t>50.</w:t>
      </w:r>
      <w:r w:rsidRPr="009C494E">
        <w:tab/>
        <w:t>Правительство Вануату, действуя по линии Министерства образования, одобрило политику и Стратегический план действий в области инклюзивного образования на 2010–2020 годы, которые закладывают рамочную основу для создания системы образования, охватывающей всех детей, и создают условия для признания того факта, что все дети могут учиться. Эта политика охватывает всех детей, включая детей-инвалидов. В 2001 году Министерство здравоохранения включило в свои директивные положения по вопросам здравоохранения положение о недопустимости дискриминации по признаку инвалидности.</w:t>
      </w:r>
    </w:p>
    <w:p w:rsidR="002F00C1" w:rsidRPr="009C494E" w:rsidRDefault="002F00C1" w:rsidP="002F00C1">
      <w:pPr>
        <w:pStyle w:val="SingleTxtGR"/>
      </w:pPr>
      <w:r w:rsidRPr="009C494E">
        <w:t>51.</w:t>
      </w:r>
      <w:r w:rsidRPr="009C494E">
        <w:tab/>
        <w:t xml:space="preserve">В соответствии с Законом о децентрализации Вануату включило </w:t>
      </w:r>
      <w:r w:rsidRPr="009C494E">
        <w:br/>
        <w:t>положения КПИ в планы и бюджеты провинциальных органов власти. Национальное правительство ежегодно выделяет в общей сложности 200 000 вату (2 000 долл. США) на осуществление программ социальной защиты инвалидов в 6 провинциях Вануату, а именно в провинциях Тафеа, Шефа, Малампа, Торба, Пенама и Санма.</w:t>
      </w:r>
    </w:p>
    <w:p w:rsidR="002F00C1" w:rsidRPr="009C494E" w:rsidRDefault="002F00C1" w:rsidP="002F00C1">
      <w:pPr>
        <w:pStyle w:val="SingleTxtGR"/>
      </w:pPr>
      <w:r w:rsidRPr="009C494E">
        <w:t>52.</w:t>
      </w:r>
      <w:r w:rsidRPr="009C494E">
        <w:tab/>
        <w:t>Действуя через Департамент по делам женщин, правительство Вануату назначило в шести провинциях по одному сотруднику по делам женщин в провинции. Вопросы, касающиеся инвалидов, включены в круг ведения этих сотрудников по делам женщин в провинциях. Эти сотрудники по делам женщин в провинциях также отвечают за координацию и осуществление КПИ в провинциях.</w:t>
      </w:r>
    </w:p>
    <w:p w:rsidR="002F00C1" w:rsidRPr="009C494E" w:rsidRDefault="002F00C1" w:rsidP="002F00C1">
      <w:pPr>
        <w:pStyle w:val="SingleTxtGR"/>
      </w:pPr>
      <w:r w:rsidRPr="009C494E">
        <w:t>53.</w:t>
      </w:r>
      <w:r w:rsidRPr="009C494E">
        <w:tab/>
        <w:t>В сотрудничестве с провинциальными органами власти правительство создало провинциальные комитеты по делам инвалидов в трех провинциях, а именно в провинциях Тафеа, Шефа и Малампа.</w:t>
      </w:r>
    </w:p>
    <w:p w:rsidR="002F00C1" w:rsidRPr="009C494E" w:rsidRDefault="002F00C1" w:rsidP="002F00C1">
      <w:pPr>
        <w:pStyle w:val="SingleTxtGR"/>
      </w:pPr>
      <w:r w:rsidRPr="009C494E">
        <w:t>54.</w:t>
      </w:r>
      <w:r w:rsidRPr="009C494E">
        <w:tab/>
        <w:t>Орган местного самоуправления провинции Шефа является единственным административным органом на провинциальном уровне, который принял КПИ в качестве основы для действий в интересах инвалидов. К числу административных мер, которые были приняты этим органом в целях выполнения взятых обязательств, относятся следующие:</w:t>
      </w:r>
    </w:p>
    <w:p w:rsidR="002F00C1" w:rsidRPr="009C494E" w:rsidRDefault="002F00C1" w:rsidP="002F00C1">
      <w:pPr>
        <w:pStyle w:val="Bullet1GR"/>
      </w:pPr>
      <w:r w:rsidRPr="009C494E">
        <w:t>освобождение инвалидов в мае 2008 года от уплаты аэропортовых сборов;</w:t>
      </w:r>
    </w:p>
    <w:p w:rsidR="002F00C1" w:rsidRPr="009C494E" w:rsidRDefault="002F00C1" w:rsidP="002F00C1">
      <w:pPr>
        <w:pStyle w:val="Bullet1GR"/>
      </w:pPr>
      <w:r w:rsidRPr="009C494E">
        <w:t>строительство пандуса для обеспечения физического доступа в здание провинциальной администрации в Порт-Виле;</w:t>
      </w:r>
    </w:p>
    <w:p w:rsidR="002F00C1" w:rsidRPr="009C494E" w:rsidRDefault="002F00C1" w:rsidP="002F00C1">
      <w:pPr>
        <w:pStyle w:val="Bullet1GR"/>
      </w:pPr>
      <w:r w:rsidRPr="009C494E">
        <w:t>назначение сотрудника по делам инвалидов и увеличение размера ассигнований по статье инвалидности в ежегодном бюджете.</w:t>
      </w:r>
    </w:p>
    <w:p w:rsidR="002F00C1" w:rsidRPr="009C494E" w:rsidRDefault="002F00C1" w:rsidP="002F00C1">
      <w:pPr>
        <w:pStyle w:val="SingleTxtGR"/>
      </w:pPr>
      <w:r w:rsidRPr="009C494E">
        <w:t>55.</w:t>
      </w:r>
      <w:r w:rsidRPr="009C494E">
        <w:tab/>
        <w:t>В мае 2009 года совет провинции Шефа утвердил австралийские строительные нормативы и свод универсальных цветовых правил. В настоящее время правительство Вануату обсуждает варианты законодательного закрепления этих мер.</w:t>
      </w:r>
    </w:p>
    <w:p w:rsidR="002F00C1" w:rsidRPr="009C494E" w:rsidRDefault="002F00C1" w:rsidP="002F00C1">
      <w:pPr>
        <w:pStyle w:val="SingleTxtGR"/>
      </w:pPr>
      <w:r w:rsidRPr="009C494E">
        <w:t>56.</w:t>
      </w:r>
      <w:r w:rsidRPr="009C494E">
        <w:tab/>
        <w:t>Отдел по делам инвалидов в правительстве, действуя при содействии партнеров в области развития, провел профессиональную подготовку и обучение сотрудников полиции и офицеров мобильных сил, а также секретарей провинций и руководителей государственных департаментов по вопросам КПИ. В 2011 году правительство провело информационно-просветительскую кампанию в общинах в районе Порт-Вилы и на близлежащих островах. Правительство также содействует повышению осведомленности по этой проблематике с помощью плакатов и брошюр, а также через средства массовой информации, включая газету «Дейли пост», радио и телевидение. Три инвалида были вклю</w:t>
      </w:r>
      <w:r w:rsidRPr="009C494E">
        <w:lastRenderedPageBreak/>
        <w:t>чены в состав консультационной группы по политике в отношении инвалидов в целях обеспечения того, чтобы эта политика охватывала реальные проблемы, затрагивающие инвалидов.</w:t>
      </w:r>
    </w:p>
    <w:p w:rsidR="002F00C1" w:rsidRPr="009C494E" w:rsidRDefault="002F00C1" w:rsidP="00B5540A">
      <w:pPr>
        <w:pStyle w:val="HChGR"/>
      </w:pPr>
      <w:r w:rsidRPr="009C494E">
        <w:tab/>
      </w:r>
      <w:r w:rsidRPr="009C494E">
        <w:tab/>
        <w:t>Часть В. Статьи 5</w:t>
      </w:r>
      <w:r w:rsidR="00B5540A">
        <w:t>–</w:t>
      </w:r>
      <w:r w:rsidRPr="009C494E">
        <w:t>8</w:t>
      </w:r>
    </w:p>
    <w:p w:rsidR="002F00C1" w:rsidRPr="009C494E" w:rsidRDefault="002F00C1" w:rsidP="002F00C1">
      <w:pPr>
        <w:pStyle w:val="H1GR"/>
      </w:pPr>
      <w:r w:rsidRPr="009C494E">
        <w:tab/>
      </w:r>
      <w:r w:rsidRPr="009C494E">
        <w:tab/>
        <w:t>Статья 5: Равенство и недискриминация</w:t>
      </w:r>
    </w:p>
    <w:p w:rsidR="002F00C1" w:rsidRPr="009C494E" w:rsidRDefault="002F00C1" w:rsidP="002F00C1">
      <w:pPr>
        <w:pStyle w:val="SingleTxtGR"/>
      </w:pPr>
      <w:r w:rsidRPr="009C494E">
        <w:t>57.</w:t>
      </w:r>
      <w:r w:rsidRPr="009C494E">
        <w:tab/>
        <w:t>В статье 5 (1) Конституции Вануату закреплена решительная приверженность делу осуществления гражданами своих основных прав и свобод на основе равенства и без какой-либо дискриминации и говорится следующее: «Вануату признает, что с учетом любых ограничений, установленных законом для неграждан, все люди имеют право на следующие основные права и свободы личности без какой-либо дискриминации по признаку расы, места происхождения, религиозных или традиционных убеждений, политических взглядов, языка или пола при условии уважения прав и свобод других лиц и соблюдения законных общественных интересов в области обороны, безопасности, общественного порядка, благосостояния, охраны здоровья и жизни: право на свободу; право на личную неприкосновенность; право на защиту со стороны закона; право на свободу от бесчеловечного обращения и принудительного труда; право на свободу совести и вероисповедания; право на свободу выражения мнений; право на свободу собраний и ассоциации; право на свободу передвижения; право на защиту неприкосновенности жилища и другого имущества и защиту от несправедливого лишения имущества; право на равное обращение в соответствии с законом или административными актами, исходя при этом из того, что ни один закон не противоречит настоящему подпункту в том, что он предусматривает предоставление специальных благ, благосостояние, защиту или улучшение положения женщин, детей и молодых людей, представителей групп населения, находящихся в неблагоприятном положении, и жителей менее развитых районов</w:t>
      </w:r>
      <w:r>
        <w:t>»</w:t>
      </w:r>
      <w:r w:rsidRPr="009C494E">
        <w:rPr>
          <w:rStyle w:val="FootnoteReference"/>
        </w:rPr>
        <w:footnoteReference w:id="16"/>
      </w:r>
      <w:r w:rsidRPr="009C494E">
        <w:t>.</w:t>
      </w:r>
    </w:p>
    <w:p w:rsidR="002F00C1" w:rsidRPr="009C494E" w:rsidRDefault="002F00C1" w:rsidP="002F00C1">
      <w:pPr>
        <w:pStyle w:val="SingleTxtGR"/>
      </w:pPr>
      <w:r w:rsidRPr="009C494E">
        <w:t>58.</w:t>
      </w:r>
      <w:r w:rsidRPr="009C494E">
        <w:tab/>
        <w:t>Категория лиц, находящихся в неблагоприятном положении, о которой говорится в главе 2 (5) k) Конституции Вануату, охватывает инвалидов, и, как следствие, Конституция также предусматривает для инвалидов защиту и равные права.</w:t>
      </w:r>
    </w:p>
    <w:p w:rsidR="002F00C1" w:rsidRPr="009C494E" w:rsidRDefault="002F00C1" w:rsidP="002F00C1">
      <w:pPr>
        <w:pStyle w:val="SingleTxtGR"/>
      </w:pPr>
      <w:r w:rsidRPr="009C494E">
        <w:t>59.</w:t>
      </w:r>
      <w:r w:rsidRPr="009C494E">
        <w:tab/>
        <w:t>В Конституции Вануату предусмотрена следующая защита закона:</w:t>
      </w:r>
    </w:p>
    <w:p w:rsidR="002F00C1" w:rsidRPr="009C494E" w:rsidRDefault="002F00C1" w:rsidP="002F00C1">
      <w:pPr>
        <w:pStyle w:val="Bullet1GR"/>
      </w:pPr>
      <w:r w:rsidRPr="009C494E">
        <w:t>каждое лицо, обвиняемое в совершении правонарушения, имеет право на справедливое судебное разбирательство в разумные сроки независимым и беспристрастным судом, и в случае совершения серьезного преступления этому лицу предоставляется адвокат;</w:t>
      </w:r>
    </w:p>
    <w:p w:rsidR="002F00C1" w:rsidRPr="009C494E" w:rsidRDefault="002F00C1" w:rsidP="002F00C1">
      <w:pPr>
        <w:pStyle w:val="Bullet1GR"/>
      </w:pPr>
      <w:r w:rsidRPr="009C494E">
        <w:t>каждое лицо считается невиновным до тех пор, пока суд не установит его вину в соответствии с законом;</w:t>
      </w:r>
    </w:p>
    <w:p w:rsidR="002F00C1" w:rsidRPr="009C494E" w:rsidRDefault="002F00C1" w:rsidP="002F00C1">
      <w:pPr>
        <w:pStyle w:val="Bullet1GR"/>
      </w:pPr>
      <w:r w:rsidRPr="009C494E">
        <w:t>каждое обвиняемое лицо должно быть незамедлительно проинформировано на понятном ему языке о правонарушении, в совершении которого это лицо обвиняется;</w:t>
      </w:r>
    </w:p>
    <w:p w:rsidR="002F00C1" w:rsidRPr="009C494E" w:rsidRDefault="002F00C1" w:rsidP="002F00C1">
      <w:pPr>
        <w:pStyle w:val="Bullet1GR"/>
      </w:pPr>
      <w:r w:rsidRPr="009C494E">
        <w:t>если обвиняемое лицо не понимает языка, который будет использоваться в ходе судебного разбирательства, этому лицу предоставляются услуги устного переводчика на всем протяжении судебного разбирательства;</w:t>
      </w:r>
    </w:p>
    <w:p w:rsidR="002F00C1" w:rsidRPr="009C494E" w:rsidRDefault="002F00C1" w:rsidP="002F00C1">
      <w:pPr>
        <w:pStyle w:val="Bullet1GR"/>
      </w:pPr>
      <w:r w:rsidRPr="009C494E">
        <w:t>никакое лицо не может быть судимо в его отсутствие без его согласия, за исключением тех случаев, когда это лицо не позволяет суду проводить разбирательство в его присутствии;</w:t>
      </w:r>
    </w:p>
    <w:p w:rsidR="002F00C1" w:rsidRPr="009C494E" w:rsidRDefault="002F00C1" w:rsidP="002F00C1">
      <w:pPr>
        <w:pStyle w:val="Bullet1GR"/>
      </w:pPr>
      <w:r w:rsidRPr="009C494E">
        <w:lastRenderedPageBreak/>
        <w:t>никто не может быть осужден по факту действия или бездействия, которое не представляет собой преступления, предусмотренного в письменном или обычном праве на момент его совершения;</w:t>
      </w:r>
    </w:p>
    <w:p w:rsidR="002F00C1" w:rsidRPr="009C494E" w:rsidRDefault="002F00C1" w:rsidP="002F00C1">
      <w:pPr>
        <w:pStyle w:val="Bullet1GR"/>
      </w:pPr>
      <w:r w:rsidRPr="009C494E">
        <w:t>никто не может быть подвергнут более суровому наказанию, чем то, которое было предусмотрено на момент совершения правонарушения;</w:t>
      </w:r>
    </w:p>
    <w:p w:rsidR="002F00C1" w:rsidRPr="009C494E" w:rsidRDefault="002F00C1" w:rsidP="002F00C1">
      <w:pPr>
        <w:pStyle w:val="Bullet1GR"/>
      </w:pPr>
      <w:r w:rsidRPr="009C494E">
        <w:t>никакое лицо, которое было помиловано или привлечено к суду и осуждено или оправдано, не может быть вновь предано суду за то же самое правонарушение или любое другое правонарушение, за которое это лицо могло бы быть осуждено в ходе судебного разбирательства по его делу.</w:t>
      </w:r>
    </w:p>
    <w:p w:rsidR="002F00C1" w:rsidRPr="009C494E" w:rsidRDefault="002F00C1" w:rsidP="002F00C1">
      <w:pPr>
        <w:pStyle w:val="SingleTxtGR"/>
      </w:pPr>
      <w:r w:rsidRPr="009C494E">
        <w:t>60.</w:t>
      </w:r>
      <w:r w:rsidRPr="009C494E">
        <w:tab/>
        <w:t>В 2002 году Ассоциация по вопросам поддержки и защиты инвалидов (АПЗИ) направила письменное обращение в адрес Комитета по пересмотру Конституции с просьбой включить «инвалидность в число признаков для недискриминации», предусмотренных в статье 5 (1) Конституции, а также расширить определение групп населения, находящихся в неблагоприятном положении, с тем чтобы включить в него инвалидов. Правительство также приняло несколько специальных мер, включая предоставление возможности бесплатного пользования амбулаторными медицинскими учреждениями, которые направлены на оказание помощи учащимся, пожилым людям и инвалидам. Если не считать этих мер, позитивные меры в области законодательства или административного нормотворчества носят в настоящее время ограниченный характер.</w:t>
      </w:r>
    </w:p>
    <w:p w:rsidR="002F00C1" w:rsidRPr="009C494E" w:rsidRDefault="002F00C1" w:rsidP="002F00C1">
      <w:pPr>
        <w:pStyle w:val="SingleTxtGR"/>
      </w:pPr>
      <w:r w:rsidRPr="009C494E">
        <w:t>61.</w:t>
      </w:r>
      <w:r w:rsidRPr="009C494E">
        <w:tab/>
        <w:t>Важно отметить, что власти провинций Тафеа, Шефа и Санма призывают включить в Конституцию признак инвалидности в качестве запрещенного признака для дискриминации. Власти провинций считают эту меру важной для реализации прав инвалидов. В ходе проведения своих соответствующих консультаций органы власти провинций призвали к осуществлению законодательной реформы, предусматривающей принятие конкретного законодательства об инвалидах, что позволит включить во внутреннее право положения КПИ в целях обеспечения более эффективной защиты прав инвалидов. Власти провинций Шефа и Санма включили права инвалидов в свои корпоративные планы и назначили в этих провинциях координаторов по делам инвалидов, предусмотрев при этом для этих целей бюджетные ассигнования в размере 200 000 вату в год.</w:t>
      </w:r>
    </w:p>
    <w:p w:rsidR="002F00C1" w:rsidRPr="009C494E" w:rsidRDefault="002F00C1" w:rsidP="002F00C1">
      <w:pPr>
        <w:pStyle w:val="SingleTxtGR"/>
      </w:pPr>
      <w:r w:rsidRPr="009C494E">
        <w:t>62.</w:t>
      </w:r>
      <w:r w:rsidRPr="009C494E">
        <w:tab/>
        <w:t>Правительство Вануату считает проведение законодательной и административной реформ приоритетной задачей, выполнение которой позволит создать благоприятные условия для жизни инвалидов. Правительство также приступает к решению вопросов правоприменительного соответствия, с тем чтобы обеспечить соответствие законов и политических программ Вануату положениям КПИ. Правительство Вануату работает над принятием надлежащих законодательных, административных и других мер, направленных на осуществление прав, закрепленных в КПИ, в соответствии с требованием статьи 4 (Общие обязательства).</w:t>
      </w:r>
    </w:p>
    <w:p w:rsidR="002F00C1" w:rsidRPr="009C494E" w:rsidRDefault="002F00C1" w:rsidP="002F00C1">
      <w:pPr>
        <w:pStyle w:val="SingleTxtGR"/>
      </w:pPr>
      <w:r w:rsidRPr="009C494E">
        <w:t>63.</w:t>
      </w:r>
      <w:r w:rsidRPr="009C494E">
        <w:tab/>
        <w:t>Правительство Вануату сделало первый шаг к тому, чтобы ввести КПИ в действие, интегрировав все определения, содержащиеся в статье 2 КПИ, в Национальную политику Вануату в отношении инвалидов и План действий на 2008–2015 годы.</w:t>
      </w:r>
    </w:p>
    <w:p w:rsidR="002F00C1" w:rsidRPr="009C494E" w:rsidRDefault="002F00C1" w:rsidP="002F00C1">
      <w:pPr>
        <w:pStyle w:val="H1GR"/>
      </w:pPr>
      <w:r w:rsidRPr="009C494E">
        <w:tab/>
      </w:r>
      <w:r w:rsidRPr="009C494E">
        <w:tab/>
        <w:t>Статья 8: Просветительно-воспитательная работа</w:t>
      </w:r>
    </w:p>
    <w:p w:rsidR="002F00C1" w:rsidRPr="009C494E" w:rsidRDefault="002F00C1" w:rsidP="002F00C1">
      <w:pPr>
        <w:pStyle w:val="SingleTxtGR"/>
      </w:pPr>
      <w:r w:rsidRPr="009C494E">
        <w:t>64.</w:t>
      </w:r>
      <w:r w:rsidRPr="009C494E">
        <w:tab/>
        <w:t xml:space="preserve">Содержащаяся в Национальной политике в отношении инвалидов и Плане действий политическая директива 8.7 предусматривает, что правительство должно проводить среди общественности просветительно-воспитательные кампании, нацеленные на раннюю диагностику и профилактику наиболее предотвратимых видов инвалидности. В НПИПД предусмотрены меры по информированию населения от широкой общественности до государственных должностных лиц, включая членов кабинета министров, а также до доноров </w:t>
      </w:r>
      <w:r w:rsidRPr="009C494E">
        <w:lastRenderedPageBreak/>
        <w:t>и региональных и международных учреждений. Планируется принять меры к тому, чтобы постоянно информировать само правительство посредством проведения научных исследований, а также сбора данных либо в структуре отдельных департаментов и министерств, либо посредством проведения таких мероприятий, как национальные переписи населения, и обмена такой информацией в Вануату. Власти провинции Тафеа работают над принятием мер по созданию благоприятных условий для жизни инвалидов. В провинции был построен пандус для доступа лиц, передвигающихся на инвалидных колясках, в главное административное здание провинции, что свидетельствует об осуществлении первых шагов на пути к их социальной интеграции и позволяет лицам, передвигающимся на инвалидных колясках, въезжать в здание для получения информации и выражения своих озабоченностей провинциальным властям.</w:t>
      </w:r>
    </w:p>
    <w:p w:rsidR="002F00C1" w:rsidRPr="009C494E" w:rsidRDefault="002F00C1" w:rsidP="002F00C1">
      <w:pPr>
        <w:pStyle w:val="SingleTxtGR"/>
      </w:pPr>
      <w:r w:rsidRPr="009C494E">
        <w:t>65.</w:t>
      </w:r>
      <w:r w:rsidRPr="009C494E">
        <w:tab/>
        <w:t>В настоящее время полиция Вануату проводит просветительно-воспитательную работу на национальном уровне во всех шести провинциях и во всех учебных заведениях, включая начальные и средние школы. Просветительно-воспитательная работа также проводится среди молодежных и женских групп по таким вопросам, как права человека, общие законы и охрана и безопасность. Закон о защите семьи 2008 года (нацелен на сокращение домашнего насилия на всех уровнях вануатского общества) предусматривает проведение просветительной работы, в ходе которой также предоставляется информация о стереотипных представлениях, предрассудках и вредных традициях и обычаях, касающихся инвалидов. В целях повышения информированности всех слоев общества, в том числе на уровне семьи, по вопросам инвалидности и содействия уважению прав инвалидов правительство также провело разъяснительную работу по положениям Закона о защите семьи, который предусматривает поощрение гармоничных семейных отношений. Принятые в этих целях меры включают создание возможностей, для того чтобы третья сторона могла прибегать к средствам правовой защиты для оказания помощи инвалидам в ситуациях, связанных с домашним насилием.</w:t>
      </w:r>
    </w:p>
    <w:p w:rsidR="002F00C1" w:rsidRPr="009C494E" w:rsidRDefault="002F00C1" w:rsidP="002F00C1">
      <w:pPr>
        <w:pStyle w:val="SingleTxtGR"/>
      </w:pPr>
      <w:r w:rsidRPr="009C494E">
        <w:t>66.</w:t>
      </w:r>
      <w:r w:rsidRPr="009C494E">
        <w:tab/>
        <w:t>Правительство Вануату, действуя по линии отдела по делам инвалидов в партнерстве с НПО и другими государственными учреждениями, провело действенные информационно-просветительские кампании в рамках существующих сетей, нацеленные на пропаганду позитивного представления об инвалидах. С помощью отдела по делам инвалидов и в партнерстве с заинтересованными субъектами правительство Вануату ежегодно отмечает Международный день инвалидов, проводя различные информационно-просветительские мероприятия в целях повышения осведомленности широкой общественности о Конвенции.</w:t>
      </w:r>
    </w:p>
    <w:p w:rsidR="002F00C1" w:rsidRPr="009C494E" w:rsidRDefault="002F00C1" w:rsidP="002F00C1">
      <w:pPr>
        <w:pStyle w:val="SingleTxtGR"/>
      </w:pPr>
      <w:r w:rsidRPr="009C494E">
        <w:t>67.</w:t>
      </w:r>
      <w:r w:rsidRPr="009C494E">
        <w:tab/>
        <w:t xml:space="preserve">Правительство Вануату, действуя в партнерстве со страновым целевым проектом для Вануату, осуществляемым СТС/РГПР, провело информационно-просветительские мероприятия по вопросам прав человека и КПИ в организациях инвалидов, для сотрудников полиции Вануату, в общинах Порт-Вилы </w:t>
      </w:r>
      <w:r w:rsidRPr="009C494E">
        <w:br/>
        <w:t>и на трех основных островах, а именно Санто, Танна и Малекула, в национальных и провинциальных комитетах по делам инвалидов, национальных и провинциальных комитетах по вопросам защиты семьи, для членов сети христианских церковных советов и в других заинтересованных общинных организациях.</w:t>
      </w:r>
    </w:p>
    <w:p w:rsidR="002F00C1" w:rsidRPr="009C494E" w:rsidRDefault="002F00C1" w:rsidP="002F00C1">
      <w:pPr>
        <w:pStyle w:val="SingleTxtGR"/>
      </w:pPr>
      <w:r w:rsidRPr="009C494E">
        <w:t>68.</w:t>
      </w:r>
      <w:r w:rsidRPr="009C494E">
        <w:tab/>
        <w:t>Правительство Вануату создало должности координаторов по делам инвалидов в министерствах здравоохранения, образования и инфраструктуры и общественных работ. Эти координаторы отвечают за интеграцию вопросов инвалидов в деятельность соответствующих отраслевых министерств. Действуя по линии Министерства юстиции и Департамента по делам женщин, правительство создало в провинциях должности референтов по делам женщин и провинциальные комитеты по делам инвалидов, которые отвечают за осуществление Конвенции. Координаторы в приоритетном порядке обеспечивают участие инвалидов в разработке политики и в ее осуществлении.</w:t>
      </w:r>
    </w:p>
    <w:p w:rsidR="002F00C1" w:rsidRPr="009C494E" w:rsidRDefault="002F00C1" w:rsidP="002F00C1">
      <w:pPr>
        <w:pStyle w:val="SingleTxtGR"/>
      </w:pPr>
      <w:r w:rsidRPr="009C494E">
        <w:t>69.</w:t>
      </w:r>
      <w:r w:rsidRPr="009C494E">
        <w:tab/>
        <w:t xml:space="preserve">Правительство Вануату поддерживает выдвигаемые НПО и организациями инвалидов инициативы, которые нацелены на поощрение прав инвалидов </w:t>
      </w:r>
      <w:r w:rsidRPr="009C494E">
        <w:lastRenderedPageBreak/>
        <w:t>через проведение спортивных мероприятий и средства массовой информации, а также на продвижение в правительстве мысли о необходимости признать инвалидов маргинализированной группой населения.</w:t>
      </w:r>
    </w:p>
    <w:p w:rsidR="002F00C1" w:rsidRPr="009C494E" w:rsidRDefault="002F00C1" w:rsidP="002F00C1">
      <w:pPr>
        <w:pStyle w:val="SingleTxtGR"/>
      </w:pPr>
      <w:r w:rsidRPr="009C494E">
        <w:t>70.</w:t>
      </w:r>
      <w:r w:rsidRPr="009C494E">
        <w:tab/>
        <w:t>Секретариат Форума тихоокеанских островов в партнерстве с СТС/РГПР и Австралийской комиссией по правам человека (АКПЧ) оказал поддержку в этой работе посредством содействия проведению целенаправленной правозащитной учебной подготовки для сотрудников государственных органов и инструкторов-методистов по вопросам КПИ и возможностям ее применения в целях повышения эффективности поощрения и защиты прав инвалидов. Важно отметить, что существует необходимость создания более широких сетей на территории Вануату для расширения доступа к информации о Конвенции о правах инвалидов.</w:t>
      </w:r>
    </w:p>
    <w:p w:rsidR="002F00C1" w:rsidRPr="009C494E" w:rsidRDefault="002F00C1" w:rsidP="002F00C1">
      <w:pPr>
        <w:pStyle w:val="SingleTxtGR"/>
      </w:pPr>
      <w:r w:rsidRPr="009C494E">
        <w:t>71.</w:t>
      </w:r>
      <w:r w:rsidRPr="009C494E">
        <w:tab/>
        <w:t>В настоящее время координацией всей деятельности, связанной с вопросами инвалидности в Вануату, занимается Министерство юстиции и общинных служб. Оно также выступает в роли правительственного координационного центра по вопросам инвалидности для Вануату и других заинтересованных сторон в регионе. Министерство юстиции и общинных служб также отвечает за оказание качественной и своевременной консультативной помощи по учитывающим интересы инвалидов стратегиям развития, планам работы, программам и мероприятиям. В основе этого подхода лежит проведение мониторинга и оценки стратегий инклюзивного развития, планов работы, программ и мероприятий.</w:t>
      </w:r>
    </w:p>
    <w:p w:rsidR="002F00C1" w:rsidRPr="009C494E" w:rsidRDefault="002F00C1" w:rsidP="002F00C1">
      <w:pPr>
        <w:pStyle w:val="SingleTxtGR"/>
      </w:pPr>
      <w:r w:rsidRPr="009C494E">
        <w:t>72.</w:t>
      </w:r>
      <w:r w:rsidRPr="009C494E">
        <w:tab/>
        <w:t>Национальный комитет Вануату по делам инвалидов является консультативным органом правительства, отвечающим за координацию действий организаций инвалидов на национальном уровне. Комитет по делам инвалидов работает в сотрудничестве с Министерством юстиции и общинных служб на благо поощрения и активизации инклюзивного развития с учетом интересов инвалидов в стране.</w:t>
      </w:r>
    </w:p>
    <w:p w:rsidR="002F00C1" w:rsidRPr="009C494E" w:rsidRDefault="002F00C1" w:rsidP="002F00C1">
      <w:pPr>
        <w:pStyle w:val="SingleTxtGR"/>
      </w:pPr>
      <w:r w:rsidRPr="009C494E">
        <w:t>73.</w:t>
      </w:r>
      <w:r w:rsidRPr="009C494E">
        <w:tab/>
        <w:t>Вануату готовится ко второму универсальному периодическому обзору (УПО) в Совете по правам человека. Этот обзор послужит основой для проведения независимого мониторинга хода всеобъемлющего осуществления основных прав человека, закрепленных в Конвенции о правах инвалидов. Рекомендации Совета по правам человека могут быть использованы в качестве руководства для улучшения положения инвалидов. Кроме того, эти рекомендации могут быть также использованы для мониторинга прогресса, достигнутого Вануату в деле реализации своих обязательств по КПИ и, что еще важнее, для полного осуществления основных прав человека инвалидов на международном уровне.</w:t>
      </w:r>
    </w:p>
    <w:p w:rsidR="002F00C1" w:rsidRPr="009C494E" w:rsidRDefault="002F00C1" w:rsidP="002F00C1">
      <w:pPr>
        <w:pStyle w:val="SingleTxtGR"/>
      </w:pPr>
      <w:r w:rsidRPr="009C494E">
        <w:t>74.</w:t>
      </w:r>
      <w:r w:rsidRPr="009C494E">
        <w:tab/>
        <w:t>Конвенция о правах инвалидов также предусматривает механизм, с помощью которого можно оценить степень соблюдения Вануату своих обязательств. Организации инвалидов и организации гражданского общества могут использовать КПИ для мониторинга выполнения их собственных организационных обязанностей и обязательств в отношении инвалидов на национальном уровне. Организации гражданского общества и неправительственные организаци</w:t>
      </w:r>
      <w:r>
        <w:t>и</w:t>
      </w:r>
      <w:r w:rsidRPr="009C494E">
        <w:t xml:space="preserve"> обсуждают в настоящее время вопрос о подготовке неофициального доклада о ходе осуществления КПИ, который обеспечит систему сдержек и противовесов при оценке действий правительства по выполнению им своих обязательств по КПИ. Региональные организации также могут использовать КПИ для разработки своих собственных региональных стратегий по вопросам инвалидов и для оказания помощи правительствам в разработке основанных на правозащитном подходе программ и нормативно-правовых документов, в том числе по вопросам осуществления, мониторинга и оценки.</w:t>
      </w:r>
    </w:p>
    <w:p w:rsidR="002F00C1" w:rsidRPr="009C494E" w:rsidRDefault="002F00C1" w:rsidP="002F00C1">
      <w:pPr>
        <w:pStyle w:val="SingleTxtGR"/>
      </w:pPr>
      <w:r w:rsidRPr="009C494E">
        <w:t>75.</w:t>
      </w:r>
      <w:r w:rsidRPr="009C494E">
        <w:tab/>
        <w:t xml:space="preserve">Ратифицированные Вануату международные договоры, такие как Конвенция о ликвидации всех форм дискриминации в отношении женщин (КЛДОЖ) и Конвенция о правах ребенка, могут также служить независимыми механизмами мониторинга положения инвалидов, в частности женщин-инвалидов и детей-инвалидов. В докладе признается, что многое предстоит еще </w:t>
      </w:r>
      <w:r w:rsidRPr="009C494E">
        <w:lastRenderedPageBreak/>
        <w:t>сделать для обеспечения того, чтобы вопросы, касающиеся женщин-инвалидов и детей-инвалидов, были надлежащим образом охвачены в вышеупомянутых договорах Организации Объединенных Наций.</w:t>
      </w:r>
    </w:p>
    <w:p w:rsidR="002F00C1" w:rsidRPr="009C494E" w:rsidRDefault="002F00C1" w:rsidP="002F00C1">
      <w:pPr>
        <w:pStyle w:val="SingleTxtGR"/>
      </w:pPr>
      <w:r w:rsidRPr="009C494E">
        <w:t>76.</w:t>
      </w:r>
      <w:r w:rsidRPr="009C494E">
        <w:tab/>
        <w:t>НПО «Женский центр Вануату» также играет ключевую роль в оказании помощи семьям и/или жертвам насилия в Вануату. Женский центр Вануату и Общество инвалидов Вануату взаимодействуют в деле оказания помощи инвалидам, пострадавшим от насилия.</w:t>
      </w:r>
    </w:p>
    <w:p w:rsidR="002F00C1" w:rsidRPr="009C494E" w:rsidRDefault="002F00C1" w:rsidP="002F00C1">
      <w:pPr>
        <w:pStyle w:val="HChGR"/>
      </w:pPr>
      <w:r w:rsidRPr="009C494E">
        <w:tab/>
      </w:r>
      <w:r w:rsidRPr="009C494E">
        <w:tab/>
        <w:t>Часть С. Статьи 9–30</w:t>
      </w:r>
    </w:p>
    <w:p w:rsidR="002F00C1" w:rsidRPr="009C494E" w:rsidRDefault="002F00C1" w:rsidP="002F00C1">
      <w:pPr>
        <w:pStyle w:val="H1GR"/>
      </w:pPr>
      <w:r w:rsidRPr="009C494E">
        <w:tab/>
      </w:r>
      <w:r w:rsidRPr="009C494E">
        <w:tab/>
        <w:t>Статья 9: Доступность</w:t>
      </w:r>
    </w:p>
    <w:p w:rsidR="002F00C1" w:rsidRPr="009C494E" w:rsidRDefault="002F00C1" w:rsidP="002F00C1">
      <w:pPr>
        <w:pStyle w:val="SingleTxtGR"/>
      </w:pPr>
      <w:r w:rsidRPr="009C494E">
        <w:t>77.</w:t>
      </w:r>
      <w:r w:rsidRPr="009C494E">
        <w:tab/>
        <w:t>Министерство инфраструктуры официально учредило комитет для проведения оценки свода строительных норм и обеспечения осуществления и соблюдения положений Конвенции. Важно отметить, что в стране отсутствует надлежащая инфраструктура, которая могла бы обеспечить доступный общественный транспорт, и правительство рассматривает в настоящее время вопрос о мерах, которые необходимо принять для обеспечения доступности общественного транспорта. Правительство Вануату, действуя через группу планирования физических объектов инфраструктуры, входящую в структуру органов власти провинции Шефа, принимает меры к тому, чтобы все заявки на получение разрешений на строительство отвечали строительным нормам и учитывали интересы инвалидов, включая обязательное строительство пандусов для инвалидов, пользующихся инвалидными колясками.</w:t>
      </w:r>
    </w:p>
    <w:p w:rsidR="002F00C1" w:rsidRPr="009C494E" w:rsidRDefault="002F00C1" w:rsidP="002F00C1">
      <w:pPr>
        <w:pStyle w:val="SingleTxtGR"/>
      </w:pPr>
      <w:r w:rsidRPr="009C494E">
        <w:t>78.</w:t>
      </w:r>
      <w:r w:rsidRPr="009C494E">
        <w:tab/>
        <w:t>В настоящее время Департамент общественных работ изучает вопрос о пересмотре соответствующих норм и законов, с тем чтобы обеспечить соблюдение соответствующих статей КПИ. Подготовка Национального свода строительных норм была завершена в 2013 году</w:t>
      </w:r>
      <w:r w:rsidRPr="009C494E">
        <w:rPr>
          <w:rStyle w:val="FootnoteReference"/>
        </w:rPr>
        <w:footnoteReference w:id="17"/>
      </w:r>
      <w:r w:rsidRPr="009C494E">
        <w:t>. Свод строительных норм устанавливает эксплуатационные показатели и стандарты для зданий и культурно-бытовых объектов с учетом потребностей инвалидов. Свод строительных норм предусматривает, что здания и объекты классов 3, 5, 6, 7, 8 и 9 должны обеспечивать доступ инвалидам. Правительство Вануату занимается разработкой законопроекта о дорогах. На приводимом ниже рисунке 1 показаны типовые параметры дорожных конструкций, включающие параметр ширины, необходимой для проезда инвалидов. В рамках консультаций по законопроекту о дорогах Министерство инфраструктуры и общественных работ провело инструктаж для заинтересованных сторон по проблемам доступности, с которыми сталкиваются инвалиды. Это было сделано, главным образом, для того, чтобы обеспечить инклюзивность всех тех работ, которые выполняются общинами или строительными компаниями. Например, для того чтобы компания имела право на получение контракта от Департамента общественных работ, в этой компании должен работать, по крайней мере, один инвалид.</w:t>
      </w:r>
    </w:p>
    <w:p w:rsidR="00381C24" w:rsidRDefault="00EB4C74" w:rsidP="00182F51">
      <w:pPr>
        <w:jc w:val="center"/>
      </w:pPr>
      <w:r w:rsidRPr="009C494E">
        <w:rPr>
          <w:noProof/>
          <w:lang w:val="en-US" w:eastAsia="zh-CN"/>
        </w:rPr>
        <w:lastRenderedPageBreak/>
        <w:drawing>
          <wp:inline distT="0" distB="0" distL="0" distR="0" wp14:anchorId="04D0C7A6" wp14:editId="5887E85F">
            <wp:extent cx="4328160" cy="1821180"/>
            <wp:effectExtent l="0" t="0" r="0" b="7620"/>
            <wp:docPr id="15" name="Picture 1" descr="wheelchai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Wid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160" cy="1821180"/>
                    </a:xfrm>
                    <a:prstGeom prst="rect">
                      <a:avLst/>
                    </a:prstGeom>
                    <a:noFill/>
                    <a:ln>
                      <a:noFill/>
                    </a:ln>
                  </pic:spPr>
                </pic:pic>
              </a:graphicData>
            </a:graphic>
          </wp:inline>
        </w:drawing>
      </w:r>
    </w:p>
    <w:p w:rsidR="00EB4C74" w:rsidRPr="009C494E" w:rsidRDefault="00EB4C74" w:rsidP="00EB4C74">
      <w:pPr>
        <w:pStyle w:val="SingleTxtGR"/>
      </w:pPr>
      <w:r w:rsidRPr="009C494E">
        <w:t>79.</w:t>
      </w:r>
      <w:r w:rsidRPr="009C494E">
        <w:tab/>
        <w:t xml:space="preserve">В 2012 году правительство приступило к осуществлению в Вануату политики в области информационно-коммуникационных технологий (ИКТ), которая позволит предоставить инвалидам доступ к информации и технологиям с помощью использования компьютеров, системы Брайля и телекоммуникационных средств. Что касается доступа к школьным учреждениям, то школьные администрации в Малакуле, Амбриме, провинциях Пенама и Малампа, особенно на острове Малакула, ведут в настоящее время работы, с тем чтобы обеспечить доступность школ для детей-инвалидов, включая предоставление школьных материалов и помощи преподавателей для поддержки учащихся с особыми потребностями. </w:t>
      </w:r>
    </w:p>
    <w:p w:rsidR="00EB4C74" w:rsidRPr="009C494E" w:rsidRDefault="00EB4C74" w:rsidP="00EB4C74">
      <w:pPr>
        <w:pStyle w:val="SingleTxtGR"/>
      </w:pPr>
      <w:r w:rsidRPr="009C494E">
        <w:t>80.</w:t>
      </w:r>
      <w:r w:rsidRPr="009C494E">
        <w:tab/>
        <w:t>В настоящее время правительство Вануату сотрудничает с властями провинций и неправительственными организациями в решении различных проблем, связанных с инвалидностью, что позволило добиться следующих результатов:</w:t>
      </w:r>
    </w:p>
    <w:p w:rsidR="00EB4C74" w:rsidRPr="009C494E" w:rsidRDefault="00EB4C74" w:rsidP="00EB4C74">
      <w:pPr>
        <w:pStyle w:val="Bullet1GR"/>
      </w:pPr>
      <w:r w:rsidRPr="009C494E">
        <w:t>повысить информированность о правах человека и правозащитных подходах, что на деле означает, что больше людских ресурсов направляется в общины для ведения информационно-пропагандистской работы по вопросам инвалидности;</w:t>
      </w:r>
    </w:p>
    <w:p w:rsidR="00EB4C74" w:rsidRPr="009C494E" w:rsidRDefault="00EB4C74" w:rsidP="00EB4C74">
      <w:pPr>
        <w:pStyle w:val="Bullet1GR"/>
      </w:pPr>
      <w:r w:rsidRPr="009C494E">
        <w:t>достичь прогресса в деле реализации политики инклюзивного образования, политики соблюдения строительных норм и политики в области спорта, которые направлены на выработку и соблюдение четких стандартов и установок, предусматривающих содействие обеспечению равного доступа для всех, в том числе доступа к объектам и услугам в домах и общинах, а также нацелены на обеспечение того, чтобы широкая общественность учитывала интересы и нужды инвалидов.</w:t>
      </w:r>
    </w:p>
    <w:p w:rsidR="00EB4C74" w:rsidRPr="009C494E" w:rsidRDefault="00EB4C74" w:rsidP="00EB4C74">
      <w:pPr>
        <w:pStyle w:val="SingleTxtGR"/>
      </w:pPr>
      <w:r w:rsidRPr="009C494E">
        <w:t>81.</w:t>
      </w:r>
      <w:r w:rsidRPr="009C494E">
        <w:tab/>
        <w:t>Кроме того, провинциальные комитеты по делам инвалидов в провинциях Санма и Тафеа контролируют разработку и осуществление национальных стратегий и рамочных положений КПИ на уровне провинций. Провинциальные комитеты по делам инвалидов поощряют правительственные и неправительственные организации включать положения КПИ в национальные стратегии и мероприятия.</w:t>
      </w:r>
    </w:p>
    <w:p w:rsidR="00EB4C74" w:rsidRPr="009C494E" w:rsidRDefault="00EB4C74" w:rsidP="00EB4C74">
      <w:pPr>
        <w:pStyle w:val="H1GR"/>
      </w:pPr>
      <w:r w:rsidRPr="009C494E">
        <w:tab/>
      </w:r>
      <w:r w:rsidRPr="009C494E">
        <w:tab/>
        <w:t>Статья 10</w:t>
      </w:r>
      <w:r w:rsidR="007A0B77">
        <w:t>:</w:t>
      </w:r>
      <w:r w:rsidRPr="009C494E">
        <w:t xml:space="preserve"> Право на жизнь</w:t>
      </w:r>
    </w:p>
    <w:p w:rsidR="00EB4C74" w:rsidRPr="009C494E" w:rsidRDefault="00EB4C74" w:rsidP="00EB4C74">
      <w:pPr>
        <w:pStyle w:val="SingleTxtGR"/>
      </w:pPr>
      <w:r w:rsidRPr="009C494E">
        <w:t>82.</w:t>
      </w:r>
      <w:r w:rsidRPr="009C494E">
        <w:tab/>
        <w:t>Статья 5 Конституции Республики Вануату признает и защищает право отдельных лиц, включая инвалидов, на жизнь без дискриминации. Предполагается, что закон об инвалидах пойдет еще дальше, закрепив право на жизнь и исключив возможность произвольного лишения жизни.</w:t>
      </w:r>
    </w:p>
    <w:p w:rsidR="00EB4C74" w:rsidRPr="009C494E" w:rsidRDefault="00EB4C74" w:rsidP="00EB4C74">
      <w:pPr>
        <w:pStyle w:val="H1GR"/>
      </w:pPr>
      <w:r w:rsidRPr="009C494E">
        <w:tab/>
      </w:r>
      <w:r w:rsidRPr="009C494E">
        <w:tab/>
        <w:t>Статья 11: Ситуации риска и чрезвычайные гуманитарные ситуации</w:t>
      </w:r>
    </w:p>
    <w:p w:rsidR="00EB4C74" w:rsidRPr="009C494E" w:rsidRDefault="00EB4C74" w:rsidP="00EB4C74">
      <w:pPr>
        <w:pStyle w:val="SingleTxtGR"/>
      </w:pPr>
      <w:r w:rsidRPr="009C494E">
        <w:t>83.</w:t>
      </w:r>
      <w:r w:rsidRPr="009C494E">
        <w:tab/>
        <w:t>Национальное управление по ликвидации последствий стихийных бедствий (НУЛПСБ) в структуре Министерства внутренних дел отвечает за рас</w:t>
      </w:r>
      <w:r w:rsidRPr="009C494E">
        <w:lastRenderedPageBreak/>
        <w:t>пространение информации среди тех групп населения, которые находятся в зонах риска в случае стихийных бедствий. Правительство предполагает завершить разработку четких рамочных положений, которые будут регламентировать обращение с инвалидами в ситуациях риска и чрезвычайных гуманитарных ситуациях, и включить эти положения в закон об инвалидах. Правительство Вануату, действуя в партнерстве с международной организацией «Оксфам», создало в Вануату гуманитарную группу (ГГВ), мандат которой предусматривает обеспечение безопасности инвалидов в случае стихийных бедствий. ГГВ определила пять тематических областей, в число которых вошли образование, сельское хозяйство, здравоохранение, водоснабжение, санитария и гигиена и логистика. Гендерные вопросы и защита уязвимых групп населения являются сквозными вопросами, относящимися ко всем пяти тематическим блокам. Во время тропического циклона «Пэм» 13 марта 2015 года из столицы Вануату Порт-Вилы в различные центры эвакуации были эвакуированы 26 инвалидов. Другие инвалиды, чьи дома не были безопасными для циклона пятой категории, были эвакуированы в дома членов семьи. Оценка действий по ликвидации последствий этого циклона включала оценку помощи инвалидам. Информация, полученная в результате проведения таких оценок, была использована для распределения чрезвычайной помощи, в том числе среди инвалидов. Приоритетное внимание было уделено удовлетворению потребностей в укрытиях, и инвалиды также получили такие материалы для создания укрытий, как брезент и палатки. Статистические данные, собранные после оценки последствий циклона «Пэм», показали, что более 500 инвалидов получили чрезвычайную гуманитарную помощь и что с ними обращались наравне с другими гражданами без какой-либо дискриминации.</w:t>
      </w:r>
    </w:p>
    <w:p w:rsidR="00EB4C74" w:rsidRPr="009C494E" w:rsidRDefault="00EB4C74" w:rsidP="00EB4C74">
      <w:pPr>
        <w:pStyle w:val="SingleTxtGR"/>
      </w:pPr>
      <w:r w:rsidRPr="009C494E">
        <w:t>84.</w:t>
      </w:r>
      <w:r w:rsidRPr="009C494E">
        <w:tab/>
        <w:t xml:space="preserve">Принятый в Вануату в 2012 году Национальный план действий по ликвидации последствий цунами направлен на выработку мер по смягчению последствий цунами, обеспечению готовности к ним, предупреждению, реагированию и восстановлению. Этот план подготовлен в соответствии с </w:t>
      </w:r>
      <w:r w:rsidRPr="009C494E">
        <w:rPr>
          <w:i/>
        </w:rPr>
        <w:t>разделом 10 Закона 2006 года о стихийных бедствиях (глава 267)</w:t>
      </w:r>
      <w:r w:rsidRPr="009C494E">
        <w:t>, в котором содержится положение, согласно которому сотрудник, курирующий вопросы обеспечения готовности к</w:t>
      </w:r>
      <w:r>
        <w:t xml:space="preserve"> </w:t>
      </w:r>
      <w:r w:rsidRPr="009C494E">
        <w:t xml:space="preserve">стихийным бедствиям, должен, действуя в консультации с правительственными и неправительственными учреждениями и на основе Национального плана организации работ в случае стихийных бедствий 2009 года, подготовить национальный план действий по оказанию поддержки в случае стихийных бедствий применительно </w:t>
      </w:r>
      <w:r>
        <w:t xml:space="preserve">к </w:t>
      </w:r>
      <w:r w:rsidRPr="009C494E">
        <w:t>каждому виду стихийных бедствий. План действий по</w:t>
      </w:r>
      <w:r>
        <w:t> </w:t>
      </w:r>
      <w:r w:rsidRPr="009C494E">
        <w:t>ликвидации последствий цунами охватывает инвалидов и предусматривает:</w:t>
      </w:r>
    </w:p>
    <w:p w:rsidR="00EB4C74" w:rsidRPr="009C494E" w:rsidRDefault="00EB4C74" w:rsidP="00EB4C74">
      <w:pPr>
        <w:pStyle w:val="Bullet1GR"/>
      </w:pPr>
      <w:r w:rsidRPr="009C494E">
        <w:t>эвакуацию людей и/или общин, которым угрожает стихийное бедствие;</w:t>
      </w:r>
    </w:p>
    <w:p w:rsidR="00EB4C74" w:rsidRPr="009C494E" w:rsidRDefault="00EB4C74" w:rsidP="00EB4C74">
      <w:pPr>
        <w:pStyle w:val="Bullet1GR"/>
      </w:pPr>
      <w:r w:rsidRPr="009C494E">
        <w:t>опубликование приказов, предупреждающих отдельные общины о проведении эвакуации в случае цунами, в которых излагаются возможные последствия предполагаемых действий на местах и мероприятия по эвакуации;</w:t>
      </w:r>
    </w:p>
    <w:p w:rsidR="00EB4C74" w:rsidRPr="009C494E" w:rsidRDefault="00EB4C74" w:rsidP="00EB4C74">
      <w:pPr>
        <w:pStyle w:val="Bullet1GR"/>
      </w:pPr>
      <w:r w:rsidRPr="009C494E">
        <w:t>организацию защиты земельных и морских ресурсов в случае чрезвычайных ситуаций путем их удаления из вероятных районов поражения;</w:t>
      </w:r>
    </w:p>
    <w:p w:rsidR="00EB4C74" w:rsidRPr="009C494E" w:rsidRDefault="00EB4C74" w:rsidP="00EB4C74">
      <w:pPr>
        <w:pStyle w:val="Bullet1GR"/>
      </w:pPr>
      <w:r w:rsidRPr="009C494E">
        <w:t>направление в ходе чрезвычайных ситуаций сотрудников полиции в общины для оказания помощи населению, в том числе женщинам, молодежи, детям и инвалидам.</w:t>
      </w:r>
    </w:p>
    <w:p w:rsidR="00EB4C74" w:rsidRPr="009C494E" w:rsidRDefault="00EB4C74" w:rsidP="00EB4C74">
      <w:pPr>
        <w:pStyle w:val="SingleTxtGR"/>
      </w:pPr>
      <w:r w:rsidRPr="009C494E">
        <w:t>Эти действия были также включены в планы действий местных органов власти; например, в провинции Шефа был принят план организации работ в случае стихийных бедствий на уровне общины и план оказания чрезвычайной гуманитарной помощи, которые предусматривают оказание помощи в проведении эвакуации в случае стихийных бедствий и охватывают инвалидов. При этом следует исходить из того, что в случае стихийных бедствий и чрезвычайных ситуаций уделение особого внимания инвалидам, пожилым людям и детям является совершенно обычной практикой или даже нормой.</w:t>
      </w:r>
    </w:p>
    <w:p w:rsidR="00EB4C74" w:rsidRPr="009C494E" w:rsidRDefault="00EB4C74" w:rsidP="00EB4C74">
      <w:pPr>
        <w:pStyle w:val="SingleTxtGR"/>
      </w:pPr>
      <w:r w:rsidRPr="009C494E">
        <w:lastRenderedPageBreak/>
        <w:t>85.</w:t>
      </w:r>
      <w:r w:rsidRPr="009C494E">
        <w:tab/>
        <w:t>В августе 2013 года правительство Вануату одобрило информационную политику, которая обязывает органы власти доводить всю информацию до сведения общественности. Единственными исключениями являются случаи, представляющие собой предусмотренные законом нарушения режима безопасности или неприкосновенности частной жизни. При этом предполагается, что лица, живущие с инвалидностью, смогут иметь доступ к информации о стихийных бедствиях и другой соответствующей информации.</w:t>
      </w:r>
    </w:p>
    <w:p w:rsidR="00EB4C74" w:rsidRPr="009C494E" w:rsidRDefault="00EB4C74" w:rsidP="00EB4C74">
      <w:pPr>
        <w:pStyle w:val="SingleTxtGR"/>
      </w:pPr>
      <w:r w:rsidRPr="009C494E">
        <w:t>86.</w:t>
      </w:r>
      <w:r w:rsidRPr="009C494E">
        <w:tab/>
        <w:t>Отдел по делам инвалидов в стране пользуется услугами радиостанций для эффективного предупреждения и информирования членов семьи инвалидов и, таким образом, обеспечения того, чтобы инвалиды находились в безопасности и имели должный уход во время стихийного бедствия. В целом инвалиды находятся на попечении близких родственников и их общин, в том числе церковных групп. Действуя при технической поддержке со стороны Тихоокеанского форума по проблемам инвалидности, правительство старается содействовать проведению на уровне провинций профессиональную подготовку для лиц, занимающихся уходом за инвалидами, родителей инвалидов и общинных лидеров по вопросам готовности к стихийным бедствиям.</w:t>
      </w:r>
    </w:p>
    <w:p w:rsidR="00EB4C74" w:rsidRPr="009C494E" w:rsidRDefault="00EB4C74" w:rsidP="00EB4C74">
      <w:pPr>
        <w:pStyle w:val="H1GR"/>
      </w:pPr>
      <w:r w:rsidRPr="009C494E">
        <w:tab/>
      </w:r>
      <w:r w:rsidRPr="009C494E">
        <w:tab/>
        <w:t>Статье 12: Равенство перед законом</w:t>
      </w:r>
    </w:p>
    <w:p w:rsidR="00EB4C74" w:rsidRPr="009C494E" w:rsidRDefault="00EB4C74" w:rsidP="00EB4C74">
      <w:pPr>
        <w:pStyle w:val="SingleTxtGR"/>
      </w:pPr>
      <w:r w:rsidRPr="009C494E">
        <w:t>87.</w:t>
      </w:r>
      <w:r w:rsidRPr="009C494E">
        <w:tab/>
        <w:t>Право человека на равенство перед законом и на защиту закона предусмотрено статьей 5 (1) k) Конституции Вануату, в которой предусматривается, что «все лица имеют право на равное обращение в соответствии с законом или административными актами за исключением того, что ни один закон не считается несоответствующим этому подпункту, если в нем содержится положение, предусматривающее предоставление специальных льгот, социальное обеспечение, защиту или улучшение положения женщин, детей и молодых людей, представителей групп населения, находящихся в неблагоприятном положении, или жителей менее развитых районов».</w:t>
      </w:r>
    </w:p>
    <w:p w:rsidR="00EB4C74" w:rsidRPr="009C494E" w:rsidRDefault="00EB4C74" w:rsidP="00EB4C74">
      <w:pPr>
        <w:pStyle w:val="SingleTxtGR"/>
      </w:pPr>
      <w:r w:rsidRPr="009C494E">
        <w:t>88.</w:t>
      </w:r>
      <w:r w:rsidRPr="009C494E">
        <w:tab/>
        <w:t>В настоящее время в стране нет законодательных актов, предусматривающих ограничение полной правоспособности по признаку инвалидности. Банк Вануату предоставляет кредитные схемы, которые также распространяются на инвалидов. Инвалидам рекомендуется пользоваться кредитными схемами для занятия приносящими доход видами деятельности, такими как птицеводство и свиноводство.</w:t>
      </w:r>
    </w:p>
    <w:p w:rsidR="00EB4C74" w:rsidRPr="009C494E" w:rsidRDefault="00EB4C74" w:rsidP="00EB4C74">
      <w:pPr>
        <w:pStyle w:val="SingleTxtGR"/>
      </w:pPr>
      <w:r w:rsidRPr="009C494E">
        <w:t>89.</w:t>
      </w:r>
      <w:r w:rsidRPr="009C494E">
        <w:tab/>
        <w:t>Государственная адвокатура предоставляет бесплатные консультации и правовую помощь всем тем, кто не может позволить себе нанять адвоката, и эти услуги предоставляются в настоящее время и инвалидам. Сотрудники полиции и сотрудники мобильных сил Вануату в их качестве персонала экстренного реагирования в делах, связанных с домашним насилием, проходят дополнительную подготовку в целях обеспечения того, чтобы они относились к инвалидам как к полноценным с точки зрения правосубъектности лицам и уделяли жалобам и заявлениям инвалидов то же внимание, что и жалобам лиц, не являющихся инвалидами.</w:t>
      </w:r>
    </w:p>
    <w:p w:rsidR="00EB4C74" w:rsidRPr="009C494E" w:rsidRDefault="00EB4C74" w:rsidP="00EB4C74">
      <w:pPr>
        <w:pStyle w:val="SingleTxtGR"/>
      </w:pPr>
      <w:r w:rsidRPr="009C494E">
        <w:t>90.</w:t>
      </w:r>
      <w:r w:rsidRPr="009C494E">
        <w:tab/>
        <w:t>Действуя совместно с СТС/РГПР, правительство организовало в двух общинах информационно-просветительский практикум по правам человека для членов общин, проинформировав их об их правах и о равенстве всех инвалидов перед законом.</w:t>
      </w:r>
    </w:p>
    <w:p w:rsidR="00EB4C74" w:rsidRPr="009C494E" w:rsidRDefault="00EB4C74" w:rsidP="00EB4C74">
      <w:pPr>
        <w:pStyle w:val="H1GR"/>
      </w:pPr>
      <w:r w:rsidRPr="009C494E">
        <w:tab/>
      </w:r>
      <w:r w:rsidRPr="009C494E">
        <w:tab/>
        <w:t>Статья 13: Доступ к правосудию</w:t>
      </w:r>
    </w:p>
    <w:p w:rsidR="00EB4C74" w:rsidRPr="009C494E" w:rsidRDefault="00EB4C74" w:rsidP="00EB4C74">
      <w:pPr>
        <w:pStyle w:val="SingleTxtGR"/>
      </w:pPr>
      <w:r w:rsidRPr="009C494E">
        <w:t>91.</w:t>
      </w:r>
      <w:r w:rsidRPr="009C494E">
        <w:tab/>
        <w:t xml:space="preserve">Статья 5 (1) d) Конституции Вануату предусматривает, что каждый человек без какой-либо дискриминации имеет право на защиту со стороны закона. Далее, в статье 5 (2) предусматривается, что право на защиту закона включает понятие о том, что каждый человек, обвиненный в правонарушении, имеет право на справедливое судебное разбирательство, которое должно проводиться </w:t>
      </w:r>
      <w:r w:rsidRPr="009C494E">
        <w:lastRenderedPageBreak/>
        <w:t>в разумные сроки независимым и беспристрастным судом, а также право иметь адвоката. Кроме того, в статье 6 Конституции Вануату предусматривается, что любое лицо, считающее, что какое-либо из его прав, гарантированных ему или ей Конституцией, было или может быть ущемлено, может, независимо от любого другого возможного средства правовой защиты, обратиться в Верховный суд для обеспечения соблюдения этого права. Это положение также распространяется на инвалидов.</w:t>
      </w:r>
    </w:p>
    <w:p w:rsidR="00EB4C74" w:rsidRPr="009C494E" w:rsidRDefault="00EB4C74" w:rsidP="00EB4C74">
      <w:pPr>
        <w:pStyle w:val="SingleTxtGR"/>
      </w:pPr>
      <w:r w:rsidRPr="009C494E">
        <w:t>92.</w:t>
      </w:r>
      <w:r w:rsidRPr="009C494E">
        <w:tab/>
        <w:t>В статье 5 (1) j) Конституции Вануату далее предусматривается, что все лица имеют право на защиту неприкосновенности жилища и другого имущества и защиту от несправедливого лишения имущества. Защита закона предусматривает следующее:</w:t>
      </w:r>
    </w:p>
    <w:p w:rsidR="00EB4C74" w:rsidRPr="009C494E" w:rsidRDefault="00EB4C74" w:rsidP="00EB4C74">
      <w:pPr>
        <w:pStyle w:val="Bullet1GR"/>
      </w:pPr>
      <w:r w:rsidRPr="009C494E">
        <w:t>каждое лицо, обвиняемое в совершении правонарушения, имеет право на справедливое судебное разбирательство в разумные сроки независимым и беспристрастным судом, и в случае совершения серьезного преступления право быть представленным адвокатом;</w:t>
      </w:r>
    </w:p>
    <w:p w:rsidR="00EB4C74" w:rsidRPr="009C494E" w:rsidRDefault="00EB4C74" w:rsidP="00EB4C74">
      <w:pPr>
        <w:pStyle w:val="Bullet1GR"/>
      </w:pPr>
      <w:r w:rsidRPr="009C494E">
        <w:t>каждое лицо считается невиновным до тех пор, пока суд не установит его вину в соответствии с законом;</w:t>
      </w:r>
    </w:p>
    <w:p w:rsidR="00EB4C74" w:rsidRPr="009C494E" w:rsidRDefault="00EB4C74" w:rsidP="00EB4C74">
      <w:pPr>
        <w:pStyle w:val="Bullet1GR"/>
      </w:pPr>
      <w:r w:rsidRPr="009C494E">
        <w:t>каждое обвиняемое лицо должно быть незамедлительно проинформировано на понимаемом этим лицом языке о правонарушении, в совершении которого это лицо обвиняется;</w:t>
      </w:r>
    </w:p>
    <w:p w:rsidR="00EB4C74" w:rsidRPr="009C494E" w:rsidRDefault="00EB4C74" w:rsidP="00EB4C74">
      <w:pPr>
        <w:pStyle w:val="Bullet1GR"/>
      </w:pPr>
      <w:r w:rsidRPr="009C494E">
        <w:t>если обвиняемый не понимает языка, который будет использоваться в ходе судебного разбирательства, ему предоставляются услуги устного переводчика в течение всего судебного разбирательства;</w:t>
      </w:r>
    </w:p>
    <w:p w:rsidR="00EB4C74" w:rsidRPr="009C494E" w:rsidRDefault="00EB4C74" w:rsidP="00EB4C74">
      <w:pPr>
        <w:pStyle w:val="Bullet1GR"/>
      </w:pPr>
      <w:r w:rsidRPr="009C494E">
        <w:t>ни одно лицо не может быть судимо в его отсутствие без его согласия за исключением тех случаев, когда это лицо не позволяет суду проводить разбирательство в его присутствии;</w:t>
      </w:r>
    </w:p>
    <w:p w:rsidR="00EB4C74" w:rsidRPr="009C494E" w:rsidRDefault="00EB4C74" w:rsidP="00EB4C74">
      <w:pPr>
        <w:pStyle w:val="Bullet1GR"/>
      </w:pPr>
      <w:r w:rsidRPr="009C494E">
        <w:t>никто не может быть осужден по факту действия или бездействия, которое не представляет собой правонарушения, предусмотренного в письменном или обычном праве на момент его совершения;</w:t>
      </w:r>
    </w:p>
    <w:p w:rsidR="00EB4C74" w:rsidRPr="009C494E" w:rsidRDefault="00EB4C74" w:rsidP="00EB4C74">
      <w:pPr>
        <w:pStyle w:val="Bullet1GR"/>
      </w:pPr>
      <w:r w:rsidRPr="009C494E">
        <w:t>никто не может быть подвергнут более суровому наказанию, чем наказание, которое существовало на момент совершения правонарушения;</w:t>
      </w:r>
    </w:p>
    <w:p w:rsidR="00EB4C74" w:rsidRPr="009C494E" w:rsidRDefault="00EB4C74" w:rsidP="00EB4C74">
      <w:pPr>
        <w:pStyle w:val="Bullet1GR"/>
      </w:pPr>
      <w:r w:rsidRPr="009C494E">
        <w:t>ни одно лицо, которое было помиловано или привлечено к суду и осуждено или оправдано, не может быть вновь предано суду за то же самое правонарушение или любое другое правонарушение, за которое это лицо могло бы быть осуждено в ходе судебного разбирательства по его делу</w:t>
      </w:r>
      <w:r w:rsidRPr="009C494E">
        <w:rPr>
          <w:rStyle w:val="FootnoteReference"/>
        </w:rPr>
        <w:footnoteReference w:id="18"/>
      </w:r>
      <w:r w:rsidRPr="009C494E">
        <w:t>.</w:t>
      </w:r>
    </w:p>
    <w:p w:rsidR="00EB4C74" w:rsidRPr="009C494E" w:rsidRDefault="00EB4C74" w:rsidP="00EB4C74">
      <w:pPr>
        <w:pStyle w:val="SingleTxtGR"/>
      </w:pPr>
      <w:r w:rsidRPr="009C494E">
        <w:t>93.</w:t>
      </w:r>
      <w:r w:rsidRPr="009C494E">
        <w:tab/>
        <w:t>В настоящее время в исправительном центре не содержатся никакие инвалиды за исключением двух инвалидов, находящиеся там по факту мелких дел, связанных с психическими расстройствами в связи с употреблением наркотиков. Группа по вопросам психического здоровья из Министерства здравоохранения регулярно посещает этих двух задержанных и работает с ними, с тем чтобы не допустить усугубления этой проблемы. В настоящее время в пенитенциарных учреждениях Департамента исправительных служб не обеспечена доступность помещений для инвалидов, включая находящиеся там туалеты и ванные. Вместе с тем директор и управленческий аппарат Центра убеждены в том, что в рамках будущих усовершенствований такая доступность для инвалидов будет обеспечена.</w:t>
      </w:r>
    </w:p>
    <w:p w:rsidR="00EB4C74" w:rsidRPr="009C494E" w:rsidRDefault="00EB4C74" w:rsidP="00EB4C74">
      <w:pPr>
        <w:pStyle w:val="SingleTxtGR"/>
      </w:pPr>
      <w:r w:rsidRPr="009C494E">
        <w:t>94.</w:t>
      </w:r>
      <w:r w:rsidRPr="009C494E">
        <w:tab/>
        <w:t xml:space="preserve">Здание Национальной полиции не имеет специального пандуса для инвалидных колясок, однако отдел по делам инвалидов будет продолжать отстаивать необходимость такого доступа в силу очевидной необходимости обеспечения передачи информации от клиентов сотрудникам полиции и наоборот, например от умственно неполноценных или глухих клиентов. На протяжении последних </w:t>
      </w:r>
      <w:r w:rsidRPr="009C494E">
        <w:lastRenderedPageBreak/>
        <w:t>нескольких лет правительство содействует проведению на региональном уровне профессиональной подготовки по вопросам прав человека, в рамках которой рассматривается и проблема инвалидности. В 2011 году Генеральная прокуратура содействовала проведению рабочих совещаний и консультаций с Управлением исправительных учреждений, а также осуществила информационно-просветительские мероприятия для сотрудников исправительных учреждений по вопросам, касающимся КПИ.</w:t>
      </w:r>
    </w:p>
    <w:p w:rsidR="00EB4C74" w:rsidRPr="009C494E" w:rsidRDefault="00EB4C74" w:rsidP="00EB4C74">
      <w:pPr>
        <w:pStyle w:val="H1GR"/>
      </w:pPr>
      <w:r w:rsidRPr="009C494E">
        <w:tab/>
      </w:r>
      <w:r w:rsidRPr="009C494E">
        <w:tab/>
        <w:t>Статья 14: Свобода и личная неприкосновенность</w:t>
      </w:r>
    </w:p>
    <w:p w:rsidR="00EB4C74" w:rsidRPr="009C494E" w:rsidRDefault="00EB4C74" w:rsidP="00EB4C74">
      <w:pPr>
        <w:pStyle w:val="SingleTxtGR"/>
      </w:pPr>
      <w:r w:rsidRPr="009C494E">
        <w:t>95.</w:t>
      </w:r>
      <w:r w:rsidRPr="009C494E">
        <w:tab/>
        <w:t>В статье 5 Конституции Вануату предусматривается право любого лица на свободу и личную неприкосновенность, которое распространяется на всех граждан, включая инвалидов. Закон об иммиграции позволяет всем людям свободно передвигаться. Инвалиды пользуются особым отношением в ходе проведения полицейских расследований и судебных разбирательств. Сотрудники полиции посещают их дома и предоставляют им больше времени в силу их положения, но при этом они также уведомляются о том, что закон равен для всех. Люди с психическими заболеваниями проживают в общинах, члены которых признают их частью этих общин. Их неприкосновенность закреплена в общинных подзаконных актах и постановлениях, которые защищают их от любого бесчеловечного обращения. С доставляемыми в полицейский участок инвалидами обращаются с уважением, и им уделяется больше времени, особенно тем, кто имеет различные нарушения слуха.</w:t>
      </w:r>
    </w:p>
    <w:p w:rsidR="00EB4C74" w:rsidRPr="009C494E" w:rsidRDefault="00EB4C74" w:rsidP="00EB1096">
      <w:pPr>
        <w:pStyle w:val="H1GR"/>
      </w:pPr>
      <w:r w:rsidRPr="009C494E">
        <w:tab/>
      </w:r>
      <w:r w:rsidRPr="009C494E">
        <w:tab/>
        <w:t>Статья 15: Свобода от пыток и жестоких, бесчеловечных или</w:t>
      </w:r>
      <w:r w:rsidR="00EB1096">
        <w:t> </w:t>
      </w:r>
      <w:r w:rsidRPr="009C494E">
        <w:t>унижающих достоинство видов обращения и наказания</w:t>
      </w:r>
    </w:p>
    <w:p w:rsidR="00EB4C74" w:rsidRPr="009C494E" w:rsidRDefault="00EB4C74" w:rsidP="00EB4C74">
      <w:pPr>
        <w:pStyle w:val="SingleTxtGR"/>
      </w:pPr>
      <w:r w:rsidRPr="009C494E">
        <w:t>96.</w:t>
      </w:r>
      <w:r w:rsidRPr="009C494E">
        <w:tab/>
        <w:t>Вануату ратифицировало Конвенцию против пыток в 2010 году. Кроме того, статья 5 Конституции предусматривает свободу каждого лица от бесчеловечного обращения.</w:t>
      </w:r>
    </w:p>
    <w:p w:rsidR="00EB4C74" w:rsidRPr="009C494E" w:rsidRDefault="00EB4C74" w:rsidP="00EB4C74">
      <w:pPr>
        <w:pStyle w:val="SingleTxtGR"/>
      </w:pPr>
      <w:r w:rsidRPr="009C494E">
        <w:t>97.</w:t>
      </w:r>
      <w:r w:rsidRPr="009C494E">
        <w:tab/>
        <w:t>Правительство Вануату понимает, что в ходе выполнения своих ежедневных обязанностей различные государственные учреждения, например больницы, должны получать полное и осознанное согласие пациентов и лиц, обращающихся за поддержкой и/или медицинской помощью. Эта политика распространяется и на инвалидов, согласие которых испрашивается при проведении медицинских или научных процедур.</w:t>
      </w:r>
    </w:p>
    <w:p w:rsidR="00EB4C74" w:rsidRPr="009C494E" w:rsidRDefault="00EB4C74" w:rsidP="00EB4C74">
      <w:pPr>
        <w:pStyle w:val="SingleTxtGR"/>
      </w:pPr>
      <w:r w:rsidRPr="009C494E">
        <w:t>98.</w:t>
      </w:r>
      <w:r w:rsidRPr="009C494E">
        <w:tab/>
        <w:t>Когда заключенным-инвалидам требуется медицинская помощь, они проходят врачебный осмотр в центральной больнице. В результате серьезных травм, полученных при попытке побега, и невыполнения приказа властей одному из заключенных потребовалась инвалидная коляска. Отдел по делам инвалидов предоставил ему инвалидную коляску, которая позволяет ему быть мобильным и участвовать во всех мероприятиях, а также пользоваться своим правом человека на передвижение. Согласно Конституции Вануату, инвалиды, как и все другие люди, имеют право подавать жалобу в том случае, если по какой-либо причине какое-либо учреждение применяет в их отношении пытки. Правительство пока еще не обеспечило, чтобы вся информация, касающаяся инвалидов, сообщалась в отдел по делам инвалидов.</w:t>
      </w:r>
    </w:p>
    <w:p w:rsidR="00EB4C74" w:rsidRPr="009C494E" w:rsidRDefault="00EB4C74" w:rsidP="00EB4C74">
      <w:pPr>
        <w:pStyle w:val="H1GR"/>
      </w:pPr>
      <w:r w:rsidRPr="009C494E">
        <w:tab/>
      </w:r>
      <w:r w:rsidRPr="009C494E">
        <w:tab/>
        <w:t>Статья 16: Свобода от эксплуатации, насилия и надругательства</w:t>
      </w:r>
    </w:p>
    <w:p w:rsidR="00EB4C74" w:rsidRPr="009C494E" w:rsidRDefault="00EB4C74" w:rsidP="00EB4C74">
      <w:pPr>
        <w:pStyle w:val="SingleTxtGR"/>
      </w:pPr>
      <w:r w:rsidRPr="009C494E">
        <w:t>99.</w:t>
      </w:r>
      <w:r w:rsidRPr="009C494E">
        <w:tab/>
        <w:t>Статья 5 (1) a), b) и c) Конституции Вануату предусматривает, что каждый человек имеет право на жизнь, свободу и личную неприкосновенность. Кроме того, правила, регулирующие деятельность психиатрических больниц, запрещают персоналу, работающему в психиатрических больницах, жестоко обращаться с пациентами.</w:t>
      </w:r>
    </w:p>
    <w:p w:rsidR="00EB4C74" w:rsidRPr="009C494E" w:rsidRDefault="00EB4C74" w:rsidP="00EB4C74">
      <w:pPr>
        <w:pStyle w:val="SingleTxtGR"/>
      </w:pPr>
      <w:r w:rsidRPr="009C494E">
        <w:lastRenderedPageBreak/>
        <w:t>100.</w:t>
      </w:r>
      <w:r w:rsidRPr="009C494E">
        <w:tab/>
        <w:t>Закон Вануату о защите семьи 2008 года направлен на сокращение домашнего насилия на всех уровнях вануатского общества и поощрение гармоничных семейных отношений. Этот Закон предусматривает механизм, с помощью которого третья сторона может прибегать к средствам правовой защиты для оказания помощи инвалидам в ситуациях, связанных с домашним насилием.</w:t>
      </w:r>
    </w:p>
    <w:p w:rsidR="00EB4C74" w:rsidRPr="009C494E" w:rsidRDefault="00EB4C74" w:rsidP="00EB4C74">
      <w:pPr>
        <w:pStyle w:val="SingleTxtGR"/>
      </w:pPr>
      <w:r w:rsidRPr="009C494E">
        <w:t>101.</w:t>
      </w:r>
      <w:r w:rsidRPr="009C494E">
        <w:tab/>
        <w:t>Правительство Вануату создало в Порт-Виле и провинциях полицейские подразделения по защите семьи. Эти подразделения были созданы с целью обеспечения безопасных убежищ, в которых жертвы насилия и надругательств могут искать помощи для получения правовой защиты.</w:t>
      </w:r>
    </w:p>
    <w:p w:rsidR="00EB4C74" w:rsidRPr="009C494E" w:rsidRDefault="00EB4C74" w:rsidP="00EB4C74">
      <w:pPr>
        <w:pStyle w:val="SingleTxtGR"/>
      </w:pPr>
      <w:r w:rsidRPr="009C494E">
        <w:t>102.</w:t>
      </w:r>
      <w:r w:rsidRPr="009C494E">
        <w:tab/>
        <w:t>В настоящее время правительство Вануату завершает разработку гендерной политики, которая предусматривает конкретные меры по обеспечению гендерного равенства и расширению прав и возможностей женщин. В соответствии с этой политикой защита от гендерного насилия (в том числе в отношении девочек-инвалидов и женщин-инвалидов) становится приоритетной задачей. В ходе консультаций, проведенных в процессе выработки этой политики, инвалидам было предложено принять участие в ее обсуждении.</w:t>
      </w:r>
    </w:p>
    <w:p w:rsidR="00EB4C74" w:rsidRPr="009C494E" w:rsidRDefault="00EB4C74" w:rsidP="00EB4C74">
      <w:pPr>
        <w:pStyle w:val="H1GR"/>
      </w:pPr>
      <w:r w:rsidRPr="009C494E">
        <w:tab/>
      </w:r>
      <w:r w:rsidRPr="009C494E">
        <w:tab/>
        <w:t>Статья 17: Защита личной целостности</w:t>
      </w:r>
    </w:p>
    <w:p w:rsidR="00EB4C74" w:rsidRPr="009C494E" w:rsidRDefault="00EB4C74" w:rsidP="00EB4C74">
      <w:pPr>
        <w:pStyle w:val="SingleTxtGR"/>
      </w:pPr>
      <w:r w:rsidRPr="009C494E">
        <w:t>103.</w:t>
      </w:r>
      <w:r w:rsidRPr="009C494E">
        <w:tab/>
        <w:t xml:space="preserve">В стране действует общее нормативное положение, обеспечивающее, что для предоставления любой медицинской помощи необходимо иметь согласие каждого обслуживаемого лица. Отдел по делам инвалидов проводит разъяснительную работу с общественностью и другими учреждениями, информируя </w:t>
      </w:r>
      <w:r w:rsidRPr="009C494E">
        <w:br/>
        <w:t>их о важности уважения личной целостности инвалидов. Например, сотрудники отдела по делам инвалидов стараются получить согласие самого инвалида или родителей детей-инвалидов прежде, чем они будут сфотографированы. В медицинских учреждениях практикующие врачи запрашивают у инвалидов, а также у родителей или опекунов детей или лиц, страдающих психическими расстройствами или серьезными нарушениями слуха, их мнение по поводу предоставленной медицинской помощи.</w:t>
      </w:r>
    </w:p>
    <w:p w:rsidR="00EB4C74" w:rsidRPr="009C494E" w:rsidRDefault="00EB4C74" w:rsidP="00EB4C74">
      <w:pPr>
        <w:pStyle w:val="H1GR"/>
      </w:pPr>
      <w:r w:rsidRPr="009C494E">
        <w:tab/>
      </w:r>
      <w:r w:rsidRPr="009C494E">
        <w:tab/>
        <w:t>Статья 18: Свобода передвижения и гражданство</w:t>
      </w:r>
    </w:p>
    <w:p w:rsidR="00EB4C74" w:rsidRPr="009C494E" w:rsidRDefault="00EB4C74" w:rsidP="00EB4C74">
      <w:pPr>
        <w:pStyle w:val="SingleTxtGR"/>
      </w:pPr>
      <w:r w:rsidRPr="009C494E">
        <w:t>104.</w:t>
      </w:r>
      <w:r w:rsidRPr="009C494E">
        <w:tab/>
        <w:t>Статья 5 (1) b) Конституции предусматривает право каждого на свободу, которое распространяется на инвалидов. Статья 5 (1) i) Конституции также признает свободу передвижения, которая распространяется на инвалидов. Закон об иммиграции, который охватывает вопросы въезда в страну или проживания в ней всех неграждан, не предусматривает никакой дискриминации инвалидов в вопросах въезда. Закон о гражданстве не допускает дискриминации по признаку инвалидности. Каждый гражданин Вануату имеет право иметь удостоверяющий личность документ, например паспорт или другое удостоверение личности. Паспортный отдел не проводит никаких дискриминационных различий по признаку инвалидности.</w:t>
      </w:r>
    </w:p>
    <w:p w:rsidR="00EB4C74" w:rsidRPr="009C494E" w:rsidRDefault="00EB4C74" w:rsidP="00EB4C74">
      <w:pPr>
        <w:pStyle w:val="SingleTxtGR"/>
      </w:pPr>
      <w:r w:rsidRPr="009C494E">
        <w:t>105.</w:t>
      </w:r>
      <w:r w:rsidRPr="009C494E">
        <w:tab/>
        <w:t>Кроме того, в провинции Шефа инвалиды, путешествующие через аэропорт, освобождаются от всех налогов.</w:t>
      </w:r>
    </w:p>
    <w:p w:rsidR="00EB4C74" w:rsidRPr="009C494E" w:rsidRDefault="00EB4C74" w:rsidP="00EB4C74">
      <w:pPr>
        <w:pStyle w:val="SingleTxtGR"/>
      </w:pPr>
      <w:r w:rsidRPr="009C494E">
        <w:t>106.</w:t>
      </w:r>
      <w:r w:rsidRPr="009C494E">
        <w:tab/>
        <w:t>Регистрация рождений в гражданском государстве является обязательной в соответствии с Законом о регистрации актов гражданского состояния 1981 года. Важно отметить, что регистрации подлежат все новорожденные дети, как неинвалиды, так и инвалиды. Правительство ведет работу, нацеленную на принятие специальных мер по поощрению регистрации детей-инвалидов. Эти меры включают проведение учебной подготовки для акушерок и практикующих врачей, а также в церквях и традиционных руководящих структурах. Действуя в партнерстве с НПО, правительство приняло меры по проведению массовых мобильных пропагандистских кампаний за регистрацию всех детей, проживающих в отдаленных общинах. В будущем будут проведены целенаправленные кампании по регистрации детей-инвалидов.</w:t>
      </w:r>
    </w:p>
    <w:p w:rsidR="00EB4C74" w:rsidRPr="009C494E" w:rsidRDefault="00EB4C74" w:rsidP="00EB4C74">
      <w:pPr>
        <w:pStyle w:val="H1GR"/>
      </w:pPr>
      <w:r w:rsidRPr="009C494E">
        <w:lastRenderedPageBreak/>
        <w:tab/>
      </w:r>
      <w:r w:rsidRPr="009C494E">
        <w:tab/>
        <w:t>Статья 19: Самостоятельный образ жизни и вовлеченность в местное сообщество</w:t>
      </w:r>
    </w:p>
    <w:p w:rsidR="00EB4C74" w:rsidRPr="009C494E" w:rsidRDefault="00EB4C74" w:rsidP="00EB4C74">
      <w:pPr>
        <w:pStyle w:val="SingleTxtGR"/>
      </w:pPr>
      <w:r w:rsidRPr="009C494E">
        <w:t>107.</w:t>
      </w:r>
      <w:r w:rsidRPr="009C494E">
        <w:tab/>
        <w:t>В стране нет системы, предусматривающей предоставление инвалидам услуг личных помощников. В настоящее время правительство Вануату работает над определением того, что оно может сделать в рамках имеющихся в его распоряжении ограниченных ресурсов. Приоритетной задачей для правительства Вануату является обеспечение осведомленности инвалидов о своих правах и лучшего доступа к государственным зданиям и услугам, являющимся частью государственных институтов. Правительство Вануату поддерживает роль семей и общин инвалидов в деле оказания инвалидам персональной помощи.</w:t>
      </w:r>
    </w:p>
    <w:p w:rsidR="00EB4C74" w:rsidRPr="009C494E" w:rsidRDefault="00EB4C74" w:rsidP="00EB4C74">
      <w:pPr>
        <w:pStyle w:val="SingleTxtGR"/>
      </w:pPr>
      <w:r w:rsidRPr="009C494E">
        <w:t>108.</w:t>
      </w:r>
      <w:r w:rsidRPr="009C494E">
        <w:tab/>
        <w:t>Действуя в партнерстве с ВОЗ, правительство разработало План действий по реабилитации на базе общин (2014–2024 годы), который направлен на улучшение условий жизни инвалидов во всех общинах посредством реализации подходов и программ реабилитации на базе общин и укрепления существующих программ правительства, неправительственных организаций и организаций инвалидов. Согласно оценкам, 20% лиц с тяжелыми формами инвалидности в Эфате и Санто получают медицинскую и реабилитационную помощь на дому. Эти услуги предоставляются правительством в партнерстве со специализированными неправительственными организациями, такими как Общество инвалидов Вануату (ОИВ) и Ассоциация «Плюмерия» в провинции Санма</w:t>
      </w:r>
      <w:r>
        <w:t> </w:t>
      </w:r>
      <w:r w:rsidRPr="009C494E">
        <w:t>(АПС).</w:t>
      </w:r>
    </w:p>
    <w:p w:rsidR="00EB4C74" w:rsidRPr="009C494E" w:rsidRDefault="00EB4C74" w:rsidP="00EB4C74">
      <w:pPr>
        <w:pStyle w:val="SingleTxtGR"/>
      </w:pPr>
      <w:r w:rsidRPr="009C494E">
        <w:t>109.</w:t>
      </w:r>
      <w:r w:rsidRPr="009C494E">
        <w:tab/>
        <w:t xml:space="preserve">Что касается возможностей для проживания, то в настоящее время в Вануату не предоставляются никакие иные жилищные услуги, кроме как услуги по совместному проживанию и проживанию в приютах, которые принимали бы во внимание ту или иную форму инвалидности. Вместе с тем предполагается, что в будущем государство решит этот вопрос. Инвалиды проживают со своими семьями и находятся на их попечении, вследствие чего они делят с ними все свои трудности. Вместе с тем только когда в случае серьезных медицинских проблем им необходима госпитализация, они могут быть помещены в государственную больницу, которой могут пользоваться как неинвалиды, так и инвалиды. </w:t>
      </w:r>
    </w:p>
    <w:p w:rsidR="00EB4C74" w:rsidRPr="009C494E" w:rsidRDefault="00EB4C74" w:rsidP="00EB4C74">
      <w:pPr>
        <w:pStyle w:val="SingleTxtGR"/>
      </w:pPr>
      <w:r w:rsidRPr="009C494E">
        <w:t>110.</w:t>
      </w:r>
      <w:r w:rsidRPr="009C494E">
        <w:tab/>
        <w:t>В целом инвалиды имеют доступ к таким общественным услугам и учреждениям, как больницы, храмы, парки, спортивные и культурные мероприятия и другие общественные мероприятия. В Вануату нет никаких ограничений в отношении доступа любого лица к любому общественному месту, в котором услуги предоставляются всем. Каждый человек, включая инвалидов, может свободно приходить в любое место и уходить из него, как отдельно, так и корпоративно.</w:t>
      </w:r>
    </w:p>
    <w:p w:rsidR="00EB4C74" w:rsidRPr="009C494E" w:rsidRDefault="00EB4C74" w:rsidP="00EB4C74">
      <w:pPr>
        <w:pStyle w:val="H1GR"/>
      </w:pPr>
      <w:r w:rsidRPr="009C494E">
        <w:tab/>
      </w:r>
      <w:r w:rsidRPr="009C494E">
        <w:tab/>
        <w:t>Статья 20: Индивидуальная мобильность</w:t>
      </w:r>
    </w:p>
    <w:p w:rsidR="00EB4C74" w:rsidRPr="009C494E" w:rsidRDefault="00EB4C74" w:rsidP="00EB4C74">
      <w:pPr>
        <w:pStyle w:val="SingleTxtGR"/>
      </w:pPr>
      <w:r w:rsidRPr="009C494E">
        <w:t>111.</w:t>
      </w:r>
      <w:r w:rsidRPr="009C494E">
        <w:tab/>
        <w:t>Конституция Вануату обеспечивает свободу передвижения, и поэтому лица с ограниченной мобильностью имеют право передвигаться с одного места на другое. В 2014 году правительство разработало Национальный план действий по реабилитации на базе общин на 2014–2024 годы. Реализация этого Плана будет способствовать предоставлению инвалидам приспособлений, которые правительство получает в качестве пожертвований от Австралии и Новой Зеландии. Вануатское общество инвалидов установило партнерские связи с Церковью Иисуса Христа Святых последних дней, и эта Церковь поставила более 300 инвалидных колясок и других средств передвижения, например ходунков для инвалидов. Эти приспособления предоставляются всем лицам с ограниченной мобильностью, включая пожилое население.</w:t>
      </w:r>
    </w:p>
    <w:p w:rsidR="00EB4C74" w:rsidRPr="009C494E" w:rsidRDefault="00EB4C74" w:rsidP="00EB4C74">
      <w:pPr>
        <w:pStyle w:val="SingleTxtGR"/>
      </w:pPr>
      <w:r w:rsidRPr="009C494E">
        <w:t>112.</w:t>
      </w:r>
      <w:r w:rsidRPr="009C494E">
        <w:tab/>
        <w:t>Другие зарегистрированные НПО также взаимодействуют с правительством в деле предоставления детям-инвалидам приспособлений для передвижения. Поставки таких приспособлений увеличились после циклона «Пэм» в мар</w:t>
      </w:r>
      <w:r w:rsidRPr="009C494E">
        <w:lastRenderedPageBreak/>
        <w:t>те 2015 года, поскольку международные партнеры полны желания оказывать поддержку в процессе восстановления.</w:t>
      </w:r>
    </w:p>
    <w:p w:rsidR="00EB4C74" w:rsidRPr="009C494E" w:rsidRDefault="00EB4C74" w:rsidP="00EB4C74">
      <w:pPr>
        <w:pStyle w:val="SingleTxtGR"/>
      </w:pPr>
      <w:r w:rsidRPr="009C494E">
        <w:t>113.</w:t>
      </w:r>
      <w:r w:rsidRPr="009C494E">
        <w:tab/>
        <w:t>В настоящее время прилагаются усилия к тому, чтобы решать связанные с мобильностью проблемы посредством строительства пешеходных дорожек и улучшения освещения в жилых кварталах городских районов, основываясь при этом на соответствующих муниципальных постановлениях. Закон предписывает государственным учреждениям и гостиницам обеспечивать доступность для инвалидов, в том числе с помощью пандусов и лифтов, с тем чтобы инвалиды имели доступ к предоставляемым услугам.</w:t>
      </w:r>
    </w:p>
    <w:p w:rsidR="00EB4C74" w:rsidRPr="009C494E" w:rsidRDefault="00EB4C74" w:rsidP="00EB4C74">
      <w:pPr>
        <w:pStyle w:val="SingleTxtGR"/>
      </w:pPr>
      <w:r w:rsidRPr="009C494E">
        <w:t>114.</w:t>
      </w:r>
      <w:r w:rsidRPr="009C494E">
        <w:tab/>
        <w:t>Органы власти провинции Шефа провели семинары-практикумы и информационно-просветительские программы, с тем чтобы ознакомить членов общин со способами оказания помощи инвалидам. При этом основная ответственность за заботу об инвалидах по-прежнему лежит на семье, члены которой и оказывают им помощь.</w:t>
      </w:r>
    </w:p>
    <w:p w:rsidR="00EB4C74" w:rsidRPr="009C494E" w:rsidRDefault="00EB4C74" w:rsidP="00EB4C74">
      <w:pPr>
        <w:pStyle w:val="H1GR"/>
      </w:pPr>
      <w:r w:rsidRPr="009C494E">
        <w:tab/>
      </w:r>
      <w:r w:rsidRPr="009C494E">
        <w:tab/>
        <w:t>Статья 21: Свобода выражения мнения и убеждений и доступ к информации</w:t>
      </w:r>
    </w:p>
    <w:p w:rsidR="00EB4C74" w:rsidRPr="009C494E" w:rsidRDefault="00EB4C74" w:rsidP="00EB4C74">
      <w:pPr>
        <w:pStyle w:val="SingleTxtGR"/>
      </w:pPr>
      <w:r w:rsidRPr="009C494E">
        <w:t>115.</w:t>
      </w:r>
      <w:r w:rsidRPr="009C494E">
        <w:tab/>
        <w:t>В статье 5 (1) g) второй главы Конституции предусмотрено, что все жители Вануату имеют право на свободу выражения мнения. В статье 5 (1) d) Конституции предусматривается, что все лица имеют право на равенство перед законом и на защиту закона. Это положение охватывает и доступ к информации. Инвалиды имеют такие же права, что и здоровые люди, на использование средств массовой информации, в частности газет, телевидения и радио.</w:t>
      </w:r>
    </w:p>
    <w:p w:rsidR="00EB4C74" w:rsidRPr="009C494E" w:rsidRDefault="00EB4C74" w:rsidP="00EB4C74">
      <w:pPr>
        <w:pStyle w:val="SingleTxtGR"/>
      </w:pPr>
      <w:r w:rsidRPr="009C494E">
        <w:t>116.</w:t>
      </w:r>
      <w:r w:rsidRPr="009C494E">
        <w:tab/>
        <w:t>В августе 2013 года правительство Вануату одобрило политику, закрепляющую право на информацию и обязывающую органы власти доводить всю информацию до сведения общественности. Единственными исключениями в этой области являются случаи, которые могут привести к правовым нарушениям гарантий безопасности или неприкосновенности частной жизни. Эта политика, закрепляющая право на информацию, должна создать условия для выработки закона о праве на информацию, который признает право инвалидов на</w:t>
      </w:r>
      <w:r>
        <w:t> </w:t>
      </w:r>
      <w:r w:rsidRPr="009C494E">
        <w:t>свободу выражения мнения и убеждений, включая право на свободу искать, получать и распространять информацию и идеи посредством всех коммуникационных средств по своему выбору. В 2014 году был разработан законопроект о праве на информацию, положения которого поддерживают свободу выражения мнения и убеждений и доступ инвалидов к информации. Кроме того, отдел переводов в Канцелярии премьер-министра осуществляет перевод всех официальных документов на три официальных языка (английский, французский и бислама (национальный язык)). Правительство признает необходимость обеспечения того, чтобы информация распространялась в доступном для инвалидов формате, в том числе с применением шрифта Брайля для людей с нарушением зрения и жестового языка. Для достижения этой цели необходимы финансовые ресурсы и технические знания.</w:t>
      </w:r>
    </w:p>
    <w:p w:rsidR="00EB4C74" w:rsidRPr="009C494E" w:rsidRDefault="00EB4C74" w:rsidP="00EB4C74">
      <w:pPr>
        <w:pStyle w:val="SingleTxtGR"/>
      </w:pPr>
      <w:r w:rsidRPr="009C494E">
        <w:t>117.</w:t>
      </w:r>
      <w:r w:rsidRPr="009C494E">
        <w:tab/>
        <w:t>Средства массовой информации открыты для распространения информации и для информирования всех людей о происходящих событиях, включая инвалидов.</w:t>
      </w:r>
    </w:p>
    <w:p w:rsidR="00EB4C74" w:rsidRPr="009C494E" w:rsidRDefault="00EB4C74" w:rsidP="00EB4C74">
      <w:pPr>
        <w:pStyle w:val="H1GR"/>
      </w:pPr>
      <w:r w:rsidRPr="009C494E">
        <w:tab/>
      </w:r>
      <w:r w:rsidRPr="009C494E">
        <w:tab/>
        <w:t>Статья 22: Неприкосновенность частной жизни</w:t>
      </w:r>
    </w:p>
    <w:p w:rsidR="00EB4C74" w:rsidRPr="009C494E" w:rsidRDefault="00EB4C74" w:rsidP="00EB4C74">
      <w:pPr>
        <w:pStyle w:val="SingleTxtGR"/>
      </w:pPr>
      <w:r w:rsidRPr="009C494E">
        <w:t>118.</w:t>
      </w:r>
      <w:r w:rsidRPr="009C494E">
        <w:tab/>
        <w:t>Статья 5 (1) a), b), c) и j) Конституции Вануату предусматривает право человека на жизнь, свободу и личную неприкосновенность, а также право на</w:t>
      </w:r>
      <w:r>
        <w:t> </w:t>
      </w:r>
      <w:r w:rsidRPr="009C494E">
        <w:t>защиту неприкосновенности жилища и другого имущества и защиту от несправедливого лишения имущества. В статье 5 (1) k) закреплено право на равное обращение в соответствии с законом или административными актами за исключением того, что ни один закон не считается несоответствующим этому подпункту, если в нем содержится положение, предусматривающее предостав</w:t>
      </w:r>
      <w:r w:rsidRPr="009C494E">
        <w:lastRenderedPageBreak/>
        <w:t>ление специальных льгот, социальное обеспечение, защиту или улучшение положения женщин, детей и молодых людей, представителей групп населения, находящихся в неблагоприятном положении, или жителей менее развитых районов. Это право человека также распространяется и на инвалидов. В результате проведения большого числа информационно-просветительских кампаний по</w:t>
      </w:r>
      <w:r>
        <w:t> </w:t>
      </w:r>
      <w:r w:rsidRPr="009C494E">
        <w:t xml:space="preserve">вопросам прав инвалидов отношение людей к инвалидам является позитивным и характеризуется пониманием их проблем, а сами инвалиды стали более заметны и признаны в современном обществе. </w:t>
      </w:r>
    </w:p>
    <w:p w:rsidR="00EB4C74" w:rsidRPr="009C494E" w:rsidRDefault="00EB4C74" w:rsidP="00EB4C74">
      <w:pPr>
        <w:pStyle w:val="H1GR"/>
      </w:pPr>
      <w:r w:rsidRPr="009C494E">
        <w:tab/>
      </w:r>
      <w:r w:rsidRPr="009C494E">
        <w:tab/>
        <w:t>Статья 23: Уважение дома и семьи</w:t>
      </w:r>
    </w:p>
    <w:p w:rsidR="00EB4C74" w:rsidRPr="009C494E" w:rsidRDefault="00EB4C74" w:rsidP="00EB4C74">
      <w:pPr>
        <w:pStyle w:val="SingleTxtGR"/>
      </w:pPr>
      <w:r w:rsidRPr="009C494E">
        <w:t>119.</w:t>
      </w:r>
      <w:r w:rsidRPr="009C494E">
        <w:tab/>
      </w:r>
      <w:r w:rsidRPr="009C494E">
        <w:rPr>
          <w:i/>
        </w:rPr>
        <w:t>Закон Вануату о контроле над брачными отношениями (глава 45)</w:t>
      </w:r>
      <w:r w:rsidRPr="009C494E">
        <w:t xml:space="preserve"> не запрещает инвалидам заключать брачный договор.</w:t>
      </w:r>
    </w:p>
    <w:p w:rsidR="00EB4C74" w:rsidRPr="009C494E" w:rsidRDefault="00EB4C74" w:rsidP="00EB4C74">
      <w:pPr>
        <w:pStyle w:val="SingleTxtGR"/>
      </w:pPr>
      <w:r w:rsidRPr="009C494E">
        <w:t>120.</w:t>
      </w:r>
      <w:r w:rsidRPr="009C494E">
        <w:tab/>
        <w:t>Статья 5 (1) a), b) и c) Конституции Вануату предусматривает право человека на жизнь, свободу и личную неприкосновенность, что также наделяет инвалидов правом на доступ к услугам по планированию семьи, к помощи в репродуктивной области и к программе усыновления/удочерения детей или их приема на воспитание в семью. Кроме того, подпункт g) этой статьи провозглашает право на свободу выражения мнения, в результате чего инвалиды имеют право принимать решения о том, что они хотят сделать в собственных интересах.</w:t>
      </w:r>
    </w:p>
    <w:p w:rsidR="00EB4C74" w:rsidRPr="009C494E" w:rsidRDefault="00EB4C74" w:rsidP="00EB4C74">
      <w:pPr>
        <w:pStyle w:val="SingleTxtGR"/>
      </w:pPr>
      <w:r w:rsidRPr="009C494E">
        <w:t>121.</w:t>
      </w:r>
      <w:r w:rsidRPr="009C494E">
        <w:tab/>
        <w:t>Государство оказывает инвалидам поддержку в деле создания семьи и определения того, скольких детей они хотят иметь, учитывая возникающие в этой связи обязанности.</w:t>
      </w:r>
    </w:p>
    <w:p w:rsidR="00EB4C74" w:rsidRPr="009C494E" w:rsidRDefault="00EB4C74" w:rsidP="00EB4C74">
      <w:pPr>
        <w:pStyle w:val="SingleTxtGR"/>
      </w:pPr>
      <w:r w:rsidRPr="009C494E">
        <w:t>122.</w:t>
      </w:r>
      <w:r w:rsidRPr="009C494E">
        <w:tab/>
        <w:t>Семьи инвалидов оказывают поддержку матерям в процессе воспитания детей.</w:t>
      </w:r>
    </w:p>
    <w:p w:rsidR="00EB4C74" w:rsidRPr="009C494E" w:rsidRDefault="00EB4C74" w:rsidP="00EB4C74">
      <w:pPr>
        <w:pStyle w:val="SingleTxtGR"/>
      </w:pPr>
      <w:r w:rsidRPr="009C494E">
        <w:t>123.</w:t>
      </w:r>
      <w:r w:rsidRPr="009C494E">
        <w:tab/>
        <w:t>В тех редких случаях, когда родители ребенка не могут обеспечить уход за ребенком в связи с тяжелой формой инвалидности, семьи, включая расширенные семьи, действуя в соответствии с обычной практикой, берут на себя ответственность за воспитание ребенка.</w:t>
      </w:r>
    </w:p>
    <w:p w:rsidR="00EB4C74" w:rsidRPr="009C494E" w:rsidRDefault="00EB4C74" w:rsidP="00EB4C74">
      <w:pPr>
        <w:pStyle w:val="H1GR"/>
      </w:pPr>
      <w:r w:rsidRPr="009C494E">
        <w:tab/>
      </w:r>
      <w:r w:rsidRPr="009C494E">
        <w:tab/>
        <w:t>Статья 24: Образование</w:t>
      </w:r>
    </w:p>
    <w:p w:rsidR="00EB4C74" w:rsidRPr="009C494E" w:rsidRDefault="00EB4C74" w:rsidP="00EB4C74">
      <w:pPr>
        <w:pStyle w:val="SingleTxtGR"/>
      </w:pPr>
      <w:r w:rsidRPr="009C494E">
        <w:t>124.</w:t>
      </w:r>
      <w:r w:rsidRPr="009C494E">
        <w:tab/>
        <w:t xml:space="preserve">Часть 1 (8) (1) Закона об образовании № 21 2001 года запрещает дискриминацию, предусматривая, что </w:t>
      </w:r>
      <w:r w:rsidRPr="004239C8">
        <w:rPr>
          <w:iCs/>
        </w:rPr>
        <w:t>«</w:t>
      </w:r>
      <w:r w:rsidRPr="009C494E">
        <w:rPr>
          <w:i/>
        </w:rPr>
        <w:t xml:space="preserve">… ребенку не может быть отказано в приеме ни в какую школу по признаку его или ее пола, религии, гражданства, расы, языка или </w:t>
      </w:r>
      <w:r w:rsidRPr="009C494E">
        <w:rPr>
          <w:b/>
          <w:i/>
        </w:rPr>
        <w:t>инвалидности</w:t>
      </w:r>
      <w:r w:rsidRPr="009C494E">
        <w:t>».</w:t>
      </w:r>
    </w:p>
    <w:p w:rsidR="00EB4C74" w:rsidRPr="009C494E" w:rsidRDefault="00EB4C74" w:rsidP="00EB4C74">
      <w:pPr>
        <w:pStyle w:val="SingleTxtGR"/>
      </w:pPr>
      <w:r w:rsidRPr="009C494E">
        <w:t>125.</w:t>
      </w:r>
      <w:r w:rsidRPr="009C494E">
        <w:tab/>
        <w:t>В документе «Приоритетные задачи и Программа действий Вануату на 2006–2015 годы», который представляет собой текущий 10-летний план развития страны, говорится о социальной интеграции инвалидов (Вануату, 2006 год). В частности, в раздел 8.1 главы 8, касающейся образования и развития людских ресурсов, включена программа «Образование для всех», и правительство привержено делу достижения в приоритетном порядке следующих шести целей:</w:t>
      </w:r>
    </w:p>
    <w:p w:rsidR="00EB4C74" w:rsidRPr="009C494E" w:rsidRDefault="00EB4C74" w:rsidP="00EB4C74">
      <w:pPr>
        <w:pStyle w:val="Bullet1GR"/>
      </w:pPr>
      <w:r w:rsidRPr="009C494E">
        <w:t xml:space="preserve">расширить и усовершенствовать систему ухода за детьми младшего возраста и их воспитания, особенно за </w:t>
      </w:r>
      <w:r w:rsidRPr="009C494E">
        <w:rPr>
          <w:i/>
        </w:rPr>
        <w:t>детьми, находящимися в неблагоприятном положении</w:t>
      </w:r>
      <w:r w:rsidRPr="009C494E">
        <w:t>;</w:t>
      </w:r>
    </w:p>
    <w:p w:rsidR="00EB4C74" w:rsidRPr="009C494E" w:rsidRDefault="00EB4C74" w:rsidP="00EB4C74">
      <w:pPr>
        <w:pStyle w:val="Bullet1GR"/>
      </w:pPr>
      <w:r w:rsidRPr="009C494E">
        <w:t xml:space="preserve">обеспечить, чтобы к 2015 году все дети (особенно девочки, дети из числа меньшинств и </w:t>
      </w:r>
      <w:r w:rsidRPr="009C494E">
        <w:rPr>
          <w:i/>
        </w:rPr>
        <w:t>дети, находящиеся в неблагоприятном положении</w:t>
      </w:r>
      <w:r w:rsidRPr="009C494E">
        <w:t xml:space="preserve">) имели высококачественное, бесплатное, полное и обязательное начальное образование [курсив наш]; </w:t>
      </w:r>
    </w:p>
    <w:p w:rsidR="00EB4C74" w:rsidRPr="009C494E" w:rsidRDefault="00EB4C74" w:rsidP="00EB4C74">
      <w:pPr>
        <w:pStyle w:val="Bullet1GR"/>
      </w:pPr>
      <w:r w:rsidRPr="009C494E">
        <w:t xml:space="preserve">обеспечить, чтобы все молодые люди и взрослые имели равный доступ к программам обучения и приобретения жизненных навыков; </w:t>
      </w:r>
    </w:p>
    <w:p w:rsidR="00EB4C74" w:rsidRPr="009C494E" w:rsidRDefault="00EB4C74" w:rsidP="00EB4C74">
      <w:pPr>
        <w:pStyle w:val="Bullet1GR"/>
      </w:pPr>
      <w:r w:rsidRPr="009C494E">
        <w:lastRenderedPageBreak/>
        <w:t>обеспечить к 2015 году 50-процентное увеличение показателя грамотности среди взрослого населения (особенно среди женщин) и равный доступ к базовому и непрерывному образованию для всех взрослых;</w:t>
      </w:r>
    </w:p>
    <w:p w:rsidR="00EB4C74" w:rsidRPr="009C494E" w:rsidRDefault="00EB4C74" w:rsidP="00EB4C74">
      <w:pPr>
        <w:pStyle w:val="Bullet1GR"/>
      </w:pPr>
      <w:r w:rsidRPr="009C494E">
        <w:t xml:space="preserve">повысить качество образования и успеваемость, особенно в целях достижения целевых показателей по таким дисциплинам, как чтение, письмо, арифметика и приобретение важнейших жизненных навыков; и </w:t>
      </w:r>
    </w:p>
    <w:p w:rsidR="00EB4C74" w:rsidRPr="009C494E" w:rsidRDefault="00EB4C74" w:rsidP="00EB4C74">
      <w:pPr>
        <w:pStyle w:val="Bullet1GR"/>
      </w:pPr>
      <w:r w:rsidRPr="009C494E">
        <w:t>ликвидировать гендерные различия в сфере образования.</w:t>
      </w:r>
    </w:p>
    <w:p w:rsidR="00EB4C74" w:rsidRPr="009C494E" w:rsidRDefault="00EB4C74" w:rsidP="00EB4C74">
      <w:pPr>
        <w:pStyle w:val="SingleTxtGR"/>
      </w:pPr>
      <w:r w:rsidRPr="009C494E">
        <w:t>126.</w:t>
      </w:r>
      <w:r w:rsidRPr="009C494E">
        <w:tab/>
        <w:t>Программная директива 8.4 Национальной политики в отношении инвалидов и Плана действий на 2008–2015 годы нацелена на обеспечение того, чтобы все девочки и мальчики из числа инвалидов имели максимальные возможности для получения образования, а также на создание для инвалидов равных возможностей в плане профессиональной подготовки и трудоустройства.</w:t>
      </w:r>
    </w:p>
    <w:p w:rsidR="00EB4C74" w:rsidRPr="009C494E" w:rsidRDefault="00EB4C74" w:rsidP="00EB4C74">
      <w:pPr>
        <w:pStyle w:val="SingleTxtGR"/>
      </w:pPr>
      <w:r w:rsidRPr="009C494E">
        <w:t>127.</w:t>
      </w:r>
      <w:r w:rsidRPr="009C494E">
        <w:tab/>
        <w:t>Правительство Вануату, действуя по линии Министерства образования, одобрило Политику и Стратегический план в области инклюзивного образования на 2010–2020 годы, которые закладывают рамочную основу для создания системы образования, охватывающей всех детей, и создают условия для признания того, что ВСЕ дети могут учиться. Эта политика охватывает всех детей, включая детей-инвалидов. В сотрудничестве с Университетом Квинсленда в Австралии и Южнотихоокеанским университетом (ЮТУ) Вануату участвует в реализации проекта по укреплению потенциала инвалидов в Тихоокеанском регионе. Цель этого проекта заключается в создании к 2016 году двух образцовых инклюзивных школ. В 2015 году Министерство образования создало группу по вопросам инклюзивного образования в составе сотрудников Министерства образования и представителя инвалидов из Общества инвалидов Вануату.</w:t>
      </w:r>
    </w:p>
    <w:p w:rsidR="00EB4C74" w:rsidRPr="009C494E" w:rsidRDefault="00EB4C74" w:rsidP="00EB4C74">
      <w:pPr>
        <w:pStyle w:val="SingleTxtGR"/>
      </w:pPr>
      <w:r w:rsidRPr="009C494E">
        <w:t>128.</w:t>
      </w:r>
      <w:r w:rsidRPr="009C494E">
        <w:tab/>
        <w:t>В 2001 году правительство Вануату назначило в структуре Министерства образования сотрудника, котор</w:t>
      </w:r>
      <w:r>
        <w:t>ы</w:t>
      </w:r>
      <w:r w:rsidRPr="009C494E">
        <w:t>й занимается вопросами особых потребностей инвалидов в сфере образования, что позволило достичь прогресса по целому ряду направлений, в том числе в деле приоритизации в Вануату целей программы «Образование для всех», которая направлена на охват образованием детей-инвалидов, в деле сбора данных о детях-инвалидах школьного возраста, посещающих школы, и в деле решения вопросов, связанных с необходимостью строительства специальных школ в Порт-Виле и Санто.</w:t>
      </w:r>
    </w:p>
    <w:p w:rsidR="00EB4C74" w:rsidRPr="009C494E" w:rsidRDefault="00EB4C74" w:rsidP="00EB4C74">
      <w:pPr>
        <w:pStyle w:val="SingleTxtGR"/>
      </w:pPr>
      <w:r w:rsidRPr="009C494E">
        <w:t>129.</w:t>
      </w:r>
      <w:r w:rsidRPr="009C494E">
        <w:tab/>
        <w:t xml:space="preserve">Стратегия в сфере образования и профессиональной подготовки </w:t>
      </w:r>
      <w:r w:rsidRPr="009C494E">
        <w:br/>
        <w:t>(на 2006–2016 годы) включает десять приоритетных областей. Эти приоритетные области имеют большое значение для социальной интеграции детей-инвалидов и касаются:</w:t>
      </w:r>
    </w:p>
    <w:p w:rsidR="00EB4C74" w:rsidRPr="009C494E" w:rsidRDefault="00EB4C74" w:rsidP="00EB4C74">
      <w:pPr>
        <w:pStyle w:val="Bullet1GR"/>
      </w:pPr>
      <w:r w:rsidRPr="009C494E">
        <w:t>повышения актуальности, качества и доступности дошкольного образования и специального образования для всех детей, как это предусмотрено в национальных планах реализации программы «Образование для всех» (ОДВ) и целях в области развития, сформулированных в Декларации тысячелетия;</w:t>
      </w:r>
    </w:p>
    <w:p w:rsidR="00EB4C74" w:rsidRPr="009C494E" w:rsidRDefault="00EB4C74" w:rsidP="00EB4C74">
      <w:pPr>
        <w:pStyle w:val="Bullet1GR"/>
      </w:pPr>
      <w:r w:rsidRPr="009C494E">
        <w:t>достижения надлежащего и качественного всеобщего начального образования до восьми лет в соответствии с целями программы ОДВ и целями в области развития, сформулированными в Декларации тысячелетия;</w:t>
      </w:r>
    </w:p>
    <w:p w:rsidR="00EB4C74" w:rsidRPr="009C494E" w:rsidRDefault="00EB4C74" w:rsidP="00EB4C74">
      <w:pPr>
        <w:pStyle w:val="Bullet1GR"/>
      </w:pPr>
      <w:r w:rsidRPr="009C494E">
        <w:t>расширения доступности и повышения актуальности и качества подготовки учителей.</w:t>
      </w:r>
    </w:p>
    <w:p w:rsidR="00EB4C74" w:rsidRPr="009C494E" w:rsidRDefault="00EB4C74" w:rsidP="00EB4C74">
      <w:pPr>
        <w:pStyle w:val="SingleTxtGR"/>
      </w:pPr>
      <w:r w:rsidRPr="009C494E">
        <w:t>130.</w:t>
      </w:r>
      <w:r w:rsidRPr="009C494E">
        <w:tab/>
        <w:t xml:space="preserve">Министерство образования собирает данные о фактическом числе инвалидов, обучающихся в учебных заведениях. После того, как в 2001 году была создана должность координатора по вопросам специального образования, назначенный на эту должность сотрудник подготовил вопросник, предназначенный для сбора соответствующих данных. Подготовленные им вопросы были затем включены в вопросник Информационной системы управления образованием Вануату (ВЕМИС). В таблицах 2 и 3 содержится краткая информация </w:t>
      </w:r>
      <w:r w:rsidRPr="009C494E">
        <w:lastRenderedPageBreak/>
        <w:t>о числе учащихся-инвалидов в начальных и средних школах в разбивке по провинциям и полу.</w:t>
      </w:r>
    </w:p>
    <w:p w:rsidR="00EB4C74" w:rsidRDefault="00EB4C74" w:rsidP="00EB4C74">
      <w:pPr>
        <w:pStyle w:val="SingleTxtGR"/>
        <w:sectPr w:rsidR="00EB4C74" w:rsidSect="00182F51">
          <w:headerReference w:type="even"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567" w:gutter="0"/>
          <w:cols w:space="708"/>
          <w:docGrid w:linePitch="360"/>
        </w:sectPr>
      </w:pPr>
    </w:p>
    <w:p w:rsidR="00EB4C74" w:rsidRPr="009C494E" w:rsidRDefault="004239C8" w:rsidP="002D4E30">
      <w:pPr>
        <w:pStyle w:val="H23GR"/>
        <w:ind w:hanging="868"/>
      </w:pPr>
      <w:r>
        <w:rPr>
          <w:noProof/>
          <w:lang w:val="en-US" w:eastAsia="zh-CN"/>
        </w:rPr>
        <w:lastRenderedPageBreak/>
        <mc:AlternateContent>
          <mc:Choice Requires="wps">
            <w:drawing>
              <wp:anchor distT="0" distB="0" distL="114300" distR="114300" simplePos="0" relativeHeight="251674624" behindDoc="0" locked="0" layoutInCell="1" allowOverlap="1" wp14:anchorId="682E149B" wp14:editId="4AD97658">
                <wp:simplePos x="0" y="0"/>
                <wp:positionH relativeFrom="column">
                  <wp:posOffset>8548370</wp:posOffset>
                </wp:positionH>
                <wp:positionV relativeFrom="paragraph">
                  <wp:posOffset>8968</wp:posOffset>
                </wp:positionV>
                <wp:extent cx="215900" cy="6119495"/>
                <wp:effectExtent l="0" t="0" r="12700" b="14605"/>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19495"/>
                        </a:xfrm>
                        <a:prstGeom prst="rect">
                          <a:avLst/>
                        </a:prstGeom>
                        <a:solidFill>
                          <a:srgbClr val="FFFFFF"/>
                        </a:solidFill>
                        <a:ln w="9525">
                          <a:solidFill>
                            <a:schemeClr val="bg1"/>
                          </a:solidFill>
                          <a:miter lim="800000"/>
                          <a:headEnd/>
                          <a:tailEnd/>
                        </a:ln>
                      </wps:spPr>
                      <wps:txbx>
                        <w:txbxContent>
                          <w:p w:rsidR="00D91931" w:rsidRDefault="00D91931" w:rsidP="006116C9">
                            <w:pPr>
                              <w:pStyle w:val="Header"/>
                              <w:jc w:val="right"/>
                            </w:pPr>
                            <w:r>
                              <w:t>CRPD/C/VUT</w:t>
                            </w:r>
                            <w:r w:rsidRPr="00A15416">
                              <w:t>/1</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E149B" id="_x0000_s1028" type="#_x0000_t202" style="position:absolute;left:0;text-align:left;margin-left:673.1pt;margin-top:.7pt;width:17pt;height:48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" strokecolor="white [3212]">
                <v:textbox style="layout-flow:vertical" inset="0,0,0,0">
                  <w:txbxContent>
                    <w:p w:rsidR="00D91931" w:rsidRDefault="00D91931" w:rsidP="006116C9">
                      <w:pPr>
                        <w:pStyle w:val="Header"/>
                        <w:jc w:val="right"/>
                      </w:pPr>
                      <w:r>
                        <w:t>CRPD/C/VUT</w:t>
                      </w:r>
                      <w:r w:rsidRPr="00A15416">
                        <w:t>/1</w:t>
                      </w:r>
                    </w:p>
                  </w:txbxContent>
                </v:textbox>
              </v:shape>
            </w:pict>
          </mc:Fallback>
        </mc:AlternateContent>
      </w:r>
      <w:r w:rsidR="0027709C">
        <w:rPr>
          <w:noProof/>
          <w:lang w:val="en-US" w:eastAsia="zh-CN"/>
        </w:rPr>
        <mc:AlternateContent>
          <mc:Choice Requires="wps">
            <w:drawing>
              <wp:anchor distT="0" distB="0" distL="114300" distR="114300" simplePos="0" relativeHeight="251672576" behindDoc="0" locked="0" layoutInCell="1" allowOverlap="1" wp14:anchorId="046DE31C" wp14:editId="06AE4F8A">
                <wp:simplePos x="0" y="0"/>
                <wp:positionH relativeFrom="column">
                  <wp:posOffset>-410043</wp:posOffset>
                </wp:positionH>
                <wp:positionV relativeFrom="paragraph">
                  <wp:posOffset>114887</wp:posOffset>
                </wp:positionV>
                <wp:extent cx="215900" cy="6299835"/>
                <wp:effectExtent l="0" t="0" r="0" b="5715"/>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299835"/>
                        </a:xfrm>
                        <a:prstGeom prst="rect">
                          <a:avLst/>
                        </a:prstGeom>
                        <a:solidFill>
                          <a:srgbClr val="FFFFFF"/>
                        </a:solidFill>
                        <a:ln w="9525">
                          <a:noFill/>
                          <a:miter lim="800000"/>
                          <a:headEnd/>
                          <a:tailEnd/>
                        </a:ln>
                      </wps:spPr>
                      <wps:txbx>
                        <w:txbxContent>
                          <w:p w:rsidR="00D91931" w:rsidRPr="00C82BA4" w:rsidRDefault="00D91931" w:rsidP="00E1248E">
                            <w:pPr>
                              <w:pStyle w:val="Footer"/>
                              <w:rPr>
                                <w:lang w:val="ru-RU"/>
                              </w:rPr>
                            </w:pPr>
                            <w:r>
                              <w:t>GE.17-17</w:t>
                            </w:r>
                            <w:r>
                              <w:rPr>
                                <w:lang w:val="ru-RU"/>
                              </w:rPr>
                              <w:t>231</w:t>
                            </w:r>
                            <w:r>
                              <w:t xml:space="preserve">  (EXT)</w:t>
                            </w:r>
                            <w:r>
                              <w:tab/>
                            </w:r>
                            <w:r w:rsidRPr="00C82BA4">
                              <w:rPr>
                                <w:rStyle w:val="PageNumber"/>
                              </w:rPr>
                              <w:t>33</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E31C" id="_x0000_s1029" type="#_x0000_t202" style="position:absolute;left:0;text-align:left;margin-left:-32.3pt;margin-top:9.05pt;width:17pt;height:49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" stroked="f">
                <v:textbox style="layout-flow:vertical" inset="0,0,0,0">
                  <w:txbxContent>
                    <w:p w:rsidR="00D91931" w:rsidRPr="00C82BA4" w:rsidRDefault="00D91931" w:rsidP="00E1248E">
                      <w:pPr>
                        <w:pStyle w:val="Footer"/>
                        <w:rPr>
                          <w:lang w:val="ru-RU"/>
                        </w:rPr>
                      </w:pPr>
                      <w:r>
                        <w:t>GE.17-17</w:t>
                      </w:r>
                      <w:r>
                        <w:rPr>
                          <w:lang w:val="ru-RU"/>
                        </w:rPr>
                        <w:t>231</w:t>
                      </w:r>
                      <w:r>
                        <w:t xml:space="preserve">  (EXT)</w:t>
                      </w:r>
                      <w:r>
                        <w:tab/>
                      </w:r>
                      <w:r w:rsidRPr="00C82BA4">
                        <w:rPr>
                          <w:rStyle w:val="PageNumber"/>
                        </w:rPr>
                        <w:t>33</w:t>
                      </w:r>
                    </w:p>
                  </w:txbxContent>
                </v:textbox>
              </v:shape>
            </w:pict>
          </mc:Fallback>
        </mc:AlternateContent>
      </w:r>
      <w:r w:rsidR="002D4E30">
        <w:tab/>
      </w:r>
      <w:r w:rsidR="00EB4C74" w:rsidRPr="009C494E">
        <w:t>Таблица 3: Начальные школы с разбивкой по видам инвалидности, провинциям и полу, 2012 год</w:t>
      </w:r>
    </w:p>
    <w:tbl>
      <w:tblPr>
        <w:tblStyle w:val="TableGrid"/>
        <w:tblW w:w="12363"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1"/>
        <w:gridCol w:w="504"/>
        <w:gridCol w:w="674"/>
        <w:gridCol w:w="560"/>
        <w:gridCol w:w="636"/>
        <w:gridCol w:w="572"/>
        <w:gridCol w:w="632"/>
        <w:gridCol w:w="677"/>
        <w:gridCol w:w="665"/>
        <w:gridCol w:w="569"/>
        <w:gridCol w:w="638"/>
        <w:gridCol w:w="610"/>
        <w:gridCol w:w="679"/>
        <w:gridCol w:w="1101"/>
        <w:gridCol w:w="1101"/>
        <w:gridCol w:w="1101"/>
        <w:gridCol w:w="13"/>
      </w:tblGrid>
      <w:tr w:rsidR="00EB4C74" w:rsidRPr="009C494E" w:rsidTr="006116C9">
        <w:trPr>
          <w:cantSplit/>
        </w:trPr>
        <w:tc>
          <w:tcPr>
            <w:tcW w:w="1632" w:type="dxa"/>
            <w:tcBorders>
              <w:top w:val="single" w:sz="4" w:space="0" w:color="auto"/>
            </w:tcBorders>
            <w:shd w:val="clear" w:color="auto" w:fill="auto"/>
            <w:vAlign w:val="bottom"/>
          </w:tcPr>
          <w:p w:rsidR="00EB4C74" w:rsidRPr="009C494E" w:rsidRDefault="00EB4C74" w:rsidP="006116C9">
            <w:pPr>
              <w:spacing w:before="80" w:after="80" w:line="200" w:lineRule="exact"/>
              <w:jc w:val="right"/>
              <w:rPr>
                <w:i/>
                <w:sz w:val="16"/>
                <w:szCs w:val="16"/>
              </w:rPr>
            </w:pPr>
          </w:p>
        </w:tc>
        <w:tc>
          <w:tcPr>
            <w:tcW w:w="1179" w:type="dxa"/>
            <w:gridSpan w:val="2"/>
            <w:tcBorders>
              <w:top w:val="single" w:sz="4" w:space="0" w:color="auto"/>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Торба</w:t>
            </w:r>
          </w:p>
        </w:tc>
        <w:tc>
          <w:tcPr>
            <w:tcW w:w="11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Санма</w:t>
            </w:r>
          </w:p>
        </w:tc>
        <w:tc>
          <w:tcPr>
            <w:tcW w:w="12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Пенама</w:t>
            </w:r>
          </w:p>
        </w:tc>
        <w:tc>
          <w:tcPr>
            <w:tcW w:w="13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Малама</w:t>
            </w:r>
          </w:p>
        </w:tc>
        <w:tc>
          <w:tcPr>
            <w:tcW w:w="12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Шефа</w:t>
            </w:r>
          </w:p>
        </w:tc>
        <w:tc>
          <w:tcPr>
            <w:tcW w:w="1289" w:type="dxa"/>
            <w:gridSpan w:val="2"/>
            <w:tcBorders>
              <w:top w:val="single" w:sz="4" w:space="0" w:color="auto"/>
              <w:left w:val="single" w:sz="24" w:space="0" w:color="FFFFFF" w:themeColor="background1"/>
              <w:bottom w:val="single" w:sz="4" w:space="0" w:color="auto"/>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Тафеа</w:t>
            </w:r>
          </w:p>
        </w:tc>
        <w:tc>
          <w:tcPr>
            <w:tcW w:w="1101" w:type="dxa"/>
            <w:tcBorders>
              <w:top w:val="single" w:sz="4" w:space="0" w:color="auto"/>
            </w:tcBorders>
            <w:shd w:val="clear" w:color="auto" w:fill="auto"/>
            <w:vAlign w:val="bottom"/>
          </w:tcPr>
          <w:p w:rsidR="00EB4C74" w:rsidRPr="009C494E" w:rsidRDefault="00EB4C74" w:rsidP="006116C9">
            <w:pPr>
              <w:spacing w:before="80" w:after="80" w:line="200" w:lineRule="exact"/>
              <w:jc w:val="right"/>
              <w:rPr>
                <w:i/>
                <w:sz w:val="16"/>
                <w:szCs w:val="16"/>
              </w:rPr>
            </w:pPr>
          </w:p>
        </w:tc>
        <w:tc>
          <w:tcPr>
            <w:tcW w:w="1101" w:type="dxa"/>
            <w:tcBorders>
              <w:top w:val="single" w:sz="4" w:space="0" w:color="auto"/>
            </w:tcBorders>
            <w:shd w:val="clear" w:color="auto" w:fill="auto"/>
            <w:vAlign w:val="bottom"/>
          </w:tcPr>
          <w:p w:rsidR="00EB4C74" w:rsidRPr="009C494E" w:rsidRDefault="00EB4C74" w:rsidP="006116C9">
            <w:pPr>
              <w:spacing w:before="80" w:after="80" w:line="200" w:lineRule="exact"/>
              <w:jc w:val="right"/>
              <w:rPr>
                <w:i/>
                <w:sz w:val="16"/>
                <w:szCs w:val="16"/>
              </w:rPr>
            </w:pPr>
          </w:p>
        </w:tc>
        <w:tc>
          <w:tcPr>
            <w:tcW w:w="1112" w:type="dxa"/>
            <w:gridSpan w:val="2"/>
            <w:tcBorders>
              <w:top w:val="single" w:sz="4" w:space="0" w:color="auto"/>
            </w:tcBorders>
            <w:shd w:val="clear" w:color="auto" w:fill="auto"/>
            <w:vAlign w:val="bottom"/>
          </w:tcPr>
          <w:p w:rsidR="00EB4C74" w:rsidRPr="009C494E" w:rsidRDefault="00EB4C74" w:rsidP="006116C9">
            <w:pPr>
              <w:spacing w:before="80" w:after="80" w:line="200" w:lineRule="exact"/>
              <w:jc w:val="right"/>
              <w:rPr>
                <w:i/>
                <w:sz w:val="16"/>
                <w:szCs w:val="16"/>
              </w:rPr>
            </w:pPr>
          </w:p>
        </w:tc>
      </w:tr>
      <w:tr w:rsidR="00EB4C74" w:rsidRPr="009C494E" w:rsidTr="006116C9">
        <w:trPr>
          <w:gridAfter w:val="1"/>
          <w:wAfter w:w="13" w:type="dxa"/>
          <w:cantSplit/>
        </w:trPr>
        <w:tc>
          <w:tcPr>
            <w:tcW w:w="1632" w:type="dxa"/>
            <w:tcBorders>
              <w:bottom w:val="single" w:sz="12" w:space="0" w:color="auto"/>
            </w:tcBorders>
            <w:shd w:val="clear" w:color="auto" w:fill="auto"/>
            <w:vAlign w:val="bottom"/>
          </w:tcPr>
          <w:p w:rsidR="00EB4C74" w:rsidRPr="009C494E" w:rsidRDefault="00EB4C74" w:rsidP="006116C9">
            <w:pPr>
              <w:spacing w:before="80" w:after="80" w:line="200" w:lineRule="exact"/>
              <w:rPr>
                <w:i/>
                <w:sz w:val="16"/>
                <w:szCs w:val="16"/>
              </w:rPr>
            </w:pPr>
            <w:r w:rsidRPr="009C494E">
              <w:rPr>
                <w:i/>
                <w:sz w:val="16"/>
                <w:szCs w:val="16"/>
              </w:rPr>
              <w:t xml:space="preserve">Виды </w:t>
            </w:r>
            <w:r w:rsidRPr="009C494E">
              <w:rPr>
                <w:i/>
                <w:sz w:val="16"/>
                <w:szCs w:val="16"/>
              </w:rPr>
              <w:br/>
              <w:t>инвалидности</w:t>
            </w:r>
          </w:p>
        </w:tc>
        <w:tc>
          <w:tcPr>
            <w:tcW w:w="505" w:type="dxa"/>
            <w:tcBorders>
              <w:top w:val="single" w:sz="4" w:space="0" w:color="auto"/>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пол </w:t>
            </w:r>
          </w:p>
        </w:tc>
        <w:tc>
          <w:tcPr>
            <w:tcW w:w="674"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Женский </w:t>
            </w:r>
            <w:r w:rsidRPr="009C494E">
              <w:rPr>
                <w:i/>
                <w:sz w:val="16"/>
                <w:szCs w:val="16"/>
              </w:rPr>
              <w:br/>
              <w:t>пол</w:t>
            </w:r>
          </w:p>
        </w:tc>
        <w:tc>
          <w:tcPr>
            <w:tcW w:w="560" w:type="dxa"/>
            <w:tcBorders>
              <w:top w:val="single" w:sz="4" w:space="0" w:color="auto"/>
              <w:left w:val="single" w:sz="24" w:space="0" w:color="FFFFFF" w:themeColor="background1"/>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пол </w:t>
            </w:r>
          </w:p>
        </w:tc>
        <w:tc>
          <w:tcPr>
            <w:tcW w:w="636"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Женский пол</w:t>
            </w:r>
          </w:p>
        </w:tc>
        <w:tc>
          <w:tcPr>
            <w:tcW w:w="572" w:type="dxa"/>
            <w:tcBorders>
              <w:top w:val="single" w:sz="4" w:space="0" w:color="auto"/>
              <w:left w:val="single" w:sz="24" w:space="0" w:color="FFFFFF" w:themeColor="background1"/>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пол </w:t>
            </w:r>
          </w:p>
        </w:tc>
        <w:tc>
          <w:tcPr>
            <w:tcW w:w="631"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Женский пол</w:t>
            </w:r>
          </w:p>
        </w:tc>
        <w:tc>
          <w:tcPr>
            <w:tcW w:w="677"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w:t>
            </w:r>
            <w:r w:rsidRPr="009C494E">
              <w:rPr>
                <w:i/>
                <w:sz w:val="16"/>
                <w:szCs w:val="16"/>
              </w:rPr>
              <w:br/>
              <w:t>пол</w:t>
            </w:r>
          </w:p>
        </w:tc>
        <w:tc>
          <w:tcPr>
            <w:tcW w:w="665" w:type="dxa"/>
            <w:tcBorders>
              <w:top w:val="single" w:sz="4" w:space="0" w:color="auto"/>
              <w:bottom w:val="single" w:sz="12" w:space="0" w:color="auto"/>
              <w:right w:val="single" w:sz="24" w:space="0" w:color="FFFFFF" w:themeColor="background1"/>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Женский </w:t>
            </w:r>
            <w:r w:rsidRPr="009C494E">
              <w:rPr>
                <w:i/>
                <w:sz w:val="16"/>
                <w:szCs w:val="16"/>
              </w:rPr>
              <w:br/>
              <w:t>пол</w:t>
            </w:r>
          </w:p>
        </w:tc>
        <w:tc>
          <w:tcPr>
            <w:tcW w:w="569"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Мужской пол</w:t>
            </w:r>
          </w:p>
        </w:tc>
        <w:tc>
          <w:tcPr>
            <w:tcW w:w="637" w:type="dxa"/>
            <w:tcBorders>
              <w:top w:val="single" w:sz="4" w:space="0" w:color="auto"/>
              <w:bottom w:val="single" w:sz="12" w:space="0" w:color="auto"/>
              <w:right w:val="single" w:sz="24" w:space="0" w:color="FFFFFF" w:themeColor="background1"/>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Женский пол</w:t>
            </w:r>
          </w:p>
        </w:tc>
        <w:tc>
          <w:tcPr>
            <w:tcW w:w="610"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Мужской пол</w:t>
            </w:r>
          </w:p>
        </w:tc>
        <w:tc>
          <w:tcPr>
            <w:tcW w:w="679"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Жен-</w:t>
            </w:r>
            <w:r w:rsidRPr="009C494E">
              <w:rPr>
                <w:i/>
                <w:sz w:val="16"/>
                <w:szCs w:val="16"/>
              </w:rPr>
              <w:br/>
              <w:t xml:space="preserve">ский </w:t>
            </w:r>
            <w:r w:rsidRPr="009C494E">
              <w:rPr>
                <w:i/>
                <w:sz w:val="16"/>
                <w:szCs w:val="16"/>
              </w:rPr>
              <w:br/>
              <w:t>пол</w:t>
            </w:r>
          </w:p>
        </w:tc>
        <w:tc>
          <w:tcPr>
            <w:tcW w:w="1101"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Всего </w:t>
            </w:r>
            <w:r w:rsidRPr="009C494E">
              <w:rPr>
                <w:i/>
                <w:sz w:val="16"/>
                <w:szCs w:val="16"/>
              </w:rPr>
              <w:br/>
              <w:t>мужского пола</w:t>
            </w:r>
          </w:p>
        </w:tc>
        <w:tc>
          <w:tcPr>
            <w:tcW w:w="1101"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Всего </w:t>
            </w:r>
            <w:r w:rsidRPr="009C494E">
              <w:rPr>
                <w:i/>
                <w:sz w:val="16"/>
                <w:szCs w:val="16"/>
              </w:rPr>
              <w:br/>
              <w:t xml:space="preserve">женского </w:t>
            </w:r>
            <w:r w:rsidRPr="009C494E">
              <w:rPr>
                <w:i/>
                <w:sz w:val="16"/>
                <w:szCs w:val="16"/>
              </w:rPr>
              <w:br/>
              <w:t>пола</w:t>
            </w:r>
          </w:p>
        </w:tc>
        <w:tc>
          <w:tcPr>
            <w:tcW w:w="1101"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Итого</w:t>
            </w:r>
          </w:p>
        </w:tc>
      </w:tr>
      <w:tr w:rsidR="00EB4C74" w:rsidRPr="009C494E" w:rsidTr="006116C9">
        <w:trPr>
          <w:gridAfter w:val="1"/>
          <w:wAfter w:w="13" w:type="dxa"/>
          <w:cantSplit/>
        </w:trPr>
        <w:tc>
          <w:tcPr>
            <w:tcW w:w="1632" w:type="dxa"/>
            <w:tcBorders>
              <w:top w:val="single" w:sz="12"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Синдром Дауна</w:t>
            </w:r>
          </w:p>
        </w:tc>
        <w:tc>
          <w:tcPr>
            <w:tcW w:w="505"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74"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560"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36"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572"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31"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77"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65"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69"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637"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10"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79"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1101"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w:t>
            </w:r>
          </w:p>
        </w:tc>
        <w:tc>
          <w:tcPr>
            <w:tcW w:w="1101"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w:t>
            </w:r>
          </w:p>
        </w:tc>
        <w:tc>
          <w:tcPr>
            <w:tcW w:w="1101"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19</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слуха</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67</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47</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25</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22</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25</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35</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33</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26</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34</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39</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193</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174</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367</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Нарушение </w:t>
            </w:r>
            <w:r w:rsidRPr="009C494E">
              <w:rPr>
                <w:sz w:val="18"/>
                <w:szCs w:val="18"/>
              </w:rPr>
              <w:br/>
              <w:t>обучаемости</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88</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58</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382</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325</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147</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95</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116</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98</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207</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144</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211</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1 151</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898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2 049</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Умственная </w:t>
            </w:r>
            <w:r w:rsidRPr="009C494E">
              <w:rPr>
                <w:sz w:val="18"/>
                <w:szCs w:val="18"/>
              </w:rPr>
              <w:br/>
              <w:t>неполноценность</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47</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24</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13</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21</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19</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110</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65</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175</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Множественная инвалидность</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15</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40</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68</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Прочие виды </w:t>
            </w:r>
            <w:r w:rsidRPr="009C494E">
              <w:rPr>
                <w:sz w:val="18"/>
                <w:szCs w:val="18"/>
              </w:rPr>
              <w:br/>
              <w:t>инвалидности</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23</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16</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39</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pacing w:val="0"/>
                <w:sz w:val="18"/>
                <w:szCs w:val="18"/>
              </w:rPr>
            </w:pPr>
            <w:r w:rsidRPr="009C494E">
              <w:rPr>
                <w:spacing w:val="0"/>
                <w:sz w:val="18"/>
                <w:szCs w:val="18"/>
              </w:rPr>
              <w:t xml:space="preserve">Физическая </w:t>
            </w:r>
            <w:r w:rsidRPr="009C494E">
              <w:rPr>
                <w:spacing w:val="0"/>
                <w:sz w:val="18"/>
                <w:szCs w:val="18"/>
              </w:rPr>
              <w:br/>
              <w:t>нетрудоспособность</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20</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13</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11</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18</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73</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50</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123</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зрения</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34</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25</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13</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16</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20</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29</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24</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107</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94</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201</w:t>
            </w:r>
          </w:p>
        </w:tc>
      </w:tr>
      <w:tr w:rsidR="00EB4C74" w:rsidRPr="009C494E" w:rsidTr="006116C9">
        <w:trPr>
          <w:gridAfter w:val="1"/>
          <w:wAfter w:w="13" w:type="dxa"/>
          <w:cantSplit/>
        </w:trPr>
        <w:tc>
          <w:tcPr>
            <w:tcW w:w="1632"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Социальные </w:t>
            </w:r>
            <w:r w:rsidRPr="009C494E">
              <w:rPr>
                <w:sz w:val="18"/>
                <w:szCs w:val="18"/>
              </w:rPr>
              <w:br/>
              <w:t>и эмоциональные проблемы</w:t>
            </w:r>
          </w:p>
        </w:tc>
        <w:tc>
          <w:tcPr>
            <w:tcW w:w="50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67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56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30</w:t>
            </w:r>
          </w:p>
        </w:tc>
        <w:tc>
          <w:tcPr>
            <w:tcW w:w="63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26</w:t>
            </w:r>
          </w:p>
        </w:tc>
        <w:tc>
          <w:tcPr>
            <w:tcW w:w="5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13</w:t>
            </w:r>
          </w:p>
        </w:tc>
        <w:tc>
          <w:tcPr>
            <w:tcW w:w="63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16</w:t>
            </w:r>
          </w:p>
        </w:tc>
        <w:tc>
          <w:tcPr>
            <w:tcW w:w="6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6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56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3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1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7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67</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58</w:t>
            </w:r>
          </w:p>
        </w:tc>
        <w:tc>
          <w:tcPr>
            <w:tcW w:w="110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125</w:t>
            </w:r>
          </w:p>
        </w:tc>
      </w:tr>
      <w:tr w:rsidR="00EB4C74" w:rsidRPr="009C494E" w:rsidTr="006116C9">
        <w:trPr>
          <w:gridAfter w:val="1"/>
          <w:wAfter w:w="13" w:type="dxa"/>
          <w:cantSplit/>
        </w:trPr>
        <w:tc>
          <w:tcPr>
            <w:tcW w:w="1632" w:type="dxa"/>
            <w:tcBorders>
              <w:bottom w:val="single" w:sz="4"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речи</w:t>
            </w:r>
          </w:p>
        </w:tc>
        <w:tc>
          <w:tcPr>
            <w:tcW w:w="505"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674"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560"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35</w:t>
            </w:r>
          </w:p>
        </w:tc>
        <w:tc>
          <w:tcPr>
            <w:tcW w:w="636"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50</w:t>
            </w:r>
          </w:p>
        </w:tc>
        <w:tc>
          <w:tcPr>
            <w:tcW w:w="572"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w:t>
            </w:r>
          </w:p>
        </w:tc>
        <w:tc>
          <w:tcPr>
            <w:tcW w:w="631"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677"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14</w:t>
            </w:r>
          </w:p>
        </w:tc>
        <w:tc>
          <w:tcPr>
            <w:tcW w:w="665"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569"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15</w:t>
            </w:r>
          </w:p>
        </w:tc>
        <w:tc>
          <w:tcPr>
            <w:tcW w:w="637"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10"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21</w:t>
            </w:r>
          </w:p>
        </w:tc>
        <w:tc>
          <w:tcPr>
            <w:tcW w:w="679"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w:t>
            </w:r>
          </w:p>
        </w:tc>
        <w:tc>
          <w:tcPr>
            <w:tcW w:w="1101"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98</w:t>
            </w:r>
          </w:p>
        </w:tc>
        <w:tc>
          <w:tcPr>
            <w:tcW w:w="1101"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88</w:t>
            </w:r>
          </w:p>
        </w:tc>
        <w:tc>
          <w:tcPr>
            <w:tcW w:w="1101"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186</w:t>
            </w:r>
          </w:p>
        </w:tc>
      </w:tr>
      <w:tr w:rsidR="00EB4C74" w:rsidRPr="009C494E" w:rsidTr="006116C9">
        <w:trPr>
          <w:gridAfter w:val="1"/>
          <w:wAfter w:w="13" w:type="dxa"/>
          <w:cantSplit/>
        </w:trPr>
        <w:tc>
          <w:tcPr>
            <w:tcW w:w="1632"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ind w:firstLine="284"/>
              <w:rPr>
                <w:b/>
                <w:sz w:val="18"/>
                <w:szCs w:val="18"/>
              </w:rPr>
            </w:pPr>
            <w:r w:rsidRPr="009C494E">
              <w:rPr>
                <w:b/>
                <w:sz w:val="18"/>
                <w:szCs w:val="18"/>
              </w:rPr>
              <w:t>Итого</w:t>
            </w:r>
          </w:p>
        </w:tc>
        <w:tc>
          <w:tcPr>
            <w:tcW w:w="505"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142</w:t>
            </w:r>
          </w:p>
        </w:tc>
        <w:tc>
          <w:tcPr>
            <w:tcW w:w="674"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94</w:t>
            </w:r>
          </w:p>
        </w:tc>
        <w:tc>
          <w:tcPr>
            <w:tcW w:w="560"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638</w:t>
            </w:r>
          </w:p>
        </w:tc>
        <w:tc>
          <w:tcPr>
            <w:tcW w:w="636"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529</w:t>
            </w:r>
          </w:p>
        </w:tc>
        <w:tc>
          <w:tcPr>
            <w:tcW w:w="572"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210</w:t>
            </w:r>
          </w:p>
        </w:tc>
        <w:tc>
          <w:tcPr>
            <w:tcW w:w="631"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157</w:t>
            </w:r>
          </w:p>
        </w:tc>
        <w:tc>
          <w:tcPr>
            <w:tcW w:w="677"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209</w:t>
            </w:r>
          </w:p>
        </w:tc>
        <w:tc>
          <w:tcPr>
            <w:tcW w:w="665"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189</w:t>
            </w:r>
          </w:p>
        </w:tc>
        <w:tc>
          <w:tcPr>
            <w:tcW w:w="569"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336</w:t>
            </w:r>
          </w:p>
        </w:tc>
        <w:tc>
          <w:tcPr>
            <w:tcW w:w="637"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241</w:t>
            </w:r>
          </w:p>
        </w:tc>
        <w:tc>
          <w:tcPr>
            <w:tcW w:w="610"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339</w:t>
            </w:r>
          </w:p>
        </w:tc>
        <w:tc>
          <w:tcPr>
            <w:tcW w:w="679"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268</w:t>
            </w:r>
          </w:p>
        </w:tc>
        <w:tc>
          <w:tcPr>
            <w:tcW w:w="1101"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1 874</w:t>
            </w:r>
          </w:p>
        </w:tc>
        <w:tc>
          <w:tcPr>
            <w:tcW w:w="1101"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1 478</w:t>
            </w:r>
          </w:p>
        </w:tc>
        <w:tc>
          <w:tcPr>
            <w:tcW w:w="1101"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3 352</w:t>
            </w:r>
          </w:p>
        </w:tc>
      </w:tr>
    </w:tbl>
    <w:p w:rsidR="00EB4C74" w:rsidRPr="009C494E" w:rsidRDefault="002D4E30" w:rsidP="002D4E30">
      <w:pPr>
        <w:pStyle w:val="H23GR"/>
        <w:ind w:hanging="850"/>
      </w:pPr>
      <w:r>
        <w:tab/>
      </w:r>
      <w:r w:rsidR="00EB4C74" w:rsidRPr="009C494E">
        <w:t>Таблица 3: Средние школы с разбивкой по видам инвалидности, провинциям и полу, 2012 год</w:t>
      </w:r>
    </w:p>
    <w:tbl>
      <w:tblPr>
        <w:tblStyle w:val="TableGrid"/>
        <w:tblW w:w="12365"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08"/>
        <w:gridCol w:w="557"/>
        <w:gridCol w:w="706"/>
        <w:gridCol w:w="676"/>
        <w:gridCol w:w="724"/>
        <w:gridCol w:w="519"/>
        <w:gridCol w:w="629"/>
        <w:gridCol w:w="617"/>
        <w:gridCol w:w="653"/>
        <w:gridCol w:w="554"/>
        <w:gridCol w:w="626"/>
        <w:gridCol w:w="595"/>
        <w:gridCol w:w="663"/>
        <w:gridCol w:w="1072"/>
        <w:gridCol w:w="1077"/>
        <w:gridCol w:w="1071"/>
        <w:gridCol w:w="18"/>
      </w:tblGrid>
      <w:tr w:rsidR="00EB4C74" w:rsidRPr="009C494E" w:rsidTr="006116C9">
        <w:trPr>
          <w:cantSplit/>
          <w:tblHeader/>
        </w:trPr>
        <w:tc>
          <w:tcPr>
            <w:tcW w:w="1609" w:type="dxa"/>
            <w:tcBorders>
              <w:top w:val="single" w:sz="4" w:space="0" w:color="auto"/>
            </w:tcBorders>
            <w:shd w:val="clear" w:color="auto" w:fill="auto"/>
            <w:vAlign w:val="bottom"/>
          </w:tcPr>
          <w:p w:rsidR="00EB4C74" w:rsidRPr="009C494E" w:rsidRDefault="00EB4C74" w:rsidP="006116C9">
            <w:pPr>
              <w:spacing w:before="80" w:after="80" w:line="200" w:lineRule="exact"/>
              <w:rPr>
                <w:i/>
                <w:sz w:val="16"/>
                <w:szCs w:val="16"/>
              </w:rPr>
            </w:pPr>
          </w:p>
        </w:tc>
        <w:tc>
          <w:tcPr>
            <w:tcW w:w="1264" w:type="dxa"/>
            <w:gridSpan w:val="2"/>
            <w:tcBorders>
              <w:top w:val="single" w:sz="4" w:space="0" w:color="auto"/>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Торба</w:t>
            </w:r>
          </w:p>
        </w:tc>
        <w:tc>
          <w:tcPr>
            <w:tcW w:w="13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Санма</w:t>
            </w:r>
          </w:p>
        </w:tc>
        <w:tc>
          <w:tcPr>
            <w:tcW w:w="11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Пенама</w:t>
            </w:r>
          </w:p>
        </w:tc>
        <w:tc>
          <w:tcPr>
            <w:tcW w:w="12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Малама</w:t>
            </w:r>
          </w:p>
        </w:tc>
        <w:tc>
          <w:tcPr>
            <w:tcW w:w="11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Шефа</w:t>
            </w:r>
          </w:p>
        </w:tc>
        <w:tc>
          <w:tcPr>
            <w:tcW w:w="1258" w:type="dxa"/>
            <w:gridSpan w:val="2"/>
            <w:tcBorders>
              <w:top w:val="single" w:sz="4" w:space="0" w:color="auto"/>
              <w:left w:val="single" w:sz="24" w:space="0" w:color="FFFFFF" w:themeColor="background1"/>
              <w:bottom w:val="single" w:sz="4" w:space="0" w:color="auto"/>
            </w:tcBorders>
            <w:shd w:val="clear" w:color="auto" w:fill="auto"/>
            <w:vAlign w:val="center"/>
          </w:tcPr>
          <w:p w:rsidR="00EB4C74" w:rsidRPr="009C494E" w:rsidRDefault="00EB4C74" w:rsidP="006116C9">
            <w:pPr>
              <w:spacing w:before="80" w:after="80" w:line="200" w:lineRule="exact"/>
              <w:jc w:val="center"/>
              <w:rPr>
                <w:i/>
                <w:sz w:val="16"/>
                <w:szCs w:val="16"/>
              </w:rPr>
            </w:pPr>
            <w:r w:rsidRPr="009C494E">
              <w:rPr>
                <w:i/>
                <w:sz w:val="16"/>
                <w:szCs w:val="16"/>
              </w:rPr>
              <w:t>Тафеа</w:t>
            </w:r>
          </w:p>
        </w:tc>
        <w:tc>
          <w:tcPr>
            <w:tcW w:w="1072" w:type="dxa"/>
            <w:tcBorders>
              <w:top w:val="single" w:sz="4" w:space="0" w:color="auto"/>
            </w:tcBorders>
            <w:shd w:val="clear" w:color="auto" w:fill="auto"/>
            <w:vAlign w:val="bottom"/>
          </w:tcPr>
          <w:p w:rsidR="00EB4C74" w:rsidRPr="009C494E" w:rsidRDefault="00EB4C74" w:rsidP="006116C9">
            <w:pPr>
              <w:spacing w:before="80" w:after="80" w:line="200" w:lineRule="exact"/>
              <w:rPr>
                <w:i/>
                <w:sz w:val="16"/>
                <w:szCs w:val="16"/>
              </w:rPr>
            </w:pPr>
          </w:p>
        </w:tc>
        <w:tc>
          <w:tcPr>
            <w:tcW w:w="1077" w:type="dxa"/>
            <w:tcBorders>
              <w:top w:val="single" w:sz="4" w:space="0" w:color="auto"/>
            </w:tcBorders>
            <w:shd w:val="clear" w:color="auto" w:fill="auto"/>
            <w:vAlign w:val="bottom"/>
          </w:tcPr>
          <w:p w:rsidR="00EB4C74" w:rsidRPr="009C494E" w:rsidRDefault="00EB4C74" w:rsidP="006116C9">
            <w:pPr>
              <w:spacing w:before="80" w:after="80" w:line="200" w:lineRule="exact"/>
              <w:rPr>
                <w:i/>
                <w:sz w:val="16"/>
                <w:szCs w:val="16"/>
              </w:rPr>
            </w:pPr>
          </w:p>
        </w:tc>
        <w:tc>
          <w:tcPr>
            <w:tcW w:w="1088" w:type="dxa"/>
            <w:gridSpan w:val="2"/>
            <w:tcBorders>
              <w:top w:val="single" w:sz="4" w:space="0" w:color="auto"/>
            </w:tcBorders>
            <w:shd w:val="clear" w:color="auto" w:fill="auto"/>
            <w:vAlign w:val="bottom"/>
          </w:tcPr>
          <w:p w:rsidR="00EB4C74" w:rsidRPr="009C494E" w:rsidRDefault="00EB4C74" w:rsidP="006116C9">
            <w:pPr>
              <w:spacing w:before="80" w:after="80" w:line="200" w:lineRule="exact"/>
              <w:rPr>
                <w:i/>
                <w:sz w:val="16"/>
                <w:szCs w:val="16"/>
              </w:rPr>
            </w:pPr>
          </w:p>
        </w:tc>
      </w:tr>
      <w:tr w:rsidR="00EB4C74" w:rsidRPr="009C494E" w:rsidTr="006116C9">
        <w:trPr>
          <w:gridAfter w:val="1"/>
          <w:wAfter w:w="18" w:type="dxa"/>
          <w:cantSplit/>
          <w:tblHeader/>
        </w:trPr>
        <w:tc>
          <w:tcPr>
            <w:tcW w:w="1609" w:type="dxa"/>
            <w:tcBorders>
              <w:bottom w:val="single" w:sz="12" w:space="0" w:color="auto"/>
            </w:tcBorders>
            <w:shd w:val="clear" w:color="auto" w:fill="auto"/>
            <w:vAlign w:val="bottom"/>
          </w:tcPr>
          <w:p w:rsidR="00EB4C74" w:rsidRPr="009C494E" w:rsidRDefault="00EB4C74" w:rsidP="006116C9">
            <w:pPr>
              <w:spacing w:before="80" w:after="80" w:line="200" w:lineRule="exact"/>
              <w:rPr>
                <w:i/>
                <w:sz w:val="16"/>
                <w:szCs w:val="16"/>
              </w:rPr>
            </w:pPr>
            <w:r w:rsidRPr="009C494E">
              <w:rPr>
                <w:i/>
                <w:sz w:val="16"/>
                <w:szCs w:val="16"/>
              </w:rPr>
              <w:t xml:space="preserve">Виды </w:t>
            </w:r>
            <w:r w:rsidRPr="009C494E">
              <w:rPr>
                <w:i/>
                <w:sz w:val="16"/>
                <w:szCs w:val="16"/>
              </w:rPr>
              <w:br/>
              <w:t>инвалидности</w:t>
            </w:r>
          </w:p>
        </w:tc>
        <w:tc>
          <w:tcPr>
            <w:tcW w:w="558" w:type="dxa"/>
            <w:tcBorders>
              <w:top w:val="single" w:sz="4" w:space="0" w:color="auto"/>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пол </w:t>
            </w:r>
          </w:p>
        </w:tc>
        <w:tc>
          <w:tcPr>
            <w:tcW w:w="706"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Жен-ский</w:t>
            </w:r>
            <w:r w:rsidRPr="009C494E">
              <w:rPr>
                <w:i/>
                <w:sz w:val="16"/>
                <w:szCs w:val="16"/>
              </w:rPr>
              <w:br/>
              <w:t xml:space="preserve"> пол</w:t>
            </w:r>
          </w:p>
        </w:tc>
        <w:tc>
          <w:tcPr>
            <w:tcW w:w="676" w:type="dxa"/>
            <w:tcBorders>
              <w:top w:val="single" w:sz="4" w:space="0" w:color="auto"/>
              <w:left w:val="single" w:sz="24" w:space="0" w:color="FFFFFF" w:themeColor="background1"/>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Мужской</w:t>
            </w:r>
            <w:r w:rsidRPr="009C494E">
              <w:rPr>
                <w:i/>
                <w:sz w:val="16"/>
                <w:szCs w:val="16"/>
              </w:rPr>
              <w:br/>
              <w:t xml:space="preserve"> пол </w:t>
            </w:r>
          </w:p>
        </w:tc>
        <w:tc>
          <w:tcPr>
            <w:tcW w:w="724"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Жен-</w:t>
            </w:r>
            <w:r w:rsidRPr="009C494E">
              <w:rPr>
                <w:i/>
                <w:sz w:val="16"/>
                <w:szCs w:val="16"/>
              </w:rPr>
              <w:br/>
              <w:t>ский</w:t>
            </w:r>
            <w:r w:rsidRPr="009C494E">
              <w:rPr>
                <w:i/>
                <w:sz w:val="16"/>
                <w:szCs w:val="16"/>
              </w:rPr>
              <w:br/>
              <w:t xml:space="preserve"> пол</w:t>
            </w:r>
          </w:p>
        </w:tc>
        <w:tc>
          <w:tcPr>
            <w:tcW w:w="519" w:type="dxa"/>
            <w:tcBorders>
              <w:top w:val="single" w:sz="4" w:space="0" w:color="auto"/>
              <w:left w:val="single" w:sz="24" w:space="0" w:color="FFFFFF" w:themeColor="background1"/>
              <w:bottom w:val="single" w:sz="12" w:space="0" w:color="auto"/>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 xml:space="preserve">Мужской пол </w:t>
            </w:r>
          </w:p>
        </w:tc>
        <w:tc>
          <w:tcPr>
            <w:tcW w:w="628" w:type="dxa"/>
            <w:tcBorders>
              <w:top w:val="single" w:sz="4" w:space="0" w:color="auto"/>
              <w:bottom w:val="single" w:sz="12" w:space="0" w:color="auto"/>
              <w:right w:val="single" w:sz="24" w:space="0" w:color="FFFFFF" w:themeColor="background1"/>
            </w:tcBorders>
            <w:shd w:val="clear" w:color="auto" w:fill="auto"/>
            <w:vAlign w:val="center"/>
          </w:tcPr>
          <w:p w:rsidR="00EB4C74" w:rsidRPr="009C494E" w:rsidRDefault="00EB4C74" w:rsidP="006116C9">
            <w:pPr>
              <w:spacing w:before="80" w:after="80" w:line="200" w:lineRule="exact"/>
              <w:jc w:val="right"/>
              <w:rPr>
                <w:i/>
                <w:sz w:val="16"/>
                <w:szCs w:val="16"/>
              </w:rPr>
            </w:pPr>
            <w:r w:rsidRPr="009C494E">
              <w:rPr>
                <w:i/>
                <w:sz w:val="16"/>
                <w:szCs w:val="16"/>
              </w:rPr>
              <w:t>Женский пол</w:t>
            </w:r>
          </w:p>
        </w:tc>
        <w:tc>
          <w:tcPr>
            <w:tcW w:w="617"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Мужской пол</w:t>
            </w:r>
          </w:p>
        </w:tc>
        <w:tc>
          <w:tcPr>
            <w:tcW w:w="653" w:type="dxa"/>
            <w:tcBorders>
              <w:top w:val="single" w:sz="4" w:space="0" w:color="auto"/>
              <w:bottom w:val="single" w:sz="12" w:space="0" w:color="auto"/>
              <w:right w:val="single" w:sz="24" w:space="0" w:color="FFFFFF" w:themeColor="background1"/>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Женский </w:t>
            </w:r>
            <w:r w:rsidRPr="009C494E">
              <w:rPr>
                <w:i/>
                <w:sz w:val="16"/>
                <w:szCs w:val="16"/>
              </w:rPr>
              <w:br/>
              <w:t>пол</w:t>
            </w:r>
          </w:p>
        </w:tc>
        <w:tc>
          <w:tcPr>
            <w:tcW w:w="554"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Мужской пол</w:t>
            </w:r>
          </w:p>
        </w:tc>
        <w:tc>
          <w:tcPr>
            <w:tcW w:w="626" w:type="dxa"/>
            <w:tcBorders>
              <w:top w:val="single" w:sz="4" w:space="0" w:color="auto"/>
              <w:bottom w:val="single" w:sz="12" w:space="0" w:color="auto"/>
              <w:right w:val="single" w:sz="24" w:space="0" w:color="FFFFFF" w:themeColor="background1"/>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Женский пол</w:t>
            </w:r>
          </w:p>
        </w:tc>
        <w:tc>
          <w:tcPr>
            <w:tcW w:w="595" w:type="dxa"/>
            <w:tcBorders>
              <w:top w:val="single" w:sz="4" w:space="0" w:color="auto"/>
              <w:left w:val="single" w:sz="24" w:space="0" w:color="FFFFFF" w:themeColor="background1"/>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Мужской пол</w:t>
            </w:r>
          </w:p>
        </w:tc>
        <w:tc>
          <w:tcPr>
            <w:tcW w:w="662"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Жен-</w:t>
            </w:r>
            <w:r w:rsidRPr="009C494E">
              <w:rPr>
                <w:i/>
                <w:sz w:val="16"/>
                <w:szCs w:val="16"/>
              </w:rPr>
              <w:br/>
              <w:t xml:space="preserve">ский </w:t>
            </w:r>
            <w:r w:rsidRPr="009C494E">
              <w:rPr>
                <w:i/>
                <w:sz w:val="16"/>
                <w:szCs w:val="16"/>
              </w:rPr>
              <w:br/>
              <w:t>пол</w:t>
            </w:r>
          </w:p>
        </w:tc>
        <w:tc>
          <w:tcPr>
            <w:tcW w:w="1072"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Всего </w:t>
            </w:r>
            <w:r w:rsidRPr="009C494E">
              <w:rPr>
                <w:i/>
                <w:sz w:val="16"/>
                <w:szCs w:val="16"/>
              </w:rPr>
              <w:br/>
              <w:t>мужского пола</w:t>
            </w:r>
          </w:p>
        </w:tc>
        <w:tc>
          <w:tcPr>
            <w:tcW w:w="1077"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 xml:space="preserve">Всего </w:t>
            </w:r>
            <w:r w:rsidRPr="009C494E">
              <w:rPr>
                <w:i/>
                <w:sz w:val="16"/>
                <w:szCs w:val="16"/>
              </w:rPr>
              <w:br/>
              <w:t>женского пола</w:t>
            </w:r>
          </w:p>
        </w:tc>
        <w:tc>
          <w:tcPr>
            <w:tcW w:w="1071" w:type="dxa"/>
            <w:tcBorders>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Итого</w:t>
            </w:r>
          </w:p>
        </w:tc>
      </w:tr>
      <w:tr w:rsidR="00EB4C74" w:rsidRPr="009C494E" w:rsidTr="006116C9">
        <w:trPr>
          <w:gridAfter w:val="1"/>
          <w:wAfter w:w="18" w:type="dxa"/>
          <w:cantSplit/>
        </w:trPr>
        <w:tc>
          <w:tcPr>
            <w:tcW w:w="1609" w:type="dxa"/>
            <w:tcBorders>
              <w:top w:val="single" w:sz="12"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Синдром Дауна</w:t>
            </w:r>
          </w:p>
        </w:tc>
        <w:tc>
          <w:tcPr>
            <w:tcW w:w="558"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p>
        </w:tc>
        <w:tc>
          <w:tcPr>
            <w:tcW w:w="706"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p>
        </w:tc>
        <w:tc>
          <w:tcPr>
            <w:tcW w:w="676"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4</w:t>
            </w:r>
          </w:p>
        </w:tc>
        <w:tc>
          <w:tcPr>
            <w:tcW w:w="724"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6</w:t>
            </w:r>
          </w:p>
        </w:tc>
        <w:tc>
          <w:tcPr>
            <w:tcW w:w="519"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p>
        </w:tc>
        <w:tc>
          <w:tcPr>
            <w:tcW w:w="628"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p>
        </w:tc>
        <w:tc>
          <w:tcPr>
            <w:tcW w:w="617"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26"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595"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62"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6</w:t>
            </w:r>
          </w:p>
        </w:tc>
        <w:tc>
          <w:tcPr>
            <w:tcW w:w="1077"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6</w:t>
            </w:r>
          </w:p>
        </w:tc>
        <w:tc>
          <w:tcPr>
            <w:tcW w:w="1071" w:type="dxa"/>
            <w:tcBorders>
              <w:top w:val="single" w:sz="12"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12</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слуха</w:t>
            </w:r>
          </w:p>
        </w:tc>
        <w:tc>
          <w:tcPr>
            <w:tcW w:w="558"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5</w:t>
            </w:r>
          </w:p>
        </w:tc>
        <w:tc>
          <w:tcPr>
            <w:tcW w:w="706"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w:t>
            </w:r>
          </w:p>
        </w:tc>
        <w:tc>
          <w:tcPr>
            <w:tcW w:w="676"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10</w:t>
            </w:r>
          </w:p>
        </w:tc>
        <w:tc>
          <w:tcPr>
            <w:tcW w:w="724"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10</w:t>
            </w:r>
          </w:p>
        </w:tc>
        <w:tc>
          <w:tcPr>
            <w:tcW w:w="519"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4</w:t>
            </w:r>
          </w:p>
        </w:tc>
        <w:tc>
          <w:tcPr>
            <w:tcW w:w="628"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w:t>
            </w: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31</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20</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51</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Нарушение </w:t>
            </w:r>
            <w:r w:rsidRPr="009C494E">
              <w:rPr>
                <w:sz w:val="18"/>
                <w:szCs w:val="18"/>
              </w:rPr>
              <w:br/>
              <w:t>обучаемости</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28</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45</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45</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64</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18</w:t>
            </w: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w:t>
            </w: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w:t>
            </w: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118</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138</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256</w:t>
            </w:r>
          </w:p>
        </w:tc>
      </w:tr>
      <w:tr w:rsidR="00EB4C74" w:rsidRPr="009C494E" w:rsidTr="006116C9">
        <w:trPr>
          <w:gridAfter w:val="1"/>
          <w:wAfter w:w="18" w:type="dxa"/>
          <w:cantSplit/>
        </w:trPr>
        <w:tc>
          <w:tcPr>
            <w:tcW w:w="1609" w:type="dxa"/>
            <w:shd w:val="clear" w:color="auto" w:fill="auto"/>
          </w:tcPr>
          <w:p w:rsidR="00EB4C74" w:rsidRPr="009C494E" w:rsidRDefault="002B4BC9" w:rsidP="006116C9">
            <w:pPr>
              <w:spacing w:before="40" w:after="40" w:line="220" w:lineRule="exact"/>
              <w:rPr>
                <w:sz w:val="18"/>
                <w:szCs w:val="18"/>
              </w:rPr>
            </w:pPr>
            <w:r>
              <w:rPr>
                <w:noProof/>
                <w:lang w:val="en-US" w:eastAsia="zh-CN"/>
              </w:rPr>
              <w:lastRenderedPageBreak/>
              <mc:AlternateContent>
                <mc:Choice Requires="wps">
                  <w:drawing>
                    <wp:anchor distT="0" distB="0" distL="114300" distR="114300" simplePos="0" relativeHeight="251678720" behindDoc="0" locked="0" layoutInCell="1" allowOverlap="1" wp14:anchorId="50532E41" wp14:editId="22224C41">
                      <wp:simplePos x="0" y="0"/>
                      <wp:positionH relativeFrom="column">
                        <wp:posOffset>-587479</wp:posOffset>
                      </wp:positionH>
                      <wp:positionV relativeFrom="paragraph">
                        <wp:posOffset>-735252</wp:posOffset>
                      </wp:positionV>
                      <wp:extent cx="216000" cy="6164502"/>
                      <wp:effectExtent l="0" t="0" r="12700" b="27305"/>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64502"/>
                              </a:xfrm>
                              <a:prstGeom prst="rect">
                                <a:avLst/>
                              </a:prstGeom>
                              <a:solidFill>
                                <a:srgbClr val="FFFFFF"/>
                              </a:solidFill>
                              <a:ln w="9525">
                                <a:solidFill>
                                  <a:schemeClr val="bg1"/>
                                </a:solidFill>
                                <a:miter lim="800000"/>
                                <a:headEnd/>
                                <a:tailEnd/>
                              </a:ln>
                            </wps:spPr>
                            <wps:txbx>
                              <w:txbxContent>
                                <w:p w:rsidR="00D91931" w:rsidRPr="00470424" w:rsidRDefault="00D91931" w:rsidP="00E1248E">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34</w:t>
                                  </w:r>
                                  <w:r>
                                    <w:rPr>
                                      <w:rStyle w:val="PageNumber"/>
                                    </w:rPr>
                                    <w:fldChar w:fldCharType="end"/>
                                  </w:r>
                                  <w:r>
                                    <w:rPr>
                                      <w:lang w:val="en-US"/>
                                    </w:rPr>
                                    <w:tab/>
                                    <w:t>GE.1</w:t>
                                  </w:r>
                                  <w:r>
                                    <w:t>7</w:t>
                                  </w:r>
                                  <w:r>
                                    <w:rPr>
                                      <w:lang w:val="en-US"/>
                                    </w:rPr>
                                    <w:t>-</w:t>
                                  </w:r>
                                  <w:r>
                                    <w:t>17</w:t>
                                  </w:r>
                                  <w:r>
                                    <w:rPr>
                                      <w:lang w:val="ru-RU"/>
                                    </w:rPr>
                                    <w:t>23</w:t>
                                  </w:r>
                                  <w:r>
                                    <w:rPr>
                                      <w:lang w:val="en-US"/>
                                    </w:rPr>
                                    <w:t>1</w:t>
                                  </w:r>
                                  <w:r>
                                    <w:t xml:space="preserve">   (EXT)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32E41" id="_x0000_s1030" type="#_x0000_t202" style="position:absolute;margin-left:-46.25pt;margin-top:-57.9pt;width:17pt;height:48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" strokecolor="white [3212]">
                      <v:textbox style="layout-flow:vertical" inset="0,0,0,0">
                        <w:txbxContent>
                          <w:p w:rsidR="00D91931" w:rsidRPr="00470424" w:rsidRDefault="00D91931" w:rsidP="00E1248E">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34</w:t>
                            </w:r>
                            <w:r>
                              <w:rPr>
                                <w:rStyle w:val="PageNumber"/>
                              </w:rPr>
                              <w:fldChar w:fldCharType="end"/>
                            </w:r>
                            <w:r>
                              <w:rPr>
                                <w:lang w:val="en-US"/>
                              </w:rPr>
                              <w:tab/>
                              <w:t>GE.1</w:t>
                            </w:r>
                            <w:r>
                              <w:t>7</w:t>
                            </w:r>
                            <w:r>
                              <w:rPr>
                                <w:lang w:val="en-US"/>
                              </w:rPr>
                              <w:t>-</w:t>
                            </w:r>
                            <w:r>
                              <w:t>17</w:t>
                            </w:r>
                            <w:r>
                              <w:rPr>
                                <w:lang w:val="ru-RU"/>
                              </w:rPr>
                              <w:t>23</w:t>
                            </w:r>
                            <w:r>
                              <w:rPr>
                                <w:lang w:val="en-US"/>
                              </w:rPr>
                              <w:t>1</w:t>
                            </w:r>
                            <w:r>
                              <w:t xml:space="preserve">   (EXT)</w:t>
                            </w:r>
                          </w:p>
                        </w:txbxContent>
                      </v:textbox>
                    </v:shape>
                  </w:pict>
                </mc:Fallback>
              </mc:AlternateContent>
            </w:r>
            <w:r w:rsidR="00EB4C74" w:rsidRPr="009C494E">
              <w:rPr>
                <w:sz w:val="18"/>
                <w:szCs w:val="18"/>
              </w:rPr>
              <w:t xml:space="preserve">Умственная </w:t>
            </w:r>
            <w:r w:rsidR="00EB4C74" w:rsidRPr="009C494E">
              <w:rPr>
                <w:sz w:val="18"/>
                <w:szCs w:val="18"/>
              </w:rPr>
              <w:br/>
              <w:t>неполноценность</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4</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w:t>
            </w:r>
          </w:p>
        </w:tc>
        <w:tc>
          <w:tcPr>
            <w:tcW w:w="1071" w:type="dxa"/>
            <w:shd w:val="clear" w:color="auto" w:fill="auto"/>
          </w:tcPr>
          <w:p w:rsidR="00EB4C74" w:rsidRPr="009C494E" w:rsidRDefault="002B4BC9" w:rsidP="006116C9">
            <w:pPr>
              <w:spacing w:before="40" w:after="40" w:line="220" w:lineRule="exact"/>
              <w:jc w:val="right"/>
              <w:rPr>
                <w:sz w:val="18"/>
                <w:szCs w:val="18"/>
              </w:rPr>
            </w:pPr>
            <w:r>
              <w:rPr>
                <w:noProof/>
                <w:lang w:val="en-US" w:eastAsia="zh-CN"/>
              </w:rPr>
              <mc:AlternateContent>
                <mc:Choice Requires="wps">
                  <w:drawing>
                    <wp:anchor distT="0" distB="0" distL="114300" distR="114300" simplePos="0" relativeHeight="251676672" behindDoc="0" locked="0" layoutInCell="1" allowOverlap="1" wp14:anchorId="5295ADA7" wp14:editId="5333B9E1">
                      <wp:simplePos x="0" y="0"/>
                      <wp:positionH relativeFrom="column">
                        <wp:posOffset>1168957</wp:posOffset>
                      </wp:positionH>
                      <wp:positionV relativeFrom="paragraph">
                        <wp:posOffset>-737870</wp:posOffset>
                      </wp:positionV>
                      <wp:extent cx="215900" cy="6119495"/>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19495"/>
                              </a:xfrm>
                              <a:prstGeom prst="rect">
                                <a:avLst/>
                              </a:prstGeom>
                              <a:solidFill>
                                <a:srgbClr val="FFFFFF"/>
                              </a:solidFill>
                              <a:ln w="9525">
                                <a:noFill/>
                                <a:miter lim="800000"/>
                                <a:headEnd/>
                                <a:tailEnd/>
                              </a:ln>
                            </wps:spPr>
                            <wps:txbx>
                              <w:txbxContent>
                                <w:p w:rsidR="00D91931" w:rsidRPr="002B4BC9" w:rsidRDefault="00D91931" w:rsidP="006116C9">
                                  <w:pPr>
                                    <w:pStyle w:val="Header"/>
                                    <w:rPr>
                                      <w:lang w:val="ru-RU"/>
                                    </w:rPr>
                                  </w:pPr>
                                  <w:r>
                                    <w:t>CRPD/C/VUT</w:t>
                                  </w:r>
                                  <w:r w:rsidRPr="00A15416">
                                    <w:t>/1</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5ADA7" id="_x0000_s1031" type="#_x0000_t202" style="position:absolute;left:0;text-align:left;margin-left:92.05pt;margin-top:-58.1pt;width:17pt;height:48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" stroked="f">
                      <v:textbox style="layout-flow:vertical" inset="0,0,0,0">
                        <w:txbxContent>
                          <w:p w:rsidR="00D91931" w:rsidRPr="002B4BC9" w:rsidRDefault="00D91931" w:rsidP="006116C9">
                            <w:pPr>
                              <w:pStyle w:val="Header"/>
                              <w:rPr>
                                <w:lang w:val="ru-RU"/>
                              </w:rPr>
                            </w:pPr>
                            <w:r>
                              <w:t>CRPD/C/VUT</w:t>
                            </w:r>
                            <w:r w:rsidRPr="00A15416">
                              <w:t>/1</w:t>
                            </w:r>
                          </w:p>
                        </w:txbxContent>
                      </v:textbox>
                    </v:shape>
                  </w:pict>
                </mc:Fallback>
              </mc:AlternateContent>
            </w:r>
            <w:r w:rsidR="00EB4C74" w:rsidRPr="009C494E">
              <w:rPr>
                <w:sz w:val="18"/>
                <w:szCs w:val="18"/>
              </w:rPr>
              <w:t>5</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Множественная инвалидность</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3</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5</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Прочие виды </w:t>
            </w:r>
            <w:r w:rsidRPr="009C494E">
              <w:rPr>
                <w:sz w:val="18"/>
                <w:szCs w:val="18"/>
              </w:rPr>
              <w:br/>
              <w:t>инвалидности</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9</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9</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18</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pacing w:val="0"/>
                <w:sz w:val="18"/>
                <w:szCs w:val="18"/>
              </w:rPr>
            </w:pPr>
            <w:r w:rsidRPr="009C494E">
              <w:rPr>
                <w:spacing w:val="0"/>
                <w:sz w:val="18"/>
                <w:szCs w:val="18"/>
              </w:rPr>
              <w:t xml:space="preserve">Физическая </w:t>
            </w:r>
            <w:r w:rsidRPr="009C494E">
              <w:rPr>
                <w:spacing w:val="0"/>
                <w:sz w:val="18"/>
                <w:szCs w:val="18"/>
              </w:rPr>
              <w:br/>
            </w:r>
            <w:r w:rsidRPr="009C494E">
              <w:rPr>
                <w:spacing w:val="-4"/>
                <w:sz w:val="18"/>
                <w:szCs w:val="18"/>
              </w:rPr>
              <w:t>нетрудоспособность</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11</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16</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23</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39</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зрения</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 xml:space="preserve">15 </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19</w:t>
            </w: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17</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49</w:t>
            </w:r>
          </w:p>
        </w:tc>
        <w:tc>
          <w:tcPr>
            <w:tcW w:w="1077"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34</w:t>
            </w:r>
          </w:p>
        </w:tc>
        <w:tc>
          <w:tcPr>
            <w:tcW w:w="1071" w:type="dxa"/>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83</w:t>
            </w:r>
          </w:p>
        </w:tc>
      </w:tr>
      <w:tr w:rsidR="00EB4C74" w:rsidRPr="009C494E" w:rsidTr="006116C9">
        <w:trPr>
          <w:gridAfter w:val="1"/>
          <w:wAfter w:w="18" w:type="dxa"/>
          <w:cantSplit/>
        </w:trPr>
        <w:tc>
          <w:tcPr>
            <w:tcW w:w="1609" w:type="dxa"/>
            <w:shd w:val="clear" w:color="auto" w:fill="auto"/>
          </w:tcPr>
          <w:p w:rsidR="00EB4C74" w:rsidRPr="009C494E" w:rsidRDefault="00EB4C74" w:rsidP="006116C9">
            <w:pPr>
              <w:spacing w:before="40" w:after="40" w:line="220" w:lineRule="exact"/>
              <w:rPr>
                <w:sz w:val="18"/>
                <w:szCs w:val="18"/>
              </w:rPr>
            </w:pPr>
            <w:r w:rsidRPr="009C494E">
              <w:rPr>
                <w:sz w:val="18"/>
                <w:szCs w:val="18"/>
              </w:rPr>
              <w:t>Социальные и эмоциональные проблемы</w:t>
            </w:r>
          </w:p>
        </w:tc>
        <w:tc>
          <w:tcPr>
            <w:tcW w:w="558"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70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w:t>
            </w:r>
          </w:p>
        </w:tc>
        <w:tc>
          <w:tcPr>
            <w:tcW w:w="67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45</w:t>
            </w:r>
          </w:p>
        </w:tc>
        <w:tc>
          <w:tcPr>
            <w:tcW w:w="724"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45</w:t>
            </w:r>
          </w:p>
        </w:tc>
        <w:tc>
          <w:tcPr>
            <w:tcW w:w="519" w:type="dxa"/>
            <w:shd w:val="clear" w:color="auto" w:fill="auto"/>
            <w:vAlign w:val="bottom"/>
          </w:tcPr>
          <w:p w:rsidR="00EB4C74" w:rsidRPr="009C494E" w:rsidRDefault="00EB4C74" w:rsidP="006116C9">
            <w:pPr>
              <w:spacing w:before="40" w:after="40" w:line="220" w:lineRule="exact"/>
              <w:jc w:val="right"/>
              <w:rPr>
                <w:sz w:val="18"/>
                <w:szCs w:val="18"/>
              </w:rPr>
            </w:pPr>
          </w:p>
        </w:tc>
        <w:tc>
          <w:tcPr>
            <w:tcW w:w="628" w:type="dxa"/>
            <w:shd w:val="clear" w:color="auto" w:fill="auto"/>
            <w:vAlign w:val="bottom"/>
          </w:tcPr>
          <w:p w:rsidR="00EB4C74" w:rsidRPr="009C494E" w:rsidRDefault="00EB4C74" w:rsidP="006116C9">
            <w:pPr>
              <w:spacing w:before="40" w:after="40" w:line="220" w:lineRule="exact"/>
              <w:jc w:val="right"/>
              <w:rPr>
                <w:sz w:val="18"/>
                <w:szCs w:val="18"/>
              </w:rPr>
            </w:pPr>
          </w:p>
        </w:tc>
        <w:tc>
          <w:tcPr>
            <w:tcW w:w="617" w:type="dxa"/>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shd w:val="clear" w:color="auto" w:fill="auto"/>
            <w:vAlign w:val="bottom"/>
          </w:tcPr>
          <w:p w:rsidR="00EB4C74" w:rsidRPr="009C494E" w:rsidRDefault="00EB4C74" w:rsidP="006116C9">
            <w:pPr>
              <w:spacing w:before="40" w:after="40" w:line="220" w:lineRule="exact"/>
              <w:jc w:val="right"/>
              <w:rPr>
                <w:sz w:val="18"/>
                <w:szCs w:val="18"/>
              </w:rPr>
            </w:pPr>
          </w:p>
        </w:tc>
        <w:tc>
          <w:tcPr>
            <w:tcW w:w="62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95"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6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w:t>
            </w:r>
          </w:p>
        </w:tc>
        <w:tc>
          <w:tcPr>
            <w:tcW w:w="1072"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49</w:t>
            </w:r>
          </w:p>
        </w:tc>
        <w:tc>
          <w:tcPr>
            <w:tcW w:w="1077"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52</w:t>
            </w:r>
          </w:p>
        </w:tc>
        <w:tc>
          <w:tcPr>
            <w:tcW w:w="1071"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101</w:t>
            </w:r>
          </w:p>
        </w:tc>
      </w:tr>
      <w:tr w:rsidR="00EB4C74" w:rsidRPr="009C494E" w:rsidTr="006116C9">
        <w:trPr>
          <w:gridAfter w:val="1"/>
          <w:wAfter w:w="18" w:type="dxa"/>
          <w:cantSplit/>
        </w:trPr>
        <w:tc>
          <w:tcPr>
            <w:tcW w:w="1609" w:type="dxa"/>
            <w:tcBorders>
              <w:bottom w:val="single" w:sz="4"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Нарушение речи</w:t>
            </w:r>
          </w:p>
        </w:tc>
        <w:tc>
          <w:tcPr>
            <w:tcW w:w="558"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 xml:space="preserve">3 </w:t>
            </w:r>
          </w:p>
        </w:tc>
        <w:tc>
          <w:tcPr>
            <w:tcW w:w="706"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w:t>
            </w:r>
          </w:p>
        </w:tc>
        <w:tc>
          <w:tcPr>
            <w:tcW w:w="676"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724"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519"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w:t>
            </w:r>
          </w:p>
        </w:tc>
        <w:tc>
          <w:tcPr>
            <w:tcW w:w="628"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17"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53"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554"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26"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595"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662"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p>
        </w:tc>
        <w:tc>
          <w:tcPr>
            <w:tcW w:w="1072" w:type="dxa"/>
            <w:tcBorders>
              <w:bottom w:val="single" w:sz="4"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9</w:t>
            </w:r>
          </w:p>
        </w:tc>
        <w:tc>
          <w:tcPr>
            <w:tcW w:w="1077" w:type="dxa"/>
            <w:tcBorders>
              <w:bottom w:val="single" w:sz="4"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2</w:t>
            </w:r>
          </w:p>
        </w:tc>
        <w:tc>
          <w:tcPr>
            <w:tcW w:w="1071" w:type="dxa"/>
            <w:tcBorders>
              <w:bottom w:val="single" w:sz="4" w:space="0" w:color="auto"/>
            </w:tcBorders>
            <w:shd w:val="clear" w:color="auto" w:fill="auto"/>
          </w:tcPr>
          <w:p w:rsidR="00EB4C74" w:rsidRPr="009C494E" w:rsidRDefault="00EB4C74" w:rsidP="006116C9">
            <w:pPr>
              <w:spacing w:before="40" w:after="40" w:line="220" w:lineRule="exact"/>
              <w:jc w:val="right"/>
              <w:rPr>
                <w:sz w:val="18"/>
                <w:szCs w:val="18"/>
              </w:rPr>
            </w:pPr>
            <w:r w:rsidRPr="009C494E">
              <w:rPr>
                <w:sz w:val="18"/>
                <w:szCs w:val="18"/>
              </w:rPr>
              <w:t>11</w:t>
            </w:r>
          </w:p>
        </w:tc>
      </w:tr>
      <w:tr w:rsidR="00EB4C74" w:rsidRPr="009C494E" w:rsidTr="006116C9">
        <w:trPr>
          <w:gridAfter w:val="1"/>
          <w:wAfter w:w="18" w:type="dxa"/>
          <w:cantSplit/>
        </w:trPr>
        <w:tc>
          <w:tcPr>
            <w:tcW w:w="1609"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ind w:firstLine="284"/>
              <w:rPr>
                <w:b/>
                <w:sz w:val="18"/>
                <w:szCs w:val="18"/>
              </w:rPr>
            </w:pPr>
            <w:r w:rsidRPr="009C494E">
              <w:rPr>
                <w:b/>
                <w:sz w:val="18"/>
                <w:szCs w:val="18"/>
              </w:rPr>
              <w:t>Итого</w:t>
            </w:r>
          </w:p>
        </w:tc>
        <w:tc>
          <w:tcPr>
            <w:tcW w:w="558"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 xml:space="preserve">57 </w:t>
            </w:r>
          </w:p>
        </w:tc>
        <w:tc>
          <w:tcPr>
            <w:tcW w:w="706"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63</w:t>
            </w:r>
          </w:p>
        </w:tc>
        <w:tc>
          <w:tcPr>
            <w:tcW w:w="676"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131</w:t>
            </w:r>
          </w:p>
        </w:tc>
        <w:tc>
          <w:tcPr>
            <w:tcW w:w="724"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153</w:t>
            </w:r>
          </w:p>
        </w:tc>
        <w:tc>
          <w:tcPr>
            <w:tcW w:w="519"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34</w:t>
            </w:r>
          </w:p>
        </w:tc>
        <w:tc>
          <w:tcPr>
            <w:tcW w:w="628"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26</w:t>
            </w:r>
          </w:p>
        </w:tc>
        <w:tc>
          <w:tcPr>
            <w:tcW w:w="617"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6</w:t>
            </w:r>
          </w:p>
        </w:tc>
        <w:tc>
          <w:tcPr>
            <w:tcW w:w="653"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w:t>
            </w:r>
          </w:p>
        </w:tc>
        <w:tc>
          <w:tcPr>
            <w:tcW w:w="554"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49</w:t>
            </w:r>
          </w:p>
        </w:tc>
        <w:tc>
          <w:tcPr>
            <w:tcW w:w="626"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33</w:t>
            </w:r>
          </w:p>
        </w:tc>
        <w:tc>
          <w:tcPr>
            <w:tcW w:w="595"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17</w:t>
            </w:r>
          </w:p>
        </w:tc>
        <w:tc>
          <w:tcPr>
            <w:tcW w:w="662"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11</w:t>
            </w:r>
          </w:p>
        </w:tc>
        <w:tc>
          <w:tcPr>
            <w:tcW w:w="1072"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294</w:t>
            </w:r>
          </w:p>
        </w:tc>
        <w:tc>
          <w:tcPr>
            <w:tcW w:w="1077"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287</w:t>
            </w:r>
          </w:p>
        </w:tc>
        <w:tc>
          <w:tcPr>
            <w:tcW w:w="1071"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jc w:val="right"/>
              <w:rPr>
                <w:b/>
                <w:sz w:val="18"/>
                <w:szCs w:val="18"/>
              </w:rPr>
            </w:pPr>
            <w:r w:rsidRPr="009C494E">
              <w:rPr>
                <w:b/>
                <w:sz w:val="18"/>
                <w:szCs w:val="18"/>
              </w:rPr>
              <w:t>581</w:t>
            </w:r>
          </w:p>
        </w:tc>
      </w:tr>
    </w:tbl>
    <w:p w:rsidR="00EB4C74" w:rsidRPr="00E10CEF" w:rsidRDefault="00E10CEF" w:rsidP="00E10CEF">
      <w:pPr>
        <w:spacing w:before="120" w:line="220" w:lineRule="exact"/>
        <w:ind w:firstLine="170"/>
        <w:rPr>
          <w:sz w:val="18"/>
          <w:szCs w:val="18"/>
        </w:rPr>
      </w:pPr>
      <w:r>
        <w:rPr>
          <w:i/>
          <w:sz w:val="18"/>
          <w:szCs w:val="18"/>
        </w:rPr>
        <w:t xml:space="preserve">    </w:t>
      </w:r>
      <w:r w:rsidR="00EB4C74" w:rsidRPr="00E10CEF">
        <w:rPr>
          <w:i/>
          <w:sz w:val="18"/>
          <w:szCs w:val="18"/>
        </w:rPr>
        <w:t>Источники</w:t>
      </w:r>
      <w:r w:rsidR="00EB4C74" w:rsidRPr="00E10CEF">
        <w:rPr>
          <w:sz w:val="18"/>
          <w:szCs w:val="18"/>
        </w:rPr>
        <w:t>: Министерство образования, ВЕМИС.</w:t>
      </w:r>
    </w:p>
    <w:p w:rsidR="00C82BA4" w:rsidRPr="009C494E" w:rsidRDefault="00C82BA4" w:rsidP="00EB4C74">
      <w:pPr>
        <w:spacing w:before="120" w:line="200" w:lineRule="atLeast"/>
        <w:ind w:left="1134" w:right="1134" w:firstLine="170"/>
      </w:pPr>
    </w:p>
    <w:p w:rsidR="00EB4C74" w:rsidRDefault="00EB4C74" w:rsidP="00EB4C74">
      <w:pPr>
        <w:pStyle w:val="SingleTxtGR"/>
        <w:sectPr w:rsidR="00EB4C74" w:rsidSect="00221204">
          <w:headerReference w:type="even" r:id="rId23"/>
          <w:headerReference w:type="default" r:id="rId24"/>
          <w:footerReference w:type="even" r:id="rId25"/>
          <w:footerReference w:type="default" r:id="rId26"/>
          <w:headerReference w:type="first" r:id="rId27"/>
          <w:footerReference w:type="first" r:id="rId28"/>
          <w:endnotePr>
            <w:numFmt w:val="decimal"/>
          </w:endnotePr>
          <w:pgSz w:w="16838" w:h="11906" w:orient="landscape" w:code="9"/>
          <w:pgMar w:top="1134" w:right="1134" w:bottom="1134" w:left="1418" w:header="851" w:footer="567" w:gutter="0"/>
          <w:cols w:space="708"/>
          <w:docGrid w:linePitch="360"/>
        </w:sectPr>
      </w:pPr>
    </w:p>
    <w:p w:rsidR="00EB4C74" w:rsidRPr="009C494E" w:rsidRDefault="00EB4C74" w:rsidP="00EB4C74">
      <w:pPr>
        <w:pStyle w:val="SingleTxtGR"/>
      </w:pPr>
      <w:r w:rsidRPr="009C494E">
        <w:lastRenderedPageBreak/>
        <w:t>131.</w:t>
      </w:r>
      <w:r w:rsidRPr="009C494E">
        <w:tab/>
        <w:t>Для последовательного обеспечения доступа инвалидов к образованию в Вануату необходима постоянная финансовая и техническая помощь. В частности, необходимо обучать азбуке Брайля, жестовому языку и альтернативным методам общения детей с особыми потребностями. На данном этапе Вануату еще занимается созданием надлежащей базы статистических данных о числе детей-инвалидов в начальной и средней школах.</w:t>
      </w:r>
    </w:p>
    <w:p w:rsidR="00EB4C74" w:rsidRPr="009C494E" w:rsidRDefault="00EB4C74" w:rsidP="00EB4C74">
      <w:pPr>
        <w:pStyle w:val="H1GR"/>
      </w:pPr>
      <w:r w:rsidRPr="009C494E">
        <w:tab/>
      </w:r>
      <w:r w:rsidRPr="009C494E">
        <w:tab/>
        <w:t>Статья 25: Здоровье</w:t>
      </w:r>
    </w:p>
    <w:p w:rsidR="00EB4C74" w:rsidRPr="009C494E" w:rsidRDefault="00EB4C74" w:rsidP="00EB4C74">
      <w:pPr>
        <w:pStyle w:val="SingleTxtGR"/>
      </w:pPr>
      <w:r w:rsidRPr="009C494E">
        <w:t>132.</w:t>
      </w:r>
      <w:r w:rsidRPr="009C494E">
        <w:tab/>
        <w:t>Министерство здравоохранения не имеет каких-либо специальных нормативно-правовых положений, касающихся права инвалидов на здоровье; вместе с тем оно располагает программными документами, направленными на обеспечение того, чтобы к инвалидам относились с достоинством и уважением. В своей деятельности Министерство здравоохранения запрещает дискриминацию по признаку инвалидности.</w:t>
      </w:r>
    </w:p>
    <w:p w:rsidR="00EB4C74" w:rsidRPr="009C494E" w:rsidRDefault="00EB4C74" w:rsidP="00EB4C74">
      <w:pPr>
        <w:pStyle w:val="SingleTxtGR"/>
      </w:pPr>
      <w:r w:rsidRPr="009C494E">
        <w:t>133.</w:t>
      </w:r>
      <w:r w:rsidRPr="009C494E">
        <w:tab/>
        <w:t>Секторальный стратегический план Министерства здравоохранения нацелен на защиту и укрепление здоровья всего населения Вануату, в том числе инвалидов как составной части населения Вануату. Этот план направлен на достижение следующих широких целей:</w:t>
      </w:r>
    </w:p>
    <w:p w:rsidR="00EB4C74" w:rsidRPr="009C494E" w:rsidRDefault="00EB4C74" w:rsidP="00EB4C74">
      <w:pPr>
        <w:pStyle w:val="Bullet1GR"/>
      </w:pPr>
      <w:r w:rsidRPr="009C494E">
        <w:t>укрепление здоровья населения;</w:t>
      </w:r>
    </w:p>
    <w:p w:rsidR="00EB4C74" w:rsidRPr="009C494E" w:rsidRDefault="00EB4C74" w:rsidP="00EB4C74">
      <w:pPr>
        <w:pStyle w:val="Bullet1GR"/>
      </w:pPr>
      <w:r w:rsidRPr="009C494E">
        <w:t>обеспечение равноправного доступа к медицинским услугам на всех уровнях обслуживания;</w:t>
      </w:r>
    </w:p>
    <w:p w:rsidR="00EB4C74" w:rsidRPr="009C494E" w:rsidRDefault="00EB4C74" w:rsidP="00EB4C74">
      <w:pPr>
        <w:pStyle w:val="Bullet1GR"/>
      </w:pPr>
      <w:r w:rsidRPr="009C494E">
        <w:t xml:space="preserve">повышение качества услуг, оказываемых на всех уровнях; и </w:t>
      </w:r>
    </w:p>
    <w:p w:rsidR="00EB4C74" w:rsidRPr="009C494E" w:rsidRDefault="00EB4C74" w:rsidP="00EB4C74">
      <w:pPr>
        <w:pStyle w:val="Bullet1GR"/>
      </w:pPr>
      <w:r w:rsidRPr="009C494E">
        <w:t>поощрение надлежащего управления и эффективного и рационального использования ресурсов.</w:t>
      </w:r>
    </w:p>
    <w:p w:rsidR="00EB4C74" w:rsidRPr="009C494E" w:rsidRDefault="00EB4C74" w:rsidP="00EB4C74">
      <w:pPr>
        <w:pStyle w:val="SingleTxtGR"/>
      </w:pPr>
      <w:r w:rsidRPr="009C494E">
        <w:t>134.</w:t>
      </w:r>
      <w:r w:rsidRPr="009C494E">
        <w:tab/>
        <w:t>Последние статистические данные из Центральной больницы Вилы свидетельствуют о том, что самой широко распространенной причиной вторичной инвалидности являются неинфекционные заболевания (НИЗ) (диабет), за которыми следуют несчастные случаи и заболевания раком, и в этой связи правительство приступило к проведению кампании по повышению уровня информированности о НИЗ и борьбе с ними в главных городских центрах шести провинций. Правительство также приступило к реализации мер, направленных на предотвращение несчастных случаев в результате дорожно-транспортных происшествий, в частности путем предписания обязательного использования ремней безопасности и проведения кампаний против управления автотранспортными средствами в нетрезвом состоянии. Далее, в ходе реализации проекта городского развития в Порт-Виле будут установлены светофоры и приняты другие меры, направленные на предотвращение увеличения числа дорожно-транспортных происшествий.</w:t>
      </w:r>
    </w:p>
    <w:p w:rsidR="00EB4C74" w:rsidRPr="009C494E" w:rsidRDefault="00EB4C74" w:rsidP="00EB4C74">
      <w:pPr>
        <w:pStyle w:val="SingleTxtGR"/>
      </w:pPr>
      <w:r w:rsidRPr="009C494E">
        <w:rPr>
          <w:noProof/>
          <w:lang w:val="en-US" w:eastAsia="zh-CN"/>
        </w:rPr>
        <w:lastRenderedPageBreak/>
        <mc:AlternateContent>
          <mc:Choice Requires="wps">
            <w:drawing>
              <wp:anchor distT="0" distB="0" distL="114300" distR="114300" simplePos="0" relativeHeight="251664384" behindDoc="0" locked="0" layoutInCell="1" allowOverlap="1" wp14:anchorId="624E40D6" wp14:editId="6F1A3E16">
                <wp:simplePos x="0" y="0"/>
                <wp:positionH relativeFrom="column">
                  <wp:posOffset>3652520</wp:posOffset>
                </wp:positionH>
                <wp:positionV relativeFrom="paragraph">
                  <wp:posOffset>2750820</wp:posOffset>
                </wp:positionV>
                <wp:extent cx="935990" cy="21590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15900"/>
                        </a:xfrm>
                        <a:prstGeom prst="rect">
                          <a:avLst/>
                        </a:prstGeom>
                        <a:solidFill>
                          <a:srgbClr val="FFFFFF"/>
                        </a:solidFill>
                        <a:ln w="9525">
                          <a:noFill/>
                          <a:miter lim="800000"/>
                          <a:headEnd/>
                          <a:tailEnd/>
                        </a:ln>
                      </wps:spPr>
                      <wps:txbx>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Больные </w:t>
                            </w:r>
                            <w:r w:rsidRPr="001D4602">
                              <w:rPr>
                                <w:rFonts w:cs="Times New Roman"/>
                                <w:spacing w:val="-8"/>
                                <w:szCs w:val="20"/>
                              </w:rPr>
                              <w:br/>
                              <w:t>раком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E40D6" id="_x0000_s1032" type="#_x0000_t202" style="position:absolute;left:0;text-align:left;margin-left:287.6pt;margin-top:216.6pt;width:73.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" stroked="f">
                <v:textbox inset="0,0,0,0">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Больные </w:t>
                      </w:r>
                      <w:r w:rsidRPr="001D4602">
                        <w:rPr>
                          <w:rFonts w:cs="Times New Roman"/>
                          <w:spacing w:val="-8"/>
                          <w:szCs w:val="20"/>
                        </w:rPr>
                        <w:br/>
                        <w:t>раком</w:t>
                      </w:r>
                    </w:p>
                  </w:txbxContent>
                </v:textbox>
              </v:shape>
            </w:pict>
          </mc:Fallback>
        </mc:AlternateContent>
      </w:r>
      <w:r w:rsidRPr="009C494E">
        <w:rPr>
          <w:noProof/>
          <w:lang w:val="en-US" w:eastAsia="zh-CN"/>
        </w:rPr>
        <mc:AlternateContent>
          <mc:Choice Requires="wps">
            <w:drawing>
              <wp:anchor distT="0" distB="0" distL="114300" distR="114300" simplePos="0" relativeHeight="251663360" behindDoc="0" locked="0" layoutInCell="1" allowOverlap="1" wp14:anchorId="5CCCC4DB" wp14:editId="36A8F0EF">
                <wp:simplePos x="0" y="0"/>
                <wp:positionH relativeFrom="column">
                  <wp:posOffset>2221865</wp:posOffset>
                </wp:positionH>
                <wp:positionV relativeFrom="paragraph">
                  <wp:posOffset>2748280</wp:posOffset>
                </wp:positionV>
                <wp:extent cx="1367790" cy="215900"/>
                <wp:effectExtent l="0" t="0" r="381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solidFill>
                          <a:srgbClr val="FFFFFF"/>
                        </a:solidFill>
                        <a:ln w="9525">
                          <a:noFill/>
                          <a:miter lim="800000"/>
                          <a:headEnd/>
                          <a:tailEnd/>
                        </a:ln>
                      </wps:spPr>
                      <wps:txbx>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В результате </w:t>
                            </w:r>
                            <w:r w:rsidRPr="001D4602">
                              <w:rPr>
                                <w:rFonts w:cs="Times New Roman"/>
                                <w:spacing w:val="-8"/>
                                <w:szCs w:val="20"/>
                              </w:rPr>
                              <w:br/>
                              <w:t>несчастных случаев</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C4DB" id="_x0000_s1033" type="#_x0000_t202" style="position:absolute;left:0;text-align:left;margin-left:174.95pt;margin-top:216.4pt;width:107.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" stroked="f">
                <v:textbox inset="0,0,0,0">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В результате </w:t>
                      </w:r>
                      <w:r w:rsidRPr="001D4602">
                        <w:rPr>
                          <w:rFonts w:cs="Times New Roman"/>
                          <w:spacing w:val="-8"/>
                          <w:szCs w:val="20"/>
                        </w:rPr>
                        <w:br/>
                        <w:t>несчастных случаев</w:t>
                      </w:r>
                    </w:p>
                  </w:txbxContent>
                </v:textbox>
              </v:shape>
            </w:pict>
          </mc:Fallback>
        </mc:AlternateContent>
      </w:r>
      <w:r w:rsidRPr="009C494E">
        <w:rPr>
          <w:noProof/>
          <w:lang w:val="en-US" w:eastAsia="zh-CN"/>
        </w:rPr>
        <mc:AlternateContent>
          <mc:Choice Requires="wps">
            <w:drawing>
              <wp:anchor distT="0" distB="0" distL="114300" distR="114300" simplePos="0" relativeHeight="251662336" behindDoc="0" locked="0" layoutInCell="1" allowOverlap="1" wp14:anchorId="0A2FBF78" wp14:editId="64D10C5F">
                <wp:simplePos x="0" y="0"/>
                <wp:positionH relativeFrom="column">
                  <wp:posOffset>1165860</wp:posOffset>
                </wp:positionH>
                <wp:positionV relativeFrom="paragraph">
                  <wp:posOffset>2738120</wp:posOffset>
                </wp:positionV>
                <wp:extent cx="1007745" cy="215900"/>
                <wp:effectExtent l="0" t="0" r="1905"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15900"/>
                        </a:xfrm>
                        <a:prstGeom prst="rect">
                          <a:avLst/>
                        </a:prstGeom>
                        <a:solidFill>
                          <a:srgbClr val="FFFFFF"/>
                        </a:solidFill>
                        <a:ln w="9525">
                          <a:noFill/>
                          <a:miter lim="800000"/>
                          <a:headEnd/>
                          <a:tailEnd/>
                        </a:ln>
                      </wps:spPr>
                      <wps:txbx>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Больные </w:t>
                            </w:r>
                            <w:r w:rsidRPr="001D4602">
                              <w:rPr>
                                <w:rFonts w:cs="Times New Roman"/>
                                <w:spacing w:val="-8"/>
                                <w:szCs w:val="20"/>
                              </w:rPr>
                              <w:br/>
                              <w:t>диабетом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FBF78" id="_x0000_s1034" type="#_x0000_t202" style="position:absolute;left:0;text-align:left;margin-left:91.8pt;margin-top:215.6pt;width:79.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" stroked="f">
                <v:textbox inset="0,0,0,0">
                  <w:txbxContent>
                    <w:p w:rsidR="00D91931" w:rsidRPr="001D4602" w:rsidRDefault="00D91931" w:rsidP="00EB4C74">
                      <w:pPr>
                        <w:spacing w:line="160" w:lineRule="exact"/>
                        <w:jc w:val="center"/>
                        <w:rPr>
                          <w:rFonts w:cs="Times New Roman"/>
                          <w:spacing w:val="-8"/>
                          <w:szCs w:val="20"/>
                        </w:rPr>
                      </w:pPr>
                      <w:r w:rsidRPr="001D4602">
                        <w:rPr>
                          <w:rFonts w:cs="Times New Roman"/>
                          <w:spacing w:val="-8"/>
                          <w:szCs w:val="20"/>
                        </w:rPr>
                        <w:t xml:space="preserve">Больные </w:t>
                      </w:r>
                      <w:r w:rsidRPr="001D4602">
                        <w:rPr>
                          <w:rFonts w:cs="Times New Roman"/>
                          <w:spacing w:val="-8"/>
                          <w:szCs w:val="20"/>
                        </w:rPr>
                        <w:br/>
                        <w:t>диабетом</w:t>
                      </w:r>
                    </w:p>
                  </w:txbxContent>
                </v:textbox>
              </v:shape>
            </w:pict>
          </mc:Fallback>
        </mc:AlternateContent>
      </w:r>
      <w:r w:rsidRPr="009C494E">
        <w:rPr>
          <w:noProof/>
          <w:lang w:val="en-US" w:eastAsia="zh-CN"/>
        </w:rPr>
        <mc:AlternateContent>
          <mc:Choice Requires="wps">
            <w:drawing>
              <wp:anchor distT="0" distB="0" distL="114300" distR="114300" simplePos="0" relativeHeight="251666432" behindDoc="0" locked="0" layoutInCell="1" allowOverlap="1" wp14:anchorId="51AFB88F" wp14:editId="5D481D17">
                <wp:simplePos x="0" y="0"/>
                <wp:positionH relativeFrom="column">
                  <wp:posOffset>4739640</wp:posOffset>
                </wp:positionH>
                <wp:positionV relativeFrom="paragraph">
                  <wp:posOffset>1899920</wp:posOffset>
                </wp:positionV>
                <wp:extent cx="467995" cy="1403985"/>
                <wp:effectExtent l="0" t="0" r="8255"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03985"/>
                        </a:xfrm>
                        <a:prstGeom prst="rect">
                          <a:avLst/>
                        </a:prstGeom>
                        <a:solidFill>
                          <a:srgbClr val="FFFFFF"/>
                        </a:solidFill>
                        <a:ln w="9525">
                          <a:noFill/>
                          <a:miter lim="800000"/>
                          <a:headEnd/>
                          <a:tailEnd/>
                        </a:ln>
                      </wps:spPr>
                      <wps:txbx>
                        <w:txbxContent>
                          <w:p w:rsidR="00D91931" w:rsidRPr="001D4602" w:rsidRDefault="00D91931" w:rsidP="00EB4C74">
                            <w:pPr>
                              <w:spacing w:line="200" w:lineRule="exact"/>
                              <w:jc w:val="center"/>
                              <w:rPr>
                                <w:rFonts w:cs="Times New Roman"/>
                                <w:spacing w:val="-24"/>
                                <w:szCs w:val="20"/>
                              </w:rPr>
                            </w:pPr>
                            <w:r w:rsidRPr="001D4602">
                              <w:rPr>
                                <w:rFonts w:cs="Times New Roman"/>
                                <w:spacing w:val="-24"/>
                                <w:szCs w:val="20"/>
                              </w:rPr>
                              <w:t>2013 год</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FB88F" id="_x0000_s1035" type="#_x0000_t202" style="position:absolute;left:0;text-align:left;margin-left:373.2pt;margin-top:149.6pt;width:36.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" stroked="f">
                <v:textbox style="mso-fit-shape-to-text:t" inset="0,0,0,0">
                  <w:txbxContent>
                    <w:p w:rsidR="00D91931" w:rsidRPr="001D4602" w:rsidRDefault="00D91931" w:rsidP="00EB4C74">
                      <w:pPr>
                        <w:spacing w:line="200" w:lineRule="exact"/>
                        <w:jc w:val="center"/>
                        <w:rPr>
                          <w:rFonts w:cs="Times New Roman"/>
                          <w:spacing w:val="-24"/>
                          <w:szCs w:val="20"/>
                        </w:rPr>
                      </w:pPr>
                      <w:r w:rsidRPr="001D4602">
                        <w:rPr>
                          <w:rFonts w:cs="Times New Roman"/>
                          <w:spacing w:val="-24"/>
                          <w:szCs w:val="20"/>
                        </w:rPr>
                        <w:t>2013 год</w:t>
                      </w:r>
                    </w:p>
                  </w:txbxContent>
                </v:textbox>
              </v:shape>
            </w:pict>
          </mc:Fallback>
        </mc:AlternateContent>
      </w:r>
      <w:r w:rsidRPr="009C494E">
        <w:rPr>
          <w:noProof/>
          <w:lang w:val="en-US" w:eastAsia="zh-CN"/>
        </w:rPr>
        <mc:AlternateContent>
          <mc:Choice Requires="wps">
            <w:drawing>
              <wp:anchor distT="0" distB="0" distL="114300" distR="114300" simplePos="0" relativeHeight="251665408" behindDoc="0" locked="0" layoutInCell="1" allowOverlap="1" wp14:anchorId="02A1DBF2" wp14:editId="167F9767">
                <wp:simplePos x="0" y="0"/>
                <wp:positionH relativeFrom="column">
                  <wp:posOffset>4740275</wp:posOffset>
                </wp:positionH>
                <wp:positionV relativeFrom="paragraph">
                  <wp:posOffset>1722120</wp:posOffset>
                </wp:positionV>
                <wp:extent cx="468000" cy="1403985"/>
                <wp:effectExtent l="0" t="0" r="8255"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1403985"/>
                        </a:xfrm>
                        <a:prstGeom prst="rect">
                          <a:avLst/>
                        </a:prstGeom>
                        <a:solidFill>
                          <a:srgbClr val="FFFFFF"/>
                        </a:solidFill>
                        <a:ln w="9525">
                          <a:noFill/>
                          <a:miter lim="800000"/>
                          <a:headEnd/>
                          <a:tailEnd/>
                        </a:ln>
                      </wps:spPr>
                      <wps:txbx>
                        <w:txbxContent>
                          <w:p w:rsidR="00D91931" w:rsidRPr="001D4602" w:rsidRDefault="00D91931" w:rsidP="00EB4C74">
                            <w:pPr>
                              <w:spacing w:line="200" w:lineRule="exact"/>
                              <w:jc w:val="center"/>
                              <w:rPr>
                                <w:rFonts w:cs="Times New Roman"/>
                                <w:spacing w:val="-24"/>
                                <w:szCs w:val="20"/>
                              </w:rPr>
                            </w:pPr>
                            <w:r w:rsidRPr="001D4602">
                              <w:rPr>
                                <w:rFonts w:cs="Times New Roman"/>
                                <w:spacing w:val="-24"/>
                                <w:szCs w:val="20"/>
                              </w:rPr>
                              <w:t>2012 год</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1DBF2" id="_x0000_s1036" type="#_x0000_t202" style="position:absolute;left:0;text-align:left;margin-left:373.25pt;margin-top:135.6pt;width:36.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" stroked="f">
                <v:textbox style="mso-fit-shape-to-text:t" inset="0,0,0,0">
                  <w:txbxContent>
                    <w:p w:rsidR="00D91931" w:rsidRPr="001D4602" w:rsidRDefault="00D91931" w:rsidP="00EB4C74">
                      <w:pPr>
                        <w:spacing w:line="200" w:lineRule="exact"/>
                        <w:jc w:val="center"/>
                        <w:rPr>
                          <w:rFonts w:cs="Times New Roman"/>
                          <w:spacing w:val="-24"/>
                          <w:szCs w:val="20"/>
                        </w:rPr>
                      </w:pPr>
                      <w:r w:rsidRPr="001D4602">
                        <w:rPr>
                          <w:rFonts w:cs="Times New Roman"/>
                          <w:spacing w:val="-24"/>
                          <w:szCs w:val="20"/>
                        </w:rPr>
                        <w:t>2012 год</w:t>
                      </w:r>
                    </w:p>
                  </w:txbxContent>
                </v:textbox>
              </v:shape>
            </w:pict>
          </mc:Fallback>
        </mc:AlternateContent>
      </w:r>
      <w:r w:rsidRPr="009C494E">
        <w:rPr>
          <w:noProof/>
          <w:lang w:val="en-US" w:eastAsia="zh-CN"/>
        </w:rPr>
        <mc:AlternateContent>
          <mc:Choice Requires="wps">
            <w:drawing>
              <wp:anchor distT="0" distB="0" distL="114300" distR="114300" simplePos="0" relativeHeight="251661312" behindDoc="0" locked="0" layoutInCell="1" allowOverlap="1" wp14:anchorId="37DFFEA5" wp14:editId="2738E193">
                <wp:simplePos x="0" y="0"/>
                <wp:positionH relativeFrom="column">
                  <wp:posOffset>889635</wp:posOffset>
                </wp:positionH>
                <wp:positionV relativeFrom="paragraph">
                  <wp:posOffset>69850</wp:posOffset>
                </wp:positionV>
                <wp:extent cx="3996000" cy="1403985"/>
                <wp:effectExtent l="0" t="0" r="508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403985"/>
                        </a:xfrm>
                        <a:prstGeom prst="rect">
                          <a:avLst/>
                        </a:prstGeom>
                        <a:solidFill>
                          <a:srgbClr val="FFFFFF"/>
                        </a:solidFill>
                        <a:ln w="9525">
                          <a:noFill/>
                          <a:miter lim="800000"/>
                          <a:headEnd/>
                          <a:tailEnd/>
                        </a:ln>
                      </wps:spPr>
                      <wps:txbx>
                        <w:txbxContent>
                          <w:p w:rsidR="00D91931" w:rsidRPr="001D4602" w:rsidRDefault="00D91931" w:rsidP="00EB4C74">
                            <w:pPr>
                              <w:spacing w:line="300" w:lineRule="exact"/>
                              <w:jc w:val="center"/>
                              <w:rPr>
                                <w:rFonts w:cs="Times New Roman"/>
                                <w:spacing w:val="-8"/>
                                <w:sz w:val="32"/>
                                <w:szCs w:val="32"/>
                              </w:rPr>
                            </w:pPr>
                            <w:r w:rsidRPr="001D4602">
                              <w:rPr>
                                <w:rFonts w:cs="Times New Roman"/>
                                <w:spacing w:val="-8"/>
                                <w:sz w:val="32"/>
                                <w:szCs w:val="32"/>
                              </w:rPr>
                              <w:t xml:space="preserve">Статистические данные об ампутациях, </w:t>
                            </w:r>
                            <w:r w:rsidRPr="001D4602">
                              <w:rPr>
                                <w:rFonts w:cs="Times New Roman"/>
                                <w:spacing w:val="-8"/>
                                <w:sz w:val="32"/>
                                <w:szCs w:val="32"/>
                              </w:rPr>
                              <w:br/>
                              <w:t xml:space="preserve">проведенных в Центральной больнице </w:t>
                            </w:r>
                            <w:r w:rsidRPr="001D4602">
                              <w:rPr>
                                <w:rFonts w:cs="Times New Roman"/>
                                <w:spacing w:val="-8"/>
                                <w:sz w:val="32"/>
                                <w:szCs w:val="32"/>
                              </w:rPr>
                              <w:br/>
                              <w:t>Вилы в 2012–2013 годах</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FFEA5" id="_x0000_s1037" type="#_x0000_t202" style="position:absolute;left:0;text-align:left;margin-left:70.05pt;margin-top:5.5pt;width:31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" stroked="f">
                <v:textbox style="mso-fit-shape-to-text:t" inset="0,0,0,0">
                  <w:txbxContent>
                    <w:p w:rsidR="00D91931" w:rsidRPr="001D4602" w:rsidRDefault="00D91931" w:rsidP="00EB4C74">
                      <w:pPr>
                        <w:spacing w:line="300" w:lineRule="exact"/>
                        <w:jc w:val="center"/>
                        <w:rPr>
                          <w:rFonts w:cs="Times New Roman"/>
                          <w:spacing w:val="-8"/>
                          <w:sz w:val="32"/>
                          <w:szCs w:val="32"/>
                        </w:rPr>
                      </w:pPr>
                      <w:r w:rsidRPr="001D4602">
                        <w:rPr>
                          <w:rFonts w:cs="Times New Roman"/>
                          <w:spacing w:val="-8"/>
                          <w:sz w:val="32"/>
                          <w:szCs w:val="32"/>
                        </w:rPr>
                        <w:t xml:space="preserve">Статистические данные об ампутациях, </w:t>
                      </w:r>
                      <w:r w:rsidRPr="001D4602">
                        <w:rPr>
                          <w:rFonts w:cs="Times New Roman"/>
                          <w:spacing w:val="-8"/>
                          <w:sz w:val="32"/>
                          <w:szCs w:val="32"/>
                        </w:rPr>
                        <w:br/>
                        <w:t xml:space="preserve">проведенных в Центральной больнице </w:t>
                      </w:r>
                      <w:r w:rsidRPr="001D4602">
                        <w:rPr>
                          <w:rFonts w:cs="Times New Roman"/>
                          <w:spacing w:val="-8"/>
                          <w:sz w:val="32"/>
                          <w:szCs w:val="32"/>
                        </w:rPr>
                        <w:br/>
                        <w:t>Вилы в 2012–2013 годах</w:t>
                      </w:r>
                    </w:p>
                  </w:txbxContent>
                </v:textbox>
              </v:shape>
            </w:pict>
          </mc:Fallback>
        </mc:AlternateContent>
      </w:r>
      <w:r w:rsidRPr="009C494E">
        <w:rPr>
          <w:noProof/>
          <w:lang w:val="en-US" w:eastAsia="zh-CN"/>
        </w:rPr>
        <w:drawing>
          <wp:inline distT="0" distB="0" distL="0" distR="0" wp14:anchorId="4C3291E1" wp14:editId="4B133789">
            <wp:extent cx="4530232" cy="2952000"/>
            <wp:effectExtent l="0" t="0" r="381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t="-1" r="786" b="11422"/>
                    <a:stretch/>
                  </pic:blipFill>
                  <pic:spPr bwMode="auto">
                    <a:xfrm>
                      <a:off x="0" y="0"/>
                      <a:ext cx="4537739" cy="2956892"/>
                    </a:xfrm>
                    <a:prstGeom prst="rect">
                      <a:avLst/>
                    </a:prstGeom>
                    <a:noFill/>
                    <a:ln>
                      <a:noFill/>
                    </a:ln>
                    <a:extLst>
                      <a:ext uri="{53640926-AAD7-44D8-BBD7-CCE9431645EC}">
                        <a14:shadowObscured xmlns:a14="http://schemas.microsoft.com/office/drawing/2010/main"/>
                      </a:ext>
                    </a:extLst>
                  </pic:spPr>
                </pic:pic>
              </a:graphicData>
            </a:graphic>
          </wp:inline>
        </w:drawing>
      </w:r>
    </w:p>
    <w:p w:rsidR="00EB4C74" w:rsidRPr="009C494E" w:rsidRDefault="00EB4C74" w:rsidP="00182F51">
      <w:pPr>
        <w:pStyle w:val="SingleTxtGR"/>
        <w:spacing w:before="120" w:after="240" w:line="200" w:lineRule="exact"/>
        <w:ind w:firstLine="170"/>
        <w:rPr>
          <w:sz w:val="18"/>
          <w:szCs w:val="18"/>
        </w:rPr>
      </w:pPr>
      <w:r w:rsidRPr="009C494E">
        <w:rPr>
          <w:sz w:val="18"/>
          <w:szCs w:val="18"/>
        </w:rPr>
        <w:t>(Центральная больница Вилы, 2014 год).</w:t>
      </w:r>
    </w:p>
    <w:p w:rsidR="00EB4C74" w:rsidRPr="009C494E" w:rsidRDefault="00EB4C74" w:rsidP="00EB4C74">
      <w:pPr>
        <w:pStyle w:val="SingleTxtGR"/>
      </w:pPr>
      <w:r w:rsidRPr="009C494E">
        <w:t>135.</w:t>
      </w:r>
      <w:r w:rsidRPr="009C494E">
        <w:tab/>
        <w:t>Правительство также признает, что статистические данные, предоставляемые неправительственными организациями, которые занимаются женской проблематикой, свидетельствует о том, что домашнее насилие также способствует вторичной инвалидности; в этой связи в стране постоянно проводятся информационно-просветительские кампании за предотвращение домашнего насилия и более жесткое применение Закона о защите семьи. В 2012 году Женский центр Вануату (ЖЦВ) провел обследование в сотрудничестве с Национальным статистическим управлением Вануату, результаты которого свидетельствуют о том, что домашнее насилие может приводить к вторичной инвалидности. Еще до проведения этого обследования ЖЦВ постоянно осуществлял программы, нацеленные на сокращение и прекращение насилия во всех провинциях Вануату, и расширил охват этих программ после направления в провинции своих сотрудников, которые занимаются координацией программ на местах, в том числе по линии провинциальных комитетов по вопросам инвалидности. Большинство женщин, входящих в состав провинциальных комитетов по вопросам инвалидности, являются членами ЖЦВ.</w:t>
      </w:r>
    </w:p>
    <w:p w:rsidR="00EB4C74" w:rsidRPr="009C494E" w:rsidRDefault="00EB4C74" w:rsidP="00EB4C74">
      <w:pPr>
        <w:pStyle w:val="SingleTxtGR"/>
      </w:pPr>
      <w:r w:rsidRPr="009C494E">
        <w:t>136.</w:t>
      </w:r>
      <w:r w:rsidRPr="009C494E">
        <w:tab/>
        <w:t>Далее, Ассоциация «Плюмерия» в провинции Санма взаимодействует с Провинциальным управлением образования и Северной провинциальной больницей для достижения общими усилиями следующих целей:</w:t>
      </w:r>
    </w:p>
    <w:p w:rsidR="00EB4C74" w:rsidRPr="009C494E" w:rsidRDefault="00EB4C74" w:rsidP="00EB4C74">
      <w:pPr>
        <w:pStyle w:val="Bullet1GR"/>
      </w:pPr>
      <w:r w:rsidRPr="009C494E">
        <w:t>реализовывать предусмотренные в Национальной политике в области инклюзивного образования руководящие принципы и стандарты раннего выявления инвалидности;</w:t>
      </w:r>
    </w:p>
    <w:p w:rsidR="00EB4C74" w:rsidRPr="009C494E" w:rsidRDefault="00EB4C74" w:rsidP="00EB4C74">
      <w:pPr>
        <w:pStyle w:val="Bullet1GR"/>
      </w:pPr>
      <w:r w:rsidRPr="009C494E">
        <w:t>проводить реабилитацию в рамках предоставления медицинских услуг, включая переориентацию реабилитаторов и медицинского персонала, с тем чтобы помочь медперсоналу понять последствия социальной модели инвалидности, и разработать методику проведения учебной подготовки реабилитаторов на уровне общин и структуры должностей; и</w:t>
      </w:r>
    </w:p>
    <w:p w:rsidR="00EB4C74" w:rsidRPr="009C494E" w:rsidRDefault="00EB4C74" w:rsidP="00EB4C74">
      <w:pPr>
        <w:pStyle w:val="Bullet1GR"/>
      </w:pPr>
      <w:r w:rsidRPr="009C494E">
        <w:t>выработать национальные нормы и стандарты для предоставления надлежащих услуг по психологической реабилитации в Вануату.</w:t>
      </w:r>
    </w:p>
    <w:p w:rsidR="00EB4C74" w:rsidRPr="009C494E" w:rsidRDefault="00EB4C74" w:rsidP="00EB4C74">
      <w:pPr>
        <w:pStyle w:val="SingleTxtGR"/>
      </w:pPr>
      <w:r w:rsidRPr="009C494E">
        <w:t>137.</w:t>
      </w:r>
      <w:r w:rsidRPr="009C494E">
        <w:tab/>
        <w:t>С 2011 года правительство, действуя по линии отдела по делам инвалидов, проводит профессиональную подготовку по вопросам прав человека, инвалидности и КПИ во всех провинциях Вануату с участием медицинских сотрудников, представляющих Министерство здравоохранения. В число этих сотрудников входят четыре медбрата и три медсестры из провинциальных больниц.</w:t>
      </w:r>
    </w:p>
    <w:p w:rsidR="00EB4C74" w:rsidRPr="009C494E" w:rsidRDefault="00EB4C74" w:rsidP="00EB4C74">
      <w:pPr>
        <w:pStyle w:val="SingleTxtGR"/>
      </w:pPr>
      <w:r w:rsidRPr="009C494E">
        <w:lastRenderedPageBreak/>
        <w:t>138.</w:t>
      </w:r>
      <w:r w:rsidRPr="009C494E">
        <w:tab/>
        <w:t>Нормативное положение 38 о психиатрической больнице предусматривает прием и содержание под присмотром «психически больных лиц» в психиатрической больнице Порт-Вилы – единственной больнице в стране, которая располагает соответствующим отделением. Министерство здравоохранения во взаимодействии с такими партнерами, как Всемирная организация здравоохранения, продолжает проводить мероприятия по повышению информированности о проблемах психического здоровья в Вануату.</w:t>
      </w:r>
    </w:p>
    <w:p w:rsidR="00EB4C74" w:rsidRPr="009C494E" w:rsidRDefault="00EB4C74" w:rsidP="00EB4C74">
      <w:pPr>
        <w:pStyle w:val="SingleTxtGR"/>
      </w:pPr>
      <w:r w:rsidRPr="009C494E">
        <w:t>139.</w:t>
      </w:r>
      <w:r w:rsidRPr="009C494E">
        <w:tab/>
        <w:t>В отделении по уходу за умственно отсталыми (психиатрическом отделении) работают пять медсестер и один психиатр. Эти пять медсестер осуществляют уход за нестабильными больными, а также оказывают последующую помощь и контролируют состояние больных в общинах. Каждую среду отделение проводит еженедельные консультации, которые проходят в отделении по уходу за умственно отсталыми в центральной больнице Вилы в Порт-Виле. Государственная группа по вопросам ухода за умственно отсталыми оказывает поддержку семьям, а также предоставляет помощь клиентам и членам семей по вопросам психологии. В результате поступивших просьб и обращений эти услуги были распространены на другие больницы за пределами Порт-Вилы.</w:t>
      </w:r>
    </w:p>
    <w:p w:rsidR="00EB4C74" w:rsidRPr="009C494E" w:rsidRDefault="00EB4C74" w:rsidP="00EB4C74">
      <w:pPr>
        <w:pStyle w:val="SingleTxtGR"/>
      </w:pPr>
      <w:r w:rsidRPr="009C494E">
        <w:t>140.</w:t>
      </w:r>
      <w:r w:rsidRPr="009C494E">
        <w:tab/>
        <w:t>В настоящее время люди, проявляющие симптомы психической неуравновешенности, находятся на попечении своих семей. Небольшое число таких больных проходят лечение в больницах, и еще меньшее число по-прежнему обращаются за медицинской помощью к частным врачам. Нормативное положение 38 о психиатрической больнице устарело, и в настоящее время ведется разработка нового положения. Предполагается, что в результате дискуссий и обсуждений, проводимых в процессе разработки нового закона о психическом здоровье, в нем будет учтена статья 1 КПИ.</w:t>
      </w:r>
    </w:p>
    <w:p w:rsidR="00EB4C74" w:rsidRPr="009C494E" w:rsidRDefault="00EB4C74" w:rsidP="00EB4C74">
      <w:pPr>
        <w:pStyle w:val="SingleTxtGR"/>
      </w:pPr>
      <w:r w:rsidRPr="009C494E">
        <w:t>141.</w:t>
      </w:r>
      <w:r w:rsidRPr="009C494E">
        <w:tab/>
        <w:t>В провинции Шефа правительство Вануату, действуя через местные органы власти, предоставляет всем инвалидам бесплатное медицинское обслуживание. Инвалиды, не способные получать медицинскую помощь в больнице, получают медицинские услуги на дому; в настоящее время эти услуги оказываются отделом по делам инвалидов и ОИВ в рамках реализации абилитационных и реабилитационных программ. Министерство здравоохранения приняло меры по улучшению санитарных условий во всех больницах и в ряде медицинских пунктов, обеспечив при этом, чтобы эти санитарные средства не просто были в наличии, а были полностью доступны.</w:t>
      </w:r>
    </w:p>
    <w:p w:rsidR="00EB4C74" w:rsidRPr="009C494E" w:rsidRDefault="00EB4C74" w:rsidP="00EB4C74">
      <w:pPr>
        <w:pStyle w:val="H1GR"/>
      </w:pPr>
      <w:r w:rsidRPr="009C494E">
        <w:tab/>
      </w:r>
      <w:r w:rsidRPr="009C494E">
        <w:tab/>
        <w:t>Статья 26: Абилитация и реабилитация</w:t>
      </w:r>
    </w:p>
    <w:p w:rsidR="00EB4C74" w:rsidRPr="009C494E" w:rsidRDefault="00EB4C74" w:rsidP="00EB4C74">
      <w:pPr>
        <w:pStyle w:val="SingleTxtGR"/>
      </w:pPr>
      <w:r w:rsidRPr="009C494E">
        <w:t>142.</w:t>
      </w:r>
      <w:r w:rsidRPr="009C494E">
        <w:tab/>
        <w:t>Инвалиды в Вануату живут в своих собственных домах, в деревне или общине как члены семейной ячейки. В зависимости от того, к какой возрастной группе принадлежит то или иное лицо, проживающее в том или ином населенном пункте, предполагается, что это лицо получает и будет получать одинаковые базовые медико-санитарные услуги и иметь доступ к образованию и ближайшим учебным заведениям, равно как и к любым местам отдыха и профессионально-техническим училищам.</w:t>
      </w:r>
    </w:p>
    <w:p w:rsidR="00EB4C74" w:rsidRPr="009C494E" w:rsidRDefault="00EB4C74" w:rsidP="00EB4C74">
      <w:pPr>
        <w:pStyle w:val="SingleTxtGR"/>
      </w:pPr>
      <w:r w:rsidRPr="009C494E">
        <w:t>143.</w:t>
      </w:r>
      <w:r w:rsidRPr="009C494E">
        <w:tab/>
        <w:t>Услуги по раннему диагностированию и реабилитации предоставляются организациями инвалидов. Общество инвалидов Вануату (ОИВ) начало предоставлять реабилитационные услуги на базе общин в 1991 году, а Ассоциация «Плюмерия» в провинции Санма (АПС) – в середине 2000 года. Диагностирование и надлежащее вмешательство на раннем этапе осуществляются сотрудниками организаций инвалидов в рамках программ выезда на дом и в деревни. Услуги ОИВ предоставляются как взрослым, так и детям, независимо от их пола, и охватывают лиц с умеренной и вплоть до тяжелой формами инвалидности; что же касается реабилитации после диагностирования, то характер этих мер определяется существующими условиями, а также природой и видом инвалидности. Географическое местоположение островов и ограниченность финансовых ресурсов не позволяют организациям инвалидов регулярно посещать об</w:t>
      </w:r>
      <w:r w:rsidRPr="009C494E">
        <w:lastRenderedPageBreak/>
        <w:t>щины для проведения реабилитационных мероприятий, и правительство Вануату планирует тесно сотрудничать с организациями инвалидов в целях обеспечения регулярности таких посещений и преодоления проблем, связанных с географическим местоположением островов и ограниченностью ресурсов для предоставления услуг по РБО, особенно финансовых ресурсов, имеющихся в распоряжении ОИВ.</w:t>
      </w:r>
    </w:p>
    <w:p w:rsidR="00EB4C74" w:rsidRPr="009C494E" w:rsidRDefault="00EB4C74" w:rsidP="00EB4C74">
      <w:pPr>
        <w:pStyle w:val="SingleTxtGR"/>
      </w:pPr>
      <w:r w:rsidRPr="009C494E">
        <w:t>144.</w:t>
      </w:r>
      <w:r w:rsidRPr="009C494E">
        <w:tab/>
        <w:t>Вануату последовательно прилагает усилия к тому, чтобы повысить осведомленность о проблемах инвалидности, а также проводит просветительные и учебные мероприятия (неформальные) по вопросам инвалидности для родителей и родительских групп, общинных лидеров, сельских медицинских работников, преподавателей и т.д., с тем чтобы содействовать предоставлению услуг по реабилитации и оказывать соответствующую поддержку.</w:t>
      </w:r>
    </w:p>
    <w:p w:rsidR="00EB4C74" w:rsidRPr="009C494E" w:rsidRDefault="00EB4C74" w:rsidP="00EB4C74">
      <w:pPr>
        <w:pStyle w:val="SingleTxtGR"/>
      </w:pPr>
      <w:r w:rsidRPr="009C494E">
        <w:t>145.</w:t>
      </w:r>
      <w:r w:rsidRPr="009C494E">
        <w:tab/>
        <w:t>Ниже приводится краткая информация ОИВ с разбивкой по провинциям об инвалидах, проживающих с умеренной и вплоть до тяжелой формами инвалидности:</w:t>
      </w:r>
    </w:p>
    <w:p w:rsidR="00EB4C74" w:rsidRPr="009C494E" w:rsidRDefault="00EB4C74" w:rsidP="00EB4C74">
      <w:pPr>
        <w:pStyle w:val="H23GR"/>
      </w:pPr>
      <w:r w:rsidRPr="009C494E">
        <w:tab/>
      </w:r>
      <w:r w:rsidRPr="009C494E">
        <w:tab/>
        <w:t xml:space="preserve">Таблица 5: Статистические данные о числе инвалидов в разбивке по провинциям, представленные Обществом инвалидов Вануату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EB4C74" w:rsidRPr="009C494E" w:rsidTr="006116C9">
        <w:trPr>
          <w:trHeight w:val="240"/>
          <w:tblHeader/>
        </w:trPr>
        <w:tc>
          <w:tcPr>
            <w:tcW w:w="3782" w:type="dxa"/>
            <w:tcBorders>
              <w:top w:val="single" w:sz="4" w:space="0" w:color="auto"/>
              <w:bottom w:val="single" w:sz="12" w:space="0" w:color="auto"/>
            </w:tcBorders>
            <w:shd w:val="clear" w:color="auto" w:fill="auto"/>
            <w:vAlign w:val="bottom"/>
          </w:tcPr>
          <w:p w:rsidR="00EB4C74" w:rsidRPr="009C494E" w:rsidRDefault="00EB4C74" w:rsidP="006116C9">
            <w:pPr>
              <w:pStyle w:val="SingleTxtGR"/>
              <w:spacing w:before="80" w:after="80" w:line="200" w:lineRule="exact"/>
              <w:ind w:left="0" w:right="0"/>
              <w:rPr>
                <w:i/>
                <w:sz w:val="16"/>
                <w:szCs w:val="16"/>
              </w:rPr>
            </w:pPr>
            <w:r w:rsidRPr="009C494E">
              <w:rPr>
                <w:i/>
                <w:sz w:val="16"/>
                <w:szCs w:val="16"/>
              </w:rPr>
              <w:t>Провинция</w:t>
            </w:r>
          </w:p>
        </w:tc>
        <w:tc>
          <w:tcPr>
            <w:tcW w:w="3782" w:type="dxa"/>
            <w:tcBorders>
              <w:top w:val="single" w:sz="4" w:space="0" w:color="auto"/>
              <w:bottom w:val="single" w:sz="12" w:space="0" w:color="auto"/>
            </w:tcBorders>
            <w:shd w:val="clear" w:color="auto" w:fill="auto"/>
            <w:vAlign w:val="bottom"/>
          </w:tcPr>
          <w:p w:rsidR="00EB4C74" w:rsidRPr="009C494E" w:rsidRDefault="00EB4C74" w:rsidP="006116C9">
            <w:pPr>
              <w:pStyle w:val="SingleTxtGR"/>
              <w:spacing w:before="80" w:after="80" w:line="200" w:lineRule="exact"/>
              <w:ind w:left="0" w:right="0"/>
              <w:jc w:val="right"/>
              <w:rPr>
                <w:i/>
                <w:sz w:val="16"/>
                <w:szCs w:val="16"/>
              </w:rPr>
            </w:pPr>
            <w:r w:rsidRPr="009C494E">
              <w:rPr>
                <w:i/>
                <w:sz w:val="16"/>
                <w:szCs w:val="16"/>
              </w:rPr>
              <w:t>Число инвалидов</w:t>
            </w:r>
          </w:p>
        </w:tc>
      </w:tr>
      <w:tr w:rsidR="00EB4C74" w:rsidRPr="009C494E" w:rsidTr="006116C9">
        <w:trPr>
          <w:trHeight w:val="240"/>
        </w:trPr>
        <w:tc>
          <w:tcPr>
            <w:tcW w:w="3782" w:type="dxa"/>
            <w:tcBorders>
              <w:top w:val="single" w:sz="12" w:space="0" w:color="auto"/>
            </w:tcBorders>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Торба</w:t>
            </w:r>
          </w:p>
        </w:tc>
        <w:tc>
          <w:tcPr>
            <w:tcW w:w="3782" w:type="dxa"/>
            <w:tcBorders>
              <w:top w:val="single" w:sz="12" w:space="0" w:color="auto"/>
            </w:tcBorders>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62</w:t>
            </w:r>
          </w:p>
        </w:tc>
      </w:tr>
      <w:tr w:rsidR="00EB4C74" w:rsidRPr="009C494E" w:rsidTr="006116C9">
        <w:trPr>
          <w:trHeight w:val="240"/>
        </w:trPr>
        <w:tc>
          <w:tcPr>
            <w:tcW w:w="3782" w:type="dxa"/>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Санма</w:t>
            </w:r>
          </w:p>
        </w:tc>
        <w:tc>
          <w:tcPr>
            <w:tcW w:w="3782" w:type="dxa"/>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153</w:t>
            </w:r>
          </w:p>
        </w:tc>
      </w:tr>
      <w:tr w:rsidR="00EB4C74" w:rsidRPr="009C494E" w:rsidTr="006116C9">
        <w:trPr>
          <w:trHeight w:val="240"/>
        </w:trPr>
        <w:tc>
          <w:tcPr>
            <w:tcW w:w="3782" w:type="dxa"/>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Пенама</w:t>
            </w:r>
          </w:p>
        </w:tc>
        <w:tc>
          <w:tcPr>
            <w:tcW w:w="3782" w:type="dxa"/>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208</w:t>
            </w:r>
          </w:p>
        </w:tc>
      </w:tr>
      <w:tr w:rsidR="00EB4C74" w:rsidRPr="009C494E" w:rsidTr="006116C9">
        <w:trPr>
          <w:trHeight w:val="240"/>
        </w:trPr>
        <w:tc>
          <w:tcPr>
            <w:tcW w:w="3782" w:type="dxa"/>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Малампа</w:t>
            </w:r>
          </w:p>
        </w:tc>
        <w:tc>
          <w:tcPr>
            <w:tcW w:w="3782" w:type="dxa"/>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167</w:t>
            </w:r>
          </w:p>
        </w:tc>
      </w:tr>
      <w:tr w:rsidR="00EB4C74" w:rsidRPr="009C494E" w:rsidTr="006116C9">
        <w:trPr>
          <w:trHeight w:val="240"/>
        </w:trPr>
        <w:tc>
          <w:tcPr>
            <w:tcW w:w="3782" w:type="dxa"/>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Шефа</w:t>
            </w:r>
          </w:p>
        </w:tc>
        <w:tc>
          <w:tcPr>
            <w:tcW w:w="3782" w:type="dxa"/>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308</w:t>
            </w:r>
          </w:p>
        </w:tc>
      </w:tr>
      <w:tr w:rsidR="00EB4C74" w:rsidRPr="009C494E" w:rsidTr="006116C9">
        <w:trPr>
          <w:trHeight w:val="240"/>
        </w:trPr>
        <w:tc>
          <w:tcPr>
            <w:tcW w:w="3782" w:type="dxa"/>
            <w:shd w:val="clear" w:color="auto" w:fill="auto"/>
          </w:tcPr>
          <w:p w:rsidR="00EB4C74" w:rsidRPr="009C494E" w:rsidRDefault="00EB4C74" w:rsidP="006116C9">
            <w:pPr>
              <w:pStyle w:val="SingleTxtGR"/>
              <w:spacing w:before="40" w:after="40" w:line="220" w:lineRule="atLeast"/>
              <w:ind w:left="0" w:right="0"/>
              <w:rPr>
                <w:sz w:val="18"/>
                <w:szCs w:val="18"/>
              </w:rPr>
            </w:pPr>
            <w:r w:rsidRPr="009C494E">
              <w:rPr>
                <w:sz w:val="18"/>
                <w:szCs w:val="18"/>
              </w:rPr>
              <w:t>Тафеа</w:t>
            </w:r>
          </w:p>
        </w:tc>
        <w:tc>
          <w:tcPr>
            <w:tcW w:w="3782" w:type="dxa"/>
            <w:shd w:val="clear" w:color="auto" w:fill="auto"/>
            <w:vAlign w:val="bottom"/>
          </w:tcPr>
          <w:p w:rsidR="00EB4C74" w:rsidRPr="009C494E" w:rsidRDefault="00EB4C74" w:rsidP="006116C9">
            <w:pPr>
              <w:pStyle w:val="SingleTxtGR"/>
              <w:spacing w:before="40" w:after="40" w:line="220" w:lineRule="atLeast"/>
              <w:ind w:left="0" w:right="0"/>
              <w:jc w:val="right"/>
              <w:rPr>
                <w:sz w:val="18"/>
                <w:szCs w:val="18"/>
              </w:rPr>
            </w:pPr>
            <w:r w:rsidRPr="009C494E">
              <w:rPr>
                <w:sz w:val="18"/>
                <w:szCs w:val="18"/>
              </w:rPr>
              <w:t>203</w:t>
            </w:r>
          </w:p>
        </w:tc>
      </w:tr>
    </w:tbl>
    <w:p w:rsidR="00EB4C74" w:rsidRPr="009C494E" w:rsidRDefault="00EB4C74" w:rsidP="00EB4C74">
      <w:pPr>
        <w:pStyle w:val="SingleTxtGR"/>
        <w:spacing w:before="240"/>
      </w:pPr>
      <w:r w:rsidRPr="009C494E">
        <w:t>146.</w:t>
      </w:r>
      <w:r w:rsidRPr="009C494E">
        <w:tab/>
        <w:t>Правительство Вануату, действуя в партнерстве с организациями инвалидов Вануату, содействовало проведению консультации в рамках начала обсуждения вопроса о разработке национальной реабилитационной политики, которая установит национальные нормативы в отношении распределения межотраслевых обязанностей и координации услуг по реабилитации, и изучения возможности разработки закона о предоставлении услуг инвалидам Вануату.</w:t>
      </w:r>
    </w:p>
    <w:p w:rsidR="00EB4C74" w:rsidRPr="009C494E" w:rsidRDefault="00EB4C74" w:rsidP="00D35AFC">
      <w:pPr>
        <w:pStyle w:val="SingleTxtGR"/>
      </w:pPr>
      <w:r w:rsidRPr="009C494E">
        <w:t>147.</w:t>
      </w:r>
      <w:r w:rsidRPr="009C494E">
        <w:tab/>
        <w:t xml:space="preserve">В мае 2014 года правительство Вануату провело семинар-практикум по РБО, в котором приняли участие представители четырех провинций. </w:t>
      </w:r>
      <w:r w:rsidRPr="009C494E">
        <w:br/>
        <w:t xml:space="preserve">В их число вошли представители заинтересованных НПО, организаций инвалидов и государственных ведомств, а также сами инвалиды. На этом семинаре была представлена матрица ВОЗ по реабилитации на базе общин, которая позволит инвалидам принимать участие во всех видах общинной деятельности. Кроме того, был подготовлен план действий по РБО, реализация которого будет координироваться рабочей группой по реабилитации на базе общин. Рабочая группа по РБО предоставляет реабилитационные услуги и приспособления более 55 инвалидам в Порт-Виле, а также снабдила специальными приспособлениями </w:t>
      </w:r>
      <w:r w:rsidR="00D35AFC">
        <w:t>7</w:t>
      </w:r>
      <w:r w:rsidRPr="009C494E">
        <w:t xml:space="preserve"> инвалидов на отдаленном острове Футуна. Организации инвалидов продолжают осуществлять программы РБО, которые включают предоставление ассистивных устройств в Санто и других северных провинциях Вануату.</w:t>
      </w:r>
    </w:p>
    <w:p w:rsidR="00EB4C74" w:rsidRPr="009C494E" w:rsidRDefault="00EB4C74" w:rsidP="00EB4C74">
      <w:pPr>
        <w:pStyle w:val="SingleTxtGR"/>
      </w:pPr>
      <w:r w:rsidRPr="009C494E">
        <w:t>148.</w:t>
      </w:r>
      <w:r w:rsidRPr="009C494E">
        <w:tab/>
        <w:t>Продолжается работа над завершением оснащения недавно полученного здания, которое было выделено правительством Вануату с целью создания государственного центра для инвалидов. Разработаны планы непрерывного осуществления реабилитационных программ, которые должны позволить охватить к 2024 году всех инвалидов, как это предусмотрено в Национальном плане действий по реабилитации на базе общин на 2014–2024 годы.</w:t>
      </w:r>
    </w:p>
    <w:p w:rsidR="00EB4C74" w:rsidRPr="009C494E" w:rsidRDefault="00EB4C74" w:rsidP="00EB4C74">
      <w:pPr>
        <w:pStyle w:val="SingleTxtGR"/>
      </w:pPr>
      <w:r w:rsidRPr="009C494E">
        <w:t>149.</w:t>
      </w:r>
      <w:r w:rsidRPr="009C494E">
        <w:tab/>
        <w:t xml:space="preserve">Правительство намерено проводить непрерывную профессиональную подготовку специалистов по вопросам абилитации и реабилитации; вместе </w:t>
      </w:r>
      <w:r w:rsidRPr="009C494E">
        <w:lastRenderedPageBreak/>
        <w:t>с тем для достижения этой цели необходима дополнительная финансовая и техническая поддержка.</w:t>
      </w:r>
    </w:p>
    <w:p w:rsidR="00EB4C74" w:rsidRPr="009C494E" w:rsidRDefault="00EB4C74" w:rsidP="00EB4C74">
      <w:pPr>
        <w:pStyle w:val="H1GR"/>
      </w:pPr>
      <w:r w:rsidRPr="009C494E">
        <w:tab/>
      </w:r>
      <w:r w:rsidRPr="009C494E">
        <w:tab/>
        <w:t>Статья 27: Труд и занятость</w:t>
      </w:r>
    </w:p>
    <w:p w:rsidR="00EB4C74" w:rsidRPr="009C494E" w:rsidRDefault="00EB4C74" w:rsidP="00EB4C74">
      <w:pPr>
        <w:pStyle w:val="SingleTxtGR"/>
      </w:pPr>
      <w:r w:rsidRPr="009C494E">
        <w:t>150.</w:t>
      </w:r>
      <w:r w:rsidRPr="009C494E">
        <w:tab/>
        <w:t>Вануатский Закон о занятости обеспечивает общую охрану труда работников и работодателей в Вануату. В структуре Департамента труда существует должность старшего сотрудника по охране труда, который курирует вопросы гигиены и охраны труда на рабочих местах. Задача этого сотрудника заключается в расследовании случаев производственных травм на рабочем месте, приводящих к инвалидности, и в обсуждении соответствующих компенсаций для пострадавших. Обычно после переговоров с сотрудником по охране труда работник, получивший инвалидность вследствие производственной травмы на рабочем месте, переводится на легкую работу. Вместе с тем многие работодатели обычно следуют положениям действующего законодательства, которое предусматривает выплату компенсации в размере трехгодичного месячного оклада, умноженного на процентный показатель неработоспособности, который определяется медицинским сотрудником, после чего такой работник обычно увольняется и зачастую остается не у дел как непроизводительное лицо.</w:t>
      </w:r>
    </w:p>
    <w:p w:rsidR="00EB4C74" w:rsidRPr="009C494E" w:rsidRDefault="00EB4C74" w:rsidP="00A425A1">
      <w:pPr>
        <w:pStyle w:val="SingleTxtGR"/>
      </w:pPr>
      <w:r w:rsidRPr="009C494E">
        <w:t>151.</w:t>
      </w:r>
      <w:r w:rsidRPr="009C494E">
        <w:tab/>
        <w:t>В соответ</w:t>
      </w:r>
      <w:r w:rsidR="00A425A1">
        <w:t xml:space="preserve">ствии с политической директивой </w:t>
      </w:r>
      <w:r w:rsidRPr="009C494E">
        <w:t xml:space="preserve">8.4.2, являющейся частью Национальной политики в отношении инвалидов и Плана действий </w:t>
      </w:r>
      <w:r w:rsidR="00A425A1">
        <w:t>на</w:t>
      </w:r>
      <w:r w:rsidR="00A425A1">
        <w:br/>
      </w:r>
      <w:r w:rsidRPr="009C494E">
        <w:t xml:space="preserve">2008–2015 годы, правительство Вануату признает и поддерживает права инвалидов на достойную работу. Для получения достойной работы необходимо обеспечить доступ к образованию и профессиональной подготовке. </w:t>
      </w:r>
    </w:p>
    <w:p w:rsidR="00EB4C74" w:rsidRPr="009C494E" w:rsidRDefault="00EB4C74" w:rsidP="00EB4C74">
      <w:pPr>
        <w:pStyle w:val="SingleTxtGR"/>
      </w:pPr>
      <w:r w:rsidRPr="009C494E">
        <w:t>152.</w:t>
      </w:r>
      <w:r w:rsidRPr="009C494E">
        <w:tab/>
        <w:t>Выполняя свои обязательства по универсальному периодическому обзору (УПО), правительство обсуждает в настоящее время вопрос о внесении изменений в действующий Закон о занятости, которые должны, в частности, обеспечить более действенную защиту права инвалидов на труд.</w:t>
      </w:r>
    </w:p>
    <w:p w:rsidR="00EB4C74" w:rsidRPr="009C494E" w:rsidRDefault="00EB4C74" w:rsidP="00EB4C74">
      <w:pPr>
        <w:pStyle w:val="SingleTxtGR"/>
      </w:pPr>
      <w:r w:rsidRPr="009C494E">
        <w:t>153.</w:t>
      </w:r>
      <w:r w:rsidRPr="009C494E">
        <w:tab/>
        <w:t>С 2010 года правительство Вануату, действуя в сотрудничестве с правительством Австралии, осуществляет программу профессионально-технического образования и подготовки (ПТОП), которая включает оказание поддержки в деле реализации общинных программ для инвалидов.</w:t>
      </w:r>
    </w:p>
    <w:p w:rsidR="00EB4C74" w:rsidRPr="009C494E" w:rsidRDefault="00EB4C74" w:rsidP="00EB4C74">
      <w:pPr>
        <w:pStyle w:val="SingleTxtGR"/>
      </w:pPr>
      <w:r w:rsidRPr="009C494E">
        <w:t>154.</w:t>
      </w:r>
      <w:r w:rsidRPr="009C494E">
        <w:tab/>
        <w:t xml:space="preserve">В рамках этой программы, которая была апробирована в провинции Санма и затем распространена на провинции Малампа и Торба, основное внимание уделяется расширению прав и возможностей инвалидов посредством развития навыков и поощрения аспекта инклюзивности в таких общинных программах, как программы профессиональной подготовки. В рамках реализации программы профессионально-технического образования и подготовки (ПТОП) правительство Вануату преследует цели повышения информированности населения, обучения профессиональным навыкам и подготовки управленческих кадров предпринимателей на островах Малекула и Санто. В этих учебных мероприятиях принимают участие инвалиды, и в результате профессиональной подготовки, полученной в рамках ПТОП, инвалиды могут заниматься самостоятельной </w:t>
      </w:r>
      <w:r w:rsidR="00A425A1">
        <w:br/>
      </w:r>
      <w:r w:rsidRPr="009C494E">
        <w:t>деятельностью, создавая собственные сельскохозяйственные предприятия. В 2014 году программа ПТОП была распространена на провинцию Тафеа, что, как предполагается, позволит поддержать уже осуществляемые в этой провинции программы помощи инвалидам. Центры реализации ПТОП действуют в партнерстве с ассоциациями инвалидов и стремятся обеспечить, чтобы инвалиды имели доступ к услугам по развитию профессиональных навыков и могли получать поддержку в осуществлении приносящей доход деятельности.</w:t>
      </w:r>
    </w:p>
    <w:p w:rsidR="00EB4C74" w:rsidRPr="009C494E" w:rsidRDefault="00EB4C74" w:rsidP="00EB4C74">
      <w:pPr>
        <w:pStyle w:val="SingleTxtGR"/>
      </w:pPr>
      <w:r w:rsidRPr="009C494E">
        <w:t>155.</w:t>
      </w:r>
      <w:r w:rsidRPr="009C494E">
        <w:tab/>
        <w:t>В ноябре 2011 года МОТ, используя информацию и помощь национального бюро по делам инвалидов и организаций инвалидов, провела исследование в Порт-Виле, нацеленное на сбор базовой информации о занятости инвалидов. Проведение этого исследования позволило получить структурированный «портрет» 10 инвалидов, работающих в различных правительственных и неправительственных учреждениях.</w:t>
      </w:r>
    </w:p>
    <w:p w:rsidR="00EB4C74" w:rsidRPr="009C494E" w:rsidRDefault="00EB4C74" w:rsidP="00EB4C74">
      <w:pPr>
        <w:pStyle w:val="SingleTxtGR"/>
      </w:pPr>
      <w:r w:rsidRPr="009C494E">
        <w:lastRenderedPageBreak/>
        <w:t>156.</w:t>
      </w:r>
      <w:r w:rsidRPr="009C494E">
        <w:tab/>
        <w:t>Правительство Вануату продолжает поддерживать инициативы, реализуемые организациями инвалидов в партнерстве с агентствами по трудоустройству. В настоящее время инвалиды нанимаются на работу через эти агентства по трудоустройству в различных секторах, таких как общественное питание, таможня и иммиграционная служба, уход за больными, телекоммуникации и средства массовой информации. В настоящее время имеются только ограниченные статистические данные о работающих и неработающих инвалидах, что обусловливает необходимость проведения дальнейших обследований в будущем.</w:t>
      </w:r>
    </w:p>
    <w:p w:rsidR="00EB4C74" w:rsidRPr="009C494E" w:rsidRDefault="00EB4C74" w:rsidP="00EB4C74">
      <w:pPr>
        <w:pStyle w:val="SingleTxtGR"/>
      </w:pPr>
      <w:r w:rsidRPr="009C494E">
        <w:t>157.</w:t>
      </w:r>
      <w:r w:rsidRPr="009C494E">
        <w:tab/>
        <w:t>Правительство Вануату, действуя по линии отдела по делам инвалидов, занимается повышением информированности работодателей и органов власти о возможностях инвалидов как потенциальных работников. Департамент по делам кооперативов проводит с помощью сотрудников провинциальных организаций профессиональную подготовку для членов общин, включая инвалидов.</w:t>
      </w:r>
    </w:p>
    <w:p w:rsidR="00EB4C74" w:rsidRPr="009C494E" w:rsidRDefault="00EB4C74" w:rsidP="00EB4C74">
      <w:pPr>
        <w:pStyle w:val="H1GR"/>
      </w:pPr>
      <w:r w:rsidRPr="009C494E">
        <w:tab/>
      </w:r>
      <w:r w:rsidRPr="009C494E">
        <w:tab/>
        <w:t>Статья 28: Достаточный жизненный уровень и социальная защита</w:t>
      </w:r>
    </w:p>
    <w:p w:rsidR="00EB4C74" w:rsidRPr="009C494E" w:rsidRDefault="00EB4C74" w:rsidP="00EB4C74">
      <w:pPr>
        <w:pStyle w:val="SingleTxtGR"/>
      </w:pPr>
      <w:r w:rsidRPr="009C494E">
        <w:t>158.</w:t>
      </w:r>
      <w:r w:rsidRPr="009C494E">
        <w:tab/>
        <w:t>Правительство осуществляет Национальную стратегию в области водных ресурсов, нацеленную на решение проблем загрязнения окружающей среды и климатических изменений, которые могут повлиять на качество питьевой воды в городских районах Вануату, включая внешние острова. Эта стратегия предусматривает общинное управление водными ресурсами и предполагает представленность женщин в местных комитетах по водным ресурсам и их участие в процессах планирования и управления ресурсами. Организация «Уорлд вижн Вануату» осуществляет ряд водохозяйственных проектов, которые, в частности, направлены на обеспечение надлежащего водоснабжения для двух инвалидов на острове Лелеба в провинции Шефа. В состав членов комитета по водным ресурсам также входит представитель инвалидов.</w:t>
      </w:r>
    </w:p>
    <w:p w:rsidR="00EB4C74" w:rsidRPr="009C494E" w:rsidRDefault="00EB4C74" w:rsidP="00EB4C74">
      <w:pPr>
        <w:pStyle w:val="SingleTxtGR"/>
      </w:pPr>
      <w:r w:rsidRPr="009C494E">
        <w:t>159.</w:t>
      </w:r>
      <w:r w:rsidRPr="009C494E">
        <w:tab/>
        <w:t>Правительство признает ведущую роль организаций гражданского общества в деле обеспечения доступа к чистой воде, достаточному питанию, одежде и жилью.</w:t>
      </w:r>
    </w:p>
    <w:p w:rsidR="00EB4C74" w:rsidRPr="009C494E" w:rsidRDefault="00EB4C74" w:rsidP="00EB4C74">
      <w:pPr>
        <w:pStyle w:val="SingleTxtGR"/>
      </w:pPr>
      <w:r w:rsidRPr="009C494E">
        <w:t>160.</w:t>
      </w:r>
      <w:r w:rsidRPr="009C494E">
        <w:tab/>
        <w:t>Организация «Хабитат в интересах человечества» – международная НПО – осуществляет программу жилищного строительства и построила более пяти домов для инвалидов в провинциях Шефа и Санма. Концепция социальной защиты основывается в Вануату, главным образом, на семейных и культурных связях. Вместе с тем в тех случаях, когда инвалиды работают, их социальная защита обеспечивается за счет вклада в Национальный резервный сберегательный фонд Вануату.</w:t>
      </w:r>
    </w:p>
    <w:p w:rsidR="00EB4C74" w:rsidRPr="009C494E" w:rsidRDefault="00EB4C74" w:rsidP="00EB4C74">
      <w:pPr>
        <w:pStyle w:val="H1GR"/>
      </w:pPr>
      <w:r w:rsidRPr="009C494E">
        <w:tab/>
      </w:r>
      <w:r w:rsidRPr="009C494E">
        <w:tab/>
        <w:t>Статья 29: Участие в политической и общественной жизни</w:t>
      </w:r>
    </w:p>
    <w:p w:rsidR="00EB4C74" w:rsidRPr="009C494E" w:rsidRDefault="00EB4C74" w:rsidP="00EB4C74">
      <w:pPr>
        <w:pStyle w:val="SingleTxtGR"/>
      </w:pPr>
      <w:r w:rsidRPr="009C494E">
        <w:t>161.</w:t>
      </w:r>
      <w:r w:rsidRPr="009C494E">
        <w:tab/>
        <w:t>В соответствии с Конституцией Вануату и Законом о представительстве народа любое лицо, являющееся гражданином Вануату, имеет право участвовать в политической жизни, например путем практической реализации своего права на свободу голосования. В Законе о представительстве народа говорится, что неполноценное в умственном отношении лицо не способно пользоваться его/ее правом голоса, но правительство ведет последовательную работу, направленную на внесение изменений в этот Закон, с тем чтобы предусмотреть возможность для того, чтобы член семьи, который хорошо понимает умственно неполноценное лицо, мог голосовать от его/ее имени. При этом предполагается принять меры к обеспечению того, чтобы голос такого члена семьи подавался в соответствии с выбором умственно неполноценного лица.</w:t>
      </w:r>
    </w:p>
    <w:p w:rsidR="00EB4C74" w:rsidRPr="009C494E" w:rsidRDefault="00EB4C74" w:rsidP="00EB4C74">
      <w:pPr>
        <w:pStyle w:val="SingleTxtGR"/>
      </w:pPr>
      <w:r w:rsidRPr="009C494E">
        <w:t>162.</w:t>
      </w:r>
      <w:r w:rsidRPr="009C494E">
        <w:tab/>
        <w:t>Лицо с ограниченной мобильностью может осуществить свое право голоса посредством голосования через выбранного им представителя. Правительство, действуя по линии Министерства юстиции и общинных служб и Избира</w:t>
      </w:r>
      <w:r w:rsidRPr="009C494E">
        <w:lastRenderedPageBreak/>
        <w:t>тельной комиссии Вануату, прилагает последовательные усилия к тому, чтобы усовершенствовать избирательную систему за счет новых средств, которые могут быть использованы в ходе следующих выборов в 2016 году. Кроме того, данные о выборах в провинциальные органы власти, проведенных в 2011 году, свидетельствуют о том, что 27% избирателей составляли инвалиды.</w:t>
      </w:r>
    </w:p>
    <w:p w:rsidR="00EB4C74" w:rsidRPr="009C494E" w:rsidRDefault="00EB4C74" w:rsidP="00A425A1">
      <w:pPr>
        <w:pStyle w:val="SingleTxtGR"/>
      </w:pPr>
      <w:r w:rsidRPr="009C494E">
        <w:t>163.</w:t>
      </w:r>
      <w:r w:rsidRPr="009C494E">
        <w:tab/>
        <w:t>Можно привести очень хороший пример участия лиц с нарушениями зрения в политической жизни, в частности использования ими своего права на свободу голосования. Конкретно речь идет о человеке с нарушением зрения, который использовал свое право голоса через д</w:t>
      </w:r>
      <w:r w:rsidR="00A425A1">
        <w:t xml:space="preserve">ва года после того, как попал в </w:t>
      </w:r>
      <w:r w:rsidRPr="009C494E">
        <w:t>аварию, проголосовав на всеобщих выборах, а также на муниципальных выборах. В ходе выборов ему помогали в голосовании сотрудники избирательного участка и полиции. Следующие всеобщие выборы пройдут в 2016</w:t>
      </w:r>
      <w:r w:rsidR="00A425A1">
        <w:t xml:space="preserve"> </w:t>
      </w:r>
      <w:r w:rsidRPr="009C494E">
        <w:t>году, и в настоящее время обсуждается вопрос о совершенствовании участия инвалидов в политической жизни, в частности об улучшении доступа к кабинкам для голосования и избирательным материалам, а также о расширении возможностей для голосования людей с ограниченной мобильностью.</w:t>
      </w:r>
    </w:p>
    <w:p w:rsidR="00EB4C74" w:rsidRPr="009C494E" w:rsidRDefault="00EB4C74" w:rsidP="00EB4C74">
      <w:pPr>
        <w:pStyle w:val="SingleTxtGR"/>
      </w:pPr>
      <w:r w:rsidRPr="009C494E">
        <w:t>164.</w:t>
      </w:r>
      <w:r w:rsidRPr="009C494E">
        <w:tab/>
        <w:t>В настоящее время Ассоциация «Плюмерия» в провинции Санма проводит консультации с избирательными органами об использовании посредников в процессе голосования и об обязанности государственных органов обеспечивать в соответствии с КПИ полный учет проблем инвалидов при проведении выборов. Политические партии могут не быть связаны этими обязательствами, но от них все же следует добиваться их выполнения.</w:t>
      </w:r>
    </w:p>
    <w:p w:rsidR="00EB4C74" w:rsidRPr="009C494E" w:rsidRDefault="00EB4C74" w:rsidP="00EB4C74">
      <w:pPr>
        <w:pStyle w:val="SingleTxtGR"/>
      </w:pPr>
      <w:r w:rsidRPr="009C494E">
        <w:t>165.</w:t>
      </w:r>
      <w:r w:rsidRPr="009C494E">
        <w:tab/>
        <w:t xml:space="preserve">Правительство Вануату, действуя через провинциальные органы власти, приняло меры к обеспечению того, чтобы с помощью этих инициатив инвалиды могли в полной мере осуществлять свои права на участие в политической жизни. Органы власти провинции Шефа зарегистрировали пять инвалидов в списки избирателей. В ходе проведения выборов инвалиды содействовали ходу избирательного процесса, выполняя функции председателей в избирательных участках. Сотрудники избирательных участков помогали инвалидам голосовать и использовать право голосования через посредников. Правительство провинции Шефа побуждает мужчин, женщин и инвалидов баллотироваться на национальных выборах. В настоящее время правительство провинции Шефа проводит информационно-пропагандистскую работу по таким вопросам, как получение подготовки в целях укрепления потенциала, обучение публичным выступлениям, а также регистрация еще незарегистрированных инвалидов, для того чтобы они могли </w:t>
      </w:r>
      <w:r w:rsidR="00A425A1">
        <w:t xml:space="preserve">баллотироваться на выборах 2016 </w:t>
      </w:r>
      <w:r w:rsidRPr="009C494E">
        <w:t>года. В ходе последних муниципальных выборов в Порт-Виле одна из политических партий предоставила в своем списке место инвалидам, и один инвалид, передвигающийся с помощью инвалидной коляски, принял участие в выборах; несмотря на то, что он не смог добиться победы, его участие в выборах стало огромным фактором в деле повышения осознания существующих в этой области возможностей и своего рода открытием для других политических партий и общественности.</w:t>
      </w:r>
    </w:p>
    <w:p w:rsidR="00EB4C74" w:rsidRPr="009C494E" w:rsidRDefault="00EB4C74" w:rsidP="00EB4C74">
      <w:pPr>
        <w:pStyle w:val="SingleTxtGR"/>
      </w:pPr>
      <w:r w:rsidRPr="009C494E">
        <w:t>166.</w:t>
      </w:r>
      <w:r w:rsidRPr="009C494E">
        <w:tab/>
        <w:t>Правительство Вануату, действуя через органы власти провинции Тафеа, привлекали инвалидов к участию в политических кампаниях и назначали их председателями избирательных участков в день голосования.</w:t>
      </w:r>
    </w:p>
    <w:p w:rsidR="00EB4C74" w:rsidRPr="009C494E" w:rsidRDefault="00EB4C74" w:rsidP="00EB4C74">
      <w:pPr>
        <w:pStyle w:val="H1GR"/>
      </w:pPr>
      <w:r w:rsidRPr="009C494E">
        <w:tab/>
      </w:r>
      <w:r w:rsidRPr="009C494E">
        <w:tab/>
        <w:t>Статья 30: Участие в культурной жизни, проведении досуга и отдыха и занятии спортом</w:t>
      </w:r>
    </w:p>
    <w:p w:rsidR="00EB4C74" w:rsidRPr="009C494E" w:rsidRDefault="00EB4C74" w:rsidP="00EB4C74">
      <w:pPr>
        <w:pStyle w:val="SingleTxtGR"/>
      </w:pPr>
      <w:r w:rsidRPr="009C494E">
        <w:t>167.</w:t>
      </w:r>
      <w:r w:rsidRPr="009C494E">
        <w:tab/>
        <w:t>Правительство Вануату, действуя по линии Министерства по делам молодежи и спорта, включило тему проведения «инклюзивных спортивных мероприятий» в Национальную политику в области спорта на 2007–2011 годы. Паралимпийский комитет Вануату является организацией инвалидов, которая содействует привлечению инвалидов к участию в различных спортивных мероприятиях. Эти спортивные программы осуществляются главным образом в Порт-Виле и Санто – двух городских центрах, где имеются спортивные со</w:t>
      </w:r>
      <w:r w:rsidRPr="009C494E">
        <w:lastRenderedPageBreak/>
        <w:t>оружения. Инвалиды участвуют в тренировках на инвалидных колясках, занимаясь теннисом, стрельбой из лука и легкой атлетикой, особенно на беговых дорожках. На Паралимпийских играх 2012 года Вануату имела честь быть представленным молодым человеком с физической инвалидностью, который принял участие в соревнованиях в беге на 100 и 400 метров, дойдя до финала. Участие инвалидов в международных спортивных мероприятиях является для них историческим событием, и мы будем всячески содействовать этому.</w:t>
      </w:r>
    </w:p>
    <w:p w:rsidR="00EB4C74" w:rsidRPr="009C494E" w:rsidRDefault="00EB4C74" w:rsidP="00EB4C74">
      <w:pPr>
        <w:pStyle w:val="SingleTxtGR"/>
      </w:pPr>
      <w:r w:rsidRPr="009C494E">
        <w:t>168.</w:t>
      </w:r>
      <w:r w:rsidRPr="009C494E">
        <w:tab/>
        <w:t>Национальная политика по вопросам молодежи, спорта и профессиональной подготовки на 2012–2022 годы и Стратегический план действий на 2012–2015 годы нацелены на решение трех основных проблем, связанных с созданием возможностей в области образования и профессиональной подготовки, занятости и производительности труда. Молодежь, живущая с инвалидностью, является конкретной целевой группой этой политики. Паралимпийский комитет Вануату поощряет участие инвалидов в спортивных мероприятиях по их собственному выбору. Представитель этой организации представлял Вануату на Лондонских паралимпийских играх в соревнованиях по легкой атлетике, в результате чего на играх реял флаг Вануату. Федерация футбола Вануату при поддержке ФИФА осуществляет программу для детей под названием «Просто играй», которая использует спорт для поощрения гендерного равенства и единства детей, с тем чтобы содействовать сокращению и прекращению дискриминации в отношении детей-инвалидов по сравнению с детьми-неинвалидами. Члены Федерации провели более 10 совещаний с участием молодых людей из числа инвалидов, на которых были обсуждены пути содействия тому, чтобы в рамках программы «Просто играй» проводились мероприятия, подходящие для молодых людей с ограниченными возможностями.</w:t>
      </w:r>
    </w:p>
    <w:p w:rsidR="00EB4C74" w:rsidRPr="009C494E" w:rsidRDefault="00EB4C74" w:rsidP="00EB4C74">
      <w:pPr>
        <w:pStyle w:val="SingleTxtGR"/>
      </w:pPr>
      <w:r w:rsidRPr="009C494E">
        <w:t>169.</w:t>
      </w:r>
      <w:r w:rsidRPr="009C494E">
        <w:tab/>
        <w:t xml:space="preserve">Программа использования спорта в целях развития в поселке Набанга, которая курируется Департаментом по делам молодежи, спорта и профессиональной подготовки в рамках партнерства с </w:t>
      </w:r>
      <w:r w:rsidRPr="009C494E">
        <w:rPr>
          <w:i/>
        </w:rPr>
        <w:t>Австралийской программой пропаганды спорта</w:t>
      </w:r>
      <w:r w:rsidRPr="009C494E">
        <w:t xml:space="preserve"> – инициативой правительства Австралии, финансируемой Австралийским агентством по международному развитию и управляемой Австралийской комиссией по спорту, – включила организации инвалидов в число своих партнеров по осуществлению; эта программа имеет трех партнеров по осуществлению, включая Ассоциацию «Плюмерия» в провинции Санма (АПС), которая находится в Санто. АПС получает финансирование для использования спорта в качестве инструмента расширения возможностей инвалидов, с тем чтобы те могли принимать участие в физкультурных мероприятиях в инклюзивных условиях, и отстаивания прав инвалидов. Деятельность этой Ассоциации осуществляется главным образом на базе Центра АПС, в школе для учащихся с особыми потребностями в Бетесде и на базе областных центров в Натаве, Мало, Тутубе, Бене, Биг-Бее, Вунпуку, Вунаууси и Фанафо. Хотя эта деятельность нацелена на действующих членов АПС, другие отдельные члены общины также приглашаются принять участие в различных видах деятельности, в частности в занятиях по профессиональной подготовке и других мероприятиях. Правительство должно предоставить площадки для проведения спортивных мероприятий с участием инвалидов во всех провинциях.</w:t>
      </w:r>
    </w:p>
    <w:p w:rsidR="00EB4C74" w:rsidRPr="009C494E" w:rsidRDefault="00EB4C74" w:rsidP="00EB4C74">
      <w:pPr>
        <w:pStyle w:val="HChGR"/>
      </w:pPr>
      <w:r w:rsidRPr="009C494E">
        <w:tab/>
      </w:r>
      <w:r w:rsidRPr="009C494E">
        <w:tab/>
        <w:t>Часть D. Статьи 6</w:t>
      </w:r>
      <w:r>
        <w:t>–</w:t>
      </w:r>
      <w:r w:rsidRPr="009C494E">
        <w:t>7</w:t>
      </w:r>
    </w:p>
    <w:p w:rsidR="00EB4C74" w:rsidRPr="009C494E" w:rsidRDefault="00EB4C74" w:rsidP="00EB4C74">
      <w:pPr>
        <w:pStyle w:val="H1GR"/>
      </w:pPr>
      <w:r w:rsidRPr="009C494E">
        <w:tab/>
      </w:r>
      <w:r w:rsidRPr="009C494E">
        <w:tab/>
        <w:t>Статья 6: Женщины-инвалиды</w:t>
      </w:r>
    </w:p>
    <w:p w:rsidR="00EB4C74" w:rsidRPr="009C494E" w:rsidRDefault="00EB4C74" w:rsidP="00EB4C74">
      <w:pPr>
        <w:pStyle w:val="SingleTxtGR"/>
      </w:pPr>
      <w:r w:rsidRPr="009C494E">
        <w:t>170.</w:t>
      </w:r>
      <w:r w:rsidRPr="009C494E">
        <w:tab/>
        <w:t>В статье 5 (1) k) Конституции Вануату закреплено право на равное обращение в соответствии с законом или административными актами за исключением того, что ни один закон не считается несоответствующим этому подпункту, если в нем содержится положение, предусматривающее предоставление специальных льгот, социальное обеспечение, защиту или улучшение положения женщин, детей и молодых людей, представителей групп населения, находящихся в неблагоприятном положении, или жителей менее развитых районов.</w:t>
      </w:r>
    </w:p>
    <w:p w:rsidR="00EB4C74" w:rsidRPr="009C494E" w:rsidRDefault="00EB4C74" w:rsidP="00EB4C74">
      <w:pPr>
        <w:pStyle w:val="SingleTxtGR"/>
      </w:pPr>
      <w:r w:rsidRPr="009C494E">
        <w:lastRenderedPageBreak/>
        <w:t>171.</w:t>
      </w:r>
      <w:r w:rsidRPr="009C494E">
        <w:tab/>
        <w:t>В Национальной политике в отношении инвалидов и Плане действий на 2008–2015 годы признается, что женщины-инвалиды подвергаются двойной дискриминации, и ставится цель обеспечить, чтобы затрагивающие их положение вопросы включались в национальные программы и стратегии (политическая директива 8.3).</w:t>
      </w:r>
    </w:p>
    <w:p w:rsidR="00EB4C74" w:rsidRPr="009C494E" w:rsidRDefault="00EB4C74" w:rsidP="00EB4C74">
      <w:pPr>
        <w:pStyle w:val="SingleTxtGR"/>
      </w:pPr>
      <w:r w:rsidRPr="009C494E">
        <w:t>172.</w:t>
      </w:r>
      <w:r w:rsidRPr="009C494E">
        <w:tab/>
        <w:t>Правительство Вануату, действуя по линии Департамент</w:t>
      </w:r>
      <w:r>
        <w:t>а</w:t>
      </w:r>
      <w:r w:rsidRPr="009C494E">
        <w:t xml:space="preserve"> по делам женщин, разработало Национальный план действий Вануату в интересах женщин (НПДЖ) на 2007–2011 годы, в котором критически важная проблемная область</w:t>
      </w:r>
      <w:r>
        <w:t> </w:t>
      </w:r>
      <w:r w:rsidRPr="009C494E">
        <w:t>13 касается обеспечения соблюдения действующих законов о защите женщин-инвалидов и о предоставлении женщинам и девочкам из числа инвалидов всеобщего доступа к различным объектам. НПДЖ находится в настоящее время в стадии обзора. Этот План послужит основой для разработки гендерной политики по расширению прав и возможностей женщин. Несмотря на отсутствие в нем прямого упоминания женщин-инвалидов и девочек-инвалидов, их интересы защищены косвенным образом, учитывая, например, тот факт, что вопросы инвалидности будут включены в эту политику.</w:t>
      </w:r>
    </w:p>
    <w:p w:rsidR="00EB4C74" w:rsidRPr="009C494E" w:rsidRDefault="00EB4C74" w:rsidP="00EB4C74">
      <w:pPr>
        <w:pStyle w:val="SingleTxtGR"/>
      </w:pPr>
      <w:r w:rsidRPr="009C494E">
        <w:t>173.</w:t>
      </w:r>
      <w:r w:rsidRPr="009C494E">
        <w:tab/>
        <w:t>Действуя по линии Министерства образования, правительство утвердило всеохватную Политику в области образования и обеспечения гендерного равенства в сфере образования на 2005–2015 годы, которая предусматривает равенство возможностей в области образования для всех вне зависимости от пола. Цели, поставленные в рамках этой политики, включают создание эффективной системы осуществления и мониторинга гендерного равенства, сокращение показателей отсева/исключения девочек в возрасте 11, 12 и 13 лет из школы и обеспечение для всех учащихся безопасной учебной среды. Эта политика охватывает всех женщин и девочек, включая женщин и девочек из числа инвалидов. Эта политика также призвана обеспечить, чтобы девочки-инвалиды и женщины-инвалиды пользовались всеми правами человека и основными свободами наравне с мальчиками-инвалидами и мужчинами-инвалидами.</w:t>
      </w:r>
    </w:p>
    <w:p w:rsidR="00EB4C74" w:rsidRPr="009C494E" w:rsidRDefault="00EB4C74" w:rsidP="00EB4C74">
      <w:pPr>
        <w:pStyle w:val="SingleTxtGR"/>
      </w:pPr>
      <w:r w:rsidRPr="009C494E">
        <w:t>174.</w:t>
      </w:r>
      <w:r w:rsidRPr="009C494E">
        <w:tab/>
        <w:t>Правительство Вануату поддерживает инициативы организаций инвалидов. В 2007 году Ассоциация по вопросам поддержки и защиты интересов инвалидов (АПЗИ) создала программу накопления сбережений под названием «Мы можем накопить деньги», которая направлена главным образом на женщин-инвалидов. Членами АПЗИ являются 35 женщин-инвалидов. Ассоциация «Плюмерия» в провинции Санма поддерживает женщин и девочек из числа инвалидов посредством реализации в сотрудничестве с Австралийской программой помощи программ расширения профессиональных навыков.</w:t>
      </w:r>
    </w:p>
    <w:p w:rsidR="00EB4C74" w:rsidRPr="009C494E" w:rsidRDefault="00EB4C74" w:rsidP="00EB4C74">
      <w:pPr>
        <w:pStyle w:val="SingleTxtGR"/>
      </w:pPr>
      <w:r w:rsidRPr="009C494E">
        <w:t>175.</w:t>
      </w:r>
      <w:r w:rsidRPr="009C494E">
        <w:tab/>
        <w:t>Действуя по линии Министерства образования, правительство утвердило всеохватную Политику в области образования и обеспечения гендерного равенства в сфере образования на 2005–2015 годы, которая предусматривает равенство возможностей в области образования для всех вне зависимости от пола. Цели, поставленные в рамках этой политики, включают создание эффективной системы осуществления и мониторинга гендерного равенства, сокращение показателей отсева/исключения девочек в возрасте 11, 12 и 13 лет из школы и обеспечение для всех учащихся безопасной учебной среды. Эта политика охватывает всех женщин и девочек, включая женщин и девочек из числа инвалидов. Эта политика также призвана обеспечить, чтобы девочки-инвалиды и женщины-инвалиды пользовались всеми правами человека и основными свободами наравне с мальчиками-инвалидами и мужчинами-инвалидами. В настоящее время в Вануату нет...</w:t>
      </w:r>
    </w:p>
    <w:p w:rsidR="00EB4C74" w:rsidRPr="009C494E" w:rsidRDefault="00EB4C74" w:rsidP="00EB4C74">
      <w:pPr>
        <w:pStyle w:val="H1GR"/>
      </w:pPr>
      <w:r w:rsidRPr="009C494E">
        <w:tab/>
      </w:r>
      <w:r w:rsidRPr="009C494E">
        <w:tab/>
        <w:t>Статья 7: Дети-инвалиды</w:t>
      </w:r>
    </w:p>
    <w:p w:rsidR="00EB4C74" w:rsidRPr="009C494E" w:rsidRDefault="00EB4C74" w:rsidP="00EB4C74">
      <w:pPr>
        <w:pStyle w:val="SingleTxtGR"/>
      </w:pPr>
      <w:r w:rsidRPr="009C494E">
        <w:t>176.</w:t>
      </w:r>
      <w:r w:rsidRPr="009C494E">
        <w:tab/>
        <w:t xml:space="preserve">Правительство Вануату ратифицировало Конвенцию о правах ребенка в 1992 году на основании Закона о ратификации КПР № 26 1993 года. </w:t>
      </w:r>
      <w:r w:rsidRPr="009C494E">
        <w:br/>
        <w:t xml:space="preserve">В пункте 1 статьи 2 КПР четко предусматривается недопущение дискриминации по ряду признаков, включая инвалидность. В статье 23 КПР содержится </w:t>
      </w:r>
      <w:r w:rsidRPr="009C494E">
        <w:lastRenderedPageBreak/>
        <w:t>призыв к государствам-участникам признать,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признать право на особую заботу; признать особые нужды неполноценного ребенка в том, что касается обеспечения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и способствовать обмену информацией в области профилактического здравоохранения и медицинского, психологического и функционального лечения неполноценных детей. В настоящее время правительство еще не имеет надлежащих статистических данных о процентной доле детей-инвалидов и планирует провести в будущем соответствующие обследования.</w:t>
      </w:r>
    </w:p>
    <w:p w:rsidR="00EB4C74" w:rsidRPr="009C494E" w:rsidRDefault="00EB4C74" w:rsidP="00EB4C74">
      <w:pPr>
        <w:pStyle w:val="SingleTxtGR"/>
      </w:pPr>
      <w:r w:rsidRPr="009C494E">
        <w:t>177.</w:t>
      </w:r>
      <w:r w:rsidRPr="009C494E">
        <w:tab/>
        <w:t>В апреле 2000 года правительство Вануату учредило Национальный комитет по делам детей. Национальный комитет по делам детей, утвержденный Советом министров, действует в качестве национального координационного органа по вопросам осуществления КПР в Вануату.</w:t>
      </w:r>
    </w:p>
    <w:p w:rsidR="00EB4C74" w:rsidRPr="009C494E" w:rsidRDefault="00EB4C74" w:rsidP="00EB4C74">
      <w:pPr>
        <w:pStyle w:val="SingleTxtGR"/>
      </w:pPr>
      <w:r w:rsidRPr="009C494E">
        <w:t>178.</w:t>
      </w:r>
      <w:r w:rsidRPr="009C494E">
        <w:tab/>
        <w:t xml:space="preserve">Часть 1 (8) (1) Закона об образовании № 21 2001 года запрещает дискриминацию, предусматривая, что «… </w:t>
      </w:r>
      <w:r w:rsidRPr="009C494E">
        <w:rPr>
          <w:i/>
        </w:rPr>
        <w:t>ребенку не может быть отказано в приеме ни в какую школу по признаку его или ее пола, религии, гражданства, расы, языка или инвалидности</w:t>
      </w:r>
      <w:r w:rsidRPr="009C494E">
        <w:t>».</w:t>
      </w:r>
    </w:p>
    <w:p w:rsidR="00EB4C74" w:rsidRPr="009C494E" w:rsidRDefault="00EB4C74" w:rsidP="00EB4C74">
      <w:pPr>
        <w:pStyle w:val="SingleTxtGR"/>
      </w:pPr>
      <w:r w:rsidRPr="009C494E">
        <w:t>179.</w:t>
      </w:r>
      <w:r w:rsidRPr="009C494E">
        <w:tab/>
        <w:t xml:space="preserve">Национальная политика Вануату в интересах детей (НПД) </w:t>
      </w:r>
      <w:r w:rsidRPr="009C494E">
        <w:br/>
        <w:t xml:space="preserve">на 2007–2011 годы предусматривает содействие детям-инвалидам, раннее </w:t>
      </w:r>
      <w:r w:rsidRPr="009C494E">
        <w:br/>
        <w:t xml:space="preserve">выявление инвалидности и оказание помощи детям-инвалидам. НПД </w:t>
      </w:r>
      <w:r w:rsidRPr="009C494E">
        <w:br/>
        <w:t>направлена на обеспечение того, чтобы соблюдение наилучших интересов детей всегда находилось в центре внимания всех государственных учреждений.</w:t>
      </w:r>
    </w:p>
    <w:p w:rsidR="00EB4C74" w:rsidRPr="009C494E" w:rsidRDefault="00EB4C74" w:rsidP="00EB4C74">
      <w:pPr>
        <w:pStyle w:val="SingleTxtGR"/>
      </w:pPr>
      <w:r w:rsidRPr="009C494E">
        <w:t>180.</w:t>
      </w:r>
      <w:r w:rsidRPr="009C494E">
        <w:tab/>
        <w:t>Политическая директива 8.4 Национальной политики Вануату в отношении инвалидов на 2008–2015 годы нацелена на обеспечение того, чтобы детям-инвалидам предоставлялись максимальные возможности для получения образования, с тем чтобы создать для инвалидов равные возможности для получения профессионально-технической подготовки и трудоустройства.</w:t>
      </w:r>
    </w:p>
    <w:p w:rsidR="00EB4C74" w:rsidRPr="009C494E" w:rsidRDefault="00EB4C74" w:rsidP="00EB4C74">
      <w:pPr>
        <w:pStyle w:val="SingleTxtGR"/>
      </w:pPr>
      <w:r w:rsidRPr="009C494E">
        <w:t>181.</w:t>
      </w:r>
      <w:r w:rsidRPr="009C494E">
        <w:tab/>
        <w:t>Правительство Вануату провозгласило 24 июля Национальным днем детей, который был впервые отмечен 24 июля 1990 года. Этот день по-прежнему является национальным днем для всех детей Вануату и государственным праздником. В рамках празднования этого Дня проводятся специальные мероприятия, информационно-пропагандистские кампании по вопросам прав человека и предназначенные для детей празднества, которые охватывают и детей-инвалидов.</w:t>
      </w:r>
    </w:p>
    <w:p w:rsidR="00EB4C74" w:rsidRPr="009C494E" w:rsidRDefault="00EB4C74" w:rsidP="00EB4C74">
      <w:pPr>
        <w:pStyle w:val="SingleTxtGR"/>
      </w:pPr>
      <w:r w:rsidRPr="009C494E">
        <w:t>182.</w:t>
      </w:r>
      <w:r w:rsidRPr="009C494E">
        <w:tab/>
        <w:t>В 2009 году правительство Вануату поддержало реализацию программы ранней диагностики инвалидности и медицинского вмешательства в интересах детей-инвалидов, которая была инициирована Обществом инвалидов Вануату (ОИВ) в Порт-Виле.</w:t>
      </w:r>
    </w:p>
    <w:p w:rsidR="00EB4C74" w:rsidRPr="009C494E" w:rsidRDefault="00EB4C74" w:rsidP="00EB4C74">
      <w:pPr>
        <w:pStyle w:val="SingleTxtGR"/>
      </w:pPr>
      <w:r w:rsidRPr="009C494E">
        <w:t>183.</w:t>
      </w:r>
      <w:r w:rsidRPr="009C494E">
        <w:tab/>
        <w:t>Правительство Вануату также поддерживает инициативы организаций инвалидов. Ассоциация «Плюмерия» в провинции Санма (АПС), являющаяся одной из организаций инвалидов, осуществляет программы для детей-инвалидов. Эти программы включают посещение детей-инвалидов на дому, проведение учебной подготовки по вопросам расширения возможностей, обучение жестовому языку, проведение спортивных мероприятий, компьютерное обучение и программы обучения шитью для девочек-инвалидов.</w:t>
      </w:r>
    </w:p>
    <w:p w:rsidR="00EB4C74" w:rsidRPr="009C494E" w:rsidRDefault="00EB4C74" w:rsidP="00EB4C74">
      <w:pPr>
        <w:pStyle w:val="SingleTxtGR"/>
      </w:pPr>
      <w:r w:rsidRPr="009C494E">
        <w:t>184.</w:t>
      </w:r>
      <w:r w:rsidRPr="009C494E">
        <w:tab/>
        <w:t>Правительство Вануату, действуя через органы власти провинции Малампа, осуществляет информационно-просветительские программы по правам инвалидов для лиц, осуществляющих уход за инвалидами. Провинциальные отделы образования работают над улучшением физических объектов, приспосабливая их для детей с особыми потребностями посредством строительства пандусов, оборудования туалетов, с тем чтобы они были доступны лицам, передви</w:t>
      </w:r>
      <w:r w:rsidRPr="009C494E">
        <w:lastRenderedPageBreak/>
        <w:t>гающимся на инвалидных колясках, и разъясняя родителям важность получения детьми-инвалидами образования.</w:t>
      </w:r>
    </w:p>
    <w:p w:rsidR="00EB4C74" w:rsidRPr="009C494E" w:rsidRDefault="00EB4C74" w:rsidP="00EB4C74">
      <w:pPr>
        <w:pStyle w:val="HChGR"/>
      </w:pPr>
      <w:r w:rsidRPr="009C494E">
        <w:tab/>
      </w:r>
      <w:r w:rsidRPr="009C494E">
        <w:tab/>
        <w:t>Часть E. Статьи 31–33</w:t>
      </w:r>
    </w:p>
    <w:p w:rsidR="00EB4C74" w:rsidRPr="009C494E" w:rsidRDefault="00EB4C74" w:rsidP="00EB4C74">
      <w:pPr>
        <w:pStyle w:val="H1GR"/>
      </w:pPr>
      <w:r w:rsidRPr="009C494E">
        <w:tab/>
      </w:r>
      <w:r w:rsidRPr="009C494E">
        <w:tab/>
        <w:t>Статья 31: Статистика и сбор данных</w:t>
      </w:r>
    </w:p>
    <w:p w:rsidR="00EB4C74" w:rsidRPr="009C494E" w:rsidRDefault="00EB4C74" w:rsidP="00EB4C74">
      <w:pPr>
        <w:pStyle w:val="SingleTxtGR"/>
      </w:pPr>
      <w:r w:rsidRPr="009C494E">
        <w:t>185.</w:t>
      </w:r>
      <w:r w:rsidRPr="009C494E">
        <w:tab/>
        <w:t>Результаты проведенной в 2009 году Национальной переписи населения и жилого фонда показали, что около 12% населения сообщили о наличии у них инвалидности. Вопросы об инвалидности, заданные в рамках этой переписи, основывались на разработанных Вашингтонской группой вопросах, которые признаны на международном уровне оптимальными для статистического измерения показателей инвалидности в ходе переписей и обследований населения. Вместе с тем эти вопросы отличались от перечня вопросов, подготовленного Вашингтонской группой, в том, что в ходе переписи использовались три категории ответов, а не четыре. Заданные вопросы позволили определить функциональные проблемы (со зрением, слухом, ходьбой и/или запоминанием или концентрацией внимания) и выявить распространенность инвалидности по следующим видам:</w:t>
      </w:r>
    </w:p>
    <w:p w:rsidR="00EB4C74" w:rsidRPr="009C494E" w:rsidRDefault="00EB4C74" w:rsidP="00EB4C74">
      <w:pPr>
        <w:pStyle w:val="Bullet1GR"/>
      </w:pPr>
      <w:r w:rsidRPr="009C494E">
        <w:t>нарушение зрения (7,5%);</w:t>
      </w:r>
    </w:p>
    <w:p w:rsidR="00EB4C74" w:rsidRPr="009C494E" w:rsidRDefault="00EB4C74" w:rsidP="00EB4C74">
      <w:pPr>
        <w:pStyle w:val="Bullet1GR"/>
      </w:pPr>
      <w:r w:rsidRPr="009C494E">
        <w:t>проблемы с ходьбой (5,4%);</w:t>
      </w:r>
    </w:p>
    <w:p w:rsidR="00EB4C74" w:rsidRPr="009C494E" w:rsidRDefault="00EB4C74" w:rsidP="00EB4C74">
      <w:pPr>
        <w:pStyle w:val="Bullet1GR"/>
      </w:pPr>
      <w:r w:rsidRPr="009C494E">
        <w:t xml:space="preserve">проблемы с запоминанием или концентрацией внимания (4%); и </w:t>
      </w:r>
    </w:p>
    <w:p w:rsidR="00EB4C74" w:rsidRPr="009C494E" w:rsidRDefault="00EB4C74" w:rsidP="00EB4C74">
      <w:pPr>
        <w:pStyle w:val="Bullet1GR"/>
      </w:pPr>
      <w:r w:rsidRPr="009C494E">
        <w:t>нарушение слуха (3,3%).</w:t>
      </w:r>
    </w:p>
    <w:p w:rsidR="00EB4C74" w:rsidRPr="009C494E" w:rsidRDefault="00EB4C74" w:rsidP="00EB4C74">
      <w:pPr>
        <w:pStyle w:val="SingleTxtGR"/>
      </w:pPr>
      <w:r w:rsidRPr="009C494E">
        <w:t>186.</w:t>
      </w:r>
      <w:r w:rsidRPr="009C494E">
        <w:tab/>
        <w:t>Результаты переписи показали, что менее одного процента населения имеет тяжелую форму инвалидности. Вполне возможно, что использование четырех категорий ответов вместо трех привело бы к более высокому показателю распространенности тяжелых форм инвалидности.</w:t>
      </w:r>
    </w:p>
    <w:p w:rsidR="00EB4C74" w:rsidRPr="009C494E" w:rsidRDefault="00EB4C74" w:rsidP="00EB4C74">
      <w:pPr>
        <w:pStyle w:val="SingleTxtGR"/>
      </w:pPr>
      <w:r w:rsidRPr="009C494E">
        <w:t>187.</w:t>
      </w:r>
      <w:r w:rsidRPr="009C494E">
        <w:tab/>
        <w:t>Результаты переписи показали, что показатель распространенности инвалидности увеличивается с возрастом: в то время как среди детей в возрасте до пяти лет инвалиды составляли 6%, в группе лиц в возрасте 60 лет и старше показатель распространенности инвалидности составил более 50%. Показатель инвалидности был несколько выше среди женщин, по сравнению с мужчинами. Данные, полученные в результате этой переписи, не были дезагрегированы далее по состоянию здоровья, уровню образования, средствам к существованию или иному положению инвалидов.</w:t>
      </w:r>
    </w:p>
    <w:p w:rsidR="00EB4C74" w:rsidRPr="009C494E" w:rsidRDefault="00EB4C74" w:rsidP="00EB4C74">
      <w:pPr>
        <w:pStyle w:val="SingleTxtGR"/>
      </w:pPr>
      <w:r w:rsidRPr="009C494E">
        <w:t>188.</w:t>
      </w:r>
      <w:r w:rsidRPr="009C494E">
        <w:tab/>
        <w:t>За исключением некоторых анекдотических результатов было выявлено мало свидетельств наличия каких-либо препятствий, с которыми сталкиваются инвалиды в Вануату. Имеющаяся информация свидетельствует о том, что негативное отношение к возможностям инвалидов существует, равно как и сохраняется стигма в отношении инвалидности. Кроме того, многие семьи инвалидов чрезвычайно скрытны. Такие устоявшиеся взгляды могут являться основным барьером, препятствующим получению медицинских услуг, образования и работы. К числу других препятствий, выявленных в ходе проведенного в 2013 году исследования, относятся уровень знаний, возможность пользоваться транспортом, отношение со стороны лидеров общин, физическая среда, плата за обучение в учебных заведениях и доступ к медицинским и реабилитационным услугам.</w:t>
      </w:r>
    </w:p>
    <w:p w:rsidR="00EB4C74" w:rsidRPr="009C494E" w:rsidRDefault="001C7460" w:rsidP="001C7460">
      <w:pPr>
        <w:pStyle w:val="SingleTxtGR"/>
      </w:pPr>
      <w:r>
        <w:t>189.</w:t>
      </w:r>
      <w:r>
        <w:tab/>
        <w:t xml:space="preserve">В 2014 </w:t>
      </w:r>
      <w:r w:rsidR="00EB4C74" w:rsidRPr="009C494E">
        <w:t xml:space="preserve">году правительство Вануату провело с помощью Национального статистического управления демографическое обследование по вопросу охраны здоровья, которое позволило получить информацию об инвалидах. В проведении этого обследования участвовал молодой человек из числа инвалидов, который помогал при проведении собеседований, действуя в качестве регистратора. Кроме того, в целях получения более конкретной информации о проблеме инвалидности Министерство юстиции и общинных служб в сотрудничестве </w:t>
      </w:r>
      <w:r>
        <w:t xml:space="preserve">с </w:t>
      </w:r>
      <w:r w:rsidR="00EB4C74" w:rsidRPr="009C494E">
        <w:lastRenderedPageBreak/>
        <w:t>Национальным статистическим управлением провело экспериментальное обследование по вопросу инвалидности в четыр</w:t>
      </w:r>
      <w:r>
        <w:t xml:space="preserve">ех населенных пунктах в двух из </w:t>
      </w:r>
      <w:r w:rsidR="00EB4C74" w:rsidRPr="009C494E">
        <w:t>шести провинций Вануату. На вопросники ответили члены 431</w:t>
      </w:r>
      <w:r>
        <w:t xml:space="preserve"> </w:t>
      </w:r>
      <w:r w:rsidR="00EB4C74" w:rsidRPr="009C494E">
        <w:t>домохозяйства, которые были расположены в четырех обследованных населенных пунктах. Учитывая, что средний размер участвовавших домохозяйств составлял шесть человек на каждое домохозяйство, в обследовании в общей сложности приняли участие 2 583 человека. В каждом из обследованных мест самыми большими в целом группами респондентов были группы в возрасте 0–14 лет и 15–29 лет.</w:t>
      </w:r>
    </w:p>
    <w:p w:rsidR="00EB4C74" w:rsidRPr="009C494E" w:rsidRDefault="00EB4C74" w:rsidP="00EB4C74">
      <w:pPr>
        <w:pStyle w:val="SingleTxtGR"/>
      </w:pPr>
      <w:r w:rsidRPr="009C494E">
        <w:t>190.</w:t>
      </w:r>
      <w:r w:rsidRPr="009C494E">
        <w:tab/>
        <w:t>Результаты этого обследования показали, что 92 из 2 583 опрошенных респондентов имели ту или иную форму инвалидности. Это число составляет 3,6% опрошенного населения. Данный показатель значительно меньше показателя, полученного по результатам переписи населения 2009 года, в ходе которой около 12% населения сообщили о наличии у них инвалидности. Это может быть обусловлено тем, что инвалиды сначала выявлялись по результатам опроса глав домашних хозяйств, которых спрашивали, проживают ли инвалиды в данном домашнем хозяйстве, вместо того, чтобы опросить в месте выборки каждого человека, а также тем, что численность обследованного населения была значительно меньшей по сравнению с населением, охваченным в ходе переписи 2009 года, когда было обследовано все население Вануату.</w:t>
      </w:r>
    </w:p>
    <w:p w:rsidR="00EB4C74" w:rsidRPr="009C494E" w:rsidRDefault="00EB4C74" w:rsidP="00EB4C74">
      <w:pPr>
        <w:pStyle w:val="SingleTxtGR"/>
      </w:pPr>
      <w:r w:rsidRPr="009C494E">
        <w:t>191.</w:t>
      </w:r>
      <w:r w:rsidRPr="009C494E">
        <w:tab/>
        <w:t>Правительство Вануату осознает важность сбора статистических данных и информации и проведения исследований и понимает, какую большую роль эти данные играют в разработке стратегий, политики и программ, которые позволят улучшить положение и защиту прав инвалидов. В настоящее время, действуя по линии отдела по делам инвалидов и Национального статистического управления (НСУ), Вануату изучает ранее использовавшееся для сбора данных определение инвалидности, с тем чтобы привести его в соответствие с определением инвалидности, содержащимся в статье 1 Конвенции и включенным в Политику в отношении инвалидов (2008–2015 годы), которое предусматривает, что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Правительство Вануату, действуя по линии Министерства образования, собрало фактические данные об инвалидах, обучающихся в учебных заведениях, и эта информация была включена в Информационную систему управления образованием Вануату. Для распространения этих статистических данных правительство Вануату использует существующую сеть правительственных учреждений, НПО и организаций инвалидов.</w:t>
      </w:r>
    </w:p>
    <w:p w:rsidR="00EB4C74" w:rsidRPr="009C494E" w:rsidRDefault="00EB4C74" w:rsidP="00EB4C74">
      <w:pPr>
        <w:pStyle w:val="SingleTxtGR"/>
      </w:pPr>
      <w:r w:rsidRPr="009C494E">
        <w:t>192.</w:t>
      </w:r>
      <w:r w:rsidRPr="009C494E">
        <w:tab/>
        <w:t>Правительство Вануату, действуя через отдел по делам инвалидов Вануату и комитет по КПИ в провинции Тафеа, провело оценку численности инвалидов в целях выявления инвалидов, проживающих в районах, которые находятся в ведении десяти областных советов, входящих в структуру органов власти провинции. Данные о числе инвалидов, находящихся в ведении пяти областных советов, приводятся в нижеследующей таблице, и сейчас уже завершены планы проведения оценки численности инвалидов, находящихся в ведении остальных пяти областных советов.</w:t>
      </w:r>
    </w:p>
    <w:p w:rsidR="00EB4C74" w:rsidRPr="009C494E" w:rsidRDefault="00EB4C74" w:rsidP="00EB4C74">
      <w:pPr>
        <w:pStyle w:val="H23GR"/>
      </w:pPr>
      <w:r w:rsidRPr="009C494E">
        <w:tab/>
      </w:r>
      <w:r w:rsidRPr="009C494E">
        <w:tab/>
        <w:t>Таблица 6: Оценка численности инвалидов, находящихся в ведении пяти областных советов, которая была проведена отделом по делам инвалидов</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39"/>
        <w:gridCol w:w="3931"/>
      </w:tblGrid>
      <w:tr w:rsidR="00EB4C74" w:rsidRPr="009C494E" w:rsidTr="006116C9">
        <w:trPr>
          <w:trHeight w:val="240"/>
          <w:tblHeader/>
        </w:trPr>
        <w:tc>
          <w:tcPr>
            <w:tcW w:w="3780"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rPr>
                <w:i/>
                <w:sz w:val="16"/>
                <w:szCs w:val="16"/>
              </w:rPr>
            </w:pPr>
            <w:r w:rsidRPr="009C494E">
              <w:rPr>
                <w:i/>
                <w:sz w:val="16"/>
                <w:szCs w:val="16"/>
              </w:rPr>
              <w:t xml:space="preserve">Название областного совета </w:t>
            </w:r>
          </w:p>
        </w:tc>
        <w:tc>
          <w:tcPr>
            <w:tcW w:w="4320"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Число инвалидов</w:t>
            </w:r>
          </w:p>
        </w:tc>
      </w:tr>
      <w:tr w:rsidR="00EB4C74" w:rsidRPr="009C494E" w:rsidTr="006116C9">
        <w:trPr>
          <w:trHeight w:val="240"/>
        </w:trPr>
        <w:tc>
          <w:tcPr>
            <w:tcW w:w="3780" w:type="dxa"/>
            <w:tcBorders>
              <w:top w:val="single" w:sz="12" w:space="0" w:color="auto"/>
              <w:bottom w:val="nil"/>
            </w:tcBorders>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Областной совет южной части </w:t>
            </w:r>
            <w:r w:rsidRPr="009C494E">
              <w:rPr>
                <w:sz w:val="18"/>
                <w:szCs w:val="18"/>
              </w:rPr>
              <w:br/>
              <w:t>острова Танна</w:t>
            </w:r>
          </w:p>
        </w:tc>
        <w:tc>
          <w:tcPr>
            <w:tcW w:w="4320" w:type="dxa"/>
            <w:tcBorders>
              <w:top w:val="single" w:sz="12" w:space="0" w:color="auto"/>
              <w:bottom w:val="nil"/>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44</w:t>
            </w:r>
          </w:p>
        </w:tc>
      </w:tr>
      <w:tr w:rsidR="00EB4C74" w:rsidRPr="009C494E" w:rsidTr="006116C9">
        <w:trPr>
          <w:trHeight w:val="240"/>
        </w:trPr>
        <w:tc>
          <w:tcPr>
            <w:tcW w:w="3780" w:type="dxa"/>
            <w:tcBorders>
              <w:top w:val="nil"/>
              <w:bottom w:val="nil"/>
            </w:tcBorders>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Областной совет восточной части </w:t>
            </w:r>
            <w:r w:rsidRPr="009C494E">
              <w:rPr>
                <w:sz w:val="18"/>
                <w:szCs w:val="18"/>
              </w:rPr>
              <w:br/>
              <w:t xml:space="preserve">острова Танна </w:t>
            </w:r>
          </w:p>
        </w:tc>
        <w:tc>
          <w:tcPr>
            <w:tcW w:w="4320" w:type="dxa"/>
            <w:tcBorders>
              <w:top w:val="nil"/>
              <w:bottom w:val="nil"/>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60</w:t>
            </w:r>
          </w:p>
        </w:tc>
      </w:tr>
      <w:tr w:rsidR="00EB4C74" w:rsidRPr="009C494E" w:rsidTr="006116C9">
        <w:trPr>
          <w:trHeight w:val="240"/>
        </w:trPr>
        <w:tc>
          <w:tcPr>
            <w:tcW w:w="3780" w:type="dxa"/>
            <w:tcBorders>
              <w:top w:val="nil"/>
            </w:tcBorders>
            <w:shd w:val="clear" w:color="auto" w:fill="auto"/>
          </w:tcPr>
          <w:p w:rsidR="00EB4C74" w:rsidRPr="009C494E" w:rsidRDefault="00EB4C74" w:rsidP="006116C9">
            <w:pPr>
              <w:keepNext/>
              <w:spacing w:before="40" w:after="40" w:line="220" w:lineRule="exact"/>
              <w:rPr>
                <w:sz w:val="18"/>
                <w:szCs w:val="18"/>
              </w:rPr>
            </w:pPr>
            <w:r w:rsidRPr="009C494E">
              <w:rPr>
                <w:sz w:val="18"/>
                <w:szCs w:val="18"/>
              </w:rPr>
              <w:lastRenderedPageBreak/>
              <w:t xml:space="preserve">Областной совет юго-западной </w:t>
            </w:r>
            <w:r w:rsidRPr="009C494E">
              <w:rPr>
                <w:sz w:val="18"/>
                <w:szCs w:val="18"/>
              </w:rPr>
              <w:br/>
              <w:t xml:space="preserve">части острова Танна </w:t>
            </w:r>
          </w:p>
        </w:tc>
        <w:tc>
          <w:tcPr>
            <w:tcW w:w="4320" w:type="dxa"/>
            <w:tcBorders>
              <w:top w:val="nil"/>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24</w:t>
            </w:r>
          </w:p>
        </w:tc>
      </w:tr>
      <w:tr w:rsidR="00EB4C74" w:rsidRPr="009C494E" w:rsidTr="006116C9">
        <w:trPr>
          <w:trHeight w:val="240"/>
        </w:trPr>
        <w:tc>
          <w:tcPr>
            <w:tcW w:w="3780" w:type="dxa"/>
            <w:shd w:val="clear" w:color="auto" w:fill="auto"/>
          </w:tcPr>
          <w:p w:rsidR="00EB4C74" w:rsidRPr="009C494E" w:rsidRDefault="00EB4C74" w:rsidP="006116C9">
            <w:pPr>
              <w:spacing w:before="40" w:after="40" w:line="220" w:lineRule="exact"/>
              <w:rPr>
                <w:sz w:val="18"/>
                <w:szCs w:val="18"/>
              </w:rPr>
            </w:pPr>
            <w:r w:rsidRPr="009C494E">
              <w:rPr>
                <w:sz w:val="18"/>
                <w:szCs w:val="18"/>
              </w:rPr>
              <w:t>Западная часть острова Танна</w:t>
            </w:r>
          </w:p>
        </w:tc>
        <w:tc>
          <w:tcPr>
            <w:tcW w:w="432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74</w:t>
            </w:r>
          </w:p>
        </w:tc>
      </w:tr>
      <w:tr w:rsidR="00EB4C74" w:rsidRPr="009C494E" w:rsidTr="006116C9">
        <w:trPr>
          <w:trHeight w:val="240"/>
        </w:trPr>
        <w:tc>
          <w:tcPr>
            <w:tcW w:w="3780" w:type="dxa"/>
            <w:shd w:val="clear" w:color="auto" w:fill="auto"/>
          </w:tcPr>
          <w:p w:rsidR="00EB4C74" w:rsidRPr="009C494E" w:rsidRDefault="00EB4C74" w:rsidP="006116C9">
            <w:pPr>
              <w:spacing w:before="40" w:after="40" w:line="220" w:lineRule="exact"/>
              <w:rPr>
                <w:sz w:val="18"/>
                <w:szCs w:val="18"/>
              </w:rPr>
            </w:pPr>
            <w:r w:rsidRPr="009C494E">
              <w:rPr>
                <w:sz w:val="18"/>
                <w:szCs w:val="18"/>
              </w:rPr>
              <w:t>Областной совет острова Футуна</w:t>
            </w:r>
          </w:p>
        </w:tc>
        <w:tc>
          <w:tcPr>
            <w:tcW w:w="432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13</w:t>
            </w:r>
          </w:p>
        </w:tc>
      </w:tr>
      <w:tr w:rsidR="00EB4C74" w:rsidRPr="009C494E" w:rsidTr="006116C9">
        <w:trPr>
          <w:trHeight w:val="240"/>
        </w:trPr>
        <w:tc>
          <w:tcPr>
            <w:tcW w:w="3780"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Областной совет северной части </w:t>
            </w:r>
            <w:r w:rsidRPr="009C494E">
              <w:rPr>
                <w:sz w:val="18"/>
                <w:szCs w:val="18"/>
              </w:rPr>
              <w:br/>
              <w:t>острова Эрроманго</w:t>
            </w:r>
          </w:p>
        </w:tc>
        <w:tc>
          <w:tcPr>
            <w:tcW w:w="4320"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9</w:t>
            </w:r>
          </w:p>
        </w:tc>
      </w:tr>
      <w:tr w:rsidR="00EB4C74" w:rsidRPr="009C494E" w:rsidTr="006116C9">
        <w:trPr>
          <w:trHeight w:val="240"/>
        </w:trPr>
        <w:tc>
          <w:tcPr>
            <w:tcW w:w="3780" w:type="dxa"/>
            <w:tcBorders>
              <w:bottom w:val="single" w:sz="4"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Остров Анейтьюм</w:t>
            </w:r>
          </w:p>
        </w:tc>
        <w:tc>
          <w:tcPr>
            <w:tcW w:w="4320" w:type="dxa"/>
            <w:tcBorders>
              <w:bottom w:val="single" w:sz="4"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5</w:t>
            </w:r>
          </w:p>
        </w:tc>
      </w:tr>
      <w:tr w:rsidR="00EB4C74" w:rsidRPr="009C494E" w:rsidTr="006116C9">
        <w:trPr>
          <w:trHeight w:val="240"/>
        </w:trPr>
        <w:tc>
          <w:tcPr>
            <w:tcW w:w="3780" w:type="dxa"/>
            <w:tcBorders>
              <w:top w:val="single" w:sz="4" w:space="0" w:color="auto"/>
              <w:bottom w:val="single" w:sz="12" w:space="0" w:color="auto"/>
            </w:tcBorders>
            <w:shd w:val="clear" w:color="auto" w:fill="auto"/>
          </w:tcPr>
          <w:p w:rsidR="00EB4C74" w:rsidRPr="009C494E" w:rsidRDefault="00EB4C74" w:rsidP="006116C9">
            <w:pPr>
              <w:spacing w:before="80" w:after="80" w:line="220" w:lineRule="exact"/>
              <w:ind w:firstLine="284"/>
              <w:rPr>
                <w:b/>
                <w:sz w:val="18"/>
                <w:szCs w:val="18"/>
              </w:rPr>
            </w:pPr>
            <w:r w:rsidRPr="009C494E">
              <w:rPr>
                <w:b/>
                <w:sz w:val="18"/>
                <w:szCs w:val="18"/>
              </w:rPr>
              <w:t>Всего</w:t>
            </w:r>
          </w:p>
        </w:tc>
        <w:tc>
          <w:tcPr>
            <w:tcW w:w="4320"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20" w:lineRule="exact"/>
              <w:jc w:val="right"/>
              <w:rPr>
                <w:b/>
                <w:sz w:val="18"/>
                <w:szCs w:val="18"/>
              </w:rPr>
            </w:pPr>
            <w:r w:rsidRPr="009C494E">
              <w:rPr>
                <w:b/>
                <w:sz w:val="18"/>
                <w:szCs w:val="18"/>
              </w:rPr>
              <w:t>150</w:t>
            </w:r>
          </w:p>
        </w:tc>
      </w:tr>
    </w:tbl>
    <w:p w:rsidR="00EB4C74" w:rsidRPr="009C494E" w:rsidRDefault="00EB4C74" w:rsidP="00EB4C74">
      <w:pPr>
        <w:pStyle w:val="SingleTxtGR"/>
        <w:spacing w:before="240"/>
      </w:pPr>
      <w:r w:rsidRPr="009C494E">
        <w:t>193.</w:t>
      </w:r>
      <w:r w:rsidRPr="009C494E">
        <w:tab/>
        <w:t>Правительство Вануату поддержало реализация инициатив НПО и организаций инвалидов. В 2005 году Общество инвалидов Вануату провело обследование по выявлению инвалидов в провинции Тафеа. Широко распространенные виды инвалидности, выявленные по результатам этого обследования, кратко представлены в нижеследующей таблице:</w:t>
      </w:r>
    </w:p>
    <w:p w:rsidR="00EB4C74" w:rsidRPr="009C494E" w:rsidRDefault="00EB4C74" w:rsidP="00EB4C74">
      <w:pPr>
        <w:pStyle w:val="H23GR"/>
      </w:pPr>
      <w:r w:rsidRPr="009C494E">
        <w:tab/>
      </w:r>
      <w:r w:rsidRPr="009C494E">
        <w:tab/>
        <w:t xml:space="preserve">Таблица 7: Обследование 2005 года по выявлению видов инвалидности в провинции Тафеа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24"/>
        <w:gridCol w:w="3446"/>
      </w:tblGrid>
      <w:tr w:rsidR="00EB4C74" w:rsidRPr="009C494E" w:rsidTr="006116C9">
        <w:trPr>
          <w:trHeight w:val="240"/>
          <w:tblHeader/>
        </w:trPr>
        <w:tc>
          <w:tcPr>
            <w:tcW w:w="3924"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rPr>
                <w:i/>
                <w:sz w:val="16"/>
                <w:szCs w:val="16"/>
              </w:rPr>
            </w:pPr>
            <w:r w:rsidRPr="009C494E">
              <w:rPr>
                <w:i/>
                <w:sz w:val="16"/>
                <w:szCs w:val="16"/>
              </w:rPr>
              <w:t xml:space="preserve">Виды инвалидности </w:t>
            </w:r>
          </w:p>
        </w:tc>
        <w:tc>
          <w:tcPr>
            <w:tcW w:w="3446" w:type="dxa"/>
            <w:tcBorders>
              <w:top w:val="single" w:sz="4" w:space="0" w:color="auto"/>
              <w:bottom w:val="single" w:sz="12" w:space="0" w:color="auto"/>
            </w:tcBorders>
            <w:shd w:val="clear" w:color="auto" w:fill="auto"/>
            <w:vAlign w:val="bottom"/>
          </w:tcPr>
          <w:p w:rsidR="00EB4C74" w:rsidRPr="009C494E" w:rsidRDefault="00EB4C74" w:rsidP="006116C9">
            <w:pPr>
              <w:spacing w:before="80" w:after="80" w:line="200" w:lineRule="exact"/>
              <w:jc w:val="right"/>
              <w:rPr>
                <w:i/>
                <w:sz w:val="16"/>
                <w:szCs w:val="16"/>
              </w:rPr>
            </w:pPr>
            <w:r w:rsidRPr="009C494E">
              <w:rPr>
                <w:i/>
                <w:sz w:val="16"/>
                <w:szCs w:val="16"/>
              </w:rPr>
              <w:t>Число инвалидов</w:t>
            </w:r>
          </w:p>
        </w:tc>
      </w:tr>
      <w:tr w:rsidR="00EB4C74" w:rsidRPr="009C494E" w:rsidTr="006116C9">
        <w:trPr>
          <w:trHeight w:val="240"/>
        </w:trPr>
        <w:tc>
          <w:tcPr>
            <w:tcW w:w="3924" w:type="dxa"/>
            <w:tcBorders>
              <w:top w:val="single" w:sz="12" w:space="0" w:color="auto"/>
            </w:tcBorders>
            <w:shd w:val="clear" w:color="auto" w:fill="auto"/>
          </w:tcPr>
          <w:p w:rsidR="00EB4C74" w:rsidRPr="009C494E" w:rsidRDefault="00EB4C74" w:rsidP="006116C9">
            <w:pPr>
              <w:spacing w:before="40" w:after="40" w:line="220" w:lineRule="exact"/>
              <w:rPr>
                <w:sz w:val="18"/>
                <w:szCs w:val="18"/>
              </w:rPr>
            </w:pPr>
            <w:r w:rsidRPr="009C494E">
              <w:rPr>
                <w:sz w:val="18"/>
                <w:szCs w:val="18"/>
              </w:rPr>
              <w:t>Физические недостатки</w:t>
            </w:r>
          </w:p>
        </w:tc>
        <w:tc>
          <w:tcPr>
            <w:tcW w:w="3446" w:type="dxa"/>
            <w:tcBorders>
              <w:top w:val="single" w:sz="12" w:space="0" w:color="auto"/>
            </w:tcBorders>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31%</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Глухота/нарушение слуха </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29%</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Слепота/нарушение зрения </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18%</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Умственные расстройства/сложности </w:t>
            </w:r>
            <w:r w:rsidRPr="009C494E">
              <w:rPr>
                <w:sz w:val="18"/>
                <w:szCs w:val="18"/>
              </w:rPr>
              <w:br/>
              <w:t>с обучением</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12%</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 xml:space="preserve">Аутизм </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1,4%</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Эпилепсия</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7,3%</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Церебральный паралич</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1,6%</w:t>
            </w:r>
          </w:p>
        </w:tc>
      </w:tr>
      <w:tr w:rsidR="00EB4C74" w:rsidRPr="009C494E" w:rsidTr="006116C9">
        <w:trPr>
          <w:trHeight w:val="240"/>
        </w:trPr>
        <w:tc>
          <w:tcPr>
            <w:tcW w:w="3924" w:type="dxa"/>
            <w:shd w:val="clear" w:color="auto" w:fill="auto"/>
          </w:tcPr>
          <w:p w:rsidR="00EB4C74" w:rsidRPr="009C494E" w:rsidRDefault="00EB4C74" w:rsidP="006116C9">
            <w:pPr>
              <w:spacing w:before="40" w:after="40" w:line="220" w:lineRule="exact"/>
              <w:rPr>
                <w:sz w:val="18"/>
                <w:szCs w:val="18"/>
              </w:rPr>
            </w:pPr>
            <w:r w:rsidRPr="009C494E">
              <w:rPr>
                <w:sz w:val="18"/>
                <w:szCs w:val="18"/>
              </w:rPr>
              <w:t>Психиатрические/психические заболевания</w:t>
            </w:r>
          </w:p>
        </w:tc>
        <w:tc>
          <w:tcPr>
            <w:tcW w:w="3446" w:type="dxa"/>
            <w:shd w:val="clear" w:color="auto" w:fill="auto"/>
            <w:vAlign w:val="bottom"/>
          </w:tcPr>
          <w:p w:rsidR="00EB4C74" w:rsidRPr="009C494E" w:rsidRDefault="00EB4C74" w:rsidP="006116C9">
            <w:pPr>
              <w:spacing w:before="40" w:after="40" w:line="220" w:lineRule="exact"/>
              <w:jc w:val="right"/>
              <w:rPr>
                <w:sz w:val="18"/>
                <w:szCs w:val="18"/>
              </w:rPr>
            </w:pPr>
            <w:r w:rsidRPr="009C494E">
              <w:rPr>
                <w:sz w:val="18"/>
                <w:szCs w:val="18"/>
              </w:rPr>
              <w:t>2,7%</w:t>
            </w:r>
          </w:p>
        </w:tc>
      </w:tr>
    </w:tbl>
    <w:p w:rsidR="00EB4C74" w:rsidRPr="009C494E" w:rsidRDefault="00EB4C74" w:rsidP="00A67FDF">
      <w:pPr>
        <w:pStyle w:val="SingleTxtGR"/>
        <w:spacing w:before="120" w:line="220" w:lineRule="exact"/>
        <w:ind w:firstLine="170"/>
        <w:jc w:val="left"/>
        <w:rPr>
          <w:sz w:val="18"/>
          <w:szCs w:val="18"/>
        </w:rPr>
      </w:pPr>
      <w:r w:rsidRPr="009C494E">
        <w:rPr>
          <w:i/>
          <w:sz w:val="18"/>
          <w:szCs w:val="18"/>
        </w:rPr>
        <w:t>Источник</w:t>
      </w:r>
      <w:r w:rsidRPr="009C494E">
        <w:rPr>
          <w:sz w:val="18"/>
          <w:szCs w:val="18"/>
        </w:rPr>
        <w:t>: Общество инвалидов Вануату (ОИВ), 2005 год.</w:t>
      </w:r>
    </w:p>
    <w:p w:rsidR="00EB4C74" w:rsidRPr="009C494E" w:rsidRDefault="00EB4C74" w:rsidP="00EB4C74">
      <w:pPr>
        <w:pStyle w:val="SingleTxtGR"/>
      </w:pPr>
      <w:r w:rsidRPr="009C494E">
        <w:t>194.</w:t>
      </w:r>
      <w:r w:rsidRPr="009C494E">
        <w:tab/>
        <w:t>Правительство Вануату признает важность обеспечения полного участия инвалидов в процессе сбора данных и проведения исследований и разрабатывает планы по вовлечению инвалидов в процесс сбора данных и проведения исследований в будущем. Правительство Вануату поддерживает инициативы организаций инвалидов, нацеленные на обеспечение полного участия инвалидов в процессе сбора данных и проведения исследований.</w:t>
      </w:r>
    </w:p>
    <w:p w:rsidR="00EB4C74" w:rsidRPr="009C494E" w:rsidRDefault="00EB4C74" w:rsidP="00EB4C74">
      <w:pPr>
        <w:pStyle w:val="H1GR"/>
      </w:pPr>
      <w:r w:rsidRPr="009C494E">
        <w:tab/>
      </w:r>
      <w:r w:rsidRPr="009C494E">
        <w:tab/>
        <w:t>Статья 32: Международное сотрудничество</w:t>
      </w:r>
    </w:p>
    <w:p w:rsidR="00EB4C74" w:rsidRPr="009C494E" w:rsidRDefault="00EB4C74" w:rsidP="00EB4C74">
      <w:pPr>
        <w:pStyle w:val="SingleTxtGR"/>
      </w:pPr>
      <w:r w:rsidRPr="009C494E">
        <w:t>195.</w:t>
      </w:r>
      <w:r w:rsidRPr="009C494E">
        <w:tab/>
        <w:t>Правительство Вануату признает ту поддержку, которую международные партнеры предоставляют инвалидам и их организациям. НЗАИД, АусАИД, СФТО, МОТ, ВОЗ, ЭСКАТО, УВКПЧ, СТС/РГПР и ФРТОНСО включают инвалидов и их организации в число тех основных групп, которым они предоставляют финансирование в рамках осуществляемых ими программ.</w:t>
      </w:r>
    </w:p>
    <w:p w:rsidR="00EB4C74" w:rsidRPr="009C494E" w:rsidRDefault="00EB4C74" w:rsidP="00EB4C74">
      <w:pPr>
        <w:pStyle w:val="SingleTxtGR"/>
      </w:pPr>
      <w:r w:rsidRPr="009C494E">
        <w:t>196.</w:t>
      </w:r>
      <w:r w:rsidRPr="009C494E">
        <w:tab/>
        <w:t>Инвалиды входят в состав делегаций на всех региональных и большей части международных совещаний и играют весьма важную роль в процессе принятия решений и планирования.</w:t>
      </w:r>
    </w:p>
    <w:p w:rsidR="00EB4C74" w:rsidRPr="009C494E" w:rsidRDefault="00EB4C74" w:rsidP="00EB4C74">
      <w:pPr>
        <w:pStyle w:val="SingleTxtGR"/>
      </w:pPr>
      <w:r w:rsidRPr="009C494E">
        <w:t>197.</w:t>
      </w:r>
      <w:r w:rsidRPr="009C494E">
        <w:tab/>
        <w:t>Правительство Вануату признает необходимость наращивания потенциала для учета интересов инвалидов в национальных и местных программах. В настоящее время интересы инвалидов учитываются в этих программах минимальным образом, а иногда принимаются во внимание с большим опозданием. В идеале мы хотели бы лучше учитывать вопросы инвалидности в политиче</w:t>
      </w:r>
      <w:r w:rsidRPr="009C494E">
        <w:lastRenderedPageBreak/>
        <w:t>ских решениях. Существует понимание необходимости интеграции проблем инвалидов в процессы развития инфраструктуры, но это понимание следует упрочить. Необходимо повышать информированность населения о том, почему вопросы инвалидности должны быть интегрированы в различные политические программы, а также улучшать систему сдержек и противовесов при решении вопроса о том, как это можно сделать.</w:t>
      </w:r>
    </w:p>
    <w:p w:rsidR="00EB4C74" w:rsidRPr="009C494E" w:rsidRDefault="00EB4C74" w:rsidP="00EB4C74">
      <w:pPr>
        <w:pStyle w:val="SingleTxtGR"/>
      </w:pPr>
      <w:r w:rsidRPr="009C494E">
        <w:t>198.</w:t>
      </w:r>
      <w:r w:rsidRPr="009C494E">
        <w:tab/>
        <w:t>Правительство Вануату понимает необходимость принятия более эффективных мер по увязыванию целей в области развития, сформулированных в Декларации тысячелетия, с положениями Конвенции о правах инвалидов. Хотя Национальная политика в отношении инвалидов посвящена положению инвалидов и проблемам инвалидности, тем не менее все еще существует необходимость надлежащего освещения таких связанных с ЦРДТ проблем инвалидов, как образование, охрана здоровья и гендерная проблематика.</w:t>
      </w:r>
    </w:p>
    <w:p w:rsidR="00EB4C74" w:rsidRPr="009C494E" w:rsidRDefault="00EB4C74" w:rsidP="00EB4C74">
      <w:pPr>
        <w:pStyle w:val="SingleTxtGR"/>
      </w:pPr>
      <w:r w:rsidRPr="009C494E">
        <w:t>199.</w:t>
      </w:r>
      <w:r w:rsidRPr="009C494E">
        <w:tab/>
        <w:t>При этом Вануату добилось определенного прогресса и стремится получить техническую экспертную помощь в области проведения обменов и реализации программ профессиональной подготовки для инвалидов.</w:t>
      </w:r>
    </w:p>
    <w:p w:rsidR="00EB4C74" w:rsidRPr="009C494E" w:rsidRDefault="00EB4C74" w:rsidP="00EB4C74">
      <w:pPr>
        <w:pStyle w:val="H1GR"/>
      </w:pPr>
      <w:r w:rsidRPr="009C494E">
        <w:tab/>
      </w:r>
      <w:r w:rsidRPr="009C494E">
        <w:tab/>
        <w:t>Статья 33: Национальное осуществление и мониторинг</w:t>
      </w:r>
    </w:p>
    <w:p w:rsidR="00EB4C74" w:rsidRPr="009C494E" w:rsidRDefault="00EB4C74" w:rsidP="00EB4C74">
      <w:pPr>
        <w:pStyle w:val="SingleTxtGR"/>
      </w:pPr>
      <w:r w:rsidRPr="009C494E">
        <w:t>200.</w:t>
      </w:r>
      <w:r w:rsidRPr="009C494E">
        <w:tab/>
        <w:t>Министерство юстиции и общинных служб является координационным органом правительства в вопросах, касающихся осуществления Конвенции о правах инвалидов. В 2011 году Министерство юстиции приняло на работу сотрудника по делам инвалидов, которому поручено продвигать осуществление Конвенции о правах инвалидов. Министерство юстиции и общинных служб работает в сотрудничестве с сотрудниками, курирующими вопросы инвалидности в министерствах образования, здравоохранения и инфраструктуры, по вопросам, касающимся осуществления КПИ. Хотя каждое министерство отвечает за осуществление конкретных положений Конвенции, все эти ведомства работают в тесном партнерстве. Сотрудник, занимающийся вопросами инвалидов в Министерстве юстиции и общинных служб, также взаимодействует с организациями инвалидов в продвижении осуществления КПИ и разработке планов работы и мероприятий по продвижению КПИ. В мае 2014 года правительство провело первый семинар-практикум по вопросу реабилитации на базе общин (РБО), который привел к выработке 10-летнего Плана действий по проведению РБО на 2014–2024 годы. В целях оказания поддержки осуществлению этого Плана была создана рабочая группа по РБО.</w:t>
      </w:r>
    </w:p>
    <w:p w:rsidR="00EB4C74" w:rsidRPr="009C494E" w:rsidRDefault="00EB4C74" w:rsidP="00EB4C74">
      <w:pPr>
        <w:pStyle w:val="SingleTxtGR"/>
      </w:pPr>
      <w:r w:rsidRPr="009C494E">
        <w:t>201.</w:t>
      </w:r>
      <w:r w:rsidRPr="009C494E">
        <w:tab/>
        <w:t>Действуя через Министерство юстиции, правительство создало на национальном и провинциальном уровнях целевые группы по осуществлению КПИ. Правительство Вануату поручило этим созданным целевым группам координировать и контролировать ход осуществления Национальной политики в отношении инвалидов и Конвенции о правах инвалидов. В Министерстве образования и Департаменте общественных работ правительство создало должности сотрудников по вопросам инклюзивного образования, которые являются ключевыми партнерами в деле распространения информации о положениях КПИ.</w:t>
      </w:r>
    </w:p>
    <w:p w:rsidR="00EB4C74" w:rsidRPr="009C494E" w:rsidRDefault="00EB4C74" w:rsidP="00EB4C74">
      <w:pPr>
        <w:pStyle w:val="SingleTxtGR"/>
      </w:pPr>
      <w:r w:rsidRPr="009C494E">
        <w:t>202.</w:t>
      </w:r>
      <w:r w:rsidRPr="009C494E">
        <w:tab/>
        <w:t>В ходе подготовки доклада о ходе осуществления КПИ Министерство юстиции привлекло отдел по делам инвалидов к проведению консультаций с различными субъектами, занимающимися вопросами инвалидности, в целях обсуждения этого национального доклада. Правительство стремится заручиться технической и финансовой поддержкой для обеспечения выпуска этого доклада в форматах, доступных для использования инвалидами.</w:t>
      </w:r>
    </w:p>
    <w:p w:rsidR="00EB4C74" w:rsidRPr="009C494E" w:rsidRDefault="00EB4C74" w:rsidP="00EB4C74">
      <w:pPr>
        <w:pStyle w:val="SingleTxtGR"/>
      </w:pPr>
      <w:r w:rsidRPr="009C494E">
        <w:t>203.</w:t>
      </w:r>
      <w:r w:rsidRPr="009C494E">
        <w:tab/>
        <w:t xml:space="preserve">Министерство юстиции, действуя через отдел по делам инвалидов, провело и будет продолжать проводить учебные мероприятия для сотрудников государственных учреждений по вопросам прав инвалидов. Отдел по делам инвалидов провел шесть учебных мероприятий по вопросам КПИ в пяти из шести провинций Вануату, в каждом из которых приняли участие 20–25 человек. Правительство планирует распространить учебную подготовку по проблематике </w:t>
      </w:r>
      <w:r w:rsidRPr="009C494E">
        <w:lastRenderedPageBreak/>
        <w:t>инвалидности на общины, где инвалиды смогут поделиться своим опытом в деле содействия осуществлению КПИ.</w:t>
      </w:r>
    </w:p>
    <w:p w:rsidR="00EB4C74" w:rsidRPr="009C494E" w:rsidRDefault="00EB4C74" w:rsidP="00EB4C74">
      <w:pPr>
        <w:pStyle w:val="H1GR"/>
      </w:pPr>
      <w:r w:rsidRPr="009C494E">
        <w:tab/>
      </w:r>
      <w:r w:rsidRPr="009C494E">
        <w:tab/>
        <w:t>Резюме</w:t>
      </w:r>
    </w:p>
    <w:p w:rsidR="00EB4C74" w:rsidRPr="009C494E" w:rsidRDefault="00EB4C74" w:rsidP="00EB4C74">
      <w:pPr>
        <w:pStyle w:val="SingleTxtGR"/>
      </w:pPr>
      <w:r w:rsidRPr="009C494E">
        <w:t>204.</w:t>
      </w:r>
      <w:r w:rsidRPr="009C494E">
        <w:tab/>
        <w:t>Представление настоящего доклада является важным событием для Вануату. Есть целый ряд областей, где в решении проблем инвалидов удалось добиться прогресса, в частности это касается сфер образования, здравоохранения, инфраструктуры и деятельности Министерства юстиции. В ряде других областей можно говорить о медленном, но последовательном прогрессе. Правительство понимает, что необходимо сделать еще больше, и полно решимости добиваться дальнейшего прогресса в удовлетворении конкретных потребностей инвалидов в Вануату. Остается еще много нерешенных проблем, особенно в отношении вопросов среды обитания, перевозок, профессиональной подготовки и обеспечения безопасности инвалидов.</w:t>
      </w:r>
    </w:p>
    <w:p w:rsidR="00EB4C74" w:rsidRPr="009C494E" w:rsidRDefault="00EB4C74" w:rsidP="00EB4C74">
      <w:pPr>
        <w:pStyle w:val="SingleTxtGR"/>
      </w:pPr>
      <w:r w:rsidRPr="009C494E">
        <w:t>205.</w:t>
      </w:r>
      <w:r w:rsidRPr="009C494E">
        <w:tab/>
        <w:t>Хорошая работа организаций инвалидов и других неправительственных организаций по содействию развитию и улучшению положения инвалидов будет и впредь поддерживаться правительством, с тем чтобы весь народ Вануату мог в едином строю продвигаться вперед.</w:t>
      </w:r>
    </w:p>
    <w:p w:rsidR="00EB4C74" w:rsidRPr="009C494E" w:rsidRDefault="00EB4C74" w:rsidP="00EB4C74">
      <w:pPr>
        <w:pStyle w:val="H1GR"/>
      </w:pPr>
      <w:r>
        <w:br w:type="page"/>
      </w:r>
      <w:r w:rsidRPr="009C494E">
        <w:lastRenderedPageBreak/>
        <w:tab/>
      </w:r>
      <w:r w:rsidRPr="009C494E">
        <w:tab/>
        <w:t>Справочная информация</w:t>
      </w:r>
    </w:p>
    <w:p w:rsidR="00EB4C74" w:rsidRPr="009C494E" w:rsidRDefault="00EB4C74" w:rsidP="00EB4C74">
      <w:pPr>
        <w:pStyle w:val="SingleTxtGR"/>
        <w:jc w:val="left"/>
      </w:pPr>
      <w:r w:rsidRPr="009C494E">
        <w:t>Конституция Вануату 1980 года</w:t>
      </w:r>
    </w:p>
    <w:p w:rsidR="00EB4C74" w:rsidRPr="009C494E" w:rsidRDefault="00EB4C74" w:rsidP="00EB4C74">
      <w:pPr>
        <w:pStyle w:val="SingleTxtGR"/>
        <w:jc w:val="left"/>
      </w:pPr>
      <w:r w:rsidRPr="009C494E">
        <w:t>Закон об исправительных учреждениях</w:t>
      </w:r>
    </w:p>
    <w:p w:rsidR="00EB4C74" w:rsidRPr="009C494E" w:rsidRDefault="00EB4C74" w:rsidP="00EB4C74">
      <w:pPr>
        <w:pStyle w:val="SingleTxtGR"/>
        <w:jc w:val="left"/>
      </w:pPr>
      <w:r w:rsidRPr="009C494E">
        <w:t>Закон 2008 года о защите семьи</w:t>
      </w:r>
    </w:p>
    <w:p w:rsidR="00EB4C74" w:rsidRPr="009C494E" w:rsidRDefault="00EB4C74" w:rsidP="00EB4C74">
      <w:pPr>
        <w:pStyle w:val="SingleTxtGR"/>
        <w:jc w:val="left"/>
      </w:pPr>
      <w:r w:rsidRPr="009C494E">
        <w:t>Закон Вануату об охране психического здоровья</w:t>
      </w:r>
    </w:p>
    <w:p w:rsidR="00EB4C74" w:rsidRPr="009C494E" w:rsidRDefault="00EB4C74" w:rsidP="00EB4C74">
      <w:pPr>
        <w:pStyle w:val="SingleTxtGR"/>
        <w:jc w:val="left"/>
      </w:pPr>
      <w:r w:rsidRPr="009C494E">
        <w:t>Закон о браке</w:t>
      </w:r>
    </w:p>
    <w:p w:rsidR="00EB4C74" w:rsidRPr="009C494E" w:rsidRDefault="00EB4C74" w:rsidP="00EB4C74">
      <w:pPr>
        <w:pStyle w:val="SingleTxtGR"/>
        <w:jc w:val="left"/>
      </w:pPr>
      <w:r w:rsidRPr="009C494E">
        <w:t>Закон Вануату 2001 года об образовании</w:t>
      </w:r>
    </w:p>
    <w:p w:rsidR="00EB4C74" w:rsidRPr="009C494E" w:rsidRDefault="00EB4C74" w:rsidP="00EB4C74">
      <w:pPr>
        <w:pStyle w:val="SingleTxtGR"/>
        <w:jc w:val="left"/>
      </w:pPr>
      <w:r w:rsidRPr="009C494E">
        <w:t>Национальная политика Вануату в интересах детей на 2007–2011 годы</w:t>
      </w:r>
    </w:p>
    <w:p w:rsidR="00EB4C74" w:rsidRPr="009C494E" w:rsidRDefault="00EB4C74" w:rsidP="00EB4C74">
      <w:pPr>
        <w:pStyle w:val="SingleTxtGR"/>
        <w:jc w:val="left"/>
      </w:pPr>
      <w:r w:rsidRPr="009C494E">
        <w:t>Национальная политика Вануату в отношении инвалидов и План действий на 2008–2015 годы</w:t>
      </w:r>
    </w:p>
    <w:p w:rsidR="00EB4C74" w:rsidRPr="009C494E" w:rsidRDefault="00EB4C74" w:rsidP="00EB4C74">
      <w:pPr>
        <w:pStyle w:val="SingleTxtGR"/>
        <w:jc w:val="left"/>
      </w:pPr>
      <w:r w:rsidRPr="009C494E">
        <w:t xml:space="preserve">Тихоокеанский справочник по вопросам осуществления договоров </w:t>
      </w:r>
      <w:r w:rsidRPr="009C494E">
        <w:br/>
        <w:t>по правам человека</w:t>
      </w:r>
    </w:p>
    <w:p w:rsidR="00EB4C74" w:rsidRPr="009C494E" w:rsidRDefault="00EB4C74" w:rsidP="00EB4C74">
      <w:pPr>
        <w:pStyle w:val="SingleTxtGR"/>
        <w:jc w:val="left"/>
      </w:pPr>
      <w:r w:rsidRPr="009C494E">
        <w:t xml:space="preserve">Политика Вануату в области инклюзивного образования 2001 года </w:t>
      </w:r>
    </w:p>
    <w:p w:rsidR="00EB4C74" w:rsidRPr="009C494E" w:rsidRDefault="00EB4C74" w:rsidP="00EB4C74">
      <w:pPr>
        <w:pStyle w:val="SingleTxtGR"/>
        <w:jc w:val="left"/>
      </w:pPr>
      <w:r w:rsidRPr="009C494E">
        <w:t>Бивакоская основа для действий на пороге тысячелетия 2003 года</w:t>
      </w:r>
    </w:p>
    <w:p w:rsidR="00EB4C74" w:rsidRPr="009C494E" w:rsidRDefault="00EB4C74" w:rsidP="00EB4C74">
      <w:pPr>
        <w:pStyle w:val="SingleTxtGR"/>
        <w:jc w:val="left"/>
      </w:pPr>
      <w:r w:rsidRPr="009C494E">
        <w:t xml:space="preserve">Доклад Вануату о политике в области инклюзивного образования, </w:t>
      </w:r>
      <w:r w:rsidRPr="009C494E">
        <w:br/>
        <w:t>декабрь 2012 года</w:t>
      </w:r>
    </w:p>
    <w:p w:rsidR="00EB4C74" w:rsidRPr="009C494E" w:rsidRDefault="00EB4C74" w:rsidP="00EB4C74">
      <w:pPr>
        <w:pStyle w:val="SingleTxtGR"/>
        <w:jc w:val="left"/>
      </w:pPr>
      <w:r w:rsidRPr="009C494E">
        <w:t>План действий по реабилитации на базе общин 2014 года</w:t>
      </w:r>
    </w:p>
    <w:p w:rsidR="00EB4C74" w:rsidRPr="009C494E" w:rsidRDefault="00EB4C74" w:rsidP="00EB4C74">
      <w:pPr>
        <w:pStyle w:val="SingleTxtGR"/>
        <w:jc w:val="left"/>
      </w:pPr>
      <w:r w:rsidRPr="009C494E">
        <w:t>Конвенция о правах ребенка 1992 года</w:t>
      </w:r>
    </w:p>
    <w:p w:rsidR="00EB4C74" w:rsidRPr="009C494E" w:rsidRDefault="00EB4C74" w:rsidP="00EB4C74">
      <w:pPr>
        <w:pStyle w:val="SingleTxtGR"/>
        <w:jc w:val="left"/>
      </w:pPr>
      <w:r w:rsidRPr="009C494E">
        <w:t>Конвенция о ликвидации всех форм дискриминации в отношении женщин</w:t>
      </w:r>
    </w:p>
    <w:p w:rsidR="00EB4C74" w:rsidRPr="009C494E" w:rsidRDefault="00EB4C74" w:rsidP="00EB4C74">
      <w:pPr>
        <w:pStyle w:val="SingleTxtGR"/>
        <w:jc w:val="left"/>
      </w:pPr>
      <w:r w:rsidRPr="009C494E">
        <w:t xml:space="preserve">Политика по достижению гендерного равенства в сфере образования </w:t>
      </w:r>
      <w:r w:rsidRPr="009C494E">
        <w:br/>
        <w:t>на 2005–2015 годы</w:t>
      </w:r>
    </w:p>
    <w:p w:rsidR="00EB4C74" w:rsidRPr="009C494E" w:rsidRDefault="00EB4C74" w:rsidP="00EB4C74">
      <w:pPr>
        <w:spacing w:before="240" w:after="720"/>
        <w:jc w:val="center"/>
        <w:rPr>
          <w:rFonts w:cs="Times New Roman"/>
          <w:color w:val="000000"/>
          <w:u w:val="single"/>
        </w:rPr>
      </w:pPr>
      <w:r w:rsidRPr="009C494E">
        <w:rPr>
          <w:rFonts w:cs="Times New Roman"/>
          <w:color w:val="000000"/>
          <w:u w:val="single"/>
        </w:rPr>
        <w:tab/>
      </w:r>
      <w:r w:rsidRPr="009C494E">
        <w:rPr>
          <w:rFonts w:cs="Times New Roman"/>
          <w:color w:val="000000"/>
          <w:u w:val="single"/>
        </w:rPr>
        <w:tab/>
      </w:r>
      <w:r w:rsidRPr="009C494E">
        <w:rPr>
          <w:rFonts w:cs="Times New Roman"/>
          <w:color w:val="000000"/>
          <w:u w:val="single"/>
        </w:rPr>
        <w:tab/>
      </w:r>
    </w:p>
    <w:sectPr w:rsidR="00EB4C74" w:rsidRPr="009C494E" w:rsidSect="00221204">
      <w:headerReference w:type="even" r:id="rId30"/>
      <w:headerReference w:type="default" r:id="rId31"/>
      <w:footerReference w:type="even" r:id="rId32"/>
      <w:footerReference w:type="default" r:id="rId33"/>
      <w:headerReference w:type="first" r:id="rId3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31" w:rsidRPr="00A312BC" w:rsidRDefault="00D91931" w:rsidP="00A312BC"/>
  </w:endnote>
  <w:endnote w:type="continuationSeparator" w:id="0">
    <w:p w:rsidR="00D91931" w:rsidRPr="00A312BC" w:rsidRDefault="00D919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470424" w:rsidRDefault="00D91931" w:rsidP="00912EB1">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6</w:t>
    </w:r>
    <w:r>
      <w:rPr>
        <w:rStyle w:val="PageNumber"/>
      </w:rPr>
      <w:fldChar w:fldCharType="end"/>
    </w:r>
    <w:r>
      <w:rPr>
        <w:lang w:val="en-US"/>
      </w:rPr>
      <w:tab/>
      <w:t>GE.1</w:t>
    </w:r>
    <w:r>
      <w:t>7</w:t>
    </w:r>
    <w:r>
      <w:rPr>
        <w:lang w:val="en-US"/>
      </w:rPr>
      <w:t>-</w:t>
    </w:r>
    <w:r>
      <w:t>17</w:t>
    </w:r>
    <w:r>
      <w:rPr>
        <w:lang w:val="ru-RU"/>
      </w:rPr>
      <w:t>231</w:t>
    </w:r>
    <w:r>
      <w:t xml:space="preserve">   (EXT)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22120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C106D6">
    <w:r>
      <w:rPr>
        <w:b/>
        <w:noProof/>
        <w:lang w:val="en-US" w:eastAsia="zh-CN"/>
      </w:rPr>
      <w:drawing>
        <wp:anchor distT="0" distB="0" distL="114300" distR="114300" simplePos="0" relativeHeight="251662336" behindDoc="0" locked="0" layoutInCell="1" allowOverlap="1" wp14:anchorId="669860ED" wp14:editId="7ECB413B">
          <wp:simplePos x="0" y="0"/>
          <wp:positionH relativeFrom="margin">
            <wp:posOffset>3420745</wp:posOffset>
          </wp:positionH>
          <wp:positionV relativeFrom="margin">
            <wp:posOffset>9109075</wp:posOffset>
          </wp:positionV>
          <wp:extent cx="2656800" cy="277200"/>
          <wp:effectExtent l="0" t="0" r="0" b="8890"/>
          <wp:wrapNone/>
          <wp:docPr id="29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B4BC9" w:rsidRDefault="00D91931" w:rsidP="00D35AFC">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50</w:t>
    </w:r>
    <w:r>
      <w:rPr>
        <w:rStyle w:val="PageNumber"/>
      </w:rPr>
      <w:fldChar w:fldCharType="end"/>
    </w:r>
    <w:r>
      <w:rPr>
        <w:lang w:val="en-US"/>
      </w:rPr>
      <w:tab/>
      <w:t>GE.1</w:t>
    </w:r>
    <w:r>
      <w:t>7</w:t>
    </w:r>
    <w:r>
      <w:rPr>
        <w:lang w:val="en-US"/>
      </w:rPr>
      <w:t>-</w:t>
    </w:r>
    <w:r>
      <w:t>17</w:t>
    </w:r>
    <w:r>
      <w:rPr>
        <w:lang w:val="ru-RU"/>
      </w:rPr>
      <w:t>231</w:t>
    </w:r>
    <w:r>
      <w:t xml:space="preserve">   (EXT)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D35AFC">
    <w:pPr>
      <w:pStyle w:val="Footer"/>
      <w:rPr>
        <w:rStyle w:val="PageNumber"/>
      </w:rPr>
    </w:pPr>
    <w:r>
      <w:rPr>
        <w:lang w:val="en-US"/>
      </w:rPr>
      <w:t>GE.1</w:t>
    </w:r>
    <w:r>
      <w:t>7-17</w:t>
    </w:r>
    <w:r>
      <w:rPr>
        <w:lang w:val="ru-RU"/>
      </w:rPr>
      <w:t>231</w:t>
    </w:r>
    <w:r>
      <w:t xml:space="preserve">  (EXT)</w:t>
    </w:r>
    <w:r>
      <w:rPr>
        <w:lang w:val="en-US"/>
      </w:rPr>
      <w:tab/>
    </w:r>
    <w:r w:rsidRPr="00221204">
      <w:rPr>
        <w:rStyle w:val="PageNumber"/>
      </w:rPr>
      <w:fldChar w:fldCharType="begin"/>
    </w:r>
    <w:r w:rsidRPr="00221204">
      <w:rPr>
        <w:rStyle w:val="PageNumber"/>
      </w:rPr>
      <w:instrText xml:space="preserve"> PAGE </w:instrText>
    </w:r>
    <w:r w:rsidRPr="00221204">
      <w:rPr>
        <w:rStyle w:val="PageNumber"/>
      </w:rPr>
      <w:fldChar w:fldCharType="separate"/>
    </w:r>
    <w:r w:rsidR="00450F19">
      <w:rPr>
        <w:rStyle w:val="PageNumber"/>
        <w:noProof/>
      </w:rPr>
      <w:t>49</w:t>
    </w:r>
    <w:r w:rsidRPr="0022120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912EB1">
    <w:pPr>
      <w:pStyle w:val="Footer"/>
    </w:pPr>
    <w:r>
      <w:rPr>
        <w:lang w:val="en-US"/>
      </w:rPr>
      <w:t>GE.1</w:t>
    </w:r>
    <w:r>
      <w:t>7-17</w:t>
    </w:r>
    <w:r>
      <w:rPr>
        <w:lang w:val="ru-RU"/>
      </w:rPr>
      <w:t>231</w:t>
    </w:r>
    <w:r>
      <w:t xml:space="preserve">  (EXT)</w:t>
    </w:r>
    <w:r>
      <w:rPr>
        <w:lang w:val="en-US"/>
      </w:rPr>
      <w:tab/>
    </w: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F1" w:rsidRDefault="00686CF1" w:rsidP="00686CF1">
    <w:pPr>
      <w:rPr>
        <w:lang w:val="en-US"/>
      </w:rPr>
    </w:pPr>
    <w:r>
      <w:rPr>
        <w:rFonts w:ascii="C39T30Lfz" w:hAnsi="C39T30Lfz"/>
        <w:noProof/>
        <w:sz w:val="56"/>
        <w:lang w:val="en-US" w:eastAsia="zh-CN"/>
      </w:rPr>
      <w:drawing>
        <wp:anchor distT="0" distB="0" distL="114300" distR="114300" simplePos="0" relativeHeight="251673600" behindDoc="0" locked="0" layoutInCell="1" allowOverlap="1">
          <wp:simplePos x="0" y="0"/>
          <wp:positionH relativeFrom="column">
            <wp:posOffset>5471160</wp:posOffset>
          </wp:positionH>
          <wp:positionV relativeFrom="paragraph">
            <wp:posOffset>-89535</wp:posOffset>
          </wp:positionV>
          <wp:extent cx="641350" cy="641350"/>
          <wp:effectExtent l="0" t="0" r="6350" b="6350"/>
          <wp:wrapNone/>
          <wp:docPr id="1" name="Picture 1" descr="http://undocs.org/m2/QRCode.ashx?DS=CRPD/C/VUT/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VUT/1&amp;Size=2&amp;Lan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D91931" w:rsidRPr="007E55F0">
      <w:rPr>
        <w:lang w:val="en-US"/>
      </w:rPr>
      <w:t>GE.</w:t>
    </w:r>
    <w:r w:rsidR="00D91931">
      <w:rPr>
        <w:lang w:val="en-US"/>
      </w:rPr>
      <w:t>1</w:t>
    </w:r>
    <w:r w:rsidR="00D91931">
      <w:t>7</w:t>
    </w:r>
    <w:r w:rsidR="00D91931">
      <w:rPr>
        <w:lang w:val="en-US"/>
      </w:rPr>
      <w:t>-</w:t>
    </w:r>
    <w:r w:rsidR="00D91931">
      <w:t xml:space="preserve">17231 </w:t>
    </w:r>
    <w:r w:rsidR="00B85E26">
      <w:rPr>
        <w:lang w:val="en-US"/>
      </w:rPr>
      <w:t xml:space="preserve"> </w:t>
    </w:r>
    <w:r w:rsidR="00D91931">
      <w:rPr>
        <w:lang w:val="en-US"/>
      </w:rPr>
      <w:t>(EXT)</w:t>
    </w:r>
  </w:p>
  <w:p w:rsidR="00D91931" w:rsidRPr="00686CF1" w:rsidRDefault="00686CF1" w:rsidP="00686CF1">
    <w:pPr>
      <w:rPr>
        <w:rFonts w:ascii="C39T30Lfz" w:hAnsi="C39T30Lfz"/>
        <w:sz w:val="56"/>
        <w:lang w:val="en-US"/>
      </w:rPr>
    </w:pP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Pr="00686CF1">
      <w:rPr>
        <w:rFonts w:ascii="C39T30Lfz" w:hAnsi="C39T30Lfz"/>
        <w:sz w:val="56"/>
        <w:lang w:val="en-US"/>
      </w:rPr>
      <w:t></w:t>
    </w:r>
    <w:r w:rsidR="00D91931" w:rsidRPr="00686CF1">
      <w:rPr>
        <w:rFonts w:ascii="C39T30Lfz" w:hAnsi="C39T30Lfz"/>
        <w:b/>
        <w:noProof/>
        <w:sz w:val="56"/>
        <w:lang w:val="en-US" w:eastAsia="zh-CN"/>
      </w:rPr>
      <w:drawing>
        <wp:anchor distT="0" distB="0" distL="114300" distR="114300" simplePos="0" relativeHeight="251661312" behindDoc="0" locked="0" layoutInCell="1" allowOverlap="1" wp14:anchorId="28B5201D" wp14:editId="479DCEDA">
          <wp:simplePos x="0" y="0"/>
          <wp:positionH relativeFrom="margin">
            <wp:posOffset>2766695</wp:posOffset>
          </wp:positionH>
          <wp:positionV relativeFrom="margin">
            <wp:posOffset>9159875</wp:posOffset>
          </wp:positionV>
          <wp:extent cx="2656205" cy="276860"/>
          <wp:effectExtent l="0" t="0" r="0" b="8890"/>
          <wp:wrapNone/>
          <wp:docPr id="2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EB4C74">
    <w:pPr>
      <w:pStyle w:val="Footer"/>
    </w:pPr>
    <w:r>
      <w:rPr>
        <w:lang w:val="en-US"/>
      </w:rPr>
      <w:t>GE.1</w:t>
    </w:r>
    <w:r>
      <w:t>7-1732</w:t>
    </w:r>
    <w:r>
      <w:rPr>
        <w:lang w:val="en-US"/>
      </w:rPr>
      <w:t>1</w:t>
    </w:r>
    <w:r>
      <w:t xml:space="preserve">  (EXT)</w:t>
    </w:r>
    <w:r>
      <w:rPr>
        <w:lang w:val="en-US"/>
      </w:rPr>
      <w:tab/>
    </w: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50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C106D6">
    <w:r>
      <w:rPr>
        <w:b/>
        <w:noProof/>
        <w:lang w:val="en-US" w:eastAsia="zh-CN"/>
      </w:rPr>
      <w:drawing>
        <wp:anchor distT="0" distB="0" distL="114300" distR="114300" simplePos="0" relativeHeight="251658240" behindDoc="0" locked="0" layoutInCell="1" allowOverlap="1" wp14:anchorId="2D7452BA" wp14:editId="62966D14">
          <wp:simplePos x="0" y="0"/>
          <wp:positionH relativeFrom="margin">
            <wp:posOffset>3420745</wp:posOffset>
          </wp:positionH>
          <wp:positionV relativeFrom="margin">
            <wp:posOffset>9109075</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470424" w:rsidRDefault="00D91931" w:rsidP="00E1248E">
    <w:pPr>
      <w:pStyle w:val="Footer"/>
    </w:pP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20</w:t>
    </w:r>
    <w:r>
      <w:rPr>
        <w:rStyle w:val="PageNumber"/>
      </w:rPr>
      <w:fldChar w:fldCharType="end"/>
    </w:r>
    <w:r>
      <w:rPr>
        <w:lang w:val="en-US"/>
      </w:rPr>
      <w:tab/>
      <w:t>GE.1</w:t>
    </w:r>
    <w:r>
      <w:t>7</w:t>
    </w:r>
    <w:r>
      <w:rPr>
        <w:lang w:val="en-US"/>
      </w:rPr>
      <w:t>-</w:t>
    </w:r>
    <w:r>
      <w:t>17</w:t>
    </w:r>
    <w:r>
      <w:rPr>
        <w:lang w:val="ru-RU"/>
      </w:rPr>
      <w:t>231</w:t>
    </w:r>
    <w:r>
      <w:t xml:space="preserve">   (EXT)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E1248E">
    <w:pPr>
      <w:pStyle w:val="Footer"/>
    </w:pPr>
    <w:r>
      <w:rPr>
        <w:lang w:val="en-US"/>
      </w:rPr>
      <w:t>GE.1</w:t>
    </w:r>
    <w:r>
      <w:t>7-17</w:t>
    </w:r>
    <w:r>
      <w:rPr>
        <w:lang w:val="ru-RU"/>
      </w:rPr>
      <w:t>231</w:t>
    </w:r>
    <w:r>
      <w:t xml:space="preserve">  (EXT)</w:t>
    </w:r>
    <w:r>
      <w:rPr>
        <w:lang w:val="en-US"/>
      </w:rPr>
      <w:tab/>
    </w:r>
    <w:r>
      <w:rPr>
        <w:rStyle w:val="PageNumber"/>
      </w:rPr>
      <w:fldChar w:fldCharType="begin"/>
    </w:r>
    <w:r>
      <w:rPr>
        <w:rStyle w:val="PageNumber"/>
      </w:rPr>
      <w:instrText xml:space="preserve"> PAGE </w:instrText>
    </w:r>
    <w:r>
      <w:rPr>
        <w:rStyle w:val="PageNumber"/>
      </w:rPr>
      <w:fldChar w:fldCharType="separate"/>
    </w:r>
    <w:r w:rsidR="00450F19">
      <w:rPr>
        <w:rStyle w:val="PageNumber"/>
        <w:noProof/>
      </w:rPr>
      <w:t>19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C106D6">
    <w:r>
      <w:rPr>
        <w:b/>
        <w:noProof/>
        <w:lang w:val="en-US" w:eastAsia="zh-CN"/>
      </w:rPr>
      <w:drawing>
        <wp:anchor distT="0" distB="0" distL="114300" distR="114300" simplePos="0" relativeHeight="251664384" behindDoc="0" locked="0" layoutInCell="1" allowOverlap="1" wp14:anchorId="6A31A4ED" wp14:editId="0D910E1D">
          <wp:simplePos x="0" y="0"/>
          <wp:positionH relativeFrom="margin">
            <wp:posOffset>3420745</wp:posOffset>
          </wp:positionH>
          <wp:positionV relativeFrom="margin">
            <wp:posOffset>9109075</wp:posOffset>
          </wp:positionV>
          <wp:extent cx="2656800" cy="277200"/>
          <wp:effectExtent l="0" t="0" r="0" b="8890"/>
          <wp:wrapNone/>
          <wp:docPr id="29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B4BC9" w:rsidRDefault="00D91931" w:rsidP="002212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31" w:rsidRPr="001075E9" w:rsidRDefault="00D91931" w:rsidP="001075E9">
      <w:pPr>
        <w:tabs>
          <w:tab w:val="right" w:pos="2155"/>
        </w:tabs>
        <w:spacing w:after="80" w:line="240" w:lineRule="auto"/>
        <w:ind w:left="680"/>
        <w:rPr>
          <w:u w:val="single"/>
        </w:rPr>
      </w:pPr>
      <w:r>
        <w:rPr>
          <w:u w:val="single"/>
        </w:rPr>
        <w:tab/>
      </w:r>
    </w:p>
  </w:footnote>
  <w:footnote w:type="continuationSeparator" w:id="0">
    <w:p w:rsidR="00D91931" w:rsidRDefault="00D91931" w:rsidP="00407B78">
      <w:pPr>
        <w:tabs>
          <w:tab w:val="right" w:pos="2155"/>
        </w:tabs>
        <w:spacing w:after="80"/>
        <w:ind w:left="680"/>
        <w:rPr>
          <w:u w:val="single"/>
        </w:rPr>
      </w:pPr>
      <w:r>
        <w:rPr>
          <w:u w:val="single"/>
        </w:rPr>
        <w:tab/>
      </w:r>
    </w:p>
  </w:footnote>
  <w:footnote w:id="1">
    <w:p w:rsidR="00D91931" w:rsidRPr="001869B9" w:rsidRDefault="00D91931" w:rsidP="002F00C1">
      <w:pPr>
        <w:pStyle w:val="FootnoteText"/>
        <w:rPr>
          <w:lang w:val="ru-RU"/>
        </w:rPr>
      </w:pPr>
      <w:r w:rsidRPr="001869B9">
        <w:rPr>
          <w:lang w:val="ru-RU"/>
        </w:rPr>
        <w:tab/>
      </w:r>
      <w:r w:rsidRPr="001869B9">
        <w:rPr>
          <w:sz w:val="20"/>
          <w:lang w:val="ru-RU"/>
        </w:rPr>
        <w:t>*</w:t>
      </w:r>
      <w:r w:rsidRPr="001869B9">
        <w:rPr>
          <w:lang w:val="ru-RU"/>
        </w:rPr>
        <w:tab/>
        <w:t xml:space="preserve">Настоящий документ </w:t>
      </w:r>
      <w:r>
        <w:rPr>
          <w:lang w:val="ru-RU"/>
        </w:rPr>
        <w:t>издается</w:t>
      </w:r>
      <w:r w:rsidRPr="001869B9">
        <w:rPr>
          <w:lang w:val="ru-RU"/>
        </w:rPr>
        <w:t xml:space="preserve"> без официального редактирования.</w:t>
      </w:r>
    </w:p>
  </w:footnote>
  <w:footnote w:id="2">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Статья 1 Конституции Вануату.</w:t>
      </w:r>
    </w:p>
  </w:footnote>
  <w:footnote w:id="3">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Метеорологическая служба Вануату, 2011</w:t>
      </w:r>
      <w:r>
        <w:rPr>
          <w:lang w:val="ru-RU"/>
        </w:rPr>
        <w:t> год</w:t>
      </w:r>
      <w:r w:rsidRPr="003229B0">
        <w:rPr>
          <w:lang w:val="ru-RU"/>
        </w:rPr>
        <w:t>.</w:t>
      </w:r>
    </w:p>
  </w:footnote>
  <w:footnote w:id="4">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Pr>
          <w:lang w:val="ru-RU"/>
        </w:rPr>
        <w:tab/>
        <w:t>Глава 230.</w:t>
      </w:r>
    </w:p>
  </w:footnote>
  <w:footnote w:id="5">
    <w:p w:rsidR="00D91931" w:rsidRPr="003229B0" w:rsidRDefault="00D91931" w:rsidP="0042241A">
      <w:pPr>
        <w:pStyle w:val="FootnoteText"/>
        <w:rPr>
          <w:lang w:val="ru-RU"/>
        </w:rPr>
      </w:pPr>
      <w:r w:rsidRPr="003229B0">
        <w:rPr>
          <w:lang w:val="ru-RU"/>
        </w:rPr>
        <w:tab/>
      </w:r>
      <w:r w:rsidRPr="003229B0">
        <w:rPr>
          <w:rStyle w:val="FootnoteReference"/>
          <w:lang w:val="ru-RU"/>
        </w:rPr>
        <w:footnoteRef/>
      </w:r>
      <w:r w:rsidRPr="003229B0">
        <w:rPr>
          <w:lang w:val="ru-RU"/>
        </w:rPr>
        <w:tab/>
        <w:t>Малампа (Малекула, Амбрим, Паама), Пенама (Пентекост, Амбае, Маэво), Санма (Санто/Эспириту-Санто, Мало), Шефа (Шеперд, Эфате), Тафеа (Танна, Анива, Футуна, Эроманга, Анейтьюм) и Торба (Торрес, Банкс).</w:t>
      </w:r>
    </w:p>
  </w:footnote>
  <w:footnote w:id="6">
    <w:p w:rsidR="00D91931" w:rsidRPr="003229B0" w:rsidRDefault="00D91931" w:rsidP="0042241A">
      <w:pPr>
        <w:pStyle w:val="FootnoteText"/>
        <w:rPr>
          <w:lang w:val="ru-RU"/>
        </w:rPr>
      </w:pPr>
      <w:r w:rsidRPr="003229B0">
        <w:rPr>
          <w:lang w:val="ru-RU"/>
        </w:rPr>
        <w:tab/>
      </w:r>
      <w:r w:rsidRPr="003229B0">
        <w:rPr>
          <w:rStyle w:val="FootnoteReference"/>
          <w:lang w:val="ru-RU"/>
        </w:rPr>
        <w:footnoteRef/>
      </w:r>
      <w:r w:rsidRPr="003229B0">
        <w:rPr>
          <w:lang w:val="ru-RU"/>
        </w:rPr>
        <w:tab/>
        <w:t>Глава 126, 1980</w:t>
      </w:r>
      <w:r>
        <w:rPr>
          <w:lang w:val="ru-RU"/>
        </w:rPr>
        <w:t> год</w:t>
      </w:r>
      <w:r w:rsidRPr="003229B0">
        <w:rPr>
          <w:lang w:val="ru-RU"/>
        </w:rPr>
        <w:t>.</w:t>
      </w:r>
    </w:p>
  </w:footnote>
  <w:footnote w:id="7">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Закон о муниципалитетах, часть</w:t>
      </w:r>
      <w:r>
        <w:rPr>
          <w:lang w:val="ru-RU"/>
        </w:rPr>
        <w:t> </w:t>
      </w:r>
      <w:r w:rsidRPr="003229B0">
        <w:rPr>
          <w:lang w:val="ru-RU"/>
        </w:rPr>
        <w:t>2, раздел</w:t>
      </w:r>
      <w:r>
        <w:rPr>
          <w:lang w:val="ru-RU"/>
        </w:rPr>
        <w:t> </w:t>
      </w:r>
      <w:r w:rsidRPr="003229B0">
        <w:rPr>
          <w:lang w:val="ru-RU"/>
        </w:rPr>
        <w:t>2.</w:t>
      </w:r>
    </w:p>
  </w:footnote>
  <w:footnote w:id="8">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Доклад о национальной оценке Вануату, 2010</w:t>
      </w:r>
      <w:r>
        <w:rPr>
          <w:lang w:val="ru-RU"/>
        </w:rPr>
        <w:t> год</w:t>
      </w:r>
      <w:r w:rsidRPr="003229B0">
        <w:rPr>
          <w:lang w:val="ru-RU"/>
        </w:rPr>
        <w:t>.</w:t>
      </w:r>
    </w:p>
  </w:footnote>
  <w:footnote w:id="9">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Национальное статистическое управление Вануату, 2009</w:t>
      </w:r>
      <w:r>
        <w:rPr>
          <w:lang w:val="ru-RU"/>
        </w:rPr>
        <w:t> год.</w:t>
      </w:r>
    </w:p>
  </w:footnote>
  <w:footnote w:id="10">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Доклад Конференции тихоокеанских островов, 2010</w:t>
      </w:r>
      <w:r>
        <w:rPr>
          <w:lang w:val="ru-RU"/>
        </w:rPr>
        <w:t> год</w:t>
      </w:r>
      <w:r w:rsidRPr="003229B0">
        <w:rPr>
          <w:lang w:val="ru-RU"/>
        </w:rPr>
        <w:t>.</w:t>
      </w:r>
    </w:p>
  </w:footnote>
  <w:footnote w:id="11">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t>Ежегодный доклад Резервного банка Вануату, 2009</w:t>
      </w:r>
      <w:r>
        <w:rPr>
          <w:lang w:val="ru-RU"/>
        </w:rPr>
        <w:t> год</w:t>
      </w:r>
      <w:r w:rsidRPr="003229B0">
        <w:rPr>
          <w:lang w:val="ru-RU"/>
        </w:rPr>
        <w:t>.</w:t>
      </w:r>
    </w:p>
  </w:footnote>
  <w:footnote w:id="12">
    <w:p w:rsidR="00D91931" w:rsidRPr="003229B0" w:rsidRDefault="00D91931" w:rsidP="002F00C1">
      <w:pPr>
        <w:pStyle w:val="FootnoteText"/>
        <w:rPr>
          <w:lang w:val="ru-RU"/>
        </w:rPr>
      </w:pPr>
      <w:r w:rsidRPr="00431330">
        <w:rPr>
          <w:lang w:val="ru-RU"/>
        </w:rPr>
        <w:tab/>
      </w:r>
      <w:r w:rsidRPr="003229B0">
        <w:rPr>
          <w:rStyle w:val="FootnoteReference"/>
          <w:lang w:val="ru-RU"/>
        </w:rPr>
        <w:footnoteRef/>
      </w:r>
      <w:r w:rsidRPr="003229B0">
        <w:rPr>
          <w:lang w:val="ru-RU"/>
        </w:rPr>
        <w:tab/>
        <w:t>Комитет Организации Объединенных Наций по ликвидации дискриминации в</w:t>
      </w:r>
      <w:r>
        <w:rPr>
          <w:lang w:val="ru-RU"/>
        </w:rPr>
        <w:t> </w:t>
      </w:r>
      <w:r w:rsidRPr="003229B0">
        <w:rPr>
          <w:lang w:val="ru-RU"/>
        </w:rPr>
        <w:t>отношении женщин, 1991</w:t>
      </w:r>
      <w:r>
        <w:rPr>
          <w:lang w:val="ru-RU"/>
        </w:rPr>
        <w:t> год</w:t>
      </w:r>
      <w:r w:rsidRPr="003229B0">
        <w:rPr>
          <w:lang w:val="ru-RU"/>
        </w:rPr>
        <w:t>.</w:t>
      </w:r>
    </w:p>
  </w:footnote>
  <w:footnote w:id="13">
    <w:p w:rsidR="00D91931" w:rsidRPr="003229B0" w:rsidRDefault="00D91931" w:rsidP="00C4178C">
      <w:pPr>
        <w:pStyle w:val="FootnoteText"/>
        <w:rPr>
          <w:lang w:val="ru-RU"/>
        </w:rPr>
      </w:pPr>
      <w:r w:rsidRPr="003229B0">
        <w:rPr>
          <w:lang w:val="ru-RU"/>
        </w:rPr>
        <w:tab/>
      </w:r>
      <w:r w:rsidRPr="003229B0">
        <w:rPr>
          <w:rStyle w:val="FootnoteReference"/>
          <w:lang w:val="ru-RU"/>
        </w:rPr>
        <w:footnoteRef/>
      </w:r>
      <w:r w:rsidRPr="003229B0">
        <w:rPr>
          <w:lang w:val="ru-RU"/>
        </w:rPr>
        <w:tab/>
        <w:t xml:space="preserve">Бивакоская основа для действий на пороге тысячелетия (БОДТ): БОДТ является политическим документом и планом действий в интересах построения открытого, доступного и равноправного общества для людей с инвалидностью </w:t>
      </w:r>
      <w:r>
        <w:rPr>
          <w:lang w:val="ru-RU"/>
        </w:rPr>
        <w:br/>
      </w:r>
      <w:r w:rsidRPr="003229B0">
        <w:rPr>
          <w:lang w:val="ru-RU"/>
        </w:rPr>
        <w:t>в Азиатско-Тихоокеанском регионе к 2012</w:t>
      </w:r>
      <w:r>
        <w:rPr>
          <w:lang w:val="ru-RU"/>
        </w:rPr>
        <w:t> году</w:t>
      </w:r>
      <w:r w:rsidRPr="003229B0">
        <w:rPr>
          <w:lang w:val="ru-RU"/>
        </w:rPr>
        <w:t>. Этот документ основан на программе действий, которая определяла работу в ходе первого десятилетия. Он предусматривает ряд принципов, стратегий, целей, задач и практических директив и включает всеобъемлющий набор установок, которые могут быть использованы странами при</w:t>
      </w:r>
      <w:r>
        <w:rPr>
          <w:lang w:val="ru-RU"/>
        </w:rPr>
        <w:t> </w:t>
      </w:r>
      <w:r w:rsidRPr="003229B0">
        <w:rPr>
          <w:lang w:val="ru-RU"/>
        </w:rPr>
        <w:t>разработке политики и планировании и осуществлении программ в интересах инвалидов.</w:t>
      </w:r>
    </w:p>
  </w:footnote>
  <w:footnote w:id="14">
    <w:p w:rsidR="00D91931" w:rsidRPr="003229B0" w:rsidRDefault="00D91931" w:rsidP="002F00C1">
      <w:pPr>
        <w:pStyle w:val="FootnoteText"/>
        <w:rPr>
          <w:lang w:val="ru-RU"/>
        </w:rPr>
      </w:pPr>
      <w:r w:rsidRPr="00431330">
        <w:rPr>
          <w:lang w:val="ru-RU"/>
        </w:rPr>
        <w:tab/>
      </w:r>
      <w:r w:rsidRPr="003229B0">
        <w:rPr>
          <w:rStyle w:val="FootnoteReference"/>
          <w:lang w:val="ru-RU"/>
        </w:rPr>
        <w:footnoteRef/>
      </w:r>
      <w:r w:rsidRPr="003229B0">
        <w:rPr>
          <w:lang w:val="ru-RU"/>
        </w:rPr>
        <w:tab/>
        <w:t>Основные показатели способствуют межстрановому обмену информацией о</w:t>
      </w:r>
      <w:r>
        <w:t> </w:t>
      </w:r>
      <w:r w:rsidRPr="003229B0">
        <w:rPr>
          <w:lang w:val="ru-RU"/>
        </w:rPr>
        <w:t>прогрессе, достигнутом в ходе нового Десятилетия; эти показатели являются показателями, по которым, при определенных усилиях, можно собрать данные. Дополнительные показатели могут способствовать отслеживанию прогресса в</w:t>
      </w:r>
      <w:r>
        <w:t> </w:t>
      </w:r>
      <w:r w:rsidRPr="003229B0">
        <w:rPr>
          <w:lang w:val="ru-RU"/>
        </w:rPr>
        <w:t>различных странах со схожими условиями в области социально-экономического развития, в отношении которого данные, возможно, будет собирать сложнее.</w:t>
      </w:r>
    </w:p>
  </w:footnote>
  <w:footnote w:id="15">
    <w:p w:rsidR="00D91931" w:rsidRPr="003229B0" w:rsidRDefault="00D91931" w:rsidP="002F00C1">
      <w:pPr>
        <w:pStyle w:val="FootnoteText"/>
        <w:rPr>
          <w:lang w:val="ru-RU"/>
        </w:rPr>
      </w:pPr>
      <w:r w:rsidRPr="003229B0">
        <w:rPr>
          <w:lang w:val="ru-RU"/>
        </w:rPr>
        <w:tab/>
      </w:r>
      <w:r w:rsidRPr="003229B0">
        <w:rPr>
          <w:rStyle w:val="FootnoteReference"/>
          <w:lang w:val="ru-RU"/>
        </w:rPr>
        <w:footnoteRef/>
      </w:r>
      <w:r w:rsidRPr="003229B0">
        <w:rPr>
          <w:lang w:val="ru-RU"/>
        </w:rPr>
        <w:tab/>
      </w:r>
      <w:r>
        <w:rPr>
          <w:lang w:val="ru-RU"/>
        </w:rPr>
        <w:t>Статья 5 (1) Конституции Республики Вануату.</w:t>
      </w:r>
    </w:p>
  </w:footnote>
  <w:footnote w:id="16">
    <w:p w:rsidR="00D91931" w:rsidRPr="00431330" w:rsidRDefault="00D91931" w:rsidP="002F00C1">
      <w:pPr>
        <w:pStyle w:val="FootnoteText"/>
        <w:rPr>
          <w:lang w:val="ru-RU"/>
        </w:rPr>
      </w:pPr>
      <w:r w:rsidRPr="00431330">
        <w:rPr>
          <w:lang w:val="ru-RU"/>
        </w:rPr>
        <w:tab/>
      </w:r>
      <w:r w:rsidRPr="003229B0">
        <w:rPr>
          <w:rStyle w:val="FootnoteReference"/>
        </w:rPr>
        <w:footnoteRef/>
      </w:r>
      <w:r w:rsidRPr="00431330">
        <w:rPr>
          <w:lang w:val="ru-RU"/>
        </w:rPr>
        <w:tab/>
      </w:r>
      <w:r>
        <w:rPr>
          <w:lang w:val="ru-RU"/>
        </w:rPr>
        <w:t>Статья 5 (1) </w:t>
      </w:r>
      <w:r w:rsidRPr="00431330">
        <w:rPr>
          <w:lang w:val="ru-RU"/>
        </w:rPr>
        <w:t xml:space="preserve">Конституции </w:t>
      </w:r>
      <w:r>
        <w:rPr>
          <w:lang w:val="ru-RU"/>
        </w:rPr>
        <w:t>Республики Вануату.</w:t>
      </w:r>
    </w:p>
  </w:footnote>
  <w:footnote w:id="17">
    <w:p w:rsidR="00D91931" w:rsidRPr="00431330" w:rsidRDefault="00D91931" w:rsidP="002F00C1">
      <w:pPr>
        <w:pStyle w:val="FootnoteText"/>
        <w:tabs>
          <w:tab w:val="left" w:pos="1418"/>
        </w:tabs>
        <w:rPr>
          <w:lang w:val="ru-RU"/>
        </w:rPr>
      </w:pPr>
      <w:r w:rsidRPr="00431330">
        <w:rPr>
          <w:lang w:val="ru-RU"/>
        </w:rPr>
        <w:tab/>
      </w:r>
      <w:r w:rsidRPr="003229B0">
        <w:rPr>
          <w:rStyle w:val="FootnoteReference"/>
        </w:rPr>
        <w:footnoteRef/>
      </w:r>
      <w:r w:rsidRPr="00431330">
        <w:rPr>
          <w:lang w:val="ru-RU"/>
        </w:rPr>
        <w:tab/>
        <w:t>1.</w:t>
      </w:r>
      <w:r w:rsidRPr="00431330">
        <w:rPr>
          <w:lang w:val="ru-RU"/>
        </w:rPr>
        <w:tab/>
        <w:t>В соответствии с частью</w:t>
      </w:r>
      <w:r>
        <w:rPr>
          <w:lang w:val="ru-RU"/>
        </w:rPr>
        <w:t> </w:t>
      </w:r>
      <w:r w:rsidRPr="00431330">
        <w:rPr>
          <w:lang w:val="ru-RU"/>
        </w:rPr>
        <w:t xml:space="preserve">А3 </w:t>
      </w:r>
      <w:r>
        <w:rPr>
          <w:lang w:val="ru-RU"/>
        </w:rPr>
        <w:t>«</w:t>
      </w:r>
      <w:r w:rsidRPr="00431330">
        <w:rPr>
          <w:lang w:val="ru-RU"/>
        </w:rPr>
        <w:t>Классификации зданий и сооружений</w:t>
      </w:r>
      <w:r>
        <w:rPr>
          <w:lang w:val="ru-RU"/>
        </w:rPr>
        <w:t>»</w:t>
      </w:r>
      <w:r w:rsidRPr="00431330">
        <w:rPr>
          <w:lang w:val="ru-RU"/>
        </w:rPr>
        <w:t xml:space="preserve"> в Своде строительных норм общественные здания определяются как здания классов</w:t>
      </w:r>
      <w:r>
        <w:rPr>
          <w:lang w:val="ru-RU"/>
        </w:rPr>
        <w:t> </w:t>
      </w:r>
      <w:r w:rsidRPr="00431330">
        <w:rPr>
          <w:lang w:val="ru-RU"/>
        </w:rPr>
        <w:t>5, 6, 7, 8 и</w:t>
      </w:r>
      <w:r>
        <w:rPr>
          <w:lang w:val="ru-RU"/>
        </w:rPr>
        <w:t> </w:t>
      </w:r>
      <w:r w:rsidRPr="00431330">
        <w:rPr>
          <w:lang w:val="ru-RU"/>
        </w:rPr>
        <w:t>9 и включают школы-интернаты, общежития, пансионы, дома для престарелых, инвалидов и детей, больницы, терминалы аэропортов, гостиницы, административные здания, кафе, рестораны, бары, женские и мужские парикмахерские, общественные автостоянки и здания парламента.</w:t>
      </w:r>
    </w:p>
    <w:p w:rsidR="00D91931" w:rsidRPr="00431330" w:rsidRDefault="00D91931" w:rsidP="002F00C1">
      <w:pPr>
        <w:pStyle w:val="FootnoteText"/>
        <w:tabs>
          <w:tab w:val="left" w:pos="1418"/>
        </w:tabs>
        <w:rPr>
          <w:lang w:val="ru-RU"/>
        </w:rPr>
      </w:pPr>
      <w:r w:rsidRPr="00431330">
        <w:rPr>
          <w:lang w:val="ru-RU"/>
        </w:rPr>
        <w:tab/>
      </w:r>
      <w:r w:rsidRPr="00431330">
        <w:rPr>
          <w:lang w:val="ru-RU"/>
        </w:rPr>
        <w:tab/>
        <w:t>2.</w:t>
      </w:r>
      <w:r w:rsidRPr="00431330">
        <w:rPr>
          <w:lang w:val="ru-RU"/>
        </w:rPr>
        <w:tab/>
        <w:t xml:space="preserve">Свод строительных норм как часть Регламента справочных </w:t>
      </w:r>
      <w:r>
        <w:rPr>
          <w:lang w:val="ru-RU"/>
        </w:rPr>
        <w:br/>
      </w:r>
      <w:r w:rsidRPr="00431330">
        <w:rPr>
          <w:lang w:val="ru-RU"/>
        </w:rPr>
        <w:t>нормативно-технических документов (раздел</w:t>
      </w:r>
      <w:r>
        <w:rPr>
          <w:lang w:val="ru-RU"/>
        </w:rPr>
        <w:t> </w:t>
      </w:r>
      <w:r w:rsidRPr="00431330">
        <w:rPr>
          <w:lang w:val="ru-RU"/>
        </w:rPr>
        <w:t>А1.3) был составлен с учетом австралийского стандарта</w:t>
      </w:r>
      <w:r>
        <w:rPr>
          <w:lang w:val="ru-RU"/>
        </w:rPr>
        <w:t> </w:t>
      </w:r>
      <w:r w:rsidRPr="00431330">
        <w:rPr>
          <w:lang w:val="ru-RU"/>
        </w:rPr>
        <w:t xml:space="preserve">1428 (АС 1428) под названием </w:t>
      </w:r>
      <w:r>
        <w:rPr>
          <w:lang w:val="ru-RU"/>
        </w:rPr>
        <w:t>«</w:t>
      </w:r>
      <w:r w:rsidRPr="00431330">
        <w:rPr>
          <w:lang w:val="ru-RU"/>
        </w:rPr>
        <w:t>Правила проектирования для</w:t>
      </w:r>
      <w:r>
        <w:rPr>
          <w:lang w:val="ru-RU"/>
        </w:rPr>
        <w:t xml:space="preserve"> </w:t>
      </w:r>
      <w:r w:rsidRPr="00431330">
        <w:rPr>
          <w:lang w:val="ru-RU"/>
        </w:rPr>
        <w:t>обеспечения доступа инвалидам</w:t>
      </w:r>
      <w:r>
        <w:rPr>
          <w:lang w:val="ru-RU"/>
        </w:rPr>
        <w:t>»</w:t>
      </w:r>
      <w:r w:rsidRPr="00431330">
        <w:rPr>
          <w:lang w:val="ru-RU"/>
        </w:rPr>
        <w:t>, которые включены в Свод строительных норм в</w:t>
      </w:r>
      <w:r>
        <w:rPr>
          <w:lang w:val="ru-RU"/>
        </w:rPr>
        <w:t> </w:t>
      </w:r>
      <w:r w:rsidRPr="00431330">
        <w:rPr>
          <w:lang w:val="ru-RU"/>
        </w:rPr>
        <w:t xml:space="preserve">качестве положений </w:t>
      </w:r>
      <w:r w:rsidRPr="004D4211">
        <w:t>ND</w:t>
      </w:r>
      <w:r w:rsidRPr="00431330">
        <w:rPr>
          <w:lang w:val="ru-RU"/>
        </w:rPr>
        <w:t xml:space="preserve">3.2, </w:t>
      </w:r>
      <w:r w:rsidRPr="004D4211">
        <w:t>ND</w:t>
      </w:r>
      <w:r w:rsidRPr="00431330">
        <w:rPr>
          <w:lang w:val="ru-RU"/>
        </w:rPr>
        <w:t xml:space="preserve">3.3 и </w:t>
      </w:r>
      <w:r w:rsidRPr="004D4211">
        <w:t>NF</w:t>
      </w:r>
      <w:r w:rsidRPr="00431330">
        <w:rPr>
          <w:lang w:val="ru-RU"/>
        </w:rPr>
        <w:t>2.5.</w:t>
      </w:r>
    </w:p>
  </w:footnote>
  <w:footnote w:id="18">
    <w:p w:rsidR="00D91931" w:rsidRPr="004D4211" w:rsidRDefault="00D91931" w:rsidP="00EC5C62">
      <w:pPr>
        <w:pStyle w:val="FootnoteText"/>
      </w:pPr>
      <w:r w:rsidRPr="00431330">
        <w:rPr>
          <w:lang w:val="ru-RU"/>
        </w:rPr>
        <w:tab/>
      </w:r>
      <w:r w:rsidRPr="003229B0">
        <w:rPr>
          <w:rStyle w:val="FootnoteReference"/>
        </w:rPr>
        <w:footnoteRef/>
      </w:r>
      <w:r w:rsidRPr="004D4211">
        <w:tab/>
        <w:t>Статья 5 (2) а</w:t>
      </w:r>
      <w:r>
        <w:rPr>
          <w:lang w:val="ru-RU"/>
        </w:rPr>
        <w:t>)–</w:t>
      </w:r>
      <w:r w:rsidRPr="004D4211">
        <w: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pPr>
      <w:pStyle w:val="Header"/>
    </w:pPr>
    <w:r>
      <w:t>CRPD/C/VUT</w:t>
    </w:r>
    <w:r w:rsidRPr="00A15416">
      <w: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6116C9">
    <w:pPr>
      <w:pStyle w:val="Header"/>
      <w:jc w:val="right"/>
    </w:pPr>
    <w:r>
      <w:t>CRPD/C/VUT</w:t>
    </w:r>
    <w:r w:rsidRPr="00A15416">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pPr>
      <w:pStyle w:val="Header"/>
    </w:pPr>
    <w:r>
      <w:t>CRPD/C/VUT</w:t>
    </w:r>
    <w:r w:rsidRPr="00A15416">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rsidP="00182F51">
    <w:pPr>
      <w:pStyle w:val="Header"/>
      <w:jc w:val="right"/>
    </w:pPr>
    <w:r>
      <w:t>CRPD/C/VUT</w:t>
    </w:r>
    <w:r w:rsidRPr="00A15416">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22120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22120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Default="00D919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221204">
    <w:pPr>
      <w:pStyle w:val="Header"/>
    </w:pPr>
    <w:r>
      <w:t>CRPD/C/VUT</w:t>
    </w:r>
    <w:r w:rsidRPr="00A15416">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31" w:rsidRPr="00221204" w:rsidRDefault="00D91931" w:rsidP="00221204">
    <w:pPr>
      <w:pStyle w:val="Header"/>
      <w:jc w:val="right"/>
    </w:pPr>
    <w:r>
      <w:t>CRPD/C/VUT</w:t>
    </w:r>
    <w:r w:rsidRPr="00A154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C1"/>
    <w:rsid w:val="00026643"/>
    <w:rsid w:val="00033EE1"/>
    <w:rsid w:val="00042B72"/>
    <w:rsid w:val="000558BD"/>
    <w:rsid w:val="000B57E7"/>
    <w:rsid w:val="000B6373"/>
    <w:rsid w:val="000B732B"/>
    <w:rsid w:val="000F09DF"/>
    <w:rsid w:val="000F61B2"/>
    <w:rsid w:val="001075E9"/>
    <w:rsid w:val="00180183"/>
    <w:rsid w:val="0018024D"/>
    <w:rsid w:val="00182F51"/>
    <w:rsid w:val="0018649F"/>
    <w:rsid w:val="00196389"/>
    <w:rsid w:val="001B3EF6"/>
    <w:rsid w:val="001C499F"/>
    <w:rsid w:val="001C7460"/>
    <w:rsid w:val="001C7A89"/>
    <w:rsid w:val="001D4602"/>
    <w:rsid w:val="00215062"/>
    <w:rsid w:val="00221204"/>
    <w:rsid w:val="0027441B"/>
    <w:rsid w:val="0027709C"/>
    <w:rsid w:val="002846B3"/>
    <w:rsid w:val="002A2EFC"/>
    <w:rsid w:val="002B4BC9"/>
    <w:rsid w:val="002B74B1"/>
    <w:rsid w:val="002C0E18"/>
    <w:rsid w:val="002D06E3"/>
    <w:rsid w:val="002D4E30"/>
    <w:rsid w:val="002D5AAC"/>
    <w:rsid w:val="002E5067"/>
    <w:rsid w:val="002F00C1"/>
    <w:rsid w:val="002F405F"/>
    <w:rsid w:val="002F7EEC"/>
    <w:rsid w:val="00301299"/>
    <w:rsid w:val="00305C08"/>
    <w:rsid w:val="00307FB6"/>
    <w:rsid w:val="00317339"/>
    <w:rsid w:val="00322004"/>
    <w:rsid w:val="003349E4"/>
    <w:rsid w:val="003402C2"/>
    <w:rsid w:val="00381C24"/>
    <w:rsid w:val="003958D0"/>
    <w:rsid w:val="003B00E5"/>
    <w:rsid w:val="00407B78"/>
    <w:rsid w:val="0042241A"/>
    <w:rsid w:val="004239C8"/>
    <w:rsid w:val="00424203"/>
    <w:rsid w:val="00450F19"/>
    <w:rsid w:val="00452493"/>
    <w:rsid w:val="00453318"/>
    <w:rsid w:val="00454E07"/>
    <w:rsid w:val="00472C5C"/>
    <w:rsid w:val="004A17DD"/>
    <w:rsid w:val="004C1594"/>
    <w:rsid w:val="0050108D"/>
    <w:rsid w:val="00513081"/>
    <w:rsid w:val="00517901"/>
    <w:rsid w:val="00526683"/>
    <w:rsid w:val="0053738C"/>
    <w:rsid w:val="005570B1"/>
    <w:rsid w:val="005709E0"/>
    <w:rsid w:val="00572697"/>
    <w:rsid w:val="00572E19"/>
    <w:rsid w:val="005961C8"/>
    <w:rsid w:val="005966F1"/>
    <w:rsid w:val="005D7914"/>
    <w:rsid w:val="005E2B41"/>
    <w:rsid w:val="005F0B42"/>
    <w:rsid w:val="006037EA"/>
    <w:rsid w:val="006116C9"/>
    <w:rsid w:val="00681A10"/>
    <w:rsid w:val="00686CF1"/>
    <w:rsid w:val="006A1ED8"/>
    <w:rsid w:val="006B5625"/>
    <w:rsid w:val="006C2031"/>
    <w:rsid w:val="006D461A"/>
    <w:rsid w:val="006F35EE"/>
    <w:rsid w:val="007021FF"/>
    <w:rsid w:val="00712895"/>
    <w:rsid w:val="00757357"/>
    <w:rsid w:val="007A0B77"/>
    <w:rsid w:val="007B6EBA"/>
    <w:rsid w:val="007C3F50"/>
    <w:rsid w:val="00806737"/>
    <w:rsid w:val="00811EAE"/>
    <w:rsid w:val="00825F8D"/>
    <w:rsid w:val="00833758"/>
    <w:rsid w:val="00834B71"/>
    <w:rsid w:val="0086445C"/>
    <w:rsid w:val="008934D2"/>
    <w:rsid w:val="00894693"/>
    <w:rsid w:val="008A08D7"/>
    <w:rsid w:val="008A09E9"/>
    <w:rsid w:val="008B6909"/>
    <w:rsid w:val="008D403C"/>
    <w:rsid w:val="00903712"/>
    <w:rsid w:val="00906890"/>
    <w:rsid w:val="00911BE4"/>
    <w:rsid w:val="00912EB1"/>
    <w:rsid w:val="00951972"/>
    <w:rsid w:val="009608F3"/>
    <w:rsid w:val="00964573"/>
    <w:rsid w:val="00986BEF"/>
    <w:rsid w:val="009A24AC"/>
    <w:rsid w:val="009F7F00"/>
    <w:rsid w:val="00A14DA8"/>
    <w:rsid w:val="00A17BF2"/>
    <w:rsid w:val="00A312BC"/>
    <w:rsid w:val="00A425A1"/>
    <w:rsid w:val="00A67FDF"/>
    <w:rsid w:val="00A84021"/>
    <w:rsid w:val="00A84D35"/>
    <w:rsid w:val="00A917B3"/>
    <w:rsid w:val="00AB4B51"/>
    <w:rsid w:val="00AC12E8"/>
    <w:rsid w:val="00B10CC7"/>
    <w:rsid w:val="00B36DF7"/>
    <w:rsid w:val="00B40413"/>
    <w:rsid w:val="00B42FBF"/>
    <w:rsid w:val="00B539E7"/>
    <w:rsid w:val="00B5540A"/>
    <w:rsid w:val="00B62458"/>
    <w:rsid w:val="00B85E26"/>
    <w:rsid w:val="00B914D9"/>
    <w:rsid w:val="00BC18B2"/>
    <w:rsid w:val="00BD33EE"/>
    <w:rsid w:val="00C106D6"/>
    <w:rsid w:val="00C4178C"/>
    <w:rsid w:val="00C60F0C"/>
    <w:rsid w:val="00C805C9"/>
    <w:rsid w:val="00C82BA4"/>
    <w:rsid w:val="00C90C79"/>
    <w:rsid w:val="00C92939"/>
    <w:rsid w:val="00CA1679"/>
    <w:rsid w:val="00CB151C"/>
    <w:rsid w:val="00CC2DAB"/>
    <w:rsid w:val="00CE5A1A"/>
    <w:rsid w:val="00CF55F6"/>
    <w:rsid w:val="00D33D63"/>
    <w:rsid w:val="00D35AFC"/>
    <w:rsid w:val="00D57668"/>
    <w:rsid w:val="00D90028"/>
    <w:rsid w:val="00D90138"/>
    <w:rsid w:val="00D91931"/>
    <w:rsid w:val="00DB22E3"/>
    <w:rsid w:val="00DD78D1"/>
    <w:rsid w:val="00DE32CD"/>
    <w:rsid w:val="00DF71B9"/>
    <w:rsid w:val="00E10CEF"/>
    <w:rsid w:val="00E1248E"/>
    <w:rsid w:val="00E30B7B"/>
    <w:rsid w:val="00E548CD"/>
    <w:rsid w:val="00E73F76"/>
    <w:rsid w:val="00E77684"/>
    <w:rsid w:val="00EA2C9F"/>
    <w:rsid w:val="00EA420E"/>
    <w:rsid w:val="00EB1096"/>
    <w:rsid w:val="00EB4C74"/>
    <w:rsid w:val="00EC5C62"/>
    <w:rsid w:val="00ED0BDA"/>
    <w:rsid w:val="00EF0904"/>
    <w:rsid w:val="00EF1360"/>
    <w:rsid w:val="00EF3220"/>
    <w:rsid w:val="00F43903"/>
    <w:rsid w:val="00F94155"/>
    <w:rsid w:val="00F9783F"/>
    <w:rsid w:val="00FC243B"/>
    <w:rsid w:val="00FD2EF7"/>
    <w:rsid w:val="00FD7E3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52207"/>
  <w15:docId w15:val="{00367FF8-FD92-4E7C-95DD-485C08A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5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7C3F5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7C3F50"/>
    <w:rPr>
      <w:b/>
      <w:spacing w:val="4"/>
      <w:w w:val="103"/>
      <w:kern w:val="14"/>
      <w:sz w:val="18"/>
      <w:lang w:val="en-GB" w:eastAsia="ru-RU"/>
    </w:rPr>
  </w:style>
  <w:style w:type="character" w:styleId="PageNumber">
    <w:name w:val="page number"/>
    <w:aliases w:val="7_GR"/>
    <w:basedOn w:val="DefaultParagraphFont"/>
    <w:qFormat/>
    <w:rsid w:val="007C3F50"/>
    <w:rPr>
      <w:rFonts w:ascii="Times New Roman" w:hAnsi="Times New Roman"/>
      <w:b/>
      <w:sz w:val="18"/>
    </w:rPr>
  </w:style>
  <w:style w:type="paragraph" w:styleId="Footer">
    <w:name w:val="footer"/>
    <w:aliases w:val="3_GR"/>
    <w:basedOn w:val="Normal"/>
    <w:link w:val="FooterChar"/>
    <w:qFormat/>
    <w:rsid w:val="007C3F5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7C3F50"/>
    <w:rPr>
      <w:spacing w:val="4"/>
      <w:w w:val="103"/>
      <w:kern w:val="14"/>
      <w:sz w:val="16"/>
      <w:lang w:val="en-GB" w:eastAsia="ru-RU"/>
    </w:rPr>
  </w:style>
  <w:style w:type="character" w:styleId="FootnoteReference">
    <w:name w:val="footnote reference"/>
    <w:aliases w:val="4_GR"/>
    <w:basedOn w:val="DefaultParagraphFont"/>
    <w:qFormat/>
    <w:rsid w:val="007C3F50"/>
    <w:rPr>
      <w:rFonts w:ascii="Times New Roman" w:hAnsi="Times New Roman"/>
      <w:dstrike w:val="0"/>
      <w:sz w:val="18"/>
      <w:vertAlign w:val="superscript"/>
    </w:rPr>
  </w:style>
  <w:style w:type="character" w:styleId="EndnoteReference">
    <w:name w:val="endnote reference"/>
    <w:aliases w:val="1_GR"/>
    <w:basedOn w:val="FootnoteReference"/>
    <w:qFormat/>
    <w:rsid w:val="007C3F50"/>
    <w:rPr>
      <w:rFonts w:ascii="Times New Roman" w:hAnsi="Times New Roman"/>
      <w:dstrike w:val="0"/>
      <w:sz w:val="18"/>
      <w:vertAlign w:val="superscript"/>
    </w:rPr>
  </w:style>
  <w:style w:type="table" w:styleId="TableGrid">
    <w:name w:val="Table Grid"/>
    <w:basedOn w:val="TableNormal"/>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7C3F50"/>
    <w:rPr>
      <w:spacing w:val="5"/>
      <w:w w:val="104"/>
      <w:kern w:val="14"/>
      <w:sz w:val="18"/>
      <w:lang w:val="en-GB" w:eastAsia="ru-RU"/>
    </w:rPr>
  </w:style>
  <w:style w:type="paragraph" w:styleId="EndnoteText">
    <w:name w:val="endnote text"/>
    <w:aliases w:val="2_GR"/>
    <w:basedOn w:val="FootnoteText"/>
    <w:link w:val="EndnoteTextChar"/>
    <w:qFormat/>
    <w:rsid w:val="007C3F50"/>
  </w:style>
  <w:style w:type="character" w:customStyle="1" w:styleId="EndnoteTextChar">
    <w:name w:val="Endnote Text Char"/>
    <w:aliases w:val="2_GR Char"/>
    <w:basedOn w:val="DefaultParagraphFont"/>
    <w:link w:val="EndnoteText"/>
    <w:rsid w:val="007C3F50"/>
    <w:rPr>
      <w:spacing w:val="5"/>
      <w:w w:val="104"/>
      <w:kern w:val="14"/>
      <w:sz w:val="18"/>
      <w:lang w:val="en-GB" w:eastAsia="ru-RU"/>
    </w:rPr>
  </w:style>
  <w:style w:type="character" w:customStyle="1" w:styleId="Heading1Char">
    <w:name w:val="Heading 1 Char"/>
    <w:aliases w:val="Table_GR Char"/>
    <w:basedOn w:val="DefaultParagraphFont"/>
    <w:link w:val="Heading1"/>
    <w:rsid w:val="007C3F50"/>
    <w:rPr>
      <w:rFonts w:cs="Arial"/>
      <w:b/>
      <w:bCs/>
      <w:spacing w:val="4"/>
      <w:w w:val="103"/>
      <w:kern w:val="14"/>
      <w:szCs w:val="32"/>
      <w:lang w:val="ru-RU" w:eastAsia="ru-RU"/>
    </w:rPr>
  </w:style>
  <w:style w:type="character" w:styleId="Hyperlink">
    <w:name w:val="Hyperlink"/>
    <w:basedOn w:val="DefaultParagraphFont"/>
    <w:semiHidden/>
    <w:unhideWhenUsed/>
    <w:rsid w:val="007C3F50"/>
    <w:rPr>
      <w:color w:val="0000FF" w:themeColor="hyperlink"/>
      <w:u w:val="none"/>
    </w:rPr>
  </w:style>
  <w:style w:type="character" w:styleId="FollowedHyperlink">
    <w:name w:val="FollowedHyperlink"/>
    <w:basedOn w:val="DefaultParagraphFont"/>
    <w:semiHidden/>
    <w:unhideWhenUsed/>
    <w:rsid w:val="007C3F5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9E5B-4573-4AB9-9623-60987876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6</TotalTime>
  <Pages>50</Pages>
  <Words>20805</Words>
  <Characters>118591</Characters>
  <Application>Microsoft Office Word</Application>
  <DocSecurity>0</DocSecurity>
  <Lines>988</Lines>
  <Paragraphs>278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Лена</dc:creator>
  <cp:lastModifiedBy>Weixiu Yang</cp:lastModifiedBy>
  <cp:revision>3</cp:revision>
  <cp:lastPrinted>2017-12-04T10:34:00Z</cp:lastPrinted>
  <dcterms:created xsi:type="dcterms:W3CDTF">2017-12-04T10:34:00Z</dcterms:created>
  <dcterms:modified xsi:type="dcterms:W3CDTF">2017-12-04T10:40:00Z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