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FF" w:rsidRDefault="00C22CFF" w:rsidP="00C22CFF">
      <w:pPr>
        <w:spacing w:line="240" w:lineRule="auto"/>
        <w:rPr>
          <w:sz w:val="6"/>
        </w:rPr>
        <w:sectPr w:rsidR="00C22CFF" w:rsidSect="005E7EA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E7EA3" w:rsidRDefault="008323A0" w:rsidP="008323A0">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rsidR="005E7EA3">
        <w:t xml:space="preserve">Committee on the Elimination of Discrimination </w:t>
      </w:r>
      <w:r>
        <w:br/>
      </w:r>
      <w:r w:rsidR="005E7EA3">
        <w:t>against Women</w:t>
      </w:r>
    </w:p>
    <w:p w:rsidR="005E7EA3" w:rsidRPr="008323A0" w:rsidRDefault="005E7EA3" w:rsidP="005E7E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8323A0">
        <w:rPr>
          <w:b/>
        </w:rPr>
        <w:t>Thirty-ninth session</w:t>
      </w:r>
    </w:p>
    <w:p w:rsidR="008323A0" w:rsidRPr="008323A0" w:rsidRDefault="008323A0" w:rsidP="008323A0">
      <w:pPr>
        <w:framePr w:w="9792" w:h="432" w:hSpace="180" w:wrap="around" w:hAnchor="page" w:x="1210" w:yAlign="bottom"/>
        <w:spacing w:line="240" w:lineRule="auto"/>
        <w:rPr>
          <w:sz w:val="10"/>
        </w:rPr>
      </w:pPr>
    </w:p>
    <w:p w:rsidR="008323A0" w:rsidRPr="008323A0" w:rsidRDefault="008323A0" w:rsidP="008323A0">
      <w:pPr>
        <w:framePr w:w="9792" w:h="432" w:hSpace="180" w:wrap="around" w:hAnchor="page" w:x="1210" w:yAlign="bottom"/>
        <w:spacing w:line="240" w:lineRule="auto"/>
        <w:rPr>
          <w:sz w:val="6"/>
        </w:rPr>
      </w:pPr>
      <w:r w:rsidRPr="008323A0">
        <w:rPr>
          <w:noProof/>
          <w:w w:val="100"/>
          <w:sz w:val="6"/>
          <w:lang w:eastAsia="en-GB"/>
        </w:rPr>
        <w:pict>
          <v:line id="_x0000_s1026" style="position:absolute;z-index:1;mso-position-horizontal-relative:page" from="108pt,-1pt" to="180pt,-1pt" strokeweight=".25pt">
            <w10:wrap anchorx="page"/>
          </v:line>
        </w:pict>
      </w:r>
    </w:p>
    <w:p w:rsidR="008323A0" w:rsidRPr="008323A0" w:rsidRDefault="008323A0" w:rsidP="008323A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CEDAW/C/2007/III/1.</w:t>
      </w:r>
    </w:p>
    <w:p w:rsidR="005E7EA3" w:rsidRDefault="005E7EA3" w:rsidP="005E7E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w:t>
      </w:r>
      <w:r w:rsidR="008323A0">
        <w:t>tem 5 of the provisional agenda*</w:t>
      </w:r>
    </w:p>
    <w:p w:rsidR="005E7EA3" w:rsidRDefault="005E7EA3" w:rsidP="005E7E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July</w:t>
      </w:r>
      <w:r w:rsidR="008323A0">
        <w:t>-</w:t>
      </w:r>
      <w:r>
        <w:t>10 August 2007</w:t>
      </w:r>
    </w:p>
    <w:p w:rsidR="005E7EA3" w:rsidRPr="008323A0" w:rsidRDefault="005E7EA3" w:rsidP="005E7E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8323A0">
        <w:rPr>
          <w:b/>
        </w:rPr>
        <w:t>Implementation of arti</w:t>
      </w:r>
      <w:r w:rsidR="008323A0">
        <w:rPr>
          <w:b/>
        </w:rPr>
        <w:t>cle 21 of the Convention on the</w:t>
      </w:r>
      <w:r w:rsidR="008323A0">
        <w:rPr>
          <w:b/>
        </w:rPr>
        <w:br/>
      </w:r>
      <w:r w:rsidRPr="008323A0">
        <w:rPr>
          <w:b/>
        </w:rPr>
        <w:t>Elimination of All Forms of Discrimination against Women</w:t>
      </w:r>
    </w:p>
    <w:p w:rsidR="008323A0" w:rsidRPr="008323A0" w:rsidRDefault="008323A0" w:rsidP="008323A0">
      <w:pPr>
        <w:pStyle w:val="SingleTxt"/>
        <w:spacing w:after="0" w:line="120" w:lineRule="exact"/>
        <w:rPr>
          <w:sz w:val="10"/>
        </w:rPr>
      </w:pPr>
    </w:p>
    <w:p w:rsidR="008323A0" w:rsidRPr="008323A0" w:rsidRDefault="008323A0" w:rsidP="008323A0">
      <w:pPr>
        <w:pStyle w:val="SingleTxt"/>
        <w:spacing w:after="0" w:line="120" w:lineRule="exact"/>
        <w:rPr>
          <w:sz w:val="10"/>
        </w:rPr>
      </w:pPr>
    </w:p>
    <w:p w:rsidR="008323A0" w:rsidRPr="008323A0" w:rsidRDefault="008323A0" w:rsidP="008323A0">
      <w:pPr>
        <w:pStyle w:val="SingleTxt"/>
        <w:spacing w:after="0" w:line="120" w:lineRule="exact"/>
        <w:rPr>
          <w:sz w:val="10"/>
        </w:rPr>
      </w:pPr>
    </w:p>
    <w:p w:rsidR="005E7EA3" w:rsidRDefault="008323A0" w:rsidP="008323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E7EA3">
        <w:t>Reports provided by specialized agencies of the United</w:t>
      </w:r>
      <w:r>
        <w:t> </w:t>
      </w:r>
      <w:r w:rsidR="005E7EA3">
        <w:t xml:space="preserve">Nations on the implementation of the </w:t>
      </w:r>
      <w:r>
        <w:br/>
      </w:r>
      <w:r w:rsidR="005E7EA3">
        <w:t xml:space="preserve">Convention in areas falling within the scope of </w:t>
      </w:r>
      <w:r>
        <w:t>their </w:t>
      </w:r>
      <w:r w:rsidR="005E7EA3">
        <w:t>activities</w:t>
      </w:r>
    </w:p>
    <w:p w:rsidR="008323A0" w:rsidRPr="008323A0" w:rsidRDefault="008323A0" w:rsidP="008323A0">
      <w:pPr>
        <w:pStyle w:val="SingleTxt"/>
        <w:spacing w:after="0" w:line="120" w:lineRule="exact"/>
        <w:rPr>
          <w:sz w:val="10"/>
        </w:rPr>
      </w:pPr>
    </w:p>
    <w:p w:rsidR="008323A0" w:rsidRPr="008323A0" w:rsidRDefault="008323A0" w:rsidP="008323A0">
      <w:pPr>
        <w:pStyle w:val="SingleTxt"/>
        <w:spacing w:after="0" w:line="120" w:lineRule="exact"/>
        <w:rPr>
          <w:sz w:val="10"/>
        </w:rPr>
      </w:pPr>
    </w:p>
    <w:p w:rsidR="005E7EA3" w:rsidRDefault="008323A0" w:rsidP="008323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5E7EA3">
        <w:t>Note by the Secretary-General</w:t>
      </w:r>
    </w:p>
    <w:p w:rsidR="008323A0" w:rsidRPr="008323A0" w:rsidRDefault="008323A0" w:rsidP="008323A0">
      <w:pPr>
        <w:pStyle w:val="SingleTxt"/>
        <w:spacing w:after="0" w:line="120" w:lineRule="exact"/>
        <w:rPr>
          <w:sz w:val="10"/>
        </w:rPr>
      </w:pPr>
    </w:p>
    <w:p w:rsidR="008323A0" w:rsidRPr="008323A0" w:rsidRDefault="008323A0" w:rsidP="008323A0">
      <w:pPr>
        <w:pStyle w:val="SingleTxt"/>
        <w:spacing w:after="0" w:line="120" w:lineRule="exact"/>
        <w:rPr>
          <w:sz w:val="10"/>
        </w:rPr>
      </w:pPr>
    </w:p>
    <w:p w:rsidR="005E7EA3" w:rsidRDefault="008323A0" w:rsidP="008323A0">
      <w:pPr>
        <w:pStyle w:val="H23"/>
        <w:ind w:right="1260"/>
      </w:pPr>
      <w:r>
        <w:tab/>
      </w:r>
      <w:r>
        <w:tab/>
      </w:r>
      <w:r w:rsidR="005E7EA3">
        <w:t>Addendum</w:t>
      </w:r>
    </w:p>
    <w:p w:rsidR="008323A0" w:rsidRPr="008323A0" w:rsidRDefault="008323A0" w:rsidP="008323A0">
      <w:pPr>
        <w:pStyle w:val="SingleTxt"/>
        <w:spacing w:after="0" w:line="120" w:lineRule="exact"/>
        <w:rPr>
          <w:sz w:val="10"/>
        </w:rPr>
      </w:pPr>
    </w:p>
    <w:p w:rsidR="008323A0" w:rsidRPr="008323A0" w:rsidRDefault="008323A0" w:rsidP="008323A0">
      <w:pPr>
        <w:pStyle w:val="SingleTxt"/>
        <w:spacing w:after="0" w:line="120" w:lineRule="exact"/>
        <w:rPr>
          <w:sz w:val="10"/>
        </w:rPr>
      </w:pPr>
    </w:p>
    <w:p w:rsidR="005E7EA3" w:rsidRDefault="008323A0" w:rsidP="008323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5E7EA3">
        <w:t>United Nations</w:t>
      </w:r>
      <w:r w:rsidR="00157FE3">
        <w:t>,</w:t>
      </w:r>
      <w:r w:rsidR="005E7EA3">
        <w:t xml:space="preserve"> Educational</w:t>
      </w:r>
      <w:r w:rsidR="00F5447F">
        <w:t>,</w:t>
      </w:r>
      <w:r w:rsidR="005E7EA3">
        <w:t xml:space="preserve"> Scientific and Cultural Organization </w:t>
      </w:r>
    </w:p>
    <w:p w:rsidR="005E7EA3" w:rsidRDefault="008323A0" w:rsidP="008323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5E7EA3">
        <w:t>Report of the United Nations Educational</w:t>
      </w:r>
      <w:r w:rsidR="00157FE3">
        <w:t>,</w:t>
      </w:r>
      <w:r w:rsidR="005E7EA3">
        <w:t xml:space="preserve"> Scientific and Cultural Organization (UNESCO)</w:t>
      </w:r>
      <w:r>
        <w:t xml:space="preserve"> </w:t>
      </w:r>
      <w:r w:rsidR="00994323">
        <w:t>to the Committee on the </w:t>
      </w:r>
      <w:r w:rsidR="005E7EA3">
        <w:t xml:space="preserve">Elimination of Discrimination </w:t>
      </w:r>
      <w:r w:rsidR="00157FE3">
        <w:t>a</w:t>
      </w:r>
      <w:r w:rsidR="005E7EA3">
        <w:t xml:space="preserve">gainst Women </w:t>
      </w:r>
      <w:r>
        <w:t xml:space="preserve">for its </w:t>
      </w:r>
      <w:r w:rsidR="00994323">
        <w:t>thirty-nin</w:t>
      </w:r>
      <w:r>
        <w:t>th </w:t>
      </w:r>
      <w:r w:rsidR="003B1499">
        <w:t>s</w:t>
      </w:r>
      <w:r w:rsidR="005E7EA3">
        <w:t>ession (23 July</w:t>
      </w:r>
      <w:r>
        <w:t>-</w:t>
      </w:r>
      <w:r w:rsidR="005E7EA3">
        <w:t>10 August 2007)</w:t>
      </w:r>
    </w:p>
    <w:p w:rsidR="008323A0" w:rsidRPr="008323A0" w:rsidRDefault="008323A0" w:rsidP="008323A0">
      <w:pPr>
        <w:pStyle w:val="SingleTxt"/>
        <w:spacing w:after="0" w:line="120" w:lineRule="exact"/>
        <w:rPr>
          <w:sz w:val="10"/>
        </w:rPr>
      </w:pPr>
    </w:p>
    <w:p w:rsidR="008323A0" w:rsidRPr="008323A0" w:rsidRDefault="008323A0" w:rsidP="008323A0">
      <w:pPr>
        <w:pStyle w:val="SingleTxt"/>
        <w:spacing w:after="0" w:line="120" w:lineRule="exact"/>
        <w:rPr>
          <w:sz w:val="10"/>
        </w:rPr>
      </w:pPr>
    </w:p>
    <w:p w:rsidR="005E7EA3" w:rsidRDefault="008323A0" w:rsidP="008323A0">
      <w:pPr>
        <w:pStyle w:val="HCh"/>
        <w:ind w:left="1267" w:right="1260" w:hanging="1267"/>
      </w:pPr>
      <w:r>
        <w:tab/>
      </w:r>
      <w:smartTag w:uri="urn:schemas-microsoft-com:office:smarttags" w:element="place">
        <w:r w:rsidR="005E7EA3">
          <w:t>I.</w:t>
        </w:r>
      </w:smartTag>
      <w:r w:rsidR="005E7EA3">
        <w:tab/>
      </w:r>
      <w:r>
        <w:t>Introduction</w:t>
      </w:r>
    </w:p>
    <w:p w:rsidR="008323A0" w:rsidRPr="008323A0" w:rsidRDefault="008323A0" w:rsidP="008323A0">
      <w:pPr>
        <w:pStyle w:val="SingleTxt"/>
        <w:spacing w:after="0" w:line="120" w:lineRule="exact"/>
        <w:rPr>
          <w:sz w:val="10"/>
        </w:rPr>
      </w:pPr>
    </w:p>
    <w:p w:rsidR="008323A0" w:rsidRPr="008323A0" w:rsidRDefault="008323A0" w:rsidP="008323A0">
      <w:pPr>
        <w:pStyle w:val="SingleTxt"/>
        <w:spacing w:after="0" w:line="120" w:lineRule="exact"/>
        <w:rPr>
          <w:sz w:val="10"/>
        </w:rPr>
      </w:pPr>
    </w:p>
    <w:p w:rsidR="008323A0" w:rsidRDefault="008323A0" w:rsidP="005E7EA3">
      <w:pPr>
        <w:pStyle w:val="SingleTxt"/>
      </w:pPr>
      <w:r>
        <w:t>1.</w:t>
      </w:r>
      <w:r>
        <w:tab/>
      </w:r>
      <w:r w:rsidR="005E7EA3">
        <w:t xml:space="preserve">The Committee on the Elimination of Discrimination </w:t>
      </w:r>
      <w:r w:rsidR="00157FE3">
        <w:t>a</w:t>
      </w:r>
      <w:r w:rsidR="005E7EA3">
        <w:t>gainst Women (CEDAW) will, at its thirty-ninth session, examine the national reports of the following countries:</w:t>
      </w:r>
      <w:r>
        <w:t xml:space="preserve"> </w:t>
      </w:r>
      <w:smartTag w:uri="urn:schemas-microsoft-com:office:smarttags" w:element="country-region">
        <w:r w:rsidR="005E7EA3">
          <w:t>Belize</w:t>
        </w:r>
      </w:smartTag>
      <w:r>
        <w:t xml:space="preserve">, </w:t>
      </w:r>
      <w:smartTag w:uri="urn:schemas-microsoft-com:office:smarttags" w:element="country-region">
        <w:r w:rsidR="005E7EA3">
          <w:t>Brazil</w:t>
        </w:r>
      </w:smartTag>
      <w:r>
        <w:t xml:space="preserve">, </w:t>
      </w:r>
      <w:r w:rsidR="005E7EA3">
        <w:t>Cook Islands</w:t>
      </w:r>
      <w:r>
        <w:t xml:space="preserve">, </w:t>
      </w:r>
      <w:smartTag w:uri="urn:schemas-microsoft-com:office:smarttags" w:element="country-region">
        <w:r w:rsidR="005E7EA3">
          <w:t>Estonia</w:t>
        </w:r>
      </w:smartTag>
      <w:r>
        <w:t xml:space="preserve">, </w:t>
      </w:r>
      <w:smartTag w:uri="urn:schemas-microsoft-com:office:smarttags" w:element="country-region">
        <w:r w:rsidR="005E7EA3">
          <w:t>Guinea</w:t>
        </w:r>
      </w:smartTag>
      <w:r>
        <w:t xml:space="preserve">, </w:t>
      </w:r>
      <w:smartTag w:uri="urn:schemas-microsoft-com:office:smarttags" w:element="country-region">
        <w:r w:rsidR="005E7EA3">
          <w:t>Honduras</w:t>
        </w:r>
      </w:smartTag>
      <w:r>
        <w:t xml:space="preserve">, </w:t>
      </w:r>
      <w:smartTag w:uri="urn:schemas-microsoft-com:office:smarttags" w:element="country-region">
        <w:r w:rsidR="005E7EA3">
          <w:t>Hungary</w:t>
        </w:r>
      </w:smartTag>
      <w:r>
        <w:t xml:space="preserve">, </w:t>
      </w:r>
      <w:smartTag w:uri="urn:schemas-microsoft-com:office:smarttags" w:element="country-region">
        <w:r w:rsidR="005E7EA3">
          <w:t>Indonesia</w:t>
        </w:r>
      </w:smartTag>
      <w:r>
        <w:t xml:space="preserve">, </w:t>
      </w:r>
      <w:smartTag w:uri="urn:schemas-microsoft-com:office:smarttags" w:element="country-region">
        <w:r w:rsidR="005E7EA3">
          <w:t>Jordan</w:t>
        </w:r>
      </w:smartTag>
      <w:r>
        <w:t xml:space="preserve">, </w:t>
      </w:r>
      <w:smartTag w:uri="urn:schemas-microsoft-com:office:smarttags" w:element="country-region">
        <w:r w:rsidR="005E7EA3">
          <w:t>Kenya</w:t>
        </w:r>
      </w:smartTag>
      <w:r>
        <w:t xml:space="preserve">, </w:t>
      </w:r>
      <w:smartTag w:uri="urn:schemas-microsoft-com:office:smarttags" w:element="country-region">
        <w:r w:rsidR="005E7EA3">
          <w:t>Li</w:t>
        </w:r>
        <w:r>
          <w:t>e</w:t>
        </w:r>
        <w:r w:rsidR="005E7EA3">
          <w:t>chtenstein</w:t>
        </w:r>
      </w:smartTag>
      <w:r>
        <w:t xml:space="preserve">, </w:t>
      </w:r>
      <w:smartTag w:uri="urn:schemas-microsoft-com:office:smarttags" w:element="country-region">
        <w:r w:rsidR="005E7EA3">
          <w:t>New Zealand</w:t>
        </w:r>
      </w:smartTag>
      <w:r>
        <w:t xml:space="preserve">, </w:t>
      </w:r>
      <w:smartTag w:uri="urn:schemas-microsoft-com:office:smarttags" w:element="country-region">
        <w:r w:rsidR="005E7EA3">
          <w:t>Norway</w:t>
        </w:r>
      </w:smartTag>
      <w:r>
        <w:t xml:space="preserve">, </w:t>
      </w:r>
      <w:smartTag w:uri="urn:schemas-microsoft-com:office:smarttags" w:element="PlaceType">
        <w:r w:rsidR="005E7EA3">
          <w:t>Republic</w:t>
        </w:r>
      </w:smartTag>
      <w:r w:rsidR="005E7EA3">
        <w:t xml:space="preserve"> of </w:t>
      </w:r>
      <w:smartTag w:uri="urn:schemas-microsoft-com:office:smarttags" w:element="PlaceName">
        <w:r w:rsidR="005E7EA3">
          <w:t>Korea</w:t>
        </w:r>
      </w:smartTag>
      <w:r>
        <w:t xml:space="preserve">, </w:t>
      </w:r>
      <w:smartTag w:uri="urn:schemas-microsoft-com:office:smarttags" w:element="place">
        <w:smartTag w:uri="urn:schemas-microsoft-com:office:smarttags" w:element="country-region">
          <w:r w:rsidR="005E7EA3">
            <w:t>Singapore</w:t>
          </w:r>
        </w:smartTag>
      </w:smartTag>
      <w:r>
        <w:t xml:space="preserve">. </w:t>
      </w:r>
    </w:p>
    <w:p w:rsidR="005E7EA3" w:rsidRDefault="008323A0" w:rsidP="005E7EA3">
      <w:pPr>
        <w:pStyle w:val="SingleTxt"/>
      </w:pPr>
      <w:r>
        <w:t>2.</w:t>
      </w:r>
      <w:r>
        <w:tab/>
      </w:r>
      <w:r w:rsidR="005E7EA3">
        <w:t xml:space="preserve">Article 22 of the Convention on the Elimination of All Forms of Discrimination </w:t>
      </w:r>
      <w:r w:rsidR="00157FE3">
        <w:t>a</w:t>
      </w:r>
      <w:r w:rsidR="005E7EA3">
        <w:t xml:space="preserve">gainst Women invites specialized agencies to “submit reports on the implementation of the Convention in areas falling within the scope of their activities”, accounting for recent activities, policies and programmes </w:t>
      </w:r>
      <w:r>
        <w:t xml:space="preserve">of the United Nations Educational, Scientific and Cultural Organization (UNESCO) in </w:t>
      </w:r>
      <w:r w:rsidR="005E7EA3">
        <w:t>implement</w:t>
      </w:r>
      <w:r>
        <w:t>ation of</w:t>
      </w:r>
      <w:r w:rsidR="005E7EA3">
        <w:t xml:space="preserve"> </w:t>
      </w:r>
      <w:r>
        <w:t>a</w:t>
      </w:r>
      <w:r w:rsidR="005E7EA3">
        <w:t xml:space="preserve">rticle 10 on </w:t>
      </w:r>
      <w:r>
        <w:t>e</w:t>
      </w:r>
      <w:r w:rsidR="005E7EA3">
        <w:t xml:space="preserve">ducation and related articles. </w:t>
      </w:r>
    </w:p>
    <w:p w:rsidR="005E7EA3" w:rsidRDefault="008323A0" w:rsidP="005E7EA3">
      <w:pPr>
        <w:pStyle w:val="SingleTxt"/>
      </w:pPr>
      <w:r>
        <w:t>3.</w:t>
      </w:r>
      <w:r>
        <w:tab/>
      </w:r>
      <w:r w:rsidR="005E7EA3">
        <w:t xml:space="preserve">The Universal Declaration of Human Rights (1948) assigns two basic functions to education. First, it stipulates that </w:t>
      </w:r>
      <w:r w:rsidR="00157FE3">
        <w:t>“</w:t>
      </w:r>
      <w:r>
        <w:t>e</w:t>
      </w:r>
      <w:r w:rsidR="005E7EA3">
        <w:t>ducation shall be directed to the full development of the human personality” and second, that “</w:t>
      </w:r>
      <w:r>
        <w:t>i</w:t>
      </w:r>
      <w:r w:rsidR="005E7EA3">
        <w:t>t shall promote understanding, tolerance and friendship among all nations, racial or religious groups, and shall further the activities of the United Nations for the maintenance of peace” (</w:t>
      </w:r>
      <w:r>
        <w:t>a</w:t>
      </w:r>
      <w:r w:rsidR="005E7EA3">
        <w:t>rticle 26, para</w:t>
      </w:r>
      <w:r w:rsidR="00157FE3">
        <w:t>.</w:t>
      </w:r>
      <w:r w:rsidR="005E7EA3">
        <w:t xml:space="preserve"> 2). Despite the commitments made by Member States to the Universal Declaration of Human Rights and the other more recent human rights instruments, much work remains to be done to further more just and harmonious societies. Human rights abuses and violent conflicts persist in which women and girls remain the principal victims. This kind of violence not only occurs at the international and national levels but also in local communities and school environments. Exclusion from education and from fundamental human rights is one of the most powerful obstacles stand</w:t>
      </w:r>
      <w:r>
        <w:t>ing</w:t>
      </w:r>
      <w:r w:rsidR="005E7EA3">
        <w:t xml:space="preserve"> in the way of democracy and peace.</w:t>
      </w:r>
    </w:p>
    <w:p w:rsidR="005E7EA3" w:rsidRDefault="008323A0" w:rsidP="005E7EA3">
      <w:pPr>
        <w:pStyle w:val="SingleTxt"/>
      </w:pPr>
      <w:r>
        <w:t>4.</w:t>
      </w:r>
      <w:r>
        <w:tab/>
      </w:r>
      <w:r w:rsidR="005E7EA3">
        <w:t xml:space="preserve">The right to education is at the very heart of </w:t>
      </w:r>
      <w:r>
        <w:t>the</w:t>
      </w:r>
      <w:r w:rsidR="005E7EA3">
        <w:t xml:space="preserve"> mission </w:t>
      </w:r>
      <w:r>
        <w:t xml:space="preserve">of UNESCO </w:t>
      </w:r>
      <w:r w:rsidR="005E7EA3">
        <w:t xml:space="preserve">and is an integral part of its constitutional mandate. The </w:t>
      </w:r>
      <w:r>
        <w:t>c</w:t>
      </w:r>
      <w:r w:rsidR="005E7EA3">
        <w:t xml:space="preserve">onstitution of UNESCO expresses the belief of its founders in “full and equal opportunities for education for all”. </w:t>
      </w:r>
    </w:p>
    <w:p w:rsidR="005E7EA3" w:rsidRDefault="008323A0" w:rsidP="005E7EA3">
      <w:pPr>
        <w:pStyle w:val="SingleTxt"/>
      </w:pPr>
      <w:r>
        <w:t>5.</w:t>
      </w:r>
      <w:r>
        <w:tab/>
        <w:t xml:space="preserve">The </w:t>
      </w:r>
      <w:r w:rsidR="005E7EA3">
        <w:t xml:space="preserve">normative action </w:t>
      </w:r>
      <w:r>
        <w:t xml:space="preserve">of UNESCO </w:t>
      </w:r>
      <w:r w:rsidR="005E7EA3">
        <w:t>for the implementation of the Convention against Discrimination in Education (1960) contributes to promoting equality of educational opportunit</w:t>
      </w:r>
      <w:r>
        <w:t>y</w:t>
      </w:r>
      <w:r w:rsidR="005E7EA3">
        <w:t xml:space="preserve"> among boys and girls. </w:t>
      </w:r>
      <w:r w:rsidR="00FB0F9A">
        <w:t xml:space="preserve">Basic education for girls and women has also been an important element in the vision for education developed by the International Commission on Education for the Twenty-first Century, in its report presented to UNESCO entitled </w:t>
      </w:r>
      <w:r w:rsidR="00FB0F9A" w:rsidRPr="00DB0F41">
        <w:rPr>
          <w:i/>
        </w:rPr>
        <w:t>Learning: the treasure within</w:t>
      </w:r>
      <w:r w:rsidR="00FB0F9A">
        <w:t xml:space="preserve"> (1996), which stated that “Education is a human right and an essential tool for achieving the goals of equality, development and peace. </w:t>
      </w:r>
      <w:r w:rsidR="005E7EA3">
        <w:t xml:space="preserve">Non-discriminatory education benefits both girls and boys, and thus ultimately contributes to more equal relationships between </w:t>
      </w:r>
      <w:r w:rsidR="00DB0F41">
        <w:t xml:space="preserve">women </w:t>
      </w:r>
      <w:r w:rsidR="005E7EA3">
        <w:t xml:space="preserve">and </w:t>
      </w:r>
      <w:r w:rsidR="00DB0F41">
        <w:t>men</w:t>
      </w:r>
      <w:r w:rsidR="005E7EA3">
        <w:t>. Equality of access to and attainment of educational qualifications is necessary if more women are to become agents</w:t>
      </w:r>
      <w:r w:rsidR="00DB0F41">
        <w:t xml:space="preserve"> of change</w:t>
      </w:r>
      <w:r w:rsidR="005E7EA3">
        <w:t>”.</w:t>
      </w:r>
      <w:r w:rsidR="00DB0F41">
        <w:t xml:space="preserve"> </w:t>
      </w:r>
      <w:r w:rsidR="005E7EA3">
        <w:t>UNESCO has a major role and responsibility within the United Nations system in the field of the right to education, and for the implementation of the Convention on the Elimination of All Forms of Discrimination against Women (1979) which provides that “the States Parties shall take all appropriate measures to eliminate discrimination against women in order to ensure to them equal rights with men in the field of education</w:t>
      </w:r>
      <w:r w:rsidR="00DB0F41">
        <w:t>” (article 10),</w:t>
      </w:r>
      <w:r w:rsidR="005E7EA3">
        <w:t xml:space="preserve"> and in particular to ensure a basis of equality of men and women</w:t>
      </w:r>
      <w:r w:rsidR="00DB0F41">
        <w:t>.</w:t>
      </w:r>
      <w:r w:rsidR="005E7EA3">
        <w:t xml:space="preserve"> </w:t>
      </w:r>
    </w:p>
    <w:p w:rsidR="005E7EA3" w:rsidRDefault="00DB0F41" w:rsidP="005E7EA3">
      <w:pPr>
        <w:pStyle w:val="SingleTxt"/>
      </w:pPr>
      <w:r>
        <w:t>6.</w:t>
      </w:r>
      <w:r>
        <w:tab/>
      </w:r>
      <w:r w:rsidR="005E7EA3">
        <w:t>Section II of th</w:t>
      </w:r>
      <w:r w:rsidR="00032C65">
        <w:t>e pre</w:t>
      </w:r>
      <w:r w:rsidR="005E7EA3">
        <w:t>s</w:t>
      </w:r>
      <w:r w:rsidR="00032C65">
        <w:t>ent</w:t>
      </w:r>
      <w:r w:rsidR="005E7EA3">
        <w:t xml:space="preserve"> report summarizes activities </w:t>
      </w:r>
      <w:r w:rsidR="00032C65">
        <w:t xml:space="preserve">of UNESCO </w:t>
      </w:r>
      <w:r w:rsidR="005E7EA3">
        <w:t xml:space="preserve">to implement the </w:t>
      </w:r>
      <w:r w:rsidR="00032C65">
        <w:t>Convention</w:t>
      </w:r>
      <w:r w:rsidR="005E7EA3">
        <w:t xml:space="preserve"> within the organization itself; section III presents initiatives taken to implement the Convention in the countries considered by the Committee.</w:t>
      </w:r>
    </w:p>
    <w:p w:rsidR="00032C65" w:rsidRPr="00032C65" w:rsidRDefault="00032C65" w:rsidP="00032C65">
      <w:pPr>
        <w:pStyle w:val="SingleTxt"/>
        <w:spacing w:after="0" w:line="120" w:lineRule="exact"/>
        <w:rPr>
          <w:sz w:val="10"/>
        </w:rPr>
      </w:pPr>
    </w:p>
    <w:p w:rsidR="00032C65" w:rsidRPr="00032C65" w:rsidRDefault="00032C65" w:rsidP="00032C65">
      <w:pPr>
        <w:pStyle w:val="SingleTxt"/>
        <w:spacing w:after="0" w:line="120" w:lineRule="exact"/>
        <w:rPr>
          <w:sz w:val="10"/>
        </w:rPr>
      </w:pPr>
    </w:p>
    <w:p w:rsidR="005E7EA3" w:rsidRDefault="00032C65" w:rsidP="00032C65">
      <w:pPr>
        <w:pStyle w:val="HCh"/>
        <w:ind w:left="1267" w:right="1260" w:hanging="1267"/>
      </w:pPr>
      <w:r>
        <w:tab/>
      </w:r>
      <w:r w:rsidR="005E7EA3">
        <w:t>II.</w:t>
      </w:r>
      <w:r w:rsidR="005E7EA3">
        <w:tab/>
      </w:r>
      <w:r>
        <w:t>United Nations Educational, Scientific and Cultural Organization</w:t>
      </w:r>
      <w:r w:rsidR="005E7EA3">
        <w:t xml:space="preserve"> </w:t>
      </w:r>
      <w:r>
        <w:t>activities to implement the Convention within</w:t>
      </w:r>
      <w:r w:rsidR="00157FE3">
        <w:t> </w:t>
      </w:r>
      <w:r>
        <w:t>the organization itself</w:t>
      </w:r>
    </w:p>
    <w:p w:rsidR="00032C65" w:rsidRPr="00032C65" w:rsidRDefault="00032C65" w:rsidP="00032C65">
      <w:pPr>
        <w:pStyle w:val="SingleTxt"/>
        <w:spacing w:after="0" w:line="120" w:lineRule="exact"/>
        <w:rPr>
          <w:sz w:val="10"/>
        </w:rPr>
      </w:pPr>
    </w:p>
    <w:p w:rsidR="00032C65" w:rsidRPr="00032C65" w:rsidRDefault="00032C65" w:rsidP="00032C65">
      <w:pPr>
        <w:pStyle w:val="SingleTxt"/>
        <w:spacing w:after="0" w:line="120" w:lineRule="exact"/>
        <w:rPr>
          <w:sz w:val="10"/>
        </w:rPr>
      </w:pPr>
    </w:p>
    <w:p w:rsidR="005E7EA3" w:rsidRDefault="00FB0F9A" w:rsidP="005E7EA3">
      <w:pPr>
        <w:pStyle w:val="SingleTxt"/>
      </w:pPr>
      <w:r>
        <w:t>7.</w:t>
      </w:r>
      <w:r>
        <w:tab/>
        <w:t xml:space="preserve">Pursuant to the UNESCO medium-term strategy for 2002-2007, a gender-equality perspective has been integrated in policy planning, programming, implementation and evaluation activities in all areas of UNESCO competence with a view to promoting women’s empowerment and achieving gender equality. </w:t>
      </w:r>
      <w:r w:rsidR="005E7EA3">
        <w:t>Women</w:t>
      </w:r>
      <w:r w:rsidR="00CE3E79">
        <w:t>’</w:t>
      </w:r>
      <w:r w:rsidR="005E7EA3">
        <w:t xml:space="preserve">s priorities and vision of development goals and approaches are addressed and promoted through greater participation of women at all levels and in all areas of UNESCO action. The </w:t>
      </w:r>
      <w:r w:rsidR="00032C65">
        <w:t>o</w:t>
      </w:r>
      <w:r w:rsidR="005E7EA3">
        <w:t>rganization</w:t>
      </w:r>
      <w:r w:rsidR="00CE3E79">
        <w:t>’</w:t>
      </w:r>
      <w:r w:rsidR="005E7EA3">
        <w:t xml:space="preserve">s overall human resources policy has been adapted accordingly, bearing in mind the impact of critical parameters such as, inter alia, gender balance. A new policy framework has been implemented concerning work/family agenda issues aimed at equipping staff members better to manage their work and family responsibilities. In the draft </w:t>
      </w:r>
      <w:r w:rsidR="00032C65">
        <w:t>medium-term strategy of the organization</w:t>
      </w:r>
      <w:r w:rsidR="005E7EA3">
        <w:t xml:space="preserve"> for 2008-2013, gender equality has been designated as one of two overarching priorities.</w:t>
      </w:r>
    </w:p>
    <w:p w:rsidR="005E7EA3" w:rsidRDefault="00032C65" w:rsidP="005E7EA3">
      <w:pPr>
        <w:pStyle w:val="SingleTxt"/>
      </w:pPr>
      <w:r>
        <w:t>8.</w:t>
      </w:r>
      <w:r>
        <w:tab/>
      </w:r>
      <w:r w:rsidR="005E7EA3">
        <w:t>UNESCO recently launched two international networks:</w:t>
      </w:r>
    </w:p>
    <w:p w:rsidR="005E7EA3" w:rsidRDefault="00032C65" w:rsidP="005E7EA3">
      <w:pPr>
        <w:pStyle w:val="SingleTxt"/>
      </w:pPr>
      <w:r>
        <w:tab/>
        <w:t>(a)</w:t>
      </w:r>
      <w:r>
        <w:tab/>
      </w:r>
      <w:r w:rsidR="005E7EA3">
        <w:t>The Group of Women Ambassadors to UNESCO for Gender Equality aims to share information on, and experiences in, the promotion of gender equality and women</w:t>
      </w:r>
      <w:r w:rsidR="00CE3E79">
        <w:t>’</w:t>
      </w:r>
      <w:r w:rsidR="005E7EA3">
        <w:t>s empowerment</w:t>
      </w:r>
      <w:r>
        <w:t xml:space="preserve"> and </w:t>
      </w:r>
      <w:r w:rsidR="005E7EA3">
        <w:t xml:space="preserve">rights in all Member States and in all areas of the </w:t>
      </w:r>
      <w:r>
        <w:t>o</w:t>
      </w:r>
      <w:r w:rsidR="005E7EA3">
        <w:t>rganization</w:t>
      </w:r>
      <w:r w:rsidR="00CE3E79">
        <w:t>’</w:t>
      </w:r>
      <w:r w:rsidR="005E7EA3">
        <w:t>s work</w:t>
      </w:r>
      <w:r>
        <w:t>,</w:t>
      </w:r>
      <w:r w:rsidR="005E7EA3">
        <w:t xml:space="preserve"> as well as in the Secretariat. It also seeks to assist UNESCO in enhancing its actions in its fields of competence</w:t>
      </w:r>
      <w:r>
        <w:t>;</w:t>
      </w:r>
      <w:r w:rsidR="005E7EA3">
        <w:t xml:space="preserve"> </w:t>
      </w:r>
    </w:p>
    <w:p w:rsidR="005E7EA3" w:rsidRDefault="00032C65" w:rsidP="005E7EA3">
      <w:pPr>
        <w:pStyle w:val="SingleTxt"/>
      </w:pPr>
      <w:r>
        <w:tab/>
        <w:t>(b)</w:t>
      </w:r>
      <w:r>
        <w:tab/>
      </w:r>
      <w:r w:rsidR="005E7EA3">
        <w:t xml:space="preserve">The UNESCO International Network of Women Philosophers intends to enhance the participation of women in international debate and exchange on key issues identified in the UNESCO Strategy </w:t>
      </w:r>
      <w:r>
        <w:t>on</w:t>
      </w:r>
      <w:r w:rsidR="005E7EA3">
        <w:t xml:space="preserve"> Philosophy. This will be achieved through the acknowledgement and strengthening of the distinctive contribution of women philosophers to international cooperation and understanding. </w:t>
      </w:r>
    </w:p>
    <w:p w:rsidR="005E7EA3" w:rsidRDefault="00032C65" w:rsidP="005E7EA3">
      <w:pPr>
        <w:pStyle w:val="SingleTxt"/>
      </w:pPr>
      <w:r>
        <w:t>9.</w:t>
      </w:r>
      <w:r>
        <w:tab/>
      </w:r>
      <w:r w:rsidR="005E7EA3">
        <w:t xml:space="preserve">The documentary </w:t>
      </w:r>
      <w:r w:rsidRPr="00032C65">
        <w:rPr>
          <w:i/>
        </w:rPr>
        <w:t>Women t</w:t>
      </w:r>
      <w:r w:rsidR="005E7EA3" w:rsidRPr="00032C65">
        <w:rPr>
          <w:i/>
        </w:rPr>
        <w:t>rafficking</w:t>
      </w:r>
      <w:r w:rsidR="005E7EA3">
        <w:t xml:space="preserve">, produced by the Eurovision News Exchange Project and supported by UNESCO, investigates the social and cultural contexts of women trafficking in </w:t>
      </w:r>
      <w:smartTag w:uri="urn:schemas-microsoft-com:office:smarttags" w:element="place">
        <w:r w:rsidR="005E7EA3">
          <w:t>South</w:t>
        </w:r>
        <w:r>
          <w:t>-E</w:t>
        </w:r>
        <w:r w:rsidR="005E7EA3">
          <w:t>ast Europe</w:t>
        </w:r>
      </w:smartTag>
      <w:r w:rsidR="005E7EA3">
        <w:t>. The film draws attention to the factors that contribute to trafficking</w:t>
      </w:r>
      <w:r>
        <w:t>,</w:t>
      </w:r>
      <w:r w:rsidR="005E7EA3">
        <w:t xml:space="preserve"> specifically lack of education of young girls, </w:t>
      </w:r>
      <w:r>
        <w:t>violence against women, poverty</w:t>
      </w:r>
      <w:r w:rsidR="005E7EA3">
        <w:t xml:space="preserve"> and pervasive gender inequality. While providing an intimate view into a particular context, this </w:t>
      </w:r>
      <w:r w:rsidR="004C5D7A">
        <w:t>sombre</w:t>
      </w:r>
      <w:r w:rsidR="005E7EA3">
        <w:t xml:space="preserve"> documentary is an invitation to understand the trafficking of women as a global problem.</w:t>
      </w:r>
    </w:p>
    <w:p w:rsidR="001C68E8" w:rsidRPr="001C68E8" w:rsidRDefault="001C68E8" w:rsidP="001C68E8">
      <w:pPr>
        <w:pStyle w:val="SingleTxt"/>
      </w:pPr>
    </w:p>
    <w:p w:rsidR="001C68E8" w:rsidRDefault="001C68E8" w:rsidP="005E7EA3">
      <w:pPr>
        <w:pStyle w:val="SingleTxt"/>
        <w:sectPr w:rsidR="001C68E8" w:rsidSect="005E7EA3">
          <w:type w:val="continuous"/>
          <w:pgSz w:w="12240" w:h="15840" w:code="1"/>
          <w:pgMar w:top="1742" w:right="1195" w:bottom="1901" w:left="1195" w:header="576" w:footer="1037" w:gutter="0"/>
          <w:cols w:space="708"/>
          <w:noEndnote/>
          <w:docGrid w:linePitch="360"/>
        </w:sectPr>
      </w:pPr>
    </w:p>
    <w:p w:rsidR="003B1499" w:rsidRDefault="003B1499" w:rsidP="003B1499">
      <w:pPr>
        <w:pStyle w:val="HCh"/>
        <w:ind w:left="1267" w:right="1260" w:hanging="1267"/>
        <w:rPr>
          <w:rFonts w:ascii="Times New Roman Bold" w:hAnsi="Times New Roman Bold"/>
          <w:spacing w:val="0"/>
          <w:w w:val="100"/>
          <w:szCs w:val="28"/>
        </w:rPr>
      </w:pPr>
      <w:r>
        <w:tab/>
      </w:r>
      <w:r w:rsidRPr="00994323">
        <w:rPr>
          <w:rFonts w:ascii="Times New Roman Bold" w:hAnsi="Times New Roman Bold"/>
          <w:spacing w:val="0"/>
          <w:w w:val="100"/>
          <w:szCs w:val="28"/>
        </w:rPr>
        <w:t>III.</w:t>
      </w:r>
      <w:r w:rsidRPr="00994323">
        <w:rPr>
          <w:rFonts w:ascii="Times New Roman Bold" w:hAnsi="Times New Roman Bold"/>
          <w:spacing w:val="0"/>
          <w:w w:val="100"/>
          <w:szCs w:val="28"/>
        </w:rPr>
        <w:tab/>
        <w:t xml:space="preserve">Measures taken by the United Nations Educational, Scientific and Cultural Organization to </w:t>
      </w:r>
      <w:r>
        <w:rPr>
          <w:rFonts w:ascii="Times New Roman Bold" w:hAnsi="Times New Roman Bold"/>
          <w:spacing w:val="0"/>
          <w:w w:val="100"/>
          <w:szCs w:val="28"/>
        </w:rPr>
        <w:t>implement the provisions of the C</w:t>
      </w:r>
      <w:r w:rsidRPr="00994323">
        <w:rPr>
          <w:rFonts w:ascii="Times New Roman Bold" w:hAnsi="Times New Roman Bold"/>
          <w:spacing w:val="0"/>
          <w:w w:val="100"/>
          <w:szCs w:val="28"/>
        </w:rPr>
        <w:t xml:space="preserve">onvention  in the countries to be considered at the thirty-ninth session of the Committee </w:t>
      </w:r>
    </w:p>
    <w:p w:rsidR="003B1499" w:rsidRPr="003B1499" w:rsidRDefault="003B1499" w:rsidP="003B1499">
      <w:pPr>
        <w:pStyle w:val="SingleTxt"/>
        <w:spacing w:after="0" w:line="120" w:lineRule="exact"/>
        <w:rPr>
          <w:sz w:val="10"/>
        </w:rPr>
      </w:pPr>
    </w:p>
    <w:p w:rsidR="003B1499" w:rsidRPr="003B1499" w:rsidRDefault="003B1499" w:rsidP="003B1499">
      <w:pPr>
        <w:pStyle w:val="SingleTxt"/>
        <w:spacing w:after="0" w:line="120" w:lineRule="exact"/>
        <w:rPr>
          <w:sz w:val="10"/>
        </w:rPr>
      </w:pPr>
    </w:p>
    <w:p w:rsidR="003B1499" w:rsidRDefault="003B1499" w:rsidP="003B1499">
      <w:pPr>
        <w:pStyle w:val="H1"/>
        <w:ind w:right="1260"/>
      </w:pPr>
      <w:r>
        <w:tab/>
        <w:t>A.</w:t>
      </w:r>
      <w:r>
        <w:tab/>
        <w:t xml:space="preserve">Longitudinal and comparative gender-parity educational statistics for all countries reporting for the thirty-ninth session </w:t>
      </w:r>
    </w:p>
    <w:p w:rsidR="003B1499" w:rsidRPr="003B1499" w:rsidRDefault="003B1499" w:rsidP="003B1499">
      <w:pPr>
        <w:pStyle w:val="SingleTxt"/>
        <w:spacing w:after="0" w:line="120" w:lineRule="exact"/>
        <w:rPr>
          <w:sz w:val="10"/>
        </w:rPr>
      </w:pPr>
    </w:p>
    <w:p w:rsidR="001C68E8" w:rsidRDefault="001C68E8" w:rsidP="001C68E8">
      <w:pPr>
        <w:pStyle w:val="H23"/>
        <w:ind w:left="0" w:right="1260" w:firstLine="0"/>
      </w:pPr>
      <w:r w:rsidRPr="001C68E8">
        <w:rPr>
          <w:b w:val="0"/>
        </w:rPr>
        <w:t>Table 1</w:t>
      </w:r>
      <w:r w:rsidRPr="001C68E8">
        <w:rPr>
          <w:b w:val="0"/>
        </w:rPr>
        <w:br/>
      </w:r>
      <w:r>
        <w:t>Primary education</w:t>
      </w:r>
    </w:p>
    <w:p w:rsidR="001C68E8" w:rsidRPr="001C68E8" w:rsidRDefault="001C68E8" w:rsidP="001C68E8">
      <w:pPr>
        <w:pStyle w:val="SingleTxt"/>
        <w:spacing w:after="0" w:line="120" w:lineRule="exact"/>
        <w:rPr>
          <w:sz w:val="10"/>
        </w:rPr>
      </w:pPr>
    </w:p>
    <w:p w:rsidR="001C68E8" w:rsidRDefault="001C68E8" w:rsidP="009341E7">
      <w:pPr>
        <w:pStyle w:val="H23"/>
        <w:tabs>
          <w:tab w:val="left"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w:t>
      </w:r>
      <w:r>
        <w:tab/>
        <w:t>Country data</w:t>
      </w:r>
    </w:p>
    <w:p w:rsidR="001C68E8" w:rsidRPr="001C68E8" w:rsidRDefault="001C68E8" w:rsidP="001C68E8">
      <w:pPr>
        <w:pStyle w:val="SingleTxt"/>
        <w:spacing w:after="0" w:line="120" w:lineRule="exact"/>
        <w:rPr>
          <w:sz w:val="10"/>
        </w:rPr>
      </w:pPr>
    </w:p>
    <w:tbl>
      <w:tblPr>
        <w:tblW w:w="12243" w:type="dxa"/>
        <w:tblLayout w:type="fixed"/>
        <w:tblCellMar>
          <w:left w:w="0" w:type="dxa"/>
          <w:right w:w="0" w:type="dxa"/>
        </w:tblCellMar>
        <w:tblLook w:val="0000" w:firstRow="0" w:lastRow="0" w:firstColumn="0" w:lastColumn="0" w:noHBand="0" w:noVBand="0"/>
      </w:tblPr>
      <w:tblGrid>
        <w:gridCol w:w="2926"/>
        <w:gridCol w:w="59"/>
        <w:gridCol w:w="359"/>
        <w:gridCol w:w="418"/>
        <w:gridCol w:w="418"/>
        <w:gridCol w:w="418"/>
        <w:gridCol w:w="418"/>
        <w:gridCol w:w="48"/>
        <w:gridCol w:w="414"/>
        <w:gridCol w:w="462"/>
        <w:gridCol w:w="462"/>
        <w:gridCol w:w="462"/>
        <w:gridCol w:w="462"/>
        <w:gridCol w:w="51"/>
        <w:gridCol w:w="363"/>
        <w:gridCol w:w="549"/>
        <w:gridCol w:w="531"/>
        <w:gridCol w:w="513"/>
        <w:gridCol w:w="459"/>
        <w:gridCol w:w="60"/>
        <w:gridCol w:w="430"/>
        <w:gridCol w:w="490"/>
        <w:gridCol w:w="490"/>
        <w:gridCol w:w="490"/>
        <w:gridCol w:w="491"/>
      </w:tblGrid>
      <w:tr w:rsidR="00C467CE" w:rsidRPr="001C68E8">
        <w:tblPrEx>
          <w:tblCellMar>
            <w:top w:w="0" w:type="dxa"/>
            <w:bottom w:w="0" w:type="dxa"/>
          </w:tblCellMar>
        </w:tblPrEx>
        <w:trPr>
          <w:tblHeader/>
        </w:trPr>
        <w:tc>
          <w:tcPr>
            <w:tcW w:w="2926" w:type="dxa"/>
            <w:tcBorders>
              <w:top w:val="single" w:sz="4" w:space="0" w:color="auto"/>
              <w:bottom w:val="single" w:sz="4" w:space="0" w:color="auto"/>
            </w:tcBorders>
            <w:shd w:val="clear" w:color="auto" w:fill="auto"/>
            <w:vAlign w:val="bottom"/>
          </w:tcPr>
          <w:p w:rsidR="00C467CE" w:rsidRPr="001C68E8" w:rsidRDefault="00C467CE" w:rsidP="00EF1F97">
            <w:pPr>
              <w:spacing w:before="81" w:after="81" w:line="240" w:lineRule="auto"/>
              <w:ind w:right="40"/>
              <w:rPr>
                <w:i/>
                <w:sz w:val="14"/>
              </w:rPr>
            </w:pPr>
            <w:r>
              <w:rPr>
                <w:i/>
                <w:sz w:val="14"/>
              </w:rPr>
              <w:t>Data (Percentage)</w:t>
            </w:r>
          </w:p>
        </w:tc>
        <w:tc>
          <w:tcPr>
            <w:tcW w:w="59" w:type="dxa"/>
            <w:tcBorders>
              <w:top w:val="single" w:sz="4" w:space="0" w:color="auto"/>
            </w:tcBorders>
            <w:shd w:val="clear" w:color="auto" w:fill="auto"/>
            <w:vAlign w:val="bottom"/>
          </w:tcPr>
          <w:p w:rsidR="00C467CE" w:rsidRPr="001C68E8" w:rsidRDefault="00C467CE" w:rsidP="00EF1F97">
            <w:pPr>
              <w:spacing w:before="81" w:after="81" w:line="240" w:lineRule="auto"/>
              <w:ind w:right="43"/>
              <w:jc w:val="center"/>
              <w:rPr>
                <w:i/>
                <w:sz w:val="14"/>
              </w:rPr>
            </w:pPr>
          </w:p>
        </w:tc>
        <w:tc>
          <w:tcPr>
            <w:tcW w:w="2031" w:type="dxa"/>
            <w:gridSpan w:val="5"/>
            <w:tcBorders>
              <w:top w:val="single" w:sz="4" w:space="0" w:color="auto"/>
              <w:bottom w:val="single" w:sz="4" w:space="0" w:color="auto"/>
            </w:tcBorders>
            <w:shd w:val="clear" w:color="auto" w:fill="auto"/>
            <w:vAlign w:val="bottom"/>
          </w:tcPr>
          <w:p w:rsidR="00C467CE" w:rsidRPr="001C68E8" w:rsidRDefault="00C467CE" w:rsidP="00EF1F97">
            <w:pPr>
              <w:spacing w:before="81" w:after="81" w:line="240" w:lineRule="auto"/>
              <w:ind w:right="43"/>
              <w:jc w:val="center"/>
              <w:rPr>
                <w:i/>
                <w:sz w:val="14"/>
              </w:rPr>
            </w:pPr>
            <w:r>
              <w:rPr>
                <w:i/>
                <w:sz w:val="14"/>
              </w:rPr>
              <w:t>Net enrolment rate, Primary Total</w:t>
            </w:r>
          </w:p>
        </w:tc>
        <w:tc>
          <w:tcPr>
            <w:tcW w:w="48" w:type="dxa"/>
            <w:tcBorders>
              <w:top w:val="single" w:sz="4" w:space="0" w:color="auto"/>
            </w:tcBorders>
            <w:shd w:val="clear" w:color="auto" w:fill="auto"/>
            <w:vAlign w:val="bottom"/>
          </w:tcPr>
          <w:p w:rsidR="00C467CE" w:rsidRPr="001C68E8" w:rsidRDefault="00C467CE" w:rsidP="00EF1F97">
            <w:pPr>
              <w:spacing w:before="81" w:after="81" w:line="240" w:lineRule="auto"/>
              <w:ind w:right="43"/>
              <w:jc w:val="center"/>
              <w:rPr>
                <w:i/>
                <w:sz w:val="14"/>
              </w:rPr>
            </w:pPr>
          </w:p>
        </w:tc>
        <w:tc>
          <w:tcPr>
            <w:tcW w:w="2262" w:type="dxa"/>
            <w:gridSpan w:val="5"/>
            <w:tcBorders>
              <w:top w:val="single" w:sz="4" w:space="0" w:color="auto"/>
              <w:bottom w:val="single" w:sz="4" w:space="0" w:color="auto"/>
            </w:tcBorders>
            <w:shd w:val="clear" w:color="auto" w:fill="auto"/>
            <w:vAlign w:val="bottom"/>
          </w:tcPr>
          <w:p w:rsidR="00C467CE" w:rsidRPr="001C68E8" w:rsidRDefault="00C467CE" w:rsidP="00EF1F97">
            <w:pPr>
              <w:spacing w:before="81" w:after="81" w:line="240" w:lineRule="auto"/>
              <w:ind w:right="43"/>
              <w:jc w:val="center"/>
              <w:rPr>
                <w:i/>
                <w:sz w:val="14"/>
              </w:rPr>
            </w:pPr>
            <w:r>
              <w:rPr>
                <w:i/>
                <w:sz w:val="14"/>
              </w:rPr>
              <w:t xml:space="preserve">Net enrolment rate, Primary </w:t>
            </w:r>
            <w:r>
              <w:rPr>
                <w:i/>
                <w:sz w:val="14"/>
              </w:rPr>
              <w:br/>
              <w:t>Male</w:t>
            </w:r>
          </w:p>
        </w:tc>
        <w:tc>
          <w:tcPr>
            <w:tcW w:w="51" w:type="dxa"/>
            <w:tcBorders>
              <w:top w:val="single" w:sz="4" w:space="0" w:color="auto"/>
            </w:tcBorders>
            <w:shd w:val="clear" w:color="auto" w:fill="auto"/>
            <w:vAlign w:val="bottom"/>
          </w:tcPr>
          <w:p w:rsidR="00C467CE" w:rsidRPr="001C68E8" w:rsidRDefault="00C467CE" w:rsidP="00EF1F97">
            <w:pPr>
              <w:spacing w:before="81" w:after="81" w:line="240" w:lineRule="auto"/>
              <w:ind w:right="43"/>
              <w:jc w:val="center"/>
              <w:rPr>
                <w:i/>
                <w:sz w:val="14"/>
              </w:rPr>
            </w:pPr>
          </w:p>
        </w:tc>
        <w:tc>
          <w:tcPr>
            <w:tcW w:w="2415" w:type="dxa"/>
            <w:gridSpan w:val="5"/>
            <w:tcBorders>
              <w:top w:val="single" w:sz="4" w:space="0" w:color="auto"/>
              <w:bottom w:val="single" w:sz="4" w:space="0" w:color="auto"/>
            </w:tcBorders>
            <w:shd w:val="clear" w:color="auto" w:fill="auto"/>
            <w:vAlign w:val="bottom"/>
          </w:tcPr>
          <w:p w:rsidR="00C467CE" w:rsidRPr="001C68E8" w:rsidRDefault="00C467CE" w:rsidP="00EF1F97">
            <w:pPr>
              <w:spacing w:before="81" w:after="81" w:line="240" w:lineRule="auto"/>
              <w:ind w:right="43"/>
              <w:jc w:val="center"/>
              <w:rPr>
                <w:i/>
                <w:sz w:val="14"/>
              </w:rPr>
            </w:pPr>
            <w:r>
              <w:rPr>
                <w:i/>
                <w:sz w:val="14"/>
              </w:rPr>
              <w:t xml:space="preserve">Net enrolment rate, Primary </w:t>
            </w:r>
            <w:r>
              <w:rPr>
                <w:i/>
                <w:sz w:val="14"/>
              </w:rPr>
              <w:br/>
              <w:t>Female</w:t>
            </w:r>
          </w:p>
        </w:tc>
        <w:tc>
          <w:tcPr>
            <w:tcW w:w="60" w:type="dxa"/>
            <w:tcBorders>
              <w:top w:val="single" w:sz="4" w:space="0" w:color="auto"/>
            </w:tcBorders>
            <w:shd w:val="clear" w:color="auto" w:fill="auto"/>
            <w:vAlign w:val="bottom"/>
          </w:tcPr>
          <w:p w:rsidR="00C467CE" w:rsidRPr="009733EB" w:rsidRDefault="00C467CE" w:rsidP="00EF1F97">
            <w:pPr>
              <w:spacing w:before="81" w:after="81" w:line="240" w:lineRule="auto"/>
              <w:ind w:right="43"/>
              <w:jc w:val="center"/>
              <w:rPr>
                <w:i/>
                <w:spacing w:val="0"/>
                <w:w w:val="100"/>
                <w:sz w:val="14"/>
                <w:szCs w:val="14"/>
              </w:rPr>
            </w:pPr>
          </w:p>
        </w:tc>
        <w:tc>
          <w:tcPr>
            <w:tcW w:w="2391" w:type="dxa"/>
            <w:gridSpan w:val="5"/>
            <w:tcBorders>
              <w:top w:val="single" w:sz="4" w:space="0" w:color="auto"/>
              <w:bottom w:val="single" w:sz="4" w:space="0" w:color="auto"/>
            </w:tcBorders>
            <w:shd w:val="clear" w:color="auto" w:fill="auto"/>
            <w:vAlign w:val="bottom"/>
          </w:tcPr>
          <w:p w:rsidR="00C467CE" w:rsidRPr="009733EB" w:rsidRDefault="00C467CE" w:rsidP="00EF1F97">
            <w:pPr>
              <w:spacing w:before="81" w:after="81" w:line="240" w:lineRule="auto"/>
              <w:ind w:right="43"/>
              <w:jc w:val="center"/>
              <w:rPr>
                <w:i/>
                <w:spacing w:val="0"/>
                <w:w w:val="100"/>
                <w:sz w:val="14"/>
                <w:szCs w:val="14"/>
              </w:rPr>
            </w:pPr>
            <w:r w:rsidRPr="009733EB">
              <w:rPr>
                <w:i/>
                <w:spacing w:val="0"/>
                <w:w w:val="100"/>
                <w:sz w:val="14"/>
                <w:szCs w:val="14"/>
              </w:rPr>
              <w:t>Gender parity index for net enrolment rate, Primary</w:t>
            </w:r>
          </w:p>
        </w:tc>
      </w:tr>
      <w:tr w:rsidR="009733EB" w:rsidRPr="001C68E8">
        <w:tblPrEx>
          <w:tblCellMar>
            <w:top w:w="0" w:type="dxa"/>
            <w:bottom w:w="0" w:type="dxa"/>
          </w:tblCellMar>
        </w:tblPrEx>
        <w:trPr>
          <w:trHeight w:val="163"/>
          <w:tblHeader/>
        </w:trPr>
        <w:tc>
          <w:tcPr>
            <w:tcW w:w="2926" w:type="dxa"/>
            <w:tcBorders>
              <w:top w:val="single" w:sz="4" w:space="0" w:color="auto"/>
              <w:bottom w:val="single" w:sz="4" w:space="0" w:color="auto"/>
            </w:tcBorders>
            <w:shd w:val="clear" w:color="auto" w:fill="auto"/>
            <w:vAlign w:val="bottom"/>
          </w:tcPr>
          <w:p w:rsidR="009733EB" w:rsidRPr="001C68E8" w:rsidRDefault="009733EB" w:rsidP="00EF1F97">
            <w:pPr>
              <w:spacing w:before="81" w:after="81" w:line="240" w:lineRule="auto"/>
              <w:ind w:right="40"/>
              <w:rPr>
                <w:i/>
                <w:sz w:val="14"/>
              </w:rPr>
            </w:pPr>
            <w:r>
              <w:rPr>
                <w:i/>
                <w:sz w:val="14"/>
              </w:rPr>
              <w:t>Year</w:t>
            </w:r>
          </w:p>
        </w:tc>
        <w:tc>
          <w:tcPr>
            <w:tcW w:w="418" w:type="dxa"/>
            <w:gridSpan w:val="2"/>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01</w:t>
            </w:r>
          </w:p>
        </w:tc>
        <w:tc>
          <w:tcPr>
            <w:tcW w:w="418"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02</w:t>
            </w:r>
          </w:p>
        </w:tc>
        <w:tc>
          <w:tcPr>
            <w:tcW w:w="418"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03</w:t>
            </w:r>
          </w:p>
        </w:tc>
        <w:tc>
          <w:tcPr>
            <w:tcW w:w="418"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04</w:t>
            </w:r>
          </w:p>
        </w:tc>
        <w:tc>
          <w:tcPr>
            <w:tcW w:w="418"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05</w:t>
            </w:r>
          </w:p>
        </w:tc>
        <w:tc>
          <w:tcPr>
            <w:tcW w:w="462" w:type="dxa"/>
            <w:gridSpan w:val="2"/>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01</w:t>
            </w:r>
          </w:p>
        </w:tc>
        <w:tc>
          <w:tcPr>
            <w:tcW w:w="462"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02</w:t>
            </w:r>
          </w:p>
        </w:tc>
        <w:tc>
          <w:tcPr>
            <w:tcW w:w="462"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03</w:t>
            </w:r>
          </w:p>
        </w:tc>
        <w:tc>
          <w:tcPr>
            <w:tcW w:w="462"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04</w:t>
            </w:r>
          </w:p>
        </w:tc>
        <w:tc>
          <w:tcPr>
            <w:tcW w:w="513" w:type="dxa"/>
            <w:gridSpan w:val="2"/>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05</w:t>
            </w:r>
          </w:p>
        </w:tc>
        <w:tc>
          <w:tcPr>
            <w:tcW w:w="363"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01</w:t>
            </w:r>
          </w:p>
        </w:tc>
        <w:tc>
          <w:tcPr>
            <w:tcW w:w="549"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02</w:t>
            </w:r>
          </w:p>
        </w:tc>
        <w:tc>
          <w:tcPr>
            <w:tcW w:w="531"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03</w:t>
            </w:r>
          </w:p>
        </w:tc>
        <w:tc>
          <w:tcPr>
            <w:tcW w:w="513"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04</w:t>
            </w:r>
          </w:p>
        </w:tc>
        <w:tc>
          <w:tcPr>
            <w:tcW w:w="459"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05</w:t>
            </w:r>
          </w:p>
        </w:tc>
        <w:tc>
          <w:tcPr>
            <w:tcW w:w="490" w:type="dxa"/>
            <w:gridSpan w:val="2"/>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01</w:t>
            </w:r>
          </w:p>
        </w:tc>
        <w:tc>
          <w:tcPr>
            <w:tcW w:w="490"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02</w:t>
            </w:r>
          </w:p>
        </w:tc>
        <w:tc>
          <w:tcPr>
            <w:tcW w:w="490"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03</w:t>
            </w:r>
          </w:p>
        </w:tc>
        <w:tc>
          <w:tcPr>
            <w:tcW w:w="490"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04</w:t>
            </w:r>
          </w:p>
        </w:tc>
        <w:tc>
          <w:tcPr>
            <w:tcW w:w="491" w:type="dxa"/>
            <w:vMerge w:val="restart"/>
            <w:tcBorders>
              <w:bottom w:val="single" w:sz="12" w:space="0" w:color="auto"/>
            </w:tcBorders>
            <w:shd w:val="clear" w:color="auto" w:fill="auto"/>
          </w:tcPr>
          <w:p w:rsidR="009733EB" w:rsidRPr="001C68E8" w:rsidRDefault="009733EB" w:rsidP="00157FE3">
            <w:pPr>
              <w:spacing w:before="81" w:after="81" w:line="240" w:lineRule="auto"/>
              <w:ind w:right="43"/>
              <w:jc w:val="right"/>
              <w:rPr>
                <w:i/>
                <w:sz w:val="14"/>
              </w:rPr>
            </w:pPr>
            <w:r>
              <w:rPr>
                <w:i/>
                <w:sz w:val="14"/>
              </w:rPr>
              <w:t>05</w:t>
            </w:r>
          </w:p>
        </w:tc>
      </w:tr>
      <w:tr w:rsidR="009733EB" w:rsidRPr="001C68E8">
        <w:tblPrEx>
          <w:tblCellMar>
            <w:top w:w="0" w:type="dxa"/>
            <w:bottom w:w="0" w:type="dxa"/>
          </w:tblCellMar>
        </w:tblPrEx>
        <w:trPr>
          <w:trHeight w:val="163"/>
          <w:tblHeader/>
        </w:trPr>
        <w:tc>
          <w:tcPr>
            <w:tcW w:w="2926" w:type="dxa"/>
            <w:tcBorders>
              <w:top w:val="single" w:sz="4" w:space="0" w:color="auto"/>
              <w:bottom w:val="single" w:sz="12" w:space="0" w:color="auto"/>
            </w:tcBorders>
            <w:shd w:val="clear" w:color="auto" w:fill="auto"/>
            <w:vAlign w:val="bottom"/>
          </w:tcPr>
          <w:p w:rsidR="009733EB" w:rsidRPr="001C68E8" w:rsidRDefault="009733EB" w:rsidP="00EF1F97">
            <w:pPr>
              <w:spacing w:before="81" w:after="81" w:line="240" w:lineRule="auto"/>
              <w:ind w:right="40"/>
              <w:rPr>
                <w:i/>
                <w:sz w:val="14"/>
              </w:rPr>
            </w:pPr>
            <w:r>
              <w:rPr>
                <w:i/>
                <w:sz w:val="14"/>
              </w:rPr>
              <w:t>Country</w:t>
            </w:r>
          </w:p>
        </w:tc>
        <w:tc>
          <w:tcPr>
            <w:tcW w:w="418" w:type="dxa"/>
            <w:gridSpan w:val="2"/>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18"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18"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18"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18"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62" w:type="dxa"/>
            <w:gridSpan w:val="2"/>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62"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62"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62"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513" w:type="dxa"/>
            <w:gridSpan w:val="2"/>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363"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549"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531"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513"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59"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90" w:type="dxa"/>
            <w:gridSpan w:val="2"/>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90"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90"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90"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c>
          <w:tcPr>
            <w:tcW w:w="491" w:type="dxa"/>
            <w:vMerge/>
            <w:tcBorders>
              <w:bottom w:val="single" w:sz="12" w:space="0" w:color="auto"/>
            </w:tcBorders>
            <w:shd w:val="clear" w:color="auto" w:fill="auto"/>
            <w:vAlign w:val="bottom"/>
          </w:tcPr>
          <w:p w:rsidR="009733EB" w:rsidRPr="001C68E8" w:rsidRDefault="009733EB" w:rsidP="00EF1F97">
            <w:pPr>
              <w:spacing w:before="81" w:after="81" w:line="240" w:lineRule="auto"/>
              <w:ind w:right="43"/>
              <w:jc w:val="right"/>
              <w:rPr>
                <w:i/>
                <w:sz w:val="14"/>
              </w:rPr>
            </w:pPr>
          </w:p>
        </w:tc>
      </w:tr>
      <w:tr w:rsidR="009733EB" w:rsidRPr="001C68E8">
        <w:tblPrEx>
          <w:tblCellMar>
            <w:top w:w="0" w:type="dxa"/>
            <w:bottom w:w="0" w:type="dxa"/>
          </w:tblCellMar>
        </w:tblPrEx>
        <w:trPr>
          <w:trHeight w:hRule="exact" w:val="104"/>
          <w:tblHeader/>
        </w:trPr>
        <w:tc>
          <w:tcPr>
            <w:tcW w:w="2926" w:type="dxa"/>
            <w:tcBorders>
              <w:top w:val="single" w:sz="12" w:space="0" w:color="auto"/>
            </w:tcBorders>
            <w:shd w:val="clear" w:color="auto" w:fill="auto"/>
            <w:vAlign w:val="bottom"/>
          </w:tcPr>
          <w:p w:rsidR="009733EB" w:rsidRPr="001C68E8" w:rsidRDefault="009733EB" w:rsidP="00EF1F97">
            <w:pPr>
              <w:spacing w:before="40" w:after="40" w:line="240" w:lineRule="auto"/>
              <w:ind w:right="40"/>
              <w:rPr>
                <w:sz w:val="17"/>
              </w:rPr>
            </w:pPr>
          </w:p>
        </w:tc>
        <w:tc>
          <w:tcPr>
            <w:tcW w:w="418" w:type="dxa"/>
            <w:gridSpan w:val="2"/>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18"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18"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18"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18"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62" w:type="dxa"/>
            <w:gridSpan w:val="2"/>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62"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62"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62"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513" w:type="dxa"/>
            <w:gridSpan w:val="2"/>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363"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549"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531"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513"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59"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90" w:type="dxa"/>
            <w:gridSpan w:val="2"/>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90"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90"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90"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c>
          <w:tcPr>
            <w:tcW w:w="491" w:type="dxa"/>
            <w:tcBorders>
              <w:top w:val="single" w:sz="12" w:space="0" w:color="auto"/>
            </w:tcBorders>
            <w:shd w:val="clear" w:color="auto" w:fill="auto"/>
            <w:vAlign w:val="bottom"/>
          </w:tcPr>
          <w:p w:rsidR="009733EB" w:rsidRPr="001C68E8" w:rsidRDefault="009733EB" w:rsidP="00EF1F97">
            <w:pPr>
              <w:spacing w:before="40" w:after="40" w:line="240" w:lineRule="auto"/>
              <w:ind w:right="43"/>
              <w:jc w:val="right"/>
              <w:rPr>
                <w:sz w:val="17"/>
              </w:rPr>
            </w:pPr>
          </w:p>
        </w:tc>
      </w:tr>
      <w:tr w:rsidR="009733EB" w:rsidRPr="001C68E8">
        <w:tblPrEx>
          <w:tblCellMar>
            <w:top w:w="0" w:type="dxa"/>
            <w:bottom w:w="0" w:type="dxa"/>
          </w:tblCellMar>
        </w:tblPrEx>
        <w:tc>
          <w:tcPr>
            <w:tcW w:w="2926"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Belize</w:t>
                </w:r>
              </w:smartTag>
            </w:smartTag>
          </w:p>
        </w:tc>
        <w:tc>
          <w:tcPr>
            <w:tcW w:w="418" w:type="dxa"/>
            <w:gridSpan w:val="2"/>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97</w:t>
            </w:r>
          </w:p>
        </w:tc>
        <w:tc>
          <w:tcPr>
            <w:tcW w:w="418"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95</w:t>
            </w:r>
          </w:p>
        </w:tc>
        <w:tc>
          <w:tcPr>
            <w:tcW w:w="418" w:type="dxa"/>
            <w:shd w:val="clear" w:color="auto" w:fill="auto"/>
            <w:vAlign w:val="bottom"/>
          </w:tcPr>
          <w:p w:rsidR="009733EB"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96</w:t>
            </w:r>
          </w:p>
        </w:tc>
        <w:tc>
          <w:tcPr>
            <w:tcW w:w="462"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95</w:t>
            </w:r>
          </w:p>
        </w:tc>
        <w:tc>
          <w:tcPr>
            <w:tcW w:w="513" w:type="dxa"/>
            <w:gridSpan w:val="2"/>
            <w:shd w:val="clear" w:color="auto" w:fill="auto"/>
            <w:vAlign w:val="bottom"/>
          </w:tcPr>
          <w:p w:rsidR="009733EB"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49"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31"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97</w:t>
            </w:r>
          </w:p>
        </w:tc>
        <w:tc>
          <w:tcPr>
            <w:tcW w:w="513"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96</w:t>
            </w:r>
          </w:p>
        </w:tc>
        <w:tc>
          <w:tcPr>
            <w:tcW w:w="459" w:type="dxa"/>
            <w:shd w:val="clear" w:color="auto" w:fill="auto"/>
            <w:vAlign w:val="bottom"/>
          </w:tcPr>
          <w:p w:rsidR="009733EB"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1.01</w:t>
            </w:r>
          </w:p>
        </w:tc>
        <w:tc>
          <w:tcPr>
            <w:tcW w:w="490" w:type="dxa"/>
            <w:shd w:val="clear" w:color="auto" w:fill="auto"/>
            <w:vAlign w:val="bottom"/>
          </w:tcPr>
          <w:p w:rsidR="009733EB" w:rsidRPr="001C68E8" w:rsidRDefault="009733EB" w:rsidP="00EF1F97">
            <w:pPr>
              <w:tabs>
                <w:tab w:val="left" w:pos="288"/>
                <w:tab w:val="left" w:pos="576"/>
                <w:tab w:val="left" w:pos="864"/>
                <w:tab w:val="left" w:pos="1152"/>
              </w:tabs>
              <w:spacing w:before="40" w:after="40" w:line="240" w:lineRule="auto"/>
              <w:ind w:right="43"/>
              <w:jc w:val="right"/>
              <w:rPr>
                <w:sz w:val="17"/>
              </w:rPr>
            </w:pPr>
            <w:r>
              <w:rPr>
                <w:sz w:val="17"/>
              </w:rPr>
              <w:t>1.01</w:t>
            </w:r>
          </w:p>
        </w:tc>
        <w:tc>
          <w:tcPr>
            <w:tcW w:w="491" w:type="dxa"/>
            <w:shd w:val="clear" w:color="auto" w:fill="auto"/>
            <w:vAlign w:val="bottom"/>
          </w:tcPr>
          <w:p w:rsidR="009733EB"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9732D1" w:rsidRPr="001C68E8">
        <w:tblPrEx>
          <w:tblCellMar>
            <w:top w:w="0" w:type="dxa"/>
            <w:bottom w:w="0" w:type="dxa"/>
          </w:tblCellMar>
        </w:tblPrEx>
        <w:tc>
          <w:tcPr>
            <w:tcW w:w="2926"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0"/>
              <w:rPr>
                <w:sz w:val="17"/>
              </w:rPr>
            </w:pPr>
          </w:p>
        </w:tc>
        <w:tc>
          <w:tcPr>
            <w:tcW w:w="418"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96</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97</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462"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96</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98</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513"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363"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96</w:t>
            </w:r>
          </w:p>
        </w:tc>
        <w:tc>
          <w:tcPr>
            <w:tcW w:w="549"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97</w:t>
            </w:r>
          </w:p>
        </w:tc>
        <w:tc>
          <w:tcPr>
            <w:tcW w:w="531"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513"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459"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490"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c>
          <w:tcPr>
            <w:tcW w:w="491"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p>
        </w:tc>
      </w:tr>
      <w:tr w:rsidR="009732D1" w:rsidRPr="001C68E8">
        <w:tblPrEx>
          <w:tblCellMar>
            <w:top w:w="0" w:type="dxa"/>
            <w:bottom w:w="0" w:type="dxa"/>
          </w:tblCellMar>
        </w:tblPrEx>
        <w:tc>
          <w:tcPr>
            <w:tcW w:w="2926"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Brazil</w:t>
                </w:r>
              </w:smartTag>
            </w:smartTag>
          </w:p>
        </w:tc>
        <w:tc>
          <w:tcPr>
            <w:tcW w:w="418"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94</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92</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93</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13"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49"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31"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13"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59"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1"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9732D1" w:rsidRPr="001C68E8">
        <w:tblPrEx>
          <w:tblCellMar>
            <w:top w:w="0" w:type="dxa"/>
            <w:bottom w:w="0" w:type="dxa"/>
          </w:tblCellMar>
        </w:tblPrEx>
        <w:tc>
          <w:tcPr>
            <w:tcW w:w="2926"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r>
                <w:rPr>
                  <w:sz w:val="17"/>
                </w:rPr>
                <w:t>Cook Islands</w:t>
              </w:r>
            </w:smartTag>
          </w:p>
        </w:tc>
        <w:tc>
          <w:tcPr>
            <w:tcW w:w="418"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13"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49"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31"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13"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59"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1"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9732D1" w:rsidRPr="001C68E8">
        <w:tblPrEx>
          <w:tblCellMar>
            <w:top w:w="0" w:type="dxa"/>
            <w:bottom w:w="0" w:type="dxa"/>
          </w:tblCellMar>
        </w:tblPrEx>
        <w:tc>
          <w:tcPr>
            <w:tcW w:w="2926"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Estonia</w:t>
                </w:r>
              </w:smartTag>
            </w:smartTag>
          </w:p>
        </w:tc>
        <w:tc>
          <w:tcPr>
            <w:tcW w:w="418"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97</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96</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95</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94</w:t>
            </w:r>
          </w:p>
        </w:tc>
        <w:tc>
          <w:tcPr>
            <w:tcW w:w="418"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97</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96</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95</w:t>
            </w:r>
          </w:p>
        </w:tc>
        <w:tc>
          <w:tcPr>
            <w:tcW w:w="462"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94</w:t>
            </w:r>
          </w:p>
        </w:tc>
        <w:tc>
          <w:tcPr>
            <w:tcW w:w="513"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96</w:t>
            </w:r>
          </w:p>
        </w:tc>
        <w:tc>
          <w:tcPr>
            <w:tcW w:w="549"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95</w:t>
            </w:r>
          </w:p>
        </w:tc>
        <w:tc>
          <w:tcPr>
            <w:tcW w:w="531"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94</w:t>
            </w:r>
          </w:p>
        </w:tc>
        <w:tc>
          <w:tcPr>
            <w:tcW w:w="513"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94</w:t>
            </w:r>
          </w:p>
        </w:tc>
        <w:tc>
          <w:tcPr>
            <w:tcW w:w="459"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0.98</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0.99</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0.99</w:t>
            </w:r>
          </w:p>
        </w:tc>
        <w:tc>
          <w:tcPr>
            <w:tcW w:w="490"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1" w:type="dxa"/>
            <w:shd w:val="clear" w:color="auto" w:fill="auto"/>
            <w:vAlign w:val="bottom"/>
          </w:tcPr>
          <w:p w:rsidR="009732D1" w:rsidRPr="001C68E8" w:rsidRDefault="009732D1"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9732D1" w:rsidRPr="001C68E8">
        <w:tblPrEx>
          <w:tblCellMar>
            <w:top w:w="0" w:type="dxa"/>
            <w:bottom w:w="0" w:type="dxa"/>
          </w:tblCellMar>
        </w:tblPrEx>
        <w:tc>
          <w:tcPr>
            <w:tcW w:w="2926"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Guinea</w:t>
                </w:r>
              </w:smartTag>
            </w:smartTag>
          </w:p>
        </w:tc>
        <w:tc>
          <w:tcPr>
            <w:tcW w:w="418" w:type="dxa"/>
            <w:gridSpan w:val="2"/>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50</w:t>
            </w:r>
          </w:p>
        </w:tc>
        <w:tc>
          <w:tcPr>
            <w:tcW w:w="418"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58</w:t>
            </w:r>
          </w:p>
        </w:tc>
        <w:tc>
          <w:tcPr>
            <w:tcW w:w="418"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61</w:t>
            </w:r>
          </w:p>
        </w:tc>
        <w:tc>
          <w:tcPr>
            <w:tcW w:w="418"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64</w:t>
            </w:r>
          </w:p>
        </w:tc>
        <w:tc>
          <w:tcPr>
            <w:tcW w:w="418"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56</w:t>
            </w:r>
          </w:p>
        </w:tc>
        <w:tc>
          <w:tcPr>
            <w:tcW w:w="462"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64</w:t>
            </w:r>
          </w:p>
        </w:tc>
        <w:tc>
          <w:tcPr>
            <w:tcW w:w="462"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66</w:t>
            </w:r>
          </w:p>
        </w:tc>
        <w:tc>
          <w:tcPr>
            <w:tcW w:w="462"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69</w:t>
            </w:r>
          </w:p>
        </w:tc>
        <w:tc>
          <w:tcPr>
            <w:tcW w:w="513" w:type="dxa"/>
            <w:gridSpan w:val="2"/>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44</w:t>
            </w:r>
          </w:p>
        </w:tc>
        <w:tc>
          <w:tcPr>
            <w:tcW w:w="549"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51</w:t>
            </w:r>
          </w:p>
        </w:tc>
        <w:tc>
          <w:tcPr>
            <w:tcW w:w="531"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55</w:t>
            </w:r>
          </w:p>
        </w:tc>
        <w:tc>
          <w:tcPr>
            <w:tcW w:w="513"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58</w:t>
            </w:r>
          </w:p>
        </w:tc>
        <w:tc>
          <w:tcPr>
            <w:tcW w:w="459"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0.79</w:t>
            </w:r>
          </w:p>
        </w:tc>
        <w:tc>
          <w:tcPr>
            <w:tcW w:w="490"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0</w:t>
            </w:r>
            <w:r w:rsidR="004D3DDE">
              <w:rPr>
                <w:sz w:val="17"/>
              </w:rPr>
              <w:t>.</w:t>
            </w:r>
            <w:r>
              <w:rPr>
                <w:sz w:val="17"/>
              </w:rPr>
              <w:t>80</w:t>
            </w:r>
          </w:p>
        </w:tc>
        <w:tc>
          <w:tcPr>
            <w:tcW w:w="490"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0.83</w:t>
            </w:r>
          </w:p>
        </w:tc>
        <w:tc>
          <w:tcPr>
            <w:tcW w:w="490"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0.84</w:t>
            </w:r>
          </w:p>
        </w:tc>
        <w:tc>
          <w:tcPr>
            <w:tcW w:w="491" w:type="dxa"/>
            <w:shd w:val="clear" w:color="auto" w:fill="auto"/>
            <w:vAlign w:val="bottom"/>
          </w:tcPr>
          <w:p w:rsidR="009732D1"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B25C5C" w:rsidRPr="001C68E8">
        <w:tblPrEx>
          <w:tblCellMar>
            <w:top w:w="0" w:type="dxa"/>
            <w:bottom w:w="0" w:type="dxa"/>
          </w:tblCellMar>
        </w:tblPrEx>
        <w:tc>
          <w:tcPr>
            <w:tcW w:w="2926"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Honduras</w:t>
                </w:r>
              </w:smartTag>
            </w:smartTag>
          </w:p>
        </w:tc>
        <w:tc>
          <w:tcPr>
            <w:tcW w:w="418" w:type="dxa"/>
            <w:gridSpan w:val="2"/>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91</w:t>
            </w:r>
          </w:p>
        </w:tc>
        <w:tc>
          <w:tcPr>
            <w:tcW w:w="418"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90</w:t>
            </w:r>
          </w:p>
        </w:tc>
        <w:tc>
          <w:tcPr>
            <w:tcW w:w="513" w:type="dxa"/>
            <w:gridSpan w:val="2"/>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49"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31"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13"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92</w:t>
            </w:r>
          </w:p>
        </w:tc>
        <w:tc>
          <w:tcPr>
            <w:tcW w:w="459"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1.02</w:t>
            </w:r>
          </w:p>
        </w:tc>
        <w:tc>
          <w:tcPr>
            <w:tcW w:w="491" w:type="dxa"/>
            <w:shd w:val="clear" w:color="auto" w:fill="auto"/>
            <w:vAlign w:val="bottom"/>
          </w:tcPr>
          <w:p w:rsidR="00B25C5C" w:rsidRPr="001C68E8" w:rsidRDefault="00B25C5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EF1F97" w:rsidRPr="001C68E8">
        <w:tblPrEx>
          <w:tblCellMar>
            <w:top w:w="0" w:type="dxa"/>
            <w:bottom w:w="0" w:type="dxa"/>
          </w:tblCellMar>
        </w:tblPrEx>
        <w:tc>
          <w:tcPr>
            <w:tcW w:w="2926"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0"/>
              <w:rPr>
                <w:sz w:val="17"/>
              </w:rPr>
            </w:pPr>
          </w:p>
        </w:tc>
        <w:tc>
          <w:tcPr>
            <w:tcW w:w="418" w:type="dxa"/>
            <w:gridSpan w:val="2"/>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r>
              <w:rPr>
                <w:sz w:val="17"/>
              </w:rPr>
              <w:t>88</w:t>
            </w:r>
          </w:p>
        </w:tc>
        <w:tc>
          <w:tcPr>
            <w:tcW w:w="418"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62" w:type="dxa"/>
            <w:gridSpan w:val="2"/>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r>
              <w:rPr>
                <w:sz w:val="17"/>
              </w:rPr>
              <w:t>87</w:t>
            </w:r>
          </w:p>
        </w:tc>
        <w:tc>
          <w:tcPr>
            <w:tcW w:w="462"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62"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62"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513" w:type="dxa"/>
            <w:gridSpan w:val="2"/>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363"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r>
              <w:rPr>
                <w:sz w:val="17"/>
              </w:rPr>
              <w:t>89</w:t>
            </w:r>
          </w:p>
        </w:tc>
        <w:tc>
          <w:tcPr>
            <w:tcW w:w="549"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531"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513"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59"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90" w:type="dxa"/>
            <w:gridSpan w:val="2"/>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r>
              <w:rPr>
                <w:sz w:val="17"/>
              </w:rPr>
              <w:t>1.02</w:t>
            </w:r>
          </w:p>
        </w:tc>
        <w:tc>
          <w:tcPr>
            <w:tcW w:w="490"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90"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90"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c>
          <w:tcPr>
            <w:tcW w:w="491" w:type="dxa"/>
            <w:shd w:val="clear" w:color="auto" w:fill="auto"/>
            <w:vAlign w:val="bottom"/>
          </w:tcPr>
          <w:p w:rsidR="00EF1F97" w:rsidRDefault="00EF1F97" w:rsidP="00EF1F97">
            <w:pPr>
              <w:tabs>
                <w:tab w:val="left" w:pos="288"/>
                <w:tab w:val="left" w:pos="576"/>
                <w:tab w:val="left" w:pos="864"/>
                <w:tab w:val="left" w:pos="1152"/>
              </w:tabs>
              <w:spacing w:before="40" w:after="40" w:line="240" w:lineRule="auto"/>
              <w:ind w:right="43"/>
              <w:jc w:val="right"/>
              <w:rPr>
                <w:sz w:val="17"/>
              </w:rPr>
            </w:pPr>
          </w:p>
        </w:tc>
      </w:tr>
      <w:tr w:rsidR="001B1A0C" w:rsidRPr="001C68E8">
        <w:tblPrEx>
          <w:tblCellMar>
            <w:top w:w="0" w:type="dxa"/>
            <w:bottom w:w="0" w:type="dxa"/>
          </w:tblCellMar>
        </w:tblPrEx>
        <w:tc>
          <w:tcPr>
            <w:tcW w:w="2926"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Hungary</w:t>
                </w:r>
              </w:smartTag>
            </w:smartTag>
          </w:p>
        </w:tc>
        <w:tc>
          <w:tcPr>
            <w:tcW w:w="418"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88</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88</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90</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90</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90</w:t>
            </w:r>
          </w:p>
        </w:tc>
        <w:tc>
          <w:tcPr>
            <w:tcW w:w="513"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88</w:t>
            </w:r>
          </w:p>
        </w:tc>
        <w:tc>
          <w:tcPr>
            <w:tcW w:w="54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88</w:t>
            </w:r>
          </w:p>
        </w:tc>
        <w:tc>
          <w:tcPr>
            <w:tcW w:w="53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88</w:t>
            </w:r>
          </w:p>
        </w:tc>
        <w:tc>
          <w:tcPr>
            <w:tcW w:w="51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88</w:t>
            </w:r>
          </w:p>
        </w:tc>
        <w:tc>
          <w:tcPr>
            <w:tcW w:w="45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0.99</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0.99</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0.99</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0.99</w:t>
            </w:r>
          </w:p>
        </w:tc>
        <w:tc>
          <w:tcPr>
            <w:tcW w:w="49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1B1A0C" w:rsidRPr="001C68E8">
        <w:tblPrEx>
          <w:tblCellMar>
            <w:top w:w="0" w:type="dxa"/>
            <w:bottom w:w="0" w:type="dxa"/>
          </w:tblCellMar>
        </w:tblPrEx>
        <w:tc>
          <w:tcPr>
            <w:tcW w:w="2926"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Indonesia</w:t>
                </w:r>
              </w:smartTag>
            </w:smartTag>
          </w:p>
        </w:tc>
        <w:tc>
          <w:tcPr>
            <w:tcW w:w="418"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95</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95</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95</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94</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1B1A0C" w:rsidRPr="001C68E8" w:rsidRDefault="00313AB3" w:rsidP="00EF1F97">
            <w:pPr>
              <w:tabs>
                <w:tab w:val="left" w:pos="288"/>
                <w:tab w:val="left" w:pos="576"/>
                <w:tab w:val="left" w:pos="864"/>
                <w:tab w:val="left" w:pos="1152"/>
              </w:tabs>
              <w:spacing w:before="40" w:after="40" w:line="240" w:lineRule="auto"/>
              <w:ind w:right="43"/>
              <w:jc w:val="right"/>
              <w:rPr>
                <w:sz w:val="17"/>
              </w:rPr>
            </w:pPr>
            <w:r>
              <w:rPr>
                <w:sz w:val="17"/>
              </w:rPr>
              <w:t>9</w:t>
            </w:r>
            <w:r w:rsidR="001B1A0C">
              <w:rPr>
                <w:sz w:val="17"/>
              </w:rPr>
              <w:t>6</w:t>
            </w:r>
          </w:p>
        </w:tc>
        <w:tc>
          <w:tcPr>
            <w:tcW w:w="462" w:type="dxa"/>
            <w:shd w:val="clear" w:color="auto" w:fill="auto"/>
            <w:vAlign w:val="bottom"/>
          </w:tcPr>
          <w:p w:rsidR="001B1A0C" w:rsidRPr="001C68E8" w:rsidRDefault="00954822" w:rsidP="00EF1F97">
            <w:pPr>
              <w:tabs>
                <w:tab w:val="left" w:pos="288"/>
                <w:tab w:val="left" w:pos="576"/>
                <w:tab w:val="left" w:pos="864"/>
                <w:tab w:val="left" w:pos="1152"/>
              </w:tabs>
              <w:spacing w:before="40" w:after="40" w:line="240" w:lineRule="auto"/>
              <w:ind w:right="43"/>
              <w:jc w:val="right"/>
              <w:rPr>
                <w:sz w:val="17"/>
              </w:rPr>
            </w:pPr>
            <w:r>
              <w:rPr>
                <w:sz w:val="17"/>
              </w:rPr>
              <w:t>9</w:t>
            </w:r>
            <w:r w:rsidR="001B1A0C">
              <w:rPr>
                <w:sz w:val="17"/>
              </w:rPr>
              <w:t>6</w:t>
            </w:r>
          </w:p>
        </w:tc>
        <w:tc>
          <w:tcPr>
            <w:tcW w:w="462" w:type="dxa"/>
            <w:shd w:val="clear" w:color="auto" w:fill="auto"/>
            <w:vAlign w:val="bottom"/>
          </w:tcPr>
          <w:p w:rsidR="001B1A0C" w:rsidRPr="001C68E8" w:rsidRDefault="00954822" w:rsidP="00EF1F97">
            <w:pPr>
              <w:tabs>
                <w:tab w:val="left" w:pos="288"/>
                <w:tab w:val="left" w:pos="576"/>
                <w:tab w:val="left" w:pos="864"/>
                <w:tab w:val="left" w:pos="1152"/>
              </w:tabs>
              <w:spacing w:before="40" w:after="40" w:line="240" w:lineRule="auto"/>
              <w:ind w:right="43"/>
              <w:jc w:val="right"/>
              <w:rPr>
                <w:sz w:val="17"/>
              </w:rPr>
            </w:pPr>
            <w:r>
              <w:rPr>
                <w:sz w:val="17"/>
              </w:rPr>
              <w:t>9</w:t>
            </w:r>
            <w:r w:rsidR="001B1A0C">
              <w:rPr>
                <w:sz w:val="17"/>
              </w:rPr>
              <w:t>6</w:t>
            </w:r>
          </w:p>
        </w:tc>
        <w:tc>
          <w:tcPr>
            <w:tcW w:w="462" w:type="dxa"/>
            <w:shd w:val="clear" w:color="auto" w:fill="auto"/>
            <w:vAlign w:val="bottom"/>
          </w:tcPr>
          <w:p w:rsidR="001B1A0C" w:rsidRPr="001C68E8" w:rsidRDefault="00106CA4" w:rsidP="00EF1F97">
            <w:pPr>
              <w:tabs>
                <w:tab w:val="left" w:pos="288"/>
                <w:tab w:val="left" w:pos="576"/>
                <w:tab w:val="left" w:pos="864"/>
                <w:tab w:val="left" w:pos="1152"/>
              </w:tabs>
              <w:spacing w:before="40" w:after="40" w:line="240" w:lineRule="auto"/>
              <w:ind w:right="43"/>
              <w:jc w:val="right"/>
              <w:rPr>
                <w:sz w:val="17"/>
              </w:rPr>
            </w:pPr>
            <w:r>
              <w:rPr>
                <w:sz w:val="17"/>
              </w:rPr>
              <w:t>9</w:t>
            </w:r>
            <w:r w:rsidR="001B1A0C">
              <w:rPr>
                <w:sz w:val="17"/>
              </w:rPr>
              <w:t>5</w:t>
            </w:r>
          </w:p>
        </w:tc>
        <w:tc>
          <w:tcPr>
            <w:tcW w:w="513"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94</w:t>
            </w:r>
          </w:p>
        </w:tc>
        <w:tc>
          <w:tcPr>
            <w:tcW w:w="54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95</w:t>
            </w:r>
          </w:p>
        </w:tc>
        <w:tc>
          <w:tcPr>
            <w:tcW w:w="53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94</w:t>
            </w:r>
          </w:p>
        </w:tc>
        <w:tc>
          <w:tcPr>
            <w:tcW w:w="51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93</w:t>
            </w:r>
          </w:p>
        </w:tc>
        <w:tc>
          <w:tcPr>
            <w:tcW w:w="45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0.99</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0.99</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0.98</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0.98</w:t>
            </w:r>
          </w:p>
        </w:tc>
        <w:tc>
          <w:tcPr>
            <w:tcW w:w="49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1B1A0C" w:rsidRPr="001C68E8">
        <w:tblPrEx>
          <w:tblCellMar>
            <w:top w:w="0" w:type="dxa"/>
            <w:bottom w:w="0" w:type="dxa"/>
          </w:tblCellMar>
        </w:tblPrEx>
        <w:tc>
          <w:tcPr>
            <w:tcW w:w="2926"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Jordan</w:t>
                </w:r>
              </w:smartTag>
            </w:smartTag>
          </w:p>
        </w:tc>
        <w:tc>
          <w:tcPr>
            <w:tcW w:w="418"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93</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93</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91</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93</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92</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90</w:t>
            </w:r>
          </w:p>
        </w:tc>
        <w:tc>
          <w:tcPr>
            <w:tcW w:w="513"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4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94</w:t>
            </w:r>
          </w:p>
        </w:tc>
        <w:tc>
          <w:tcPr>
            <w:tcW w:w="53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93</w:t>
            </w:r>
          </w:p>
        </w:tc>
        <w:tc>
          <w:tcPr>
            <w:tcW w:w="51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92</w:t>
            </w:r>
          </w:p>
        </w:tc>
        <w:tc>
          <w:tcPr>
            <w:tcW w:w="45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1.01</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1.01</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1.02</w:t>
            </w:r>
          </w:p>
        </w:tc>
        <w:tc>
          <w:tcPr>
            <w:tcW w:w="49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1B1A0C" w:rsidRPr="001C68E8">
        <w:tblPrEx>
          <w:tblCellMar>
            <w:top w:w="0" w:type="dxa"/>
            <w:bottom w:w="0" w:type="dxa"/>
          </w:tblCellMar>
        </w:tblPrEx>
        <w:tc>
          <w:tcPr>
            <w:tcW w:w="2926"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Kenya</w:t>
                </w:r>
              </w:smartTag>
            </w:smartTag>
          </w:p>
        </w:tc>
        <w:tc>
          <w:tcPr>
            <w:tcW w:w="418"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63</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77</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76</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63</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77</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76</w:t>
            </w:r>
          </w:p>
        </w:tc>
        <w:tc>
          <w:tcPr>
            <w:tcW w:w="513"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4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64</w:t>
            </w:r>
          </w:p>
        </w:tc>
        <w:tc>
          <w:tcPr>
            <w:tcW w:w="53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77</w:t>
            </w:r>
          </w:p>
        </w:tc>
        <w:tc>
          <w:tcPr>
            <w:tcW w:w="51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77</w:t>
            </w:r>
          </w:p>
        </w:tc>
        <w:tc>
          <w:tcPr>
            <w:tcW w:w="45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1.01</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1B1A0C" w:rsidRPr="001C68E8">
        <w:tblPrEx>
          <w:tblCellMar>
            <w:top w:w="0" w:type="dxa"/>
            <w:bottom w:w="0" w:type="dxa"/>
          </w:tblCellMar>
        </w:tblPrEx>
        <w:tc>
          <w:tcPr>
            <w:tcW w:w="2926"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Liechtenstein</w:t>
                </w:r>
              </w:smartTag>
            </w:smartTag>
          </w:p>
        </w:tc>
        <w:tc>
          <w:tcPr>
            <w:tcW w:w="418"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13"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4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3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1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5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1B1A0C" w:rsidRPr="001C68E8">
        <w:tblPrEx>
          <w:tblCellMar>
            <w:top w:w="0" w:type="dxa"/>
            <w:bottom w:w="0" w:type="dxa"/>
          </w:tblCellMar>
        </w:tblPrEx>
        <w:tc>
          <w:tcPr>
            <w:tcW w:w="2926"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0"/>
              <w:rPr>
                <w:sz w:val="17"/>
              </w:rPr>
            </w:pPr>
          </w:p>
        </w:tc>
        <w:tc>
          <w:tcPr>
            <w:tcW w:w="418"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88</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62"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88</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87</w:t>
            </w:r>
          </w:p>
        </w:tc>
        <w:tc>
          <w:tcPr>
            <w:tcW w:w="513"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36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54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53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90</w:t>
            </w:r>
          </w:p>
        </w:tc>
        <w:tc>
          <w:tcPr>
            <w:tcW w:w="51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89</w:t>
            </w:r>
          </w:p>
        </w:tc>
        <w:tc>
          <w:tcPr>
            <w:tcW w:w="45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90"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1.02</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1.03</w:t>
            </w:r>
          </w:p>
        </w:tc>
        <w:tc>
          <w:tcPr>
            <w:tcW w:w="49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1B1A0C" w:rsidRPr="001C68E8">
        <w:tblPrEx>
          <w:tblCellMar>
            <w:top w:w="0" w:type="dxa"/>
            <w:bottom w:w="0" w:type="dxa"/>
          </w:tblCellMar>
        </w:tblPrEx>
        <w:tc>
          <w:tcPr>
            <w:tcW w:w="2926"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New Zealand</w:t>
                </w:r>
              </w:smartTag>
            </w:smartTag>
          </w:p>
        </w:tc>
        <w:tc>
          <w:tcPr>
            <w:tcW w:w="418"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513"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54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3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51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5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1B1A0C" w:rsidRPr="001C68E8">
        <w:tblPrEx>
          <w:tblCellMar>
            <w:top w:w="0" w:type="dxa"/>
            <w:bottom w:w="0" w:type="dxa"/>
          </w:tblCellMar>
        </w:tblPrEx>
        <w:tc>
          <w:tcPr>
            <w:tcW w:w="2926"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0"/>
              <w:rPr>
                <w:sz w:val="17"/>
              </w:rPr>
            </w:pPr>
          </w:p>
        </w:tc>
        <w:tc>
          <w:tcPr>
            <w:tcW w:w="418"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62"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513"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36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54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53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51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5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90"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c>
          <w:tcPr>
            <w:tcW w:w="49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p>
        </w:tc>
      </w:tr>
      <w:tr w:rsidR="001B1A0C" w:rsidRPr="001C68E8">
        <w:tblPrEx>
          <w:tblCellMar>
            <w:top w:w="0" w:type="dxa"/>
            <w:bottom w:w="0" w:type="dxa"/>
          </w:tblCellMar>
        </w:tblPrEx>
        <w:tc>
          <w:tcPr>
            <w:tcW w:w="2926"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Norway</w:t>
                </w:r>
              </w:smartTag>
            </w:smartTag>
          </w:p>
        </w:tc>
        <w:tc>
          <w:tcPr>
            <w:tcW w:w="418"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18"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62"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513"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54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53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513"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59"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1" w:type="dxa"/>
            <w:shd w:val="clear" w:color="auto" w:fill="auto"/>
            <w:vAlign w:val="bottom"/>
          </w:tcPr>
          <w:p w:rsidR="001B1A0C" w:rsidRPr="001C68E8" w:rsidRDefault="001B1A0C" w:rsidP="00EF1F97">
            <w:pPr>
              <w:tabs>
                <w:tab w:val="left" w:pos="288"/>
                <w:tab w:val="left" w:pos="576"/>
                <w:tab w:val="left" w:pos="864"/>
                <w:tab w:val="left" w:pos="1152"/>
              </w:tabs>
              <w:spacing w:before="40" w:after="40" w:line="240" w:lineRule="auto"/>
              <w:ind w:right="43"/>
              <w:jc w:val="right"/>
              <w:rPr>
                <w:sz w:val="17"/>
              </w:rPr>
            </w:pPr>
            <w:r>
              <w:rPr>
                <w:sz w:val="17"/>
              </w:rPr>
              <w:t>-</w:t>
            </w:r>
          </w:p>
        </w:tc>
      </w:tr>
      <w:tr w:rsidR="001B1A0C" w:rsidRPr="001C68E8">
        <w:tblPrEx>
          <w:tblCellMar>
            <w:top w:w="0" w:type="dxa"/>
            <w:bottom w:w="0" w:type="dxa"/>
          </w:tblCellMar>
        </w:tblPrEx>
        <w:tc>
          <w:tcPr>
            <w:tcW w:w="2926"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PlaceType">
                <w:r>
                  <w:rPr>
                    <w:sz w:val="17"/>
                  </w:rPr>
                  <w:t>Republic</w:t>
                </w:r>
              </w:smartTag>
              <w:r>
                <w:rPr>
                  <w:sz w:val="17"/>
                </w:rPr>
                <w:t xml:space="preserve"> of </w:t>
              </w:r>
              <w:smartTag w:uri="urn:schemas-microsoft-com:office:smarttags" w:element="PlaceName">
                <w:r>
                  <w:rPr>
                    <w:sz w:val="17"/>
                  </w:rPr>
                  <w:t>Korea</w:t>
                </w:r>
              </w:smartTag>
            </w:smartTag>
          </w:p>
        </w:tc>
        <w:tc>
          <w:tcPr>
            <w:tcW w:w="418" w:type="dxa"/>
            <w:gridSpan w:val="2"/>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18"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18"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18"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18"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62" w:type="dxa"/>
            <w:gridSpan w:val="2"/>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62"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62"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62"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513" w:type="dxa"/>
            <w:gridSpan w:val="2"/>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363"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549"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531"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513"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59"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99</w:t>
            </w:r>
          </w:p>
        </w:tc>
        <w:tc>
          <w:tcPr>
            <w:tcW w:w="490" w:type="dxa"/>
            <w:gridSpan w:val="2"/>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c>
          <w:tcPr>
            <w:tcW w:w="490"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0.99</w:t>
            </w:r>
          </w:p>
        </w:tc>
        <w:tc>
          <w:tcPr>
            <w:tcW w:w="491" w:type="dxa"/>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1.00</w:t>
            </w:r>
          </w:p>
        </w:tc>
      </w:tr>
      <w:tr w:rsidR="001B1A0C" w:rsidRPr="001C68E8">
        <w:tblPrEx>
          <w:tblCellMar>
            <w:top w:w="0" w:type="dxa"/>
            <w:bottom w:w="0" w:type="dxa"/>
          </w:tblCellMar>
        </w:tblPrEx>
        <w:tc>
          <w:tcPr>
            <w:tcW w:w="2926"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0"/>
              <w:rPr>
                <w:sz w:val="17"/>
              </w:rPr>
            </w:pPr>
            <w:smartTag w:uri="urn:schemas-microsoft-com:office:smarttags" w:element="place">
              <w:smartTag w:uri="urn:schemas-microsoft-com:office:smarttags" w:element="country-region">
                <w:r>
                  <w:rPr>
                    <w:sz w:val="17"/>
                  </w:rPr>
                  <w:t>Singapore</w:t>
                </w:r>
              </w:smartTag>
            </w:smartTag>
          </w:p>
        </w:tc>
        <w:tc>
          <w:tcPr>
            <w:tcW w:w="418" w:type="dxa"/>
            <w:gridSpan w:val="2"/>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18"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gridSpan w:val="2"/>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62"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13" w:type="dxa"/>
            <w:gridSpan w:val="2"/>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363"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49"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31"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513"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59"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gridSpan w:val="2"/>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0"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c>
          <w:tcPr>
            <w:tcW w:w="491" w:type="dxa"/>
            <w:tcBorders>
              <w:bottom w:val="single" w:sz="12" w:space="0" w:color="auto"/>
            </w:tcBorders>
            <w:shd w:val="clear" w:color="auto" w:fill="auto"/>
            <w:vAlign w:val="bottom"/>
          </w:tcPr>
          <w:p w:rsidR="001B1A0C" w:rsidRPr="001C68E8" w:rsidRDefault="00D85224" w:rsidP="00EF1F97">
            <w:pPr>
              <w:tabs>
                <w:tab w:val="left" w:pos="288"/>
                <w:tab w:val="left" w:pos="576"/>
                <w:tab w:val="left" w:pos="864"/>
                <w:tab w:val="left" w:pos="1152"/>
              </w:tabs>
              <w:spacing w:before="40" w:after="40" w:line="240" w:lineRule="auto"/>
              <w:ind w:right="43"/>
              <w:jc w:val="right"/>
              <w:rPr>
                <w:sz w:val="17"/>
              </w:rPr>
            </w:pPr>
            <w:r>
              <w:rPr>
                <w:sz w:val="17"/>
              </w:rPr>
              <w:t>-</w:t>
            </w:r>
          </w:p>
        </w:tc>
      </w:tr>
    </w:tbl>
    <w:p w:rsidR="009732D1" w:rsidRPr="009732D1" w:rsidRDefault="009732D1" w:rsidP="00EF1F97">
      <w:pPr>
        <w:pStyle w:val="SingleTxt"/>
        <w:spacing w:after="0" w:line="240" w:lineRule="auto"/>
        <w:rPr>
          <w:sz w:val="10"/>
        </w:rPr>
      </w:pPr>
    </w:p>
    <w:p w:rsidR="004C5D7A" w:rsidRDefault="009732D1" w:rsidP="00740BBF">
      <w:pPr>
        <w:pStyle w:val="FootnoteText"/>
        <w:tabs>
          <w:tab w:val="clear" w:pos="418"/>
          <w:tab w:val="right" w:pos="216"/>
          <w:tab w:val="left" w:pos="288"/>
          <w:tab w:val="right" w:pos="576"/>
          <w:tab w:val="left" w:pos="648"/>
        </w:tabs>
        <w:spacing w:line="240" w:lineRule="auto"/>
        <w:ind w:left="288" w:hanging="288"/>
      </w:pPr>
      <w:r>
        <w:tab/>
      </w:r>
      <w:r w:rsidRPr="009732D1">
        <w:rPr>
          <w:i/>
        </w:rPr>
        <w:t>Note</w:t>
      </w:r>
      <w:r>
        <w:t xml:space="preserve">: </w:t>
      </w:r>
      <w:r w:rsidR="00740BBF">
        <w:t xml:space="preserve">One asterisk (*) indicates that the figures are national estimates. </w:t>
      </w:r>
      <w:r>
        <w:t>Two asterisks (**) indicate that the figures are estimates from the UNESCO Institute of Statistics. A hyphen (-) indicates that data are not available.</w:t>
      </w:r>
    </w:p>
    <w:p w:rsidR="001C68E8" w:rsidRDefault="009341E7" w:rsidP="004C5D7A">
      <w:pPr>
        <w:pStyle w:val="H23"/>
        <w:tabs>
          <w:tab w:val="left" w:pos="351"/>
        </w:tabs>
        <w:ind w:right="1260"/>
      </w:pPr>
      <w:r>
        <w:br w:type="page"/>
        <w:t>B.</w:t>
      </w:r>
      <w:r>
        <w:tab/>
        <w:t>Data aggregated by region</w:t>
      </w:r>
    </w:p>
    <w:p w:rsidR="004C5D7A" w:rsidRPr="004C5D7A" w:rsidRDefault="004C5D7A" w:rsidP="004C5D7A">
      <w:pPr>
        <w:pStyle w:val="SingleTxt"/>
        <w:spacing w:after="0" w:line="120" w:lineRule="exact"/>
        <w:rPr>
          <w:sz w:val="10"/>
        </w:rPr>
      </w:pPr>
    </w:p>
    <w:p w:rsidR="004C5D7A" w:rsidRPr="004C5D7A" w:rsidRDefault="004C5D7A" w:rsidP="004C5D7A">
      <w:pPr>
        <w:pStyle w:val="SingleTxt"/>
        <w:spacing w:after="0" w:line="120" w:lineRule="exact"/>
        <w:rPr>
          <w:sz w:val="10"/>
        </w:rPr>
      </w:pPr>
    </w:p>
    <w:tbl>
      <w:tblPr>
        <w:tblW w:w="12243" w:type="dxa"/>
        <w:tblLayout w:type="fixed"/>
        <w:tblCellMar>
          <w:left w:w="0" w:type="dxa"/>
          <w:right w:w="0" w:type="dxa"/>
        </w:tblCellMar>
        <w:tblLook w:val="0000" w:firstRow="0" w:lastRow="0" w:firstColumn="0" w:lastColumn="0" w:noHBand="0" w:noVBand="0"/>
      </w:tblPr>
      <w:tblGrid>
        <w:gridCol w:w="2926"/>
        <w:gridCol w:w="53"/>
        <w:gridCol w:w="365"/>
        <w:gridCol w:w="418"/>
        <w:gridCol w:w="418"/>
        <w:gridCol w:w="418"/>
        <w:gridCol w:w="418"/>
        <w:gridCol w:w="51"/>
        <w:gridCol w:w="411"/>
        <w:gridCol w:w="462"/>
        <w:gridCol w:w="462"/>
        <w:gridCol w:w="462"/>
        <w:gridCol w:w="462"/>
        <w:gridCol w:w="54"/>
        <w:gridCol w:w="360"/>
        <w:gridCol w:w="549"/>
        <w:gridCol w:w="531"/>
        <w:gridCol w:w="513"/>
        <w:gridCol w:w="459"/>
        <w:gridCol w:w="54"/>
        <w:gridCol w:w="436"/>
        <w:gridCol w:w="490"/>
        <w:gridCol w:w="490"/>
        <w:gridCol w:w="490"/>
        <w:gridCol w:w="491"/>
      </w:tblGrid>
      <w:tr w:rsidR="00C262B4" w:rsidRPr="001C68E8">
        <w:tblPrEx>
          <w:tblCellMar>
            <w:top w:w="0" w:type="dxa"/>
            <w:bottom w:w="0" w:type="dxa"/>
          </w:tblCellMar>
        </w:tblPrEx>
        <w:trPr>
          <w:tblHeader/>
        </w:trPr>
        <w:tc>
          <w:tcPr>
            <w:tcW w:w="2926" w:type="dxa"/>
            <w:tcBorders>
              <w:top w:val="single" w:sz="4" w:space="0" w:color="auto"/>
              <w:bottom w:val="single" w:sz="4" w:space="0" w:color="auto"/>
            </w:tcBorders>
            <w:shd w:val="clear" w:color="auto" w:fill="auto"/>
            <w:vAlign w:val="bottom"/>
          </w:tcPr>
          <w:p w:rsidR="00C262B4" w:rsidRPr="001C68E8" w:rsidRDefault="00C262B4" w:rsidP="009341E7">
            <w:pPr>
              <w:spacing w:before="81" w:after="81" w:line="160" w:lineRule="exact"/>
              <w:ind w:right="40"/>
              <w:rPr>
                <w:i/>
                <w:sz w:val="14"/>
              </w:rPr>
            </w:pPr>
            <w:r>
              <w:rPr>
                <w:i/>
                <w:sz w:val="14"/>
              </w:rPr>
              <w:t>Data (Percentage)</w:t>
            </w:r>
          </w:p>
        </w:tc>
        <w:tc>
          <w:tcPr>
            <w:tcW w:w="53" w:type="dxa"/>
            <w:tcBorders>
              <w:top w:val="single" w:sz="4" w:space="0" w:color="auto"/>
            </w:tcBorders>
            <w:shd w:val="clear" w:color="auto" w:fill="auto"/>
            <w:vAlign w:val="bottom"/>
          </w:tcPr>
          <w:p w:rsidR="00C262B4" w:rsidRPr="001C68E8" w:rsidRDefault="00C262B4" w:rsidP="009341E7">
            <w:pPr>
              <w:spacing w:before="81" w:after="81" w:line="160" w:lineRule="exact"/>
              <w:ind w:right="43"/>
              <w:jc w:val="center"/>
              <w:rPr>
                <w:i/>
                <w:sz w:val="14"/>
              </w:rPr>
            </w:pPr>
          </w:p>
        </w:tc>
        <w:tc>
          <w:tcPr>
            <w:tcW w:w="2037" w:type="dxa"/>
            <w:gridSpan w:val="5"/>
            <w:tcBorders>
              <w:top w:val="single" w:sz="4" w:space="0" w:color="auto"/>
              <w:bottom w:val="single" w:sz="4" w:space="0" w:color="auto"/>
            </w:tcBorders>
            <w:shd w:val="clear" w:color="auto" w:fill="auto"/>
            <w:vAlign w:val="bottom"/>
          </w:tcPr>
          <w:p w:rsidR="00C262B4" w:rsidRPr="001C68E8" w:rsidRDefault="00C262B4" w:rsidP="009341E7">
            <w:pPr>
              <w:spacing w:before="81" w:after="81" w:line="160" w:lineRule="exact"/>
              <w:ind w:right="43"/>
              <w:jc w:val="center"/>
              <w:rPr>
                <w:i/>
                <w:sz w:val="14"/>
              </w:rPr>
            </w:pPr>
            <w:r>
              <w:rPr>
                <w:i/>
                <w:sz w:val="14"/>
              </w:rPr>
              <w:t xml:space="preserve">Net enrolment rate, Primary </w:t>
            </w:r>
            <w:r>
              <w:rPr>
                <w:i/>
                <w:sz w:val="14"/>
              </w:rPr>
              <w:br/>
              <w:t>Total</w:t>
            </w:r>
          </w:p>
        </w:tc>
        <w:tc>
          <w:tcPr>
            <w:tcW w:w="51" w:type="dxa"/>
            <w:tcBorders>
              <w:top w:val="single" w:sz="4" w:space="0" w:color="auto"/>
            </w:tcBorders>
            <w:shd w:val="clear" w:color="auto" w:fill="auto"/>
            <w:vAlign w:val="bottom"/>
          </w:tcPr>
          <w:p w:rsidR="00C262B4" w:rsidRPr="001C68E8" w:rsidRDefault="00C262B4" w:rsidP="009341E7">
            <w:pPr>
              <w:spacing w:before="81" w:after="81" w:line="160" w:lineRule="exact"/>
              <w:ind w:right="43"/>
              <w:jc w:val="center"/>
              <w:rPr>
                <w:i/>
                <w:sz w:val="14"/>
              </w:rPr>
            </w:pPr>
          </w:p>
        </w:tc>
        <w:tc>
          <w:tcPr>
            <w:tcW w:w="2259" w:type="dxa"/>
            <w:gridSpan w:val="5"/>
            <w:tcBorders>
              <w:top w:val="single" w:sz="4" w:space="0" w:color="auto"/>
              <w:bottom w:val="single" w:sz="4" w:space="0" w:color="auto"/>
            </w:tcBorders>
            <w:shd w:val="clear" w:color="auto" w:fill="auto"/>
            <w:vAlign w:val="bottom"/>
          </w:tcPr>
          <w:p w:rsidR="00C262B4" w:rsidRPr="001C68E8" w:rsidRDefault="00C262B4" w:rsidP="009341E7">
            <w:pPr>
              <w:spacing w:before="81" w:after="81" w:line="160" w:lineRule="exact"/>
              <w:ind w:right="43"/>
              <w:jc w:val="center"/>
              <w:rPr>
                <w:i/>
                <w:sz w:val="14"/>
              </w:rPr>
            </w:pPr>
            <w:r>
              <w:rPr>
                <w:i/>
                <w:sz w:val="14"/>
              </w:rPr>
              <w:t xml:space="preserve">Net enrolment rate, Primary </w:t>
            </w:r>
            <w:r>
              <w:rPr>
                <w:i/>
                <w:sz w:val="14"/>
              </w:rPr>
              <w:br/>
              <w:t>Male</w:t>
            </w:r>
          </w:p>
        </w:tc>
        <w:tc>
          <w:tcPr>
            <w:tcW w:w="54" w:type="dxa"/>
            <w:tcBorders>
              <w:top w:val="single" w:sz="4" w:space="0" w:color="auto"/>
            </w:tcBorders>
            <w:shd w:val="clear" w:color="auto" w:fill="auto"/>
            <w:vAlign w:val="bottom"/>
          </w:tcPr>
          <w:p w:rsidR="00C262B4" w:rsidRPr="001C68E8" w:rsidRDefault="00C262B4" w:rsidP="009341E7">
            <w:pPr>
              <w:spacing w:before="81" w:after="81" w:line="160" w:lineRule="exact"/>
              <w:ind w:right="43"/>
              <w:jc w:val="center"/>
              <w:rPr>
                <w:i/>
                <w:sz w:val="14"/>
              </w:rPr>
            </w:pPr>
          </w:p>
        </w:tc>
        <w:tc>
          <w:tcPr>
            <w:tcW w:w="2412" w:type="dxa"/>
            <w:gridSpan w:val="5"/>
            <w:tcBorders>
              <w:top w:val="single" w:sz="4" w:space="0" w:color="auto"/>
              <w:bottom w:val="single" w:sz="4" w:space="0" w:color="auto"/>
            </w:tcBorders>
            <w:shd w:val="clear" w:color="auto" w:fill="auto"/>
            <w:vAlign w:val="bottom"/>
          </w:tcPr>
          <w:p w:rsidR="00C262B4" w:rsidRPr="001C68E8" w:rsidRDefault="00C262B4" w:rsidP="009341E7">
            <w:pPr>
              <w:spacing w:before="81" w:after="81" w:line="160" w:lineRule="exact"/>
              <w:ind w:right="43"/>
              <w:jc w:val="center"/>
              <w:rPr>
                <w:i/>
                <w:sz w:val="14"/>
              </w:rPr>
            </w:pPr>
            <w:r>
              <w:rPr>
                <w:i/>
                <w:sz w:val="14"/>
              </w:rPr>
              <w:t xml:space="preserve">Net enrolment rate, Primary </w:t>
            </w:r>
            <w:r>
              <w:rPr>
                <w:i/>
                <w:sz w:val="14"/>
              </w:rPr>
              <w:br/>
              <w:t>Female</w:t>
            </w:r>
          </w:p>
        </w:tc>
        <w:tc>
          <w:tcPr>
            <w:tcW w:w="54" w:type="dxa"/>
            <w:tcBorders>
              <w:top w:val="single" w:sz="4" w:space="0" w:color="auto"/>
            </w:tcBorders>
            <w:shd w:val="clear" w:color="auto" w:fill="auto"/>
            <w:vAlign w:val="bottom"/>
          </w:tcPr>
          <w:p w:rsidR="00C262B4" w:rsidRPr="009733EB" w:rsidRDefault="00C262B4" w:rsidP="009341E7">
            <w:pPr>
              <w:spacing w:before="81" w:after="81" w:line="160" w:lineRule="exact"/>
              <w:ind w:right="43"/>
              <w:jc w:val="center"/>
              <w:rPr>
                <w:i/>
                <w:spacing w:val="0"/>
                <w:w w:val="100"/>
                <w:sz w:val="14"/>
                <w:szCs w:val="14"/>
              </w:rPr>
            </w:pPr>
          </w:p>
        </w:tc>
        <w:tc>
          <w:tcPr>
            <w:tcW w:w="2397" w:type="dxa"/>
            <w:gridSpan w:val="5"/>
            <w:tcBorders>
              <w:top w:val="single" w:sz="4" w:space="0" w:color="auto"/>
              <w:bottom w:val="single" w:sz="4" w:space="0" w:color="auto"/>
            </w:tcBorders>
            <w:shd w:val="clear" w:color="auto" w:fill="auto"/>
            <w:vAlign w:val="bottom"/>
          </w:tcPr>
          <w:p w:rsidR="00C262B4" w:rsidRPr="009733EB" w:rsidRDefault="00C262B4" w:rsidP="009341E7">
            <w:pPr>
              <w:spacing w:before="81" w:after="81" w:line="160" w:lineRule="exact"/>
              <w:ind w:right="43"/>
              <w:jc w:val="center"/>
              <w:rPr>
                <w:i/>
                <w:spacing w:val="0"/>
                <w:w w:val="100"/>
                <w:sz w:val="14"/>
                <w:szCs w:val="14"/>
              </w:rPr>
            </w:pPr>
            <w:r w:rsidRPr="009733EB">
              <w:rPr>
                <w:i/>
                <w:spacing w:val="0"/>
                <w:w w:val="100"/>
                <w:sz w:val="14"/>
                <w:szCs w:val="14"/>
              </w:rPr>
              <w:t xml:space="preserve">Gender parity index for net enrolment rate, </w:t>
            </w:r>
            <w:r>
              <w:rPr>
                <w:i/>
                <w:spacing w:val="0"/>
                <w:w w:val="100"/>
                <w:sz w:val="14"/>
                <w:szCs w:val="14"/>
              </w:rPr>
              <w:t>Primary</w:t>
            </w:r>
          </w:p>
        </w:tc>
      </w:tr>
      <w:tr w:rsidR="009341E7" w:rsidRPr="001C68E8">
        <w:tblPrEx>
          <w:tblCellMar>
            <w:top w:w="0" w:type="dxa"/>
            <w:bottom w:w="0" w:type="dxa"/>
          </w:tblCellMar>
        </w:tblPrEx>
        <w:trPr>
          <w:trHeight w:val="163"/>
          <w:tblHeader/>
        </w:trPr>
        <w:tc>
          <w:tcPr>
            <w:tcW w:w="2926" w:type="dxa"/>
            <w:tcBorders>
              <w:top w:val="single" w:sz="4" w:space="0" w:color="auto"/>
              <w:bottom w:val="single" w:sz="4" w:space="0" w:color="auto"/>
            </w:tcBorders>
            <w:shd w:val="clear" w:color="auto" w:fill="auto"/>
            <w:vAlign w:val="bottom"/>
          </w:tcPr>
          <w:p w:rsidR="009341E7" w:rsidRPr="001C68E8" w:rsidRDefault="009341E7" w:rsidP="009341E7">
            <w:pPr>
              <w:spacing w:before="81" w:after="81" w:line="160" w:lineRule="exact"/>
              <w:ind w:right="40"/>
              <w:rPr>
                <w:i/>
                <w:sz w:val="14"/>
              </w:rPr>
            </w:pPr>
            <w:r>
              <w:rPr>
                <w:i/>
                <w:sz w:val="14"/>
              </w:rPr>
              <w:t>Year</w:t>
            </w:r>
          </w:p>
        </w:tc>
        <w:tc>
          <w:tcPr>
            <w:tcW w:w="418" w:type="dxa"/>
            <w:gridSpan w:val="2"/>
            <w:vMerge w:val="restart"/>
            <w:shd w:val="clear" w:color="auto" w:fill="auto"/>
          </w:tcPr>
          <w:p w:rsidR="009341E7" w:rsidRPr="001C68E8" w:rsidRDefault="009341E7" w:rsidP="00C262B4">
            <w:pPr>
              <w:spacing w:before="81" w:after="81" w:line="160" w:lineRule="exact"/>
              <w:ind w:right="43"/>
              <w:jc w:val="right"/>
              <w:rPr>
                <w:i/>
                <w:sz w:val="14"/>
              </w:rPr>
            </w:pPr>
            <w:r>
              <w:rPr>
                <w:i/>
                <w:sz w:val="14"/>
              </w:rPr>
              <w:t>01</w:t>
            </w:r>
          </w:p>
        </w:tc>
        <w:tc>
          <w:tcPr>
            <w:tcW w:w="418"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02</w:t>
            </w:r>
          </w:p>
        </w:tc>
        <w:tc>
          <w:tcPr>
            <w:tcW w:w="418"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03</w:t>
            </w:r>
          </w:p>
        </w:tc>
        <w:tc>
          <w:tcPr>
            <w:tcW w:w="418"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04</w:t>
            </w:r>
          </w:p>
        </w:tc>
        <w:tc>
          <w:tcPr>
            <w:tcW w:w="418"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05</w:t>
            </w:r>
          </w:p>
        </w:tc>
        <w:tc>
          <w:tcPr>
            <w:tcW w:w="462" w:type="dxa"/>
            <w:gridSpan w:val="2"/>
            <w:vMerge w:val="restart"/>
            <w:shd w:val="clear" w:color="auto" w:fill="auto"/>
          </w:tcPr>
          <w:p w:rsidR="009341E7" w:rsidRPr="001C68E8" w:rsidRDefault="009341E7" w:rsidP="00C262B4">
            <w:pPr>
              <w:spacing w:before="81" w:after="81" w:line="160" w:lineRule="exact"/>
              <w:ind w:right="43"/>
              <w:jc w:val="right"/>
              <w:rPr>
                <w:i/>
                <w:sz w:val="14"/>
              </w:rPr>
            </w:pPr>
            <w:r>
              <w:rPr>
                <w:i/>
                <w:sz w:val="14"/>
              </w:rPr>
              <w:t>01</w:t>
            </w:r>
          </w:p>
        </w:tc>
        <w:tc>
          <w:tcPr>
            <w:tcW w:w="462"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02</w:t>
            </w:r>
          </w:p>
        </w:tc>
        <w:tc>
          <w:tcPr>
            <w:tcW w:w="462"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03</w:t>
            </w:r>
          </w:p>
        </w:tc>
        <w:tc>
          <w:tcPr>
            <w:tcW w:w="462"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04</w:t>
            </w:r>
          </w:p>
        </w:tc>
        <w:tc>
          <w:tcPr>
            <w:tcW w:w="462"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05</w:t>
            </w:r>
          </w:p>
        </w:tc>
        <w:tc>
          <w:tcPr>
            <w:tcW w:w="414" w:type="dxa"/>
            <w:gridSpan w:val="2"/>
            <w:vMerge w:val="restart"/>
            <w:shd w:val="clear" w:color="auto" w:fill="auto"/>
          </w:tcPr>
          <w:p w:rsidR="009341E7" w:rsidRPr="001C68E8" w:rsidRDefault="009341E7" w:rsidP="00C262B4">
            <w:pPr>
              <w:spacing w:before="81" w:after="81" w:line="160" w:lineRule="exact"/>
              <w:ind w:right="43"/>
              <w:jc w:val="right"/>
              <w:rPr>
                <w:i/>
                <w:sz w:val="14"/>
              </w:rPr>
            </w:pPr>
            <w:r>
              <w:rPr>
                <w:i/>
                <w:sz w:val="14"/>
              </w:rPr>
              <w:t>01</w:t>
            </w:r>
          </w:p>
        </w:tc>
        <w:tc>
          <w:tcPr>
            <w:tcW w:w="549"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02</w:t>
            </w:r>
          </w:p>
        </w:tc>
        <w:tc>
          <w:tcPr>
            <w:tcW w:w="531"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03</w:t>
            </w:r>
          </w:p>
        </w:tc>
        <w:tc>
          <w:tcPr>
            <w:tcW w:w="513"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04</w:t>
            </w:r>
          </w:p>
        </w:tc>
        <w:tc>
          <w:tcPr>
            <w:tcW w:w="459"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05</w:t>
            </w:r>
          </w:p>
        </w:tc>
        <w:tc>
          <w:tcPr>
            <w:tcW w:w="490" w:type="dxa"/>
            <w:gridSpan w:val="2"/>
            <w:vMerge w:val="restart"/>
            <w:shd w:val="clear" w:color="auto" w:fill="auto"/>
          </w:tcPr>
          <w:p w:rsidR="009341E7" w:rsidRPr="001C68E8" w:rsidRDefault="009341E7" w:rsidP="00C262B4">
            <w:pPr>
              <w:spacing w:before="81" w:after="81" w:line="160" w:lineRule="exact"/>
              <w:ind w:right="43"/>
              <w:jc w:val="right"/>
              <w:rPr>
                <w:i/>
                <w:sz w:val="14"/>
              </w:rPr>
            </w:pPr>
            <w:r>
              <w:rPr>
                <w:i/>
                <w:sz w:val="14"/>
              </w:rPr>
              <w:t>01</w:t>
            </w:r>
          </w:p>
        </w:tc>
        <w:tc>
          <w:tcPr>
            <w:tcW w:w="490"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02</w:t>
            </w:r>
          </w:p>
        </w:tc>
        <w:tc>
          <w:tcPr>
            <w:tcW w:w="490"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03</w:t>
            </w:r>
          </w:p>
        </w:tc>
        <w:tc>
          <w:tcPr>
            <w:tcW w:w="490"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04</w:t>
            </w:r>
          </w:p>
        </w:tc>
        <w:tc>
          <w:tcPr>
            <w:tcW w:w="491" w:type="dxa"/>
            <w:vMerge w:val="restart"/>
            <w:shd w:val="clear" w:color="auto" w:fill="auto"/>
          </w:tcPr>
          <w:p w:rsidR="009341E7" w:rsidRPr="001C68E8" w:rsidRDefault="009341E7" w:rsidP="00C262B4">
            <w:pPr>
              <w:spacing w:before="81" w:after="81" w:line="160" w:lineRule="exact"/>
              <w:ind w:right="43"/>
              <w:jc w:val="right"/>
              <w:rPr>
                <w:i/>
                <w:sz w:val="14"/>
              </w:rPr>
            </w:pPr>
            <w:r>
              <w:rPr>
                <w:i/>
                <w:sz w:val="14"/>
              </w:rPr>
              <w:t>05</w:t>
            </w:r>
          </w:p>
        </w:tc>
      </w:tr>
      <w:tr w:rsidR="009341E7" w:rsidRPr="001C68E8">
        <w:tblPrEx>
          <w:tblCellMar>
            <w:top w:w="0" w:type="dxa"/>
            <w:bottom w:w="0" w:type="dxa"/>
          </w:tblCellMar>
        </w:tblPrEx>
        <w:trPr>
          <w:trHeight w:val="163"/>
          <w:tblHeader/>
        </w:trPr>
        <w:tc>
          <w:tcPr>
            <w:tcW w:w="2926" w:type="dxa"/>
            <w:tcBorders>
              <w:top w:val="single" w:sz="4" w:space="0" w:color="auto"/>
              <w:bottom w:val="single" w:sz="12" w:space="0" w:color="auto"/>
            </w:tcBorders>
            <w:shd w:val="clear" w:color="auto" w:fill="auto"/>
            <w:vAlign w:val="bottom"/>
          </w:tcPr>
          <w:p w:rsidR="009341E7" w:rsidRPr="001C68E8" w:rsidRDefault="00C262B4" w:rsidP="009341E7">
            <w:pPr>
              <w:spacing w:before="81" w:after="81" w:line="160" w:lineRule="exact"/>
              <w:ind w:right="40"/>
              <w:rPr>
                <w:i/>
                <w:sz w:val="14"/>
              </w:rPr>
            </w:pPr>
            <w:r>
              <w:rPr>
                <w:i/>
                <w:sz w:val="14"/>
              </w:rPr>
              <w:t>Region</w:t>
            </w:r>
          </w:p>
        </w:tc>
        <w:tc>
          <w:tcPr>
            <w:tcW w:w="418" w:type="dxa"/>
            <w:gridSpan w:val="2"/>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18"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18"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18"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18"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62" w:type="dxa"/>
            <w:gridSpan w:val="2"/>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14" w:type="dxa"/>
            <w:gridSpan w:val="2"/>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549"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531"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513"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59"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90" w:type="dxa"/>
            <w:gridSpan w:val="2"/>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c>
          <w:tcPr>
            <w:tcW w:w="491" w:type="dxa"/>
            <w:vMerge/>
            <w:tcBorders>
              <w:bottom w:val="single" w:sz="12" w:space="0" w:color="auto"/>
            </w:tcBorders>
            <w:shd w:val="clear" w:color="auto" w:fill="auto"/>
            <w:vAlign w:val="bottom"/>
          </w:tcPr>
          <w:p w:rsidR="009341E7" w:rsidRPr="001C68E8" w:rsidRDefault="009341E7" w:rsidP="009341E7">
            <w:pPr>
              <w:spacing w:before="81" w:after="81" w:line="160" w:lineRule="exact"/>
              <w:ind w:right="43"/>
              <w:jc w:val="right"/>
              <w:rPr>
                <w:i/>
                <w:sz w:val="14"/>
              </w:rPr>
            </w:pPr>
          </w:p>
        </w:tc>
      </w:tr>
      <w:tr w:rsidR="009341E7" w:rsidRPr="001C68E8">
        <w:tblPrEx>
          <w:tblCellMar>
            <w:top w:w="0" w:type="dxa"/>
            <w:bottom w:w="0" w:type="dxa"/>
          </w:tblCellMar>
        </w:tblPrEx>
        <w:trPr>
          <w:trHeight w:hRule="exact" w:val="104"/>
          <w:tblHeader/>
        </w:trPr>
        <w:tc>
          <w:tcPr>
            <w:tcW w:w="2926" w:type="dxa"/>
            <w:tcBorders>
              <w:top w:val="single" w:sz="12" w:space="0" w:color="auto"/>
            </w:tcBorders>
            <w:shd w:val="clear" w:color="auto" w:fill="auto"/>
            <w:vAlign w:val="bottom"/>
          </w:tcPr>
          <w:p w:rsidR="009341E7" w:rsidRPr="001C68E8" w:rsidRDefault="009341E7" w:rsidP="009341E7">
            <w:pPr>
              <w:spacing w:before="40" w:after="40" w:line="210" w:lineRule="exact"/>
              <w:ind w:right="40"/>
              <w:rPr>
                <w:sz w:val="17"/>
              </w:rPr>
            </w:pPr>
          </w:p>
        </w:tc>
        <w:tc>
          <w:tcPr>
            <w:tcW w:w="418" w:type="dxa"/>
            <w:gridSpan w:val="2"/>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62" w:type="dxa"/>
            <w:gridSpan w:val="2"/>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14" w:type="dxa"/>
            <w:gridSpan w:val="2"/>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59"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90" w:type="dxa"/>
            <w:gridSpan w:val="2"/>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9341E7" w:rsidRPr="001C68E8" w:rsidRDefault="009341E7" w:rsidP="009341E7">
            <w:pPr>
              <w:spacing w:before="40" w:after="40" w:line="210" w:lineRule="exact"/>
              <w:ind w:right="43"/>
              <w:jc w:val="right"/>
              <w:rPr>
                <w:sz w:val="17"/>
              </w:rPr>
            </w:pPr>
          </w:p>
        </w:tc>
      </w:tr>
      <w:tr w:rsidR="009341E7" w:rsidRPr="001C68E8">
        <w:tblPrEx>
          <w:tblCellMar>
            <w:top w:w="0" w:type="dxa"/>
            <w:bottom w:w="0" w:type="dxa"/>
          </w:tblCellMar>
        </w:tblPrEx>
        <w:tc>
          <w:tcPr>
            <w:tcW w:w="2926"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0"/>
              <w:rPr>
                <w:sz w:val="17"/>
              </w:rPr>
            </w:pPr>
            <w:r>
              <w:rPr>
                <w:sz w:val="17"/>
              </w:rPr>
              <w:t>Arab States</w:t>
            </w:r>
          </w:p>
        </w:tc>
        <w:tc>
          <w:tcPr>
            <w:tcW w:w="418"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7</w:t>
            </w:r>
            <w:r w:rsidR="00C262B4">
              <w:rPr>
                <w:sz w:val="17"/>
              </w:rPr>
              <w:t>9</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82</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84</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85</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75</w:t>
            </w:r>
          </w:p>
        </w:tc>
        <w:tc>
          <w:tcPr>
            <w:tcW w:w="54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79</w:t>
            </w:r>
          </w:p>
        </w:tc>
        <w:tc>
          <w:tcPr>
            <w:tcW w:w="45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0.90</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0.92</w:t>
            </w:r>
          </w:p>
        </w:tc>
        <w:tc>
          <w:tcPr>
            <w:tcW w:w="49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r>
      <w:tr w:rsidR="009341E7" w:rsidRPr="001C68E8">
        <w:tblPrEx>
          <w:tblCellMar>
            <w:top w:w="0" w:type="dxa"/>
            <w:bottom w:w="0" w:type="dxa"/>
          </w:tblCellMar>
        </w:tblPrEx>
        <w:tc>
          <w:tcPr>
            <w:tcW w:w="2926"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0"/>
              <w:rPr>
                <w:sz w:val="17"/>
              </w:rPr>
            </w:pPr>
          </w:p>
        </w:tc>
        <w:tc>
          <w:tcPr>
            <w:tcW w:w="418" w:type="dxa"/>
            <w:gridSpan w:val="2"/>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80</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81</w:t>
            </w: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84</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84</w:t>
            </w:r>
          </w:p>
        </w:tc>
        <w:tc>
          <w:tcPr>
            <w:tcW w:w="462"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76</w:t>
            </w:r>
          </w:p>
        </w:tc>
        <w:tc>
          <w:tcPr>
            <w:tcW w:w="53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77</w:t>
            </w:r>
          </w:p>
        </w:tc>
        <w:tc>
          <w:tcPr>
            <w:tcW w:w="513"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59"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0.90</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0.92</w:t>
            </w:r>
          </w:p>
        </w:tc>
        <w:tc>
          <w:tcPr>
            <w:tcW w:w="490"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1"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r>
      <w:tr w:rsidR="009341E7" w:rsidRPr="001C68E8">
        <w:tblPrEx>
          <w:tblCellMar>
            <w:top w:w="0" w:type="dxa"/>
            <w:bottom w:w="0" w:type="dxa"/>
          </w:tblCellMar>
        </w:tblPrEx>
        <w:tc>
          <w:tcPr>
            <w:tcW w:w="2926"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0"/>
              <w:rPr>
                <w:sz w:val="17"/>
              </w:rPr>
            </w:pPr>
            <w:r>
              <w:rPr>
                <w:sz w:val="17"/>
              </w:rPr>
              <w:t xml:space="preserve">Central and Eastern </w:t>
            </w:r>
            <w:smartTag w:uri="urn:schemas-microsoft-com:office:smarttags" w:element="place">
              <w:r>
                <w:rPr>
                  <w:sz w:val="17"/>
                </w:rPr>
                <w:t>Europe</w:t>
              </w:r>
            </w:smartTag>
          </w:p>
        </w:tc>
        <w:tc>
          <w:tcPr>
            <w:tcW w:w="418"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91</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90</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91</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92</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91</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92</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90</w:t>
            </w:r>
          </w:p>
        </w:tc>
        <w:tc>
          <w:tcPr>
            <w:tcW w:w="53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89</w:t>
            </w:r>
          </w:p>
        </w:tc>
        <w:tc>
          <w:tcPr>
            <w:tcW w:w="513"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90</w:t>
            </w:r>
          </w:p>
        </w:tc>
        <w:tc>
          <w:tcPr>
            <w:tcW w:w="45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0.98</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0.98</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0.98</w:t>
            </w:r>
          </w:p>
        </w:tc>
        <w:tc>
          <w:tcPr>
            <w:tcW w:w="49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r>
      <w:tr w:rsidR="009341E7" w:rsidRPr="001C68E8">
        <w:tblPrEx>
          <w:tblCellMar>
            <w:top w:w="0" w:type="dxa"/>
            <w:bottom w:w="0" w:type="dxa"/>
          </w:tblCellMar>
        </w:tblPrEx>
        <w:tc>
          <w:tcPr>
            <w:tcW w:w="2926"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0"/>
              <w:rPr>
                <w:sz w:val="17"/>
              </w:rPr>
            </w:pPr>
          </w:p>
        </w:tc>
        <w:tc>
          <w:tcPr>
            <w:tcW w:w="418"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91</w:t>
            </w: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92</w:t>
            </w:r>
          </w:p>
        </w:tc>
        <w:tc>
          <w:tcPr>
            <w:tcW w:w="462"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90</w:t>
            </w:r>
          </w:p>
        </w:tc>
        <w:tc>
          <w:tcPr>
            <w:tcW w:w="549"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59"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0.97</w:t>
            </w:r>
          </w:p>
        </w:tc>
        <w:tc>
          <w:tcPr>
            <w:tcW w:w="490"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1"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r>
      <w:tr w:rsidR="009341E7" w:rsidRPr="001C68E8">
        <w:tblPrEx>
          <w:tblCellMar>
            <w:top w:w="0" w:type="dxa"/>
            <w:bottom w:w="0" w:type="dxa"/>
          </w:tblCellMar>
        </w:tblPrEx>
        <w:tc>
          <w:tcPr>
            <w:tcW w:w="2926"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0"/>
              <w:rPr>
                <w:sz w:val="17"/>
              </w:rPr>
            </w:pPr>
            <w:smartTag w:uri="urn:schemas-microsoft-com:office:smarttags" w:element="place">
              <w:r>
                <w:rPr>
                  <w:sz w:val="17"/>
                </w:rPr>
                <w:t>East Asia</w:t>
              </w:r>
            </w:smartTag>
            <w:r>
              <w:rPr>
                <w:sz w:val="17"/>
              </w:rPr>
              <w:t xml:space="preserve"> and the Pacific</w:t>
            </w:r>
          </w:p>
        </w:tc>
        <w:tc>
          <w:tcPr>
            <w:tcW w:w="418"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r w:rsidR="00FA0179">
              <w:rPr>
                <w:sz w:val="17"/>
              </w:rPr>
              <w:t>)</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1.00</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r>
      <w:tr w:rsidR="009341E7" w:rsidRPr="001C68E8">
        <w:tblPrEx>
          <w:tblCellMar>
            <w:top w:w="0" w:type="dxa"/>
            <w:bottom w:w="0" w:type="dxa"/>
          </w:tblCellMar>
        </w:tblPrEx>
        <w:tc>
          <w:tcPr>
            <w:tcW w:w="2926"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0"/>
              <w:rPr>
                <w:sz w:val="17"/>
              </w:rPr>
            </w:pPr>
          </w:p>
        </w:tc>
        <w:tc>
          <w:tcPr>
            <w:tcW w:w="418"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94</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93</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94</w:t>
            </w: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94</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93</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94</w:t>
            </w:r>
          </w:p>
        </w:tc>
        <w:tc>
          <w:tcPr>
            <w:tcW w:w="462"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54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94</w:t>
            </w:r>
          </w:p>
        </w:tc>
        <w:tc>
          <w:tcPr>
            <w:tcW w:w="53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92</w:t>
            </w:r>
          </w:p>
        </w:tc>
        <w:tc>
          <w:tcPr>
            <w:tcW w:w="513"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94</w:t>
            </w:r>
          </w:p>
        </w:tc>
        <w:tc>
          <w:tcPr>
            <w:tcW w:w="459"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1.00</w:t>
            </w:r>
          </w:p>
        </w:tc>
        <w:tc>
          <w:tcPr>
            <w:tcW w:w="490"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0.99</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0.99</w:t>
            </w:r>
          </w:p>
        </w:tc>
        <w:tc>
          <w:tcPr>
            <w:tcW w:w="491"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r>
      <w:tr w:rsidR="009341E7" w:rsidRPr="001C68E8">
        <w:tblPrEx>
          <w:tblCellMar>
            <w:top w:w="0" w:type="dxa"/>
            <w:bottom w:w="0" w:type="dxa"/>
          </w:tblCellMar>
        </w:tblPrEx>
        <w:tc>
          <w:tcPr>
            <w:tcW w:w="2926"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0"/>
              <w:rPr>
                <w:sz w:val="17"/>
              </w:rPr>
            </w:pPr>
            <w:r>
              <w:rPr>
                <w:sz w:val="17"/>
              </w:rPr>
              <w:t xml:space="preserve">Latin America and the </w:t>
            </w:r>
            <w:smartTag w:uri="urn:schemas-microsoft-com:office:smarttags" w:element="place">
              <w:r>
                <w:rPr>
                  <w:sz w:val="17"/>
                </w:rPr>
                <w:t>Caribbean</w:t>
              </w:r>
            </w:smartTag>
          </w:p>
        </w:tc>
        <w:tc>
          <w:tcPr>
            <w:tcW w:w="418"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95</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r>
      <w:tr w:rsidR="009341E7" w:rsidRPr="001C68E8">
        <w:tblPrEx>
          <w:tblCellMar>
            <w:top w:w="0" w:type="dxa"/>
            <w:bottom w:w="0" w:type="dxa"/>
          </w:tblCellMar>
        </w:tblPrEx>
        <w:tc>
          <w:tcPr>
            <w:tcW w:w="2926"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0"/>
              <w:rPr>
                <w:sz w:val="17"/>
              </w:rPr>
            </w:pPr>
          </w:p>
        </w:tc>
        <w:tc>
          <w:tcPr>
            <w:tcW w:w="418" w:type="dxa"/>
            <w:gridSpan w:val="2"/>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95</w:t>
            </w:r>
          </w:p>
        </w:tc>
        <w:tc>
          <w:tcPr>
            <w:tcW w:w="418"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95</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97</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62"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62"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95</w:t>
            </w:r>
          </w:p>
        </w:tc>
        <w:tc>
          <w:tcPr>
            <w:tcW w:w="549"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95</w:t>
            </w:r>
          </w:p>
        </w:tc>
        <w:tc>
          <w:tcPr>
            <w:tcW w:w="531"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513"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94</w:t>
            </w:r>
          </w:p>
        </w:tc>
        <w:tc>
          <w:tcPr>
            <w:tcW w:w="459"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1.00</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0.98</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1.00</w:t>
            </w:r>
          </w:p>
        </w:tc>
        <w:tc>
          <w:tcPr>
            <w:tcW w:w="490"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3"/>
              <w:jc w:val="right"/>
              <w:rPr>
                <w:sz w:val="17"/>
              </w:rPr>
            </w:pPr>
            <w:r>
              <w:rPr>
                <w:sz w:val="17"/>
              </w:rPr>
              <w:t>0.99</w:t>
            </w:r>
          </w:p>
        </w:tc>
        <w:tc>
          <w:tcPr>
            <w:tcW w:w="491" w:type="dxa"/>
            <w:shd w:val="clear" w:color="auto" w:fill="auto"/>
            <w:vAlign w:val="bottom"/>
          </w:tcPr>
          <w:p w:rsidR="009341E7" w:rsidRPr="001C68E8" w:rsidRDefault="009341E7" w:rsidP="009341E7">
            <w:pPr>
              <w:tabs>
                <w:tab w:val="left" w:pos="288"/>
                <w:tab w:val="left" w:pos="576"/>
                <w:tab w:val="left" w:pos="864"/>
                <w:tab w:val="left" w:pos="1152"/>
              </w:tabs>
              <w:spacing w:before="40" w:after="40" w:line="210" w:lineRule="exact"/>
              <w:ind w:right="43"/>
              <w:jc w:val="right"/>
              <w:rPr>
                <w:sz w:val="17"/>
              </w:rPr>
            </w:pPr>
          </w:p>
        </w:tc>
      </w:tr>
      <w:tr w:rsidR="009341E7" w:rsidRPr="001C68E8">
        <w:tblPrEx>
          <w:tblCellMar>
            <w:top w:w="0" w:type="dxa"/>
            <w:bottom w:w="0" w:type="dxa"/>
          </w:tblCellMar>
        </w:tblPrEx>
        <w:tc>
          <w:tcPr>
            <w:tcW w:w="2926" w:type="dxa"/>
            <w:shd w:val="clear" w:color="auto" w:fill="auto"/>
            <w:vAlign w:val="bottom"/>
          </w:tcPr>
          <w:p w:rsidR="009341E7" w:rsidRPr="001C68E8" w:rsidRDefault="00010812" w:rsidP="009341E7">
            <w:pPr>
              <w:tabs>
                <w:tab w:val="left" w:pos="288"/>
                <w:tab w:val="left" w:pos="576"/>
                <w:tab w:val="left" w:pos="864"/>
                <w:tab w:val="left" w:pos="1152"/>
              </w:tabs>
              <w:spacing w:before="40" w:after="40" w:line="210" w:lineRule="exact"/>
              <w:ind w:right="40"/>
              <w:rPr>
                <w:sz w:val="17"/>
              </w:rPr>
            </w:pPr>
            <w:r>
              <w:rPr>
                <w:sz w:val="17"/>
              </w:rPr>
              <w:t xml:space="preserve">North America and </w:t>
            </w:r>
            <w:smartTag w:uri="urn:schemas-microsoft-com:office:smarttags" w:element="place">
              <w:r>
                <w:rPr>
                  <w:sz w:val="17"/>
                </w:rPr>
                <w:t>Western Europe</w:t>
              </w:r>
            </w:smartTag>
          </w:p>
        </w:tc>
        <w:tc>
          <w:tcPr>
            <w:tcW w:w="418" w:type="dxa"/>
            <w:gridSpan w:val="2"/>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97</w:t>
            </w:r>
          </w:p>
        </w:tc>
        <w:tc>
          <w:tcPr>
            <w:tcW w:w="418"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18"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18"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95</w:t>
            </w:r>
          </w:p>
        </w:tc>
        <w:tc>
          <w:tcPr>
            <w:tcW w:w="418"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97</w:t>
            </w:r>
          </w:p>
        </w:tc>
        <w:tc>
          <w:tcPr>
            <w:tcW w:w="462"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62"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62"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462"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97</w:t>
            </w:r>
          </w:p>
        </w:tc>
        <w:tc>
          <w:tcPr>
            <w:tcW w:w="549"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531"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96</w:t>
            </w:r>
          </w:p>
        </w:tc>
        <w:tc>
          <w:tcPr>
            <w:tcW w:w="513"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94</w:t>
            </w:r>
          </w:p>
        </w:tc>
        <w:tc>
          <w:tcPr>
            <w:tcW w:w="459"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1.01</w:t>
            </w:r>
          </w:p>
        </w:tc>
        <w:tc>
          <w:tcPr>
            <w:tcW w:w="490"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1.01</w:t>
            </w:r>
          </w:p>
        </w:tc>
        <w:tc>
          <w:tcPr>
            <w:tcW w:w="490"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1.01</w:t>
            </w:r>
          </w:p>
        </w:tc>
        <w:tc>
          <w:tcPr>
            <w:tcW w:w="490"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0.98</w:t>
            </w:r>
          </w:p>
        </w:tc>
        <w:tc>
          <w:tcPr>
            <w:tcW w:w="491" w:type="dxa"/>
            <w:shd w:val="clear" w:color="auto" w:fill="auto"/>
            <w:vAlign w:val="bottom"/>
          </w:tcPr>
          <w:p w:rsidR="009341E7"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26" w:type="dxa"/>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0"/>
              <w:rPr>
                <w:sz w:val="17"/>
              </w:rPr>
            </w:pPr>
            <w:r>
              <w:rPr>
                <w:sz w:val="17"/>
              </w:rPr>
              <w:t xml:space="preserve">Sub-Saharan </w:t>
            </w:r>
            <w:smartTag w:uri="urn:schemas-microsoft-com:office:smarttags" w:element="place">
              <w:r>
                <w:rPr>
                  <w:sz w:val="17"/>
                </w:rPr>
                <w:t>Africa</w:t>
              </w:r>
            </w:smartTag>
          </w:p>
        </w:tc>
        <w:tc>
          <w:tcPr>
            <w:tcW w:w="418" w:type="dxa"/>
            <w:gridSpan w:val="2"/>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w:t>
            </w:r>
            <w:r w:rsidR="00EC2AFA">
              <w:rPr>
                <w:sz w:val="17"/>
              </w:rPr>
              <w:t>)</w:t>
            </w:r>
          </w:p>
        </w:tc>
        <w:tc>
          <w:tcPr>
            <w:tcW w:w="418" w:type="dxa"/>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r w:rsidR="00DC4835">
              <w:rPr>
                <w:sz w:val="17"/>
              </w:rPr>
              <w:t>)</w:t>
            </w:r>
          </w:p>
        </w:tc>
        <w:tc>
          <w:tcPr>
            <w:tcW w:w="462"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r w:rsidR="00314894">
              <w:rPr>
                <w:sz w:val="17"/>
              </w:rPr>
              <w:t>)</w:t>
            </w:r>
          </w:p>
        </w:tc>
        <w:tc>
          <w:tcPr>
            <w:tcW w:w="531"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r w:rsidR="00314894">
              <w:rPr>
                <w:sz w:val="17"/>
              </w:rPr>
              <w:t>)</w:t>
            </w:r>
          </w:p>
        </w:tc>
        <w:tc>
          <w:tcPr>
            <w:tcW w:w="490"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26"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0"/>
              <w:rPr>
                <w:sz w:val="17"/>
              </w:rPr>
            </w:pPr>
          </w:p>
        </w:tc>
        <w:tc>
          <w:tcPr>
            <w:tcW w:w="418" w:type="dxa"/>
            <w:gridSpan w:val="2"/>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59</w:t>
            </w:r>
          </w:p>
        </w:tc>
        <w:tc>
          <w:tcPr>
            <w:tcW w:w="418"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61</w:t>
            </w:r>
          </w:p>
        </w:tc>
        <w:tc>
          <w:tcPr>
            <w:tcW w:w="418"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64</w:t>
            </w:r>
          </w:p>
        </w:tc>
        <w:tc>
          <w:tcPr>
            <w:tcW w:w="418"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66</w:t>
            </w:r>
          </w:p>
        </w:tc>
        <w:tc>
          <w:tcPr>
            <w:tcW w:w="418"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p>
        </w:tc>
        <w:tc>
          <w:tcPr>
            <w:tcW w:w="462" w:type="dxa"/>
            <w:gridSpan w:val="2"/>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62</w:t>
            </w:r>
          </w:p>
        </w:tc>
        <w:tc>
          <w:tcPr>
            <w:tcW w:w="462"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64</w:t>
            </w:r>
          </w:p>
        </w:tc>
        <w:tc>
          <w:tcPr>
            <w:tcW w:w="462"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67</w:t>
            </w:r>
          </w:p>
        </w:tc>
        <w:tc>
          <w:tcPr>
            <w:tcW w:w="462"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69</w:t>
            </w:r>
          </w:p>
        </w:tc>
        <w:tc>
          <w:tcPr>
            <w:tcW w:w="462"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p>
        </w:tc>
        <w:tc>
          <w:tcPr>
            <w:tcW w:w="414" w:type="dxa"/>
            <w:gridSpan w:val="2"/>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56</w:t>
            </w:r>
          </w:p>
        </w:tc>
        <w:tc>
          <w:tcPr>
            <w:tcW w:w="549"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58</w:t>
            </w:r>
          </w:p>
        </w:tc>
        <w:tc>
          <w:tcPr>
            <w:tcW w:w="531"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60</w:t>
            </w:r>
          </w:p>
        </w:tc>
        <w:tc>
          <w:tcPr>
            <w:tcW w:w="513"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64</w:t>
            </w:r>
          </w:p>
        </w:tc>
        <w:tc>
          <w:tcPr>
            <w:tcW w:w="459"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p>
        </w:tc>
        <w:tc>
          <w:tcPr>
            <w:tcW w:w="490" w:type="dxa"/>
            <w:gridSpan w:val="2"/>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0.91</w:t>
            </w:r>
          </w:p>
        </w:tc>
        <w:tc>
          <w:tcPr>
            <w:tcW w:w="490"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0.90</w:t>
            </w:r>
          </w:p>
        </w:tc>
        <w:tc>
          <w:tcPr>
            <w:tcW w:w="490"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0.90</w:t>
            </w:r>
          </w:p>
        </w:tc>
        <w:tc>
          <w:tcPr>
            <w:tcW w:w="490"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r>
              <w:rPr>
                <w:sz w:val="17"/>
              </w:rPr>
              <w:t>0.92</w:t>
            </w:r>
          </w:p>
        </w:tc>
        <w:tc>
          <w:tcPr>
            <w:tcW w:w="491" w:type="dxa"/>
            <w:tcBorders>
              <w:bottom w:val="single" w:sz="12" w:space="0" w:color="auto"/>
            </w:tcBorders>
            <w:shd w:val="clear" w:color="auto" w:fill="auto"/>
            <w:vAlign w:val="bottom"/>
          </w:tcPr>
          <w:p w:rsidR="006E719D" w:rsidRPr="001C68E8" w:rsidRDefault="006E719D" w:rsidP="009341E7">
            <w:pPr>
              <w:tabs>
                <w:tab w:val="left" w:pos="288"/>
                <w:tab w:val="left" w:pos="576"/>
                <w:tab w:val="left" w:pos="864"/>
                <w:tab w:val="left" w:pos="1152"/>
              </w:tabs>
              <w:spacing w:before="40" w:after="40" w:line="210" w:lineRule="exact"/>
              <w:ind w:right="43"/>
              <w:jc w:val="right"/>
              <w:rPr>
                <w:sz w:val="17"/>
              </w:rPr>
            </w:pPr>
          </w:p>
        </w:tc>
      </w:tr>
    </w:tbl>
    <w:p w:rsidR="006E719D" w:rsidRPr="006E719D" w:rsidRDefault="006E719D" w:rsidP="006E719D">
      <w:pPr>
        <w:pStyle w:val="SingleTxt"/>
        <w:spacing w:after="0" w:line="120" w:lineRule="exact"/>
        <w:rPr>
          <w:sz w:val="10"/>
        </w:rPr>
      </w:pPr>
    </w:p>
    <w:p w:rsidR="001C68E8" w:rsidRDefault="006E719D" w:rsidP="006E719D">
      <w:pPr>
        <w:pStyle w:val="FootnoteText"/>
        <w:tabs>
          <w:tab w:val="clear" w:pos="418"/>
          <w:tab w:val="right" w:pos="216"/>
          <w:tab w:val="left" w:pos="288"/>
          <w:tab w:val="right" w:pos="576"/>
          <w:tab w:val="left" w:pos="648"/>
        </w:tabs>
        <w:ind w:left="288" w:hanging="288"/>
      </w:pPr>
      <w:r>
        <w:tab/>
      </w:r>
      <w:r w:rsidRPr="006E719D">
        <w:rPr>
          <w:i/>
        </w:rPr>
        <w:t>Source</w:t>
      </w:r>
      <w:r>
        <w:t>: http://stats.uis.unesco.org/TableViewer/tableView.aspx (UNESCO Institute for Statistics, Education), last accessed on 25/04/07.</w:t>
      </w:r>
    </w:p>
    <w:p w:rsidR="003B1499" w:rsidRPr="003B1499" w:rsidRDefault="003B1499" w:rsidP="003B1499">
      <w:pPr>
        <w:pStyle w:val="H23"/>
        <w:spacing w:line="120" w:lineRule="exact"/>
        <w:ind w:left="0" w:right="1260" w:firstLine="0"/>
        <w:rPr>
          <w:b w:val="0"/>
          <w:sz w:val="10"/>
        </w:rPr>
      </w:pPr>
    </w:p>
    <w:p w:rsidR="003B1499" w:rsidRPr="003B1499" w:rsidRDefault="003B1499" w:rsidP="003B1499">
      <w:pPr>
        <w:pStyle w:val="H23"/>
        <w:spacing w:line="120" w:lineRule="exact"/>
        <w:ind w:left="0" w:right="1260" w:firstLine="0"/>
        <w:rPr>
          <w:b w:val="0"/>
          <w:sz w:val="10"/>
        </w:rPr>
      </w:pPr>
    </w:p>
    <w:p w:rsidR="003B1499" w:rsidRPr="003B1499" w:rsidRDefault="003B1499" w:rsidP="003B1499">
      <w:pPr>
        <w:pStyle w:val="H23"/>
        <w:spacing w:line="120" w:lineRule="exact"/>
        <w:ind w:left="0" w:right="1260" w:firstLine="0"/>
        <w:rPr>
          <w:b w:val="0"/>
          <w:sz w:val="10"/>
        </w:rPr>
      </w:pPr>
    </w:p>
    <w:p w:rsidR="006E719D" w:rsidRDefault="006E719D" w:rsidP="006E719D">
      <w:pPr>
        <w:pStyle w:val="H23"/>
        <w:ind w:left="0" w:right="1260" w:firstLine="0"/>
      </w:pPr>
      <w:r>
        <w:rPr>
          <w:b w:val="0"/>
        </w:rPr>
        <w:br w:type="page"/>
      </w:r>
      <w:r w:rsidRPr="001C68E8">
        <w:rPr>
          <w:b w:val="0"/>
        </w:rPr>
        <w:t xml:space="preserve">Table </w:t>
      </w:r>
      <w:r>
        <w:rPr>
          <w:b w:val="0"/>
        </w:rPr>
        <w:t>2</w:t>
      </w:r>
      <w:r w:rsidRPr="001C68E8">
        <w:rPr>
          <w:b w:val="0"/>
        </w:rPr>
        <w:br/>
      </w:r>
      <w:r>
        <w:t>Secondary education</w:t>
      </w:r>
    </w:p>
    <w:p w:rsidR="006E719D" w:rsidRPr="001C68E8" w:rsidRDefault="006E719D" w:rsidP="006E719D">
      <w:pPr>
        <w:pStyle w:val="SingleTxt"/>
        <w:spacing w:after="0" w:line="120" w:lineRule="exact"/>
        <w:rPr>
          <w:sz w:val="10"/>
        </w:rPr>
      </w:pPr>
    </w:p>
    <w:p w:rsidR="006E719D" w:rsidRDefault="006E719D" w:rsidP="006E719D">
      <w:pPr>
        <w:pStyle w:val="H23"/>
        <w:tabs>
          <w:tab w:val="left"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w:t>
      </w:r>
      <w:r>
        <w:tab/>
        <w:t>Country data</w:t>
      </w:r>
    </w:p>
    <w:p w:rsidR="006E719D" w:rsidRPr="001C68E8" w:rsidRDefault="006E719D" w:rsidP="006E719D">
      <w:pPr>
        <w:pStyle w:val="SingleTxt"/>
        <w:spacing w:after="0" w:line="120" w:lineRule="exact"/>
        <w:rPr>
          <w:sz w:val="10"/>
        </w:rPr>
      </w:pPr>
    </w:p>
    <w:p w:rsidR="006E719D" w:rsidRPr="001C68E8" w:rsidRDefault="006E719D" w:rsidP="006E719D">
      <w:pPr>
        <w:pStyle w:val="SingleTxt"/>
        <w:spacing w:after="0" w:line="120" w:lineRule="exact"/>
        <w:rPr>
          <w:sz w:val="10"/>
        </w:rPr>
      </w:pPr>
    </w:p>
    <w:tbl>
      <w:tblPr>
        <w:tblW w:w="12243" w:type="dxa"/>
        <w:tblLayout w:type="fixed"/>
        <w:tblCellMar>
          <w:left w:w="0" w:type="dxa"/>
          <w:right w:w="0" w:type="dxa"/>
        </w:tblCellMar>
        <w:tblLook w:val="0000" w:firstRow="0" w:lastRow="0" w:firstColumn="0" w:lastColumn="0" w:noHBand="0" w:noVBand="0"/>
      </w:tblPr>
      <w:tblGrid>
        <w:gridCol w:w="2926"/>
        <w:gridCol w:w="50"/>
        <w:gridCol w:w="368"/>
        <w:gridCol w:w="418"/>
        <w:gridCol w:w="418"/>
        <w:gridCol w:w="418"/>
        <w:gridCol w:w="418"/>
        <w:gridCol w:w="66"/>
        <w:gridCol w:w="396"/>
        <w:gridCol w:w="462"/>
        <w:gridCol w:w="462"/>
        <w:gridCol w:w="462"/>
        <w:gridCol w:w="462"/>
        <w:gridCol w:w="60"/>
        <w:gridCol w:w="354"/>
        <w:gridCol w:w="549"/>
        <w:gridCol w:w="531"/>
        <w:gridCol w:w="513"/>
        <w:gridCol w:w="459"/>
        <w:gridCol w:w="69"/>
        <w:gridCol w:w="421"/>
        <w:gridCol w:w="490"/>
        <w:gridCol w:w="490"/>
        <w:gridCol w:w="490"/>
        <w:gridCol w:w="491"/>
      </w:tblGrid>
      <w:tr w:rsidR="00C467CE" w:rsidRPr="001C68E8">
        <w:tblPrEx>
          <w:tblCellMar>
            <w:top w:w="0" w:type="dxa"/>
            <w:bottom w:w="0" w:type="dxa"/>
          </w:tblCellMar>
        </w:tblPrEx>
        <w:trPr>
          <w:tblHeader/>
        </w:trPr>
        <w:tc>
          <w:tcPr>
            <w:tcW w:w="2926" w:type="dxa"/>
            <w:tcBorders>
              <w:top w:val="single" w:sz="4" w:space="0" w:color="auto"/>
              <w:bottom w:val="single" w:sz="4" w:space="0" w:color="auto"/>
            </w:tcBorders>
            <w:shd w:val="clear" w:color="auto" w:fill="auto"/>
            <w:vAlign w:val="bottom"/>
          </w:tcPr>
          <w:p w:rsidR="00C467CE" w:rsidRPr="001C68E8" w:rsidRDefault="00C467CE" w:rsidP="006E719D">
            <w:pPr>
              <w:spacing w:before="81" w:after="81" w:line="160" w:lineRule="exact"/>
              <w:ind w:right="40"/>
              <w:rPr>
                <w:i/>
                <w:sz w:val="14"/>
              </w:rPr>
            </w:pPr>
            <w:r>
              <w:rPr>
                <w:i/>
                <w:sz w:val="14"/>
              </w:rPr>
              <w:t>Data (Percentage)</w:t>
            </w:r>
          </w:p>
        </w:tc>
        <w:tc>
          <w:tcPr>
            <w:tcW w:w="50" w:type="dxa"/>
            <w:tcBorders>
              <w:top w:val="single" w:sz="4" w:space="0" w:color="auto"/>
            </w:tcBorders>
            <w:shd w:val="clear" w:color="auto" w:fill="auto"/>
            <w:vAlign w:val="bottom"/>
          </w:tcPr>
          <w:p w:rsidR="00C467CE" w:rsidRPr="001C68E8" w:rsidRDefault="00C467CE" w:rsidP="006E719D">
            <w:pPr>
              <w:spacing w:before="81" w:after="81" w:line="160" w:lineRule="exact"/>
              <w:ind w:right="43"/>
              <w:jc w:val="center"/>
              <w:rPr>
                <w:i/>
                <w:sz w:val="14"/>
              </w:rPr>
            </w:pPr>
          </w:p>
        </w:tc>
        <w:tc>
          <w:tcPr>
            <w:tcW w:w="2040" w:type="dxa"/>
            <w:gridSpan w:val="5"/>
            <w:tcBorders>
              <w:top w:val="single" w:sz="4" w:space="0" w:color="auto"/>
              <w:bottom w:val="single" w:sz="4" w:space="0" w:color="auto"/>
            </w:tcBorders>
            <w:shd w:val="clear" w:color="auto" w:fill="auto"/>
            <w:vAlign w:val="bottom"/>
          </w:tcPr>
          <w:p w:rsidR="00C467CE" w:rsidRPr="001C68E8" w:rsidRDefault="00C467CE" w:rsidP="006E719D">
            <w:pPr>
              <w:spacing w:before="81" w:after="81" w:line="160" w:lineRule="exact"/>
              <w:ind w:right="43"/>
              <w:jc w:val="center"/>
              <w:rPr>
                <w:i/>
                <w:sz w:val="14"/>
              </w:rPr>
            </w:pPr>
            <w:r>
              <w:rPr>
                <w:i/>
                <w:sz w:val="14"/>
              </w:rPr>
              <w:t xml:space="preserve">Net enrolment rate, Secondary </w:t>
            </w:r>
            <w:r>
              <w:rPr>
                <w:i/>
                <w:sz w:val="14"/>
              </w:rPr>
              <w:br/>
              <w:t>Total</w:t>
            </w:r>
          </w:p>
        </w:tc>
        <w:tc>
          <w:tcPr>
            <w:tcW w:w="66" w:type="dxa"/>
            <w:tcBorders>
              <w:top w:val="single" w:sz="4" w:space="0" w:color="auto"/>
            </w:tcBorders>
            <w:shd w:val="clear" w:color="auto" w:fill="auto"/>
            <w:vAlign w:val="bottom"/>
          </w:tcPr>
          <w:p w:rsidR="00C467CE" w:rsidRPr="001C68E8" w:rsidRDefault="00C467CE" w:rsidP="006E719D">
            <w:pPr>
              <w:spacing w:before="81" w:after="81" w:line="160" w:lineRule="exact"/>
              <w:ind w:right="43"/>
              <w:jc w:val="center"/>
              <w:rPr>
                <w:i/>
                <w:sz w:val="14"/>
              </w:rPr>
            </w:pPr>
          </w:p>
        </w:tc>
        <w:tc>
          <w:tcPr>
            <w:tcW w:w="2244" w:type="dxa"/>
            <w:gridSpan w:val="5"/>
            <w:tcBorders>
              <w:top w:val="single" w:sz="4" w:space="0" w:color="auto"/>
              <w:bottom w:val="single" w:sz="4" w:space="0" w:color="auto"/>
            </w:tcBorders>
            <w:shd w:val="clear" w:color="auto" w:fill="auto"/>
            <w:vAlign w:val="bottom"/>
          </w:tcPr>
          <w:p w:rsidR="00C467CE" w:rsidRPr="001C68E8" w:rsidRDefault="00C467CE" w:rsidP="006E719D">
            <w:pPr>
              <w:spacing w:before="81" w:after="81" w:line="160" w:lineRule="exact"/>
              <w:ind w:right="43"/>
              <w:jc w:val="center"/>
              <w:rPr>
                <w:i/>
                <w:sz w:val="14"/>
              </w:rPr>
            </w:pPr>
            <w:r>
              <w:rPr>
                <w:i/>
                <w:sz w:val="14"/>
              </w:rPr>
              <w:t xml:space="preserve">Net enrolment rate, Secondary </w:t>
            </w:r>
            <w:r>
              <w:rPr>
                <w:i/>
                <w:sz w:val="14"/>
              </w:rPr>
              <w:br/>
              <w:t>Male</w:t>
            </w:r>
          </w:p>
        </w:tc>
        <w:tc>
          <w:tcPr>
            <w:tcW w:w="60" w:type="dxa"/>
            <w:tcBorders>
              <w:top w:val="single" w:sz="4" w:space="0" w:color="auto"/>
            </w:tcBorders>
            <w:shd w:val="clear" w:color="auto" w:fill="auto"/>
            <w:vAlign w:val="bottom"/>
          </w:tcPr>
          <w:p w:rsidR="00C467CE" w:rsidRPr="001C68E8" w:rsidRDefault="00C467CE" w:rsidP="006E719D">
            <w:pPr>
              <w:spacing w:before="81" w:after="81" w:line="160" w:lineRule="exact"/>
              <w:ind w:right="43"/>
              <w:jc w:val="center"/>
              <w:rPr>
                <w:i/>
                <w:sz w:val="14"/>
              </w:rPr>
            </w:pPr>
          </w:p>
        </w:tc>
        <w:tc>
          <w:tcPr>
            <w:tcW w:w="2406" w:type="dxa"/>
            <w:gridSpan w:val="5"/>
            <w:tcBorders>
              <w:top w:val="single" w:sz="4" w:space="0" w:color="auto"/>
              <w:bottom w:val="single" w:sz="4" w:space="0" w:color="auto"/>
            </w:tcBorders>
            <w:shd w:val="clear" w:color="auto" w:fill="auto"/>
            <w:vAlign w:val="bottom"/>
          </w:tcPr>
          <w:p w:rsidR="00C467CE" w:rsidRPr="001C68E8" w:rsidRDefault="00C467CE" w:rsidP="006E719D">
            <w:pPr>
              <w:spacing w:before="81" w:after="81" w:line="160" w:lineRule="exact"/>
              <w:ind w:right="43"/>
              <w:jc w:val="center"/>
              <w:rPr>
                <w:i/>
                <w:sz w:val="14"/>
              </w:rPr>
            </w:pPr>
            <w:r>
              <w:rPr>
                <w:i/>
                <w:sz w:val="14"/>
              </w:rPr>
              <w:t xml:space="preserve">Net enrolment rate, Secondary </w:t>
            </w:r>
            <w:r>
              <w:rPr>
                <w:i/>
                <w:sz w:val="14"/>
              </w:rPr>
              <w:br/>
              <w:t>Female</w:t>
            </w:r>
          </w:p>
        </w:tc>
        <w:tc>
          <w:tcPr>
            <w:tcW w:w="69" w:type="dxa"/>
            <w:tcBorders>
              <w:top w:val="single" w:sz="4" w:space="0" w:color="auto"/>
            </w:tcBorders>
            <w:shd w:val="clear" w:color="auto" w:fill="auto"/>
            <w:vAlign w:val="bottom"/>
          </w:tcPr>
          <w:p w:rsidR="00C467CE" w:rsidRPr="009733EB" w:rsidRDefault="00C467CE" w:rsidP="006E719D">
            <w:pPr>
              <w:spacing w:before="81" w:after="81" w:line="160" w:lineRule="exact"/>
              <w:ind w:right="43"/>
              <w:jc w:val="center"/>
              <w:rPr>
                <w:i/>
                <w:spacing w:val="0"/>
                <w:w w:val="100"/>
                <w:sz w:val="14"/>
                <w:szCs w:val="14"/>
              </w:rPr>
            </w:pPr>
          </w:p>
        </w:tc>
        <w:tc>
          <w:tcPr>
            <w:tcW w:w="2382" w:type="dxa"/>
            <w:gridSpan w:val="5"/>
            <w:tcBorders>
              <w:top w:val="single" w:sz="4" w:space="0" w:color="auto"/>
              <w:bottom w:val="single" w:sz="4" w:space="0" w:color="auto"/>
            </w:tcBorders>
            <w:shd w:val="clear" w:color="auto" w:fill="auto"/>
            <w:vAlign w:val="bottom"/>
          </w:tcPr>
          <w:p w:rsidR="00C467CE" w:rsidRPr="009733EB" w:rsidRDefault="00C467CE" w:rsidP="006E719D">
            <w:pPr>
              <w:spacing w:before="81" w:after="81" w:line="160" w:lineRule="exact"/>
              <w:ind w:right="43"/>
              <w:jc w:val="center"/>
              <w:rPr>
                <w:i/>
                <w:spacing w:val="0"/>
                <w:w w:val="100"/>
                <w:sz w:val="14"/>
                <w:szCs w:val="14"/>
              </w:rPr>
            </w:pPr>
            <w:r w:rsidRPr="009733EB">
              <w:rPr>
                <w:i/>
                <w:spacing w:val="0"/>
                <w:w w:val="100"/>
                <w:sz w:val="14"/>
                <w:szCs w:val="14"/>
              </w:rPr>
              <w:t xml:space="preserve">Gender parity index for net enrolment rate, </w:t>
            </w:r>
            <w:r>
              <w:rPr>
                <w:i/>
                <w:spacing w:val="0"/>
                <w:w w:val="100"/>
                <w:sz w:val="14"/>
                <w:szCs w:val="14"/>
              </w:rPr>
              <w:t>Secondary</w:t>
            </w:r>
          </w:p>
        </w:tc>
      </w:tr>
      <w:tr w:rsidR="006E719D" w:rsidRPr="001C68E8">
        <w:tblPrEx>
          <w:tblCellMar>
            <w:top w:w="0" w:type="dxa"/>
            <w:bottom w:w="0" w:type="dxa"/>
          </w:tblCellMar>
        </w:tblPrEx>
        <w:trPr>
          <w:trHeight w:val="163"/>
          <w:tblHeader/>
        </w:trPr>
        <w:tc>
          <w:tcPr>
            <w:tcW w:w="2976" w:type="dxa"/>
            <w:gridSpan w:val="2"/>
            <w:tcBorders>
              <w:bottom w:val="single" w:sz="4" w:space="0" w:color="auto"/>
            </w:tcBorders>
            <w:shd w:val="clear" w:color="auto" w:fill="auto"/>
            <w:vAlign w:val="bottom"/>
          </w:tcPr>
          <w:p w:rsidR="006E719D" w:rsidRPr="001C68E8" w:rsidRDefault="006E719D" w:rsidP="006E719D">
            <w:pPr>
              <w:spacing w:before="81" w:after="81" w:line="160" w:lineRule="exact"/>
              <w:ind w:right="40"/>
              <w:rPr>
                <w:i/>
                <w:sz w:val="14"/>
              </w:rPr>
            </w:pPr>
            <w:r>
              <w:rPr>
                <w:i/>
                <w:sz w:val="14"/>
              </w:rPr>
              <w:t>Year</w:t>
            </w:r>
          </w:p>
        </w:tc>
        <w:tc>
          <w:tcPr>
            <w:tcW w:w="368" w:type="dxa"/>
            <w:vMerge w:val="restart"/>
            <w:tcBorders>
              <w:top w:val="single" w:sz="4" w:space="0" w:color="auto"/>
            </w:tcBorders>
            <w:shd w:val="clear" w:color="auto" w:fill="auto"/>
          </w:tcPr>
          <w:p w:rsidR="006E719D" w:rsidRPr="001C68E8" w:rsidRDefault="006E719D" w:rsidP="00C467CE">
            <w:pPr>
              <w:spacing w:before="81" w:after="81" w:line="160" w:lineRule="exact"/>
              <w:ind w:right="43"/>
              <w:jc w:val="right"/>
              <w:rPr>
                <w:i/>
                <w:sz w:val="14"/>
              </w:rPr>
            </w:pPr>
            <w:r>
              <w:rPr>
                <w:i/>
                <w:sz w:val="14"/>
              </w:rPr>
              <w:t>01</w:t>
            </w:r>
          </w:p>
        </w:tc>
        <w:tc>
          <w:tcPr>
            <w:tcW w:w="418" w:type="dxa"/>
            <w:vMerge w:val="restart"/>
            <w:tcBorders>
              <w:top w:val="single" w:sz="4" w:space="0" w:color="auto"/>
            </w:tcBorders>
            <w:shd w:val="clear" w:color="auto" w:fill="auto"/>
          </w:tcPr>
          <w:p w:rsidR="006E719D" w:rsidRPr="001C68E8" w:rsidRDefault="006E719D" w:rsidP="00C467CE">
            <w:pPr>
              <w:spacing w:before="81" w:after="81" w:line="160" w:lineRule="exact"/>
              <w:ind w:right="43"/>
              <w:jc w:val="right"/>
              <w:rPr>
                <w:i/>
                <w:sz w:val="14"/>
              </w:rPr>
            </w:pPr>
            <w:r>
              <w:rPr>
                <w:i/>
                <w:sz w:val="14"/>
              </w:rPr>
              <w:t>02</w:t>
            </w:r>
          </w:p>
        </w:tc>
        <w:tc>
          <w:tcPr>
            <w:tcW w:w="418" w:type="dxa"/>
            <w:vMerge w:val="restart"/>
            <w:tcBorders>
              <w:top w:val="single" w:sz="4" w:space="0" w:color="auto"/>
            </w:tcBorders>
            <w:shd w:val="clear" w:color="auto" w:fill="auto"/>
          </w:tcPr>
          <w:p w:rsidR="006E719D" w:rsidRPr="001C68E8" w:rsidRDefault="006E719D" w:rsidP="00C467CE">
            <w:pPr>
              <w:spacing w:before="81" w:after="81" w:line="160" w:lineRule="exact"/>
              <w:ind w:right="43"/>
              <w:jc w:val="right"/>
              <w:rPr>
                <w:i/>
                <w:sz w:val="14"/>
              </w:rPr>
            </w:pPr>
            <w:r>
              <w:rPr>
                <w:i/>
                <w:sz w:val="14"/>
              </w:rPr>
              <w:t>03</w:t>
            </w:r>
          </w:p>
        </w:tc>
        <w:tc>
          <w:tcPr>
            <w:tcW w:w="418" w:type="dxa"/>
            <w:vMerge w:val="restart"/>
            <w:tcBorders>
              <w:top w:val="single" w:sz="4" w:space="0" w:color="auto"/>
            </w:tcBorders>
            <w:shd w:val="clear" w:color="auto" w:fill="auto"/>
          </w:tcPr>
          <w:p w:rsidR="006E719D" w:rsidRPr="001C68E8" w:rsidRDefault="006E719D" w:rsidP="00C467CE">
            <w:pPr>
              <w:spacing w:before="81" w:after="81" w:line="160" w:lineRule="exact"/>
              <w:ind w:right="43"/>
              <w:jc w:val="right"/>
              <w:rPr>
                <w:i/>
                <w:sz w:val="14"/>
              </w:rPr>
            </w:pPr>
            <w:r>
              <w:rPr>
                <w:i/>
                <w:sz w:val="14"/>
              </w:rPr>
              <w:t>04</w:t>
            </w:r>
          </w:p>
        </w:tc>
        <w:tc>
          <w:tcPr>
            <w:tcW w:w="418" w:type="dxa"/>
            <w:vMerge w:val="restart"/>
            <w:tcBorders>
              <w:top w:val="single" w:sz="4" w:space="0" w:color="auto"/>
            </w:tcBorders>
            <w:shd w:val="clear" w:color="auto" w:fill="auto"/>
          </w:tcPr>
          <w:p w:rsidR="006E719D" w:rsidRPr="001C68E8" w:rsidRDefault="006E719D" w:rsidP="00C467CE">
            <w:pPr>
              <w:spacing w:before="81" w:after="81" w:line="160" w:lineRule="exact"/>
              <w:ind w:right="43"/>
              <w:jc w:val="right"/>
              <w:rPr>
                <w:i/>
                <w:sz w:val="14"/>
              </w:rPr>
            </w:pPr>
            <w:r>
              <w:rPr>
                <w:i/>
                <w:sz w:val="14"/>
              </w:rPr>
              <w:t>05</w:t>
            </w:r>
          </w:p>
        </w:tc>
        <w:tc>
          <w:tcPr>
            <w:tcW w:w="462" w:type="dxa"/>
            <w:gridSpan w:val="2"/>
            <w:vMerge w:val="restart"/>
            <w:shd w:val="clear" w:color="auto" w:fill="auto"/>
          </w:tcPr>
          <w:p w:rsidR="006E719D" w:rsidRPr="001C68E8" w:rsidRDefault="006E719D" w:rsidP="00C467CE">
            <w:pPr>
              <w:spacing w:before="81" w:after="81" w:line="160" w:lineRule="exact"/>
              <w:ind w:right="43"/>
              <w:jc w:val="right"/>
              <w:rPr>
                <w:i/>
                <w:sz w:val="14"/>
              </w:rPr>
            </w:pPr>
            <w:r>
              <w:rPr>
                <w:i/>
                <w:sz w:val="14"/>
              </w:rPr>
              <w:t>01</w:t>
            </w:r>
          </w:p>
        </w:tc>
        <w:tc>
          <w:tcPr>
            <w:tcW w:w="462"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02</w:t>
            </w:r>
          </w:p>
        </w:tc>
        <w:tc>
          <w:tcPr>
            <w:tcW w:w="462"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03</w:t>
            </w:r>
          </w:p>
        </w:tc>
        <w:tc>
          <w:tcPr>
            <w:tcW w:w="462"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04</w:t>
            </w:r>
          </w:p>
        </w:tc>
        <w:tc>
          <w:tcPr>
            <w:tcW w:w="462"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05</w:t>
            </w:r>
          </w:p>
        </w:tc>
        <w:tc>
          <w:tcPr>
            <w:tcW w:w="414" w:type="dxa"/>
            <w:gridSpan w:val="2"/>
            <w:vMerge w:val="restart"/>
            <w:shd w:val="clear" w:color="auto" w:fill="auto"/>
          </w:tcPr>
          <w:p w:rsidR="006E719D" w:rsidRPr="001C68E8" w:rsidRDefault="006E719D" w:rsidP="00C467CE">
            <w:pPr>
              <w:spacing w:before="81" w:after="81" w:line="160" w:lineRule="exact"/>
              <w:ind w:right="43"/>
              <w:jc w:val="right"/>
              <w:rPr>
                <w:i/>
                <w:sz w:val="14"/>
              </w:rPr>
            </w:pPr>
            <w:r>
              <w:rPr>
                <w:i/>
                <w:sz w:val="14"/>
              </w:rPr>
              <w:t>01</w:t>
            </w:r>
          </w:p>
        </w:tc>
        <w:tc>
          <w:tcPr>
            <w:tcW w:w="549"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02</w:t>
            </w:r>
          </w:p>
        </w:tc>
        <w:tc>
          <w:tcPr>
            <w:tcW w:w="531"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03</w:t>
            </w:r>
          </w:p>
        </w:tc>
        <w:tc>
          <w:tcPr>
            <w:tcW w:w="513"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04</w:t>
            </w:r>
          </w:p>
        </w:tc>
        <w:tc>
          <w:tcPr>
            <w:tcW w:w="459"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05</w:t>
            </w:r>
          </w:p>
        </w:tc>
        <w:tc>
          <w:tcPr>
            <w:tcW w:w="490" w:type="dxa"/>
            <w:gridSpan w:val="2"/>
            <w:vMerge w:val="restart"/>
            <w:shd w:val="clear" w:color="auto" w:fill="auto"/>
          </w:tcPr>
          <w:p w:rsidR="006E719D" w:rsidRPr="001C68E8" w:rsidRDefault="006E719D" w:rsidP="00C467CE">
            <w:pPr>
              <w:spacing w:before="81" w:after="81" w:line="160" w:lineRule="exact"/>
              <w:ind w:right="43"/>
              <w:jc w:val="right"/>
              <w:rPr>
                <w:i/>
                <w:sz w:val="14"/>
              </w:rPr>
            </w:pPr>
            <w:r>
              <w:rPr>
                <w:i/>
                <w:sz w:val="14"/>
              </w:rPr>
              <w:t>01</w:t>
            </w:r>
          </w:p>
        </w:tc>
        <w:tc>
          <w:tcPr>
            <w:tcW w:w="490"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02</w:t>
            </w:r>
          </w:p>
        </w:tc>
        <w:tc>
          <w:tcPr>
            <w:tcW w:w="490"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03</w:t>
            </w:r>
          </w:p>
        </w:tc>
        <w:tc>
          <w:tcPr>
            <w:tcW w:w="490"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04</w:t>
            </w:r>
          </w:p>
        </w:tc>
        <w:tc>
          <w:tcPr>
            <w:tcW w:w="491" w:type="dxa"/>
            <w:vMerge w:val="restart"/>
            <w:shd w:val="clear" w:color="auto" w:fill="auto"/>
          </w:tcPr>
          <w:p w:rsidR="006E719D" w:rsidRPr="001C68E8" w:rsidRDefault="006E719D" w:rsidP="00C467CE">
            <w:pPr>
              <w:spacing w:before="81" w:after="81" w:line="160" w:lineRule="exact"/>
              <w:ind w:right="43"/>
              <w:jc w:val="right"/>
              <w:rPr>
                <w:i/>
                <w:sz w:val="14"/>
              </w:rPr>
            </w:pPr>
            <w:r>
              <w:rPr>
                <w:i/>
                <w:sz w:val="14"/>
              </w:rPr>
              <w:t>05</w:t>
            </w:r>
          </w:p>
        </w:tc>
      </w:tr>
      <w:tr w:rsidR="006E719D" w:rsidRPr="001C68E8">
        <w:tblPrEx>
          <w:tblCellMar>
            <w:top w:w="0" w:type="dxa"/>
            <w:bottom w:w="0" w:type="dxa"/>
          </w:tblCellMar>
        </w:tblPrEx>
        <w:trPr>
          <w:trHeight w:val="163"/>
          <w:tblHeader/>
        </w:trPr>
        <w:tc>
          <w:tcPr>
            <w:tcW w:w="2976" w:type="dxa"/>
            <w:gridSpan w:val="2"/>
            <w:tcBorders>
              <w:top w:val="single" w:sz="4" w:space="0" w:color="auto"/>
              <w:bottom w:val="single" w:sz="12" w:space="0" w:color="auto"/>
            </w:tcBorders>
            <w:shd w:val="clear" w:color="auto" w:fill="auto"/>
            <w:vAlign w:val="bottom"/>
          </w:tcPr>
          <w:p w:rsidR="006E719D" w:rsidRPr="001C68E8" w:rsidRDefault="006E719D" w:rsidP="006E719D">
            <w:pPr>
              <w:spacing w:before="81" w:after="81" w:line="160" w:lineRule="exact"/>
              <w:ind w:right="40"/>
              <w:rPr>
                <w:i/>
                <w:sz w:val="14"/>
              </w:rPr>
            </w:pPr>
            <w:r>
              <w:rPr>
                <w:i/>
                <w:sz w:val="14"/>
              </w:rPr>
              <w:t>Country</w:t>
            </w:r>
          </w:p>
        </w:tc>
        <w:tc>
          <w:tcPr>
            <w:tcW w:w="368"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18"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18"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18"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18"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62" w:type="dxa"/>
            <w:gridSpan w:val="2"/>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62"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62"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62"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62"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14" w:type="dxa"/>
            <w:gridSpan w:val="2"/>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549"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531"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513"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59"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90" w:type="dxa"/>
            <w:gridSpan w:val="2"/>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90"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90"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90"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c>
          <w:tcPr>
            <w:tcW w:w="491" w:type="dxa"/>
            <w:vMerge/>
            <w:tcBorders>
              <w:bottom w:val="single" w:sz="12" w:space="0" w:color="auto"/>
            </w:tcBorders>
            <w:shd w:val="clear" w:color="auto" w:fill="auto"/>
          </w:tcPr>
          <w:p w:rsidR="006E719D" w:rsidRPr="001C68E8" w:rsidRDefault="006E719D" w:rsidP="00C467CE">
            <w:pPr>
              <w:spacing w:before="81" w:after="81" w:line="160" w:lineRule="exact"/>
              <w:ind w:right="43"/>
              <w:jc w:val="right"/>
              <w:rPr>
                <w:i/>
                <w:sz w:val="14"/>
              </w:rPr>
            </w:pPr>
          </w:p>
        </w:tc>
      </w:tr>
      <w:tr w:rsidR="006E719D" w:rsidRPr="001C68E8">
        <w:tblPrEx>
          <w:tblCellMar>
            <w:top w:w="0" w:type="dxa"/>
            <w:bottom w:w="0" w:type="dxa"/>
          </w:tblCellMar>
        </w:tblPrEx>
        <w:trPr>
          <w:trHeight w:hRule="exact" w:val="104"/>
          <w:tblHeader/>
        </w:trPr>
        <w:tc>
          <w:tcPr>
            <w:tcW w:w="2976" w:type="dxa"/>
            <w:gridSpan w:val="2"/>
            <w:tcBorders>
              <w:top w:val="single" w:sz="12" w:space="0" w:color="auto"/>
            </w:tcBorders>
            <w:shd w:val="clear" w:color="auto" w:fill="auto"/>
            <w:vAlign w:val="bottom"/>
          </w:tcPr>
          <w:p w:rsidR="006E719D" w:rsidRPr="001C68E8" w:rsidRDefault="006E719D" w:rsidP="006E719D">
            <w:pPr>
              <w:spacing w:before="40" w:after="40" w:line="210" w:lineRule="exact"/>
              <w:ind w:right="40"/>
              <w:rPr>
                <w:sz w:val="17"/>
              </w:rPr>
            </w:pPr>
          </w:p>
        </w:tc>
        <w:tc>
          <w:tcPr>
            <w:tcW w:w="368"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18"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18"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18"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18"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62" w:type="dxa"/>
            <w:gridSpan w:val="2"/>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62"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62"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62"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62"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14" w:type="dxa"/>
            <w:gridSpan w:val="2"/>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549"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531"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513"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59"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90" w:type="dxa"/>
            <w:gridSpan w:val="2"/>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90"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90"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90"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c>
          <w:tcPr>
            <w:tcW w:w="491" w:type="dxa"/>
            <w:tcBorders>
              <w:top w:val="single" w:sz="12" w:space="0" w:color="auto"/>
            </w:tcBorders>
            <w:shd w:val="clear" w:color="auto" w:fill="auto"/>
          </w:tcPr>
          <w:p w:rsidR="006E719D" w:rsidRPr="001C68E8" w:rsidRDefault="006E719D" w:rsidP="00C467CE">
            <w:pPr>
              <w:spacing w:before="40" w:after="40" w:line="210" w:lineRule="exact"/>
              <w:ind w:right="43"/>
              <w:jc w:val="right"/>
              <w:rPr>
                <w:sz w:val="17"/>
              </w:rPr>
            </w:pP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Belize</w:t>
                </w:r>
              </w:smartTag>
            </w:smartTag>
          </w:p>
        </w:tc>
        <w:tc>
          <w:tcPr>
            <w:tcW w:w="36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60</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58</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62</w:t>
            </w: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1.07</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p>
        </w:tc>
        <w:tc>
          <w:tcPr>
            <w:tcW w:w="368"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64</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69</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71</w:t>
            </w:r>
          </w:p>
        </w:tc>
        <w:tc>
          <w:tcPr>
            <w:tcW w:w="418"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63</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67</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70</w:t>
            </w:r>
          </w:p>
        </w:tc>
        <w:tc>
          <w:tcPr>
            <w:tcW w:w="462"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66</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70</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73</w:t>
            </w:r>
          </w:p>
        </w:tc>
        <w:tc>
          <w:tcPr>
            <w:tcW w:w="459"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1.05</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1.05</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1.05</w:t>
            </w:r>
          </w:p>
        </w:tc>
        <w:tc>
          <w:tcPr>
            <w:tcW w:w="491"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Brazil</w:t>
                </w:r>
              </w:smartTag>
            </w:smartTag>
          </w:p>
        </w:tc>
        <w:tc>
          <w:tcPr>
            <w:tcW w:w="36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71</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75</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76</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68</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71</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73</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74</w:t>
            </w: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78</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78</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1.08</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1.09</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1.07</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r>
                <w:rPr>
                  <w:sz w:val="17"/>
                </w:rPr>
                <w:t>Cook Islands</w:t>
              </w:r>
            </w:smartTag>
          </w:p>
        </w:tc>
        <w:tc>
          <w:tcPr>
            <w:tcW w:w="36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Estonia</w:t>
                </w:r>
              </w:smartTag>
            </w:smartTag>
          </w:p>
        </w:tc>
        <w:tc>
          <w:tcPr>
            <w:tcW w:w="36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84</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87</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88</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90</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82</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85</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86</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89</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85</w:t>
            </w: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88</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90</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45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1.04</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1.03</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1.04</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1.03</w:t>
            </w:r>
          </w:p>
        </w:tc>
        <w:tc>
          <w:tcPr>
            <w:tcW w:w="49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Guinea</w:t>
                </w:r>
              </w:smartTag>
            </w:smartTag>
          </w:p>
        </w:tc>
        <w:tc>
          <w:tcPr>
            <w:tcW w:w="36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9A040F" w:rsidRPr="001C68E8">
        <w:tblPrEx>
          <w:tblCellMar>
            <w:top w:w="0" w:type="dxa"/>
            <w:bottom w:w="0" w:type="dxa"/>
          </w:tblCellMar>
        </w:tblPrEx>
        <w:tc>
          <w:tcPr>
            <w:tcW w:w="2976" w:type="dxa"/>
            <w:gridSpan w:val="2"/>
            <w:shd w:val="clear" w:color="auto" w:fill="auto"/>
            <w:vAlign w:val="bottom"/>
          </w:tcPr>
          <w:p w:rsidR="009A040F" w:rsidRDefault="009A040F" w:rsidP="006E719D">
            <w:pPr>
              <w:tabs>
                <w:tab w:val="left" w:pos="288"/>
                <w:tab w:val="left" w:pos="576"/>
                <w:tab w:val="left" w:pos="864"/>
                <w:tab w:val="left" w:pos="1152"/>
              </w:tabs>
              <w:spacing w:before="40" w:after="40" w:line="210" w:lineRule="exact"/>
              <w:ind w:right="40"/>
              <w:rPr>
                <w:sz w:val="17"/>
              </w:rPr>
            </w:pPr>
          </w:p>
        </w:tc>
        <w:tc>
          <w:tcPr>
            <w:tcW w:w="36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17</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19</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20</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21</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23</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26</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27</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28</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w:t>
            </w:r>
          </w:p>
        </w:tc>
        <w:tc>
          <w:tcPr>
            <w:tcW w:w="549"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12</w:t>
            </w:r>
          </w:p>
        </w:tc>
        <w:tc>
          <w:tcPr>
            <w:tcW w:w="531"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13</w:t>
            </w:r>
          </w:p>
        </w:tc>
        <w:tc>
          <w:tcPr>
            <w:tcW w:w="513"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14</w:t>
            </w:r>
          </w:p>
        </w:tc>
        <w:tc>
          <w:tcPr>
            <w:tcW w:w="459"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0.43</w:t>
            </w: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0.45</w:t>
            </w: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0.50</w:t>
            </w: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0.51</w:t>
            </w:r>
          </w:p>
        </w:tc>
        <w:tc>
          <w:tcPr>
            <w:tcW w:w="491"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r>
      <w:tr w:rsidR="009A040F" w:rsidRPr="001C68E8">
        <w:tblPrEx>
          <w:tblCellMar>
            <w:top w:w="0" w:type="dxa"/>
            <w:bottom w:w="0" w:type="dxa"/>
          </w:tblCellMar>
        </w:tblPrEx>
        <w:tc>
          <w:tcPr>
            <w:tcW w:w="2976" w:type="dxa"/>
            <w:gridSpan w:val="2"/>
            <w:shd w:val="clear" w:color="auto" w:fill="auto"/>
            <w:vAlign w:val="bottom"/>
          </w:tcPr>
          <w:p w:rsidR="009A040F" w:rsidRDefault="009A040F"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Honduras</w:t>
                </w:r>
              </w:smartTag>
            </w:smartTag>
          </w:p>
        </w:tc>
        <w:tc>
          <w:tcPr>
            <w:tcW w:w="36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Hungary</w:t>
                </w:r>
              </w:smartTag>
            </w:smartTag>
          </w:p>
        </w:tc>
        <w:tc>
          <w:tcPr>
            <w:tcW w:w="36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88</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90</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92</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88</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90</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92</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88</w:t>
            </w: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90</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92</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1.01</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1.00</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1.00</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9A040F" w:rsidRPr="001C68E8">
        <w:tblPrEx>
          <w:tblCellMar>
            <w:top w:w="0" w:type="dxa"/>
            <w:bottom w:w="0" w:type="dxa"/>
          </w:tblCellMar>
        </w:tblPrEx>
        <w:tc>
          <w:tcPr>
            <w:tcW w:w="2976" w:type="dxa"/>
            <w:gridSpan w:val="2"/>
            <w:shd w:val="clear" w:color="auto" w:fill="auto"/>
            <w:vAlign w:val="bottom"/>
          </w:tcPr>
          <w:p w:rsidR="009A040F" w:rsidRDefault="009A040F" w:rsidP="006E719D">
            <w:pPr>
              <w:tabs>
                <w:tab w:val="left" w:pos="288"/>
                <w:tab w:val="left" w:pos="576"/>
                <w:tab w:val="left" w:pos="864"/>
                <w:tab w:val="left" w:pos="1152"/>
              </w:tabs>
              <w:spacing w:before="40" w:after="40" w:line="210" w:lineRule="exact"/>
              <w:ind w:right="40"/>
              <w:rPr>
                <w:sz w:val="17"/>
              </w:rPr>
            </w:pPr>
          </w:p>
        </w:tc>
        <w:tc>
          <w:tcPr>
            <w:tcW w:w="36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90</w:t>
            </w:r>
          </w:p>
        </w:tc>
        <w:tc>
          <w:tcPr>
            <w:tcW w:w="459"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0.99</w:t>
            </w:r>
          </w:p>
        </w:tc>
        <w:tc>
          <w:tcPr>
            <w:tcW w:w="491"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Indonesia</w:t>
                </w:r>
              </w:smartTag>
            </w:smartTag>
          </w:p>
        </w:tc>
        <w:tc>
          <w:tcPr>
            <w:tcW w:w="36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55</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57</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55</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57</w:t>
            </w:r>
          </w:p>
        </w:tc>
        <w:tc>
          <w:tcPr>
            <w:tcW w:w="414"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55</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57</w:t>
            </w:r>
          </w:p>
        </w:tc>
        <w:tc>
          <w:tcPr>
            <w:tcW w:w="45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0.99</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0.99</w:t>
            </w:r>
          </w:p>
        </w:tc>
        <w:tc>
          <w:tcPr>
            <w:tcW w:w="49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Jordan</w:t>
                </w:r>
              </w:smartTag>
            </w:smartTag>
          </w:p>
        </w:tc>
        <w:tc>
          <w:tcPr>
            <w:tcW w:w="36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82</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82</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81</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81</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81</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80</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83</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83</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82</w:t>
            </w:r>
          </w:p>
        </w:tc>
        <w:tc>
          <w:tcPr>
            <w:tcW w:w="45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1.02</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1.03</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1.02</w:t>
            </w:r>
          </w:p>
        </w:tc>
        <w:tc>
          <w:tcPr>
            <w:tcW w:w="49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Kenya</w:t>
                </w:r>
              </w:smartTag>
            </w:smartTag>
          </w:p>
        </w:tc>
        <w:tc>
          <w:tcPr>
            <w:tcW w:w="36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E719D"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9A040F" w:rsidRPr="001C68E8">
        <w:tblPrEx>
          <w:tblCellMar>
            <w:top w:w="0" w:type="dxa"/>
            <w:bottom w:w="0" w:type="dxa"/>
          </w:tblCellMar>
        </w:tblPrEx>
        <w:tc>
          <w:tcPr>
            <w:tcW w:w="2976" w:type="dxa"/>
            <w:gridSpan w:val="2"/>
            <w:shd w:val="clear" w:color="auto" w:fill="auto"/>
            <w:vAlign w:val="bottom"/>
          </w:tcPr>
          <w:p w:rsidR="009A040F" w:rsidRDefault="009A040F" w:rsidP="006E719D">
            <w:pPr>
              <w:tabs>
                <w:tab w:val="left" w:pos="288"/>
                <w:tab w:val="left" w:pos="576"/>
                <w:tab w:val="left" w:pos="864"/>
                <w:tab w:val="left" w:pos="1152"/>
              </w:tabs>
              <w:spacing w:before="40" w:after="40" w:line="210" w:lineRule="exact"/>
              <w:ind w:right="40"/>
              <w:rPr>
                <w:sz w:val="17"/>
              </w:rPr>
            </w:pPr>
          </w:p>
        </w:tc>
        <w:tc>
          <w:tcPr>
            <w:tcW w:w="36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34</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35</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37</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40</w:t>
            </w:r>
          </w:p>
        </w:tc>
        <w:tc>
          <w:tcPr>
            <w:tcW w:w="418"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35</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35</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38</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40</w:t>
            </w:r>
          </w:p>
        </w:tc>
        <w:tc>
          <w:tcPr>
            <w:tcW w:w="462"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34</w:t>
            </w:r>
          </w:p>
        </w:tc>
        <w:tc>
          <w:tcPr>
            <w:tcW w:w="549"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35</w:t>
            </w:r>
          </w:p>
        </w:tc>
        <w:tc>
          <w:tcPr>
            <w:tcW w:w="531"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36</w:t>
            </w:r>
          </w:p>
        </w:tc>
        <w:tc>
          <w:tcPr>
            <w:tcW w:w="513"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40</w:t>
            </w:r>
          </w:p>
        </w:tc>
        <w:tc>
          <w:tcPr>
            <w:tcW w:w="459"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0.97</w:t>
            </w: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0.99</w:t>
            </w: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0.97</w:t>
            </w:r>
          </w:p>
        </w:tc>
        <w:tc>
          <w:tcPr>
            <w:tcW w:w="490"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r>
              <w:rPr>
                <w:sz w:val="17"/>
              </w:rPr>
              <w:t>1.01</w:t>
            </w:r>
          </w:p>
        </w:tc>
        <w:tc>
          <w:tcPr>
            <w:tcW w:w="491" w:type="dxa"/>
            <w:shd w:val="clear" w:color="auto" w:fill="auto"/>
            <w:vAlign w:val="bottom"/>
          </w:tcPr>
          <w:p w:rsidR="009A040F" w:rsidRPr="001C68E8" w:rsidRDefault="009A040F" w:rsidP="006E719D">
            <w:pPr>
              <w:tabs>
                <w:tab w:val="left" w:pos="288"/>
                <w:tab w:val="left" w:pos="576"/>
                <w:tab w:val="left" w:pos="864"/>
                <w:tab w:val="left" w:pos="1152"/>
              </w:tabs>
              <w:spacing w:before="40" w:after="40" w:line="210" w:lineRule="exact"/>
              <w:ind w:right="43"/>
              <w:jc w:val="right"/>
              <w:rPr>
                <w:sz w:val="17"/>
              </w:rPr>
            </w:pP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Liechtenstein</w:t>
                </w:r>
              </w:smartTag>
            </w:smartTag>
          </w:p>
        </w:tc>
        <w:tc>
          <w:tcPr>
            <w:tcW w:w="36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p>
        </w:tc>
        <w:tc>
          <w:tcPr>
            <w:tcW w:w="368"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88</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65</w:t>
            </w:r>
          </w:p>
        </w:tc>
        <w:tc>
          <w:tcPr>
            <w:tcW w:w="418"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62</w:t>
            </w:r>
          </w:p>
        </w:tc>
        <w:tc>
          <w:tcPr>
            <w:tcW w:w="462"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85</w:t>
            </w:r>
          </w:p>
        </w:tc>
        <w:tc>
          <w:tcPr>
            <w:tcW w:w="513"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69</w:t>
            </w:r>
          </w:p>
        </w:tc>
        <w:tc>
          <w:tcPr>
            <w:tcW w:w="459"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0.94</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1.11</w:t>
            </w:r>
          </w:p>
        </w:tc>
        <w:tc>
          <w:tcPr>
            <w:tcW w:w="491" w:type="dxa"/>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New Zealand</w:t>
                </w:r>
              </w:smartTag>
            </w:smartTag>
          </w:p>
        </w:tc>
        <w:tc>
          <w:tcPr>
            <w:tcW w:w="36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90</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93</w:t>
            </w:r>
          </w:p>
        </w:tc>
        <w:tc>
          <w:tcPr>
            <w:tcW w:w="531"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1.04</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Norway</w:t>
                </w:r>
              </w:smartTag>
            </w:smartTag>
          </w:p>
        </w:tc>
        <w:tc>
          <w:tcPr>
            <w:tcW w:w="36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95</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94</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95</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96</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94</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94</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95</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96</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95</w:t>
            </w:r>
          </w:p>
        </w:tc>
        <w:tc>
          <w:tcPr>
            <w:tcW w:w="549"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95</w:t>
            </w:r>
          </w:p>
        </w:tc>
        <w:tc>
          <w:tcPr>
            <w:tcW w:w="531"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96</w:t>
            </w:r>
          </w:p>
        </w:tc>
        <w:tc>
          <w:tcPr>
            <w:tcW w:w="513"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97</w:t>
            </w:r>
          </w:p>
        </w:tc>
        <w:tc>
          <w:tcPr>
            <w:tcW w:w="459"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1.01</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1.01</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1.01</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1.01</w:t>
            </w:r>
          </w:p>
        </w:tc>
        <w:tc>
          <w:tcPr>
            <w:tcW w:w="491"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w:t>
            </w:r>
          </w:p>
        </w:tc>
      </w:tr>
      <w:tr w:rsidR="006E719D" w:rsidRPr="001C68E8">
        <w:tblPrEx>
          <w:tblCellMar>
            <w:top w:w="0" w:type="dxa"/>
            <w:bottom w:w="0" w:type="dxa"/>
          </w:tblCellMar>
        </w:tblPrEx>
        <w:tc>
          <w:tcPr>
            <w:tcW w:w="2976" w:type="dxa"/>
            <w:gridSpan w:val="2"/>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PlaceType">
                <w:r>
                  <w:rPr>
                    <w:sz w:val="17"/>
                  </w:rPr>
                  <w:t>Republic</w:t>
                </w:r>
              </w:smartTag>
              <w:r>
                <w:rPr>
                  <w:sz w:val="17"/>
                </w:rPr>
                <w:t xml:space="preserve"> of </w:t>
              </w:r>
              <w:smartTag w:uri="urn:schemas-microsoft-com:office:smarttags" w:element="PlaceName">
                <w:r>
                  <w:rPr>
                    <w:sz w:val="17"/>
                  </w:rPr>
                  <w:t>Korea</w:t>
                </w:r>
              </w:smartTag>
            </w:smartTag>
          </w:p>
        </w:tc>
        <w:tc>
          <w:tcPr>
            <w:tcW w:w="36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89</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87</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88</w:t>
            </w:r>
          </w:p>
        </w:tc>
        <w:tc>
          <w:tcPr>
            <w:tcW w:w="418"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90</w:t>
            </w:r>
          </w:p>
        </w:tc>
        <w:tc>
          <w:tcPr>
            <w:tcW w:w="462"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89</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87</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88</w:t>
            </w:r>
          </w:p>
        </w:tc>
        <w:tc>
          <w:tcPr>
            <w:tcW w:w="462"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90</w:t>
            </w:r>
          </w:p>
        </w:tc>
        <w:tc>
          <w:tcPr>
            <w:tcW w:w="414"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549"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89</w:t>
            </w:r>
          </w:p>
        </w:tc>
        <w:tc>
          <w:tcPr>
            <w:tcW w:w="531"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87</w:t>
            </w:r>
          </w:p>
        </w:tc>
        <w:tc>
          <w:tcPr>
            <w:tcW w:w="513"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88</w:t>
            </w:r>
          </w:p>
        </w:tc>
        <w:tc>
          <w:tcPr>
            <w:tcW w:w="459"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490" w:type="dxa"/>
            <w:gridSpan w:val="2"/>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91</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1.00</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1.00</w:t>
            </w:r>
          </w:p>
        </w:tc>
        <w:tc>
          <w:tcPr>
            <w:tcW w:w="490"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1.00</w:t>
            </w:r>
          </w:p>
        </w:tc>
        <w:tc>
          <w:tcPr>
            <w:tcW w:w="491" w:type="dxa"/>
            <w:shd w:val="clear" w:color="auto" w:fill="auto"/>
            <w:vAlign w:val="bottom"/>
          </w:tcPr>
          <w:p w:rsidR="006E719D" w:rsidRPr="001C68E8" w:rsidRDefault="001D0ED4" w:rsidP="006E719D">
            <w:pPr>
              <w:tabs>
                <w:tab w:val="left" w:pos="288"/>
                <w:tab w:val="left" w:pos="576"/>
                <w:tab w:val="left" w:pos="864"/>
                <w:tab w:val="left" w:pos="1152"/>
              </w:tabs>
              <w:spacing w:before="40" w:after="40" w:line="210" w:lineRule="exact"/>
              <w:ind w:right="43"/>
              <w:jc w:val="right"/>
              <w:rPr>
                <w:sz w:val="17"/>
              </w:rPr>
            </w:pPr>
            <w:r>
              <w:rPr>
                <w:sz w:val="17"/>
              </w:rPr>
              <w:t>1.00</w:t>
            </w:r>
          </w:p>
        </w:tc>
      </w:tr>
      <w:tr w:rsidR="006E719D" w:rsidRPr="001C68E8">
        <w:tblPrEx>
          <w:tblCellMar>
            <w:top w:w="0" w:type="dxa"/>
            <w:bottom w:w="0" w:type="dxa"/>
          </w:tblCellMar>
        </w:tblPrEx>
        <w:tc>
          <w:tcPr>
            <w:tcW w:w="2976" w:type="dxa"/>
            <w:gridSpan w:val="2"/>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Singapore</w:t>
                </w:r>
              </w:smartTag>
            </w:smartTag>
          </w:p>
        </w:tc>
        <w:tc>
          <w:tcPr>
            <w:tcW w:w="368"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tcBorders>
              <w:bottom w:val="single" w:sz="12" w:space="0" w:color="auto"/>
            </w:tcBorders>
            <w:shd w:val="clear" w:color="auto" w:fill="auto"/>
            <w:vAlign w:val="bottom"/>
          </w:tcPr>
          <w:p w:rsidR="006E719D" w:rsidRPr="001C68E8" w:rsidRDefault="006E719D" w:rsidP="006E719D">
            <w:pPr>
              <w:tabs>
                <w:tab w:val="left" w:pos="288"/>
                <w:tab w:val="left" w:pos="576"/>
                <w:tab w:val="left" w:pos="864"/>
                <w:tab w:val="left" w:pos="1152"/>
              </w:tabs>
              <w:spacing w:before="40" w:after="40" w:line="210" w:lineRule="exact"/>
              <w:ind w:right="43"/>
              <w:jc w:val="right"/>
              <w:rPr>
                <w:sz w:val="17"/>
              </w:rPr>
            </w:pPr>
            <w:r>
              <w:rPr>
                <w:sz w:val="17"/>
              </w:rPr>
              <w:t>-</w:t>
            </w:r>
          </w:p>
        </w:tc>
      </w:tr>
    </w:tbl>
    <w:p w:rsidR="006E719D" w:rsidRPr="009732D1" w:rsidRDefault="006E719D" w:rsidP="006E719D">
      <w:pPr>
        <w:pStyle w:val="SingleTxt"/>
        <w:spacing w:after="0" w:line="120" w:lineRule="exact"/>
        <w:rPr>
          <w:sz w:val="10"/>
        </w:rPr>
      </w:pPr>
    </w:p>
    <w:p w:rsidR="006E719D" w:rsidRDefault="006E719D" w:rsidP="006E719D">
      <w:pPr>
        <w:pStyle w:val="FootnoteText"/>
        <w:tabs>
          <w:tab w:val="clear" w:pos="418"/>
          <w:tab w:val="right" w:pos="216"/>
          <w:tab w:val="left" w:pos="288"/>
          <w:tab w:val="right" w:pos="576"/>
          <w:tab w:val="left" w:pos="648"/>
        </w:tabs>
        <w:ind w:left="288" w:hanging="288"/>
      </w:pPr>
      <w:r>
        <w:tab/>
      </w:r>
      <w:r w:rsidRPr="009732D1">
        <w:rPr>
          <w:i/>
        </w:rPr>
        <w:t>Note</w:t>
      </w:r>
      <w:r>
        <w:t xml:space="preserve">: </w:t>
      </w:r>
      <w:r w:rsidR="00740BBF">
        <w:t xml:space="preserve">One asterisk (*) indicates that the figures are national estimates. </w:t>
      </w:r>
      <w:r>
        <w:t>Two asterisks (**) indicate that the figures are estimates from the UNESCO Institute of Statistics. A hyphen (-) indicates that data are not available.</w:t>
      </w:r>
    </w:p>
    <w:p w:rsidR="00FC5FD6" w:rsidRDefault="001D0ED4" w:rsidP="00FC5FD6">
      <w:pPr>
        <w:pStyle w:val="H23"/>
        <w:tabs>
          <w:tab w:val="left" w:pos="43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00FC5FD6">
        <w:t>B.</w:t>
      </w:r>
      <w:r w:rsidR="00FC5FD6">
        <w:tab/>
      </w:r>
      <w:r w:rsidR="00FC5FD6">
        <w:tab/>
        <w:t>Data aggregated by region</w:t>
      </w:r>
    </w:p>
    <w:p w:rsidR="00FC5FD6" w:rsidRPr="009341E7" w:rsidRDefault="00FC5FD6" w:rsidP="00FC5FD6">
      <w:pPr>
        <w:pStyle w:val="SingleTxt"/>
        <w:spacing w:after="0" w:line="120" w:lineRule="exact"/>
        <w:rPr>
          <w:sz w:val="10"/>
        </w:rPr>
      </w:pPr>
    </w:p>
    <w:p w:rsidR="00FC5FD6" w:rsidRPr="009341E7" w:rsidRDefault="00FC5FD6" w:rsidP="00FC5FD6">
      <w:pPr>
        <w:pStyle w:val="SingleTxt"/>
        <w:spacing w:after="0" w:line="120" w:lineRule="exact"/>
        <w:rPr>
          <w:sz w:val="10"/>
        </w:rPr>
      </w:pPr>
    </w:p>
    <w:tbl>
      <w:tblPr>
        <w:tblW w:w="12243" w:type="dxa"/>
        <w:tblLayout w:type="fixed"/>
        <w:tblCellMar>
          <w:left w:w="0" w:type="dxa"/>
          <w:right w:w="0" w:type="dxa"/>
        </w:tblCellMar>
        <w:tblLook w:val="0000" w:firstRow="0" w:lastRow="0" w:firstColumn="0" w:lastColumn="0" w:noHBand="0" w:noVBand="0"/>
      </w:tblPr>
      <w:tblGrid>
        <w:gridCol w:w="2926"/>
        <w:gridCol w:w="53"/>
        <w:gridCol w:w="365"/>
        <w:gridCol w:w="418"/>
        <w:gridCol w:w="418"/>
        <w:gridCol w:w="418"/>
        <w:gridCol w:w="418"/>
        <w:gridCol w:w="51"/>
        <w:gridCol w:w="411"/>
        <w:gridCol w:w="462"/>
        <w:gridCol w:w="462"/>
        <w:gridCol w:w="462"/>
        <w:gridCol w:w="462"/>
        <w:gridCol w:w="54"/>
        <w:gridCol w:w="360"/>
        <w:gridCol w:w="549"/>
        <w:gridCol w:w="531"/>
        <w:gridCol w:w="513"/>
        <w:gridCol w:w="459"/>
        <w:gridCol w:w="54"/>
        <w:gridCol w:w="436"/>
        <w:gridCol w:w="490"/>
        <w:gridCol w:w="490"/>
        <w:gridCol w:w="490"/>
        <w:gridCol w:w="491"/>
      </w:tblGrid>
      <w:tr w:rsidR="00C467CE" w:rsidRPr="001C68E8">
        <w:tblPrEx>
          <w:tblCellMar>
            <w:top w:w="0" w:type="dxa"/>
            <w:bottom w:w="0" w:type="dxa"/>
          </w:tblCellMar>
        </w:tblPrEx>
        <w:trPr>
          <w:tblHeader/>
        </w:trPr>
        <w:tc>
          <w:tcPr>
            <w:tcW w:w="2926" w:type="dxa"/>
            <w:tcBorders>
              <w:top w:val="single" w:sz="4" w:space="0" w:color="auto"/>
              <w:bottom w:val="single" w:sz="4" w:space="0" w:color="auto"/>
            </w:tcBorders>
            <w:shd w:val="clear" w:color="auto" w:fill="auto"/>
            <w:vAlign w:val="bottom"/>
          </w:tcPr>
          <w:p w:rsidR="00C467CE" w:rsidRPr="001C68E8" w:rsidRDefault="00C467CE" w:rsidP="00FC5FD6">
            <w:pPr>
              <w:spacing w:before="81" w:after="81" w:line="160" w:lineRule="exact"/>
              <w:ind w:right="40"/>
              <w:rPr>
                <w:i/>
                <w:sz w:val="14"/>
              </w:rPr>
            </w:pPr>
            <w:r>
              <w:rPr>
                <w:i/>
                <w:sz w:val="14"/>
              </w:rPr>
              <w:t>Data (Percentage)</w:t>
            </w:r>
          </w:p>
        </w:tc>
        <w:tc>
          <w:tcPr>
            <w:tcW w:w="53" w:type="dxa"/>
            <w:tcBorders>
              <w:top w:val="single" w:sz="4" w:space="0" w:color="auto"/>
            </w:tcBorders>
            <w:shd w:val="clear" w:color="auto" w:fill="auto"/>
            <w:vAlign w:val="bottom"/>
          </w:tcPr>
          <w:p w:rsidR="00C467CE" w:rsidRPr="001C68E8" w:rsidRDefault="00C467CE" w:rsidP="00FC5FD6">
            <w:pPr>
              <w:spacing w:before="81" w:after="81" w:line="160" w:lineRule="exact"/>
              <w:ind w:right="43"/>
              <w:jc w:val="center"/>
              <w:rPr>
                <w:i/>
                <w:sz w:val="14"/>
              </w:rPr>
            </w:pPr>
          </w:p>
        </w:tc>
        <w:tc>
          <w:tcPr>
            <w:tcW w:w="2037" w:type="dxa"/>
            <w:gridSpan w:val="5"/>
            <w:tcBorders>
              <w:top w:val="single" w:sz="4" w:space="0" w:color="auto"/>
              <w:bottom w:val="single" w:sz="4" w:space="0" w:color="auto"/>
            </w:tcBorders>
            <w:shd w:val="clear" w:color="auto" w:fill="auto"/>
            <w:vAlign w:val="bottom"/>
          </w:tcPr>
          <w:p w:rsidR="00C467CE" w:rsidRPr="001C68E8" w:rsidRDefault="00C467CE" w:rsidP="00FC5FD6">
            <w:pPr>
              <w:spacing w:before="81" w:after="81" w:line="160" w:lineRule="exact"/>
              <w:ind w:right="43"/>
              <w:jc w:val="center"/>
              <w:rPr>
                <w:i/>
                <w:sz w:val="14"/>
              </w:rPr>
            </w:pPr>
            <w:r>
              <w:rPr>
                <w:i/>
                <w:sz w:val="14"/>
              </w:rPr>
              <w:t xml:space="preserve">Net enrolment rate, Secondary </w:t>
            </w:r>
            <w:r>
              <w:rPr>
                <w:i/>
                <w:sz w:val="14"/>
              </w:rPr>
              <w:br/>
              <w:t>Total</w:t>
            </w:r>
          </w:p>
        </w:tc>
        <w:tc>
          <w:tcPr>
            <w:tcW w:w="51" w:type="dxa"/>
            <w:tcBorders>
              <w:top w:val="single" w:sz="4" w:space="0" w:color="auto"/>
            </w:tcBorders>
            <w:shd w:val="clear" w:color="auto" w:fill="auto"/>
            <w:vAlign w:val="bottom"/>
          </w:tcPr>
          <w:p w:rsidR="00C467CE" w:rsidRPr="001C68E8" w:rsidRDefault="00C467CE" w:rsidP="00FC5FD6">
            <w:pPr>
              <w:spacing w:before="81" w:after="81" w:line="160" w:lineRule="exact"/>
              <w:ind w:right="43"/>
              <w:jc w:val="center"/>
              <w:rPr>
                <w:i/>
                <w:sz w:val="14"/>
              </w:rPr>
            </w:pPr>
          </w:p>
        </w:tc>
        <w:tc>
          <w:tcPr>
            <w:tcW w:w="2259" w:type="dxa"/>
            <w:gridSpan w:val="5"/>
            <w:tcBorders>
              <w:top w:val="single" w:sz="4" w:space="0" w:color="auto"/>
              <w:bottom w:val="single" w:sz="4" w:space="0" w:color="auto"/>
            </w:tcBorders>
            <w:shd w:val="clear" w:color="auto" w:fill="auto"/>
            <w:vAlign w:val="bottom"/>
          </w:tcPr>
          <w:p w:rsidR="00C467CE" w:rsidRPr="001C68E8" w:rsidRDefault="00C467CE" w:rsidP="00FC5FD6">
            <w:pPr>
              <w:spacing w:before="81" w:after="81" w:line="160" w:lineRule="exact"/>
              <w:ind w:right="43"/>
              <w:jc w:val="center"/>
              <w:rPr>
                <w:i/>
                <w:sz w:val="14"/>
              </w:rPr>
            </w:pPr>
            <w:r>
              <w:rPr>
                <w:i/>
                <w:sz w:val="14"/>
              </w:rPr>
              <w:t xml:space="preserve">Net enrolment rate, Secondary </w:t>
            </w:r>
            <w:r>
              <w:rPr>
                <w:i/>
                <w:sz w:val="14"/>
              </w:rPr>
              <w:br/>
              <w:t>Male</w:t>
            </w:r>
          </w:p>
        </w:tc>
        <w:tc>
          <w:tcPr>
            <w:tcW w:w="54" w:type="dxa"/>
            <w:tcBorders>
              <w:top w:val="single" w:sz="4" w:space="0" w:color="auto"/>
            </w:tcBorders>
            <w:shd w:val="clear" w:color="auto" w:fill="auto"/>
            <w:vAlign w:val="bottom"/>
          </w:tcPr>
          <w:p w:rsidR="00C467CE" w:rsidRPr="001C68E8" w:rsidRDefault="00C467CE" w:rsidP="00FC5FD6">
            <w:pPr>
              <w:spacing w:before="81" w:after="81" w:line="160" w:lineRule="exact"/>
              <w:ind w:right="43"/>
              <w:jc w:val="center"/>
              <w:rPr>
                <w:i/>
                <w:sz w:val="14"/>
              </w:rPr>
            </w:pPr>
          </w:p>
        </w:tc>
        <w:tc>
          <w:tcPr>
            <w:tcW w:w="2412" w:type="dxa"/>
            <w:gridSpan w:val="5"/>
            <w:tcBorders>
              <w:top w:val="single" w:sz="4" w:space="0" w:color="auto"/>
              <w:bottom w:val="single" w:sz="4" w:space="0" w:color="auto"/>
            </w:tcBorders>
            <w:shd w:val="clear" w:color="auto" w:fill="auto"/>
            <w:vAlign w:val="bottom"/>
          </w:tcPr>
          <w:p w:rsidR="00C467CE" w:rsidRPr="001C68E8" w:rsidRDefault="00C467CE" w:rsidP="00FC5FD6">
            <w:pPr>
              <w:spacing w:before="81" w:after="81" w:line="160" w:lineRule="exact"/>
              <w:ind w:right="43"/>
              <w:jc w:val="center"/>
              <w:rPr>
                <w:i/>
                <w:sz w:val="14"/>
              </w:rPr>
            </w:pPr>
            <w:r>
              <w:rPr>
                <w:i/>
                <w:sz w:val="14"/>
              </w:rPr>
              <w:t xml:space="preserve">Net enrolment rate, Secondary </w:t>
            </w:r>
            <w:r>
              <w:rPr>
                <w:i/>
                <w:sz w:val="14"/>
              </w:rPr>
              <w:br/>
              <w:t>Female</w:t>
            </w:r>
          </w:p>
        </w:tc>
        <w:tc>
          <w:tcPr>
            <w:tcW w:w="54" w:type="dxa"/>
            <w:tcBorders>
              <w:top w:val="single" w:sz="4" w:space="0" w:color="auto"/>
            </w:tcBorders>
            <w:shd w:val="clear" w:color="auto" w:fill="auto"/>
            <w:vAlign w:val="bottom"/>
          </w:tcPr>
          <w:p w:rsidR="00C467CE" w:rsidRPr="009733EB" w:rsidRDefault="00C467CE" w:rsidP="00FC5FD6">
            <w:pPr>
              <w:spacing w:before="81" w:after="81" w:line="160" w:lineRule="exact"/>
              <w:ind w:right="43"/>
              <w:jc w:val="center"/>
              <w:rPr>
                <w:i/>
                <w:spacing w:val="0"/>
                <w:w w:val="100"/>
                <w:sz w:val="14"/>
                <w:szCs w:val="14"/>
              </w:rPr>
            </w:pPr>
          </w:p>
        </w:tc>
        <w:tc>
          <w:tcPr>
            <w:tcW w:w="2397" w:type="dxa"/>
            <w:gridSpan w:val="5"/>
            <w:tcBorders>
              <w:top w:val="single" w:sz="4" w:space="0" w:color="auto"/>
              <w:bottom w:val="single" w:sz="4" w:space="0" w:color="auto"/>
            </w:tcBorders>
            <w:shd w:val="clear" w:color="auto" w:fill="auto"/>
            <w:vAlign w:val="bottom"/>
          </w:tcPr>
          <w:p w:rsidR="00C467CE" w:rsidRPr="009733EB" w:rsidRDefault="00C467CE" w:rsidP="00FC5FD6">
            <w:pPr>
              <w:spacing w:before="81" w:after="81" w:line="160" w:lineRule="exact"/>
              <w:ind w:right="43"/>
              <w:jc w:val="center"/>
              <w:rPr>
                <w:i/>
                <w:spacing w:val="0"/>
                <w:w w:val="100"/>
                <w:sz w:val="14"/>
                <w:szCs w:val="14"/>
              </w:rPr>
            </w:pPr>
            <w:r w:rsidRPr="009733EB">
              <w:rPr>
                <w:i/>
                <w:spacing w:val="0"/>
                <w:w w:val="100"/>
                <w:sz w:val="14"/>
                <w:szCs w:val="14"/>
              </w:rPr>
              <w:t xml:space="preserve">Gender parity index for net enrolment rate, </w:t>
            </w:r>
            <w:r>
              <w:rPr>
                <w:i/>
                <w:spacing w:val="0"/>
                <w:w w:val="100"/>
                <w:sz w:val="14"/>
                <w:szCs w:val="14"/>
              </w:rPr>
              <w:t>Secondary</w:t>
            </w:r>
          </w:p>
        </w:tc>
      </w:tr>
      <w:tr w:rsidR="00FC5FD6" w:rsidRPr="001C68E8">
        <w:tblPrEx>
          <w:tblCellMar>
            <w:top w:w="0" w:type="dxa"/>
            <w:bottom w:w="0" w:type="dxa"/>
          </w:tblCellMar>
        </w:tblPrEx>
        <w:trPr>
          <w:trHeight w:val="163"/>
          <w:tblHeader/>
        </w:trPr>
        <w:tc>
          <w:tcPr>
            <w:tcW w:w="2926" w:type="dxa"/>
            <w:tcBorders>
              <w:top w:val="single" w:sz="4" w:space="0" w:color="auto"/>
              <w:bottom w:val="single" w:sz="4" w:space="0" w:color="auto"/>
            </w:tcBorders>
            <w:shd w:val="clear" w:color="auto" w:fill="auto"/>
            <w:vAlign w:val="bottom"/>
          </w:tcPr>
          <w:p w:rsidR="00FC5FD6" w:rsidRPr="001C68E8" w:rsidRDefault="00FC5FD6" w:rsidP="00FC5FD6">
            <w:pPr>
              <w:spacing w:before="81" w:after="81" w:line="160" w:lineRule="exact"/>
              <w:ind w:right="40"/>
              <w:rPr>
                <w:i/>
                <w:sz w:val="14"/>
              </w:rPr>
            </w:pPr>
            <w:r>
              <w:rPr>
                <w:i/>
                <w:sz w:val="14"/>
              </w:rPr>
              <w:t>Year</w:t>
            </w:r>
          </w:p>
        </w:tc>
        <w:tc>
          <w:tcPr>
            <w:tcW w:w="418" w:type="dxa"/>
            <w:gridSpan w:val="2"/>
            <w:vMerge w:val="restart"/>
            <w:shd w:val="clear" w:color="auto" w:fill="auto"/>
          </w:tcPr>
          <w:p w:rsidR="00FC5FD6" w:rsidRPr="001C68E8" w:rsidRDefault="00FC5FD6" w:rsidP="00C467CE">
            <w:pPr>
              <w:spacing w:before="81" w:after="81" w:line="160" w:lineRule="exact"/>
              <w:ind w:right="43"/>
              <w:jc w:val="right"/>
              <w:rPr>
                <w:i/>
                <w:sz w:val="14"/>
              </w:rPr>
            </w:pPr>
            <w:r>
              <w:rPr>
                <w:i/>
                <w:sz w:val="14"/>
              </w:rPr>
              <w:t>01</w:t>
            </w:r>
          </w:p>
        </w:tc>
        <w:tc>
          <w:tcPr>
            <w:tcW w:w="418"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02</w:t>
            </w:r>
          </w:p>
        </w:tc>
        <w:tc>
          <w:tcPr>
            <w:tcW w:w="418"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03</w:t>
            </w:r>
          </w:p>
        </w:tc>
        <w:tc>
          <w:tcPr>
            <w:tcW w:w="418"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04</w:t>
            </w:r>
          </w:p>
        </w:tc>
        <w:tc>
          <w:tcPr>
            <w:tcW w:w="469" w:type="dxa"/>
            <w:gridSpan w:val="2"/>
            <w:vMerge w:val="restart"/>
            <w:shd w:val="clear" w:color="auto" w:fill="auto"/>
          </w:tcPr>
          <w:p w:rsidR="00FC5FD6" w:rsidRPr="001C68E8" w:rsidRDefault="00FC5FD6" w:rsidP="00C467CE">
            <w:pPr>
              <w:spacing w:before="81" w:after="81" w:line="160" w:lineRule="exact"/>
              <w:ind w:right="43"/>
              <w:jc w:val="right"/>
              <w:rPr>
                <w:i/>
                <w:sz w:val="14"/>
              </w:rPr>
            </w:pPr>
            <w:r>
              <w:rPr>
                <w:i/>
                <w:sz w:val="14"/>
              </w:rPr>
              <w:t>05</w:t>
            </w:r>
          </w:p>
        </w:tc>
        <w:tc>
          <w:tcPr>
            <w:tcW w:w="411"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01</w:t>
            </w:r>
          </w:p>
        </w:tc>
        <w:tc>
          <w:tcPr>
            <w:tcW w:w="462"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02</w:t>
            </w:r>
          </w:p>
        </w:tc>
        <w:tc>
          <w:tcPr>
            <w:tcW w:w="462"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03</w:t>
            </w:r>
          </w:p>
        </w:tc>
        <w:tc>
          <w:tcPr>
            <w:tcW w:w="462"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04</w:t>
            </w:r>
          </w:p>
        </w:tc>
        <w:tc>
          <w:tcPr>
            <w:tcW w:w="516" w:type="dxa"/>
            <w:gridSpan w:val="2"/>
            <w:vMerge w:val="restart"/>
            <w:shd w:val="clear" w:color="auto" w:fill="auto"/>
          </w:tcPr>
          <w:p w:rsidR="00FC5FD6" w:rsidRPr="001C68E8" w:rsidRDefault="00FC5FD6" w:rsidP="00C467CE">
            <w:pPr>
              <w:spacing w:before="81" w:after="81" w:line="160" w:lineRule="exact"/>
              <w:ind w:right="43"/>
              <w:jc w:val="right"/>
              <w:rPr>
                <w:i/>
                <w:sz w:val="14"/>
              </w:rPr>
            </w:pPr>
            <w:r>
              <w:rPr>
                <w:i/>
                <w:sz w:val="14"/>
              </w:rPr>
              <w:t>05</w:t>
            </w:r>
          </w:p>
        </w:tc>
        <w:tc>
          <w:tcPr>
            <w:tcW w:w="360" w:type="dxa"/>
            <w:vMerge w:val="restart"/>
            <w:tcBorders>
              <w:top w:val="single" w:sz="4" w:space="0" w:color="auto"/>
            </w:tcBorders>
            <w:shd w:val="clear" w:color="auto" w:fill="auto"/>
          </w:tcPr>
          <w:p w:rsidR="00FC5FD6" w:rsidRPr="001C68E8" w:rsidRDefault="00FC5FD6" w:rsidP="00C467CE">
            <w:pPr>
              <w:spacing w:before="81" w:after="81" w:line="160" w:lineRule="exact"/>
              <w:ind w:right="43"/>
              <w:jc w:val="right"/>
              <w:rPr>
                <w:i/>
                <w:sz w:val="14"/>
              </w:rPr>
            </w:pPr>
            <w:r>
              <w:rPr>
                <w:i/>
                <w:sz w:val="14"/>
              </w:rPr>
              <w:t>01</w:t>
            </w:r>
          </w:p>
        </w:tc>
        <w:tc>
          <w:tcPr>
            <w:tcW w:w="549" w:type="dxa"/>
            <w:vMerge w:val="restart"/>
            <w:tcBorders>
              <w:top w:val="single" w:sz="4" w:space="0" w:color="auto"/>
            </w:tcBorders>
            <w:shd w:val="clear" w:color="auto" w:fill="auto"/>
          </w:tcPr>
          <w:p w:rsidR="00FC5FD6" w:rsidRPr="001C68E8" w:rsidRDefault="00FC5FD6" w:rsidP="00C467CE">
            <w:pPr>
              <w:spacing w:before="81" w:after="81" w:line="160" w:lineRule="exact"/>
              <w:ind w:right="43"/>
              <w:jc w:val="right"/>
              <w:rPr>
                <w:i/>
                <w:sz w:val="14"/>
              </w:rPr>
            </w:pPr>
            <w:r>
              <w:rPr>
                <w:i/>
                <w:sz w:val="14"/>
              </w:rPr>
              <w:t>02</w:t>
            </w:r>
          </w:p>
        </w:tc>
        <w:tc>
          <w:tcPr>
            <w:tcW w:w="531" w:type="dxa"/>
            <w:vMerge w:val="restart"/>
            <w:tcBorders>
              <w:top w:val="single" w:sz="4" w:space="0" w:color="auto"/>
            </w:tcBorders>
            <w:shd w:val="clear" w:color="auto" w:fill="auto"/>
          </w:tcPr>
          <w:p w:rsidR="00FC5FD6" w:rsidRPr="001C68E8" w:rsidRDefault="00FC5FD6" w:rsidP="00C467CE">
            <w:pPr>
              <w:spacing w:before="81" w:after="81" w:line="160" w:lineRule="exact"/>
              <w:ind w:right="43"/>
              <w:jc w:val="right"/>
              <w:rPr>
                <w:i/>
                <w:sz w:val="14"/>
              </w:rPr>
            </w:pPr>
            <w:r>
              <w:rPr>
                <w:i/>
                <w:sz w:val="14"/>
              </w:rPr>
              <w:t>03</w:t>
            </w:r>
          </w:p>
        </w:tc>
        <w:tc>
          <w:tcPr>
            <w:tcW w:w="513" w:type="dxa"/>
            <w:vMerge w:val="restart"/>
            <w:tcBorders>
              <w:top w:val="single" w:sz="4" w:space="0" w:color="auto"/>
            </w:tcBorders>
            <w:shd w:val="clear" w:color="auto" w:fill="auto"/>
          </w:tcPr>
          <w:p w:rsidR="00FC5FD6" w:rsidRPr="001C68E8" w:rsidRDefault="00FC5FD6" w:rsidP="00C467CE">
            <w:pPr>
              <w:spacing w:before="81" w:after="81" w:line="160" w:lineRule="exact"/>
              <w:ind w:right="43"/>
              <w:jc w:val="right"/>
              <w:rPr>
                <w:i/>
                <w:sz w:val="14"/>
              </w:rPr>
            </w:pPr>
            <w:r>
              <w:rPr>
                <w:i/>
                <w:sz w:val="14"/>
              </w:rPr>
              <w:t>04</w:t>
            </w:r>
          </w:p>
        </w:tc>
        <w:tc>
          <w:tcPr>
            <w:tcW w:w="459" w:type="dxa"/>
            <w:vMerge w:val="restart"/>
            <w:tcBorders>
              <w:top w:val="single" w:sz="4" w:space="0" w:color="auto"/>
            </w:tcBorders>
            <w:shd w:val="clear" w:color="auto" w:fill="auto"/>
          </w:tcPr>
          <w:p w:rsidR="00FC5FD6" w:rsidRPr="001C68E8" w:rsidRDefault="00FC5FD6" w:rsidP="00C467CE">
            <w:pPr>
              <w:spacing w:before="81" w:after="81" w:line="160" w:lineRule="exact"/>
              <w:ind w:right="43"/>
              <w:jc w:val="right"/>
              <w:rPr>
                <w:i/>
                <w:sz w:val="14"/>
              </w:rPr>
            </w:pPr>
            <w:r>
              <w:rPr>
                <w:i/>
                <w:sz w:val="14"/>
              </w:rPr>
              <w:t>05</w:t>
            </w:r>
          </w:p>
        </w:tc>
        <w:tc>
          <w:tcPr>
            <w:tcW w:w="490" w:type="dxa"/>
            <w:gridSpan w:val="2"/>
            <w:vMerge w:val="restart"/>
            <w:shd w:val="clear" w:color="auto" w:fill="auto"/>
          </w:tcPr>
          <w:p w:rsidR="00FC5FD6" w:rsidRPr="001C68E8" w:rsidRDefault="00FC5FD6" w:rsidP="00C467CE">
            <w:pPr>
              <w:spacing w:before="81" w:after="81" w:line="160" w:lineRule="exact"/>
              <w:ind w:right="43"/>
              <w:jc w:val="right"/>
              <w:rPr>
                <w:i/>
                <w:sz w:val="14"/>
              </w:rPr>
            </w:pPr>
            <w:r>
              <w:rPr>
                <w:i/>
                <w:sz w:val="14"/>
              </w:rPr>
              <w:t>01</w:t>
            </w:r>
          </w:p>
        </w:tc>
        <w:tc>
          <w:tcPr>
            <w:tcW w:w="490"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02</w:t>
            </w:r>
          </w:p>
        </w:tc>
        <w:tc>
          <w:tcPr>
            <w:tcW w:w="490"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03</w:t>
            </w:r>
          </w:p>
        </w:tc>
        <w:tc>
          <w:tcPr>
            <w:tcW w:w="490"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04</w:t>
            </w:r>
          </w:p>
        </w:tc>
        <w:tc>
          <w:tcPr>
            <w:tcW w:w="491" w:type="dxa"/>
            <w:vMerge w:val="restart"/>
            <w:shd w:val="clear" w:color="auto" w:fill="auto"/>
          </w:tcPr>
          <w:p w:rsidR="00FC5FD6" w:rsidRPr="001C68E8" w:rsidRDefault="00FC5FD6" w:rsidP="00C467CE">
            <w:pPr>
              <w:spacing w:before="81" w:after="81" w:line="160" w:lineRule="exact"/>
              <w:ind w:right="43"/>
              <w:jc w:val="right"/>
              <w:rPr>
                <w:i/>
                <w:sz w:val="14"/>
              </w:rPr>
            </w:pPr>
            <w:r>
              <w:rPr>
                <w:i/>
                <w:sz w:val="14"/>
              </w:rPr>
              <w:t>05</w:t>
            </w:r>
          </w:p>
        </w:tc>
      </w:tr>
      <w:tr w:rsidR="00FC5FD6" w:rsidRPr="001C68E8">
        <w:tblPrEx>
          <w:tblCellMar>
            <w:top w:w="0" w:type="dxa"/>
            <w:bottom w:w="0" w:type="dxa"/>
          </w:tblCellMar>
        </w:tblPrEx>
        <w:trPr>
          <w:trHeight w:val="163"/>
          <w:tblHeader/>
        </w:trPr>
        <w:tc>
          <w:tcPr>
            <w:tcW w:w="2926" w:type="dxa"/>
            <w:tcBorders>
              <w:top w:val="single" w:sz="4" w:space="0" w:color="auto"/>
              <w:bottom w:val="single" w:sz="12" w:space="0" w:color="auto"/>
            </w:tcBorders>
            <w:shd w:val="clear" w:color="auto" w:fill="auto"/>
            <w:vAlign w:val="bottom"/>
          </w:tcPr>
          <w:p w:rsidR="00FC5FD6" w:rsidRPr="001C68E8" w:rsidRDefault="00C467CE" w:rsidP="00FC5FD6">
            <w:pPr>
              <w:spacing w:before="81" w:after="81" w:line="160" w:lineRule="exact"/>
              <w:ind w:right="40"/>
              <w:rPr>
                <w:i/>
                <w:sz w:val="14"/>
              </w:rPr>
            </w:pPr>
            <w:r>
              <w:rPr>
                <w:i/>
                <w:sz w:val="14"/>
              </w:rPr>
              <w:t>Region</w:t>
            </w:r>
          </w:p>
        </w:tc>
        <w:tc>
          <w:tcPr>
            <w:tcW w:w="418" w:type="dxa"/>
            <w:gridSpan w:val="2"/>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18"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18"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18"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69" w:type="dxa"/>
            <w:gridSpan w:val="2"/>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11"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516" w:type="dxa"/>
            <w:gridSpan w:val="2"/>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360"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549"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531"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513"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59"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90" w:type="dxa"/>
            <w:gridSpan w:val="2"/>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c>
          <w:tcPr>
            <w:tcW w:w="491" w:type="dxa"/>
            <w:vMerge/>
            <w:tcBorders>
              <w:bottom w:val="single" w:sz="12" w:space="0" w:color="auto"/>
            </w:tcBorders>
            <w:shd w:val="clear" w:color="auto" w:fill="auto"/>
            <w:vAlign w:val="bottom"/>
          </w:tcPr>
          <w:p w:rsidR="00FC5FD6" w:rsidRPr="001C68E8" w:rsidRDefault="00FC5FD6" w:rsidP="00FC5FD6">
            <w:pPr>
              <w:spacing w:before="81" w:after="81" w:line="160" w:lineRule="exact"/>
              <w:ind w:right="43"/>
              <w:jc w:val="right"/>
              <w:rPr>
                <w:i/>
                <w:sz w:val="14"/>
              </w:rPr>
            </w:pPr>
          </w:p>
        </w:tc>
      </w:tr>
      <w:tr w:rsidR="00FC5FD6" w:rsidRPr="001C68E8">
        <w:tblPrEx>
          <w:tblCellMar>
            <w:top w:w="0" w:type="dxa"/>
            <w:bottom w:w="0" w:type="dxa"/>
          </w:tblCellMar>
        </w:tblPrEx>
        <w:trPr>
          <w:trHeight w:hRule="exact" w:val="104"/>
          <w:tblHeader/>
        </w:trPr>
        <w:tc>
          <w:tcPr>
            <w:tcW w:w="2926" w:type="dxa"/>
            <w:tcBorders>
              <w:top w:val="single" w:sz="12" w:space="0" w:color="auto"/>
            </w:tcBorders>
            <w:shd w:val="clear" w:color="auto" w:fill="auto"/>
            <w:vAlign w:val="bottom"/>
          </w:tcPr>
          <w:p w:rsidR="00FC5FD6" w:rsidRPr="001C68E8" w:rsidRDefault="00FC5FD6" w:rsidP="00FC5FD6">
            <w:pPr>
              <w:spacing w:before="40" w:after="40" w:line="210" w:lineRule="exact"/>
              <w:ind w:right="40"/>
              <w:rPr>
                <w:sz w:val="17"/>
              </w:rPr>
            </w:pPr>
          </w:p>
        </w:tc>
        <w:tc>
          <w:tcPr>
            <w:tcW w:w="418" w:type="dxa"/>
            <w:gridSpan w:val="2"/>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69" w:type="dxa"/>
            <w:gridSpan w:val="2"/>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11"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516" w:type="dxa"/>
            <w:gridSpan w:val="2"/>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360"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59"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90" w:type="dxa"/>
            <w:gridSpan w:val="2"/>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FC5FD6" w:rsidRPr="001C68E8" w:rsidRDefault="00FC5FD6" w:rsidP="00FC5FD6">
            <w:pPr>
              <w:spacing w:before="40" w:after="40" w:line="210" w:lineRule="exact"/>
              <w:ind w:right="43"/>
              <w:jc w:val="right"/>
              <w:rPr>
                <w:sz w:val="17"/>
              </w:rPr>
            </w:pP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r>
              <w:rPr>
                <w:sz w:val="17"/>
              </w:rPr>
              <w:t>Arab States</w:t>
            </w:r>
          </w:p>
        </w:tc>
        <w:tc>
          <w:tcPr>
            <w:tcW w:w="418"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9"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516"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36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p>
        </w:tc>
        <w:tc>
          <w:tcPr>
            <w:tcW w:w="418"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54</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54</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56</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56</w:t>
            </w:r>
          </w:p>
        </w:tc>
        <w:tc>
          <w:tcPr>
            <w:tcW w:w="469"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56</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57</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58</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58</w:t>
            </w:r>
          </w:p>
        </w:tc>
        <w:tc>
          <w:tcPr>
            <w:tcW w:w="516"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36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51</w:t>
            </w:r>
          </w:p>
        </w:tc>
        <w:tc>
          <w:tcPr>
            <w:tcW w:w="54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52</w:t>
            </w:r>
          </w:p>
        </w:tc>
        <w:tc>
          <w:tcPr>
            <w:tcW w:w="53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54</w:t>
            </w:r>
          </w:p>
        </w:tc>
        <w:tc>
          <w:tcPr>
            <w:tcW w:w="513"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54</w:t>
            </w:r>
          </w:p>
        </w:tc>
        <w:tc>
          <w:tcPr>
            <w:tcW w:w="45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0.91</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0.91</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0.93</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0.93</w:t>
            </w:r>
          </w:p>
        </w:tc>
        <w:tc>
          <w:tcPr>
            <w:tcW w:w="49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r>
              <w:rPr>
                <w:sz w:val="17"/>
              </w:rPr>
              <w:t xml:space="preserve">Central and Eastern </w:t>
            </w:r>
            <w:smartTag w:uri="urn:schemas-microsoft-com:office:smarttags" w:element="place">
              <w:r>
                <w:rPr>
                  <w:sz w:val="17"/>
                </w:rPr>
                <w:t>Europe</w:t>
              </w:r>
            </w:smartTag>
          </w:p>
        </w:tc>
        <w:tc>
          <w:tcPr>
            <w:tcW w:w="418" w:type="dxa"/>
            <w:gridSpan w:val="2"/>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69" w:type="dxa"/>
            <w:gridSpan w:val="2"/>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11"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16" w:type="dxa"/>
            <w:gridSpan w:val="2"/>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36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p>
        </w:tc>
        <w:tc>
          <w:tcPr>
            <w:tcW w:w="418"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83</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83</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84</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82</w:t>
            </w:r>
          </w:p>
        </w:tc>
        <w:tc>
          <w:tcPr>
            <w:tcW w:w="469"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84</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84</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85</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83</w:t>
            </w:r>
          </w:p>
        </w:tc>
        <w:tc>
          <w:tcPr>
            <w:tcW w:w="516"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36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82</w:t>
            </w:r>
          </w:p>
        </w:tc>
        <w:tc>
          <w:tcPr>
            <w:tcW w:w="54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82</w:t>
            </w:r>
          </w:p>
        </w:tc>
        <w:tc>
          <w:tcPr>
            <w:tcW w:w="53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83</w:t>
            </w:r>
          </w:p>
        </w:tc>
        <w:tc>
          <w:tcPr>
            <w:tcW w:w="513"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81</w:t>
            </w:r>
          </w:p>
        </w:tc>
        <w:tc>
          <w:tcPr>
            <w:tcW w:w="45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0.98</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0.98</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0.98</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0.98</w:t>
            </w:r>
          </w:p>
        </w:tc>
        <w:tc>
          <w:tcPr>
            <w:tcW w:w="49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smartTag w:uri="urn:schemas-microsoft-com:office:smarttags" w:element="place">
              <w:r>
                <w:rPr>
                  <w:sz w:val="17"/>
                </w:rPr>
                <w:t>East Asia</w:t>
              </w:r>
            </w:smartTag>
            <w:r>
              <w:rPr>
                <w:sz w:val="17"/>
              </w:rPr>
              <w:t xml:space="preserve"> and the Pacific</w:t>
            </w:r>
          </w:p>
        </w:tc>
        <w:tc>
          <w:tcPr>
            <w:tcW w:w="418"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9"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516"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36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p>
        </w:tc>
        <w:tc>
          <w:tcPr>
            <w:tcW w:w="418"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65</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69</w:t>
            </w:r>
          </w:p>
        </w:tc>
        <w:tc>
          <w:tcPr>
            <w:tcW w:w="469"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16"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36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5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r>
              <w:rPr>
                <w:sz w:val="17"/>
              </w:rPr>
              <w:t xml:space="preserve">Latin America and the </w:t>
            </w:r>
            <w:smartTag w:uri="urn:schemas-microsoft-com:office:smarttags" w:element="place">
              <w:r>
                <w:rPr>
                  <w:sz w:val="17"/>
                </w:rPr>
                <w:t>Caribbean</w:t>
              </w:r>
            </w:smartTag>
          </w:p>
        </w:tc>
        <w:tc>
          <w:tcPr>
            <w:tcW w:w="418"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63</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65</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66</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9"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61</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63</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64</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516"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36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65</w:t>
            </w:r>
          </w:p>
        </w:tc>
        <w:tc>
          <w:tcPr>
            <w:tcW w:w="54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67</w:t>
            </w:r>
          </w:p>
        </w:tc>
        <w:tc>
          <w:tcPr>
            <w:tcW w:w="53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68</w:t>
            </w:r>
          </w:p>
        </w:tc>
        <w:tc>
          <w:tcPr>
            <w:tcW w:w="513"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1.07</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1.06</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1.06</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p>
        </w:tc>
        <w:tc>
          <w:tcPr>
            <w:tcW w:w="418"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67</w:t>
            </w:r>
          </w:p>
        </w:tc>
        <w:tc>
          <w:tcPr>
            <w:tcW w:w="469"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65</w:t>
            </w:r>
          </w:p>
        </w:tc>
        <w:tc>
          <w:tcPr>
            <w:tcW w:w="516"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36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69</w:t>
            </w:r>
          </w:p>
        </w:tc>
        <w:tc>
          <w:tcPr>
            <w:tcW w:w="45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1.06</w:t>
            </w:r>
          </w:p>
        </w:tc>
        <w:tc>
          <w:tcPr>
            <w:tcW w:w="49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r>
              <w:rPr>
                <w:sz w:val="17"/>
              </w:rPr>
              <w:t xml:space="preserve">North America and </w:t>
            </w:r>
            <w:smartTag w:uri="urn:schemas-microsoft-com:office:smarttags" w:element="place">
              <w:r>
                <w:rPr>
                  <w:sz w:val="17"/>
                </w:rPr>
                <w:t>Western Europe</w:t>
              </w:r>
            </w:smartTag>
          </w:p>
        </w:tc>
        <w:tc>
          <w:tcPr>
            <w:tcW w:w="418"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89</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91</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91</w:t>
            </w:r>
          </w:p>
        </w:tc>
        <w:tc>
          <w:tcPr>
            <w:tcW w:w="469"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1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89</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90</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90</w:t>
            </w:r>
          </w:p>
        </w:tc>
        <w:tc>
          <w:tcPr>
            <w:tcW w:w="516"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36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90</w:t>
            </w:r>
          </w:p>
        </w:tc>
        <w:tc>
          <w:tcPr>
            <w:tcW w:w="53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91</w:t>
            </w:r>
          </w:p>
        </w:tc>
        <w:tc>
          <w:tcPr>
            <w:tcW w:w="513"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92</w:t>
            </w:r>
          </w:p>
        </w:tc>
        <w:tc>
          <w:tcPr>
            <w:tcW w:w="45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1.01</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1.02</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1.02</w:t>
            </w:r>
          </w:p>
        </w:tc>
        <w:tc>
          <w:tcPr>
            <w:tcW w:w="49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w:t>
            </w: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p>
        </w:tc>
        <w:tc>
          <w:tcPr>
            <w:tcW w:w="418"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90</w:t>
            </w: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8"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69"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89</w:t>
            </w: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16"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36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90</w:t>
            </w:r>
          </w:p>
        </w:tc>
        <w:tc>
          <w:tcPr>
            <w:tcW w:w="54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59"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1.02</w:t>
            </w: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91"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r>
      <w:tr w:rsidR="00617564" w:rsidRPr="001C68E8">
        <w:tblPrEx>
          <w:tblCellMar>
            <w:top w:w="0" w:type="dxa"/>
            <w:bottom w:w="0" w:type="dxa"/>
          </w:tblCellMar>
        </w:tblPrEx>
        <w:tc>
          <w:tcPr>
            <w:tcW w:w="2926" w:type="dxa"/>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0"/>
              <w:rPr>
                <w:sz w:val="17"/>
              </w:rPr>
            </w:pPr>
            <w:r>
              <w:rPr>
                <w:sz w:val="17"/>
              </w:rPr>
              <w:t xml:space="preserve">Sub-Saharan </w:t>
            </w:r>
            <w:smartTag w:uri="urn:schemas-microsoft-com:office:smarttags" w:element="place">
              <w:r>
                <w:rPr>
                  <w:sz w:val="17"/>
                </w:rPr>
                <w:t>Africa</w:t>
              </w:r>
            </w:smartTag>
          </w:p>
        </w:tc>
        <w:tc>
          <w:tcPr>
            <w:tcW w:w="418" w:type="dxa"/>
            <w:gridSpan w:val="2"/>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18"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69" w:type="dxa"/>
            <w:gridSpan w:val="2"/>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11"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16" w:type="dxa"/>
            <w:gridSpan w:val="2"/>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36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w:t>
            </w:r>
          </w:p>
        </w:tc>
      </w:tr>
      <w:tr w:rsidR="00617564" w:rsidRPr="001C68E8">
        <w:tblPrEx>
          <w:tblCellMar>
            <w:top w:w="0" w:type="dxa"/>
            <w:bottom w:w="0" w:type="dxa"/>
          </w:tblCellMar>
        </w:tblPrEx>
        <w:tc>
          <w:tcPr>
            <w:tcW w:w="2926" w:type="dxa"/>
            <w:tcBorders>
              <w:bottom w:val="single" w:sz="12" w:space="0" w:color="auto"/>
            </w:tcBorders>
            <w:shd w:val="clear" w:color="auto" w:fill="auto"/>
            <w:vAlign w:val="bottom"/>
          </w:tcPr>
          <w:p w:rsidR="00617564" w:rsidRDefault="00617564" w:rsidP="00FC5FD6">
            <w:pPr>
              <w:tabs>
                <w:tab w:val="left" w:pos="288"/>
                <w:tab w:val="left" w:pos="576"/>
                <w:tab w:val="left" w:pos="864"/>
                <w:tab w:val="left" w:pos="1152"/>
              </w:tabs>
              <w:spacing w:before="40" w:after="40" w:line="210" w:lineRule="exact"/>
              <w:ind w:right="40"/>
              <w:rPr>
                <w:sz w:val="17"/>
              </w:rPr>
            </w:pPr>
          </w:p>
        </w:tc>
        <w:tc>
          <w:tcPr>
            <w:tcW w:w="418" w:type="dxa"/>
            <w:gridSpan w:val="2"/>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21</w:t>
            </w:r>
          </w:p>
        </w:tc>
        <w:tc>
          <w:tcPr>
            <w:tcW w:w="418"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23</w:t>
            </w:r>
          </w:p>
        </w:tc>
        <w:tc>
          <w:tcPr>
            <w:tcW w:w="418"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24</w:t>
            </w:r>
          </w:p>
        </w:tc>
        <w:tc>
          <w:tcPr>
            <w:tcW w:w="418"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24</w:t>
            </w:r>
          </w:p>
        </w:tc>
        <w:tc>
          <w:tcPr>
            <w:tcW w:w="469" w:type="dxa"/>
            <w:gridSpan w:val="2"/>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411"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23</w:t>
            </w:r>
          </w:p>
        </w:tc>
        <w:tc>
          <w:tcPr>
            <w:tcW w:w="462"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25</w:t>
            </w:r>
          </w:p>
        </w:tc>
        <w:tc>
          <w:tcPr>
            <w:tcW w:w="462"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26</w:t>
            </w:r>
          </w:p>
        </w:tc>
        <w:tc>
          <w:tcPr>
            <w:tcW w:w="462"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27</w:t>
            </w:r>
          </w:p>
        </w:tc>
        <w:tc>
          <w:tcPr>
            <w:tcW w:w="516" w:type="dxa"/>
            <w:gridSpan w:val="2"/>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c>
          <w:tcPr>
            <w:tcW w:w="360"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19</w:t>
            </w:r>
          </w:p>
        </w:tc>
        <w:tc>
          <w:tcPr>
            <w:tcW w:w="549"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r>
              <w:rPr>
                <w:sz w:val="17"/>
              </w:rPr>
              <w:t>20</w:t>
            </w:r>
          </w:p>
        </w:tc>
        <w:tc>
          <w:tcPr>
            <w:tcW w:w="531" w:type="dxa"/>
            <w:tcBorders>
              <w:bottom w:val="single" w:sz="12" w:space="0" w:color="auto"/>
            </w:tcBorders>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21</w:t>
            </w:r>
          </w:p>
        </w:tc>
        <w:tc>
          <w:tcPr>
            <w:tcW w:w="513" w:type="dxa"/>
            <w:tcBorders>
              <w:bottom w:val="single" w:sz="12" w:space="0" w:color="auto"/>
            </w:tcBorders>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22</w:t>
            </w:r>
          </w:p>
        </w:tc>
        <w:tc>
          <w:tcPr>
            <w:tcW w:w="459" w:type="dxa"/>
            <w:tcBorders>
              <w:bottom w:val="single" w:sz="12" w:space="0" w:color="auto"/>
            </w:tcBorders>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p>
        </w:tc>
        <w:tc>
          <w:tcPr>
            <w:tcW w:w="490" w:type="dxa"/>
            <w:gridSpan w:val="2"/>
            <w:tcBorders>
              <w:bottom w:val="single" w:sz="12" w:space="0" w:color="auto"/>
            </w:tcBorders>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0.82</w:t>
            </w:r>
          </w:p>
        </w:tc>
        <w:tc>
          <w:tcPr>
            <w:tcW w:w="490" w:type="dxa"/>
            <w:tcBorders>
              <w:bottom w:val="single" w:sz="12" w:space="0" w:color="auto"/>
            </w:tcBorders>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0.82</w:t>
            </w:r>
          </w:p>
        </w:tc>
        <w:tc>
          <w:tcPr>
            <w:tcW w:w="490" w:type="dxa"/>
            <w:tcBorders>
              <w:bottom w:val="single" w:sz="12" w:space="0" w:color="auto"/>
            </w:tcBorders>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0.80</w:t>
            </w:r>
          </w:p>
        </w:tc>
        <w:tc>
          <w:tcPr>
            <w:tcW w:w="490" w:type="dxa"/>
            <w:tcBorders>
              <w:bottom w:val="single" w:sz="12" w:space="0" w:color="auto"/>
            </w:tcBorders>
            <w:shd w:val="clear" w:color="auto" w:fill="auto"/>
            <w:vAlign w:val="bottom"/>
          </w:tcPr>
          <w:p w:rsidR="00617564" w:rsidRPr="001C68E8" w:rsidRDefault="00617564" w:rsidP="00617564">
            <w:pPr>
              <w:tabs>
                <w:tab w:val="left" w:pos="288"/>
                <w:tab w:val="left" w:pos="576"/>
                <w:tab w:val="left" w:pos="864"/>
                <w:tab w:val="left" w:pos="1152"/>
              </w:tabs>
              <w:spacing w:before="40" w:after="40" w:line="210" w:lineRule="exact"/>
              <w:ind w:right="43"/>
              <w:jc w:val="right"/>
              <w:rPr>
                <w:sz w:val="17"/>
              </w:rPr>
            </w:pPr>
            <w:r>
              <w:rPr>
                <w:sz w:val="17"/>
              </w:rPr>
              <w:t>0.81</w:t>
            </w:r>
          </w:p>
        </w:tc>
        <w:tc>
          <w:tcPr>
            <w:tcW w:w="491" w:type="dxa"/>
            <w:tcBorders>
              <w:bottom w:val="single" w:sz="12" w:space="0" w:color="auto"/>
            </w:tcBorders>
            <w:shd w:val="clear" w:color="auto" w:fill="auto"/>
            <w:vAlign w:val="bottom"/>
          </w:tcPr>
          <w:p w:rsidR="00617564" w:rsidRPr="001C68E8" w:rsidRDefault="00617564" w:rsidP="00FC5FD6">
            <w:pPr>
              <w:tabs>
                <w:tab w:val="left" w:pos="288"/>
                <w:tab w:val="left" w:pos="576"/>
                <w:tab w:val="left" w:pos="864"/>
                <w:tab w:val="left" w:pos="1152"/>
              </w:tabs>
              <w:spacing w:before="40" w:after="40" w:line="210" w:lineRule="exact"/>
              <w:ind w:right="43"/>
              <w:jc w:val="right"/>
              <w:rPr>
                <w:sz w:val="17"/>
              </w:rPr>
            </w:pPr>
          </w:p>
        </w:tc>
      </w:tr>
    </w:tbl>
    <w:p w:rsidR="00FC5FD6" w:rsidRPr="006E719D" w:rsidRDefault="00FC5FD6" w:rsidP="00FC5FD6">
      <w:pPr>
        <w:pStyle w:val="SingleTxt"/>
        <w:spacing w:after="0" w:line="120" w:lineRule="exact"/>
        <w:rPr>
          <w:sz w:val="10"/>
        </w:rPr>
      </w:pPr>
    </w:p>
    <w:p w:rsidR="00FC5FD6" w:rsidRDefault="006F1DFE" w:rsidP="00FC5FD6">
      <w:pPr>
        <w:pStyle w:val="FootnoteText"/>
        <w:tabs>
          <w:tab w:val="clear" w:pos="418"/>
          <w:tab w:val="right" w:pos="216"/>
          <w:tab w:val="left" w:pos="288"/>
          <w:tab w:val="right" w:pos="576"/>
          <w:tab w:val="left" w:pos="648"/>
        </w:tabs>
        <w:ind w:left="288" w:hanging="288"/>
      </w:pPr>
      <w:r>
        <w:tab/>
      </w:r>
      <w:r w:rsidR="00FC5FD6" w:rsidRPr="006E719D">
        <w:rPr>
          <w:i/>
        </w:rPr>
        <w:t>Source</w:t>
      </w:r>
      <w:r w:rsidR="00FC5FD6">
        <w:t>: http://stats.uis.unesco.org/TableViewer/tableView.aspx (UNESCO Insti</w:t>
      </w:r>
      <w:r w:rsidR="00C467CE">
        <w:t>tute for Statistics, Education)</w:t>
      </w:r>
      <w:r w:rsidR="00FC5FD6">
        <w:t xml:space="preserve"> </w:t>
      </w:r>
      <w:r w:rsidR="00617564">
        <w:t>(</w:t>
      </w:r>
      <w:r w:rsidR="00FC5FD6">
        <w:t>accessed on 25/04/07</w:t>
      </w:r>
      <w:r w:rsidR="00617564">
        <w:t>)</w:t>
      </w:r>
      <w:r w:rsidR="00FC5FD6">
        <w:t>.</w:t>
      </w:r>
    </w:p>
    <w:p w:rsidR="00AD1032" w:rsidRDefault="00AD1032" w:rsidP="00AD1032">
      <w:pPr>
        <w:pStyle w:val="H23"/>
        <w:ind w:left="0" w:right="1260" w:firstLine="0"/>
      </w:pPr>
      <w:r>
        <w:br w:type="page"/>
      </w:r>
      <w:r w:rsidRPr="001C68E8">
        <w:rPr>
          <w:b w:val="0"/>
        </w:rPr>
        <w:t xml:space="preserve">Table </w:t>
      </w:r>
      <w:r>
        <w:rPr>
          <w:b w:val="0"/>
        </w:rPr>
        <w:t>3</w:t>
      </w:r>
      <w:r w:rsidRPr="001C68E8">
        <w:rPr>
          <w:b w:val="0"/>
        </w:rPr>
        <w:br/>
      </w:r>
      <w:r>
        <w:t>Tertiary education (ISCED 5 and 6)</w:t>
      </w:r>
    </w:p>
    <w:p w:rsidR="00AD1032" w:rsidRPr="001C68E8" w:rsidRDefault="00AD1032" w:rsidP="00AD1032">
      <w:pPr>
        <w:pStyle w:val="SingleTxt"/>
        <w:spacing w:after="0" w:line="120" w:lineRule="exact"/>
        <w:rPr>
          <w:sz w:val="10"/>
        </w:rPr>
      </w:pPr>
    </w:p>
    <w:p w:rsidR="00AD1032" w:rsidRDefault="00AD1032" w:rsidP="00AD1032">
      <w:pPr>
        <w:pStyle w:val="H23"/>
        <w:tabs>
          <w:tab w:val="left"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w:t>
      </w:r>
      <w:r>
        <w:tab/>
        <w:t>Country data</w:t>
      </w:r>
    </w:p>
    <w:p w:rsidR="00AD1032" w:rsidRPr="001C68E8" w:rsidRDefault="00AD1032" w:rsidP="00AD1032">
      <w:pPr>
        <w:pStyle w:val="SingleTxt"/>
        <w:spacing w:after="0" w:line="120" w:lineRule="exact"/>
        <w:rPr>
          <w:sz w:val="10"/>
        </w:rPr>
      </w:pPr>
    </w:p>
    <w:p w:rsidR="00AD1032" w:rsidRPr="001C68E8" w:rsidRDefault="00AD1032" w:rsidP="00AD1032">
      <w:pPr>
        <w:pStyle w:val="SingleTxt"/>
        <w:spacing w:after="0" w:line="120" w:lineRule="exact"/>
        <w:rPr>
          <w:sz w:val="10"/>
        </w:rPr>
      </w:pPr>
    </w:p>
    <w:tbl>
      <w:tblPr>
        <w:tblW w:w="12243" w:type="dxa"/>
        <w:tblLayout w:type="fixed"/>
        <w:tblCellMar>
          <w:left w:w="0" w:type="dxa"/>
          <w:right w:w="0" w:type="dxa"/>
        </w:tblCellMar>
        <w:tblLook w:val="0000" w:firstRow="0" w:lastRow="0" w:firstColumn="0" w:lastColumn="0" w:noHBand="0" w:noVBand="0"/>
      </w:tblPr>
      <w:tblGrid>
        <w:gridCol w:w="2679"/>
        <w:gridCol w:w="63"/>
        <w:gridCol w:w="507"/>
        <w:gridCol w:w="442"/>
        <w:gridCol w:w="441"/>
        <w:gridCol w:w="442"/>
        <w:gridCol w:w="442"/>
        <w:gridCol w:w="48"/>
        <w:gridCol w:w="414"/>
        <w:gridCol w:w="462"/>
        <w:gridCol w:w="462"/>
        <w:gridCol w:w="462"/>
        <w:gridCol w:w="462"/>
        <w:gridCol w:w="51"/>
        <w:gridCol w:w="363"/>
        <w:gridCol w:w="549"/>
        <w:gridCol w:w="531"/>
        <w:gridCol w:w="513"/>
        <w:gridCol w:w="459"/>
        <w:gridCol w:w="60"/>
        <w:gridCol w:w="430"/>
        <w:gridCol w:w="490"/>
        <w:gridCol w:w="490"/>
        <w:gridCol w:w="490"/>
        <w:gridCol w:w="491"/>
      </w:tblGrid>
      <w:tr w:rsidR="004D3DDE" w:rsidRPr="00AD1032">
        <w:tblPrEx>
          <w:tblCellMar>
            <w:top w:w="0" w:type="dxa"/>
            <w:bottom w:w="0" w:type="dxa"/>
          </w:tblCellMar>
        </w:tblPrEx>
        <w:trPr>
          <w:tblHeader/>
        </w:trPr>
        <w:tc>
          <w:tcPr>
            <w:tcW w:w="2679" w:type="dxa"/>
            <w:tcBorders>
              <w:top w:val="single" w:sz="4" w:space="0" w:color="auto"/>
              <w:bottom w:val="single" w:sz="4" w:space="0" w:color="auto"/>
            </w:tcBorders>
            <w:shd w:val="clear" w:color="auto" w:fill="auto"/>
            <w:vAlign w:val="bottom"/>
          </w:tcPr>
          <w:p w:rsidR="004D3DDE" w:rsidRPr="00AD1032" w:rsidRDefault="004D3DDE" w:rsidP="00AD1032">
            <w:pPr>
              <w:spacing w:before="81" w:after="81" w:line="160" w:lineRule="exact"/>
              <w:ind w:right="40"/>
              <w:rPr>
                <w:i/>
                <w:spacing w:val="0"/>
                <w:w w:val="100"/>
                <w:sz w:val="14"/>
                <w:szCs w:val="14"/>
              </w:rPr>
            </w:pPr>
            <w:r w:rsidRPr="00AD1032">
              <w:rPr>
                <w:i/>
                <w:spacing w:val="0"/>
                <w:w w:val="100"/>
                <w:sz w:val="14"/>
                <w:szCs w:val="14"/>
              </w:rPr>
              <w:t>Data (Percentage)</w:t>
            </w:r>
          </w:p>
        </w:tc>
        <w:tc>
          <w:tcPr>
            <w:tcW w:w="63" w:type="dxa"/>
            <w:tcBorders>
              <w:top w:val="single" w:sz="4" w:space="0" w:color="auto"/>
            </w:tcBorders>
            <w:shd w:val="clear" w:color="auto" w:fill="auto"/>
            <w:vAlign w:val="bottom"/>
          </w:tcPr>
          <w:p w:rsidR="004D3DDE" w:rsidRPr="00AD1032" w:rsidRDefault="004D3DDE" w:rsidP="00AD1032">
            <w:pPr>
              <w:spacing w:before="81" w:after="81" w:line="160" w:lineRule="exact"/>
              <w:ind w:right="43"/>
              <w:jc w:val="center"/>
              <w:rPr>
                <w:i/>
                <w:spacing w:val="0"/>
                <w:w w:val="100"/>
                <w:sz w:val="14"/>
                <w:szCs w:val="14"/>
              </w:rPr>
            </w:pPr>
          </w:p>
        </w:tc>
        <w:tc>
          <w:tcPr>
            <w:tcW w:w="2274" w:type="dxa"/>
            <w:gridSpan w:val="5"/>
            <w:tcBorders>
              <w:top w:val="single" w:sz="4" w:space="0" w:color="auto"/>
              <w:bottom w:val="single" w:sz="4" w:space="0" w:color="auto"/>
            </w:tcBorders>
            <w:shd w:val="clear" w:color="auto" w:fill="auto"/>
            <w:vAlign w:val="bottom"/>
          </w:tcPr>
          <w:p w:rsidR="004D3DDE" w:rsidRPr="00AD1032" w:rsidRDefault="004D3DDE" w:rsidP="00AD1032">
            <w:pPr>
              <w:spacing w:before="81" w:after="81" w:line="160" w:lineRule="exact"/>
              <w:ind w:right="43"/>
              <w:jc w:val="center"/>
              <w:rPr>
                <w:i/>
                <w:spacing w:val="0"/>
                <w:w w:val="100"/>
                <w:sz w:val="14"/>
                <w:szCs w:val="14"/>
              </w:rPr>
            </w:pPr>
            <w:r w:rsidRPr="00AD1032">
              <w:rPr>
                <w:i/>
                <w:spacing w:val="0"/>
                <w:w w:val="100"/>
                <w:sz w:val="14"/>
                <w:szCs w:val="14"/>
              </w:rPr>
              <w:t xml:space="preserve">Gross enrolment </w:t>
            </w:r>
            <w:r>
              <w:rPr>
                <w:i/>
                <w:spacing w:val="0"/>
                <w:w w:val="100"/>
                <w:sz w:val="14"/>
                <w:szCs w:val="14"/>
              </w:rPr>
              <w:t>ratio</w:t>
            </w:r>
            <w:r w:rsidRPr="00AD1032">
              <w:rPr>
                <w:i/>
                <w:spacing w:val="0"/>
                <w:w w:val="100"/>
                <w:sz w:val="14"/>
                <w:szCs w:val="14"/>
              </w:rPr>
              <w:t xml:space="preserve">, ISCED 5 and 6 </w:t>
            </w:r>
            <w:r w:rsidRPr="00AD1032">
              <w:rPr>
                <w:i/>
                <w:spacing w:val="0"/>
                <w:w w:val="100"/>
                <w:sz w:val="14"/>
                <w:szCs w:val="14"/>
              </w:rPr>
              <w:br/>
              <w:t>Total</w:t>
            </w:r>
          </w:p>
        </w:tc>
        <w:tc>
          <w:tcPr>
            <w:tcW w:w="48" w:type="dxa"/>
            <w:tcBorders>
              <w:top w:val="single" w:sz="4" w:space="0" w:color="auto"/>
            </w:tcBorders>
            <w:shd w:val="clear" w:color="auto" w:fill="auto"/>
            <w:vAlign w:val="bottom"/>
          </w:tcPr>
          <w:p w:rsidR="004D3DDE" w:rsidRPr="00AD1032" w:rsidRDefault="004D3DDE" w:rsidP="00AD1032">
            <w:pPr>
              <w:spacing w:before="81" w:after="81" w:line="160" w:lineRule="exact"/>
              <w:ind w:right="43"/>
              <w:jc w:val="center"/>
              <w:rPr>
                <w:i/>
                <w:spacing w:val="0"/>
                <w:w w:val="100"/>
                <w:sz w:val="14"/>
                <w:szCs w:val="14"/>
              </w:rPr>
            </w:pPr>
          </w:p>
        </w:tc>
        <w:tc>
          <w:tcPr>
            <w:tcW w:w="2262" w:type="dxa"/>
            <w:gridSpan w:val="5"/>
            <w:tcBorders>
              <w:top w:val="single" w:sz="4" w:space="0" w:color="auto"/>
              <w:bottom w:val="single" w:sz="4" w:space="0" w:color="auto"/>
            </w:tcBorders>
            <w:shd w:val="clear" w:color="auto" w:fill="auto"/>
            <w:vAlign w:val="bottom"/>
          </w:tcPr>
          <w:p w:rsidR="004D3DDE" w:rsidRPr="00AD1032" w:rsidRDefault="004D3DDE" w:rsidP="00AD1032">
            <w:pPr>
              <w:spacing w:before="81" w:after="81" w:line="160" w:lineRule="exact"/>
              <w:ind w:right="43"/>
              <w:jc w:val="center"/>
              <w:rPr>
                <w:i/>
                <w:spacing w:val="0"/>
                <w:w w:val="100"/>
                <w:sz w:val="14"/>
                <w:szCs w:val="14"/>
              </w:rPr>
            </w:pPr>
            <w:r w:rsidRPr="00AD1032">
              <w:rPr>
                <w:i/>
                <w:spacing w:val="0"/>
                <w:w w:val="100"/>
                <w:sz w:val="14"/>
                <w:szCs w:val="14"/>
              </w:rPr>
              <w:t xml:space="preserve">Gross enrolment </w:t>
            </w:r>
            <w:r>
              <w:rPr>
                <w:i/>
                <w:spacing w:val="0"/>
                <w:w w:val="100"/>
                <w:sz w:val="14"/>
                <w:szCs w:val="14"/>
              </w:rPr>
              <w:t>ratio</w:t>
            </w:r>
            <w:r w:rsidRPr="00AD1032">
              <w:rPr>
                <w:i/>
                <w:spacing w:val="0"/>
                <w:w w:val="100"/>
                <w:sz w:val="14"/>
                <w:szCs w:val="14"/>
              </w:rPr>
              <w:t xml:space="preserve">, ISCED 5 and 6 </w:t>
            </w:r>
            <w:r w:rsidRPr="00AD1032">
              <w:rPr>
                <w:i/>
                <w:spacing w:val="0"/>
                <w:w w:val="100"/>
                <w:sz w:val="14"/>
                <w:szCs w:val="14"/>
              </w:rPr>
              <w:br/>
              <w:t>Male</w:t>
            </w:r>
          </w:p>
        </w:tc>
        <w:tc>
          <w:tcPr>
            <w:tcW w:w="51" w:type="dxa"/>
            <w:tcBorders>
              <w:top w:val="single" w:sz="4" w:space="0" w:color="auto"/>
            </w:tcBorders>
            <w:shd w:val="clear" w:color="auto" w:fill="auto"/>
            <w:vAlign w:val="bottom"/>
          </w:tcPr>
          <w:p w:rsidR="004D3DDE" w:rsidRPr="00AD1032" w:rsidRDefault="004D3DDE" w:rsidP="00AD1032">
            <w:pPr>
              <w:spacing w:before="81" w:after="81" w:line="160" w:lineRule="exact"/>
              <w:ind w:right="43"/>
              <w:jc w:val="center"/>
              <w:rPr>
                <w:i/>
                <w:spacing w:val="0"/>
                <w:w w:val="100"/>
                <w:sz w:val="14"/>
                <w:szCs w:val="14"/>
              </w:rPr>
            </w:pPr>
          </w:p>
        </w:tc>
        <w:tc>
          <w:tcPr>
            <w:tcW w:w="2415" w:type="dxa"/>
            <w:gridSpan w:val="5"/>
            <w:tcBorders>
              <w:top w:val="single" w:sz="4" w:space="0" w:color="auto"/>
              <w:bottom w:val="single" w:sz="4" w:space="0" w:color="auto"/>
            </w:tcBorders>
            <w:shd w:val="clear" w:color="auto" w:fill="auto"/>
            <w:vAlign w:val="bottom"/>
          </w:tcPr>
          <w:p w:rsidR="004D3DDE" w:rsidRPr="00AD1032" w:rsidRDefault="004D3DDE" w:rsidP="00AD1032">
            <w:pPr>
              <w:spacing w:before="81" w:after="81" w:line="160" w:lineRule="exact"/>
              <w:ind w:right="43"/>
              <w:jc w:val="center"/>
              <w:rPr>
                <w:i/>
                <w:spacing w:val="0"/>
                <w:w w:val="100"/>
                <w:sz w:val="14"/>
                <w:szCs w:val="14"/>
              </w:rPr>
            </w:pPr>
            <w:r w:rsidRPr="00AD1032">
              <w:rPr>
                <w:i/>
                <w:spacing w:val="0"/>
                <w:w w:val="100"/>
                <w:sz w:val="14"/>
                <w:szCs w:val="14"/>
              </w:rPr>
              <w:t xml:space="preserve">Gross enrolment </w:t>
            </w:r>
            <w:r>
              <w:rPr>
                <w:i/>
                <w:spacing w:val="0"/>
                <w:w w:val="100"/>
                <w:sz w:val="14"/>
                <w:szCs w:val="14"/>
              </w:rPr>
              <w:t>ratio</w:t>
            </w:r>
            <w:r w:rsidRPr="00AD1032">
              <w:rPr>
                <w:i/>
                <w:spacing w:val="0"/>
                <w:w w:val="100"/>
                <w:sz w:val="14"/>
                <w:szCs w:val="14"/>
              </w:rPr>
              <w:t xml:space="preserve">, ISCED 5 and 6 </w:t>
            </w:r>
            <w:r w:rsidRPr="00AD1032">
              <w:rPr>
                <w:i/>
                <w:spacing w:val="0"/>
                <w:w w:val="100"/>
                <w:sz w:val="14"/>
                <w:szCs w:val="14"/>
              </w:rPr>
              <w:br/>
              <w:t>Female</w:t>
            </w:r>
          </w:p>
        </w:tc>
        <w:tc>
          <w:tcPr>
            <w:tcW w:w="60" w:type="dxa"/>
            <w:tcBorders>
              <w:top w:val="single" w:sz="4" w:space="0" w:color="auto"/>
            </w:tcBorders>
            <w:shd w:val="clear" w:color="auto" w:fill="auto"/>
            <w:vAlign w:val="bottom"/>
          </w:tcPr>
          <w:p w:rsidR="004D3DDE" w:rsidRPr="00AD1032" w:rsidRDefault="004D3DDE" w:rsidP="00AD1032">
            <w:pPr>
              <w:spacing w:before="81" w:after="81" w:line="160" w:lineRule="exact"/>
              <w:ind w:right="43"/>
              <w:jc w:val="center"/>
              <w:rPr>
                <w:i/>
                <w:spacing w:val="0"/>
                <w:w w:val="100"/>
                <w:sz w:val="14"/>
                <w:szCs w:val="14"/>
              </w:rPr>
            </w:pPr>
          </w:p>
        </w:tc>
        <w:tc>
          <w:tcPr>
            <w:tcW w:w="2391" w:type="dxa"/>
            <w:gridSpan w:val="5"/>
            <w:tcBorders>
              <w:top w:val="single" w:sz="4" w:space="0" w:color="auto"/>
              <w:bottom w:val="single" w:sz="4" w:space="0" w:color="auto"/>
            </w:tcBorders>
            <w:shd w:val="clear" w:color="auto" w:fill="auto"/>
            <w:vAlign w:val="bottom"/>
          </w:tcPr>
          <w:p w:rsidR="004D3DDE" w:rsidRPr="00AD1032" w:rsidRDefault="004D3DDE" w:rsidP="00AD1032">
            <w:pPr>
              <w:spacing w:before="81" w:after="81" w:line="160" w:lineRule="exact"/>
              <w:ind w:right="43"/>
              <w:jc w:val="center"/>
              <w:rPr>
                <w:i/>
                <w:spacing w:val="0"/>
                <w:w w:val="100"/>
                <w:sz w:val="14"/>
                <w:szCs w:val="14"/>
              </w:rPr>
            </w:pPr>
            <w:r w:rsidRPr="00AD1032">
              <w:rPr>
                <w:i/>
                <w:spacing w:val="0"/>
                <w:w w:val="100"/>
                <w:sz w:val="14"/>
                <w:szCs w:val="14"/>
              </w:rPr>
              <w:t xml:space="preserve">Gender parity index for gross enrolment </w:t>
            </w:r>
            <w:r>
              <w:rPr>
                <w:i/>
                <w:spacing w:val="0"/>
                <w:w w:val="100"/>
                <w:sz w:val="14"/>
                <w:szCs w:val="14"/>
              </w:rPr>
              <w:t>ratio</w:t>
            </w:r>
            <w:r w:rsidRPr="00AD1032">
              <w:rPr>
                <w:i/>
                <w:spacing w:val="0"/>
                <w:w w:val="100"/>
                <w:sz w:val="14"/>
                <w:szCs w:val="14"/>
              </w:rPr>
              <w:t>, ISCED 5 and 6</w:t>
            </w:r>
          </w:p>
        </w:tc>
      </w:tr>
      <w:tr w:rsidR="00AD1032" w:rsidRPr="001C68E8">
        <w:tblPrEx>
          <w:tblCellMar>
            <w:top w:w="0" w:type="dxa"/>
            <w:bottom w:w="0" w:type="dxa"/>
          </w:tblCellMar>
        </w:tblPrEx>
        <w:trPr>
          <w:trHeight w:val="163"/>
          <w:tblHeader/>
        </w:trPr>
        <w:tc>
          <w:tcPr>
            <w:tcW w:w="2679" w:type="dxa"/>
            <w:tcBorders>
              <w:top w:val="single" w:sz="4" w:space="0" w:color="auto"/>
              <w:bottom w:val="single" w:sz="4" w:space="0" w:color="auto"/>
            </w:tcBorders>
            <w:shd w:val="clear" w:color="auto" w:fill="auto"/>
            <w:vAlign w:val="bottom"/>
          </w:tcPr>
          <w:p w:rsidR="00AD1032" w:rsidRPr="001C68E8" w:rsidRDefault="00AD1032" w:rsidP="00AD1032">
            <w:pPr>
              <w:spacing w:before="81" w:after="81" w:line="160" w:lineRule="exact"/>
              <w:ind w:right="40"/>
              <w:rPr>
                <w:i/>
                <w:sz w:val="14"/>
              </w:rPr>
            </w:pPr>
            <w:r>
              <w:rPr>
                <w:i/>
                <w:sz w:val="14"/>
              </w:rPr>
              <w:t>Year</w:t>
            </w:r>
          </w:p>
        </w:tc>
        <w:tc>
          <w:tcPr>
            <w:tcW w:w="570" w:type="dxa"/>
            <w:gridSpan w:val="2"/>
            <w:vMerge w:val="restart"/>
            <w:shd w:val="clear" w:color="auto" w:fill="auto"/>
          </w:tcPr>
          <w:p w:rsidR="00AD1032" w:rsidRPr="001C68E8" w:rsidRDefault="00AD1032" w:rsidP="004D3DDE">
            <w:pPr>
              <w:spacing w:before="81" w:after="81" w:line="160" w:lineRule="exact"/>
              <w:ind w:right="43"/>
              <w:jc w:val="right"/>
              <w:rPr>
                <w:i/>
                <w:sz w:val="14"/>
              </w:rPr>
            </w:pPr>
            <w:r>
              <w:rPr>
                <w:i/>
                <w:sz w:val="14"/>
              </w:rPr>
              <w:t>01</w:t>
            </w:r>
          </w:p>
        </w:tc>
        <w:tc>
          <w:tcPr>
            <w:tcW w:w="442"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02</w:t>
            </w:r>
          </w:p>
        </w:tc>
        <w:tc>
          <w:tcPr>
            <w:tcW w:w="441"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03</w:t>
            </w:r>
          </w:p>
        </w:tc>
        <w:tc>
          <w:tcPr>
            <w:tcW w:w="442"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04</w:t>
            </w:r>
          </w:p>
        </w:tc>
        <w:tc>
          <w:tcPr>
            <w:tcW w:w="442"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05</w:t>
            </w:r>
          </w:p>
        </w:tc>
        <w:tc>
          <w:tcPr>
            <w:tcW w:w="462" w:type="dxa"/>
            <w:gridSpan w:val="2"/>
            <w:vMerge w:val="restart"/>
            <w:shd w:val="clear" w:color="auto" w:fill="auto"/>
          </w:tcPr>
          <w:p w:rsidR="00AD1032" w:rsidRPr="001C68E8" w:rsidRDefault="00AD1032" w:rsidP="004D3DDE">
            <w:pPr>
              <w:spacing w:before="81" w:after="81" w:line="160" w:lineRule="exact"/>
              <w:ind w:right="43"/>
              <w:jc w:val="right"/>
              <w:rPr>
                <w:i/>
                <w:sz w:val="14"/>
              </w:rPr>
            </w:pPr>
            <w:r>
              <w:rPr>
                <w:i/>
                <w:sz w:val="14"/>
              </w:rPr>
              <w:t>01</w:t>
            </w:r>
          </w:p>
        </w:tc>
        <w:tc>
          <w:tcPr>
            <w:tcW w:w="462"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02</w:t>
            </w:r>
          </w:p>
        </w:tc>
        <w:tc>
          <w:tcPr>
            <w:tcW w:w="462"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03</w:t>
            </w:r>
          </w:p>
        </w:tc>
        <w:tc>
          <w:tcPr>
            <w:tcW w:w="462"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04</w:t>
            </w:r>
          </w:p>
        </w:tc>
        <w:tc>
          <w:tcPr>
            <w:tcW w:w="462"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05</w:t>
            </w:r>
          </w:p>
        </w:tc>
        <w:tc>
          <w:tcPr>
            <w:tcW w:w="414" w:type="dxa"/>
            <w:gridSpan w:val="2"/>
            <w:vMerge w:val="restart"/>
            <w:shd w:val="clear" w:color="auto" w:fill="auto"/>
          </w:tcPr>
          <w:p w:rsidR="00AD1032" w:rsidRPr="001C68E8" w:rsidRDefault="00AD1032" w:rsidP="004D3DDE">
            <w:pPr>
              <w:spacing w:before="81" w:after="81" w:line="160" w:lineRule="exact"/>
              <w:ind w:right="43"/>
              <w:jc w:val="right"/>
              <w:rPr>
                <w:i/>
                <w:sz w:val="14"/>
              </w:rPr>
            </w:pPr>
            <w:r>
              <w:rPr>
                <w:i/>
                <w:sz w:val="14"/>
              </w:rPr>
              <w:t>01</w:t>
            </w:r>
          </w:p>
        </w:tc>
        <w:tc>
          <w:tcPr>
            <w:tcW w:w="549"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02</w:t>
            </w:r>
          </w:p>
        </w:tc>
        <w:tc>
          <w:tcPr>
            <w:tcW w:w="531"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03</w:t>
            </w:r>
          </w:p>
        </w:tc>
        <w:tc>
          <w:tcPr>
            <w:tcW w:w="513"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04</w:t>
            </w:r>
          </w:p>
        </w:tc>
        <w:tc>
          <w:tcPr>
            <w:tcW w:w="459"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05</w:t>
            </w:r>
          </w:p>
        </w:tc>
        <w:tc>
          <w:tcPr>
            <w:tcW w:w="490" w:type="dxa"/>
            <w:gridSpan w:val="2"/>
            <w:vMerge w:val="restart"/>
            <w:shd w:val="clear" w:color="auto" w:fill="auto"/>
          </w:tcPr>
          <w:p w:rsidR="00AD1032" w:rsidRPr="001C68E8" w:rsidRDefault="00AD1032" w:rsidP="004D3DDE">
            <w:pPr>
              <w:spacing w:before="81" w:after="81" w:line="160" w:lineRule="exact"/>
              <w:ind w:right="43"/>
              <w:jc w:val="right"/>
              <w:rPr>
                <w:i/>
                <w:sz w:val="14"/>
              </w:rPr>
            </w:pPr>
            <w:r>
              <w:rPr>
                <w:i/>
                <w:sz w:val="14"/>
              </w:rPr>
              <w:t>01</w:t>
            </w:r>
          </w:p>
        </w:tc>
        <w:tc>
          <w:tcPr>
            <w:tcW w:w="490"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02</w:t>
            </w:r>
          </w:p>
        </w:tc>
        <w:tc>
          <w:tcPr>
            <w:tcW w:w="490"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03</w:t>
            </w:r>
          </w:p>
        </w:tc>
        <w:tc>
          <w:tcPr>
            <w:tcW w:w="490"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04</w:t>
            </w:r>
          </w:p>
        </w:tc>
        <w:tc>
          <w:tcPr>
            <w:tcW w:w="491" w:type="dxa"/>
            <w:vMerge w:val="restart"/>
            <w:shd w:val="clear" w:color="auto" w:fill="auto"/>
          </w:tcPr>
          <w:p w:rsidR="00AD1032" w:rsidRPr="001C68E8" w:rsidRDefault="00AD1032" w:rsidP="004D3DDE">
            <w:pPr>
              <w:spacing w:before="81" w:after="81" w:line="160" w:lineRule="exact"/>
              <w:ind w:right="43"/>
              <w:jc w:val="right"/>
              <w:rPr>
                <w:i/>
                <w:sz w:val="14"/>
              </w:rPr>
            </w:pPr>
            <w:r>
              <w:rPr>
                <w:i/>
                <w:sz w:val="14"/>
              </w:rPr>
              <w:t>05</w:t>
            </w:r>
          </w:p>
        </w:tc>
      </w:tr>
      <w:tr w:rsidR="00AD1032" w:rsidRPr="001C68E8">
        <w:tblPrEx>
          <w:tblCellMar>
            <w:top w:w="0" w:type="dxa"/>
            <w:bottom w:w="0" w:type="dxa"/>
          </w:tblCellMar>
        </w:tblPrEx>
        <w:trPr>
          <w:trHeight w:val="163"/>
          <w:tblHeader/>
        </w:trPr>
        <w:tc>
          <w:tcPr>
            <w:tcW w:w="2679" w:type="dxa"/>
            <w:tcBorders>
              <w:top w:val="single" w:sz="4" w:space="0" w:color="auto"/>
              <w:bottom w:val="single" w:sz="12" w:space="0" w:color="auto"/>
            </w:tcBorders>
            <w:shd w:val="clear" w:color="auto" w:fill="auto"/>
            <w:vAlign w:val="bottom"/>
          </w:tcPr>
          <w:p w:rsidR="00AD1032" w:rsidRPr="001C68E8" w:rsidRDefault="00AD1032" w:rsidP="00AD1032">
            <w:pPr>
              <w:spacing w:before="81" w:after="81" w:line="160" w:lineRule="exact"/>
              <w:ind w:right="40"/>
              <w:rPr>
                <w:i/>
                <w:sz w:val="14"/>
              </w:rPr>
            </w:pPr>
            <w:r>
              <w:rPr>
                <w:i/>
                <w:sz w:val="14"/>
              </w:rPr>
              <w:t>Country</w:t>
            </w:r>
          </w:p>
        </w:tc>
        <w:tc>
          <w:tcPr>
            <w:tcW w:w="570" w:type="dxa"/>
            <w:gridSpan w:val="2"/>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42"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41"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42"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42"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62" w:type="dxa"/>
            <w:gridSpan w:val="2"/>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14" w:type="dxa"/>
            <w:gridSpan w:val="2"/>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549"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531"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513"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59"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90" w:type="dxa"/>
            <w:gridSpan w:val="2"/>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c>
          <w:tcPr>
            <w:tcW w:w="491" w:type="dxa"/>
            <w:vMerge/>
            <w:tcBorders>
              <w:bottom w:val="single" w:sz="12" w:space="0" w:color="auto"/>
            </w:tcBorders>
            <w:shd w:val="clear" w:color="auto" w:fill="auto"/>
            <w:vAlign w:val="bottom"/>
          </w:tcPr>
          <w:p w:rsidR="00AD1032" w:rsidRPr="001C68E8" w:rsidRDefault="00AD1032" w:rsidP="00AD1032">
            <w:pPr>
              <w:spacing w:before="81" w:after="81" w:line="160" w:lineRule="exact"/>
              <w:ind w:right="43"/>
              <w:jc w:val="right"/>
              <w:rPr>
                <w:i/>
                <w:sz w:val="14"/>
              </w:rPr>
            </w:pPr>
          </w:p>
        </w:tc>
      </w:tr>
      <w:tr w:rsidR="00AD1032" w:rsidRPr="001C68E8">
        <w:tblPrEx>
          <w:tblCellMar>
            <w:top w:w="0" w:type="dxa"/>
            <w:bottom w:w="0" w:type="dxa"/>
          </w:tblCellMar>
        </w:tblPrEx>
        <w:trPr>
          <w:trHeight w:hRule="exact" w:val="104"/>
          <w:tblHeader/>
        </w:trPr>
        <w:tc>
          <w:tcPr>
            <w:tcW w:w="2679" w:type="dxa"/>
            <w:tcBorders>
              <w:top w:val="single" w:sz="12" w:space="0" w:color="auto"/>
            </w:tcBorders>
            <w:shd w:val="clear" w:color="auto" w:fill="auto"/>
            <w:vAlign w:val="bottom"/>
          </w:tcPr>
          <w:p w:rsidR="00AD1032" w:rsidRPr="001C68E8" w:rsidRDefault="00AD1032" w:rsidP="00AD1032">
            <w:pPr>
              <w:spacing w:before="40" w:after="40" w:line="210" w:lineRule="exact"/>
              <w:ind w:right="40"/>
              <w:rPr>
                <w:sz w:val="17"/>
              </w:rPr>
            </w:pPr>
          </w:p>
        </w:tc>
        <w:tc>
          <w:tcPr>
            <w:tcW w:w="570" w:type="dxa"/>
            <w:gridSpan w:val="2"/>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42"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41"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42"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42"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62" w:type="dxa"/>
            <w:gridSpan w:val="2"/>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14" w:type="dxa"/>
            <w:gridSpan w:val="2"/>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59"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90" w:type="dxa"/>
            <w:gridSpan w:val="2"/>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AD1032" w:rsidRPr="001C68E8" w:rsidRDefault="00AD1032" w:rsidP="00AD1032">
            <w:pPr>
              <w:spacing w:before="40" w:after="40" w:line="210" w:lineRule="exact"/>
              <w:ind w:right="43"/>
              <w:jc w:val="right"/>
              <w:rPr>
                <w:sz w:val="17"/>
              </w:rPr>
            </w:pPr>
          </w:p>
        </w:tc>
      </w:tr>
      <w:tr w:rsidR="00AD1032" w:rsidRPr="001C68E8">
        <w:tblPrEx>
          <w:tblCellMar>
            <w:top w:w="0" w:type="dxa"/>
            <w:bottom w:w="0" w:type="dxa"/>
          </w:tblCellMar>
        </w:tblPrEx>
        <w:tc>
          <w:tcPr>
            <w:tcW w:w="267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Belize</w:t>
                </w:r>
              </w:smartTag>
            </w:smartTag>
          </w:p>
        </w:tc>
        <w:tc>
          <w:tcPr>
            <w:tcW w:w="57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3</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4</w:t>
            </w:r>
          </w:p>
        </w:tc>
        <w:tc>
          <w:tcPr>
            <w:tcW w:w="45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2.43</w:t>
            </w:r>
          </w:p>
        </w:tc>
        <w:tc>
          <w:tcPr>
            <w:tcW w:w="49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AD1032" w:rsidRPr="001C68E8">
        <w:tblPrEx>
          <w:tblCellMar>
            <w:top w:w="0" w:type="dxa"/>
            <w:bottom w:w="0" w:type="dxa"/>
          </w:tblCellMar>
        </w:tblPrEx>
        <w:tc>
          <w:tcPr>
            <w:tcW w:w="267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0"/>
              <w:rPr>
                <w:sz w:val="17"/>
              </w:rPr>
            </w:pPr>
          </w:p>
        </w:tc>
        <w:tc>
          <w:tcPr>
            <w:tcW w:w="570" w:type="dxa"/>
            <w:gridSpan w:val="2"/>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41"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w:t>
            </w:r>
          </w:p>
        </w:tc>
        <w:tc>
          <w:tcPr>
            <w:tcW w:w="46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3</w:t>
            </w:r>
          </w:p>
        </w:tc>
        <w:tc>
          <w:tcPr>
            <w:tcW w:w="513"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5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1.90</w:t>
            </w:r>
          </w:p>
        </w:tc>
        <w:tc>
          <w:tcPr>
            <w:tcW w:w="490"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91"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r>
      <w:tr w:rsidR="00AD1032" w:rsidRPr="001C68E8">
        <w:tblPrEx>
          <w:tblCellMar>
            <w:top w:w="0" w:type="dxa"/>
            <w:bottom w:w="0" w:type="dxa"/>
          </w:tblCellMar>
        </w:tblPrEx>
        <w:tc>
          <w:tcPr>
            <w:tcW w:w="267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Brazil</w:t>
                </w:r>
              </w:smartTag>
            </w:smartTag>
          </w:p>
        </w:tc>
        <w:tc>
          <w:tcPr>
            <w:tcW w:w="57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18</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20</w:t>
            </w:r>
          </w:p>
        </w:tc>
        <w:tc>
          <w:tcPr>
            <w:tcW w:w="44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22</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15</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17</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19</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20</w:t>
            </w:r>
          </w:p>
        </w:tc>
        <w:tc>
          <w:tcPr>
            <w:tcW w:w="54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23</w:t>
            </w:r>
          </w:p>
        </w:tc>
        <w:tc>
          <w:tcPr>
            <w:tcW w:w="53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25</w:t>
            </w:r>
          </w:p>
        </w:tc>
        <w:tc>
          <w:tcPr>
            <w:tcW w:w="513"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1.30</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1.32</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1.32</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AD1032" w:rsidRPr="001C68E8">
        <w:tblPrEx>
          <w:tblCellMar>
            <w:top w:w="0" w:type="dxa"/>
            <w:bottom w:w="0" w:type="dxa"/>
          </w:tblCellMar>
        </w:tblPrEx>
        <w:tc>
          <w:tcPr>
            <w:tcW w:w="267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r>
                <w:rPr>
                  <w:sz w:val="17"/>
                </w:rPr>
                <w:t>Cook Islands</w:t>
              </w:r>
            </w:smartTag>
          </w:p>
        </w:tc>
        <w:tc>
          <w:tcPr>
            <w:tcW w:w="57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AD1032" w:rsidRPr="001C68E8">
        <w:tblPrEx>
          <w:tblCellMar>
            <w:top w:w="0" w:type="dxa"/>
            <w:bottom w:w="0" w:type="dxa"/>
          </w:tblCellMar>
        </w:tblPrEx>
        <w:tc>
          <w:tcPr>
            <w:tcW w:w="267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Estonia</w:t>
                </w:r>
              </w:smartTag>
            </w:smartTag>
          </w:p>
        </w:tc>
        <w:tc>
          <w:tcPr>
            <w:tcW w:w="57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60</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63</w:t>
            </w:r>
          </w:p>
        </w:tc>
        <w:tc>
          <w:tcPr>
            <w:tcW w:w="44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64</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65</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47</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47</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49</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49</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74</w:t>
            </w:r>
          </w:p>
        </w:tc>
        <w:tc>
          <w:tcPr>
            <w:tcW w:w="54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79</w:t>
            </w:r>
          </w:p>
        </w:tc>
        <w:tc>
          <w:tcPr>
            <w:tcW w:w="53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81</w:t>
            </w:r>
          </w:p>
        </w:tc>
        <w:tc>
          <w:tcPr>
            <w:tcW w:w="513"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82</w:t>
            </w:r>
          </w:p>
        </w:tc>
        <w:tc>
          <w:tcPr>
            <w:tcW w:w="45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1.57</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1.66</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1.66</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1.68</w:t>
            </w:r>
          </w:p>
        </w:tc>
        <w:tc>
          <w:tcPr>
            <w:tcW w:w="49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AD1032" w:rsidRPr="001C68E8">
        <w:tblPrEx>
          <w:tblCellMar>
            <w:top w:w="0" w:type="dxa"/>
            <w:bottom w:w="0" w:type="dxa"/>
          </w:tblCellMar>
        </w:tblPrEx>
        <w:tc>
          <w:tcPr>
            <w:tcW w:w="267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Guinea</w:t>
                </w:r>
              </w:smartTag>
            </w:smartTag>
          </w:p>
        </w:tc>
        <w:tc>
          <w:tcPr>
            <w:tcW w:w="57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4</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w:t>
            </w:r>
          </w:p>
        </w:tc>
        <w:tc>
          <w:tcPr>
            <w:tcW w:w="45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0.20</w:t>
            </w:r>
          </w:p>
        </w:tc>
        <w:tc>
          <w:tcPr>
            <w:tcW w:w="49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AD1032" w:rsidRPr="001C68E8">
        <w:tblPrEx>
          <w:tblCellMar>
            <w:top w:w="0" w:type="dxa"/>
            <w:bottom w:w="0" w:type="dxa"/>
          </w:tblCellMar>
        </w:tblPrEx>
        <w:tc>
          <w:tcPr>
            <w:tcW w:w="2679" w:type="dxa"/>
            <w:shd w:val="clear" w:color="auto" w:fill="auto"/>
            <w:vAlign w:val="bottom"/>
          </w:tcPr>
          <w:p w:rsidR="00AD1032" w:rsidRDefault="00AD1032" w:rsidP="00AD1032">
            <w:pPr>
              <w:tabs>
                <w:tab w:val="left" w:pos="288"/>
                <w:tab w:val="left" w:pos="576"/>
                <w:tab w:val="left" w:pos="864"/>
                <w:tab w:val="left" w:pos="1152"/>
              </w:tabs>
              <w:spacing w:before="40" w:after="40" w:line="210" w:lineRule="exact"/>
              <w:ind w:right="40"/>
              <w:rPr>
                <w:sz w:val="17"/>
              </w:rPr>
            </w:pPr>
          </w:p>
        </w:tc>
        <w:tc>
          <w:tcPr>
            <w:tcW w:w="570" w:type="dxa"/>
            <w:gridSpan w:val="2"/>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4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w:t>
            </w:r>
          </w:p>
        </w:tc>
        <w:tc>
          <w:tcPr>
            <w:tcW w:w="44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4</w:t>
            </w:r>
          </w:p>
        </w:tc>
        <w:tc>
          <w:tcPr>
            <w:tcW w:w="46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w:t>
            </w:r>
          </w:p>
        </w:tc>
        <w:tc>
          <w:tcPr>
            <w:tcW w:w="513"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59"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0.20</w:t>
            </w:r>
          </w:p>
        </w:tc>
        <w:tc>
          <w:tcPr>
            <w:tcW w:w="490"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c>
          <w:tcPr>
            <w:tcW w:w="491" w:type="dxa"/>
            <w:shd w:val="clear" w:color="auto" w:fill="auto"/>
            <w:vAlign w:val="bottom"/>
          </w:tcPr>
          <w:p w:rsidR="00AD1032" w:rsidRPr="001C68E8" w:rsidRDefault="00AD1032" w:rsidP="00AD1032">
            <w:pPr>
              <w:tabs>
                <w:tab w:val="left" w:pos="288"/>
                <w:tab w:val="left" w:pos="576"/>
                <w:tab w:val="left" w:pos="864"/>
                <w:tab w:val="left" w:pos="1152"/>
              </w:tabs>
              <w:spacing w:before="40" w:after="40" w:line="210" w:lineRule="exact"/>
              <w:ind w:right="43"/>
              <w:jc w:val="right"/>
              <w:rPr>
                <w:sz w:val="17"/>
              </w:rPr>
            </w:pPr>
          </w:p>
        </w:tc>
      </w:tr>
      <w:tr w:rsidR="00AD1032" w:rsidRPr="001C68E8">
        <w:tblPrEx>
          <w:tblCellMar>
            <w:top w:w="0" w:type="dxa"/>
            <w:bottom w:w="0" w:type="dxa"/>
          </w:tblCellMar>
        </w:tblPrEx>
        <w:tc>
          <w:tcPr>
            <w:tcW w:w="2679" w:type="dxa"/>
            <w:shd w:val="clear" w:color="auto" w:fill="auto"/>
            <w:vAlign w:val="bottom"/>
          </w:tcPr>
          <w:p w:rsidR="00AD1032" w:rsidRDefault="00AD1032"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Honduras</w:t>
                </w:r>
              </w:smartTag>
            </w:smartTag>
          </w:p>
        </w:tc>
        <w:tc>
          <w:tcPr>
            <w:tcW w:w="57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16</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13</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20</w:t>
            </w:r>
          </w:p>
        </w:tc>
        <w:tc>
          <w:tcPr>
            <w:tcW w:w="513"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1.46</w:t>
            </w:r>
          </w:p>
        </w:tc>
        <w:tc>
          <w:tcPr>
            <w:tcW w:w="490" w:type="dxa"/>
            <w:shd w:val="clear" w:color="auto" w:fill="auto"/>
            <w:vAlign w:val="bottom"/>
          </w:tcPr>
          <w:p w:rsidR="00AD1032"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AD1032" w:rsidRPr="001C68E8" w:rsidRDefault="004D3DDE"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6F1DFE" w:rsidRPr="001C68E8">
        <w:tblPrEx>
          <w:tblCellMar>
            <w:top w:w="0" w:type="dxa"/>
            <w:bottom w:w="0" w:type="dxa"/>
          </w:tblCellMar>
        </w:tblPrEx>
        <w:tc>
          <w:tcPr>
            <w:tcW w:w="2679" w:type="dxa"/>
            <w:shd w:val="clear" w:color="auto" w:fill="auto"/>
            <w:vAlign w:val="bottom"/>
          </w:tcPr>
          <w:p w:rsidR="006F1DFE" w:rsidRDefault="006F1DFE" w:rsidP="00AD1032">
            <w:pPr>
              <w:tabs>
                <w:tab w:val="left" w:pos="288"/>
                <w:tab w:val="left" w:pos="576"/>
                <w:tab w:val="left" w:pos="864"/>
                <w:tab w:val="left" w:pos="1152"/>
              </w:tabs>
              <w:spacing w:before="40" w:after="40" w:line="210" w:lineRule="exact"/>
              <w:ind w:right="40"/>
              <w:rPr>
                <w:sz w:val="17"/>
              </w:rPr>
            </w:pPr>
          </w:p>
        </w:tc>
        <w:tc>
          <w:tcPr>
            <w:tcW w:w="570"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15</w:t>
            </w:r>
          </w:p>
        </w:tc>
        <w:tc>
          <w:tcPr>
            <w:tcW w:w="44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16</w:t>
            </w:r>
          </w:p>
        </w:tc>
        <w:tc>
          <w:tcPr>
            <w:tcW w:w="441"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16</w:t>
            </w:r>
          </w:p>
        </w:tc>
        <w:tc>
          <w:tcPr>
            <w:tcW w:w="44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13</w:t>
            </w:r>
          </w:p>
        </w:tc>
        <w:tc>
          <w:tcPr>
            <w:tcW w:w="46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13</w:t>
            </w:r>
          </w:p>
        </w:tc>
        <w:tc>
          <w:tcPr>
            <w:tcW w:w="46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13</w:t>
            </w:r>
          </w:p>
        </w:tc>
        <w:tc>
          <w:tcPr>
            <w:tcW w:w="46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6F1DFE" w:rsidRPr="001C68E8" w:rsidRDefault="006F1DFE" w:rsidP="00591205">
            <w:pPr>
              <w:tabs>
                <w:tab w:val="left" w:pos="288"/>
                <w:tab w:val="left" w:pos="576"/>
                <w:tab w:val="left" w:pos="864"/>
                <w:tab w:val="left" w:pos="1152"/>
              </w:tabs>
              <w:spacing w:before="40" w:after="40" w:line="210" w:lineRule="exact"/>
              <w:ind w:right="43"/>
              <w:jc w:val="right"/>
              <w:rPr>
                <w:sz w:val="17"/>
              </w:rPr>
            </w:pPr>
            <w:r>
              <w:rPr>
                <w:sz w:val="17"/>
              </w:rPr>
              <w:t>17</w:t>
            </w:r>
          </w:p>
        </w:tc>
        <w:tc>
          <w:tcPr>
            <w:tcW w:w="549" w:type="dxa"/>
            <w:shd w:val="clear" w:color="auto" w:fill="auto"/>
            <w:vAlign w:val="bottom"/>
          </w:tcPr>
          <w:p w:rsidR="006F1DFE" w:rsidRPr="001C68E8" w:rsidRDefault="006F1DFE" w:rsidP="00591205">
            <w:pPr>
              <w:tabs>
                <w:tab w:val="left" w:pos="288"/>
                <w:tab w:val="left" w:pos="576"/>
                <w:tab w:val="left" w:pos="864"/>
                <w:tab w:val="left" w:pos="1152"/>
              </w:tabs>
              <w:spacing w:before="40" w:after="40" w:line="210" w:lineRule="exact"/>
              <w:ind w:right="43"/>
              <w:jc w:val="right"/>
              <w:rPr>
                <w:sz w:val="17"/>
              </w:rPr>
            </w:pPr>
            <w:r>
              <w:rPr>
                <w:sz w:val="17"/>
              </w:rPr>
              <w:t>20</w:t>
            </w:r>
          </w:p>
        </w:tc>
        <w:tc>
          <w:tcPr>
            <w:tcW w:w="531" w:type="dxa"/>
            <w:shd w:val="clear" w:color="auto" w:fill="auto"/>
            <w:vAlign w:val="bottom"/>
          </w:tcPr>
          <w:p w:rsidR="006F1DFE" w:rsidRPr="001C68E8" w:rsidRDefault="006F1DFE" w:rsidP="00591205">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6F1DFE" w:rsidRPr="001C68E8" w:rsidRDefault="006F1DFE" w:rsidP="00591205">
            <w:pPr>
              <w:tabs>
                <w:tab w:val="left" w:pos="288"/>
                <w:tab w:val="left" w:pos="576"/>
                <w:tab w:val="left" w:pos="864"/>
                <w:tab w:val="left" w:pos="1152"/>
              </w:tabs>
              <w:spacing w:before="40" w:after="40" w:line="210" w:lineRule="exact"/>
              <w:ind w:right="43"/>
              <w:jc w:val="right"/>
              <w:rPr>
                <w:sz w:val="17"/>
              </w:rPr>
            </w:pPr>
            <w:r>
              <w:rPr>
                <w:sz w:val="17"/>
              </w:rPr>
              <w:t>20</w:t>
            </w:r>
          </w:p>
        </w:tc>
        <w:tc>
          <w:tcPr>
            <w:tcW w:w="459" w:type="dxa"/>
            <w:shd w:val="clear" w:color="auto" w:fill="auto"/>
            <w:vAlign w:val="bottom"/>
          </w:tcPr>
          <w:p w:rsidR="006F1DFE" w:rsidRPr="001C68E8" w:rsidRDefault="006F1DFE" w:rsidP="00591205">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F1DFE" w:rsidRPr="001C68E8" w:rsidRDefault="006F1DFE" w:rsidP="00591205">
            <w:pPr>
              <w:tabs>
                <w:tab w:val="left" w:pos="288"/>
                <w:tab w:val="left" w:pos="576"/>
                <w:tab w:val="left" w:pos="864"/>
                <w:tab w:val="left" w:pos="1152"/>
              </w:tabs>
              <w:spacing w:before="40" w:after="40" w:line="210" w:lineRule="exact"/>
              <w:ind w:right="43"/>
              <w:jc w:val="right"/>
              <w:rPr>
                <w:sz w:val="17"/>
              </w:rPr>
            </w:pPr>
            <w:r>
              <w:rPr>
                <w:sz w:val="17"/>
              </w:rPr>
              <w:t>1.32</w:t>
            </w:r>
          </w:p>
        </w:tc>
        <w:tc>
          <w:tcPr>
            <w:tcW w:w="490" w:type="dxa"/>
            <w:shd w:val="clear" w:color="auto" w:fill="auto"/>
            <w:vAlign w:val="bottom"/>
          </w:tcPr>
          <w:p w:rsidR="006F1DFE" w:rsidRPr="001C68E8" w:rsidRDefault="006F1DFE" w:rsidP="00591205">
            <w:pPr>
              <w:tabs>
                <w:tab w:val="left" w:pos="288"/>
                <w:tab w:val="left" w:pos="576"/>
                <w:tab w:val="left" w:pos="864"/>
                <w:tab w:val="left" w:pos="1152"/>
              </w:tabs>
              <w:spacing w:before="40" w:after="40" w:line="210" w:lineRule="exact"/>
              <w:ind w:right="43"/>
              <w:jc w:val="right"/>
              <w:rPr>
                <w:sz w:val="17"/>
              </w:rPr>
            </w:pPr>
            <w:r>
              <w:rPr>
                <w:sz w:val="17"/>
              </w:rPr>
              <w:t>1.46</w:t>
            </w:r>
          </w:p>
        </w:tc>
        <w:tc>
          <w:tcPr>
            <w:tcW w:w="490" w:type="dxa"/>
            <w:shd w:val="clear" w:color="auto" w:fill="auto"/>
            <w:vAlign w:val="bottom"/>
          </w:tcPr>
          <w:p w:rsidR="006F1DFE" w:rsidRPr="001C68E8" w:rsidRDefault="006F1DFE" w:rsidP="00591205">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F1DFE" w:rsidRPr="001C68E8" w:rsidRDefault="006F1DFE" w:rsidP="00591205">
            <w:pPr>
              <w:tabs>
                <w:tab w:val="left" w:pos="288"/>
                <w:tab w:val="left" w:pos="576"/>
                <w:tab w:val="left" w:pos="864"/>
                <w:tab w:val="left" w:pos="1152"/>
              </w:tabs>
              <w:spacing w:before="40" w:after="40" w:line="210" w:lineRule="exact"/>
              <w:ind w:right="43"/>
              <w:jc w:val="right"/>
              <w:rPr>
                <w:sz w:val="17"/>
              </w:rPr>
            </w:pPr>
            <w:r>
              <w:rPr>
                <w:sz w:val="17"/>
              </w:rPr>
              <w:t>1.4</w:t>
            </w:r>
            <w:r w:rsidR="00591205">
              <w:rPr>
                <w:sz w:val="17"/>
              </w:rPr>
              <w:t>6</w:t>
            </w:r>
          </w:p>
        </w:tc>
        <w:tc>
          <w:tcPr>
            <w:tcW w:w="491"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r>
      <w:tr w:rsidR="006F1DFE" w:rsidRPr="001C68E8">
        <w:tblPrEx>
          <w:tblCellMar>
            <w:top w:w="0" w:type="dxa"/>
            <w:bottom w:w="0" w:type="dxa"/>
          </w:tblCellMar>
        </w:tblPrEx>
        <w:tc>
          <w:tcPr>
            <w:tcW w:w="267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Hungary</w:t>
                </w:r>
              </w:smartTag>
            </w:smartTag>
          </w:p>
        </w:tc>
        <w:tc>
          <w:tcPr>
            <w:tcW w:w="570" w:type="dxa"/>
            <w:gridSpan w:val="2"/>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40</w:t>
            </w:r>
          </w:p>
        </w:tc>
        <w:tc>
          <w:tcPr>
            <w:tcW w:w="442"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45</w:t>
            </w:r>
          </w:p>
        </w:tc>
        <w:tc>
          <w:tcPr>
            <w:tcW w:w="441"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52</w:t>
            </w:r>
          </w:p>
        </w:tc>
        <w:tc>
          <w:tcPr>
            <w:tcW w:w="442"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60</w:t>
            </w:r>
          </w:p>
        </w:tc>
        <w:tc>
          <w:tcPr>
            <w:tcW w:w="442"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36</w:t>
            </w:r>
          </w:p>
        </w:tc>
        <w:tc>
          <w:tcPr>
            <w:tcW w:w="462"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39</w:t>
            </w:r>
          </w:p>
        </w:tc>
        <w:tc>
          <w:tcPr>
            <w:tcW w:w="462"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44</w:t>
            </w:r>
          </w:p>
        </w:tc>
        <w:tc>
          <w:tcPr>
            <w:tcW w:w="462"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50</w:t>
            </w:r>
          </w:p>
        </w:tc>
        <w:tc>
          <w:tcPr>
            <w:tcW w:w="462"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45</w:t>
            </w:r>
          </w:p>
        </w:tc>
        <w:tc>
          <w:tcPr>
            <w:tcW w:w="549"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51</w:t>
            </w:r>
          </w:p>
        </w:tc>
        <w:tc>
          <w:tcPr>
            <w:tcW w:w="531"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60</w:t>
            </w:r>
          </w:p>
        </w:tc>
        <w:tc>
          <w:tcPr>
            <w:tcW w:w="513"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70</w:t>
            </w:r>
          </w:p>
        </w:tc>
        <w:tc>
          <w:tcPr>
            <w:tcW w:w="459"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1.27</w:t>
            </w:r>
          </w:p>
        </w:tc>
        <w:tc>
          <w:tcPr>
            <w:tcW w:w="490"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1.29</w:t>
            </w:r>
          </w:p>
        </w:tc>
        <w:tc>
          <w:tcPr>
            <w:tcW w:w="490"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1.37</w:t>
            </w:r>
          </w:p>
        </w:tc>
        <w:tc>
          <w:tcPr>
            <w:tcW w:w="490"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1.40</w:t>
            </w:r>
          </w:p>
        </w:tc>
        <w:tc>
          <w:tcPr>
            <w:tcW w:w="491"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6F1DFE" w:rsidRPr="001C68E8">
        <w:tblPrEx>
          <w:tblCellMar>
            <w:top w:w="0" w:type="dxa"/>
            <w:bottom w:w="0" w:type="dxa"/>
          </w:tblCellMar>
        </w:tblPrEx>
        <w:tc>
          <w:tcPr>
            <w:tcW w:w="267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Indonesia</w:t>
                </w:r>
              </w:smartTag>
            </w:smartTag>
          </w:p>
        </w:tc>
        <w:tc>
          <w:tcPr>
            <w:tcW w:w="570" w:type="dxa"/>
            <w:gridSpan w:val="2"/>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14</w:t>
            </w:r>
          </w:p>
        </w:tc>
        <w:tc>
          <w:tcPr>
            <w:tcW w:w="442" w:type="dxa"/>
            <w:shd w:val="clear" w:color="auto" w:fill="auto"/>
            <w:vAlign w:val="bottom"/>
          </w:tcPr>
          <w:p w:rsidR="006F1DFE" w:rsidRPr="001C68E8" w:rsidRDefault="00591205" w:rsidP="00AD1032">
            <w:pPr>
              <w:tabs>
                <w:tab w:val="left" w:pos="288"/>
                <w:tab w:val="left" w:pos="576"/>
                <w:tab w:val="left" w:pos="864"/>
                <w:tab w:val="left" w:pos="1152"/>
              </w:tabs>
              <w:spacing w:before="40" w:after="40" w:line="210" w:lineRule="exact"/>
              <w:ind w:right="43"/>
              <w:jc w:val="right"/>
              <w:rPr>
                <w:sz w:val="17"/>
              </w:rPr>
            </w:pPr>
            <w:r>
              <w:rPr>
                <w:sz w:val="17"/>
              </w:rPr>
              <w:t>15</w:t>
            </w:r>
          </w:p>
        </w:tc>
        <w:tc>
          <w:tcPr>
            <w:tcW w:w="44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16</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17</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16</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16</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18</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19</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13</w:t>
            </w:r>
          </w:p>
        </w:tc>
        <w:tc>
          <w:tcPr>
            <w:tcW w:w="54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14</w:t>
            </w:r>
          </w:p>
        </w:tc>
        <w:tc>
          <w:tcPr>
            <w:tcW w:w="53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14</w:t>
            </w:r>
          </w:p>
        </w:tc>
        <w:tc>
          <w:tcPr>
            <w:tcW w:w="513"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15</w:t>
            </w:r>
          </w:p>
        </w:tc>
        <w:tc>
          <w:tcPr>
            <w:tcW w:w="45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0.76</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0.87</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0.80</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0.79</w:t>
            </w:r>
          </w:p>
        </w:tc>
        <w:tc>
          <w:tcPr>
            <w:tcW w:w="49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6F1DFE" w:rsidRPr="001C68E8">
        <w:tblPrEx>
          <w:tblCellMar>
            <w:top w:w="0" w:type="dxa"/>
            <w:bottom w:w="0" w:type="dxa"/>
          </w:tblCellMar>
        </w:tblPrEx>
        <w:tc>
          <w:tcPr>
            <w:tcW w:w="267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Jordan</w:t>
                </w:r>
              </w:smartTag>
            </w:smartTag>
          </w:p>
        </w:tc>
        <w:tc>
          <w:tcPr>
            <w:tcW w:w="57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31</w:t>
            </w:r>
          </w:p>
        </w:tc>
        <w:tc>
          <w:tcPr>
            <w:tcW w:w="44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35</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39</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31</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33</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37</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31</w:t>
            </w:r>
          </w:p>
        </w:tc>
        <w:tc>
          <w:tcPr>
            <w:tcW w:w="53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37</w:t>
            </w:r>
          </w:p>
        </w:tc>
        <w:tc>
          <w:tcPr>
            <w:tcW w:w="513"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41</w:t>
            </w:r>
          </w:p>
        </w:tc>
        <w:tc>
          <w:tcPr>
            <w:tcW w:w="45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1.01</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1.10</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1.10</w:t>
            </w:r>
          </w:p>
        </w:tc>
        <w:tc>
          <w:tcPr>
            <w:tcW w:w="49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6F1DFE" w:rsidRPr="001C68E8">
        <w:tblPrEx>
          <w:tblCellMar>
            <w:top w:w="0" w:type="dxa"/>
            <w:bottom w:w="0" w:type="dxa"/>
          </w:tblCellMar>
        </w:tblPrEx>
        <w:tc>
          <w:tcPr>
            <w:tcW w:w="267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Kenya</w:t>
                </w:r>
              </w:smartTag>
            </w:smartTag>
          </w:p>
        </w:tc>
        <w:tc>
          <w:tcPr>
            <w:tcW w:w="57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4</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4</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2</w:t>
            </w:r>
          </w:p>
        </w:tc>
        <w:tc>
          <w:tcPr>
            <w:tcW w:w="54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2</w:t>
            </w:r>
          </w:p>
        </w:tc>
        <w:tc>
          <w:tcPr>
            <w:tcW w:w="45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0.54</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0.60</w:t>
            </w:r>
          </w:p>
        </w:tc>
        <w:tc>
          <w:tcPr>
            <w:tcW w:w="49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6F1DFE" w:rsidRPr="001C68E8">
        <w:tblPrEx>
          <w:tblCellMar>
            <w:top w:w="0" w:type="dxa"/>
            <w:bottom w:w="0" w:type="dxa"/>
          </w:tblCellMar>
        </w:tblPrEx>
        <w:tc>
          <w:tcPr>
            <w:tcW w:w="2679" w:type="dxa"/>
            <w:shd w:val="clear" w:color="auto" w:fill="auto"/>
            <w:vAlign w:val="bottom"/>
          </w:tcPr>
          <w:p w:rsidR="006F1DFE" w:rsidRDefault="006F1DFE" w:rsidP="00AD1032">
            <w:pPr>
              <w:tabs>
                <w:tab w:val="left" w:pos="288"/>
                <w:tab w:val="left" w:pos="576"/>
                <w:tab w:val="left" w:pos="864"/>
                <w:tab w:val="left" w:pos="1152"/>
              </w:tabs>
              <w:spacing w:before="40" w:after="40" w:line="210" w:lineRule="exact"/>
              <w:ind w:right="40"/>
              <w:rPr>
                <w:sz w:val="17"/>
              </w:rPr>
            </w:pPr>
          </w:p>
        </w:tc>
        <w:tc>
          <w:tcPr>
            <w:tcW w:w="570"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w:t>
            </w:r>
          </w:p>
        </w:tc>
        <w:tc>
          <w:tcPr>
            <w:tcW w:w="441"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4</w:t>
            </w:r>
          </w:p>
        </w:tc>
        <w:tc>
          <w:tcPr>
            <w:tcW w:w="46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2</w:t>
            </w:r>
          </w:p>
        </w:tc>
        <w:tc>
          <w:tcPr>
            <w:tcW w:w="531"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5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0.54</w:t>
            </w:r>
          </w:p>
        </w:tc>
        <w:tc>
          <w:tcPr>
            <w:tcW w:w="490"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91"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r>
      <w:tr w:rsidR="006F1DFE" w:rsidRPr="001C68E8">
        <w:tblPrEx>
          <w:tblCellMar>
            <w:top w:w="0" w:type="dxa"/>
            <w:bottom w:w="0" w:type="dxa"/>
          </w:tblCellMar>
        </w:tblPrEx>
        <w:tc>
          <w:tcPr>
            <w:tcW w:w="267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Liechtenstein</w:t>
                </w:r>
              </w:smartTag>
            </w:smartTag>
          </w:p>
        </w:tc>
        <w:tc>
          <w:tcPr>
            <w:tcW w:w="57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6F1DFE" w:rsidRPr="001C68E8">
        <w:tblPrEx>
          <w:tblCellMar>
            <w:top w:w="0" w:type="dxa"/>
            <w:bottom w:w="0" w:type="dxa"/>
          </w:tblCellMar>
        </w:tblPrEx>
        <w:tc>
          <w:tcPr>
            <w:tcW w:w="267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p>
        </w:tc>
        <w:tc>
          <w:tcPr>
            <w:tcW w:w="570"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4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4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21</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25</w:t>
            </w:r>
          </w:p>
        </w:tc>
        <w:tc>
          <w:tcPr>
            <w:tcW w:w="44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30</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36</w:t>
            </w:r>
          </w:p>
        </w:tc>
        <w:tc>
          <w:tcPr>
            <w:tcW w:w="462"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11</w:t>
            </w:r>
          </w:p>
        </w:tc>
        <w:tc>
          <w:tcPr>
            <w:tcW w:w="513"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14</w:t>
            </w:r>
          </w:p>
        </w:tc>
        <w:tc>
          <w:tcPr>
            <w:tcW w:w="45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0.38</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0.37</w:t>
            </w:r>
          </w:p>
        </w:tc>
        <w:tc>
          <w:tcPr>
            <w:tcW w:w="491"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p>
        </w:tc>
      </w:tr>
      <w:tr w:rsidR="006F1DFE" w:rsidRPr="001C68E8">
        <w:tblPrEx>
          <w:tblCellMar>
            <w:top w:w="0" w:type="dxa"/>
            <w:bottom w:w="0" w:type="dxa"/>
          </w:tblCellMar>
        </w:tblPrEx>
        <w:tc>
          <w:tcPr>
            <w:tcW w:w="267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New Zealand</w:t>
                </w:r>
              </w:smartTag>
            </w:smartTag>
          </w:p>
        </w:tc>
        <w:tc>
          <w:tcPr>
            <w:tcW w:w="57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70</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70</w:t>
            </w:r>
          </w:p>
        </w:tc>
        <w:tc>
          <w:tcPr>
            <w:tcW w:w="44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72</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86</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57</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57</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58</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70</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83</w:t>
            </w:r>
          </w:p>
        </w:tc>
        <w:tc>
          <w:tcPr>
            <w:tcW w:w="54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84</w:t>
            </w:r>
          </w:p>
        </w:tc>
        <w:tc>
          <w:tcPr>
            <w:tcW w:w="53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86</w:t>
            </w:r>
          </w:p>
        </w:tc>
        <w:tc>
          <w:tcPr>
            <w:tcW w:w="513"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103</w:t>
            </w:r>
          </w:p>
        </w:tc>
        <w:tc>
          <w:tcPr>
            <w:tcW w:w="45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1.45</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1.47</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1.47</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1.47</w:t>
            </w:r>
          </w:p>
        </w:tc>
        <w:tc>
          <w:tcPr>
            <w:tcW w:w="49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6F1DFE" w:rsidRPr="001C68E8">
        <w:tblPrEx>
          <w:tblCellMar>
            <w:top w:w="0" w:type="dxa"/>
            <w:bottom w:w="0" w:type="dxa"/>
          </w:tblCellMar>
        </w:tblPrEx>
        <w:tc>
          <w:tcPr>
            <w:tcW w:w="267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Norway</w:t>
                </w:r>
              </w:smartTag>
            </w:smartTag>
          </w:p>
        </w:tc>
        <w:tc>
          <w:tcPr>
            <w:tcW w:w="57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71</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74</w:t>
            </w:r>
          </w:p>
        </w:tc>
        <w:tc>
          <w:tcPr>
            <w:tcW w:w="44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80</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80</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57</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59</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63</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64</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86</w:t>
            </w:r>
          </w:p>
        </w:tc>
        <w:tc>
          <w:tcPr>
            <w:tcW w:w="54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90</w:t>
            </w:r>
          </w:p>
        </w:tc>
        <w:tc>
          <w:tcPr>
            <w:tcW w:w="53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98</w:t>
            </w:r>
          </w:p>
        </w:tc>
        <w:tc>
          <w:tcPr>
            <w:tcW w:w="513"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98</w:t>
            </w:r>
          </w:p>
        </w:tc>
        <w:tc>
          <w:tcPr>
            <w:tcW w:w="45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1.51</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1.54</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1.55</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1.54</w:t>
            </w:r>
          </w:p>
        </w:tc>
        <w:tc>
          <w:tcPr>
            <w:tcW w:w="49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w:t>
            </w:r>
          </w:p>
        </w:tc>
      </w:tr>
      <w:tr w:rsidR="006F1DFE" w:rsidRPr="001C68E8">
        <w:tblPrEx>
          <w:tblCellMar>
            <w:top w:w="0" w:type="dxa"/>
            <w:bottom w:w="0" w:type="dxa"/>
          </w:tblCellMar>
        </w:tblPrEx>
        <w:tc>
          <w:tcPr>
            <w:tcW w:w="2679" w:type="dxa"/>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PlaceType">
                <w:r>
                  <w:rPr>
                    <w:sz w:val="17"/>
                  </w:rPr>
                  <w:t>Republic</w:t>
                </w:r>
              </w:smartTag>
              <w:r>
                <w:rPr>
                  <w:sz w:val="17"/>
                </w:rPr>
                <w:t xml:space="preserve"> of </w:t>
              </w:r>
              <w:smartTag w:uri="urn:schemas-microsoft-com:office:smarttags" w:element="PlaceName">
                <w:r>
                  <w:rPr>
                    <w:sz w:val="17"/>
                  </w:rPr>
                  <w:t>Korea</w:t>
                </w:r>
              </w:smartTag>
            </w:smartTag>
          </w:p>
        </w:tc>
        <w:tc>
          <w:tcPr>
            <w:tcW w:w="57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78</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83</w:t>
            </w:r>
          </w:p>
        </w:tc>
        <w:tc>
          <w:tcPr>
            <w:tcW w:w="44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87</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89</w:t>
            </w:r>
          </w:p>
        </w:tc>
        <w:tc>
          <w:tcPr>
            <w:tcW w:w="44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90</w:t>
            </w:r>
          </w:p>
        </w:tc>
        <w:tc>
          <w:tcPr>
            <w:tcW w:w="462"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98</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104</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107</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109</w:t>
            </w:r>
          </w:p>
        </w:tc>
        <w:tc>
          <w:tcPr>
            <w:tcW w:w="462"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110</w:t>
            </w:r>
          </w:p>
        </w:tc>
        <w:tc>
          <w:tcPr>
            <w:tcW w:w="414"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58</w:t>
            </w:r>
          </w:p>
        </w:tc>
        <w:tc>
          <w:tcPr>
            <w:tcW w:w="54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62</w:t>
            </w:r>
          </w:p>
        </w:tc>
        <w:tc>
          <w:tcPr>
            <w:tcW w:w="53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65</w:t>
            </w:r>
          </w:p>
        </w:tc>
        <w:tc>
          <w:tcPr>
            <w:tcW w:w="513"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67</w:t>
            </w:r>
          </w:p>
        </w:tc>
        <w:tc>
          <w:tcPr>
            <w:tcW w:w="459"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69</w:t>
            </w:r>
          </w:p>
        </w:tc>
        <w:tc>
          <w:tcPr>
            <w:tcW w:w="490" w:type="dxa"/>
            <w:gridSpan w:val="2"/>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0.59</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0.60</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0.61</w:t>
            </w:r>
          </w:p>
        </w:tc>
        <w:tc>
          <w:tcPr>
            <w:tcW w:w="490"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0.61</w:t>
            </w:r>
          </w:p>
        </w:tc>
        <w:tc>
          <w:tcPr>
            <w:tcW w:w="491" w:type="dxa"/>
            <w:shd w:val="clear" w:color="auto" w:fill="auto"/>
            <w:vAlign w:val="bottom"/>
          </w:tcPr>
          <w:p w:rsidR="006F1DFE" w:rsidRPr="001C68E8" w:rsidRDefault="00E85FAA" w:rsidP="00AD1032">
            <w:pPr>
              <w:tabs>
                <w:tab w:val="left" w:pos="288"/>
                <w:tab w:val="left" w:pos="576"/>
                <w:tab w:val="left" w:pos="864"/>
                <w:tab w:val="left" w:pos="1152"/>
              </w:tabs>
              <w:spacing w:before="40" w:after="40" w:line="210" w:lineRule="exact"/>
              <w:ind w:right="43"/>
              <w:jc w:val="right"/>
              <w:rPr>
                <w:sz w:val="17"/>
              </w:rPr>
            </w:pPr>
            <w:r>
              <w:rPr>
                <w:sz w:val="17"/>
              </w:rPr>
              <w:t>0.62</w:t>
            </w:r>
          </w:p>
        </w:tc>
      </w:tr>
      <w:tr w:rsidR="006F1DFE" w:rsidRPr="001C68E8">
        <w:tblPrEx>
          <w:tblCellMar>
            <w:top w:w="0" w:type="dxa"/>
            <w:bottom w:w="0" w:type="dxa"/>
          </w:tblCellMar>
        </w:tblPrEx>
        <w:tc>
          <w:tcPr>
            <w:tcW w:w="2679"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ountry-region">
                <w:r>
                  <w:rPr>
                    <w:sz w:val="17"/>
                  </w:rPr>
                  <w:t>Singapore</w:t>
                </w:r>
              </w:smartTag>
            </w:smartTag>
          </w:p>
        </w:tc>
        <w:tc>
          <w:tcPr>
            <w:tcW w:w="570" w:type="dxa"/>
            <w:gridSpan w:val="2"/>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1"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42"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tcBorders>
              <w:bottom w:val="single" w:sz="12" w:space="0" w:color="auto"/>
            </w:tcBorders>
            <w:shd w:val="clear" w:color="auto" w:fill="auto"/>
            <w:vAlign w:val="bottom"/>
          </w:tcPr>
          <w:p w:rsidR="006F1DFE" w:rsidRPr="001C68E8" w:rsidRDefault="006F1DFE" w:rsidP="00AD1032">
            <w:pPr>
              <w:tabs>
                <w:tab w:val="left" w:pos="288"/>
                <w:tab w:val="left" w:pos="576"/>
                <w:tab w:val="left" w:pos="864"/>
                <w:tab w:val="left" w:pos="1152"/>
              </w:tabs>
              <w:spacing w:before="40" w:after="40" w:line="210" w:lineRule="exact"/>
              <w:ind w:right="43"/>
              <w:jc w:val="right"/>
              <w:rPr>
                <w:sz w:val="17"/>
              </w:rPr>
            </w:pPr>
            <w:r>
              <w:rPr>
                <w:sz w:val="17"/>
              </w:rPr>
              <w:t>-</w:t>
            </w:r>
          </w:p>
        </w:tc>
      </w:tr>
    </w:tbl>
    <w:p w:rsidR="00AD1032" w:rsidRPr="009732D1" w:rsidRDefault="00AD1032" w:rsidP="00AD1032">
      <w:pPr>
        <w:pStyle w:val="SingleTxt"/>
        <w:spacing w:after="0" w:line="120" w:lineRule="exact"/>
        <w:rPr>
          <w:sz w:val="10"/>
        </w:rPr>
      </w:pPr>
    </w:p>
    <w:p w:rsidR="00AD1032" w:rsidRDefault="00AD1032" w:rsidP="00AD1032">
      <w:pPr>
        <w:pStyle w:val="FootnoteText"/>
        <w:tabs>
          <w:tab w:val="clear" w:pos="418"/>
          <w:tab w:val="right" w:pos="216"/>
          <w:tab w:val="left" w:pos="288"/>
          <w:tab w:val="right" w:pos="576"/>
          <w:tab w:val="left" w:pos="648"/>
        </w:tabs>
        <w:ind w:left="288" w:hanging="288"/>
      </w:pPr>
      <w:r>
        <w:tab/>
      </w:r>
      <w:r w:rsidRPr="009732D1">
        <w:rPr>
          <w:i/>
        </w:rPr>
        <w:t>Note</w:t>
      </w:r>
      <w:r>
        <w:t xml:space="preserve">: </w:t>
      </w:r>
      <w:r w:rsidR="006F1DFE">
        <w:t xml:space="preserve">ISCED = International Standard Classification of Education. </w:t>
      </w:r>
      <w:r w:rsidR="00740BBF">
        <w:t xml:space="preserve">One asterisk (*) indicates that the figures are national estimates. </w:t>
      </w:r>
      <w:r>
        <w:t>Two asterisks (**) indicate that the figures are estimates from the UNESCO Institute of Statistics. A hyphen (-) indicates that data are not available.</w:t>
      </w:r>
    </w:p>
    <w:p w:rsidR="006E719D" w:rsidRDefault="006E719D" w:rsidP="005E7EA3">
      <w:pPr>
        <w:pStyle w:val="SingleTxt"/>
      </w:pPr>
    </w:p>
    <w:p w:rsidR="008445AF" w:rsidRDefault="001C68E8" w:rsidP="008445AF">
      <w:pPr>
        <w:pStyle w:val="H23"/>
        <w:tabs>
          <w:tab w:val="left" w:pos="432"/>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008445AF">
        <w:t>B.</w:t>
      </w:r>
      <w:r w:rsidR="008445AF">
        <w:tab/>
      </w:r>
      <w:r w:rsidR="008445AF">
        <w:tab/>
        <w:t>Data aggregated by region</w:t>
      </w:r>
    </w:p>
    <w:p w:rsidR="008445AF" w:rsidRPr="009341E7" w:rsidRDefault="008445AF" w:rsidP="008445AF">
      <w:pPr>
        <w:pStyle w:val="SingleTxt"/>
        <w:spacing w:after="0" w:line="120" w:lineRule="exact"/>
        <w:rPr>
          <w:sz w:val="10"/>
        </w:rPr>
      </w:pPr>
    </w:p>
    <w:p w:rsidR="008445AF" w:rsidRPr="009341E7" w:rsidRDefault="008445AF" w:rsidP="008445AF">
      <w:pPr>
        <w:pStyle w:val="SingleTxt"/>
        <w:spacing w:after="0" w:line="120" w:lineRule="exact"/>
        <w:rPr>
          <w:sz w:val="10"/>
        </w:rPr>
      </w:pPr>
    </w:p>
    <w:tbl>
      <w:tblPr>
        <w:tblW w:w="12243" w:type="dxa"/>
        <w:tblLayout w:type="fixed"/>
        <w:tblCellMar>
          <w:left w:w="0" w:type="dxa"/>
          <w:right w:w="0" w:type="dxa"/>
        </w:tblCellMar>
        <w:tblLook w:val="0000" w:firstRow="0" w:lastRow="0" w:firstColumn="0" w:lastColumn="0" w:noHBand="0" w:noVBand="0"/>
      </w:tblPr>
      <w:tblGrid>
        <w:gridCol w:w="2700"/>
        <w:gridCol w:w="72"/>
        <w:gridCol w:w="439"/>
        <w:gridCol w:w="451"/>
        <w:gridCol w:w="451"/>
        <w:gridCol w:w="451"/>
        <w:gridCol w:w="452"/>
        <w:gridCol w:w="51"/>
        <w:gridCol w:w="411"/>
        <w:gridCol w:w="462"/>
        <w:gridCol w:w="462"/>
        <w:gridCol w:w="462"/>
        <w:gridCol w:w="462"/>
        <w:gridCol w:w="54"/>
        <w:gridCol w:w="360"/>
        <w:gridCol w:w="549"/>
        <w:gridCol w:w="531"/>
        <w:gridCol w:w="513"/>
        <w:gridCol w:w="459"/>
        <w:gridCol w:w="72"/>
        <w:gridCol w:w="418"/>
        <w:gridCol w:w="490"/>
        <w:gridCol w:w="490"/>
        <w:gridCol w:w="490"/>
        <w:gridCol w:w="491"/>
      </w:tblGrid>
      <w:tr w:rsidR="004D3DDE" w:rsidRPr="008445AF">
        <w:tblPrEx>
          <w:tblCellMar>
            <w:top w:w="0" w:type="dxa"/>
            <w:bottom w:w="0" w:type="dxa"/>
          </w:tblCellMar>
        </w:tblPrEx>
        <w:trPr>
          <w:tblHeader/>
        </w:trPr>
        <w:tc>
          <w:tcPr>
            <w:tcW w:w="2700" w:type="dxa"/>
            <w:tcBorders>
              <w:top w:val="single" w:sz="4" w:space="0" w:color="auto"/>
              <w:bottom w:val="single" w:sz="4" w:space="0" w:color="auto"/>
            </w:tcBorders>
            <w:shd w:val="clear" w:color="auto" w:fill="auto"/>
            <w:vAlign w:val="bottom"/>
          </w:tcPr>
          <w:p w:rsidR="004D3DDE" w:rsidRPr="008445AF" w:rsidRDefault="004D3DDE" w:rsidP="008445AF">
            <w:pPr>
              <w:spacing w:before="81" w:after="81" w:line="160" w:lineRule="exact"/>
              <w:ind w:right="40"/>
              <w:rPr>
                <w:i/>
                <w:spacing w:val="0"/>
                <w:w w:val="100"/>
                <w:sz w:val="14"/>
                <w:szCs w:val="14"/>
              </w:rPr>
            </w:pPr>
            <w:r w:rsidRPr="008445AF">
              <w:rPr>
                <w:i/>
                <w:spacing w:val="0"/>
                <w:w w:val="100"/>
                <w:sz w:val="14"/>
                <w:szCs w:val="14"/>
              </w:rPr>
              <w:t>Data (Percentage)</w:t>
            </w:r>
          </w:p>
        </w:tc>
        <w:tc>
          <w:tcPr>
            <w:tcW w:w="72" w:type="dxa"/>
            <w:tcBorders>
              <w:top w:val="single" w:sz="4" w:space="0" w:color="auto"/>
            </w:tcBorders>
            <w:shd w:val="clear" w:color="auto" w:fill="auto"/>
            <w:vAlign w:val="bottom"/>
          </w:tcPr>
          <w:p w:rsidR="004D3DDE" w:rsidRPr="008445AF" w:rsidRDefault="004D3DDE" w:rsidP="008445AF">
            <w:pPr>
              <w:spacing w:before="81" w:after="81" w:line="160" w:lineRule="exact"/>
              <w:ind w:right="43"/>
              <w:jc w:val="center"/>
              <w:rPr>
                <w:i/>
                <w:spacing w:val="0"/>
                <w:w w:val="100"/>
                <w:sz w:val="14"/>
                <w:szCs w:val="14"/>
              </w:rPr>
            </w:pPr>
          </w:p>
        </w:tc>
        <w:tc>
          <w:tcPr>
            <w:tcW w:w="2244" w:type="dxa"/>
            <w:gridSpan w:val="5"/>
            <w:tcBorders>
              <w:top w:val="single" w:sz="4" w:space="0" w:color="auto"/>
              <w:bottom w:val="single" w:sz="4" w:space="0" w:color="auto"/>
            </w:tcBorders>
            <w:shd w:val="clear" w:color="auto" w:fill="auto"/>
            <w:vAlign w:val="bottom"/>
          </w:tcPr>
          <w:p w:rsidR="004D3DDE" w:rsidRPr="008445AF" w:rsidRDefault="004D3DDE" w:rsidP="008445AF">
            <w:pPr>
              <w:spacing w:before="81" w:after="81" w:line="160" w:lineRule="exact"/>
              <w:ind w:right="43"/>
              <w:jc w:val="center"/>
              <w:rPr>
                <w:i/>
                <w:spacing w:val="0"/>
                <w:w w:val="100"/>
                <w:sz w:val="14"/>
                <w:szCs w:val="14"/>
              </w:rPr>
            </w:pPr>
            <w:r w:rsidRPr="008445AF">
              <w:rPr>
                <w:i/>
                <w:spacing w:val="0"/>
                <w:w w:val="100"/>
                <w:sz w:val="14"/>
                <w:szCs w:val="14"/>
              </w:rPr>
              <w:t xml:space="preserve">Gross enrolment </w:t>
            </w:r>
            <w:r>
              <w:rPr>
                <w:i/>
                <w:spacing w:val="0"/>
                <w:w w:val="100"/>
                <w:sz w:val="14"/>
                <w:szCs w:val="14"/>
              </w:rPr>
              <w:t>ratio</w:t>
            </w:r>
            <w:r w:rsidRPr="008445AF">
              <w:rPr>
                <w:i/>
                <w:spacing w:val="0"/>
                <w:w w:val="100"/>
                <w:sz w:val="14"/>
                <w:szCs w:val="14"/>
              </w:rPr>
              <w:t xml:space="preserve">, ISCED 5 and 6 </w:t>
            </w:r>
            <w:r w:rsidRPr="008445AF">
              <w:rPr>
                <w:i/>
                <w:spacing w:val="0"/>
                <w:w w:val="100"/>
                <w:sz w:val="14"/>
                <w:szCs w:val="14"/>
              </w:rPr>
              <w:br/>
              <w:t>Total</w:t>
            </w:r>
          </w:p>
        </w:tc>
        <w:tc>
          <w:tcPr>
            <w:tcW w:w="51" w:type="dxa"/>
            <w:tcBorders>
              <w:top w:val="single" w:sz="4" w:space="0" w:color="auto"/>
            </w:tcBorders>
            <w:shd w:val="clear" w:color="auto" w:fill="auto"/>
            <w:vAlign w:val="bottom"/>
          </w:tcPr>
          <w:p w:rsidR="004D3DDE" w:rsidRPr="008445AF" w:rsidRDefault="004D3DDE" w:rsidP="008445AF">
            <w:pPr>
              <w:spacing w:before="81" w:after="81" w:line="160" w:lineRule="exact"/>
              <w:ind w:right="43"/>
              <w:jc w:val="center"/>
              <w:rPr>
                <w:i/>
                <w:spacing w:val="0"/>
                <w:w w:val="100"/>
                <w:sz w:val="14"/>
                <w:szCs w:val="14"/>
              </w:rPr>
            </w:pPr>
          </w:p>
        </w:tc>
        <w:tc>
          <w:tcPr>
            <w:tcW w:w="2259" w:type="dxa"/>
            <w:gridSpan w:val="5"/>
            <w:tcBorders>
              <w:top w:val="single" w:sz="4" w:space="0" w:color="auto"/>
              <w:bottom w:val="single" w:sz="4" w:space="0" w:color="auto"/>
            </w:tcBorders>
            <w:shd w:val="clear" w:color="auto" w:fill="auto"/>
            <w:vAlign w:val="bottom"/>
          </w:tcPr>
          <w:p w:rsidR="004D3DDE" w:rsidRPr="008445AF" w:rsidRDefault="004D3DDE" w:rsidP="008445AF">
            <w:pPr>
              <w:spacing w:before="81" w:after="81" w:line="160" w:lineRule="exact"/>
              <w:ind w:right="43"/>
              <w:jc w:val="center"/>
              <w:rPr>
                <w:i/>
                <w:spacing w:val="0"/>
                <w:w w:val="100"/>
                <w:sz w:val="14"/>
                <w:szCs w:val="14"/>
              </w:rPr>
            </w:pPr>
            <w:r w:rsidRPr="008445AF">
              <w:rPr>
                <w:i/>
                <w:spacing w:val="0"/>
                <w:w w:val="100"/>
                <w:sz w:val="14"/>
                <w:szCs w:val="14"/>
              </w:rPr>
              <w:t xml:space="preserve">Gross enrolment </w:t>
            </w:r>
            <w:r>
              <w:rPr>
                <w:i/>
                <w:spacing w:val="0"/>
                <w:w w:val="100"/>
                <w:sz w:val="14"/>
                <w:szCs w:val="14"/>
              </w:rPr>
              <w:t>ratio</w:t>
            </w:r>
            <w:r w:rsidRPr="008445AF">
              <w:rPr>
                <w:i/>
                <w:spacing w:val="0"/>
                <w:w w:val="100"/>
                <w:sz w:val="14"/>
                <w:szCs w:val="14"/>
              </w:rPr>
              <w:t xml:space="preserve">, ISCED 5 and 6 </w:t>
            </w:r>
            <w:r w:rsidRPr="008445AF">
              <w:rPr>
                <w:i/>
                <w:spacing w:val="0"/>
                <w:w w:val="100"/>
                <w:sz w:val="14"/>
                <w:szCs w:val="14"/>
              </w:rPr>
              <w:br/>
              <w:t>Male</w:t>
            </w:r>
          </w:p>
        </w:tc>
        <w:tc>
          <w:tcPr>
            <w:tcW w:w="54" w:type="dxa"/>
            <w:tcBorders>
              <w:top w:val="single" w:sz="4" w:space="0" w:color="auto"/>
            </w:tcBorders>
            <w:shd w:val="clear" w:color="auto" w:fill="auto"/>
            <w:vAlign w:val="bottom"/>
          </w:tcPr>
          <w:p w:rsidR="004D3DDE" w:rsidRPr="008445AF" w:rsidRDefault="004D3DDE" w:rsidP="008445AF">
            <w:pPr>
              <w:spacing w:before="81" w:after="81" w:line="160" w:lineRule="exact"/>
              <w:ind w:right="43"/>
              <w:jc w:val="center"/>
              <w:rPr>
                <w:i/>
                <w:spacing w:val="0"/>
                <w:w w:val="100"/>
                <w:sz w:val="14"/>
                <w:szCs w:val="14"/>
              </w:rPr>
            </w:pPr>
          </w:p>
        </w:tc>
        <w:tc>
          <w:tcPr>
            <w:tcW w:w="2412" w:type="dxa"/>
            <w:gridSpan w:val="5"/>
            <w:tcBorders>
              <w:top w:val="single" w:sz="4" w:space="0" w:color="auto"/>
              <w:bottom w:val="single" w:sz="4" w:space="0" w:color="auto"/>
            </w:tcBorders>
            <w:shd w:val="clear" w:color="auto" w:fill="auto"/>
            <w:vAlign w:val="bottom"/>
          </w:tcPr>
          <w:p w:rsidR="004D3DDE" w:rsidRPr="008445AF" w:rsidRDefault="004D3DDE" w:rsidP="008445AF">
            <w:pPr>
              <w:spacing w:before="81" w:after="81" w:line="160" w:lineRule="exact"/>
              <w:ind w:right="43"/>
              <w:jc w:val="center"/>
              <w:rPr>
                <w:i/>
                <w:spacing w:val="0"/>
                <w:w w:val="100"/>
                <w:sz w:val="14"/>
                <w:szCs w:val="14"/>
              </w:rPr>
            </w:pPr>
            <w:r w:rsidRPr="008445AF">
              <w:rPr>
                <w:i/>
                <w:spacing w:val="0"/>
                <w:w w:val="100"/>
                <w:sz w:val="14"/>
                <w:szCs w:val="14"/>
              </w:rPr>
              <w:t xml:space="preserve">Gross enrolment </w:t>
            </w:r>
            <w:r>
              <w:rPr>
                <w:i/>
                <w:spacing w:val="0"/>
                <w:w w:val="100"/>
                <w:sz w:val="14"/>
                <w:szCs w:val="14"/>
              </w:rPr>
              <w:t>ratio</w:t>
            </w:r>
            <w:r w:rsidRPr="008445AF">
              <w:rPr>
                <w:i/>
                <w:spacing w:val="0"/>
                <w:w w:val="100"/>
                <w:sz w:val="14"/>
                <w:szCs w:val="14"/>
              </w:rPr>
              <w:t xml:space="preserve">, ISCED 5 and 6 </w:t>
            </w:r>
            <w:r w:rsidRPr="008445AF">
              <w:rPr>
                <w:i/>
                <w:spacing w:val="0"/>
                <w:w w:val="100"/>
                <w:sz w:val="14"/>
                <w:szCs w:val="14"/>
              </w:rPr>
              <w:br/>
              <w:t>Female</w:t>
            </w:r>
          </w:p>
        </w:tc>
        <w:tc>
          <w:tcPr>
            <w:tcW w:w="72" w:type="dxa"/>
            <w:tcBorders>
              <w:top w:val="single" w:sz="4" w:space="0" w:color="auto"/>
            </w:tcBorders>
            <w:shd w:val="clear" w:color="auto" w:fill="auto"/>
            <w:vAlign w:val="bottom"/>
          </w:tcPr>
          <w:p w:rsidR="004D3DDE" w:rsidRPr="008445AF" w:rsidRDefault="004D3DDE" w:rsidP="008445AF">
            <w:pPr>
              <w:spacing w:before="81" w:after="81" w:line="160" w:lineRule="exact"/>
              <w:ind w:right="43"/>
              <w:jc w:val="center"/>
              <w:rPr>
                <w:i/>
                <w:spacing w:val="0"/>
                <w:w w:val="100"/>
                <w:sz w:val="14"/>
                <w:szCs w:val="14"/>
              </w:rPr>
            </w:pPr>
          </w:p>
        </w:tc>
        <w:tc>
          <w:tcPr>
            <w:tcW w:w="2379" w:type="dxa"/>
            <w:gridSpan w:val="5"/>
            <w:tcBorders>
              <w:top w:val="single" w:sz="4" w:space="0" w:color="auto"/>
              <w:bottom w:val="single" w:sz="4" w:space="0" w:color="auto"/>
            </w:tcBorders>
            <w:shd w:val="clear" w:color="auto" w:fill="auto"/>
            <w:vAlign w:val="bottom"/>
          </w:tcPr>
          <w:p w:rsidR="004D3DDE" w:rsidRPr="008445AF" w:rsidRDefault="004D3DDE" w:rsidP="008445AF">
            <w:pPr>
              <w:spacing w:before="81" w:after="81" w:line="160" w:lineRule="exact"/>
              <w:ind w:right="43"/>
              <w:jc w:val="center"/>
              <w:rPr>
                <w:i/>
                <w:spacing w:val="0"/>
                <w:w w:val="100"/>
                <w:sz w:val="14"/>
                <w:szCs w:val="14"/>
              </w:rPr>
            </w:pPr>
            <w:r w:rsidRPr="008445AF">
              <w:rPr>
                <w:i/>
                <w:spacing w:val="0"/>
                <w:w w:val="100"/>
                <w:sz w:val="14"/>
                <w:szCs w:val="14"/>
              </w:rPr>
              <w:t xml:space="preserve">Gender parity index for gross enrolment </w:t>
            </w:r>
            <w:r>
              <w:rPr>
                <w:i/>
                <w:spacing w:val="0"/>
                <w:w w:val="100"/>
                <w:sz w:val="14"/>
                <w:szCs w:val="14"/>
              </w:rPr>
              <w:t>ratio</w:t>
            </w:r>
            <w:r w:rsidRPr="008445AF">
              <w:rPr>
                <w:i/>
                <w:spacing w:val="0"/>
                <w:w w:val="100"/>
                <w:sz w:val="14"/>
                <w:szCs w:val="14"/>
              </w:rPr>
              <w:t>, ISCED 5 and 6</w:t>
            </w:r>
          </w:p>
        </w:tc>
      </w:tr>
      <w:tr w:rsidR="008445AF" w:rsidRPr="001C68E8">
        <w:tblPrEx>
          <w:tblCellMar>
            <w:top w:w="0" w:type="dxa"/>
            <w:bottom w:w="0" w:type="dxa"/>
          </w:tblCellMar>
        </w:tblPrEx>
        <w:trPr>
          <w:trHeight w:val="163"/>
          <w:tblHeader/>
        </w:trPr>
        <w:tc>
          <w:tcPr>
            <w:tcW w:w="2700" w:type="dxa"/>
            <w:tcBorders>
              <w:top w:val="single" w:sz="4" w:space="0" w:color="auto"/>
              <w:bottom w:val="single" w:sz="4" w:space="0" w:color="auto"/>
            </w:tcBorders>
            <w:shd w:val="clear" w:color="auto" w:fill="auto"/>
            <w:vAlign w:val="bottom"/>
          </w:tcPr>
          <w:p w:rsidR="008445AF" w:rsidRPr="001C68E8" w:rsidRDefault="008445AF" w:rsidP="008445AF">
            <w:pPr>
              <w:spacing w:before="81" w:after="81" w:line="160" w:lineRule="exact"/>
              <w:ind w:right="40"/>
              <w:rPr>
                <w:i/>
                <w:sz w:val="14"/>
              </w:rPr>
            </w:pPr>
            <w:r>
              <w:rPr>
                <w:i/>
                <w:sz w:val="14"/>
              </w:rPr>
              <w:t>Year</w:t>
            </w:r>
          </w:p>
        </w:tc>
        <w:tc>
          <w:tcPr>
            <w:tcW w:w="511" w:type="dxa"/>
            <w:gridSpan w:val="2"/>
            <w:vMerge w:val="restart"/>
            <w:shd w:val="clear" w:color="auto" w:fill="auto"/>
          </w:tcPr>
          <w:p w:rsidR="008445AF" w:rsidRPr="001C68E8" w:rsidRDefault="008445AF" w:rsidP="004D3DDE">
            <w:pPr>
              <w:spacing w:before="81" w:after="81" w:line="160" w:lineRule="exact"/>
              <w:ind w:right="43"/>
              <w:jc w:val="right"/>
              <w:rPr>
                <w:i/>
                <w:sz w:val="14"/>
              </w:rPr>
            </w:pPr>
            <w:r>
              <w:rPr>
                <w:i/>
                <w:sz w:val="14"/>
              </w:rPr>
              <w:t>01</w:t>
            </w:r>
          </w:p>
        </w:tc>
        <w:tc>
          <w:tcPr>
            <w:tcW w:w="451"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02</w:t>
            </w:r>
          </w:p>
        </w:tc>
        <w:tc>
          <w:tcPr>
            <w:tcW w:w="451"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03</w:t>
            </w:r>
          </w:p>
        </w:tc>
        <w:tc>
          <w:tcPr>
            <w:tcW w:w="451"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04</w:t>
            </w:r>
          </w:p>
        </w:tc>
        <w:tc>
          <w:tcPr>
            <w:tcW w:w="452"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05</w:t>
            </w:r>
          </w:p>
        </w:tc>
        <w:tc>
          <w:tcPr>
            <w:tcW w:w="462" w:type="dxa"/>
            <w:gridSpan w:val="2"/>
            <w:vMerge w:val="restart"/>
            <w:shd w:val="clear" w:color="auto" w:fill="auto"/>
          </w:tcPr>
          <w:p w:rsidR="008445AF" w:rsidRPr="001C68E8" w:rsidRDefault="008445AF" w:rsidP="004D3DDE">
            <w:pPr>
              <w:spacing w:before="81" w:after="81" w:line="160" w:lineRule="exact"/>
              <w:ind w:right="43"/>
              <w:jc w:val="right"/>
              <w:rPr>
                <w:i/>
                <w:sz w:val="14"/>
              </w:rPr>
            </w:pPr>
            <w:r>
              <w:rPr>
                <w:i/>
                <w:sz w:val="14"/>
              </w:rPr>
              <w:t>01</w:t>
            </w:r>
          </w:p>
        </w:tc>
        <w:tc>
          <w:tcPr>
            <w:tcW w:w="462"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02</w:t>
            </w:r>
          </w:p>
        </w:tc>
        <w:tc>
          <w:tcPr>
            <w:tcW w:w="462"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03</w:t>
            </w:r>
          </w:p>
        </w:tc>
        <w:tc>
          <w:tcPr>
            <w:tcW w:w="462"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04</w:t>
            </w:r>
          </w:p>
        </w:tc>
        <w:tc>
          <w:tcPr>
            <w:tcW w:w="462"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05</w:t>
            </w:r>
          </w:p>
        </w:tc>
        <w:tc>
          <w:tcPr>
            <w:tcW w:w="414" w:type="dxa"/>
            <w:gridSpan w:val="2"/>
            <w:vMerge w:val="restart"/>
            <w:shd w:val="clear" w:color="auto" w:fill="auto"/>
          </w:tcPr>
          <w:p w:rsidR="008445AF" w:rsidRPr="001C68E8" w:rsidRDefault="008445AF" w:rsidP="004D3DDE">
            <w:pPr>
              <w:spacing w:before="81" w:after="81" w:line="160" w:lineRule="exact"/>
              <w:ind w:right="43"/>
              <w:jc w:val="right"/>
              <w:rPr>
                <w:i/>
                <w:sz w:val="14"/>
              </w:rPr>
            </w:pPr>
            <w:r>
              <w:rPr>
                <w:i/>
                <w:sz w:val="14"/>
              </w:rPr>
              <w:t>01</w:t>
            </w:r>
          </w:p>
        </w:tc>
        <w:tc>
          <w:tcPr>
            <w:tcW w:w="549"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02</w:t>
            </w:r>
          </w:p>
        </w:tc>
        <w:tc>
          <w:tcPr>
            <w:tcW w:w="531"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03</w:t>
            </w:r>
          </w:p>
        </w:tc>
        <w:tc>
          <w:tcPr>
            <w:tcW w:w="513"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04</w:t>
            </w:r>
          </w:p>
        </w:tc>
        <w:tc>
          <w:tcPr>
            <w:tcW w:w="459"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05</w:t>
            </w:r>
          </w:p>
        </w:tc>
        <w:tc>
          <w:tcPr>
            <w:tcW w:w="490" w:type="dxa"/>
            <w:gridSpan w:val="2"/>
            <w:vMerge w:val="restart"/>
            <w:shd w:val="clear" w:color="auto" w:fill="auto"/>
          </w:tcPr>
          <w:p w:rsidR="008445AF" w:rsidRPr="001C68E8" w:rsidRDefault="008445AF" w:rsidP="004D3DDE">
            <w:pPr>
              <w:spacing w:before="81" w:after="81" w:line="160" w:lineRule="exact"/>
              <w:ind w:right="43"/>
              <w:jc w:val="right"/>
              <w:rPr>
                <w:i/>
                <w:sz w:val="14"/>
              </w:rPr>
            </w:pPr>
            <w:r>
              <w:rPr>
                <w:i/>
                <w:sz w:val="14"/>
              </w:rPr>
              <w:t>01</w:t>
            </w:r>
          </w:p>
        </w:tc>
        <w:tc>
          <w:tcPr>
            <w:tcW w:w="490"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02</w:t>
            </w:r>
          </w:p>
        </w:tc>
        <w:tc>
          <w:tcPr>
            <w:tcW w:w="490"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03</w:t>
            </w:r>
          </w:p>
        </w:tc>
        <w:tc>
          <w:tcPr>
            <w:tcW w:w="490"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04</w:t>
            </w:r>
          </w:p>
        </w:tc>
        <w:tc>
          <w:tcPr>
            <w:tcW w:w="491" w:type="dxa"/>
            <w:vMerge w:val="restart"/>
            <w:shd w:val="clear" w:color="auto" w:fill="auto"/>
          </w:tcPr>
          <w:p w:rsidR="008445AF" w:rsidRPr="001C68E8" w:rsidRDefault="008445AF" w:rsidP="004D3DDE">
            <w:pPr>
              <w:spacing w:before="81" w:after="81" w:line="160" w:lineRule="exact"/>
              <w:ind w:right="43"/>
              <w:jc w:val="right"/>
              <w:rPr>
                <w:i/>
                <w:sz w:val="14"/>
              </w:rPr>
            </w:pPr>
            <w:r>
              <w:rPr>
                <w:i/>
                <w:sz w:val="14"/>
              </w:rPr>
              <w:t>05</w:t>
            </w:r>
          </w:p>
        </w:tc>
      </w:tr>
      <w:tr w:rsidR="008445AF" w:rsidRPr="001C68E8">
        <w:tblPrEx>
          <w:tblCellMar>
            <w:top w:w="0" w:type="dxa"/>
            <w:bottom w:w="0" w:type="dxa"/>
          </w:tblCellMar>
        </w:tblPrEx>
        <w:trPr>
          <w:trHeight w:val="163"/>
          <w:tblHeader/>
        </w:trPr>
        <w:tc>
          <w:tcPr>
            <w:tcW w:w="2700" w:type="dxa"/>
            <w:tcBorders>
              <w:top w:val="single" w:sz="4" w:space="0" w:color="auto"/>
              <w:bottom w:val="single" w:sz="12" w:space="0" w:color="auto"/>
            </w:tcBorders>
            <w:shd w:val="clear" w:color="auto" w:fill="auto"/>
            <w:vAlign w:val="bottom"/>
          </w:tcPr>
          <w:p w:rsidR="008445AF" w:rsidRPr="001C68E8" w:rsidRDefault="004D3DDE" w:rsidP="008445AF">
            <w:pPr>
              <w:spacing w:before="81" w:after="81" w:line="160" w:lineRule="exact"/>
              <w:ind w:right="40"/>
              <w:rPr>
                <w:i/>
                <w:sz w:val="14"/>
              </w:rPr>
            </w:pPr>
            <w:r>
              <w:rPr>
                <w:i/>
                <w:sz w:val="14"/>
              </w:rPr>
              <w:t>Region</w:t>
            </w:r>
          </w:p>
        </w:tc>
        <w:tc>
          <w:tcPr>
            <w:tcW w:w="511" w:type="dxa"/>
            <w:gridSpan w:val="2"/>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51"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51"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51"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52"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62" w:type="dxa"/>
            <w:gridSpan w:val="2"/>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62"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14" w:type="dxa"/>
            <w:gridSpan w:val="2"/>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549"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531"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513"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59"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90" w:type="dxa"/>
            <w:gridSpan w:val="2"/>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90"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c>
          <w:tcPr>
            <w:tcW w:w="491" w:type="dxa"/>
            <w:vMerge/>
            <w:tcBorders>
              <w:bottom w:val="single" w:sz="12" w:space="0" w:color="auto"/>
            </w:tcBorders>
            <w:shd w:val="clear" w:color="auto" w:fill="auto"/>
            <w:vAlign w:val="bottom"/>
          </w:tcPr>
          <w:p w:rsidR="008445AF" w:rsidRPr="001C68E8" w:rsidRDefault="008445AF" w:rsidP="008445AF">
            <w:pPr>
              <w:spacing w:before="81" w:after="81" w:line="160" w:lineRule="exact"/>
              <w:ind w:right="43"/>
              <w:jc w:val="right"/>
              <w:rPr>
                <w:i/>
                <w:sz w:val="14"/>
              </w:rPr>
            </w:pPr>
          </w:p>
        </w:tc>
      </w:tr>
      <w:tr w:rsidR="008445AF" w:rsidRPr="001C68E8">
        <w:tblPrEx>
          <w:tblCellMar>
            <w:top w:w="0" w:type="dxa"/>
            <w:bottom w:w="0" w:type="dxa"/>
          </w:tblCellMar>
        </w:tblPrEx>
        <w:trPr>
          <w:trHeight w:hRule="exact" w:val="104"/>
          <w:tblHeader/>
        </w:trPr>
        <w:tc>
          <w:tcPr>
            <w:tcW w:w="2700" w:type="dxa"/>
            <w:tcBorders>
              <w:top w:val="single" w:sz="12" w:space="0" w:color="auto"/>
            </w:tcBorders>
            <w:shd w:val="clear" w:color="auto" w:fill="auto"/>
            <w:vAlign w:val="bottom"/>
          </w:tcPr>
          <w:p w:rsidR="008445AF" w:rsidRPr="001C68E8" w:rsidRDefault="008445AF" w:rsidP="008445AF">
            <w:pPr>
              <w:spacing w:before="40" w:after="40" w:line="210" w:lineRule="exact"/>
              <w:ind w:right="40"/>
              <w:rPr>
                <w:sz w:val="17"/>
              </w:rPr>
            </w:pPr>
          </w:p>
        </w:tc>
        <w:tc>
          <w:tcPr>
            <w:tcW w:w="511" w:type="dxa"/>
            <w:gridSpan w:val="2"/>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51"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51"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51"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52"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62" w:type="dxa"/>
            <w:gridSpan w:val="2"/>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14" w:type="dxa"/>
            <w:gridSpan w:val="2"/>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59"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90" w:type="dxa"/>
            <w:gridSpan w:val="2"/>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8445AF" w:rsidRPr="001C68E8" w:rsidRDefault="008445AF" w:rsidP="008445AF">
            <w:pPr>
              <w:spacing w:before="40" w:after="40" w:line="210" w:lineRule="exact"/>
              <w:ind w:right="43"/>
              <w:jc w:val="right"/>
              <w:rPr>
                <w:sz w:val="17"/>
              </w:rPr>
            </w:pP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r>
              <w:rPr>
                <w:sz w:val="17"/>
              </w:rPr>
              <w:t>Arab States</w:t>
            </w:r>
          </w:p>
        </w:tc>
        <w:tc>
          <w:tcPr>
            <w:tcW w:w="511"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21</w:t>
            </w:r>
          </w:p>
        </w:tc>
        <w:tc>
          <w:tcPr>
            <w:tcW w:w="45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513"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p>
        </w:tc>
        <w:tc>
          <w:tcPr>
            <w:tcW w:w="511"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19</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20</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19</w:t>
            </w:r>
          </w:p>
        </w:tc>
        <w:tc>
          <w:tcPr>
            <w:tcW w:w="45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21</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22</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20</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21</w:t>
            </w: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18</w:t>
            </w:r>
          </w:p>
        </w:tc>
        <w:tc>
          <w:tcPr>
            <w:tcW w:w="549"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18</w:t>
            </w:r>
          </w:p>
        </w:tc>
        <w:tc>
          <w:tcPr>
            <w:tcW w:w="53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18</w:t>
            </w:r>
          </w:p>
        </w:tc>
        <w:tc>
          <w:tcPr>
            <w:tcW w:w="513"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20</w:t>
            </w:r>
          </w:p>
        </w:tc>
        <w:tc>
          <w:tcPr>
            <w:tcW w:w="459"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0.83</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0.85</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0.88</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0.95</w:t>
            </w:r>
          </w:p>
        </w:tc>
        <w:tc>
          <w:tcPr>
            <w:tcW w:w="49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r>
              <w:rPr>
                <w:sz w:val="17"/>
              </w:rPr>
              <w:t xml:space="preserve">Central and Eastern </w:t>
            </w:r>
            <w:smartTag w:uri="urn:schemas-microsoft-com:office:smarttags" w:element="place">
              <w:r>
                <w:rPr>
                  <w:sz w:val="17"/>
                </w:rPr>
                <w:t>Europe</w:t>
              </w:r>
            </w:smartTag>
          </w:p>
        </w:tc>
        <w:tc>
          <w:tcPr>
            <w:tcW w:w="511"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51</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54</w:t>
            </w:r>
          </w:p>
        </w:tc>
        <w:tc>
          <w:tcPr>
            <w:tcW w:w="45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46</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48</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r w:rsidR="0040288E">
              <w:rPr>
                <w:sz w:val="17"/>
              </w:rPr>
              <w:t>)</w:t>
            </w:r>
          </w:p>
        </w:tc>
        <w:tc>
          <w:tcPr>
            <w:tcW w:w="549"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57</w:t>
            </w:r>
          </w:p>
        </w:tc>
        <w:tc>
          <w:tcPr>
            <w:tcW w:w="513"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60</w:t>
            </w:r>
          </w:p>
        </w:tc>
        <w:tc>
          <w:tcPr>
            <w:tcW w:w="459"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1.24</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1.25</w:t>
            </w:r>
          </w:p>
        </w:tc>
        <w:tc>
          <w:tcPr>
            <w:tcW w:w="49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p>
        </w:tc>
        <w:tc>
          <w:tcPr>
            <w:tcW w:w="511"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44</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48</w:t>
            </w:r>
          </w:p>
        </w:tc>
        <w:tc>
          <w:tcPr>
            <w:tcW w:w="45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40</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43</w:t>
            </w: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49</w:t>
            </w:r>
          </w:p>
        </w:tc>
        <w:tc>
          <w:tcPr>
            <w:tcW w:w="549"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53</w:t>
            </w:r>
          </w:p>
        </w:tc>
        <w:tc>
          <w:tcPr>
            <w:tcW w:w="53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9"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1.21</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1.24</w:t>
            </w:r>
          </w:p>
        </w:tc>
        <w:tc>
          <w:tcPr>
            <w:tcW w:w="49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smartTag w:uri="urn:schemas-microsoft-com:office:smarttags" w:element="place">
              <w:r>
                <w:rPr>
                  <w:sz w:val="17"/>
                </w:rPr>
                <w:t>East Asia</w:t>
              </w:r>
            </w:smartTag>
            <w:r>
              <w:rPr>
                <w:sz w:val="17"/>
              </w:rPr>
              <w:t xml:space="preserve"> and the Pacific</w:t>
            </w:r>
          </w:p>
        </w:tc>
        <w:tc>
          <w:tcPr>
            <w:tcW w:w="511"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17</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19</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21</w:t>
            </w:r>
          </w:p>
        </w:tc>
        <w:tc>
          <w:tcPr>
            <w:tcW w:w="45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23</w:t>
            </w:r>
          </w:p>
        </w:tc>
        <w:tc>
          <w:tcPr>
            <w:tcW w:w="45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22</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24</w:t>
            </w:r>
          </w:p>
        </w:tc>
        <w:tc>
          <w:tcPr>
            <w:tcW w:w="462"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19</w:t>
            </w:r>
          </w:p>
        </w:tc>
        <w:tc>
          <w:tcPr>
            <w:tcW w:w="513"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21</w:t>
            </w:r>
          </w:p>
        </w:tc>
        <w:tc>
          <w:tcPr>
            <w:tcW w:w="459"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r w:rsidR="00316636">
              <w:rPr>
                <w:sz w:val="17"/>
              </w:rPr>
              <w:t>)</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r w:rsidR="00316636">
              <w:rPr>
                <w:sz w:val="17"/>
              </w:rPr>
              <w:t>)</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0.89</w:t>
            </w:r>
          </w:p>
        </w:tc>
        <w:tc>
          <w:tcPr>
            <w:tcW w:w="490"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0.89</w:t>
            </w:r>
          </w:p>
        </w:tc>
        <w:tc>
          <w:tcPr>
            <w:tcW w:w="491" w:type="dxa"/>
            <w:shd w:val="clear" w:color="auto" w:fill="auto"/>
            <w:vAlign w:val="bottom"/>
          </w:tcPr>
          <w:p w:rsidR="008445AF" w:rsidRPr="001C68E8" w:rsidRDefault="00E03E68" w:rsidP="008445AF">
            <w:pPr>
              <w:tabs>
                <w:tab w:val="left" w:pos="288"/>
                <w:tab w:val="left" w:pos="576"/>
                <w:tab w:val="left" w:pos="864"/>
                <w:tab w:val="left" w:pos="1152"/>
              </w:tabs>
              <w:spacing w:before="40" w:after="40" w:line="210" w:lineRule="exact"/>
              <w:ind w:right="43"/>
              <w:jc w:val="right"/>
              <w:rPr>
                <w:sz w:val="17"/>
              </w:rPr>
            </w:pPr>
            <w:r>
              <w:rPr>
                <w:sz w:val="17"/>
              </w:rPr>
              <w:t>-</w:t>
            </w: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p>
        </w:tc>
        <w:tc>
          <w:tcPr>
            <w:tcW w:w="511" w:type="dxa"/>
            <w:gridSpan w:val="2"/>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8445AF" w:rsidRPr="001C68E8" w:rsidRDefault="00316636" w:rsidP="008445AF">
            <w:pPr>
              <w:tabs>
                <w:tab w:val="left" w:pos="288"/>
                <w:tab w:val="left" w:pos="576"/>
                <w:tab w:val="left" w:pos="864"/>
                <w:tab w:val="left" w:pos="1152"/>
              </w:tabs>
              <w:spacing w:before="40" w:after="40" w:line="210" w:lineRule="exact"/>
              <w:ind w:right="43"/>
              <w:jc w:val="right"/>
              <w:rPr>
                <w:sz w:val="17"/>
              </w:rPr>
            </w:pPr>
            <w:r>
              <w:rPr>
                <w:sz w:val="17"/>
              </w:rPr>
              <w:t>19</w:t>
            </w:r>
          </w:p>
        </w:tc>
        <w:tc>
          <w:tcPr>
            <w:tcW w:w="462" w:type="dxa"/>
            <w:shd w:val="clear" w:color="auto" w:fill="auto"/>
            <w:vAlign w:val="bottom"/>
          </w:tcPr>
          <w:p w:rsidR="008445AF" w:rsidRPr="001C68E8" w:rsidRDefault="00316636" w:rsidP="008445AF">
            <w:pPr>
              <w:tabs>
                <w:tab w:val="left" w:pos="288"/>
                <w:tab w:val="left" w:pos="576"/>
                <w:tab w:val="left" w:pos="864"/>
                <w:tab w:val="left" w:pos="1152"/>
              </w:tabs>
              <w:spacing w:before="40" w:after="40" w:line="210" w:lineRule="exact"/>
              <w:ind w:right="43"/>
              <w:jc w:val="right"/>
              <w:rPr>
                <w:sz w:val="17"/>
              </w:rPr>
            </w:pPr>
            <w:r>
              <w:rPr>
                <w:sz w:val="17"/>
              </w:rPr>
              <w:t>21</w:t>
            </w: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8445AF" w:rsidRPr="001C68E8" w:rsidRDefault="00316636" w:rsidP="008445AF">
            <w:pPr>
              <w:tabs>
                <w:tab w:val="left" w:pos="288"/>
                <w:tab w:val="left" w:pos="576"/>
                <w:tab w:val="left" w:pos="864"/>
                <w:tab w:val="left" w:pos="1152"/>
              </w:tabs>
              <w:spacing w:before="40" w:after="40" w:line="210" w:lineRule="exact"/>
              <w:ind w:right="43"/>
              <w:jc w:val="right"/>
              <w:rPr>
                <w:sz w:val="17"/>
              </w:rPr>
            </w:pPr>
            <w:r>
              <w:rPr>
                <w:sz w:val="17"/>
              </w:rPr>
              <w:t>14</w:t>
            </w:r>
          </w:p>
        </w:tc>
        <w:tc>
          <w:tcPr>
            <w:tcW w:w="549" w:type="dxa"/>
            <w:shd w:val="clear" w:color="auto" w:fill="auto"/>
            <w:vAlign w:val="bottom"/>
          </w:tcPr>
          <w:p w:rsidR="008445AF" w:rsidRPr="001C68E8" w:rsidRDefault="00316636" w:rsidP="008445AF">
            <w:pPr>
              <w:tabs>
                <w:tab w:val="left" w:pos="288"/>
                <w:tab w:val="left" w:pos="576"/>
                <w:tab w:val="left" w:pos="864"/>
                <w:tab w:val="left" w:pos="1152"/>
              </w:tabs>
              <w:spacing w:before="40" w:after="40" w:line="210" w:lineRule="exact"/>
              <w:ind w:right="43"/>
              <w:jc w:val="right"/>
              <w:rPr>
                <w:sz w:val="17"/>
              </w:rPr>
            </w:pPr>
            <w:r>
              <w:rPr>
                <w:sz w:val="17"/>
              </w:rPr>
              <w:t>16</w:t>
            </w:r>
          </w:p>
        </w:tc>
        <w:tc>
          <w:tcPr>
            <w:tcW w:w="53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9"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0.75</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0.83</w:t>
            </w:r>
          </w:p>
        </w:tc>
        <w:tc>
          <w:tcPr>
            <w:tcW w:w="49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r>
              <w:rPr>
                <w:sz w:val="17"/>
              </w:rPr>
              <w:t xml:space="preserve">Latin America and the </w:t>
            </w:r>
            <w:smartTag w:uri="urn:schemas-microsoft-com:office:smarttags" w:element="place">
              <w:r>
                <w:rPr>
                  <w:sz w:val="17"/>
                </w:rPr>
                <w:t>Caribbean</w:t>
              </w:r>
            </w:smartTag>
          </w:p>
        </w:tc>
        <w:tc>
          <w:tcPr>
            <w:tcW w:w="511"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24</w:t>
            </w: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26</w:t>
            </w: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27</w:t>
            </w: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23</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24</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25</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25</w:t>
            </w:r>
          </w:p>
        </w:tc>
        <w:tc>
          <w:tcPr>
            <w:tcW w:w="549"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27</w:t>
            </w:r>
          </w:p>
        </w:tc>
        <w:tc>
          <w:tcPr>
            <w:tcW w:w="53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29</w:t>
            </w:r>
          </w:p>
        </w:tc>
        <w:tc>
          <w:tcPr>
            <w:tcW w:w="513"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1.13</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1.16</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1.17</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p>
        </w:tc>
        <w:tc>
          <w:tcPr>
            <w:tcW w:w="511" w:type="dxa"/>
            <w:gridSpan w:val="2"/>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28</w:t>
            </w:r>
          </w:p>
        </w:tc>
        <w:tc>
          <w:tcPr>
            <w:tcW w:w="45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gridSpan w:val="2"/>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26</w:t>
            </w:r>
          </w:p>
        </w:tc>
        <w:tc>
          <w:tcPr>
            <w:tcW w:w="462"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14" w:type="dxa"/>
            <w:gridSpan w:val="2"/>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549"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53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513"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30</w:t>
            </w:r>
          </w:p>
        </w:tc>
        <w:tc>
          <w:tcPr>
            <w:tcW w:w="459"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gridSpan w:val="2"/>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1.17</w:t>
            </w:r>
          </w:p>
        </w:tc>
        <w:tc>
          <w:tcPr>
            <w:tcW w:w="491"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r>
              <w:rPr>
                <w:sz w:val="17"/>
              </w:rPr>
              <w:t xml:space="preserve">North America and </w:t>
            </w:r>
            <w:smartTag w:uri="urn:schemas-microsoft-com:office:smarttags" w:element="place">
              <w:r>
                <w:rPr>
                  <w:sz w:val="17"/>
                </w:rPr>
                <w:t>Western Europe</w:t>
              </w:r>
            </w:smartTag>
          </w:p>
        </w:tc>
        <w:tc>
          <w:tcPr>
            <w:tcW w:w="511"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61</w:t>
            </w: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67</w:t>
            </w: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69</w:t>
            </w: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70</w:t>
            </w:r>
          </w:p>
        </w:tc>
        <w:tc>
          <w:tcPr>
            <w:tcW w:w="45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55</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59</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60</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60</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68</w:t>
            </w:r>
          </w:p>
        </w:tc>
        <w:tc>
          <w:tcPr>
            <w:tcW w:w="549"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76</w:t>
            </w:r>
          </w:p>
        </w:tc>
        <w:tc>
          <w:tcPr>
            <w:tcW w:w="53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78</w:t>
            </w:r>
          </w:p>
        </w:tc>
        <w:tc>
          <w:tcPr>
            <w:tcW w:w="513"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79</w:t>
            </w:r>
          </w:p>
        </w:tc>
        <w:tc>
          <w:tcPr>
            <w:tcW w:w="459"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1.25</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1.28</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1.30</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1.32</w:t>
            </w:r>
          </w:p>
        </w:tc>
        <w:tc>
          <w:tcPr>
            <w:tcW w:w="49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r>
      <w:tr w:rsidR="008445AF" w:rsidRPr="001C68E8">
        <w:tblPrEx>
          <w:tblCellMar>
            <w:top w:w="0" w:type="dxa"/>
            <w:bottom w:w="0" w:type="dxa"/>
          </w:tblCellMar>
        </w:tblPrEx>
        <w:tc>
          <w:tcPr>
            <w:tcW w:w="2700" w:type="dxa"/>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0"/>
              <w:rPr>
                <w:sz w:val="17"/>
              </w:rPr>
            </w:pPr>
            <w:r>
              <w:rPr>
                <w:sz w:val="17"/>
              </w:rPr>
              <w:t xml:space="preserve">Sub-Saharan </w:t>
            </w:r>
            <w:smartTag w:uri="urn:schemas-microsoft-com:office:smarttags" w:element="place">
              <w:r>
                <w:rPr>
                  <w:sz w:val="17"/>
                </w:rPr>
                <w:t>Africa</w:t>
              </w:r>
            </w:smartTag>
          </w:p>
        </w:tc>
        <w:tc>
          <w:tcPr>
            <w:tcW w:w="511"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5</w:t>
            </w:r>
          </w:p>
        </w:tc>
        <w:tc>
          <w:tcPr>
            <w:tcW w:w="45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6</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62"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14"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549"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53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4</w:t>
            </w:r>
          </w:p>
        </w:tc>
        <w:tc>
          <w:tcPr>
            <w:tcW w:w="513"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59"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gridSpan w:val="2"/>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0.61</w:t>
            </w:r>
          </w:p>
        </w:tc>
        <w:tc>
          <w:tcPr>
            <w:tcW w:w="490"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c>
          <w:tcPr>
            <w:tcW w:w="491" w:type="dxa"/>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w:t>
            </w:r>
          </w:p>
        </w:tc>
      </w:tr>
      <w:tr w:rsidR="008445AF" w:rsidRPr="001C68E8">
        <w:tblPrEx>
          <w:tblCellMar>
            <w:top w:w="0" w:type="dxa"/>
            <w:bottom w:w="0" w:type="dxa"/>
          </w:tblCellMar>
        </w:tblPrEx>
        <w:tc>
          <w:tcPr>
            <w:tcW w:w="2700" w:type="dxa"/>
            <w:tcBorders>
              <w:bottom w:val="single" w:sz="12" w:space="0" w:color="auto"/>
            </w:tcBorders>
            <w:shd w:val="clear" w:color="auto" w:fill="auto"/>
            <w:vAlign w:val="bottom"/>
          </w:tcPr>
          <w:p w:rsidR="008445AF" w:rsidRDefault="008445AF" w:rsidP="008445AF">
            <w:pPr>
              <w:tabs>
                <w:tab w:val="left" w:pos="288"/>
                <w:tab w:val="left" w:pos="576"/>
                <w:tab w:val="left" w:pos="864"/>
                <w:tab w:val="left" w:pos="1152"/>
              </w:tabs>
              <w:spacing w:before="40" w:after="40" w:line="210" w:lineRule="exact"/>
              <w:ind w:right="40"/>
              <w:rPr>
                <w:sz w:val="17"/>
              </w:rPr>
            </w:pPr>
          </w:p>
        </w:tc>
        <w:tc>
          <w:tcPr>
            <w:tcW w:w="511" w:type="dxa"/>
            <w:gridSpan w:val="2"/>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4</w:t>
            </w:r>
          </w:p>
        </w:tc>
        <w:tc>
          <w:tcPr>
            <w:tcW w:w="451" w:type="dxa"/>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4</w:t>
            </w:r>
          </w:p>
        </w:tc>
        <w:tc>
          <w:tcPr>
            <w:tcW w:w="451" w:type="dxa"/>
            <w:tcBorders>
              <w:bottom w:val="single" w:sz="12" w:space="0" w:color="auto"/>
            </w:tcBorders>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51" w:type="dxa"/>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5</w:t>
            </w:r>
          </w:p>
        </w:tc>
        <w:tc>
          <w:tcPr>
            <w:tcW w:w="452" w:type="dxa"/>
            <w:tcBorders>
              <w:bottom w:val="single" w:sz="12" w:space="0" w:color="auto"/>
            </w:tcBorders>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gridSpan w:val="2"/>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5</w:t>
            </w:r>
          </w:p>
        </w:tc>
        <w:tc>
          <w:tcPr>
            <w:tcW w:w="462" w:type="dxa"/>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5</w:t>
            </w:r>
          </w:p>
        </w:tc>
        <w:tc>
          <w:tcPr>
            <w:tcW w:w="462" w:type="dxa"/>
            <w:tcBorders>
              <w:bottom w:val="single" w:sz="12" w:space="0" w:color="auto"/>
            </w:tcBorders>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62" w:type="dxa"/>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6</w:t>
            </w:r>
          </w:p>
        </w:tc>
        <w:tc>
          <w:tcPr>
            <w:tcW w:w="462" w:type="dxa"/>
            <w:tcBorders>
              <w:bottom w:val="single" w:sz="12" w:space="0" w:color="auto"/>
            </w:tcBorders>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14" w:type="dxa"/>
            <w:gridSpan w:val="2"/>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3</w:t>
            </w:r>
          </w:p>
        </w:tc>
        <w:tc>
          <w:tcPr>
            <w:tcW w:w="549" w:type="dxa"/>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3</w:t>
            </w:r>
          </w:p>
        </w:tc>
        <w:tc>
          <w:tcPr>
            <w:tcW w:w="531" w:type="dxa"/>
            <w:tcBorders>
              <w:bottom w:val="single" w:sz="12" w:space="0" w:color="auto"/>
            </w:tcBorders>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513" w:type="dxa"/>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4</w:t>
            </w:r>
          </w:p>
        </w:tc>
        <w:tc>
          <w:tcPr>
            <w:tcW w:w="459" w:type="dxa"/>
            <w:tcBorders>
              <w:bottom w:val="single" w:sz="12" w:space="0" w:color="auto"/>
            </w:tcBorders>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gridSpan w:val="2"/>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0.61</w:t>
            </w:r>
          </w:p>
        </w:tc>
        <w:tc>
          <w:tcPr>
            <w:tcW w:w="490" w:type="dxa"/>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0.62</w:t>
            </w:r>
          </w:p>
        </w:tc>
        <w:tc>
          <w:tcPr>
            <w:tcW w:w="490" w:type="dxa"/>
            <w:tcBorders>
              <w:bottom w:val="single" w:sz="12" w:space="0" w:color="auto"/>
            </w:tcBorders>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c>
          <w:tcPr>
            <w:tcW w:w="490" w:type="dxa"/>
            <w:tcBorders>
              <w:bottom w:val="single" w:sz="12" w:space="0" w:color="auto"/>
            </w:tcBorders>
            <w:shd w:val="clear" w:color="auto" w:fill="auto"/>
            <w:vAlign w:val="bottom"/>
          </w:tcPr>
          <w:p w:rsidR="008445AF" w:rsidRPr="001C68E8" w:rsidRDefault="00482B7E" w:rsidP="008445AF">
            <w:pPr>
              <w:tabs>
                <w:tab w:val="left" w:pos="288"/>
                <w:tab w:val="left" w:pos="576"/>
                <w:tab w:val="left" w:pos="864"/>
                <w:tab w:val="left" w:pos="1152"/>
              </w:tabs>
              <w:spacing w:before="40" w:after="40" w:line="210" w:lineRule="exact"/>
              <w:ind w:right="43"/>
              <w:jc w:val="right"/>
              <w:rPr>
                <w:sz w:val="17"/>
              </w:rPr>
            </w:pPr>
            <w:r>
              <w:rPr>
                <w:sz w:val="17"/>
              </w:rPr>
              <w:t>0.61</w:t>
            </w:r>
          </w:p>
        </w:tc>
        <w:tc>
          <w:tcPr>
            <w:tcW w:w="491" w:type="dxa"/>
            <w:tcBorders>
              <w:bottom w:val="single" w:sz="12" w:space="0" w:color="auto"/>
            </w:tcBorders>
            <w:shd w:val="clear" w:color="auto" w:fill="auto"/>
            <w:vAlign w:val="bottom"/>
          </w:tcPr>
          <w:p w:rsidR="008445AF" w:rsidRPr="001C68E8" w:rsidRDefault="008445AF" w:rsidP="008445AF">
            <w:pPr>
              <w:tabs>
                <w:tab w:val="left" w:pos="288"/>
                <w:tab w:val="left" w:pos="576"/>
                <w:tab w:val="left" w:pos="864"/>
                <w:tab w:val="left" w:pos="1152"/>
              </w:tabs>
              <w:spacing w:before="40" w:after="40" w:line="210" w:lineRule="exact"/>
              <w:ind w:right="43"/>
              <w:jc w:val="right"/>
              <w:rPr>
                <w:sz w:val="17"/>
              </w:rPr>
            </w:pPr>
          </w:p>
        </w:tc>
      </w:tr>
    </w:tbl>
    <w:p w:rsidR="008445AF" w:rsidRPr="006E719D" w:rsidRDefault="008445AF" w:rsidP="008445AF">
      <w:pPr>
        <w:pStyle w:val="SingleTxt"/>
        <w:spacing w:after="0" w:line="120" w:lineRule="exact"/>
        <w:rPr>
          <w:sz w:val="10"/>
        </w:rPr>
      </w:pPr>
    </w:p>
    <w:p w:rsidR="008445AF" w:rsidRDefault="008445AF" w:rsidP="008445AF">
      <w:pPr>
        <w:pStyle w:val="FootnoteText"/>
        <w:tabs>
          <w:tab w:val="clear" w:pos="418"/>
          <w:tab w:val="right" w:pos="216"/>
          <w:tab w:val="left" w:pos="288"/>
          <w:tab w:val="right" w:pos="576"/>
          <w:tab w:val="left" w:pos="648"/>
        </w:tabs>
        <w:ind w:left="288" w:hanging="288"/>
      </w:pPr>
      <w:r>
        <w:tab/>
      </w:r>
      <w:r w:rsidRPr="006E719D">
        <w:rPr>
          <w:i/>
        </w:rPr>
        <w:t>Source</w:t>
      </w:r>
      <w:r>
        <w:t>: http://stats.uis.unesco.org/TableViewer/tableView.aspx (UNESCO Institute for Statistics, Education) (accessed on 25/04/07).</w:t>
      </w:r>
    </w:p>
    <w:p w:rsidR="001C68E8" w:rsidRDefault="001C68E8" w:rsidP="005E7EA3">
      <w:pPr>
        <w:pStyle w:val="SingleTxt"/>
      </w:pPr>
    </w:p>
    <w:p w:rsidR="001C68E8" w:rsidRDefault="001C68E8" w:rsidP="005E7EA3">
      <w:pPr>
        <w:pStyle w:val="SingleTxt"/>
      </w:pPr>
    </w:p>
    <w:p w:rsidR="001C68E8" w:rsidRDefault="001C68E8" w:rsidP="005E7EA3">
      <w:pPr>
        <w:pStyle w:val="SingleTxt"/>
        <w:sectPr w:rsidR="001C68E8" w:rsidSect="001C68E8">
          <w:headerReference w:type="even" r:id="rId13"/>
          <w:headerReference w:type="default" r:id="rId14"/>
          <w:footerReference w:type="even" r:id="rId15"/>
          <w:footerReference w:type="default" r:id="rId16"/>
          <w:pgSz w:w="15840" w:h="12240" w:orient="landscape" w:code="1"/>
          <w:pgMar w:top="1195" w:right="1742" w:bottom="1195" w:left="1901" w:header="576" w:footer="1037" w:gutter="0"/>
          <w:cols w:space="708"/>
          <w:noEndnote/>
          <w:bidi/>
          <w:rtlGutter/>
          <w:docGrid w:linePitch="360"/>
        </w:sectPr>
      </w:pPr>
    </w:p>
    <w:p w:rsidR="005E7EA3" w:rsidRDefault="00124687" w:rsidP="001246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B.</w:t>
      </w:r>
      <w:r>
        <w:tab/>
      </w:r>
      <w:r w:rsidR="005E7EA3">
        <w:t>Country-</w:t>
      </w:r>
      <w:r>
        <w:t>specific reports:</w:t>
      </w:r>
      <w:r w:rsidR="005E7EA3">
        <w:t xml:space="preserve"> UNESCO </w:t>
      </w:r>
      <w:r>
        <w:t>initiatives and projects</w:t>
      </w:r>
    </w:p>
    <w:p w:rsidR="00124687" w:rsidRPr="00124687" w:rsidRDefault="00124687" w:rsidP="00124687">
      <w:pPr>
        <w:pStyle w:val="SingleTxt"/>
        <w:spacing w:after="0" w:line="120" w:lineRule="exact"/>
        <w:rPr>
          <w:sz w:val="10"/>
        </w:rPr>
      </w:pPr>
    </w:p>
    <w:p w:rsidR="00124687" w:rsidRPr="00124687" w:rsidRDefault="00124687" w:rsidP="00124687">
      <w:pPr>
        <w:pStyle w:val="SingleTxt"/>
        <w:spacing w:after="0" w:line="120" w:lineRule="exact"/>
        <w:rPr>
          <w:sz w:val="10"/>
        </w:rPr>
      </w:pPr>
    </w:p>
    <w:p w:rsidR="00124687" w:rsidRDefault="00124687" w:rsidP="005E7EA3">
      <w:pPr>
        <w:pStyle w:val="SingleTxt"/>
      </w:pPr>
      <w:r>
        <w:t>10.</w:t>
      </w:r>
      <w:r>
        <w:tab/>
        <w:t xml:space="preserve">UNESCO has carried out the activities </w:t>
      </w:r>
      <w:r w:rsidR="00FB0F9A">
        <w:t>described</w:t>
      </w:r>
      <w:r>
        <w:t xml:space="preserve"> below for each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whose report will be considered at the thirty-ninth session of the Committee.</w:t>
      </w:r>
    </w:p>
    <w:p w:rsidR="00124687" w:rsidRPr="00124687" w:rsidRDefault="00124687" w:rsidP="00124687">
      <w:pPr>
        <w:pStyle w:val="SingleTxt"/>
        <w:spacing w:after="0" w:line="120" w:lineRule="exact"/>
        <w:rPr>
          <w:sz w:val="10"/>
        </w:rPr>
      </w:pPr>
    </w:p>
    <w:p w:rsidR="005E7EA3" w:rsidRDefault="00124687" w:rsidP="00124687">
      <w:pPr>
        <w:pStyle w:val="H23"/>
        <w:ind w:right="1260"/>
      </w:pPr>
      <w:r>
        <w:tab/>
      </w:r>
      <w:r>
        <w:tab/>
      </w:r>
      <w:smartTag w:uri="urn:schemas-microsoft-com:office:smarttags" w:element="place">
        <w:smartTag w:uri="urn:schemas-microsoft-com:office:smarttags" w:element="country-region">
          <w:r w:rsidR="005E7EA3">
            <w:t>B</w:t>
          </w:r>
          <w:r>
            <w:t>elize</w:t>
          </w:r>
        </w:smartTag>
      </w:smartTag>
    </w:p>
    <w:p w:rsidR="00124687" w:rsidRPr="00124687" w:rsidRDefault="00124687" w:rsidP="00124687">
      <w:pPr>
        <w:pStyle w:val="SingleTxt"/>
        <w:spacing w:after="0" w:line="120" w:lineRule="exact"/>
        <w:rPr>
          <w:sz w:val="10"/>
        </w:rPr>
      </w:pPr>
    </w:p>
    <w:p w:rsidR="005E7EA3" w:rsidRDefault="00124687" w:rsidP="001246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124687" w:rsidRPr="00124687" w:rsidRDefault="00124687" w:rsidP="00124687">
      <w:pPr>
        <w:pStyle w:val="SingleTxt"/>
        <w:spacing w:after="0" w:line="120" w:lineRule="exact"/>
        <w:rPr>
          <w:sz w:val="10"/>
        </w:rPr>
      </w:pPr>
    </w:p>
    <w:p w:rsidR="005E7EA3" w:rsidRDefault="00124687" w:rsidP="005E7EA3">
      <w:pPr>
        <w:pStyle w:val="SingleTxt"/>
      </w:pPr>
      <w:r>
        <w:t>11.</w:t>
      </w:r>
      <w:r>
        <w:tab/>
      </w:r>
      <w:smartTag w:uri="urn:schemas-microsoft-com:office:smarttags" w:element="place">
        <w:smartTag w:uri="urn:schemas-microsoft-com:office:smarttags" w:element="country-region">
          <w:r w:rsidR="005E7EA3">
            <w:t>Belize</w:t>
          </w:r>
        </w:smartTag>
      </w:smartTag>
      <w:r w:rsidR="005E7EA3">
        <w:t xml:space="preserve"> </w:t>
      </w:r>
      <w:r w:rsidR="0099575A">
        <w:t>has been a</w:t>
      </w:r>
      <w:r w:rsidR="005E7EA3">
        <w:t xml:space="preserve"> party to </w:t>
      </w:r>
      <w:r w:rsidR="0099575A">
        <w:t xml:space="preserve">the </w:t>
      </w:r>
      <w:r w:rsidR="005E7EA3">
        <w:t>UNESCO Convention against Discrimination in Education (1960) since 1982</w:t>
      </w:r>
      <w:r w:rsidR="0099575A">
        <w:t>,</w:t>
      </w:r>
      <w:r w:rsidR="005E7EA3">
        <w:t xml:space="preserve"> but </w:t>
      </w:r>
      <w:r w:rsidR="0099575A">
        <w:t xml:space="preserve">it </w:t>
      </w:r>
      <w:r w:rsidR="005E7EA3">
        <w:t xml:space="preserve">did not report to UNESCO for the </w:t>
      </w:r>
      <w:r w:rsidR="0099575A">
        <w:t>Sixth</w:t>
      </w:r>
      <w:r w:rsidR="005E7EA3">
        <w:t xml:space="preserve"> Consultation </w:t>
      </w:r>
      <w:r w:rsidR="0099575A">
        <w:t xml:space="preserve">of Member States </w:t>
      </w:r>
      <w:r w:rsidR="005E7EA3">
        <w:t xml:space="preserve">on the </w:t>
      </w:r>
      <w:r w:rsidR="0099575A">
        <w:t>I</w:t>
      </w:r>
      <w:r w:rsidR="005E7EA3">
        <w:t xml:space="preserve">mplementation of the Convention and Recommendation against Discrimination in Education. UNESCO will receive a comprehensive quality report for the ongoing </w:t>
      </w:r>
      <w:r w:rsidR="0099575A">
        <w:t>Seventh</w:t>
      </w:r>
      <w:r w:rsidR="005E7EA3">
        <w:t xml:space="preserve"> Consultation.</w:t>
      </w:r>
    </w:p>
    <w:p w:rsidR="005E7EA3" w:rsidRDefault="00E238E7" w:rsidP="005E7EA3">
      <w:pPr>
        <w:pStyle w:val="SingleTxt"/>
      </w:pPr>
      <w:r>
        <w:t>12.</w:t>
      </w:r>
      <w:r>
        <w:tab/>
      </w:r>
      <w:r w:rsidR="005E7EA3">
        <w:t xml:space="preserve">UNESCO strongly encourages </w:t>
      </w:r>
      <w:smartTag w:uri="urn:schemas-microsoft-com:office:smarttags" w:element="place">
        <w:smartTag w:uri="urn:schemas-microsoft-com:office:smarttags" w:element="country-region">
          <w:r w:rsidR="005E7EA3">
            <w:t>Belize</w:t>
          </w:r>
        </w:smartTag>
      </w:smartTag>
      <w:r w:rsidR="005E7EA3">
        <w:t xml:space="preserve"> to ratify the Convention on Technical and Vocational Education (1989).</w:t>
      </w:r>
    </w:p>
    <w:p w:rsidR="005E7EA3" w:rsidRDefault="00E238E7" w:rsidP="005E7EA3">
      <w:pPr>
        <w:pStyle w:val="SingleTxt"/>
      </w:pPr>
      <w:r>
        <w:t>13.</w:t>
      </w:r>
      <w:r>
        <w:tab/>
      </w:r>
      <w:r w:rsidR="005E7EA3">
        <w:t>The Constitution of 1981 includes human rights guarantees, but nothing on the right to education.</w:t>
      </w:r>
    </w:p>
    <w:p w:rsidR="005E7EA3" w:rsidRDefault="00E238E7" w:rsidP="005E7EA3">
      <w:pPr>
        <w:pStyle w:val="SingleTxt"/>
      </w:pPr>
      <w:r>
        <w:t>14.</w:t>
      </w:r>
      <w:r>
        <w:tab/>
      </w:r>
      <w:r w:rsidR="005E7EA3">
        <w:t xml:space="preserve">Education in </w:t>
      </w:r>
      <w:smartTag w:uri="urn:schemas-microsoft-com:office:smarttags" w:element="place">
        <w:smartTag w:uri="urn:schemas-microsoft-com:office:smarttags" w:element="country-region">
          <w:r w:rsidR="005E7EA3">
            <w:t>Belize</w:t>
          </w:r>
        </w:smartTag>
      </w:smartTag>
      <w:r w:rsidR="005E7EA3">
        <w:t xml:space="preserve"> is governed by the Education Act, which is regularly amended. Under this Act, primary education is free to all students (S. 19 (1)), and education is compulsory for all children aged from 5 years up to the time they reach 14 years, with provision for the Minister of Education to raise this upper age limit to 15 years if considered “expedient” (S. 34).</w:t>
      </w:r>
    </w:p>
    <w:p w:rsidR="00E238E7" w:rsidRPr="00E238E7" w:rsidRDefault="00E238E7" w:rsidP="00E238E7">
      <w:pPr>
        <w:pStyle w:val="SingleTxt"/>
        <w:spacing w:after="0" w:line="120" w:lineRule="exact"/>
        <w:rPr>
          <w:sz w:val="10"/>
        </w:rPr>
      </w:pPr>
    </w:p>
    <w:p w:rsidR="005E7EA3" w:rsidRDefault="00E238E7" w:rsidP="00E238E7">
      <w:pPr>
        <w:pStyle w:val="H23"/>
        <w:ind w:right="1260"/>
      </w:pPr>
      <w:r>
        <w:tab/>
      </w:r>
      <w:r>
        <w:tab/>
        <w:t>Communication and information</w:t>
      </w:r>
    </w:p>
    <w:p w:rsidR="00E238E7" w:rsidRPr="00E238E7" w:rsidRDefault="00E238E7" w:rsidP="00E238E7">
      <w:pPr>
        <w:pStyle w:val="SingleTxt"/>
        <w:spacing w:after="0" w:line="120" w:lineRule="exact"/>
        <w:rPr>
          <w:sz w:val="10"/>
        </w:rPr>
      </w:pPr>
    </w:p>
    <w:p w:rsidR="005E7EA3" w:rsidRDefault="00AE2673" w:rsidP="005E7EA3">
      <w:pPr>
        <w:pStyle w:val="SingleTxt"/>
      </w:pPr>
      <w:r>
        <w:t>15.</w:t>
      </w:r>
      <w:r>
        <w:tab/>
      </w:r>
      <w:r w:rsidR="005E7EA3">
        <w:t>The UNESCO Office</w:t>
      </w:r>
      <w:r>
        <w:t>,</w:t>
      </w:r>
      <w:r w:rsidR="005E7EA3">
        <w:t xml:space="preserve"> </w:t>
      </w:r>
      <w:smartTag w:uri="urn:schemas-microsoft-com:office:smarttags" w:element="City">
        <w:r>
          <w:t>Kingston</w:t>
        </w:r>
      </w:smartTag>
      <w:r>
        <w:t xml:space="preserve"> </w:t>
      </w:r>
      <w:r w:rsidR="005E7EA3">
        <w:t xml:space="preserve">(which also covers </w:t>
      </w:r>
      <w:smartTag w:uri="urn:schemas-microsoft-com:office:smarttags" w:element="country-region">
        <w:r w:rsidR="005E7EA3">
          <w:t>Belize</w:t>
        </w:r>
      </w:smartTag>
      <w:r w:rsidR="005E7EA3">
        <w:t>) has taken steps to empower rural wom</w:t>
      </w:r>
      <w:r>
        <w:t>en through community media cent</w:t>
      </w:r>
      <w:r w:rsidR="005E7EA3">
        <w:t>r</w:t>
      </w:r>
      <w:r>
        <w:t>e</w:t>
      </w:r>
      <w:r w:rsidR="005E7EA3">
        <w:t xml:space="preserve">s within the framework of the </w:t>
      </w:r>
      <w:r>
        <w:t>project on information and communication technologies (</w:t>
      </w:r>
      <w:r w:rsidR="005E7EA3">
        <w:t>ICTs</w:t>
      </w:r>
      <w:r>
        <w:t>)</w:t>
      </w:r>
      <w:r w:rsidR="005E7EA3">
        <w:t xml:space="preserve"> and </w:t>
      </w:r>
      <w:r>
        <w:t xml:space="preserve">indigenous peoples of the </w:t>
      </w:r>
      <w:smartTag w:uri="urn:schemas-microsoft-com:office:smarttags" w:element="place">
        <w:r>
          <w:t>Caribbean</w:t>
        </w:r>
      </w:smartTag>
      <w:r w:rsidR="005E7EA3">
        <w:t xml:space="preserve">. A good example is </w:t>
      </w:r>
      <w:r>
        <w:t>R</w:t>
      </w:r>
      <w:r w:rsidR="005E7EA3">
        <w:t xml:space="preserve">adio Muye (or the Muye </w:t>
      </w:r>
      <w:r>
        <w:t>community multimedia centre</w:t>
      </w:r>
      <w:r w:rsidR="005E7EA3">
        <w:t>), which began as a women</w:t>
      </w:r>
      <w:r w:rsidR="00CE3E79">
        <w:t>’</w:t>
      </w:r>
      <w:r w:rsidR="005E7EA3">
        <w:t>s radio station, under the UNESCO pro</w:t>
      </w:r>
      <w:r>
        <w:t>gramme of a previous biennium, on w</w:t>
      </w:r>
      <w:r w:rsidR="005E7EA3">
        <w:t>omen speaking to women</w:t>
      </w:r>
      <w:r>
        <w:t>.</w:t>
      </w:r>
      <w:r w:rsidR="005E7EA3">
        <w:t xml:space="preserve"> The radio </w:t>
      </w:r>
      <w:r>
        <w:t xml:space="preserve">station </w:t>
      </w:r>
      <w:r w:rsidR="005E7EA3">
        <w:t xml:space="preserve">has gone beyond the limits of its first mandate to serve a wider, more general public of some 10,000 listeners residing several kilometres up and down the </w:t>
      </w:r>
      <w:smartTag w:uri="urn:schemas-microsoft-com:office:smarttags" w:element="place">
        <w:smartTag w:uri="urn:schemas-microsoft-com:office:smarttags" w:element="PlaceName">
          <w:r w:rsidR="005E7EA3">
            <w:t>Saramacca</w:t>
          </w:r>
        </w:smartTag>
        <w:r w:rsidR="005E7EA3">
          <w:t xml:space="preserve"> </w:t>
        </w:r>
        <w:smartTag w:uri="urn:schemas-microsoft-com:office:smarttags" w:element="PlaceType">
          <w:r>
            <w:t>R</w:t>
          </w:r>
          <w:r w:rsidR="005E7EA3">
            <w:t>iver</w:t>
          </w:r>
        </w:smartTag>
      </w:smartTag>
      <w:r w:rsidR="005E7EA3">
        <w:t>, and focuses on issues affecting women. The radio station is managed by women and broadcasts local programmes targeting women.</w:t>
      </w:r>
    </w:p>
    <w:p w:rsidR="00AE2673" w:rsidRPr="00AE2673" w:rsidRDefault="00AE2673" w:rsidP="00AE2673">
      <w:pPr>
        <w:pStyle w:val="SingleTxt"/>
        <w:spacing w:after="0" w:line="120" w:lineRule="exact"/>
        <w:rPr>
          <w:sz w:val="10"/>
        </w:rPr>
      </w:pPr>
    </w:p>
    <w:p w:rsidR="005E7EA3" w:rsidRDefault="00AE2673" w:rsidP="00AE2673">
      <w:pPr>
        <w:pStyle w:val="H23"/>
        <w:ind w:right="1260"/>
      </w:pPr>
      <w:r>
        <w:tab/>
      </w:r>
      <w:r>
        <w:tab/>
        <w:t>Fellowships</w:t>
      </w:r>
    </w:p>
    <w:p w:rsidR="00AE2673" w:rsidRPr="00AE2673" w:rsidRDefault="00AE2673" w:rsidP="00AE2673">
      <w:pPr>
        <w:pStyle w:val="SingleTxt"/>
        <w:spacing w:after="0" w:line="120" w:lineRule="exact"/>
        <w:rPr>
          <w:sz w:val="10"/>
        </w:rPr>
      </w:pPr>
    </w:p>
    <w:p w:rsidR="005E7EA3" w:rsidRDefault="00AE2673" w:rsidP="005E7EA3">
      <w:pPr>
        <w:pStyle w:val="SingleTxt"/>
      </w:pPr>
      <w:r>
        <w:t>16.</w:t>
      </w:r>
      <w:r>
        <w:tab/>
      </w:r>
      <w:r w:rsidR="005E7EA3">
        <w:t xml:space="preserve">One </w:t>
      </w:r>
      <w:r>
        <w:t xml:space="preserve">co-sponsored fellowship </w:t>
      </w:r>
      <w:r w:rsidR="005E7EA3">
        <w:t>(UNESCO/L</w:t>
      </w:r>
      <w:r w:rsidR="00CE3E79">
        <w:t>’</w:t>
      </w:r>
      <w:r w:rsidR="005E7EA3">
        <w:t xml:space="preserve">OREAL) in the field of </w:t>
      </w:r>
      <w:r>
        <w:t>life sciences</w:t>
      </w:r>
      <w:r w:rsidR="005E7EA3">
        <w:t xml:space="preserve"> for 12 months at the Department of Biology o</w:t>
      </w:r>
      <w:r>
        <w:t>f Boston University, Boston, United States of America</w:t>
      </w:r>
      <w:r w:rsidR="005E7EA3">
        <w:t xml:space="preserve"> (value </w:t>
      </w:r>
      <w:r>
        <w:t>US$ 20,000)</w:t>
      </w:r>
      <w:r w:rsidR="005E7EA3">
        <w:t xml:space="preserve"> was awarded to a woman scientist.</w:t>
      </w:r>
    </w:p>
    <w:p w:rsidR="00BB0F7A" w:rsidRPr="00BB0F7A" w:rsidRDefault="00BB0F7A" w:rsidP="00BB0F7A">
      <w:pPr>
        <w:pStyle w:val="SingleTxt"/>
        <w:spacing w:after="0" w:line="120" w:lineRule="exact"/>
        <w:rPr>
          <w:sz w:val="10"/>
        </w:rPr>
      </w:pPr>
    </w:p>
    <w:p w:rsidR="005E7EA3" w:rsidRDefault="00BB0F7A" w:rsidP="00BB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Brazil</w:t>
          </w:r>
        </w:smartTag>
      </w:smartTag>
    </w:p>
    <w:p w:rsidR="00BB0F7A" w:rsidRPr="00BB0F7A" w:rsidRDefault="00BB0F7A" w:rsidP="00BB0F7A">
      <w:pPr>
        <w:pStyle w:val="SingleTxt"/>
        <w:spacing w:after="0" w:line="120" w:lineRule="exact"/>
        <w:rPr>
          <w:sz w:val="10"/>
        </w:rPr>
      </w:pPr>
    </w:p>
    <w:p w:rsidR="005E7EA3" w:rsidRDefault="00BB0F7A" w:rsidP="00BB0F7A">
      <w:pPr>
        <w:pStyle w:val="H23"/>
        <w:ind w:right="1260"/>
      </w:pPr>
      <w:r>
        <w:tab/>
      </w:r>
      <w:r>
        <w:tab/>
        <w:t>Education</w:t>
      </w:r>
    </w:p>
    <w:p w:rsidR="00BB0F7A" w:rsidRPr="00BB0F7A" w:rsidRDefault="00BB0F7A" w:rsidP="00BB0F7A">
      <w:pPr>
        <w:pStyle w:val="SingleTxt"/>
        <w:spacing w:after="0" w:line="120" w:lineRule="exact"/>
        <w:rPr>
          <w:sz w:val="10"/>
        </w:rPr>
      </w:pPr>
    </w:p>
    <w:p w:rsidR="005E7EA3" w:rsidRDefault="00BB0F7A" w:rsidP="005E7EA3">
      <w:pPr>
        <w:pStyle w:val="SingleTxt"/>
      </w:pPr>
      <w:r>
        <w:t>17.</w:t>
      </w:r>
      <w:r>
        <w:tab/>
      </w:r>
      <w:smartTag w:uri="urn:schemas-microsoft-com:office:smarttags" w:element="place">
        <w:smartTag w:uri="urn:schemas-microsoft-com:office:smarttags" w:element="country-region">
          <w:r w:rsidR="005E7EA3">
            <w:t>Brazil</w:t>
          </w:r>
        </w:smartTag>
      </w:smartTag>
      <w:r>
        <w:t xml:space="preserve"> has been</w:t>
      </w:r>
      <w:r w:rsidR="005E7EA3">
        <w:t xml:space="preserve"> </w:t>
      </w:r>
      <w:r w:rsidR="00B46851">
        <w:t xml:space="preserve">a </w:t>
      </w:r>
      <w:r w:rsidR="005E7EA3">
        <w:t xml:space="preserve">party to the </w:t>
      </w:r>
      <w:r>
        <w:t>Convention against Discrimination in Education</w:t>
      </w:r>
      <w:r w:rsidR="005E7EA3">
        <w:t xml:space="preserve"> since 1968 and reported to UNESCO for the </w:t>
      </w:r>
      <w:r>
        <w:t>Sixth</w:t>
      </w:r>
      <w:r w:rsidR="005E7EA3">
        <w:t xml:space="preserve"> Consultation in 1997. UNESCO will receive a comprehensive quality report for the ongoing </w:t>
      </w:r>
      <w:r>
        <w:t>Seventh</w:t>
      </w:r>
      <w:r w:rsidR="005E7EA3">
        <w:t xml:space="preserve"> Consultation.</w:t>
      </w:r>
    </w:p>
    <w:p w:rsidR="005E7EA3" w:rsidRDefault="00BB0F7A" w:rsidP="005E7EA3">
      <w:pPr>
        <w:pStyle w:val="SingleTxt"/>
      </w:pPr>
      <w:r>
        <w:t>18.</w:t>
      </w:r>
      <w:r>
        <w:tab/>
      </w:r>
      <w:smartTag w:uri="urn:schemas-microsoft-com:office:smarttags" w:element="place">
        <w:smartTag w:uri="urn:schemas-microsoft-com:office:smarttags" w:element="country-region">
          <w:r w:rsidR="005E7EA3">
            <w:t>Brazil</w:t>
          </w:r>
        </w:smartTag>
      </w:smartTag>
      <w:r w:rsidR="005E7EA3">
        <w:t xml:space="preserve"> is strongly encouraged to ratify the </w:t>
      </w:r>
      <w:r>
        <w:t>Convention on Technical and Vocational Education.</w:t>
      </w:r>
    </w:p>
    <w:p w:rsidR="005E7EA3" w:rsidRDefault="003E4B33" w:rsidP="005E7EA3">
      <w:pPr>
        <w:pStyle w:val="SingleTxt"/>
      </w:pPr>
      <w:r>
        <w:t>19.</w:t>
      </w:r>
      <w:r>
        <w:tab/>
      </w:r>
      <w:r w:rsidR="005E7EA3">
        <w:t>The Constitution of 1988 contains extensive guarant</w:t>
      </w:r>
      <w:r>
        <w:t>e</w:t>
      </w:r>
      <w:r w:rsidR="005E7EA3">
        <w:t xml:space="preserve">es of the right to education </w:t>
      </w:r>
      <w:r w:rsidR="005E7EA3" w:rsidRPr="003E4B33">
        <w:rPr>
          <w:i/>
        </w:rPr>
        <w:t>largo sensu</w:t>
      </w:r>
      <w:r w:rsidR="005E7EA3">
        <w:t xml:space="preserve">. Article 205 stipulates that </w:t>
      </w:r>
      <w:r>
        <w:t>e</w:t>
      </w:r>
      <w:r w:rsidR="005E7EA3">
        <w:t xml:space="preserve">ducation, which is the right of all and the duty of the State and of the family, shall be promoted and encouraged with the cooperation of society, seeking the full development of the individual, preparation for the exercise of citizenship, and qualification for work. According to </w:t>
      </w:r>
      <w:r w:rsidR="004D3DDE">
        <w:t>a</w:t>
      </w:r>
      <w:r w:rsidR="005E7EA3">
        <w:t xml:space="preserve">rticle 206, “teaching shall be provided on the basis of the following principles: </w:t>
      </w:r>
      <w:r>
        <w:t>(</w:t>
      </w:r>
      <w:r w:rsidR="005E7EA3">
        <w:t>1</w:t>
      </w:r>
      <w:r>
        <w:t>) </w:t>
      </w:r>
      <w:r w:rsidR="005E7EA3">
        <w:t xml:space="preserve">Equality of conditions for access to and staying in school; </w:t>
      </w:r>
      <w:r>
        <w:t>(2)</w:t>
      </w:r>
      <w:r w:rsidR="005E7EA3">
        <w:t xml:space="preserve"> Freedom of learning, teaching, researching, and expressing thought, art and knowledge; </w:t>
      </w:r>
      <w:r>
        <w:t>(3) </w:t>
      </w:r>
      <w:r w:rsidR="005E7EA3">
        <w:t xml:space="preserve">Pluralism of ideas and pedagogical concepts and the coexistence of public and private teaching institutions; </w:t>
      </w:r>
      <w:r>
        <w:t>(4)</w:t>
      </w:r>
      <w:r w:rsidR="005E7EA3">
        <w:t xml:space="preserve"> Free public education in official establishments; </w:t>
      </w:r>
      <w:r>
        <w:t>(5) </w:t>
      </w:r>
      <w:r w:rsidR="005E7EA3">
        <w:t xml:space="preserve">Valorization of teaching professionals, guaranteeing, as provided by law, career plans for public school teachers, with a professional minimum salary and admittance exclusively by means of public competitive examinations and professional credentials; </w:t>
      </w:r>
      <w:r>
        <w:t>(6)</w:t>
      </w:r>
      <w:r w:rsidR="005E7EA3">
        <w:t xml:space="preserve"> Democratic administration of public teaching, as provided by law; </w:t>
      </w:r>
      <w:r>
        <w:t>and (7)</w:t>
      </w:r>
      <w:r w:rsidR="005E7EA3">
        <w:t xml:space="preserve"> Guarantee of standards of quality”. </w:t>
      </w:r>
    </w:p>
    <w:p w:rsidR="005E7EA3" w:rsidRDefault="003E4B33" w:rsidP="005E7EA3">
      <w:pPr>
        <w:pStyle w:val="SingleTxt"/>
      </w:pPr>
      <w:r>
        <w:t>20.</w:t>
      </w:r>
      <w:r>
        <w:tab/>
        <w:t>According to a</w:t>
      </w:r>
      <w:r w:rsidR="005302EB">
        <w:t>rticle 208,</w:t>
      </w:r>
      <w:r w:rsidR="005E7EA3">
        <w:t xml:space="preserve"> </w:t>
      </w:r>
      <w:r w:rsidR="005302EB">
        <w:t>t</w:t>
      </w:r>
      <w:r w:rsidR="005E7EA3">
        <w:t>he State</w:t>
      </w:r>
      <w:r w:rsidR="00CE3E79">
        <w:t>’</w:t>
      </w:r>
      <w:r w:rsidR="005E7EA3">
        <w:t>s duty towards education shall be effect</w:t>
      </w:r>
      <w:r w:rsidR="005302EB">
        <w:t>uated through the guarantees of</w:t>
      </w:r>
      <w:r w:rsidR="005E7EA3">
        <w:t xml:space="preserve"> free, compulsory elementary education, including assurance that it will be offered gratuitously for all who did not have access to it at the proper age; progressive universalization of gratuitous secondary school education; special educational assistance for the handicapped; assistance to children from b</w:t>
      </w:r>
      <w:r w:rsidR="005302EB">
        <w:t>irth to six years of age in day-</w:t>
      </w:r>
      <w:r w:rsidR="005E7EA3">
        <w:t xml:space="preserve">care </w:t>
      </w:r>
      <w:r w:rsidR="00FB0F9A">
        <w:t>centres</w:t>
      </w:r>
      <w:r w:rsidR="005E7EA3">
        <w:t xml:space="preserve"> and preschools; access to higher levels of education, research, and artistic creation according to individual capacity; assistance to elementary school students through supplemental program</w:t>
      </w:r>
      <w:r w:rsidR="005302EB">
        <w:t>me</w:t>
      </w:r>
      <w:r w:rsidR="005E7EA3">
        <w:t>s of school books, educational</w:t>
      </w:r>
      <w:r w:rsidR="005302EB">
        <w:t xml:space="preserve"> supplies, transportation, food</w:t>
      </w:r>
      <w:r w:rsidR="005E7EA3">
        <w:t xml:space="preserve"> and health assistance; </w:t>
      </w:r>
      <w:r w:rsidR="005302EB">
        <w:t xml:space="preserve">and </w:t>
      </w:r>
      <w:r w:rsidR="005E7EA3">
        <w:t xml:space="preserve">access to compulsory and free education </w:t>
      </w:r>
      <w:r w:rsidR="005302EB">
        <w:t>a</w:t>
      </w:r>
      <w:r w:rsidR="005E7EA3">
        <w:t xml:space="preserve">s a subjective public right. </w:t>
      </w:r>
    </w:p>
    <w:p w:rsidR="005E7EA3" w:rsidRDefault="005302EB" w:rsidP="005E7EA3">
      <w:pPr>
        <w:pStyle w:val="SingleTxt"/>
      </w:pPr>
      <w:r>
        <w:t>21.</w:t>
      </w:r>
      <w:r>
        <w:tab/>
      </w:r>
      <w:r w:rsidR="005E7EA3">
        <w:t xml:space="preserve">According to </w:t>
      </w:r>
      <w:r>
        <w:t>a</w:t>
      </w:r>
      <w:r w:rsidR="005E7EA3">
        <w:t>rticle 210, minimum curricula shall be established for elementary school in order to ensure a common basic education and respect for national and regional cultural and artistic values; regular elementary education shall be given in the Portuguese language, the Indian communities also being ensured the use of their native languages an</w:t>
      </w:r>
      <w:r>
        <w:t>d specific learning procedures.</w:t>
      </w:r>
      <w:r w:rsidR="005E7EA3">
        <w:t xml:space="preserve"> </w:t>
      </w:r>
    </w:p>
    <w:p w:rsidR="005E7EA3" w:rsidRDefault="005302EB" w:rsidP="005E7EA3">
      <w:pPr>
        <w:pStyle w:val="SingleTxt"/>
      </w:pPr>
      <w:r>
        <w:t>22.</w:t>
      </w:r>
      <w:r>
        <w:tab/>
      </w:r>
      <w:r w:rsidR="005E7EA3">
        <w:t xml:space="preserve">Concerning financing education, </w:t>
      </w:r>
      <w:r w:rsidR="0070694B">
        <w:t>a</w:t>
      </w:r>
      <w:r w:rsidR="005E7EA3">
        <w:t xml:space="preserve">rticle 212 states that “the Republic shall each year apply not less than </w:t>
      </w:r>
      <w:r w:rsidR="0070694B">
        <w:t>18</w:t>
      </w:r>
      <w:r w:rsidR="005E7EA3">
        <w:t xml:space="preserve"> </w:t>
      </w:r>
      <w:r w:rsidR="0070694B">
        <w:t>per cent</w:t>
      </w:r>
      <w:r w:rsidR="005E7EA3">
        <w:t xml:space="preserve">, and the States, the </w:t>
      </w:r>
      <w:smartTag w:uri="urn:schemas-microsoft-com:office:smarttags" w:element="place">
        <w:r w:rsidR="005E7EA3">
          <w:t>Federal District</w:t>
        </w:r>
      </w:smartTag>
      <w:r w:rsidR="005E7EA3">
        <w:t xml:space="preserve">, and the </w:t>
      </w:r>
      <w:r w:rsidR="004E3DE5">
        <w:t>m</w:t>
      </w:r>
      <w:r w:rsidR="005E7EA3">
        <w:t xml:space="preserve">unicipalities at least </w:t>
      </w:r>
      <w:r w:rsidR="004E3DE5">
        <w:t>25</w:t>
      </w:r>
      <w:r w:rsidR="005E7EA3">
        <w:t xml:space="preserve"> per cent</w:t>
      </w:r>
      <w:r w:rsidR="004E3DE5">
        <w:t xml:space="preserve"> </w:t>
      </w:r>
      <w:r w:rsidR="005E7EA3">
        <w:t>of the tax revenues, including revenues resulting from transfers, in the maintenance and development of education”</w:t>
      </w:r>
      <w:r w:rsidR="00111098">
        <w:t>.</w:t>
      </w:r>
    </w:p>
    <w:p w:rsidR="005E7EA3" w:rsidRDefault="004E3DE5" w:rsidP="005E7EA3">
      <w:pPr>
        <w:pStyle w:val="SingleTxt"/>
      </w:pPr>
      <w:r>
        <w:t>23.</w:t>
      </w:r>
      <w:r>
        <w:tab/>
      </w:r>
      <w:r w:rsidR="005E7EA3">
        <w:t xml:space="preserve">In the framework of Education for All, the Sixth E9 </w:t>
      </w:r>
      <w:r w:rsidR="006A0383">
        <w:t>Education for All</w:t>
      </w:r>
      <w:r w:rsidR="005E7EA3">
        <w:t xml:space="preserve"> meeting was organized in February 2006 in </w:t>
      </w:r>
      <w:smartTag w:uri="urn:schemas-microsoft-com:office:smarttags" w:element="place">
        <w:smartTag w:uri="urn:schemas-microsoft-com:office:smarttags" w:element="City">
          <w:r w:rsidR="005E7EA3">
            <w:t>Monterrey</w:t>
          </w:r>
        </w:smartTag>
        <w:r w:rsidR="005E7EA3">
          <w:t xml:space="preserve">, </w:t>
        </w:r>
        <w:smartTag w:uri="urn:schemas-microsoft-com:office:smarttags" w:element="country-region">
          <w:r w:rsidR="005E7EA3">
            <w:t>Mexico</w:t>
          </w:r>
        </w:smartTag>
      </w:smartTag>
      <w:r w:rsidR="005E7EA3">
        <w:t>, on the theme of national policies and systems for the assessment of the quality of education, and adoption of the Monterrey Declaration. Organized by UNESCO in cooperation with the Government of Mexico, the meeting assessed progress towards the goal of providing quality education for all in the E9 countries</w:t>
      </w:r>
      <w:r w:rsidR="006A0383">
        <w:t>,</w:t>
      </w:r>
      <w:r w:rsidR="005E7EA3">
        <w:t xml:space="preserve"> nine of the world</w:t>
      </w:r>
      <w:r w:rsidR="00CE3E79">
        <w:t>’</w:t>
      </w:r>
      <w:r w:rsidR="006A0383">
        <w:t xml:space="preserve">s high </w:t>
      </w:r>
      <w:r w:rsidR="005E7EA3">
        <w:t xml:space="preserve">population countries. The </w:t>
      </w:r>
      <w:r w:rsidR="006A0383">
        <w:t xml:space="preserve">ministers of education </w:t>
      </w:r>
      <w:r w:rsidR="005E7EA3">
        <w:t xml:space="preserve">of </w:t>
      </w:r>
      <w:smartTag w:uri="urn:schemas-microsoft-com:office:smarttags" w:element="country-region">
        <w:r w:rsidR="005E7EA3">
          <w:t>Bangladesh</w:t>
        </w:r>
      </w:smartTag>
      <w:r w:rsidR="005E7EA3">
        <w:t xml:space="preserve">, </w:t>
      </w:r>
      <w:smartTag w:uri="urn:schemas-microsoft-com:office:smarttags" w:element="country-region">
        <w:r w:rsidR="005E7EA3">
          <w:t>Brazil</w:t>
        </w:r>
      </w:smartTag>
      <w:r w:rsidR="005E7EA3">
        <w:t xml:space="preserve">, </w:t>
      </w:r>
      <w:smartTag w:uri="urn:schemas-microsoft-com:office:smarttags" w:element="country-region">
        <w:r w:rsidR="005E7EA3">
          <w:t>China</w:t>
        </w:r>
      </w:smartTag>
      <w:r w:rsidR="005E7EA3">
        <w:t xml:space="preserve">, </w:t>
      </w:r>
      <w:smartTag w:uri="urn:schemas-microsoft-com:office:smarttags" w:element="country-region">
        <w:r w:rsidR="005E7EA3">
          <w:t>Egypt</w:t>
        </w:r>
      </w:smartTag>
      <w:r w:rsidR="005E7EA3">
        <w:t xml:space="preserve">, </w:t>
      </w:r>
      <w:smartTag w:uri="urn:schemas-microsoft-com:office:smarttags" w:element="country-region">
        <w:r w:rsidR="005E7EA3">
          <w:t>India</w:t>
        </w:r>
      </w:smartTag>
      <w:r w:rsidR="005E7EA3">
        <w:t xml:space="preserve">, </w:t>
      </w:r>
      <w:smartTag w:uri="urn:schemas-microsoft-com:office:smarttags" w:element="country-region">
        <w:r w:rsidR="005E7EA3">
          <w:t>Indonesia</w:t>
        </w:r>
      </w:smartTag>
      <w:r w:rsidR="005E7EA3">
        <w:t xml:space="preserve">, </w:t>
      </w:r>
      <w:smartTag w:uri="urn:schemas-microsoft-com:office:smarttags" w:element="country-region">
        <w:r w:rsidR="005E7EA3">
          <w:t>Mexico</w:t>
        </w:r>
      </w:smartTag>
      <w:r w:rsidR="005E7EA3">
        <w:t xml:space="preserve">, </w:t>
      </w:r>
      <w:smartTag w:uri="urn:schemas-microsoft-com:office:smarttags" w:element="country-region">
        <w:r w:rsidR="005E7EA3">
          <w:t>Nigeria</w:t>
        </w:r>
      </w:smartTag>
      <w:r w:rsidR="005E7EA3">
        <w:t xml:space="preserve"> and </w:t>
      </w:r>
      <w:smartTag w:uri="urn:schemas-microsoft-com:office:smarttags" w:element="place">
        <w:smartTag w:uri="urn:schemas-microsoft-com:office:smarttags" w:element="country-region">
          <w:r w:rsidR="005E7EA3">
            <w:t>Pakistan</w:t>
          </w:r>
        </w:smartTag>
      </w:smartTag>
      <w:r w:rsidR="005E7EA3">
        <w:t xml:space="preserve"> reviewed the challenges facing their countries with a view to increasing bilateral and collective cooperation. They made a strong commitment to accelerate progress towards </w:t>
      </w:r>
      <w:r w:rsidR="006A0383">
        <w:t>Education for All</w:t>
      </w:r>
      <w:r w:rsidR="005E7EA3">
        <w:t xml:space="preserve"> by intensifying South-South cooperation, both within the E9 and with other developing countries. They identified possibilities for mutual learning in the critically important area of the assessment of the quality of education, while exploring the scope for further collaboration in other areas, including the mobilization of resources for </w:t>
      </w:r>
      <w:r w:rsidR="006A0383">
        <w:t>Education for All</w:t>
      </w:r>
      <w:r w:rsidR="005E7EA3">
        <w:t>.</w:t>
      </w:r>
    </w:p>
    <w:p w:rsidR="00D76463" w:rsidRPr="00D76463" w:rsidRDefault="00D76463" w:rsidP="00D76463">
      <w:pPr>
        <w:pStyle w:val="SingleTxt"/>
        <w:spacing w:after="0" w:line="120" w:lineRule="exact"/>
        <w:rPr>
          <w:sz w:val="10"/>
        </w:rPr>
      </w:pPr>
    </w:p>
    <w:p w:rsidR="005E7EA3" w:rsidRDefault="00D76463" w:rsidP="00D76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Science</w:t>
      </w:r>
    </w:p>
    <w:p w:rsidR="00D76463" w:rsidRPr="00D76463" w:rsidRDefault="00D76463" w:rsidP="00D76463">
      <w:pPr>
        <w:pStyle w:val="SingleTxt"/>
        <w:spacing w:after="0" w:line="120" w:lineRule="exact"/>
        <w:rPr>
          <w:sz w:val="10"/>
        </w:rPr>
      </w:pPr>
    </w:p>
    <w:p w:rsidR="005E7EA3" w:rsidRDefault="00D76463" w:rsidP="005E7EA3">
      <w:pPr>
        <w:pStyle w:val="SingleTxt"/>
      </w:pPr>
      <w:r>
        <w:t>24.</w:t>
      </w:r>
      <w:r>
        <w:tab/>
        <w:t xml:space="preserve">The </w:t>
      </w:r>
      <w:r w:rsidR="005E7EA3">
        <w:t xml:space="preserve">UNESCO Chairs </w:t>
      </w:r>
      <w:r>
        <w:t xml:space="preserve">Network </w:t>
      </w:r>
      <w:r w:rsidR="005E7EA3">
        <w:t xml:space="preserve">“Women, Science, Technology and Development” was launched in July 2006. Its objectives are: </w:t>
      </w:r>
    </w:p>
    <w:p w:rsidR="005E7EA3" w:rsidRDefault="00D76463" w:rsidP="005E7EA3">
      <w:pPr>
        <w:pStyle w:val="SingleTxt"/>
      </w:pPr>
      <w:r>
        <w:tab/>
        <w:t>(a)</w:t>
      </w:r>
      <w:r>
        <w:tab/>
      </w:r>
      <w:r w:rsidR="005E7EA3">
        <w:t>To establish a scientific and technological, research and training programme with a gender equality perspective</w:t>
      </w:r>
      <w:r>
        <w:t>;</w:t>
      </w:r>
    </w:p>
    <w:p w:rsidR="005E7EA3" w:rsidRDefault="00D76463" w:rsidP="005E7EA3">
      <w:pPr>
        <w:pStyle w:val="SingleTxt"/>
      </w:pPr>
      <w:r>
        <w:tab/>
        <w:t>(b)</w:t>
      </w:r>
      <w:r>
        <w:tab/>
      </w:r>
      <w:r w:rsidR="005E7EA3">
        <w:t>To provide women and teenage girls with scientific and technology-based training in sustainable and participative management of resources (particularly water)</w:t>
      </w:r>
      <w:r>
        <w:t>.</w:t>
      </w:r>
    </w:p>
    <w:p w:rsidR="005E7EA3" w:rsidRDefault="005E7EA3" w:rsidP="005E7EA3">
      <w:pPr>
        <w:pStyle w:val="SingleTxt"/>
      </w:pPr>
      <w:r>
        <w:t>The eight founding Network members are the UNESCO Chairs in Water, Women and Decision-</w:t>
      </w:r>
      <w:r w:rsidR="00D76463">
        <w:t>m</w:t>
      </w:r>
      <w:r>
        <w:t xml:space="preserve">aking created recently in </w:t>
      </w:r>
      <w:smartTag w:uri="urn:schemas-microsoft-com:office:smarttags" w:element="country-region">
        <w:r>
          <w:t>Brazil</w:t>
        </w:r>
      </w:smartTag>
      <w:r>
        <w:t xml:space="preserve">, </w:t>
      </w:r>
      <w:smartTag w:uri="urn:schemas-microsoft-com:office:smarttags" w:element="country-region">
        <w:r>
          <w:t>Cote d</w:t>
        </w:r>
        <w:r w:rsidR="00CE3E79">
          <w:t>’</w:t>
        </w:r>
        <w:r>
          <w:t>Ivoire</w:t>
        </w:r>
      </w:smartTag>
      <w:r>
        <w:t xml:space="preserve"> and </w:t>
      </w:r>
      <w:smartTag w:uri="urn:schemas-microsoft-com:office:smarttags" w:element="country-region">
        <w:r>
          <w:t>Morocco</w:t>
        </w:r>
      </w:smartTag>
      <w:r>
        <w:t xml:space="preserve">, and the Chairs in Women, Science and Technology established in </w:t>
      </w:r>
      <w:smartTag w:uri="urn:schemas-microsoft-com:office:smarttags" w:element="country-region">
        <w:r>
          <w:t>Argentina</w:t>
        </w:r>
      </w:smartTag>
      <w:r>
        <w:t xml:space="preserve">, </w:t>
      </w:r>
      <w:smartTag w:uri="urn:schemas-microsoft-com:office:smarttags" w:element="country-region">
        <w:r>
          <w:t>Burkina Faso</w:t>
        </w:r>
      </w:smartTag>
      <w:r>
        <w:t xml:space="preserve">, </w:t>
      </w:r>
      <w:smartTag w:uri="urn:schemas-microsoft-com:office:smarttags" w:element="country-region">
        <w:r>
          <w:t>Egypt</w:t>
        </w:r>
      </w:smartTag>
      <w:r>
        <w:t xml:space="preserve">, </w:t>
      </w:r>
      <w:smartTag w:uri="urn:schemas-microsoft-com:office:smarttags" w:element="country-region">
        <w:r>
          <w:t>Pakistan</w:t>
        </w:r>
      </w:smartTag>
      <w:r>
        <w:t xml:space="preserve"> and </w:t>
      </w:r>
      <w:r w:rsidR="00D76463">
        <w:t xml:space="preserve">the </w:t>
      </w:r>
      <w:smartTag w:uri="urn:schemas-microsoft-com:office:smarttags" w:element="place">
        <w:smartTag w:uri="urn:schemas-microsoft-com:office:smarttags" w:element="country-region">
          <w:r>
            <w:t>Sudan</w:t>
          </w:r>
        </w:smartTag>
      </w:smartTag>
      <w:r>
        <w:t>.</w:t>
      </w:r>
    </w:p>
    <w:p w:rsidR="00CE3E79" w:rsidRPr="00CE3E79" w:rsidRDefault="00CE3E79" w:rsidP="00CE3E79">
      <w:pPr>
        <w:pStyle w:val="SingleTxt"/>
        <w:spacing w:after="0" w:line="120" w:lineRule="exact"/>
        <w:rPr>
          <w:sz w:val="10"/>
        </w:rPr>
      </w:pPr>
    </w:p>
    <w:p w:rsidR="005E7EA3" w:rsidRDefault="00CE3E79" w:rsidP="00CE3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Communication and information</w:t>
      </w:r>
    </w:p>
    <w:p w:rsidR="00CE3E79" w:rsidRPr="00CE3E79" w:rsidRDefault="00CE3E79" w:rsidP="00CE3E79">
      <w:pPr>
        <w:pStyle w:val="SingleTxt"/>
        <w:spacing w:after="0" w:line="120" w:lineRule="exact"/>
        <w:rPr>
          <w:sz w:val="10"/>
        </w:rPr>
      </w:pPr>
    </w:p>
    <w:p w:rsidR="005E7EA3" w:rsidRDefault="00CE3E79" w:rsidP="005E7EA3">
      <w:pPr>
        <w:pStyle w:val="SingleTxt"/>
      </w:pPr>
      <w:r>
        <w:t>25.</w:t>
      </w:r>
      <w:r>
        <w:tab/>
      </w:r>
      <w:r w:rsidR="005E7EA3">
        <w:t xml:space="preserve">UNESCO has supported CEMINA </w:t>
      </w:r>
      <w:r>
        <w:t>(</w:t>
      </w:r>
      <w:r w:rsidR="005E7EA3">
        <w:t>Communicat</w:t>
      </w:r>
      <w:r>
        <w:t>ion, Education and Information o</w:t>
      </w:r>
      <w:r w:rsidR="005E7EA3">
        <w:t>n Gender</w:t>
      </w:r>
      <w:r>
        <w:t>)</w:t>
      </w:r>
      <w:r w:rsidR="00EA73EA">
        <w:t>,</w:t>
      </w:r>
      <w:r w:rsidR="005E7EA3">
        <w:t xml:space="preserve"> a </w:t>
      </w:r>
      <w:r>
        <w:t>non-governmental organization</w:t>
      </w:r>
      <w:r w:rsidR="005E7EA3">
        <w:t xml:space="preserve"> led by women and dealing with women broadcasters in community media to reach women in the Amazon region and discuss their most pressing problems </w:t>
      </w:r>
      <w:r>
        <w:t>(</w:t>
      </w:r>
      <w:hyperlink r:id="rId17" w:history="1">
        <w:r w:rsidRPr="004C0BA8">
          <w:rPr>
            <w:rStyle w:val="Hyperlink"/>
          </w:rPr>
          <w:t>http://www.cemina.org.br/</w:t>
        </w:r>
      </w:hyperlink>
      <w:r>
        <w:t xml:space="preserve">). </w:t>
      </w:r>
      <w:r w:rsidR="005E7EA3">
        <w:t>A netwo</w:t>
      </w:r>
      <w:r>
        <w:t xml:space="preserve">rk of radio </w:t>
      </w:r>
      <w:r w:rsidR="005E7EA3">
        <w:t>telecentres</w:t>
      </w:r>
      <w:r>
        <w:t>,</w:t>
      </w:r>
      <w:r w:rsidR="005E7EA3">
        <w:t xml:space="preserve"> the Cyberela Network</w:t>
      </w:r>
      <w:r>
        <w:t>,</w:t>
      </w:r>
      <w:r w:rsidR="005E7EA3">
        <w:t xml:space="preserve"> has been launched and is now facing the need to discuss sustainability issues. </w:t>
      </w:r>
    </w:p>
    <w:p w:rsidR="005E7EA3" w:rsidRDefault="00CE3E79" w:rsidP="005E7EA3">
      <w:pPr>
        <w:pStyle w:val="SingleTxt"/>
      </w:pPr>
      <w:r>
        <w:t>26.</w:t>
      </w:r>
      <w:r>
        <w:tab/>
      </w:r>
      <w:r w:rsidR="005E7EA3">
        <w:t xml:space="preserve">UNESCO made a selection of films from </w:t>
      </w:r>
      <w:smartTag w:uri="urn:schemas-microsoft-com:office:smarttags" w:element="place">
        <w:smartTag w:uri="urn:schemas-microsoft-com:office:smarttags" w:element="country-region">
          <w:r w:rsidR="005E7EA3">
            <w:t>Brazil</w:t>
          </w:r>
        </w:smartTag>
      </w:smartTag>
      <w:r w:rsidR="005E7EA3">
        <w:t xml:space="preserve"> for its project “ICT-enhanced </w:t>
      </w:r>
      <w:r>
        <w:t xml:space="preserve">public service broadcasting: contributing </w:t>
      </w:r>
      <w:r w:rsidR="005E7EA3">
        <w:t xml:space="preserve">to the development of human rights, peace, tolerance and the fight against discrimination”. The selection criteria were based on the analysis of the treatment of the main themes to be addressed: human rights, peace, tolerance, </w:t>
      </w:r>
      <w:r>
        <w:t xml:space="preserve">the </w:t>
      </w:r>
      <w:r w:rsidR="005E7EA3">
        <w:t>fight against discrimination, the Millennium Development Goals, gender equality and women</w:t>
      </w:r>
      <w:r>
        <w:t>’</w:t>
      </w:r>
      <w:r w:rsidR="005E7EA3">
        <w:t xml:space="preserve">s empowerment, </w:t>
      </w:r>
      <w:r>
        <w:t>and freedom of expression</w:t>
      </w:r>
      <w:r w:rsidR="005E7EA3">
        <w:t xml:space="preserve"> etc.</w:t>
      </w:r>
    </w:p>
    <w:p w:rsidR="00CE3E79" w:rsidRPr="00CE3E79" w:rsidRDefault="00CE3E79" w:rsidP="00CE3E79">
      <w:pPr>
        <w:pStyle w:val="SingleTxt"/>
        <w:spacing w:after="0" w:line="120" w:lineRule="exact"/>
        <w:rPr>
          <w:sz w:val="10"/>
        </w:rPr>
      </w:pPr>
    </w:p>
    <w:p w:rsidR="005E7EA3" w:rsidRDefault="00CE3E79" w:rsidP="00CE3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Fellowships</w:t>
      </w:r>
    </w:p>
    <w:p w:rsidR="00CE3E79" w:rsidRPr="00CE3E79" w:rsidRDefault="00CE3E79" w:rsidP="00CE3E79">
      <w:pPr>
        <w:pStyle w:val="SingleTxt"/>
        <w:spacing w:after="0" w:line="120" w:lineRule="exact"/>
        <w:rPr>
          <w:sz w:val="10"/>
        </w:rPr>
      </w:pPr>
    </w:p>
    <w:p w:rsidR="005E7EA3" w:rsidRDefault="00CE3E79" w:rsidP="005E7EA3">
      <w:pPr>
        <w:pStyle w:val="SingleTxt"/>
      </w:pPr>
      <w:r>
        <w:t>27.</w:t>
      </w:r>
      <w:r>
        <w:tab/>
      </w:r>
      <w:r w:rsidR="005E7EA3">
        <w:t>One RP</w:t>
      </w:r>
      <w:r>
        <w:t xml:space="preserve"> (regular programme)</w:t>
      </w:r>
      <w:r w:rsidR="005E7EA3">
        <w:t xml:space="preserve">-UNESCO </w:t>
      </w:r>
      <w:r>
        <w:t>f</w:t>
      </w:r>
      <w:r w:rsidR="005E7EA3">
        <w:t xml:space="preserve">ellowship in support of </w:t>
      </w:r>
      <w:r>
        <w:t xml:space="preserve">priority programme areas </w:t>
      </w:r>
      <w:r w:rsidR="005E7EA3">
        <w:t xml:space="preserve">in the field of </w:t>
      </w:r>
      <w:r>
        <w:t xml:space="preserve">promotion of cultural diversity </w:t>
      </w:r>
      <w:r w:rsidR="005E7EA3">
        <w:t xml:space="preserve">for </w:t>
      </w:r>
      <w:r>
        <w:t>two</w:t>
      </w:r>
      <w:r w:rsidR="005E7EA3">
        <w:t xml:space="preserve"> months at the Université de Provence Aix-Marseille I, Aix-en-</w:t>
      </w:r>
      <w:r w:rsidR="00FB0F9A">
        <w:t>Provence, France</w:t>
      </w:r>
      <w:r w:rsidR="005E7EA3">
        <w:t xml:space="preserve"> (value </w:t>
      </w:r>
      <w:r>
        <w:t>US$ </w:t>
      </w:r>
      <w:r w:rsidR="005E7EA3">
        <w:t>5</w:t>
      </w:r>
      <w:r>
        <w:t>,</w:t>
      </w:r>
      <w:r w:rsidR="005E7EA3">
        <w:t>600) was awarded to a woman scientist.</w:t>
      </w:r>
    </w:p>
    <w:p w:rsidR="00546F5D" w:rsidRDefault="00CE3E79" w:rsidP="005E7EA3">
      <w:pPr>
        <w:pStyle w:val="SingleTxt"/>
      </w:pPr>
      <w:r>
        <w:t>28.</w:t>
      </w:r>
      <w:r w:rsidR="005E7EA3">
        <w:tab/>
        <w:t xml:space="preserve">One </w:t>
      </w:r>
      <w:r>
        <w:t xml:space="preserve">co-sponsored fellowship </w:t>
      </w:r>
      <w:r w:rsidR="005E7EA3">
        <w:t>(UNESCO/L</w:t>
      </w:r>
      <w:r>
        <w:t>’</w:t>
      </w:r>
      <w:r w:rsidR="005E7EA3">
        <w:t xml:space="preserve">OREAL) in the field of </w:t>
      </w:r>
      <w:r>
        <w:t xml:space="preserve">life sciences </w:t>
      </w:r>
      <w:r w:rsidR="005E7EA3">
        <w:t>for 12 months at the University Hospital Z</w:t>
      </w:r>
      <w:r>
        <w:t>u</w:t>
      </w:r>
      <w:r w:rsidR="005E7EA3">
        <w:t>rich, Z</w:t>
      </w:r>
      <w:r>
        <w:t>u</w:t>
      </w:r>
      <w:r w:rsidR="005E7EA3">
        <w:t>rich</w:t>
      </w:r>
      <w:r>
        <w:t xml:space="preserve">, </w:t>
      </w:r>
      <w:r w:rsidR="005E7EA3">
        <w:t xml:space="preserve">Switzerland (value </w:t>
      </w:r>
      <w:r>
        <w:t>US$ 21,</w:t>
      </w:r>
      <w:r w:rsidR="005E7EA3">
        <w:t>410) w</w:t>
      </w:r>
      <w:r w:rsidR="001C68E8">
        <w:t>as awarded to a woman scientist</w:t>
      </w:r>
      <w:r>
        <w:t>.</w:t>
      </w:r>
    </w:p>
    <w:p w:rsidR="00332413" w:rsidRDefault="00332413" w:rsidP="00332413">
      <w:pPr>
        <w:pStyle w:val="SingleTxt"/>
      </w:pPr>
      <w:r>
        <w:t>29.</w:t>
      </w:r>
      <w:r>
        <w:tab/>
        <w:t>One co-sponsored fellowship (UNESCO/L’OREAL) in the field of life sciences for six months at the Department of Craniofacial Development at King’s College, London, United Kingdom (value US$ 20,000) and another for 12 months at the Dental Institute, at King’s College, London, United Kingdom (value US$ 20,000) were awarded to a woman scientist.</w:t>
      </w:r>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r>
          <w:t>Cook Islands</w:t>
        </w:r>
      </w:smartTag>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Education</w:t>
      </w:r>
    </w:p>
    <w:p w:rsidR="00332413" w:rsidRPr="00332413" w:rsidRDefault="00332413" w:rsidP="00332413">
      <w:pPr>
        <w:pStyle w:val="SingleTxt"/>
        <w:spacing w:after="0" w:line="120" w:lineRule="exact"/>
        <w:rPr>
          <w:sz w:val="10"/>
        </w:rPr>
      </w:pPr>
    </w:p>
    <w:p w:rsidR="00332413" w:rsidRDefault="00332413" w:rsidP="00332413">
      <w:pPr>
        <w:pStyle w:val="SingleTxt"/>
      </w:pPr>
      <w:r>
        <w:t>30.</w:t>
      </w:r>
      <w:r>
        <w:tab/>
      </w:r>
      <w:smartTag w:uri="urn:schemas-microsoft-com:office:smarttags" w:element="place">
        <w:r>
          <w:t>Cook Islands</w:t>
        </w:r>
      </w:smartTag>
      <w:r>
        <w:t xml:space="preserve"> are not party to the </w:t>
      </w:r>
      <w:r w:rsidRPr="00C77C2A">
        <w:t xml:space="preserve">Convention against Discrimination in Education </w:t>
      </w:r>
      <w:r>
        <w:t xml:space="preserve">and did not report to the Sixth Consultation on the </w:t>
      </w:r>
      <w:r w:rsidRPr="00C77C2A">
        <w:t>Recommendation against Discrimination in Education</w:t>
      </w:r>
      <w:r>
        <w:t xml:space="preserve">. UNESCO will receive a comprehensive quality report for the ongoing Seventh Consultation on the Recommendation. </w:t>
      </w:r>
    </w:p>
    <w:p w:rsidR="00332413" w:rsidRDefault="00332413" w:rsidP="00332413">
      <w:pPr>
        <w:pStyle w:val="SingleTxt"/>
      </w:pPr>
      <w:r>
        <w:t>31.</w:t>
      </w:r>
      <w:r>
        <w:tab/>
      </w:r>
      <w:smartTag w:uri="urn:schemas-microsoft-com:office:smarttags" w:element="place">
        <w:r>
          <w:t>Cook Islands</w:t>
        </w:r>
      </w:smartTag>
      <w:r>
        <w:t xml:space="preserve"> are encouraged to ratify the </w:t>
      </w:r>
      <w:r w:rsidRPr="00C77C2A">
        <w:t xml:space="preserve">Convention against Discrimination in Education </w:t>
      </w:r>
      <w:r>
        <w:t xml:space="preserve">as well as the </w:t>
      </w:r>
      <w:r w:rsidRPr="00C77C2A">
        <w:t>Convention on Technical and Vocational Education</w:t>
      </w:r>
      <w:r>
        <w:t>.</w:t>
      </w:r>
    </w:p>
    <w:p w:rsidR="00332413" w:rsidRDefault="00332413" w:rsidP="00332413">
      <w:pPr>
        <w:pStyle w:val="SingleTxt"/>
      </w:pPr>
      <w:r>
        <w:t>32.</w:t>
      </w:r>
      <w:r>
        <w:tab/>
        <w:t>There is no reference to the right to education in the Constitution of 1994.</w:t>
      </w:r>
    </w:p>
    <w:p w:rsidR="00332413" w:rsidRDefault="00332413" w:rsidP="00332413">
      <w:pPr>
        <w:pStyle w:val="SingleTxt"/>
      </w:pPr>
      <w:r>
        <w:t>33.</w:t>
      </w:r>
      <w:r>
        <w:tab/>
        <w:t xml:space="preserve">The legal framework for education in </w:t>
      </w:r>
      <w:smartTag w:uri="urn:schemas-microsoft-com:office:smarttags" w:element="place">
        <w:r>
          <w:t>Cook Islands</w:t>
        </w:r>
      </w:smartTag>
      <w:r>
        <w:t xml:space="preserve"> is the Education Act 1986</w:t>
      </w:r>
      <w:r>
        <w:noBreakHyphen/>
        <w:t>87. The Act specifies criteria for suspensions, expulsions, corporal punishment, instruction times, teacher registration and compulsory attendance. Education is compulsory from 5 years of age through to the end of the year in which a student turns 15.</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Communication and information</w:t>
      </w:r>
    </w:p>
    <w:p w:rsidR="00332413" w:rsidRPr="00332413" w:rsidRDefault="00332413" w:rsidP="00332413">
      <w:pPr>
        <w:pStyle w:val="SingleTxt"/>
        <w:spacing w:after="0" w:line="120" w:lineRule="exact"/>
        <w:rPr>
          <w:sz w:val="10"/>
        </w:rPr>
      </w:pPr>
    </w:p>
    <w:p w:rsidR="00332413" w:rsidRDefault="00332413" w:rsidP="00332413">
      <w:pPr>
        <w:pStyle w:val="SingleTxt"/>
      </w:pPr>
      <w:r>
        <w:t>34.</w:t>
      </w:r>
      <w:r>
        <w:tab/>
        <w:t xml:space="preserve">The UNESCO Office, </w:t>
      </w:r>
      <w:smartTag w:uri="urn:schemas-microsoft-com:office:smarttags" w:element="place">
        <w:smartTag w:uri="urn:schemas-microsoft-com:office:smarttags" w:element="City">
          <w:r>
            <w:t>Apia</w:t>
          </w:r>
        </w:smartTag>
      </w:smartTag>
      <w:r>
        <w:t xml:space="preserve"> organized a Pacific regional workshop in 2006 to formulate a Pacific women in media action plan. The purpose of the plan is to:</w:t>
      </w:r>
    </w:p>
    <w:p w:rsidR="00332413" w:rsidRDefault="00332413" w:rsidP="00332413">
      <w:pPr>
        <w:pStyle w:val="SingleTxt"/>
      </w:pPr>
      <w:r>
        <w:tab/>
        <w:t>(a)</w:t>
      </w:r>
      <w:r>
        <w:tab/>
        <w:t xml:space="preserve">Decrease the negative portrayal of women in media; </w:t>
      </w:r>
    </w:p>
    <w:p w:rsidR="00332413" w:rsidRDefault="00332413" w:rsidP="00332413">
      <w:pPr>
        <w:pStyle w:val="SingleTxt"/>
      </w:pPr>
      <w:r>
        <w:tab/>
        <w:t>(b)</w:t>
      </w:r>
      <w:r>
        <w:tab/>
        <w:t>Increase the career development opportunities of women journalists.</w:t>
      </w:r>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Estonia</w:t>
          </w:r>
        </w:smartTag>
      </w:smartTag>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Education</w:t>
      </w:r>
    </w:p>
    <w:p w:rsidR="00332413" w:rsidRPr="00332413" w:rsidRDefault="00332413" w:rsidP="00332413">
      <w:pPr>
        <w:pStyle w:val="SingleTxt"/>
        <w:spacing w:after="0" w:line="120" w:lineRule="exact"/>
        <w:rPr>
          <w:sz w:val="10"/>
        </w:rPr>
      </w:pPr>
    </w:p>
    <w:p w:rsidR="00332413" w:rsidRDefault="00332413" w:rsidP="00332413">
      <w:pPr>
        <w:pStyle w:val="SingleTxt"/>
      </w:pPr>
      <w:r>
        <w:t>35.</w:t>
      </w:r>
      <w:r>
        <w:tab/>
      </w:r>
      <w:smartTag w:uri="urn:schemas-microsoft-com:office:smarttags" w:element="place">
        <w:smartTag w:uri="urn:schemas-microsoft-com:office:smarttags" w:element="country-region">
          <w:r>
            <w:t>Estonia</w:t>
          </w:r>
        </w:smartTag>
      </w:smartTag>
      <w:r>
        <w:t xml:space="preserve"> is not party to the </w:t>
      </w:r>
      <w:r w:rsidRPr="00C77C2A">
        <w:t>Convention against Discrimination in Education</w:t>
      </w:r>
      <w:r>
        <w:t xml:space="preserve"> but reported to the Sixth Consultation on the </w:t>
      </w:r>
      <w:r w:rsidRPr="00C77C2A">
        <w:t>Recommendation against Discrimination in Education</w:t>
      </w:r>
      <w:r>
        <w:t xml:space="preserve"> in 1997. UNESCO will receive a comprehensive quality report for the ongoing Seventh Consultation, and also expects that, in response to the letter from the UNESCO Director-General, </w:t>
      </w:r>
      <w:smartTag w:uri="urn:schemas-microsoft-com:office:smarttags" w:element="place">
        <w:smartTag w:uri="urn:schemas-microsoft-com:office:smarttags" w:element="country-region">
          <w:r>
            <w:t>Estonia</w:t>
          </w:r>
        </w:smartTag>
      </w:smartTag>
      <w:r>
        <w:t xml:space="preserve"> will adhere to the </w:t>
      </w:r>
      <w:r w:rsidRPr="00C77C2A">
        <w:t>Convention against Discrimination in Education</w:t>
      </w:r>
      <w:r>
        <w:t>.</w:t>
      </w:r>
    </w:p>
    <w:p w:rsidR="00332413" w:rsidRDefault="00332413" w:rsidP="00332413">
      <w:pPr>
        <w:pStyle w:val="SingleTxt"/>
      </w:pPr>
      <w:r>
        <w:t>36.</w:t>
      </w:r>
      <w:r>
        <w:tab/>
        <w:t xml:space="preserve">UNESCO also encourages this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to ratify the </w:t>
      </w:r>
      <w:r w:rsidRPr="00C77C2A">
        <w:t>Convention on Technical and Vocational Education</w:t>
      </w:r>
      <w:r>
        <w:t>.</w:t>
      </w:r>
    </w:p>
    <w:p w:rsidR="00332413" w:rsidRDefault="00332413" w:rsidP="00332413">
      <w:pPr>
        <w:pStyle w:val="SingleTxt"/>
      </w:pPr>
      <w:r>
        <w:t>37.</w:t>
      </w:r>
      <w:r>
        <w:tab/>
        <w:t xml:space="preserve">Article 37 of the Constitution of 1992 is devoted to education and stipulates that “(1) Everyone shall have the right to an education. Education shall be compulsory for school-age children to the extent specified by law, and free of school fees in state and local government general education schools; (…) (3) Parents shall have the final decision in choosing education for their children; (4) Everyone shall have the right to instruction in Estonian. Educational institutions established for minorities shall choose their own language of instruction; (5) The provision of education shall be supervised by the state”. </w:t>
      </w:r>
      <w:smartTag w:uri="urn:schemas-microsoft-com:office:smarttags" w:element="place">
        <w:smartTag w:uri="urn:schemas-microsoft-com:office:smarttags" w:element="country-region">
          <w:r>
            <w:t>Estonia</w:t>
          </w:r>
        </w:smartTag>
      </w:smartTag>
      <w:r>
        <w:t xml:space="preserve"> has planned measures for fighting unemployment within the higher risk groups, including long-term unemployed people, young people, disabled people and rural women. </w:t>
      </w:r>
    </w:p>
    <w:p w:rsidR="00332413" w:rsidRDefault="00332413" w:rsidP="00332413">
      <w:pPr>
        <w:pStyle w:val="SingleTxt"/>
      </w:pPr>
      <w:r>
        <w:t>38.</w:t>
      </w:r>
      <w:r>
        <w:tab/>
        <w:t xml:space="preserve">In </w:t>
      </w:r>
      <w:smartTag w:uri="urn:schemas-microsoft-com:office:smarttags" w:element="place">
        <w:smartTag w:uri="urn:schemas-microsoft-com:office:smarttags" w:element="country-region">
          <w:r>
            <w:t>Estonia</w:t>
          </w:r>
        </w:smartTag>
      </w:smartTag>
      <w:r>
        <w:t xml:space="preserve">, employment rate is higher than the European average: 57.3 per cent and 54.9 per cent, respectively. </w:t>
      </w:r>
    </w:p>
    <w:p w:rsidR="00332413" w:rsidRDefault="00332413" w:rsidP="00332413">
      <w:pPr>
        <w:pStyle w:val="SingleTxt"/>
      </w:pPr>
      <w:r>
        <w:t>39.</w:t>
      </w:r>
      <w:r>
        <w:tab/>
        <w:t xml:space="preserve">The main Estonian concerns in the employment sphere lie within the area of the elimination of gender discrimination. </w:t>
      </w:r>
      <w:smartTag w:uri="urn:schemas-microsoft-com:office:smarttags" w:element="place">
        <w:smartTag w:uri="urn:schemas-microsoft-com:office:smarttags" w:element="country-region">
          <w:r>
            <w:t>Estonia</w:t>
          </w:r>
        </w:smartTag>
      </w:smartTag>
      <w:r>
        <w:t xml:space="preserve"> ratified the International Labour Organization Convention (No. 100) concerning Equal Remuneration for Men and Women Workers for Work of Equal Value. Also, a new draft legislation regulating gender equality matters was developed. A governmental meeting on 13 May 2003 decided to prepare the basis for a broader concept on labour market discrimination matters and to undertake measures to ratify ILO Convention (No. 111) concerning Discrimination in respect of Employment and Occupation, in accordance with a large variety of characteristics on the basis of race, sex, religion, and geographic or social origin. It will create conditions for providing equality of opportunity at work and during employment.</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country-region">
          <w:r>
            <w:t>Guinea</w:t>
          </w:r>
        </w:smartTag>
      </w:smartTag>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32413" w:rsidRPr="00332413" w:rsidRDefault="00332413" w:rsidP="00332413">
      <w:pPr>
        <w:pStyle w:val="SingleTxt"/>
        <w:spacing w:after="0" w:line="120" w:lineRule="exact"/>
        <w:rPr>
          <w:sz w:val="10"/>
        </w:rPr>
      </w:pPr>
    </w:p>
    <w:p w:rsidR="00332413" w:rsidRDefault="00332413" w:rsidP="00332413">
      <w:pPr>
        <w:pStyle w:val="SingleTxt"/>
      </w:pPr>
      <w:r>
        <w:t>40.</w:t>
      </w:r>
      <w:r>
        <w:tab/>
      </w:r>
      <w:smartTag w:uri="urn:schemas-microsoft-com:office:smarttags" w:element="place">
        <w:smartTag w:uri="urn:schemas-microsoft-com:office:smarttags" w:element="country-region">
          <w:r>
            <w:t>Guinea</w:t>
          </w:r>
        </w:smartTag>
      </w:smartTag>
      <w:r>
        <w:t xml:space="preserve"> has been party to the </w:t>
      </w:r>
      <w:r w:rsidRPr="00C77C2A">
        <w:t>Convention against Discrimination in Education</w:t>
      </w:r>
      <w:r>
        <w:t xml:space="preserve"> since 1964 and reported to UNESCO for the Seventh Consultation. </w:t>
      </w:r>
    </w:p>
    <w:p w:rsidR="00332413" w:rsidRDefault="00332413" w:rsidP="00332413">
      <w:pPr>
        <w:pStyle w:val="SingleTxt"/>
      </w:pPr>
      <w:r>
        <w:t>41.</w:t>
      </w:r>
      <w:r>
        <w:tab/>
        <w:t xml:space="preserve">UNESCO encourages </w:t>
      </w:r>
      <w:smartTag w:uri="urn:schemas-microsoft-com:office:smarttags" w:element="place">
        <w:smartTag w:uri="urn:schemas-microsoft-com:office:smarttags" w:element="country-region">
          <w:r>
            <w:t>Guinea</w:t>
          </w:r>
        </w:smartTag>
      </w:smartTag>
      <w:r>
        <w:t xml:space="preserve"> to ratify the </w:t>
      </w:r>
      <w:r w:rsidRPr="00C77C2A">
        <w:t>Convention on Technical and Vocational Education</w:t>
      </w:r>
      <w:r>
        <w:t xml:space="preserve">. </w:t>
      </w:r>
    </w:p>
    <w:p w:rsidR="00332413" w:rsidRDefault="00332413" w:rsidP="00332413">
      <w:pPr>
        <w:pStyle w:val="SingleTxt"/>
      </w:pPr>
      <w:r>
        <w:t>42.</w:t>
      </w:r>
      <w:r>
        <w:tab/>
        <w:t>The Constitution, revised in 2004, stipulates in article 16 that marriage and the family, which are the natural basis of life in a society, are protected and encouraged by the State. It is the right and duty of parents to ensure the education and physical and moral integrity of their children. Article 21 of the Constitution stipulates that (…) the State ensures the compulsory education of the young people. Every person has the right to education and the State provides conditions and institutions for the education. The State guarantees freedom of teaching and controls private schools.</w:t>
      </w:r>
    </w:p>
    <w:p w:rsidR="00332413" w:rsidRDefault="00332413" w:rsidP="00332413">
      <w:pPr>
        <w:pStyle w:val="SingleTxt"/>
      </w:pPr>
      <w:r>
        <w:t>43.</w:t>
      </w:r>
      <w:r>
        <w:tab/>
        <w:t xml:space="preserve">The law of orientation of national education, No. L/97/022/AN, adopted and promulgated by the National Assembly in 1997, is devoted to fundamental characteristics of education in </w:t>
      </w:r>
      <w:smartTag w:uri="urn:schemas-microsoft-com:office:smarttags" w:element="place">
        <w:smartTag w:uri="urn:schemas-microsoft-com:office:smarttags" w:element="country-region">
          <w:r>
            <w:t>Guinea</w:t>
          </w:r>
        </w:smartTag>
      </w:smartTag>
      <w:r>
        <w:t xml:space="preserve"> and stipulates that the right to education is guaranteed to every person, in order to permit development of personality, increase of continuing education level, and getting involved in social and professional life.</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Information and communication</w:t>
      </w:r>
    </w:p>
    <w:p w:rsidR="00332413" w:rsidRPr="00332413" w:rsidRDefault="00332413" w:rsidP="00332413">
      <w:pPr>
        <w:pStyle w:val="SingleTxt"/>
        <w:spacing w:after="0" w:line="120" w:lineRule="exact"/>
        <w:rPr>
          <w:sz w:val="10"/>
        </w:rPr>
      </w:pPr>
    </w:p>
    <w:p w:rsidR="00332413" w:rsidRDefault="00332413" w:rsidP="00332413">
      <w:pPr>
        <w:pStyle w:val="SingleTxt"/>
      </w:pPr>
      <w:r>
        <w:t>44.</w:t>
      </w:r>
      <w:r>
        <w:tab/>
        <w:t xml:space="preserve">In </w:t>
      </w:r>
      <w:smartTag w:uri="urn:schemas-microsoft-com:office:smarttags" w:element="place">
        <w:smartTag w:uri="urn:schemas-microsoft-com:office:smarttags" w:element="City">
          <w:r>
            <w:t>Chennai</w:t>
          </w:r>
        </w:smartTag>
        <w:r>
          <w:t xml:space="preserve">, </w:t>
        </w:r>
        <w:smartTag w:uri="urn:schemas-microsoft-com:office:smarttags" w:element="country-region">
          <w:r>
            <w:t>India</w:t>
          </w:r>
        </w:smartTag>
      </w:smartTag>
      <w:r>
        <w:t xml:space="preserve">, a workshop was organized on using information and communication technologies (ICTs) to access and manage the latest information in the scientific developments relating to HIV/AIDS, rather than to focus on the social and medical aspects of the pandemic. Women media professionals from </w:t>
      </w:r>
      <w:smartTag w:uri="urn:schemas-microsoft-com:office:smarttags" w:element="country-region">
        <w:r>
          <w:t>Guinea</w:t>
        </w:r>
      </w:smartTag>
      <w:r>
        <w:t xml:space="preserve"> and their colleagues from Africa and </w:t>
      </w:r>
      <w:smartTag w:uri="urn:schemas-microsoft-com:office:smarttags" w:element="place">
        <w:r>
          <w:t>Asia</w:t>
        </w:r>
      </w:smartTag>
      <w:r>
        <w:t xml:space="preserve"> explored HIV/AIDS from a scientific perspective. This training is the second in a series of workshops that were delivered to professional women journalists and health communicators in Africa and </w:t>
      </w:r>
      <w:smartTag w:uri="urn:schemas-microsoft-com:office:smarttags" w:element="place">
        <w:r>
          <w:t>Asia</w:t>
        </w:r>
      </w:smartTag>
      <w:r>
        <w:t xml:space="preserve">. Using ICTs enables these professionals to access scientific information and improve their understanding of the scientific implications of HIV/AIDS. </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Fellowships</w:t>
      </w:r>
    </w:p>
    <w:p w:rsidR="00332413" w:rsidRPr="00332413" w:rsidRDefault="00332413" w:rsidP="00332413">
      <w:pPr>
        <w:pStyle w:val="SingleTxt"/>
        <w:spacing w:after="0" w:line="120" w:lineRule="exact"/>
        <w:rPr>
          <w:sz w:val="10"/>
        </w:rPr>
      </w:pPr>
    </w:p>
    <w:p w:rsidR="00332413" w:rsidRPr="00026CA8" w:rsidRDefault="00332413" w:rsidP="00332413">
      <w:pPr>
        <w:pStyle w:val="SingleTxt"/>
      </w:pPr>
      <w:r w:rsidRPr="00026CA8">
        <w:t>45.</w:t>
      </w:r>
      <w:r w:rsidRPr="00026CA8">
        <w:tab/>
        <w:t>One UNESCO/Keizo Obuchi (Japan) co-sponsored research fellowship in the field of peaceful resolution of conflicts for nine months at the Cheikh Anta Diop University, in Dakar, Senegal (value US$ 9,500) was awarded to a woman researcher.</w:t>
      </w:r>
    </w:p>
    <w:p w:rsidR="00332413" w:rsidRDefault="00332413" w:rsidP="00332413">
      <w:pPr>
        <w:pStyle w:val="H23"/>
        <w:ind w:right="1260"/>
      </w:pPr>
      <w:r>
        <w:tab/>
      </w:r>
      <w:r>
        <w:tab/>
      </w:r>
      <w:smartTag w:uri="urn:schemas-microsoft-com:office:smarttags" w:element="place">
        <w:smartTag w:uri="urn:schemas-microsoft-com:office:smarttags" w:element="country-region">
          <w:r>
            <w:t>Honduras</w:t>
          </w:r>
        </w:smartTag>
      </w:smartTag>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32413" w:rsidRPr="00332413" w:rsidRDefault="00332413" w:rsidP="00332413">
      <w:pPr>
        <w:pStyle w:val="SingleTxt"/>
        <w:spacing w:after="0" w:line="120" w:lineRule="exact"/>
        <w:rPr>
          <w:sz w:val="10"/>
        </w:rPr>
      </w:pPr>
    </w:p>
    <w:p w:rsidR="00332413" w:rsidRDefault="00332413" w:rsidP="00332413">
      <w:pPr>
        <w:pStyle w:val="SingleTxt"/>
      </w:pPr>
      <w:r>
        <w:t>46.</w:t>
      </w:r>
      <w:r>
        <w:tab/>
      </w:r>
      <w:smartTag w:uri="urn:schemas-microsoft-com:office:smarttags" w:element="place">
        <w:smartTag w:uri="urn:schemas-microsoft-com:office:smarttags" w:element="country-region">
          <w:r>
            <w:t>Honduras</w:t>
          </w:r>
        </w:smartTag>
      </w:smartTag>
      <w:r>
        <w:t xml:space="preserve"> is not party to the </w:t>
      </w:r>
      <w:r w:rsidRPr="00C77C2A">
        <w:t>Convention against Discrimination in Education</w:t>
      </w:r>
      <w:r>
        <w:t xml:space="preserve">. </w:t>
      </w:r>
    </w:p>
    <w:p w:rsidR="00332413" w:rsidRDefault="00332413" w:rsidP="00332413">
      <w:pPr>
        <w:pStyle w:val="SingleTxt"/>
      </w:pPr>
      <w:r>
        <w:t>47.</w:t>
      </w:r>
      <w:r>
        <w:tab/>
        <w:t xml:space="preserve">UNESCO will receive a comprehensive quality report for the ongoing Seventh Consultation on the implementation of the </w:t>
      </w:r>
      <w:r w:rsidRPr="00C77C2A">
        <w:t>Recommendation against Discrimination in Education</w:t>
      </w:r>
      <w:r>
        <w:t xml:space="preserve">, and also expects that, in response to the letter from the UNESCO Director-General, </w:t>
      </w:r>
      <w:smartTag w:uri="urn:schemas-microsoft-com:office:smarttags" w:element="place">
        <w:smartTag w:uri="urn:schemas-microsoft-com:office:smarttags" w:element="country-region">
          <w:r>
            <w:t>Honduras</w:t>
          </w:r>
        </w:smartTag>
      </w:smartTag>
      <w:r>
        <w:t xml:space="preserve"> will adhere to the </w:t>
      </w:r>
      <w:r w:rsidRPr="00C77C2A">
        <w:t>Convention against Discrimination in Education</w:t>
      </w:r>
      <w:r>
        <w:t xml:space="preserve">. </w:t>
      </w:r>
    </w:p>
    <w:p w:rsidR="00332413" w:rsidRDefault="00332413" w:rsidP="00332413">
      <w:pPr>
        <w:pStyle w:val="SingleTxt"/>
      </w:pPr>
      <w:r>
        <w:t>48.</w:t>
      </w:r>
      <w:r>
        <w:tab/>
        <w:t xml:space="preserve">UNESCO also encourages this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to ratify the </w:t>
      </w:r>
      <w:r w:rsidRPr="00C77C2A">
        <w:t>Convention on Technical and Vocational Education</w:t>
      </w:r>
      <w:r>
        <w:t>.</w:t>
      </w:r>
    </w:p>
    <w:p w:rsidR="00332413" w:rsidRDefault="00332413" w:rsidP="00332413">
      <w:pPr>
        <w:pStyle w:val="SingleTxt"/>
      </w:pPr>
      <w:r>
        <w:t>49.</w:t>
      </w:r>
      <w:r>
        <w:tab/>
        <w:t>In compliance with article 153 of the Constitution of 1982, the State has the obligation to promote the basic education of the people, creating for that purpose the necessary administrative and technical institutions which shall be directly dependent on the Secretariat of State in the Office of Public Education. Moreover, article 171 provides that public education shall be free, and basic education shall also be compulsory and completely at the expense of the State. The State shall set up the necessary compulsory mechanisms accordingly to make these provisions effective. According to article 151 of the Constitution, education is an essential function of the State for the preservation, development and dissemination of culture, which must extend its benefits to society without discrimination of any kind. Public education shall be secular and be based on fundamental principles of democracy. The Constitution of 1982 also guarantees: the right of parents to choose the type of education they wish to give to their children (article 152); the elimination of illiteracy as a primary task for the State (article 154); freedom of education and training (article 155); the right to establish educational centres with due compliance with this Constitution and other laws (article 166); and the education of handicapped persons (article 169). Furthermore, the Constitution provides quality education. Indeed, in compliance with article 158, no educational establishment may provide education of a quality below the level established by the law. Article 165 guarantees employment stability, a standard of living and an adequate pension.</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country-region">
          <w:r>
            <w:t>Hungary</w:t>
          </w:r>
        </w:smartTag>
      </w:smartTag>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32413" w:rsidRPr="00332413" w:rsidRDefault="00332413" w:rsidP="00332413">
      <w:pPr>
        <w:pStyle w:val="SingleTxt"/>
        <w:spacing w:after="0" w:line="120" w:lineRule="exact"/>
        <w:rPr>
          <w:sz w:val="10"/>
        </w:rPr>
      </w:pPr>
    </w:p>
    <w:p w:rsidR="00332413" w:rsidRDefault="00332413" w:rsidP="00332413">
      <w:pPr>
        <w:pStyle w:val="SingleTxt"/>
      </w:pPr>
      <w:r>
        <w:t>50.</w:t>
      </w:r>
      <w:r>
        <w:tab/>
      </w:r>
      <w:smartTag w:uri="urn:schemas-microsoft-com:office:smarttags" w:element="place">
        <w:smartTag w:uri="urn:schemas-microsoft-com:office:smarttags" w:element="country-region">
          <w:r>
            <w:t>Hungary</w:t>
          </w:r>
        </w:smartTag>
      </w:smartTag>
      <w:r>
        <w:t xml:space="preserve"> has been party to the </w:t>
      </w:r>
      <w:r w:rsidRPr="00C77C2A">
        <w:t>Convention against Discrimination in Education</w:t>
      </w:r>
      <w:r>
        <w:t xml:space="preserve"> since 1964 and reported to UNESCO for the Sixth Consultation on the implementation of the Convention in January 1997. UNESCO has also received the State report for the ongoing Seventh Consultation.</w:t>
      </w:r>
    </w:p>
    <w:p w:rsidR="00332413" w:rsidRDefault="00332413" w:rsidP="00332413">
      <w:pPr>
        <w:pStyle w:val="SingleTxt"/>
      </w:pPr>
      <w:r>
        <w:t>51.</w:t>
      </w:r>
      <w:r>
        <w:tab/>
      </w:r>
      <w:smartTag w:uri="urn:schemas-microsoft-com:office:smarttags" w:element="place">
        <w:smartTag w:uri="urn:schemas-microsoft-com:office:smarttags" w:element="country-region">
          <w:r>
            <w:t>Hungary</w:t>
          </w:r>
        </w:smartTag>
      </w:smartTag>
      <w:r>
        <w:t xml:space="preserve"> is encouraged to ratify the </w:t>
      </w:r>
      <w:r w:rsidRPr="00C77C2A">
        <w:t>Convention on Technical and Vocational Education</w:t>
      </w:r>
      <w:r>
        <w:t>.</w:t>
      </w:r>
    </w:p>
    <w:p w:rsidR="00332413" w:rsidRDefault="00332413" w:rsidP="00332413">
      <w:pPr>
        <w:pStyle w:val="SingleTxt"/>
      </w:pPr>
      <w:r>
        <w:t>52.</w:t>
      </w:r>
      <w:r>
        <w:tab/>
        <w:t xml:space="preserve">The right to education is provided in the Constitution of 1989. Article 70F states that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Hungary</w:t>
          </w:r>
        </w:smartTag>
      </w:smartTag>
      <w:r>
        <w:t xml:space="preserve"> guarantees the right of education to its citizens”. It adds that the Republic of Hungary has the obligation to implement this right through “the dissemination and general access to culture, free compulsory primary schooling, through secondary and higher education available to all persons on the basis of their ability, and furthermore through financial support for students”.</w:t>
      </w:r>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Communication and information</w:t>
      </w:r>
    </w:p>
    <w:p w:rsidR="00332413" w:rsidRPr="00332413" w:rsidRDefault="00332413" w:rsidP="00332413">
      <w:pPr>
        <w:pStyle w:val="SingleTxt"/>
        <w:spacing w:after="0" w:line="120" w:lineRule="exact"/>
        <w:rPr>
          <w:sz w:val="10"/>
        </w:rPr>
      </w:pPr>
    </w:p>
    <w:p w:rsidR="00332413" w:rsidRDefault="00332413" w:rsidP="00332413">
      <w:pPr>
        <w:pStyle w:val="SingleTxt"/>
      </w:pPr>
      <w:r>
        <w:t>53.</w:t>
      </w:r>
      <w:r>
        <w:tab/>
        <w:t xml:space="preserve">Within the Framework of the Eurovision News Exchange Project for South East Europe, a regional TV news exchange network was started in November 2000 with financial backing from the Finnish Ministry of Foreign Affairs (Finnish Broadcasting Company YLE, as administrator of the project) and UNESCO. UNESCO supported the production of a 25-minute DVD documentary film, Women trafficking, which investigates the social and cultural contexts of women trafficking in South-East Europe and contains information about the cases of women trafficking, victim profiles and trafficking routes; the results of international and regional counter-trafficking initiatives, the results of government involvement and national plans of action; as well as good practices and gaps in the work of specialized non-governmental organizations and international organizations; and present repatriation and reintegration approaches. This documentary was screened at UNESCO headquarters in </w:t>
      </w:r>
      <w:smartTag w:uri="urn:schemas-microsoft-com:office:smarttags" w:element="place">
        <w:smartTag w:uri="urn:schemas-microsoft-com:office:smarttags" w:element="City">
          <w:r>
            <w:t>Paris</w:t>
          </w:r>
        </w:smartTag>
      </w:smartTag>
      <w:r>
        <w:t xml:space="preserve"> on the occasion of International Women’s Day 2007. </w:t>
      </w:r>
      <w:smartTag w:uri="urn:schemas-microsoft-com:office:smarttags" w:element="country-region">
        <w:r>
          <w:t>Hungary</w:t>
        </w:r>
      </w:smartTag>
      <w:r>
        <w:t xml:space="preserve"> is a part of the public broadcaster’s network in </w:t>
      </w:r>
      <w:smartTag w:uri="urn:schemas-microsoft-com:office:smarttags" w:element="place">
        <w:r>
          <w:t>South-East Europe</w:t>
        </w:r>
      </w:smartTag>
      <w:r>
        <w:t xml:space="preserve"> and thus a member in the Eurovision News Exchange Project.</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Science</w:t>
      </w:r>
    </w:p>
    <w:p w:rsidR="00332413" w:rsidRPr="00332413" w:rsidRDefault="00332413" w:rsidP="00332413">
      <w:pPr>
        <w:pStyle w:val="SingleTxt"/>
        <w:spacing w:after="0" w:line="120" w:lineRule="exact"/>
        <w:rPr>
          <w:sz w:val="10"/>
        </w:rPr>
      </w:pPr>
    </w:p>
    <w:p w:rsidR="00332413" w:rsidRDefault="00332413" w:rsidP="00332413">
      <w:pPr>
        <w:pStyle w:val="SingleTxt"/>
      </w:pPr>
      <w:r>
        <w:t>54.</w:t>
      </w:r>
      <w:r>
        <w:tab/>
        <w:t xml:space="preserve">Women scientists greatly influenced the World Conference on Science, organized in 1999 in </w:t>
      </w:r>
      <w:smartTag w:uri="urn:schemas-microsoft-com:office:smarttags" w:element="place">
        <w:smartTag w:uri="urn:schemas-microsoft-com:office:smarttags" w:element="City">
          <w:r>
            <w:t>Budapest</w:t>
          </w:r>
        </w:smartTag>
        <w:r>
          <w:t xml:space="preserve">, </w:t>
        </w:r>
        <w:smartTag w:uri="urn:schemas-microsoft-com:office:smarttags" w:element="country-region">
          <w:r>
            <w:t>Hungary</w:t>
          </w:r>
        </w:smartTag>
      </w:smartTag>
      <w:r>
        <w:t xml:space="preserve"> and its follow-up. The final Declaration denounces the historical inequality between women and men in the field of science and calls for “sustainable development, equal access for girls and boys, for women and men, to scientific and technological education and training, to environmental science and to decision-making positions”.</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country-region">
          <w:r>
            <w:t>Indonesia</w:t>
          </w:r>
        </w:smartTag>
      </w:smartTag>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32413" w:rsidRPr="00332413" w:rsidRDefault="00332413" w:rsidP="00332413">
      <w:pPr>
        <w:pStyle w:val="SingleTxt"/>
        <w:spacing w:after="0" w:line="120" w:lineRule="exact"/>
        <w:rPr>
          <w:sz w:val="10"/>
        </w:rPr>
      </w:pPr>
    </w:p>
    <w:p w:rsidR="00332413" w:rsidRDefault="00332413" w:rsidP="00332413">
      <w:pPr>
        <w:pStyle w:val="SingleTxt"/>
      </w:pPr>
      <w:r>
        <w:t>55.</w:t>
      </w:r>
      <w:r>
        <w:tab/>
      </w:r>
      <w:smartTag w:uri="urn:schemas-microsoft-com:office:smarttags" w:element="place">
        <w:smartTag w:uri="urn:schemas-microsoft-com:office:smarttags" w:element="country-region">
          <w:r>
            <w:t>Indonesia</w:t>
          </w:r>
        </w:smartTag>
      </w:smartTag>
      <w:r>
        <w:t xml:space="preserve"> has been party to the </w:t>
      </w:r>
      <w:r w:rsidRPr="00C77C2A">
        <w:t>Convention against Discrimination in Education</w:t>
      </w:r>
      <w:r>
        <w:t xml:space="preserve"> since 1967 but did not report to the Sixth Consultation on the implementation of the Convention. UNESCO will receive a comprehensive quality report for the ongoing Seventh Consultation.</w:t>
      </w:r>
    </w:p>
    <w:p w:rsidR="00332413" w:rsidRDefault="00332413" w:rsidP="00332413">
      <w:pPr>
        <w:pStyle w:val="SingleTxt"/>
      </w:pPr>
      <w:r>
        <w:t>56.</w:t>
      </w:r>
      <w:r>
        <w:tab/>
      </w:r>
      <w:smartTag w:uri="urn:schemas-microsoft-com:office:smarttags" w:element="place">
        <w:smartTag w:uri="urn:schemas-microsoft-com:office:smarttags" w:element="country-region">
          <w:r>
            <w:t>Indonesia</w:t>
          </w:r>
        </w:smartTag>
      </w:smartTag>
      <w:r>
        <w:t xml:space="preserve"> is encouraged to ratify the </w:t>
      </w:r>
      <w:r w:rsidRPr="00C77C2A">
        <w:t>Convention on Technical and Vocational Education</w:t>
      </w:r>
      <w:r>
        <w:t>.</w:t>
      </w:r>
    </w:p>
    <w:p w:rsidR="00332413" w:rsidRDefault="00332413" w:rsidP="00332413">
      <w:pPr>
        <w:pStyle w:val="SingleTxt"/>
      </w:pPr>
      <w:r>
        <w:t>57.</w:t>
      </w:r>
      <w:r>
        <w:tab/>
        <w:t xml:space="preserve">The Constitution of 1945 stipulates that every citizen has the right to education (article 31). Guided by the mission of education and educational strategies, </w:t>
      </w:r>
      <w:smartTag w:uri="urn:schemas-microsoft-com:office:smarttags" w:element="place">
        <w:smartTag w:uri="urn:schemas-microsoft-com:office:smarttags" w:element="country-region">
          <w:r>
            <w:t>Indonesia</w:t>
          </w:r>
        </w:smartTag>
      </w:smartTag>
      <w:r>
        <w:t xml:space="preserve"> enacted the Law on National Education System, adopted in July 2003. This Law has its foundations in the Constitution and creates a legal framework for the major educational goal, policies and plans. An outstanding feature of the Law is the implementation of compulsory basic education, free of cost, for all Indonesian citizens. It is provided that every seven- to fifteen-year-old citizen shall have the right to basic education (article 6). </w:t>
      </w:r>
    </w:p>
    <w:p w:rsidR="00332413" w:rsidRDefault="00332413" w:rsidP="00332413">
      <w:pPr>
        <w:pStyle w:val="SingleTxt"/>
      </w:pPr>
      <w:r>
        <w:t>58.</w:t>
      </w:r>
      <w:r>
        <w:tab/>
        <w:t xml:space="preserve">Development policies in </w:t>
      </w:r>
      <w:smartTag w:uri="urn:schemas-microsoft-com:office:smarttags" w:element="place">
        <w:smartTag w:uri="urn:schemas-microsoft-com:office:smarttags" w:element="country-region">
          <w:r>
            <w:t>Indonesia</w:t>
          </w:r>
        </w:smartTag>
      </w:smartTag>
      <w:r>
        <w:t xml:space="preserve"> are based on the principle of equality between men and women, as stated in article 27 of the 1945 Indonesian Constitution. This equality principle is reflected in the inclusion of a special chapter on the role of women in nation-building in the Broad Guidelines of the State Policy (</w:t>
      </w:r>
      <w:r w:rsidRPr="00632E3A">
        <w:rPr>
          <w:i/>
        </w:rPr>
        <w:t>Garis-</w:t>
      </w:r>
      <w:r>
        <w:rPr>
          <w:i/>
        </w:rPr>
        <w:t>G</w:t>
      </w:r>
      <w:r w:rsidRPr="00632E3A">
        <w:rPr>
          <w:i/>
        </w:rPr>
        <w:t>aris Be</w:t>
      </w:r>
      <w:r>
        <w:rPr>
          <w:i/>
        </w:rPr>
        <w:t>s</w:t>
      </w:r>
      <w:r w:rsidRPr="00632E3A">
        <w:rPr>
          <w:i/>
        </w:rPr>
        <w:t>ar Haluan Negara</w:t>
      </w:r>
      <w:r>
        <w:t>/GBHN) of 1978, which is revised and adopted every five years by the People’s Consultative Assembly. The 1998 Guidelines stated that “women as citizens as well as human resources for national development have equal rights, duties and opportunities like men in all fields of life of the nation and in all development activities. Therefore, women’s positions in the community and their role in development should be improved and directed towards enabling them to give the greatest possible contribution to the nation’s development, in accordance with their destiny, dignity and their status”. Democratic reforms after 1998 brought about an increase in women’s activism, particularly at the grass-roots level. Women’s opportunities and political representation have since increased. Although the participation of women in the employed labour force has increased in different industrial sectors, a majority of the women are employed in traditional agriculture and services. Moreover, many of the employment opportunities for women are concentrated in low-skilled occupations with low pay, and only a few women are in high-level positions in the public and private sectors. Having reached quasi-equal status in educational attainment with boys, Indonesian girls and young women still have to struggle against persisting gender gaps in employment, and in the social and political arenas.</w:t>
      </w:r>
    </w:p>
    <w:p w:rsidR="00332413" w:rsidRDefault="00332413" w:rsidP="00332413">
      <w:pPr>
        <w:pStyle w:val="SingleTxt"/>
      </w:pPr>
      <w:r>
        <w:t>59.</w:t>
      </w:r>
      <w:r>
        <w:tab/>
        <w:t>The First South-East Asia Forum gender and energy conference on gender mainstreaming in energy policy and technology was organized by the UNESCO Office, Jakarta in close collaboration with the University of Indonesia and the International Society for Expertise, Education and Development (I-SEED). The Forum brought together universities from five South-East Asian island nations (sponsored by Japanese Funds-in-Trust).</w:t>
      </w:r>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Fellowships</w:t>
      </w:r>
    </w:p>
    <w:p w:rsidR="00332413" w:rsidRPr="00332413" w:rsidRDefault="00332413" w:rsidP="00332413">
      <w:pPr>
        <w:pStyle w:val="SingleTxt"/>
        <w:spacing w:after="0" w:line="120" w:lineRule="exact"/>
        <w:rPr>
          <w:sz w:val="10"/>
        </w:rPr>
      </w:pPr>
    </w:p>
    <w:p w:rsidR="00332413" w:rsidRDefault="00332413" w:rsidP="00332413">
      <w:pPr>
        <w:pStyle w:val="SingleTxt"/>
      </w:pPr>
      <w:r>
        <w:t>60.</w:t>
      </w:r>
      <w:r>
        <w:tab/>
        <w:t>One co-sponsored fellowship (UNESCO/L’OREAL) in the field of life sciences for 12 months at the Department of Plant Sciences of the Research Centre for Biotechnology, Indonesia (value US$ 21,990) was awarded to a woman researcher.</w:t>
      </w:r>
    </w:p>
    <w:p w:rsidR="00332413" w:rsidRDefault="00332413" w:rsidP="00332413">
      <w:pPr>
        <w:pStyle w:val="SingleTxt"/>
      </w:pPr>
      <w:r>
        <w:t>61.</w:t>
      </w:r>
      <w:r>
        <w:tab/>
        <w:t>One UNESCO/Keizo Obuchi (Japan) co-sponsored research fellowship in the field of environment for five months at the Faculty of Environmental and Resources Studies at Mahidol University, Nakhon Pathom, Thailand (value US$ 7,500) was awarded to a woman researcher.</w:t>
      </w:r>
    </w:p>
    <w:p w:rsidR="00332413" w:rsidRDefault="00332413" w:rsidP="00332413">
      <w:pPr>
        <w:pStyle w:val="SingleTxt"/>
      </w:pPr>
      <w:r>
        <w:t>62.</w:t>
      </w:r>
      <w:r>
        <w:tab/>
        <w:t>One RP-UNESCO fellowship in support of priority programme areas in the field of social sciences for six months at the Université de Rouen, Mont-Saint-Aignan, France (value US$ 14,117) was awarded to a woman scientist.</w:t>
      </w:r>
    </w:p>
    <w:p w:rsidR="00332413" w:rsidRDefault="00332413" w:rsidP="00332413">
      <w:pPr>
        <w:pStyle w:val="SingleTxt"/>
      </w:pPr>
      <w:r>
        <w:t>63.</w:t>
      </w:r>
      <w:r>
        <w:tab/>
        <w:t>One co-sponsored fellowship (UNESCO/CHINA, The Great Wall) in the field of organic chemistry for one academic year at the Zhejiang University, International College, Hangzhou, China (value US$ 22,235) was awarded to a woman scientist.</w:t>
      </w:r>
    </w:p>
    <w:p w:rsidR="00332413" w:rsidRDefault="00332413" w:rsidP="00332413">
      <w:pPr>
        <w:pStyle w:val="SingleTxt"/>
      </w:pPr>
      <w:r>
        <w:t>64.</w:t>
      </w:r>
      <w:r>
        <w:tab/>
        <w:t>One co-sponsored fellowship (UNESCO/L’OREAL) in the field of life sciences for 12 months at the University of Melbourne, Parkville, Victoria, Australia (value US$ 20,000) was awarded to a woman scientist.</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country-region">
          <w:r>
            <w:t>Jordan</w:t>
          </w:r>
        </w:smartTag>
      </w:smartTag>
    </w:p>
    <w:p w:rsidR="00332413" w:rsidRPr="00332413" w:rsidRDefault="00332413" w:rsidP="00332413">
      <w:pPr>
        <w:pStyle w:val="SingleTxt"/>
        <w:keepNext/>
        <w:keepLines/>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32413" w:rsidRPr="00332413" w:rsidRDefault="00332413" w:rsidP="00332413">
      <w:pPr>
        <w:pStyle w:val="SingleTxt"/>
        <w:keepNext/>
        <w:keepLines/>
        <w:spacing w:after="0" w:line="120" w:lineRule="exact"/>
        <w:rPr>
          <w:sz w:val="10"/>
        </w:rPr>
      </w:pPr>
    </w:p>
    <w:p w:rsidR="00332413" w:rsidRDefault="00332413" w:rsidP="00332413">
      <w:pPr>
        <w:pStyle w:val="SingleTxt"/>
        <w:keepNext/>
        <w:keepLines/>
      </w:pPr>
      <w:r>
        <w:t>65.</w:t>
      </w:r>
      <w:r>
        <w:tab/>
      </w:r>
      <w:smartTag w:uri="urn:schemas-microsoft-com:office:smarttags" w:element="place">
        <w:smartTag w:uri="urn:schemas-microsoft-com:office:smarttags" w:element="country-region">
          <w:r>
            <w:t>Jordan</w:t>
          </w:r>
        </w:smartTag>
      </w:smartTag>
      <w:r>
        <w:t xml:space="preserve"> has been party to the </w:t>
      </w:r>
      <w:r w:rsidRPr="00C77C2A">
        <w:t>Convention against Discrimination in Education</w:t>
      </w:r>
      <w:r>
        <w:t xml:space="preserve"> since 1976 and reported to UNESCO for the Sixth Consultation. UNESCO will receive a comprehensive quality report for the ongoing Seventh Consultation.</w:t>
      </w:r>
    </w:p>
    <w:p w:rsidR="00332413" w:rsidRDefault="00332413" w:rsidP="00332413">
      <w:pPr>
        <w:pStyle w:val="SingleTxt"/>
      </w:pPr>
      <w:r>
        <w:t>66.</w:t>
      </w:r>
      <w:r>
        <w:tab/>
      </w:r>
      <w:smartTag w:uri="urn:schemas-microsoft-com:office:smarttags" w:element="place">
        <w:smartTag w:uri="urn:schemas-microsoft-com:office:smarttags" w:element="country-region">
          <w:r>
            <w:t>Jordan</w:t>
          </w:r>
        </w:smartTag>
      </w:smartTag>
      <w:r>
        <w:t xml:space="preserve"> ratified the </w:t>
      </w:r>
      <w:r w:rsidRPr="00C77C2A">
        <w:t>Convention on Technical and Vocational Education</w:t>
      </w:r>
      <w:r>
        <w:t xml:space="preserve"> in 1992.</w:t>
      </w:r>
    </w:p>
    <w:p w:rsidR="00332413" w:rsidRDefault="00332413" w:rsidP="00332413">
      <w:pPr>
        <w:pStyle w:val="SingleTxt"/>
      </w:pPr>
      <w:r>
        <w:t>67.</w:t>
      </w:r>
      <w:r>
        <w:tab/>
        <w:t>According to article 6 of the Constitution adopted in 1952, Jordanians are equal before the law; there is no discrimination between them as regards their rights and duties on the grounds of race, language or religion. The Government ensures work and education within the limits of its possibilities, as well as a state of tranquillity and equal opportunity to all Jordanians. Elementary education is compulsory for Jordanians and free of charge in Government schools (article 20).</w:t>
      </w:r>
    </w:p>
    <w:p w:rsidR="00332413" w:rsidRDefault="00332413" w:rsidP="00332413">
      <w:pPr>
        <w:pStyle w:val="SingleTxt"/>
      </w:pPr>
      <w:r>
        <w:t>68.</w:t>
      </w:r>
      <w:r>
        <w:tab/>
        <w:t>The Education Act No. 3 of 1994 regulates kindergarten, basic and secondary education. It enunciates the philosophy and objectives of education, the educational policy, the functions of the Ministry of Education and the tasks of the Boards of Education. It also contains elements regulating curricula and textbooks, general examinations, the structure of the Ministry, as well as the functioning of private and foreign educational institutions. In 1964, the Education Act expanded compulsory education to nine years (six years of primary and three years of preparatory education) and introduced the diversification of secondary education to provide general academic and vocational programmes. The 1994 Education Act expanded basic compulsory education to 10 years and introduced comprehensive and applied secondary education streams of education for a period of two years.</w:t>
      </w:r>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Social and human sciences</w:t>
      </w:r>
    </w:p>
    <w:p w:rsidR="00332413" w:rsidRPr="00332413" w:rsidRDefault="00332413" w:rsidP="00332413">
      <w:pPr>
        <w:pStyle w:val="SingleTxt"/>
        <w:spacing w:after="0" w:line="120" w:lineRule="exact"/>
        <w:rPr>
          <w:sz w:val="10"/>
        </w:rPr>
      </w:pPr>
    </w:p>
    <w:p w:rsidR="00332413" w:rsidRDefault="00332413" w:rsidP="00332413">
      <w:pPr>
        <w:pStyle w:val="SingleTxt"/>
      </w:pPr>
      <w:r>
        <w:t>69.</w:t>
      </w:r>
      <w:r>
        <w:tab/>
        <w:t xml:space="preserve">A panel discussion on promoting women in the judiciary and the reform of family laws during the Second World Congress for Middle Eastern Studies was organized in </w:t>
      </w:r>
      <w:smartTag w:uri="urn:schemas-microsoft-com:office:smarttags" w:element="place">
        <w:smartTag w:uri="urn:schemas-microsoft-com:office:smarttags" w:element="City">
          <w:r>
            <w:t>Amman</w:t>
          </w:r>
        </w:smartTag>
        <w:r>
          <w:t xml:space="preserve">, </w:t>
        </w:r>
        <w:smartTag w:uri="urn:schemas-microsoft-com:office:smarttags" w:element="country-region">
          <w:r>
            <w:t>Jordan</w:t>
          </w:r>
        </w:smartTag>
      </w:smartTag>
      <w:r>
        <w:t xml:space="preserve">. The first drafts of commissioned studies from </w:t>
      </w:r>
      <w:smartTag w:uri="urn:schemas-microsoft-com:office:smarttags" w:element="country-region">
        <w:r>
          <w:t>Algeria</w:t>
        </w:r>
      </w:smartTag>
      <w:r>
        <w:t xml:space="preserve">, </w:t>
      </w:r>
      <w:smartTag w:uri="urn:schemas-microsoft-com:office:smarttags" w:element="country-region">
        <w:r>
          <w:t>Iran</w:t>
        </w:r>
      </w:smartTag>
      <w:r>
        <w:t xml:space="preserve"> (Islamic Republic of), </w:t>
      </w:r>
      <w:smartTag w:uri="urn:schemas-microsoft-com:office:smarttags" w:element="country-region">
        <w:r>
          <w:t>Jordan</w:t>
        </w:r>
      </w:smartTag>
      <w:r>
        <w:t xml:space="preserve">, </w:t>
      </w:r>
      <w:smartTag w:uri="urn:schemas-microsoft-com:office:smarttags" w:element="country-region">
        <w:r>
          <w:t>Morocco</w:t>
        </w:r>
      </w:smartTag>
      <w:r>
        <w:t xml:space="preserve">, </w:t>
      </w:r>
      <w:smartTag w:uri="urn:schemas-microsoft-com:office:smarttags" w:element="City">
        <w:r>
          <w:t>Palestine</w:t>
        </w:r>
      </w:smartTag>
      <w:r>
        <w:t xml:space="preserve">, </w:t>
      </w:r>
      <w:smartTag w:uri="urn:schemas-microsoft-com:office:smarttags" w:element="country-region">
        <w:r>
          <w:t>Tunisia</w:t>
        </w:r>
      </w:smartTag>
      <w:r>
        <w:t xml:space="preserve">, </w:t>
      </w:r>
      <w:smartTag w:uri="urn:schemas-microsoft-com:office:smarttags" w:element="country-region">
        <w:r>
          <w:t>Turkey</w:t>
        </w:r>
      </w:smartTag>
      <w:r>
        <w:t xml:space="preserve"> and </w:t>
      </w:r>
      <w:smartTag w:uri="urn:schemas-microsoft-com:office:smarttags" w:element="place">
        <w:smartTag w:uri="urn:schemas-microsoft-com:office:smarttags" w:element="country-region">
          <w:r>
            <w:t>Yemen</w:t>
          </w:r>
        </w:smartTag>
      </w:smartTag>
      <w:r>
        <w:t xml:space="preserve"> were presented on this theme. The final drafts of these research papers will be presented and discussed at a workshop being organized in collaboration with the United Nations University for 2007. The workshop will try to assess the similarities and differences in family laws and women’s access to the judiciary in the above-mentioned countries and propose recommendations for improving women’s access to justice. A publication of the final research papers is envisaged.</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Fellowships</w:t>
      </w:r>
    </w:p>
    <w:p w:rsidR="00332413" w:rsidRPr="00332413" w:rsidRDefault="00332413" w:rsidP="00332413">
      <w:pPr>
        <w:pStyle w:val="SingleTxt"/>
        <w:spacing w:after="0" w:line="120" w:lineRule="exact"/>
        <w:rPr>
          <w:sz w:val="10"/>
        </w:rPr>
      </w:pPr>
    </w:p>
    <w:p w:rsidR="00332413" w:rsidRDefault="00332413" w:rsidP="00332413">
      <w:pPr>
        <w:pStyle w:val="SingleTxt"/>
      </w:pPr>
      <w:r>
        <w:t>70.</w:t>
      </w:r>
      <w:r>
        <w:tab/>
        <w:t>One co-sponsored fellowship (UNESCO/L’OREAL) in the field of life sciences for six months at the University of Arizona, Tucson, United States (value US$ 20,936) was awarded to a woman scientist.</w:t>
      </w:r>
    </w:p>
    <w:p w:rsidR="00332413" w:rsidRDefault="00332413" w:rsidP="00332413">
      <w:pPr>
        <w:pStyle w:val="SingleTxt"/>
      </w:pPr>
      <w:r>
        <w:t>71.</w:t>
      </w:r>
      <w:r>
        <w:tab/>
        <w:t>One RP-UNESCO fellowship in support of priority programme areas in the field of higher education (educational administration) for one month at the Zayed University, Dubai, United Arab Emirates (value US$ 4,500) was awarded to a woman scientist.</w:t>
      </w:r>
    </w:p>
    <w:p w:rsidR="00332413" w:rsidRDefault="00332413" w:rsidP="00332413">
      <w:pPr>
        <w:pStyle w:val="SingleTxt"/>
        <w:keepNext/>
        <w:keepLines/>
      </w:pPr>
      <w:r>
        <w:t>72.</w:t>
      </w:r>
      <w:r>
        <w:tab/>
        <w:t>One UNESCO/Suzanne Mubarak/Japan-Egypt Friendship Research Fellowship for the empowerment of women in the field of the role of women in society and research on gender issues for three months at the Bibliotheca Alexandrina, Alexandria, Egypt (value US$ 7,500) was awarded to a woman researcher.</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country-region">
          <w:r>
            <w:t>Kenya</w:t>
          </w:r>
        </w:smartTag>
      </w:smartTag>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32413" w:rsidRPr="00332413" w:rsidRDefault="00332413" w:rsidP="00332413">
      <w:pPr>
        <w:pStyle w:val="SingleTxt"/>
        <w:spacing w:after="0" w:line="120" w:lineRule="exact"/>
        <w:rPr>
          <w:sz w:val="10"/>
        </w:rPr>
      </w:pPr>
    </w:p>
    <w:p w:rsidR="00332413" w:rsidRPr="00026CA8" w:rsidRDefault="00332413" w:rsidP="00332413">
      <w:pPr>
        <w:pStyle w:val="SingleTxt"/>
      </w:pPr>
      <w:r w:rsidRPr="00026CA8">
        <w:t>73.</w:t>
      </w:r>
      <w:r w:rsidRPr="00026CA8">
        <w:tab/>
      </w:r>
      <w:smartTag w:uri="urn:schemas-microsoft-com:office:smarttags" w:element="place">
        <w:smartTag w:uri="urn:schemas-microsoft-com:office:smarttags" w:element="country-region">
          <w:r w:rsidRPr="00026CA8">
            <w:t>Kenya</w:t>
          </w:r>
        </w:smartTag>
      </w:smartTag>
      <w:r w:rsidRPr="00026CA8">
        <w:t xml:space="preserve"> is not party to the Convention against Discrimination in Education and did not submit a report to UNESCO within the Sixth Consultation on the implementation of the Recommendation against Discrimination in Education. UNESCO will receive a comprehensive quality report for the ongoing Seventh Consultation, and also expects that, in response to the letter from the UNESCO Director-General, </w:t>
      </w:r>
      <w:smartTag w:uri="urn:schemas-microsoft-com:office:smarttags" w:element="place">
        <w:smartTag w:uri="urn:schemas-microsoft-com:office:smarttags" w:element="country-region">
          <w:r w:rsidRPr="00026CA8">
            <w:t>Kenya</w:t>
          </w:r>
        </w:smartTag>
      </w:smartTag>
      <w:r w:rsidRPr="00026CA8">
        <w:t xml:space="preserve"> will adhere to the Convention against Discrimination in Education.</w:t>
      </w:r>
    </w:p>
    <w:p w:rsidR="00332413" w:rsidRDefault="00332413" w:rsidP="00332413">
      <w:pPr>
        <w:pStyle w:val="SingleTxt"/>
      </w:pPr>
      <w:r>
        <w:t>74.</w:t>
      </w:r>
      <w:r>
        <w:tab/>
        <w:t xml:space="preserve">UNESCO also encourages </w:t>
      </w:r>
      <w:smartTag w:uri="urn:schemas-microsoft-com:office:smarttags" w:element="place">
        <w:smartTag w:uri="urn:schemas-microsoft-com:office:smarttags" w:element="country-region">
          <w:r>
            <w:t>Kenya</w:t>
          </w:r>
        </w:smartTag>
      </w:smartTag>
      <w:r>
        <w:t xml:space="preserve"> to ratify the </w:t>
      </w:r>
      <w:r w:rsidRPr="00C77C2A">
        <w:t>Convention on Technical and Vocational Education</w:t>
      </w:r>
      <w:r>
        <w:t>.</w:t>
      </w:r>
    </w:p>
    <w:p w:rsidR="00332413" w:rsidRDefault="00332413" w:rsidP="00332413">
      <w:pPr>
        <w:pStyle w:val="SingleTxt"/>
      </w:pPr>
      <w:r>
        <w:t>75.</w:t>
      </w:r>
      <w:r>
        <w:tab/>
        <w:t>The right to education is not provided in the country’s Constitution of 1969. The Constitution only protects freedom of conscience. Nevertheless, the Constitution has been in the process of revision towards integrating provisions on the right to education since 2002. The new Constitution project was rejected by referendum in 2006. A new review commission has been created to establish another project.</w:t>
      </w:r>
    </w:p>
    <w:p w:rsidR="00332413" w:rsidRDefault="00332413" w:rsidP="00332413">
      <w:pPr>
        <w:pStyle w:val="SingleTxt"/>
      </w:pPr>
      <w:r>
        <w:t>76.</w:t>
      </w:r>
      <w:r>
        <w:tab/>
        <w:t>The Education Act (1968, revised in 1980) assigned responsibility for education to the Ministry of Education and instituted various organs for the organization and management of education at all levels.</w:t>
      </w:r>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Social and human sciences</w:t>
      </w:r>
    </w:p>
    <w:p w:rsidR="00332413" w:rsidRPr="00332413" w:rsidRDefault="00332413" w:rsidP="00332413">
      <w:pPr>
        <w:pStyle w:val="SingleTxt"/>
        <w:spacing w:after="0" w:line="120" w:lineRule="exact"/>
        <w:rPr>
          <w:sz w:val="10"/>
        </w:rPr>
      </w:pPr>
    </w:p>
    <w:p w:rsidR="00332413" w:rsidRDefault="00332413" w:rsidP="00332413">
      <w:pPr>
        <w:pStyle w:val="SingleTxt"/>
      </w:pPr>
      <w:r>
        <w:t>77.</w:t>
      </w:r>
      <w:r>
        <w:tab/>
      </w:r>
      <w:smartTag w:uri="urn:schemas-microsoft-com:office:smarttags" w:element="country-region">
        <w:r>
          <w:t>Kenya</w:t>
        </w:r>
      </w:smartTag>
      <w:r>
        <w:t xml:space="preserve"> is one of the participating countries in the Great Lakes Region project in </w:t>
      </w:r>
      <w:smartTag w:uri="urn:schemas-microsoft-com:office:smarttags" w:element="place">
        <w:r>
          <w:t>Africa</w:t>
        </w:r>
      </w:smartTag>
      <w:r>
        <w:t xml:space="preserve">. Under this project, a project proposal and a feasibility study were prepared for the establishment of a research and documentation centre and the strengthening of women’s studies programmes in the Great Lakes Region in </w:t>
      </w:r>
      <w:smartTag w:uri="urn:schemas-microsoft-com:office:smarttags" w:element="place">
        <w:r>
          <w:t>Africa</w:t>
        </w:r>
      </w:smartTag>
      <w:r>
        <w:t xml:space="preserve">. These documents were prepared in follow-up to a UNESCO-organized consultation entitled “Empowering women in the Great Lakes Region: violence, peace and women’s leadership”, held in </w:t>
      </w:r>
      <w:smartTag w:uri="urn:schemas-microsoft-com:office:smarttags" w:element="place">
        <w:smartTag w:uri="urn:schemas-microsoft-com:office:smarttags" w:element="City">
          <w:r>
            <w:t>Addis Ababa</w:t>
          </w:r>
        </w:smartTag>
        <w:r>
          <w:t xml:space="preserve">, </w:t>
        </w:r>
        <w:smartTag w:uri="urn:schemas-microsoft-com:office:smarttags" w:element="country-region">
          <w:r>
            <w:t>Ethiopia</w:t>
          </w:r>
        </w:smartTag>
      </w:smartTag>
      <w:r>
        <w:t xml:space="preserve"> in June 2005. A meeting was organized by the UNESCO Office Harare in </w:t>
      </w:r>
      <w:smartTag w:uri="urn:schemas-microsoft-com:office:smarttags" w:element="place">
        <w:smartTag w:uri="urn:schemas-microsoft-com:office:smarttags" w:element="City">
          <w:r>
            <w:t>Kinshasa</w:t>
          </w:r>
        </w:smartTag>
        <w:r>
          <w:t xml:space="preserve">, </w:t>
        </w:r>
        <w:smartTag w:uri="urn:schemas-microsoft-com:office:smarttags" w:element="country-region">
          <w:r>
            <w:t>Democratic Republic of the Congo</w:t>
          </w:r>
        </w:smartTag>
      </w:smartTag>
      <w:r>
        <w:t xml:space="preserve"> in April 2006 to discuss the feasibility study.</w:t>
      </w:r>
    </w:p>
    <w:p w:rsidR="00332413" w:rsidRDefault="00332413" w:rsidP="00332413">
      <w:pPr>
        <w:pStyle w:val="SingleTxt"/>
      </w:pPr>
      <w:r>
        <w:t>78.</w:t>
      </w:r>
      <w:r>
        <w:tab/>
      </w:r>
      <w:smartTag w:uri="urn:schemas-microsoft-com:office:smarttags" w:element="country-region">
        <w:r>
          <w:t>Kenya</w:t>
        </w:r>
      </w:smartTag>
      <w:r>
        <w:t xml:space="preserve"> is also one of the countries participating in a programme of research on women’s rights for peace and security in post-conflict democracies in Africa, which is being organized in collaboration with partners from the University of Hull, United Kingdom and the Centre for Human Rights, </w:t>
      </w:r>
      <w:smartTag w:uri="urn:schemas-microsoft-com:office:smarttags" w:element="place">
        <w:smartTag w:uri="urn:schemas-microsoft-com:office:smarttags" w:element="City">
          <w:r>
            <w:t>University of Pretoria</w:t>
          </w:r>
        </w:smartTag>
        <w:r>
          <w:t xml:space="preserve">, </w:t>
        </w:r>
        <w:smartTag w:uri="urn:schemas-microsoft-com:office:smarttags" w:element="country-region">
          <w:r>
            <w:t>South Africa</w:t>
          </w:r>
        </w:smartTag>
      </w:smartTag>
      <w:r>
        <w:t xml:space="preserve">. As part of this project, a meeting of researchers will be organized in </w:t>
      </w:r>
      <w:smartTag w:uri="urn:schemas-microsoft-com:office:smarttags" w:element="place">
        <w:smartTag w:uri="urn:schemas-microsoft-com:office:smarttags" w:element="country-region">
          <w:r>
            <w:t>South Africa</w:t>
          </w:r>
        </w:smartTag>
      </w:smartTag>
      <w:r>
        <w:t xml:space="preserve">, in August 2007, to present and discuss the draft research work being undertaken. The project is organized within the framework of UNESCO actions in favour of women living in post-conflict situations. Its aim is to develop policy recommendations on women’s rights that would promote women’s full participation in and contribution to peace and security in post-conflict countries in Africa, as is called for in international and regional documents including Security Council resolution 1325 (2000), the Dar-es-Salaam Declaration on Peace, Security, Democracy and Development in the Great Lakes Region, and the Convention on the Elimination of All Forms of Discrimination against Women. </w:t>
      </w:r>
      <w:smartTag w:uri="urn:schemas-microsoft-com:office:smarttags" w:element="PlaceName">
        <w:r>
          <w:t>Member</w:t>
        </w:r>
      </w:smartTag>
      <w:r>
        <w:t xml:space="preserve"> </w:t>
      </w:r>
      <w:smartTag w:uri="urn:schemas-microsoft-com:office:smarttags" w:element="PlaceType">
        <w:r>
          <w:t>State</w:t>
        </w:r>
      </w:smartTag>
      <w:r>
        <w:t xml:space="preserve"> beneficiaries of this project are countries in the Great Lakes Region, as well as </w:t>
      </w:r>
      <w:smartTag w:uri="urn:schemas-microsoft-com:office:smarttags" w:element="country-region">
        <w:r>
          <w:t>Liberia</w:t>
        </w:r>
      </w:smartTag>
      <w:r>
        <w:t xml:space="preserve">, </w:t>
      </w:r>
      <w:smartTag w:uri="urn:schemas-microsoft-com:office:smarttags" w:element="country-region">
        <w:r>
          <w:t>Mozambique</w:t>
        </w:r>
      </w:smartTag>
      <w:r>
        <w:t xml:space="preserve">, </w:t>
      </w:r>
      <w:smartTag w:uri="urn:schemas-microsoft-com:office:smarttags" w:element="country-region">
        <w:r>
          <w:t>Sierra Leone</w:t>
        </w:r>
      </w:smartTag>
      <w:r>
        <w:t xml:space="preserve"> and </w:t>
      </w:r>
      <w:smartTag w:uri="urn:schemas-microsoft-com:office:smarttags" w:element="place">
        <w:smartTag w:uri="urn:schemas-microsoft-com:office:smarttags" w:element="country-region">
          <w:r>
            <w:t>South Africa</w:t>
          </w:r>
        </w:smartTag>
      </w:smartTag>
      <w:r>
        <w:t>.</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Information and communication</w:t>
      </w:r>
    </w:p>
    <w:p w:rsidR="00332413" w:rsidRPr="00332413" w:rsidRDefault="00332413" w:rsidP="00332413">
      <w:pPr>
        <w:pStyle w:val="SingleTxt"/>
        <w:spacing w:after="0" w:line="120" w:lineRule="exact"/>
        <w:rPr>
          <w:sz w:val="10"/>
        </w:rPr>
      </w:pPr>
    </w:p>
    <w:p w:rsidR="00332413" w:rsidRDefault="00332413" w:rsidP="00332413">
      <w:pPr>
        <w:pStyle w:val="SingleTxt"/>
      </w:pPr>
      <w:r>
        <w:t>79.</w:t>
      </w:r>
      <w:r>
        <w:tab/>
        <w:t xml:space="preserve">The UNESCO Office, </w:t>
      </w:r>
      <w:smartTag w:uri="urn:schemas-microsoft-com:office:smarttags" w:element="City">
        <w:r>
          <w:t>Nairobi</w:t>
        </w:r>
      </w:smartTag>
      <w:r>
        <w:t xml:space="preserve"> (which also covers </w:t>
      </w:r>
      <w:smartTag w:uri="urn:schemas-microsoft-com:office:smarttags" w:element="place">
        <w:smartTag w:uri="urn:schemas-microsoft-com:office:smarttags" w:element="country-region">
          <w:r>
            <w:t>Kenya</w:t>
          </w:r>
        </w:smartTag>
      </w:smartTag>
      <w:r>
        <w:t xml:space="preserve">) supports media women on an annual basis through media women scholarships. It also gives women priority in training workshops. </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country-region">
          <w:r>
            <w:t>Liechtenstein</w:t>
          </w:r>
        </w:smartTag>
      </w:smartTag>
    </w:p>
    <w:p w:rsidR="00332413" w:rsidRPr="00332413" w:rsidRDefault="00332413" w:rsidP="00332413">
      <w:pPr>
        <w:pStyle w:val="SingleTxt"/>
        <w:spacing w:after="0" w:line="120" w:lineRule="exact"/>
        <w:rPr>
          <w:sz w:val="10"/>
        </w:rPr>
      </w:pPr>
    </w:p>
    <w:p w:rsidR="00332413" w:rsidRDefault="00332413" w:rsidP="00332413">
      <w:pPr>
        <w:pStyle w:val="SingleTxt"/>
      </w:pPr>
      <w:r>
        <w:t>80.</w:t>
      </w:r>
      <w:r>
        <w:tab/>
      </w:r>
      <w:smartTag w:uri="urn:schemas-microsoft-com:office:smarttags" w:element="country-region">
        <w:r w:rsidRPr="00CF12D5">
          <w:t>Liechtenstein</w:t>
        </w:r>
      </w:smartTag>
      <w:r w:rsidRPr="00CF12D5">
        <w:t xml:space="preserve"> </w:t>
      </w:r>
      <w:r>
        <w:t xml:space="preserve">is not a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of UNESCO.</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country-region">
          <w:r>
            <w:t>New Zealand</w:t>
          </w:r>
        </w:smartTag>
      </w:smartTag>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Education</w:t>
      </w:r>
    </w:p>
    <w:p w:rsidR="00332413" w:rsidRPr="00332413" w:rsidRDefault="00332413" w:rsidP="00332413">
      <w:pPr>
        <w:pStyle w:val="SingleTxt"/>
        <w:spacing w:after="0" w:line="120" w:lineRule="exact"/>
        <w:rPr>
          <w:sz w:val="10"/>
        </w:rPr>
      </w:pPr>
    </w:p>
    <w:p w:rsidR="00332413" w:rsidRDefault="00332413" w:rsidP="00332413">
      <w:pPr>
        <w:pStyle w:val="SingleTxt"/>
      </w:pPr>
      <w:r>
        <w:t>81.</w:t>
      </w:r>
      <w:r>
        <w:tab/>
      </w:r>
      <w:smartTag w:uri="urn:schemas-microsoft-com:office:smarttags" w:element="place">
        <w:smartTag w:uri="urn:schemas-microsoft-com:office:smarttags" w:element="country-region">
          <w:r>
            <w:t>New Zealand</w:t>
          </w:r>
        </w:smartTag>
      </w:smartTag>
      <w:r>
        <w:t xml:space="preserve"> has been party to the </w:t>
      </w:r>
      <w:r w:rsidRPr="00C77C2A">
        <w:t>Convention against Discrimination in Education</w:t>
      </w:r>
      <w:r>
        <w:t xml:space="preserve"> since 1963 and reported to UNESCO for the Sixth Consultation in November 1996. UNESCO will receive a comprehensive quality report for the ongoing Seventh Consultation.</w:t>
      </w:r>
    </w:p>
    <w:p w:rsidR="00332413" w:rsidRDefault="00332413" w:rsidP="00332413">
      <w:pPr>
        <w:pStyle w:val="SingleTxt"/>
      </w:pPr>
      <w:r>
        <w:t>82.</w:t>
      </w:r>
      <w:r>
        <w:tab/>
      </w:r>
      <w:smartTag w:uri="urn:schemas-microsoft-com:office:smarttags" w:element="place">
        <w:smartTag w:uri="urn:schemas-microsoft-com:office:smarttags" w:element="country-region">
          <w:r>
            <w:t>New Zealand</w:t>
          </w:r>
        </w:smartTag>
      </w:smartTag>
      <w:r>
        <w:t xml:space="preserve"> is encouraged to ratify the </w:t>
      </w:r>
      <w:r w:rsidRPr="00C77C2A">
        <w:t>Convention on Technical and Vocational Education</w:t>
      </w:r>
      <w:r>
        <w:t>.</w:t>
      </w:r>
    </w:p>
    <w:p w:rsidR="00332413" w:rsidRDefault="00332413" w:rsidP="00332413">
      <w:pPr>
        <w:pStyle w:val="SingleTxt"/>
      </w:pPr>
      <w:r>
        <w:t>83.</w:t>
      </w:r>
      <w:r>
        <w:tab/>
        <w:t xml:space="preserve">The Constitution of </w:t>
      </w:r>
      <w:smartTag w:uri="urn:schemas-microsoft-com:office:smarttags" w:element="place">
        <w:smartTag w:uri="urn:schemas-microsoft-com:office:smarttags" w:element="country-region">
          <w:r>
            <w:t>New Zealand</w:t>
          </w:r>
        </w:smartTag>
      </w:smartTag>
      <w:r>
        <w:t xml:space="preserve">, a series of legal documents, court decisions and practices called conventions, contains no references to education. The legal framework for education in </w:t>
      </w:r>
      <w:smartTag w:uri="urn:schemas-microsoft-com:office:smarttags" w:element="place">
        <w:smartTag w:uri="urn:schemas-microsoft-com:office:smarttags" w:element="country-region">
          <w:r>
            <w:t>New Zealand</w:t>
          </w:r>
        </w:smartTag>
      </w:smartTag>
      <w:r>
        <w:t xml:space="preserve"> is the Education Act of 1989 and its subsequent amendments. Schooling is compulsory for </w:t>
      </w:r>
      <w:smartTag w:uri="urn:schemas-microsoft-com:office:smarttags" w:element="place">
        <w:smartTag w:uri="urn:schemas-microsoft-com:office:smarttags" w:element="country-region">
          <w:r>
            <w:t>New Zealand</w:t>
          </w:r>
        </w:smartTag>
      </w:smartTag>
      <w:r>
        <w:t xml:space="preserve"> children between their sixth and sixteenth birthdays, though most begin at the age of five. The Education Act of 1989 provides for free education in State primary and secondary schools between the ages of 5 and 19 years (or to the age of 21 for special education students).</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Fellowships</w:t>
      </w:r>
    </w:p>
    <w:p w:rsidR="00332413" w:rsidRPr="00332413" w:rsidRDefault="00332413" w:rsidP="00332413">
      <w:pPr>
        <w:pStyle w:val="SingleTxt"/>
        <w:spacing w:after="0" w:line="120" w:lineRule="exact"/>
        <w:rPr>
          <w:sz w:val="10"/>
        </w:rPr>
      </w:pPr>
    </w:p>
    <w:p w:rsidR="00332413" w:rsidRDefault="00332413" w:rsidP="00332413">
      <w:pPr>
        <w:pStyle w:val="SingleTxt"/>
      </w:pPr>
      <w:r>
        <w:t>84.</w:t>
      </w:r>
      <w:r>
        <w:tab/>
        <w:t>One co-sponsored fellowship (UNESCO/L’OREAL) in the field of life sciences for six months at the Arizona Biodesign Institute at the Arizona State University, United States (value US$ 21,935) was awarded to a woman scientist.</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country-region">
          <w:r>
            <w:t>Norway</w:t>
          </w:r>
        </w:smartTag>
      </w:smartTag>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32413" w:rsidRPr="00332413" w:rsidRDefault="00332413" w:rsidP="00332413">
      <w:pPr>
        <w:pStyle w:val="SingleTxt"/>
        <w:spacing w:after="0" w:line="120" w:lineRule="exact"/>
        <w:rPr>
          <w:sz w:val="10"/>
        </w:rPr>
      </w:pPr>
    </w:p>
    <w:p w:rsidR="00332413" w:rsidRDefault="00332413" w:rsidP="00332413">
      <w:pPr>
        <w:pStyle w:val="SingleTxt"/>
      </w:pPr>
      <w:r>
        <w:t>85.</w:t>
      </w:r>
      <w:r>
        <w:tab/>
      </w:r>
      <w:smartTag w:uri="urn:schemas-microsoft-com:office:smarttags" w:element="place">
        <w:smartTag w:uri="urn:schemas-microsoft-com:office:smarttags" w:element="country-region">
          <w:r>
            <w:t>Norway</w:t>
          </w:r>
        </w:smartTag>
      </w:smartTag>
      <w:r>
        <w:t xml:space="preserve"> has been party to the </w:t>
      </w:r>
      <w:r w:rsidRPr="00C77C2A">
        <w:t>Convention against Discrimination in Education</w:t>
      </w:r>
      <w:r>
        <w:t xml:space="preserve"> since 1963 and reported to UNESCO for the Sixth Consultation on the implementation of the Convention in 1997. UNESCO has also received the State report for the ongoing Seventh Consultation.</w:t>
      </w:r>
    </w:p>
    <w:p w:rsidR="00332413" w:rsidRDefault="00332413" w:rsidP="00332413">
      <w:pPr>
        <w:pStyle w:val="SingleTxt"/>
      </w:pPr>
      <w:r>
        <w:t>86.</w:t>
      </w:r>
      <w:r>
        <w:tab/>
      </w:r>
      <w:smartTag w:uri="urn:schemas-microsoft-com:office:smarttags" w:element="place">
        <w:smartTag w:uri="urn:schemas-microsoft-com:office:smarttags" w:element="country-region">
          <w:r>
            <w:t>Norway</w:t>
          </w:r>
        </w:smartTag>
      </w:smartTag>
      <w:r>
        <w:t xml:space="preserve"> is encouraged to ratify the </w:t>
      </w:r>
      <w:r w:rsidRPr="00C77C2A">
        <w:t>Convention on Technical and Vocational Education</w:t>
      </w:r>
      <w:r>
        <w:t>.</w:t>
      </w:r>
    </w:p>
    <w:p w:rsidR="00332413" w:rsidRDefault="00332413" w:rsidP="00332413">
      <w:pPr>
        <w:pStyle w:val="SingleTxt"/>
      </w:pPr>
      <w:r>
        <w:t>87.</w:t>
      </w:r>
      <w:r>
        <w:tab/>
        <w:t xml:space="preserve">There is no reference to the right to education in the Constitution of Norway. Disability is an important dimension along which discrimination occurs, and this may be particularly marked in the case of the education of girls having some form of disability. </w:t>
      </w:r>
      <w:smartTag w:uri="urn:schemas-microsoft-com:office:smarttags" w:element="place">
        <w:smartTag w:uri="urn:schemas-microsoft-com:office:smarttags" w:element="country-region">
          <w:r>
            <w:t>Norway</w:t>
          </w:r>
        </w:smartTag>
      </w:smartTag>
      <w:r>
        <w:t xml:space="preserve"> has established specific strategies (addressing the right to education, equal right to participate in society and gender equality) along three separate dimensions (education, disability and gender) in its work towards the goal of education for all, regardless of ability and gender. </w:t>
      </w:r>
      <w:smartTag w:uri="urn:schemas-microsoft-com:office:smarttags" w:element="place">
        <w:smartTag w:uri="urn:schemas-microsoft-com:office:smarttags" w:element="country-region">
          <w:r>
            <w:t>Norway</w:t>
          </w:r>
        </w:smartTag>
      </w:smartTag>
      <w:r>
        <w:t xml:space="preserve"> has come a long way towards gender equality in education and has to a great extent combated discrimination against girls with disabilities.</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32413" w:rsidRPr="00332413" w:rsidRDefault="00332413" w:rsidP="00332413">
      <w:pPr>
        <w:pStyle w:val="SingleTxt"/>
        <w:spacing w:after="0" w:line="120" w:lineRule="exact"/>
        <w:rPr>
          <w:sz w:val="10"/>
        </w:rPr>
      </w:pPr>
    </w:p>
    <w:p w:rsidR="00332413" w:rsidRDefault="00332413" w:rsidP="00332413">
      <w:pPr>
        <w:pStyle w:val="SingleTxt"/>
      </w:pPr>
      <w:r>
        <w:t>88.</w:t>
      </w:r>
      <w:r>
        <w:tab/>
        <w:t xml:space="preserve">The Republic of </w:t>
      </w:r>
      <w:smartTag w:uri="urn:schemas-microsoft-com:office:smarttags" w:element="place">
        <w:smartTag w:uri="urn:schemas-microsoft-com:office:smarttags" w:element="country-region">
          <w:r>
            <w:t>Korea</w:t>
          </w:r>
        </w:smartTag>
      </w:smartTag>
      <w:r>
        <w:t xml:space="preserve"> is not party to the </w:t>
      </w:r>
      <w:r w:rsidRPr="00C77C2A">
        <w:t>Convention against Discrimination in Education</w:t>
      </w:r>
      <w:r>
        <w:t xml:space="preserve"> but reported to UNESCO for the Sixth Consultation on the implementation of the </w:t>
      </w:r>
      <w:r w:rsidRPr="00C77C2A">
        <w:t>Recommendation against Discrimination in Education</w:t>
      </w:r>
      <w:r>
        <w:t xml:space="preserve"> in 1997. UNESCO will receive a comprehensive quality report for the ongoing Seventh Consultation. </w:t>
      </w:r>
    </w:p>
    <w:p w:rsidR="00332413" w:rsidRDefault="00332413" w:rsidP="00332413">
      <w:pPr>
        <w:pStyle w:val="SingleTxt"/>
      </w:pPr>
      <w:r>
        <w:t>89.</w:t>
      </w:r>
      <w:r>
        <w:tab/>
        <w:t xml:space="preserve">The Republic of </w:t>
      </w:r>
      <w:smartTag w:uri="urn:schemas-microsoft-com:office:smarttags" w:element="place">
        <w:smartTag w:uri="urn:schemas-microsoft-com:office:smarttags" w:element="country-region">
          <w:r>
            <w:t>Korea</w:t>
          </w:r>
        </w:smartTag>
      </w:smartTag>
      <w:r>
        <w:t xml:space="preserve"> is encouraged to ratify the </w:t>
      </w:r>
      <w:r w:rsidRPr="00C77C2A">
        <w:t>Convention against Discrimination in Education</w:t>
      </w:r>
      <w:r>
        <w:t xml:space="preserve"> as well as the </w:t>
      </w:r>
      <w:r w:rsidRPr="00C77C2A">
        <w:t>Convention on Technical and Vocational Education</w:t>
      </w:r>
      <w:r>
        <w:t>.</w:t>
      </w:r>
    </w:p>
    <w:p w:rsidR="00332413" w:rsidRDefault="00332413" w:rsidP="00332413">
      <w:pPr>
        <w:pStyle w:val="SingleTxt"/>
      </w:pPr>
      <w:r>
        <w:t>90.</w:t>
      </w:r>
      <w:r>
        <w:tab/>
        <w:t>The Constitution (1948), article 31 stipulates that: (1) All citizens have an equal right to receive an education corresponding to their abilities; (2) All citizens who have children to support are responsible at least for their elementary education and other education as provided by law; (3) Compulsory education is free of charge; (4) Independence, professionalism, and political impartiality of education and the autonomy of institutions of higher learning are guaranteed under the conditions as prescribed by law; (5) The State promotes lifelong education; (6) Fundamental matters pertaining to the educational system, including schools and lifelong education, administration, finance, and the status of teachers are determined by law.</w:t>
      </w:r>
    </w:p>
    <w:p w:rsidR="00332413" w:rsidRPr="00332413" w:rsidRDefault="00332413" w:rsidP="00332413">
      <w:pPr>
        <w:pStyle w:val="SingleTxt"/>
        <w:spacing w:after="0" w:line="120" w:lineRule="exact"/>
        <w:rPr>
          <w:sz w:val="10"/>
        </w:rPr>
      </w:pPr>
    </w:p>
    <w:p w:rsidR="00332413" w:rsidRDefault="00332413" w:rsidP="00332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Information and communication</w:t>
      </w:r>
    </w:p>
    <w:p w:rsidR="00332413" w:rsidRPr="00332413" w:rsidRDefault="00332413" w:rsidP="00332413">
      <w:pPr>
        <w:pStyle w:val="SingleTxt"/>
        <w:spacing w:after="0" w:line="120" w:lineRule="exact"/>
        <w:rPr>
          <w:sz w:val="10"/>
        </w:rPr>
      </w:pPr>
    </w:p>
    <w:p w:rsidR="00332413" w:rsidRDefault="00332413" w:rsidP="00332413">
      <w:pPr>
        <w:pStyle w:val="SingleTxt"/>
      </w:pPr>
      <w:r>
        <w:t>91.</w:t>
      </w:r>
      <w:r>
        <w:tab/>
        <w:t xml:space="preserve">A hub for cyber-learning, entitled “Online Learning Centre for Women (OLC)” was established in </w:t>
      </w:r>
      <w:smartTag w:uri="urn:schemas-microsoft-com:office:smarttags" w:element="place">
        <w:smartTag w:uri="urn:schemas-microsoft-com:office:smarttags" w:element="City">
          <w:r>
            <w:t>Seoul</w:t>
          </w:r>
        </w:smartTag>
      </w:smartTag>
      <w:r>
        <w:t xml:space="preserve"> and supported by UNESCO. The purpose of the Centre is to promote gender equality through computer use in the knowledge-based information society. The Centre is composed of autonomous groups (publishing teams, project collaborators, trainers and trainees etc.) and is considered to be the first step towards developing gender-sensitive ICT contents and enhancing the development of women and ICT communities in the region.</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t>Fellowships</w:t>
      </w:r>
    </w:p>
    <w:p w:rsidR="00332413" w:rsidRPr="00332413" w:rsidRDefault="00332413" w:rsidP="00332413">
      <w:pPr>
        <w:pStyle w:val="SingleTxt"/>
        <w:spacing w:after="0" w:line="120" w:lineRule="exact"/>
        <w:rPr>
          <w:sz w:val="10"/>
        </w:rPr>
      </w:pPr>
    </w:p>
    <w:p w:rsidR="00332413" w:rsidRDefault="00332413" w:rsidP="00332413">
      <w:pPr>
        <w:pStyle w:val="SingleTxt"/>
      </w:pPr>
      <w:r>
        <w:t>92.</w:t>
      </w:r>
      <w:r>
        <w:tab/>
        <w:t>One co-sponsored fellowship (UNESCO/CHINA, The Great Wall) in the field of management information systems for one year at the Xi’an Jiaotong University, China (value US$ 19,763) was awarded to a woman scientist.</w:t>
      </w:r>
    </w:p>
    <w:p w:rsidR="00332413" w:rsidRPr="00332413" w:rsidRDefault="00332413" w:rsidP="00332413">
      <w:pPr>
        <w:pStyle w:val="SingleTxt"/>
        <w:spacing w:after="0" w:line="120" w:lineRule="exact"/>
        <w:rPr>
          <w:sz w:val="10"/>
        </w:rPr>
      </w:pPr>
    </w:p>
    <w:p w:rsidR="00332413" w:rsidRDefault="00332413" w:rsidP="00332413">
      <w:pPr>
        <w:pStyle w:val="H23"/>
        <w:ind w:right="1260"/>
      </w:pPr>
      <w:r>
        <w:tab/>
      </w:r>
      <w:r>
        <w:tab/>
      </w:r>
      <w:smartTag w:uri="urn:schemas-microsoft-com:office:smarttags" w:element="place">
        <w:smartTag w:uri="urn:schemas-microsoft-com:office:smarttags" w:element="country-region">
          <w:r>
            <w:t>Singapore</w:t>
          </w:r>
        </w:smartTag>
      </w:smartTag>
    </w:p>
    <w:p w:rsidR="00332413" w:rsidRPr="00332413" w:rsidRDefault="00332413" w:rsidP="00332413">
      <w:pPr>
        <w:pStyle w:val="SingleTxt"/>
        <w:spacing w:after="0" w:line="120" w:lineRule="exact"/>
        <w:rPr>
          <w:sz w:val="10"/>
        </w:rPr>
      </w:pPr>
    </w:p>
    <w:p w:rsidR="00332413" w:rsidRDefault="00C0596D" w:rsidP="00332413">
      <w:pPr>
        <w:pStyle w:val="SingleTxt"/>
      </w:pPr>
      <w:r>
        <w:rPr>
          <w:noProof/>
          <w:w w:val="100"/>
          <w:lang w:val="en-US"/>
        </w:rPr>
        <w:pict>
          <v:line id="_x0000_s1028" style="position:absolute;left:0;text-align:left;z-index:2" from="210.2pt,29.6pt" to="282.2pt,29.6pt" strokeweight=".25pt"/>
        </w:pict>
      </w:r>
      <w:r w:rsidR="00332413">
        <w:t>93.</w:t>
      </w:r>
      <w:r w:rsidR="00332413">
        <w:tab/>
      </w:r>
      <w:smartTag w:uri="urn:schemas-microsoft-com:office:smarttags" w:element="country-region">
        <w:r w:rsidR="00332413">
          <w:t>Singapore</w:t>
        </w:r>
      </w:smartTag>
      <w:r w:rsidR="00332413">
        <w:t xml:space="preserve"> is not a </w:t>
      </w:r>
      <w:smartTag w:uri="urn:schemas-microsoft-com:office:smarttags" w:element="place">
        <w:smartTag w:uri="urn:schemas-microsoft-com:office:smarttags" w:element="PlaceName">
          <w:r w:rsidR="00332413">
            <w:t>member</w:t>
          </w:r>
        </w:smartTag>
        <w:r w:rsidR="00332413">
          <w:t xml:space="preserve"> </w:t>
        </w:r>
        <w:smartTag w:uri="urn:schemas-microsoft-com:office:smarttags" w:element="PlaceType">
          <w:r w:rsidR="00332413">
            <w:t>State</w:t>
          </w:r>
        </w:smartTag>
      </w:smartTag>
      <w:r w:rsidR="00332413">
        <w:t xml:space="preserve"> of UNESCO.</w:t>
      </w:r>
    </w:p>
    <w:sectPr w:rsidR="00332413" w:rsidSect="001C68E8">
      <w:headerReference w:type="even" r:id="rId18"/>
      <w:headerReference w:type="default" r:id="rId19"/>
      <w:footerReference w:type="even" r:id="rId20"/>
      <w:footerReference w:type="default" r:id="rId21"/>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1T13:40:00Z" w:initials="Start">
    <w:p w:rsidR="00624B93" w:rsidRDefault="00624B9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NO&gt;&gt;N0734149E&lt;&lt;ODS JOB NO&gt;&gt;</w:t>
      </w:r>
    </w:p>
    <w:p w:rsidR="00624B93" w:rsidRDefault="00624B93">
      <w:pPr>
        <w:pStyle w:val="CommentText"/>
      </w:pPr>
      <w:r>
        <w:t>&lt;&lt;ODS DOC SYMBOL1&gt;&gt;CEDAW/C/2007/III/3/Add.3&lt;&lt;ODS DOC SYMBOL1&gt;&gt;</w:t>
      </w:r>
    </w:p>
    <w:p w:rsidR="00624B93" w:rsidRDefault="00624B9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A5" w:rsidRDefault="000A17A5" w:rsidP="00C22CFF">
      <w:r>
        <w:separator/>
      </w:r>
    </w:p>
  </w:endnote>
  <w:endnote w:type="continuationSeparator" w:id="0">
    <w:p w:rsidR="000A17A5" w:rsidRDefault="000A17A5" w:rsidP="00C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24B93">
      <w:tblPrEx>
        <w:tblCellMar>
          <w:top w:w="0" w:type="dxa"/>
          <w:bottom w:w="0" w:type="dxa"/>
        </w:tblCellMar>
      </w:tblPrEx>
      <w:tc>
        <w:tcPr>
          <w:tcW w:w="5033" w:type="dxa"/>
          <w:shd w:val="clear" w:color="auto" w:fill="auto"/>
        </w:tcPr>
        <w:p w:rsidR="00624B93" w:rsidRPr="00C22CFF" w:rsidRDefault="00624B93" w:rsidP="00C22C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47F">
            <w:rPr>
              <w:b w:val="0"/>
              <w:w w:val="103"/>
              <w:sz w:val="14"/>
            </w:rPr>
            <w:t>07-34149</w:t>
          </w:r>
          <w:r>
            <w:rPr>
              <w:b w:val="0"/>
              <w:w w:val="103"/>
              <w:sz w:val="14"/>
            </w:rPr>
            <w:fldChar w:fldCharType="end"/>
          </w:r>
        </w:p>
      </w:tc>
      <w:tc>
        <w:tcPr>
          <w:tcW w:w="5033" w:type="dxa"/>
          <w:shd w:val="clear" w:color="auto" w:fill="auto"/>
        </w:tcPr>
        <w:p w:rsidR="00624B93" w:rsidRPr="00C22CFF" w:rsidRDefault="00624B93" w:rsidP="00C22CFF">
          <w:pPr>
            <w:pStyle w:val="Footer"/>
            <w:rPr>
              <w:w w:val="103"/>
            </w:rPr>
          </w:pPr>
          <w:r>
            <w:rPr>
              <w:w w:val="103"/>
            </w:rPr>
            <w:fldChar w:fldCharType="begin"/>
          </w:r>
          <w:r>
            <w:rPr>
              <w:w w:val="103"/>
            </w:rPr>
            <w:instrText xml:space="preserve"> PAGE  \* MERGEFORMAT </w:instrText>
          </w:r>
          <w:r>
            <w:rPr>
              <w:w w:val="103"/>
            </w:rPr>
            <w:fldChar w:fldCharType="separate"/>
          </w:r>
          <w:r w:rsidR="00DF53C8">
            <w:rPr>
              <w:w w:val="103"/>
            </w:rPr>
            <w:t>2</w:t>
          </w:r>
          <w:r>
            <w:rPr>
              <w:w w:val="103"/>
            </w:rPr>
            <w:fldChar w:fldCharType="end"/>
          </w:r>
        </w:p>
      </w:tc>
    </w:tr>
  </w:tbl>
  <w:p w:rsidR="00624B93" w:rsidRPr="00C22CFF" w:rsidRDefault="00624B93" w:rsidP="00C22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24B93">
      <w:tblPrEx>
        <w:tblCellMar>
          <w:top w:w="0" w:type="dxa"/>
          <w:bottom w:w="0" w:type="dxa"/>
        </w:tblCellMar>
      </w:tblPrEx>
      <w:tc>
        <w:tcPr>
          <w:tcW w:w="5033" w:type="dxa"/>
          <w:shd w:val="clear" w:color="auto" w:fill="auto"/>
        </w:tcPr>
        <w:p w:rsidR="00624B93" w:rsidRPr="00C22CFF" w:rsidRDefault="00624B93" w:rsidP="00C22CFF">
          <w:pPr>
            <w:pStyle w:val="Footer"/>
            <w:jc w:val="right"/>
            <w:rPr>
              <w:w w:val="103"/>
            </w:rPr>
          </w:pPr>
          <w:r>
            <w:rPr>
              <w:w w:val="103"/>
            </w:rPr>
            <w:fldChar w:fldCharType="begin"/>
          </w:r>
          <w:r>
            <w:rPr>
              <w:w w:val="103"/>
            </w:rPr>
            <w:instrText xml:space="preserve"> PAGE  \* MERGEFORMAT </w:instrText>
          </w:r>
          <w:r>
            <w:rPr>
              <w:w w:val="103"/>
            </w:rPr>
            <w:fldChar w:fldCharType="separate"/>
          </w:r>
          <w:r w:rsidR="00F5447F">
            <w:rPr>
              <w:w w:val="103"/>
            </w:rPr>
            <w:t>3</w:t>
          </w:r>
          <w:r>
            <w:rPr>
              <w:w w:val="103"/>
            </w:rPr>
            <w:fldChar w:fldCharType="end"/>
          </w:r>
        </w:p>
      </w:tc>
      <w:tc>
        <w:tcPr>
          <w:tcW w:w="5033" w:type="dxa"/>
          <w:shd w:val="clear" w:color="auto" w:fill="auto"/>
        </w:tcPr>
        <w:p w:rsidR="00624B93" w:rsidRPr="00C22CFF" w:rsidRDefault="00624B93" w:rsidP="00C22C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47F">
            <w:rPr>
              <w:b w:val="0"/>
              <w:w w:val="103"/>
              <w:sz w:val="14"/>
            </w:rPr>
            <w:t>07-34149</w:t>
          </w:r>
          <w:r>
            <w:rPr>
              <w:b w:val="0"/>
              <w:w w:val="103"/>
              <w:sz w:val="14"/>
            </w:rPr>
            <w:fldChar w:fldCharType="end"/>
          </w:r>
        </w:p>
      </w:tc>
    </w:tr>
  </w:tbl>
  <w:p w:rsidR="00624B93" w:rsidRPr="00C22CFF" w:rsidRDefault="00624B93" w:rsidP="00C22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93" w:rsidRDefault="00624B93" w:rsidP="00C22CF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447F">
      <w:rPr>
        <w:b w:val="0"/>
        <w:sz w:val="20"/>
      </w:rPr>
      <w:t>07-34149 (E)</w:t>
    </w:r>
    <w:r>
      <w:rPr>
        <w:b w:val="0"/>
        <w:sz w:val="20"/>
      </w:rPr>
      <w:fldChar w:fldCharType="end"/>
    </w:r>
    <w:r>
      <w:rPr>
        <w:b w:val="0"/>
        <w:sz w:val="20"/>
      </w:rPr>
      <w:t xml:space="preserve">    120607</w:t>
    </w:r>
  </w:p>
  <w:p w:rsidR="00624B93" w:rsidRPr="00C22CFF" w:rsidRDefault="00624B93" w:rsidP="00C22CF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F5447F">
      <w:rPr>
        <w:rFonts w:ascii="Barcode 3 of 9 by request" w:hAnsi="Barcode 3 of 9 by request"/>
        <w:b w:val="0"/>
        <w:sz w:val="24"/>
      </w:rPr>
      <w:t>*0734149*</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624B93" w:rsidRPr="001C68E8">
      <w:trPr>
        <w:cantSplit/>
        <w:trHeight w:val="4925"/>
      </w:trPr>
      <w:tc>
        <w:tcPr>
          <w:tcW w:w="12413" w:type="dxa"/>
          <w:shd w:val="clear" w:color="auto" w:fill="auto"/>
          <w:textDirection w:val="tbRl"/>
        </w:tcPr>
        <w:p w:rsidR="00624B93" w:rsidRPr="001C68E8" w:rsidRDefault="00624B93" w:rsidP="001C68E8">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F5447F">
            <w:rPr>
              <w:w w:val="103"/>
            </w:rPr>
            <w:t>8</w:t>
          </w:r>
          <w:r>
            <w:rPr>
              <w:w w:val="103"/>
            </w:rPr>
            <w:fldChar w:fldCharType="end"/>
          </w:r>
        </w:p>
      </w:tc>
    </w:tr>
    <w:tr w:rsidR="00624B93" w:rsidRPr="001C68E8">
      <w:trPr>
        <w:cantSplit/>
        <w:trHeight w:val="4925"/>
      </w:trPr>
      <w:tc>
        <w:tcPr>
          <w:tcW w:w="12413" w:type="dxa"/>
          <w:shd w:val="clear" w:color="auto" w:fill="auto"/>
          <w:textDirection w:val="tbRl"/>
        </w:tcPr>
        <w:p w:rsidR="00624B93" w:rsidRPr="001C68E8" w:rsidRDefault="00624B93" w:rsidP="001C68E8">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47F">
            <w:rPr>
              <w:b w:val="0"/>
              <w:w w:val="103"/>
              <w:sz w:val="14"/>
            </w:rPr>
            <w:t>07-34149</w:t>
          </w:r>
          <w:r>
            <w:rPr>
              <w:b w:val="0"/>
              <w:w w:val="103"/>
              <w:sz w:val="14"/>
            </w:rPr>
            <w:fldChar w:fldCharType="end"/>
          </w:r>
        </w:p>
      </w:tc>
    </w:tr>
  </w:tbl>
  <w:p w:rsidR="00624B93" w:rsidRPr="001C68E8" w:rsidRDefault="00624B93" w:rsidP="001C68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624B93" w:rsidRPr="001C68E8">
      <w:trPr>
        <w:cantSplit/>
        <w:trHeight w:val="4925"/>
      </w:trPr>
      <w:tc>
        <w:tcPr>
          <w:tcW w:w="12413" w:type="dxa"/>
          <w:shd w:val="clear" w:color="auto" w:fill="auto"/>
          <w:textDirection w:val="tbRl"/>
        </w:tcPr>
        <w:p w:rsidR="00624B93" w:rsidRPr="001C68E8" w:rsidRDefault="00624B93" w:rsidP="001C68E8">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47F">
            <w:rPr>
              <w:b w:val="0"/>
              <w:w w:val="103"/>
              <w:sz w:val="14"/>
            </w:rPr>
            <w:t>07-34149</w:t>
          </w:r>
          <w:r>
            <w:rPr>
              <w:b w:val="0"/>
              <w:w w:val="103"/>
              <w:sz w:val="14"/>
            </w:rPr>
            <w:fldChar w:fldCharType="end"/>
          </w:r>
        </w:p>
      </w:tc>
    </w:tr>
    <w:tr w:rsidR="00624B93" w:rsidRPr="001C68E8">
      <w:trPr>
        <w:cantSplit/>
        <w:trHeight w:val="4925"/>
      </w:trPr>
      <w:tc>
        <w:tcPr>
          <w:tcW w:w="12413" w:type="dxa"/>
          <w:shd w:val="clear" w:color="auto" w:fill="auto"/>
          <w:textDirection w:val="tbRl"/>
        </w:tcPr>
        <w:p w:rsidR="00624B93" w:rsidRPr="001C68E8" w:rsidRDefault="00624B93" w:rsidP="001C68E8">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F5447F">
            <w:rPr>
              <w:w w:val="103"/>
            </w:rPr>
            <w:t>9</w:t>
          </w:r>
          <w:r>
            <w:rPr>
              <w:w w:val="103"/>
            </w:rPr>
            <w:fldChar w:fldCharType="end"/>
          </w:r>
        </w:p>
      </w:tc>
    </w:tr>
  </w:tbl>
  <w:p w:rsidR="00624B93" w:rsidRPr="001C68E8" w:rsidRDefault="00624B93" w:rsidP="001C68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24B93">
      <w:tblPrEx>
        <w:tblCellMar>
          <w:top w:w="0" w:type="dxa"/>
          <w:bottom w:w="0" w:type="dxa"/>
        </w:tblCellMar>
      </w:tblPrEx>
      <w:tc>
        <w:tcPr>
          <w:tcW w:w="5033" w:type="dxa"/>
          <w:shd w:val="clear" w:color="auto" w:fill="auto"/>
        </w:tcPr>
        <w:p w:rsidR="00624B93" w:rsidRPr="00332413" w:rsidRDefault="00624B93" w:rsidP="0033241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47F">
            <w:rPr>
              <w:b w:val="0"/>
              <w:w w:val="103"/>
              <w:sz w:val="14"/>
            </w:rPr>
            <w:t>07-34149</w:t>
          </w:r>
          <w:r>
            <w:rPr>
              <w:b w:val="0"/>
              <w:w w:val="103"/>
              <w:sz w:val="14"/>
            </w:rPr>
            <w:fldChar w:fldCharType="end"/>
          </w:r>
        </w:p>
      </w:tc>
      <w:tc>
        <w:tcPr>
          <w:tcW w:w="5033" w:type="dxa"/>
          <w:shd w:val="clear" w:color="auto" w:fill="auto"/>
        </w:tcPr>
        <w:p w:rsidR="00624B93" w:rsidRPr="00332413" w:rsidRDefault="00624B93" w:rsidP="00332413">
          <w:pPr>
            <w:pStyle w:val="Footer"/>
            <w:rPr>
              <w:w w:val="103"/>
            </w:rPr>
          </w:pPr>
          <w:r>
            <w:rPr>
              <w:w w:val="103"/>
            </w:rPr>
            <w:fldChar w:fldCharType="begin"/>
          </w:r>
          <w:r>
            <w:rPr>
              <w:w w:val="103"/>
            </w:rPr>
            <w:instrText xml:space="preserve"> PAGE  \* MERGEFORMAT </w:instrText>
          </w:r>
          <w:r>
            <w:rPr>
              <w:w w:val="103"/>
            </w:rPr>
            <w:fldChar w:fldCharType="separate"/>
          </w:r>
          <w:r w:rsidR="00F5447F">
            <w:rPr>
              <w:w w:val="103"/>
            </w:rPr>
            <w:t>20</w:t>
          </w:r>
          <w:r>
            <w:rPr>
              <w:w w:val="103"/>
            </w:rPr>
            <w:fldChar w:fldCharType="end"/>
          </w:r>
        </w:p>
      </w:tc>
    </w:tr>
  </w:tbl>
  <w:p w:rsidR="00624B93" w:rsidRPr="00332413" w:rsidRDefault="00624B93" w:rsidP="003324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24B93">
      <w:tblPrEx>
        <w:tblCellMar>
          <w:top w:w="0" w:type="dxa"/>
          <w:bottom w:w="0" w:type="dxa"/>
        </w:tblCellMar>
      </w:tblPrEx>
      <w:tc>
        <w:tcPr>
          <w:tcW w:w="5033" w:type="dxa"/>
          <w:shd w:val="clear" w:color="auto" w:fill="auto"/>
        </w:tcPr>
        <w:p w:rsidR="00624B93" w:rsidRPr="00332413" w:rsidRDefault="00624B93" w:rsidP="00332413">
          <w:pPr>
            <w:pStyle w:val="Footer"/>
            <w:jc w:val="right"/>
            <w:rPr>
              <w:w w:val="103"/>
            </w:rPr>
          </w:pPr>
          <w:r>
            <w:rPr>
              <w:w w:val="103"/>
            </w:rPr>
            <w:fldChar w:fldCharType="begin"/>
          </w:r>
          <w:r>
            <w:rPr>
              <w:w w:val="103"/>
            </w:rPr>
            <w:instrText xml:space="preserve"> PAGE  \* MERGEFORMAT </w:instrText>
          </w:r>
          <w:r>
            <w:rPr>
              <w:w w:val="103"/>
            </w:rPr>
            <w:fldChar w:fldCharType="separate"/>
          </w:r>
          <w:r w:rsidR="00F5447F">
            <w:rPr>
              <w:w w:val="103"/>
            </w:rPr>
            <w:t>21</w:t>
          </w:r>
          <w:r>
            <w:rPr>
              <w:w w:val="103"/>
            </w:rPr>
            <w:fldChar w:fldCharType="end"/>
          </w:r>
        </w:p>
      </w:tc>
      <w:tc>
        <w:tcPr>
          <w:tcW w:w="5033" w:type="dxa"/>
          <w:shd w:val="clear" w:color="auto" w:fill="auto"/>
        </w:tcPr>
        <w:p w:rsidR="00624B93" w:rsidRPr="00332413" w:rsidRDefault="00624B93" w:rsidP="0033241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47F">
            <w:rPr>
              <w:b w:val="0"/>
              <w:w w:val="103"/>
              <w:sz w:val="14"/>
            </w:rPr>
            <w:t>07-34149</w:t>
          </w:r>
          <w:r>
            <w:rPr>
              <w:b w:val="0"/>
              <w:w w:val="103"/>
              <w:sz w:val="14"/>
            </w:rPr>
            <w:fldChar w:fldCharType="end"/>
          </w:r>
        </w:p>
      </w:tc>
    </w:tr>
  </w:tbl>
  <w:p w:rsidR="00624B93" w:rsidRPr="00332413" w:rsidRDefault="00624B93" w:rsidP="00332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A5" w:rsidRDefault="000A17A5" w:rsidP="00C22CFF">
      <w:r>
        <w:separator/>
      </w:r>
    </w:p>
  </w:footnote>
  <w:footnote w:type="continuationSeparator" w:id="0">
    <w:p w:rsidR="000A17A5" w:rsidRDefault="000A17A5" w:rsidP="00C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24B93">
      <w:tblPrEx>
        <w:tblCellMar>
          <w:top w:w="0" w:type="dxa"/>
          <w:bottom w:w="0" w:type="dxa"/>
        </w:tblCellMar>
      </w:tblPrEx>
      <w:trPr>
        <w:trHeight w:hRule="exact" w:val="864"/>
      </w:trPr>
      <w:tc>
        <w:tcPr>
          <w:tcW w:w="4838" w:type="dxa"/>
          <w:shd w:val="clear" w:color="auto" w:fill="auto"/>
          <w:vAlign w:val="bottom"/>
        </w:tcPr>
        <w:p w:rsidR="00624B93" w:rsidRPr="00C22CFF" w:rsidRDefault="00624B93" w:rsidP="00C22CFF">
          <w:pPr>
            <w:pStyle w:val="Header"/>
            <w:spacing w:after="80"/>
            <w:rPr>
              <w:b/>
            </w:rPr>
          </w:pPr>
          <w:r>
            <w:rPr>
              <w:b/>
            </w:rPr>
            <w:fldChar w:fldCharType="begin"/>
          </w:r>
          <w:r>
            <w:rPr>
              <w:b/>
            </w:rPr>
            <w:instrText xml:space="preserve"> DOCVARIABLE "sss1" \* MERGEFORMAT </w:instrText>
          </w:r>
          <w:r>
            <w:rPr>
              <w:b/>
            </w:rPr>
            <w:fldChar w:fldCharType="separate"/>
          </w:r>
          <w:r w:rsidR="00F5447F">
            <w:rPr>
              <w:b/>
            </w:rPr>
            <w:t>CEDAW/C/2007/III/3/Add.3</w:t>
          </w:r>
          <w:r>
            <w:rPr>
              <w:b/>
            </w:rPr>
            <w:fldChar w:fldCharType="end"/>
          </w:r>
        </w:p>
      </w:tc>
      <w:tc>
        <w:tcPr>
          <w:tcW w:w="5033" w:type="dxa"/>
          <w:shd w:val="clear" w:color="auto" w:fill="auto"/>
          <w:vAlign w:val="bottom"/>
        </w:tcPr>
        <w:p w:rsidR="00624B93" w:rsidRDefault="00624B93" w:rsidP="00C22CFF">
          <w:pPr>
            <w:pStyle w:val="Header"/>
          </w:pPr>
        </w:p>
      </w:tc>
    </w:tr>
  </w:tbl>
  <w:p w:rsidR="00624B93" w:rsidRPr="00C22CFF" w:rsidRDefault="00624B93" w:rsidP="00C2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24B93">
      <w:tblPrEx>
        <w:tblCellMar>
          <w:top w:w="0" w:type="dxa"/>
          <w:bottom w:w="0" w:type="dxa"/>
        </w:tblCellMar>
      </w:tblPrEx>
      <w:trPr>
        <w:trHeight w:hRule="exact" w:val="864"/>
      </w:trPr>
      <w:tc>
        <w:tcPr>
          <w:tcW w:w="4838" w:type="dxa"/>
          <w:shd w:val="clear" w:color="auto" w:fill="auto"/>
          <w:vAlign w:val="bottom"/>
        </w:tcPr>
        <w:p w:rsidR="00624B93" w:rsidRDefault="00624B93" w:rsidP="00C22CFF">
          <w:pPr>
            <w:pStyle w:val="Header"/>
          </w:pPr>
        </w:p>
      </w:tc>
      <w:tc>
        <w:tcPr>
          <w:tcW w:w="5033" w:type="dxa"/>
          <w:shd w:val="clear" w:color="auto" w:fill="auto"/>
          <w:vAlign w:val="bottom"/>
        </w:tcPr>
        <w:p w:rsidR="00624B93" w:rsidRPr="00C22CFF" w:rsidRDefault="00624B93" w:rsidP="00C22CFF">
          <w:pPr>
            <w:pStyle w:val="Header"/>
            <w:spacing w:after="80"/>
            <w:jc w:val="right"/>
            <w:rPr>
              <w:b/>
            </w:rPr>
          </w:pPr>
          <w:r>
            <w:rPr>
              <w:b/>
            </w:rPr>
            <w:fldChar w:fldCharType="begin"/>
          </w:r>
          <w:r>
            <w:rPr>
              <w:b/>
            </w:rPr>
            <w:instrText xml:space="preserve"> DOCVARIABLE "sss1" \* MERGEFORMAT </w:instrText>
          </w:r>
          <w:r>
            <w:rPr>
              <w:b/>
            </w:rPr>
            <w:fldChar w:fldCharType="separate"/>
          </w:r>
          <w:r w:rsidR="00F5447F">
            <w:rPr>
              <w:b/>
            </w:rPr>
            <w:t>CEDAW/C/2007/III/3/Add.3</w:t>
          </w:r>
          <w:r>
            <w:rPr>
              <w:b/>
            </w:rPr>
            <w:fldChar w:fldCharType="end"/>
          </w:r>
        </w:p>
      </w:tc>
    </w:tr>
  </w:tbl>
  <w:p w:rsidR="00624B93" w:rsidRPr="00C22CFF" w:rsidRDefault="00624B93" w:rsidP="00C2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24B9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24B93" w:rsidRDefault="00624B93" w:rsidP="00C22CFF">
          <w:pPr>
            <w:pStyle w:val="Header"/>
            <w:spacing w:after="120"/>
          </w:pPr>
        </w:p>
      </w:tc>
      <w:tc>
        <w:tcPr>
          <w:tcW w:w="1872" w:type="dxa"/>
          <w:tcBorders>
            <w:bottom w:val="single" w:sz="4" w:space="0" w:color="auto"/>
          </w:tcBorders>
          <w:shd w:val="clear" w:color="auto" w:fill="auto"/>
          <w:vAlign w:val="bottom"/>
        </w:tcPr>
        <w:p w:rsidR="00624B93" w:rsidRPr="00C22CFF" w:rsidRDefault="00624B93" w:rsidP="00C22CF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24B93" w:rsidRDefault="00624B93" w:rsidP="00C22CFF">
          <w:pPr>
            <w:pStyle w:val="Header"/>
            <w:spacing w:after="120"/>
          </w:pPr>
        </w:p>
      </w:tc>
      <w:tc>
        <w:tcPr>
          <w:tcW w:w="6523" w:type="dxa"/>
          <w:gridSpan w:val="4"/>
          <w:tcBorders>
            <w:bottom w:val="single" w:sz="4" w:space="0" w:color="auto"/>
          </w:tcBorders>
          <w:shd w:val="clear" w:color="auto" w:fill="auto"/>
          <w:vAlign w:val="bottom"/>
        </w:tcPr>
        <w:p w:rsidR="00624B93" w:rsidRPr="00C22CFF" w:rsidRDefault="00624B93" w:rsidP="00C22CFF">
          <w:pPr>
            <w:spacing w:after="80" w:line="240" w:lineRule="auto"/>
            <w:jc w:val="right"/>
            <w:rPr>
              <w:position w:val="-4"/>
            </w:rPr>
          </w:pPr>
          <w:r>
            <w:rPr>
              <w:position w:val="-4"/>
              <w:sz w:val="40"/>
            </w:rPr>
            <w:t>CEDAW</w:t>
          </w:r>
          <w:r>
            <w:rPr>
              <w:position w:val="-4"/>
            </w:rPr>
            <w:t>/C/2007/III/3/Add.3</w:t>
          </w:r>
        </w:p>
      </w:tc>
    </w:tr>
    <w:tr w:rsidR="00624B93" w:rsidRPr="00C22CF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24B93" w:rsidRDefault="00624B93" w:rsidP="00C22CF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24B93" w:rsidRPr="00C22CFF" w:rsidRDefault="00624B93" w:rsidP="00C22CFF">
          <w:pPr>
            <w:pStyle w:val="Header"/>
            <w:spacing w:before="109"/>
          </w:pPr>
        </w:p>
      </w:tc>
      <w:tc>
        <w:tcPr>
          <w:tcW w:w="5227" w:type="dxa"/>
          <w:gridSpan w:val="3"/>
          <w:tcBorders>
            <w:top w:val="single" w:sz="4" w:space="0" w:color="auto"/>
            <w:bottom w:val="single" w:sz="12" w:space="0" w:color="auto"/>
          </w:tcBorders>
          <w:shd w:val="clear" w:color="auto" w:fill="auto"/>
        </w:tcPr>
        <w:p w:rsidR="00624B93" w:rsidRPr="00C22CFF" w:rsidRDefault="00624B93" w:rsidP="00C22CFF">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624B93" w:rsidRPr="00C22CFF" w:rsidRDefault="00624B93" w:rsidP="00C22CFF">
          <w:pPr>
            <w:pStyle w:val="Header"/>
            <w:spacing w:before="109"/>
          </w:pPr>
        </w:p>
      </w:tc>
      <w:tc>
        <w:tcPr>
          <w:tcW w:w="3140" w:type="dxa"/>
          <w:tcBorders>
            <w:top w:val="single" w:sz="4" w:space="0" w:color="auto"/>
            <w:bottom w:val="single" w:sz="12" w:space="0" w:color="auto"/>
          </w:tcBorders>
          <w:shd w:val="clear" w:color="auto" w:fill="auto"/>
        </w:tcPr>
        <w:p w:rsidR="00624B93" w:rsidRDefault="00624B93" w:rsidP="00C22CFF">
          <w:pPr>
            <w:spacing w:before="240"/>
          </w:pPr>
          <w:r>
            <w:t>Distr.: General</w:t>
          </w:r>
        </w:p>
        <w:p w:rsidR="00624B93" w:rsidRDefault="00624B93" w:rsidP="00C22CFF">
          <w:r>
            <w:t>11 May 2007</w:t>
          </w:r>
        </w:p>
        <w:p w:rsidR="00624B93" w:rsidRDefault="00624B93" w:rsidP="00C22CFF"/>
        <w:p w:rsidR="00624B93" w:rsidRPr="00C22CFF" w:rsidRDefault="00624B93" w:rsidP="00C22CFF">
          <w:r>
            <w:t>Original: English</w:t>
          </w:r>
        </w:p>
      </w:tc>
    </w:tr>
  </w:tbl>
  <w:p w:rsidR="00624B93" w:rsidRPr="00C22CFF" w:rsidRDefault="00624B93" w:rsidP="00C22CFF">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624B93" w:rsidRPr="001C68E8">
      <w:trPr>
        <w:cantSplit/>
        <w:trHeight w:val="4925"/>
      </w:trPr>
      <w:tc>
        <w:tcPr>
          <w:tcW w:w="12413" w:type="dxa"/>
          <w:shd w:val="clear" w:color="auto" w:fill="auto"/>
          <w:textDirection w:val="tbRl"/>
          <w:vAlign w:val="bottom"/>
        </w:tcPr>
        <w:p w:rsidR="00624B93" w:rsidRPr="001C68E8" w:rsidRDefault="00624B93" w:rsidP="001C68E8">
          <w:pPr>
            <w:pStyle w:val="Header"/>
            <w:spacing w:line="240" w:lineRule="auto"/>
            <w:ind w:left="14" w:right="14"/>
            <w:rPr>
              <w:b/>
              <w:w w:val="103"/>
            </w:rPr>
          </w:pPr>
          <w:r w:rsidRPr="001C68E8">
            <w:rPr>
              <w:b/>
              <w:w w:val="103"/>
            </w:rPr>
            <w:fldChar w:fldCharType="begin"/>
          </w:r>
          <w:r w:rsidRPr="001C68E8">
            <w:rPr>
              <w:b/>
              <w:w w:val="103"/>
            </w:rPr>
            <w:instrText xml:space="preserve"> DOCVARIABLE "sss1" \* MERGEFORMAT </w:instrText>
          </w:r>
          <w:r w:rsidRPr="001C68E8">
            <w:rPr>
              <w:b/>
              <w:w w:val="103"/>
            </w:rPr>
            <w:fldChar w:fldCharType="separate"/>
          </w:r>
          <w:r w:rsidR="00F5447F">
            <w:rPr>
              <w:b/>
              <w:w w:val="103"/>
            </w:rPr>
            <w:t>CEDAW/C/2007/III/3/Add.3</w:t>
          </w:r>
          <w:r w:rsidRPr="001C68E8">
            <w:rPr>
              <w:b/>
              <w:w w:val="103"/>
            </w:rPr>
            <w:fldChar w:fldCharType="end"/>
          </w:r>
        </w:p>
      </w:tc>
    </w:tr>
    <w:tr w:rsidR="00624B93" w:rsidRPr="001C68E8">
      <w:trPr>
        <w:cantSplit/>
        <w:trHeight w:val="4925"/>
      </w:trPr>
      <w:tc>
        <w:tcPr>
          <w:tcW w:w="12413" w:type="dxa"/>
          <w:shd w:val="clear" w:color="auto" w:fill="auto"/>
          <w:textDirection w:val="tbRl"/>
          <w:vAlign w:val="bottom"/>
        </w:tcPr>
        <w:p w:rsidR="00624B93" w:rsidRPr="001C68E8" w:rsidRDefault="00624B93" w:rsidP="001C68E8">
          <w:pPr>
            <w:pStyle w:val="Header"/>
            <w:spacing w:line="240" w:lineRule="auto"/>
            <w:ind w:left="14" w:right="14"/>
            <w:rPr>
              <w:b/>
              <w:w w:val="103"/>
            </w:rPr>
          </w:pPr>
        </w:p>
      </w:tc>
    </w:tr>
  </w:tbl>
  <w:p w:rsidR="00624B93" w:rsidRPr="001C68E8" w:rsidRDefault="00624B93" w:rsidP="001C68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624B93" w:rsidRPr="001C68E8">
      <w:trPr>
        <w:trHeight w:val="4925"/>
      </w:trPr>
      <w:tc>
        <w:tcPr>
          <w:tcW w:w="12413" w:type="dxa"/>
          <w:shd w:val="clear" w:color="auto" w:fill="auto"/>
          <w:vAlign w:val="bottom"/>
        </w:tcPr>
        <w:p w:rsidR="00624B93" w:rsidRPr="001C68E8" w:rsidRDefault="00624B93" w:rsidP="001C68E8">
          <w:pPr>
            <w:pStyle w:val="Header"/>
            <w:spacing w:line="240" w:lineRule="auto"/>
            <w:ind w:left="14" w:right="14"/>
            <w:jc w:val="right"/>
            <w:rPr>
              <w:b/>
              <w:bCs/>
              <w:w w:val="103"/>
              <w:szCs w:val="26"/>
            </w:rPr>
          </w:pPr>
        </w:p>
      </w:tc>
    </w:tr>
    <w:tr w:rsidR="00624B93" w:rsidRPr="001C68E8">
      <w:trPr>
        <w:cantSplit/>
        <w:trHeight w:val="4925"/>
      </w:trPr>
      <w:tc>
        <w:tcPr>
          <w:tcW w:w="12413" w:type="dxa"/>
          <w:shd w:val="clear" w:color="auto" w:fill="auto"/>
          <w:textDirection w:val="tbRl"/>
          <w:vAlign w:val="bottom"/>
        </w:tcPr>
        <w:p w:rsidR="00624B93" w:rsidRPr="001C68E8" w:rsidRDefault="00624B93" w:rsidP="001C68E8">
          <w:pPr>
            <w:pStyle w:val="Header"/>
            <w:spacing w:line="240" w:lineRule="auto"/>
            <w:ind w:left="14" w:right="14"/>
            <w:jc w:val="right"/>
            <w:rPr>
              <w:b/>
              <w:bCs/>
              <w:w w:val="103"/>
              <w:szCs w:val="26"/>
            </w:rPr>
          </w:pPr>
          <w:r w:rsidRPr="001C68E8">
            <w:rPr>
              <w:b/>
              <w:bCs/>
              <w:w w:val="103"/>
              <w:szCs w:val="26"/>
            </w:rPr>
            <w:fldChar w:fldCharType="begin"/>
          </w:r>
          <w:r w:rsidRPr="001C68E8">
            <w:rPr>
              <w:b/>
              <w:bCs/>
              <w:w w:val="103"/>
              <w:szCs w:val="26"/>
            </w:rPr>
            <w:instrText xml:space="preserve"> DOCVARIABLE "sss1" \* MERGEFORMAT </w:instrText>
          </w:r>
          <w:r w:rsidRPr="001C68E8">
            <w:rPr>
              <w:b/>
              <w:bCs/>
              <w:w w:val="103"/>
              <w:szCs w:val="26"/>
            </w:rPr>
            <w:fldChar w:fldCharType="separate"/>
          </w:r>
          <w:r w:rsidR="00F5447F">
            <w:rPr>
              <w:b/>
              <w:bCs/>
              <w:w w:val="103"/>
              <w:szCs w:val="26"/>
            </w:rPr>
            <w:t>CEDAW/C/2007/III/3/Add.3</w:t>
          </w:r>
          <w:r w:rsidRPr="001C68E8">
            <w:rPr>
              <w:b/>
              <w:bCs/>
              <w:w w:val="103"/>
              <w:szCs w:val="26"/>
            </w:rPr>
            <w:fldChar w:fldCharType="end"/>
          </w:r>
        </w:p>
      </w:tc>
    </w:tr>
  </w:tbl>
  <w:p w:rsidR="00624B93" w:rsidRPr="001C68E8" w:rsidRDefault="00624B93" w:rsidP="001C68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24B93">
      <w:tblPrEx>
        <w:tblCellMar>
          <w:top w:w="0" w:type="dxa"/>
          <w:bottom w:w="0" w:type="dxa"/>
        </w:tblCellMar>
      </w:tblPrEx>
      <w:trPr>
        <w:trHeight w:hRule="exact" w:val="864"/>
      </w:trPr>
      <w:tc>
        <w:tcPr>
          <w:tcW w:w="4838" w:type="dxa"/>
          <w:shd w:val="clear" w:color="auto" w:fill="auto"/>
          <w:vAlign w:val="bottom"/>
        </w:tcPr>
        <w:p w:rsidR="00624B93" w:rsidRPr="00332413" w:rsidRDefault="00624B93" w:rsidP="00332413">
          <w:pPr>
            <w:pStyle w:val="Header"/>
            <w:spacing w:after="80"/>
            <w:rPr>
              <w:b/>
            </w:rPr>
          </w:pPr>
          <w:r>
            <w:rPr>
              <w:b/>
            </w:rPr>
            <w:fldChar w:fldCharType="begin"/>
          </w:r>
          <w:r>
            <w:rPr>
              <w:b/>
            </w:rPr>
            <w:instrText xml:space="preserve"> DOCVARIABLE "sss1" \* MERGEFORMAT </w:instrText>
          </w:r>
          <w:r>
            <w:rPr>
              <w:b/>
            </w:rPr>
            <w:fldChar w:fldCharType="separate"/>
          </w:r>
          <w:r w:rsidR="00F5447F">
            <w:rPr>
              <w:b/>
            </w:rPr>
            <w:t>CEDAW/C/2007/III/3/Add.3</w:t>
          </w:r>
          <w:r>
            <w:rPr>
              <w:b/>
            </w:rPr>
            <w:fldChar w:fldCharType="end"/>
          </w:r>
        </w:p>
      </w:tc>
      <w:tc>
        <w:tcPr>
          <w:tcW w:w="5033" w:type="dxa"/>
          <w:shd w:val="clear" w:color="auto" w:fill="auto"/>
          <w:vAlign w:val="bottom"/>
        </w:tcPr>
        <w:p w:rsidR="00624B93" w:rsidRDefault="00624B93" w:rsidP="00332413">
          <w:pPr>
            <w:pStyle w:val="Header"/>
          </w:pPr>
        </w:p>
      </w:tc>
    </w:tr>
  </w:tbl>
  <w:p w:rsidR="00624B93" w:rsidRPr="00332413" w:rsidRDefault="00624B93" w:rsidP="003324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24B93">
      <w:tblPrEx>
        <w:tblCellMar>
          <w:top w:w="0" w:type="dxa"/>
          <w:bottom w:w="0" w:type="dxa"/>
        </w:tblCellMar>
      </w:tblPrEx>
      <w:trPr>
        <w:trHeight w:hRule="exact" w:val="864"/>
      </w:trPr>
      <w:tc>
        <w:tcPr>
          <w:tcW w:w="4838" w:type="dxa"/>
          <w:shd w:val="clear" w:color="auto" w:fill="auto"/>
          <w:vAlign w:val="bottom"/>
        </w:tcPr>
        <w:p w:rsidR="00624B93" w:rsidRPr="00332413" w:rsidRDefault="00624B93" w:rsidP="00332413">
          <w:pPr>
            <w:pStyle w:val="Header"/>
            <w:spacing w:after="80"/>
          </w:pPr>
        </w:p>
      </w:tc>
      <w:tc>
        <w:tcPr>
          <w:tcW w:w="5033" w:type="dxa"/>
          <w:shd w:val="clear" w:color="auto" w:fill="auto"/>
          <w:vAlign w:val="bottom"/>
        </w:tcPr>
        <w:p w:rsidR="00624B93" w:rsidRPr="00332413" w:rsidRDefault="00624B93" w:rsidP="00332413">
          <w:pPr>
            <w:pStyle w:val="Header"/>
            <w:spacing w:after="80"/>
            <w:jc w:val="right"/>
            <w:rPr>
              <w:b/>
            </w:rPr>
          </w:pPr>
          <w:r w:rsidRPr="00332413">
            <w:rPr>
              <w:b/>
            </w:rPr>
            <w:fldChar w:fldCharType="begin"/>
          </w:r>
          <w:r w:rsidRPr="00332413">
            <w:rPr>
              <w:b/>
            </w:rPr>
            <w:instrText xml:space="preserve"> DOCVARIABLE "sss1" \* MERGEFORMAT </w:instrText>
          </w:r>
          <w:r w:rsidRPr="00332413">
            <w:rPr>
              <w:b/>
            </w:rPr>
            <w:fldChar w:fldCharType="separate"/>
          </w:r>
          <w:r w:rsidR="00F5447F">
            <w:rPr>
              <w:b/>
            </w:rPr>
            <w:t>CEDAW/C/2007/III/3/Add.3</w:t>
          </w:r>
          <w:r w:rsidRPr="00332413">
            <w:rPr>
              <w:b/>
            </w:rPr>
            <w:fldChar w:fldCharType="end"/>
          </w:r>
        </w:p>
      </w:tc>
    </w:tr>
  </w:tbl>
  <w:p w:rsidR="00624B93" w:rsidRPr="00332413" w:rsidRDefault="00624B93" w:rsidP="00332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4149*"/>
    <w:docVar w:name="CreationDt" w:val="11/06/2007 13:40:40"/>
    <w:docVar w:name="DocCategory" w:val="Doc"/>
    <w:docVar w:name="DocType" w:val="Final"/>
    <w:docVar w:name="FooterJN" w:val="07-34149"/>
    <w:docVar w:name="jobn" w:val="07-34149 (E)"/>
    <w:docVar w:name="jobnDT" w:val="07-34149 (E)   110607"/>
    <w:docVar w:name="jobnDTDT" w:val="07-34149 (E)   110607   110607"/>
    <w:docVar w:name="JobNo" w:val="0734149E"/>
    <w:docVar w:name="OandT" w:val="vn"/>
    <w:docVar w:name="sss1" w:val="CEDAW/C/2007/III/3/Add.3"/>
    <w:docVar w:name="sss2" w:val="-"/>
    <w:docVar w:name="Symbol1" w:val="CEDAW/C/2007/III/3/Add.3"/>
    <w:docVar w:name="Symbol2" w:val="-"/>
  </w:docVars>
  <w:rsids>
    <w:rsidRoot w:val="008235B4"/>
    <w:rsid w:val="00010812"/>
    <w:rsid w:val="00032C65"/>
    <w:rsid w:val="00062E0F"/>
    <w:rsid w:val="0007320F"/>
    <w:rsid w:val="00082EF1"/>
    <w:rsid w:val="000A17A5"/>
    <w:rsid w:val="00106CA4"/>
    <w:rsid w:val="00111098"/>
    <w:rsid w:val="0011496D"/>
    <w:rsid w:val="00124687"/>
    <w:rsid w:val="00157FE3"/>
    <w:rsid w:val="001745C0"/>
    <w:rsid w:val="00184193"/>
    <w:rsid w:val="0019245C"/>
    <w:rsid w:val="00197EF9"/>
    <w:rsid w:val="001B1A0C"/>
    <w:rsid w:val="001C19CD"/>
    <w:rsid w:val="001C266D"/>
    <w:rsid w:val="001C68E8"/>
    <w:rsid w:val="001D0ED4"/>
    <w:rsid w:val="001D2A67"/>
    <w:rsid w:val="00313AB3"/>
    <w:rsid w:val="00314894"/>
    <w:rsid w:val="00316636"/>
    <w:rsid w:val="00324282"/>
    <w:rsid w:val="00326D6F"/>
    <w:rsid w:val="00332413"/>
    <w:rsid w:val="003B1499"/>
    <w:rsid w:val="003E4B33"/>
    <w:rsid w:val="003F727F"/>
    <w:rsid w:val="0040288E"/>
    <w:rsid w:val="00441EF4"/>
    <w:rsid w:val="0045397A"/>
    <w:rsid w:val="00462C3B"/>
    <w:rsid w:val="00482B7E"/>
    <w:rsid w:val="004C0BA8"/>
    <w:rsid w:val="004C5D7A"/>
    <w:rsid w:val="004D0839"/>
    <w:rsid w:val="004D3DDE"/>
    <w:rsid w:val="004E04CB"/>
    <w:rsid w:val="004E3DE5"/>
    <w:rsid w:val="004F3E72"/>
    <w:rsid w:val="005302EB"/>
    <w:rsid w:val="00542A9C"/>
    <w:rsid w:val="00546F5D"/>
    <w:rsid w:val="00591205"/>
    <w:rsid w:val="00594A53"/>
    <w:rsid w:val="005E7EA3"/>
    <w:rsid w:val="00600132"/>
    <w:rsid w:val="00617564"/>
    <w:rsid w:val="00624B93"/>
    <w:rsid w:val="00662EF9"/>
    <w:rsid w:val="00677186"/>
    <w:rsid w:val="006972C1"/>
    <w:rsid w:val="006A012D"/>
    <w:rsid w:val="006A0383"/>
    <w:rsid w:val="006E719D"/>
    <w:rsid w:val="006F1DFE"/>
    <w:rsid w:val="0070694B"/>
    <w:rsid w:val="00740BBF"/>
    <w:rsid w:val="007F3C8D"/>
    <w:rsid w:val="008235B4"/>
    <w:rsid w:val="008323A0"/>
    <w:rsid w:val="008445AF"/>
    <w:rsid w:val="008D3358"/>
    <w:rsid w:val="009002F0"/>
    <w:rsid w:val="00912DC7"/>
    <w:rsid w:val="009341E7"/>
    <w:rsid w:val="009477D6"/>
    <w:rsid w:val="00954822"/>
    <w:rsid w:val="00956D53"/>
    <w:rsid w:val="00961E03"/>
    <w:rsid w:val="009732D1"/>
    <w:rsid w:val="009733EB"/>
    <w:rsid w:val="00994323"/>
    <w:rsid w:val="0099575A"/>
    <w:rsid w:val="009A040F"/>
    <w:rsid w:val="009E6C4F"/>
    <w:rsid w:val="00A12857"/>
    <w:rsid w:val="00A24DE4"/>
    <w:rsid w:val="00A251C7"/>
    <w:rsid w:val="00AD1032"/>
    <w:rsid w:val="00AE2673"/>
    <w:rsid w:val="00B10B5D"/>
    <w:rsid w:val="00B25C5C"/>
    <w:rsid w:val="00B46851"/>
    <w:rsid w:val="00BB0F7A"/>
    <w:rsid w:val="00BD0DCE"/>
    <w:rsid w:val="00C0596D"/>
    <w:rsid w:val="00C22CFF"/>
    <w:rsid w:val="00C262B4"/>
    <w:rsid w:val="00C307BD"/>
    <w:rsid w:val="00C467CE"/>
    <w:rsid w:val="00CE3E79"/>
    <w:rsid w:val="00D04D80"/>
    <w:rsid w:val="00D379B4"/>
    <w:rsid w:val="00D76463"/>
    <w:rsid w:val="00D85224"/>
    <w:rsid w:val="00DB0F41"/>
    <w:rsid w:val="00DC4835"/>
    <w:rsid w:val="00DF53C8"/>
    <w:rsid w:val="00E03E68"/>
    <w:rsid w:val="00E05A3F"/>
    <w:rsid w:val="00E238E7"/>
    <w:rsid w:val="00E41CA5"/>
    <w:rsid w:val="00E64F8A"/>
    <w:rsid w:val="00E76523"/>
    <w:rsid w:val="00E85FAA"/>
    <w:rsid w:val="00EA0299"/>
    <w:rsid w:val="00EA73EA"/>
    <w:rsid w:val="00EC2AFA"/>
    <w:rsid w:val="00EF1F97"/>
    <w:rsid w:val="00F5447F"/>
    <w:rsid w:val="00F57B47"/>
    <w:rsid w:val="00F90544"/>
    <w:rsid w:val="00F9421B"/>
    <w:rsid w:val="00FA0179"/>
    <w:rsid w:val="00FB0F9A"/>
    <w:rsid w:val="00FC5FD6"/>
    <w:rsid w:val="00FE1FBA"/>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22CFF"/>
  </w:style>
  <w:style w:type="paragraph" w:styleId="CommentSubject">
    <w:name w:val="annotation subject"/>
    <w:basedOn w:val="CommentText"/>
    <w:next w:val="CommentText"/>
    <w:semiHidden/>
    <w:rsid w:val="00C22CFF"/>
    <w:rPr>
      <w:b/>
      <w:bCs/>
    </w:rPr>
  </w:style>
  <w:style w:type="table" w:styleId="TableGrid">
    <w:name w:val="Table Grid"/>
    <w:basedOn w:val="TableNormal"/>
    <w:rsid w:val="001C68E8"/>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E3E7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www.cemina.org.br/" TargetMode="Externa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7741</Words>
  <Characters>44124</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51762</CharactersWithSpaces>
  <SharedDoc>false</SharedDoc>
  <HLinks>
    <vt:vector size="6" baseType="variant">
      <vt:variant>
        <vt:i4>4915287</vt:i4>
      </vt:variant>
      <vt:variant>
        <vt:i4>0</vt:i4>
      </vt:variant>
      <vt:variant>
        <vt:i4>0</vt:i4>
      </vt:variant>
      <vt:variant>
        <vt:i4>5</vt:i4>
      </vt:variant>
      <vt:variant>
        <vt:lpwstr>http://www.cemina.org.br/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Veronica Navarro</dc:creator>
  <cp:keywords/>
  <dc:description/>
  <cp:lastModifiedBy>English_Text_Processing</cp:lastModifiedBy>
  <cp:revision>6</cp:revision>
  <cp:lastPrinted>2007-06-12T16:23:00Z</cp:lastPrinted>
  <dcterms:created xsi:type="dcterms:W3CDTF">2007-06-12T14:51:00Z</dcterms:created>
  <dcterms:modified xsi:type="dcterms:W3CDTF">2007-06-12T17:10:00Z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0734149</vt:lpwstr>
  </property>
  <property fmtid="{D5CDD505-2E9C-101B-9397-08002B2CF9AE}" pid="3" name="Symbol1">
    <vt:lpwstr>CEDAW/C/2007/III/3/Add.3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21 Final</vt:lpwstr>
  </property>
  <property fmtid="{D5CDD505-2E9C-101B-9397-08002B2CF9AE}" pid="8" name="Operator">
    <vt:lpwstr>ls [F]</vt:lpwstr>
  </property>
</Properties>
</file>