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51B7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751B7F">
            <w:pPr>
              <w:rPr>
                <w:rFonts w:ascii="Univers" w:hAnsi="Univers"/>
                <w:b/>
                <w:sz w:val="28"/>
              </w:rPr>
            </w:pPr>
            <w:r>
              <w:rPr>
                <w:rFonts w:ascii="Univers" w:hAnsi="Univers"/>
                <w:b/>
                <w:sz w:val="28"/>
              </w:rPr>
              <w:t>UNITED</w:t>
            </w:r>
          </w:p>
          <w:p w:rsidR="00000000" w:rsidRDefault="00751B7F">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751B7F"/>
        </w:tc>
        <w:tc>
          <w:tcPr>
            <w:tcW w:w="3366" w:type="dxa"/>
            <w:tcBorders>
              <w:top w:val="nil"/>
              <w:left w:val="nil"/>
              <w:bottom w:val="single" w:sz="6" w:space="0" w:color="auto"/>
              <w:right w:val="nil"/>
            </w:tcBorders>
          </w:tcPr>
          <w:p w:rsidR="00000000" w:rsidRDefault="00751B7F">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751B7F"/>
          <w:bookmarkStart w:id="0" w:name="_MON_992683081"/>
          <w:bookmarkEnd w:id="0"/>
          <w:p w:rsidR="00000000" w:rsidRDefault="00751B7F">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026147" r:id="rId8"/>
              </w:object>
            </w:r>
          </w:p>
        </w:tc>
        <w:tc>
          <w:tcPr>
            <w:tcW w:w="4536" w:type="dxa"/>
            <w:tcBorders>
              <w:top w:val="single" w:sz="6" w:space="0" w:color="auto"/>
              <w:left w:val="nil"/>
              <w:bottom w:val="single" w:sz="36" w:space="0" w:color="auto"/>
              <w:right w:val="nil"/>
            </w:tcBorders>
          </w:tcPr>
          <w:p w:rsidR="00000000" w:rsidRDefault="00751B7F">
            <w:pPr>
              <w:rPr>
                <w:rFonts w:ascii="Univers" w:hAnsi="Univers"/>
              </w:rPr>
            </w:pPr>
          </w:p>
          <w:p w:rsidR="00000000" w:rsidRDefault="00751B7F">
            <w:pPr>
              <w:rPr>
                <w:rFonts w:ascii="Univers" w:hAnsi="Univers"/>
                <w:b/>
                <w:sz w:val="36"/>
              </w:rPr>
            </w:pPr>
            <w:r>
              <w:rPr>
                <w:rFonts w:ascii="Univers" w:hAnsi="Univers"/>
                <w:b/>
                <w:sz w:val="36"/>
              </w:rPr>
              <w:t>International covenant</w:t>
            </w:r>
          </w:p>
          <w:p w:rsidR="00000000" w:rsidRDefault="00751B7F">
            <w:pPr>
              <w:rPr>
                <w:rFonts w:ascii="Univers" w:hAnsi="Univers"/>
                <w:b/>
                <w:sz w:val="36"/>
              </w:rPr>
            </w:pPr>
            <w:r>
              <w:rPr>
                <w:rFonts w:ascii="Univers" w:hAnsi="Univers"/>
                <w:b/>
                <w:sz w:val="36"/>
              </w:rPr>
              <w:t>on civil and</w:t>
            </w:r>
          </w:p>
          <w:p w:rsidR="00000000" w:rsidRDefault="00751B7F">
            <w:pPr>
              <w:rPr>
                <w:rFonts w:ascii="Univers" w:hAnsi="Univers"/>
                <w:b/>
                <w:sz w:val="36"/>
              </w:rPr>
            </w:pPr>
            <w:r>
              <w:rPr>
                <w:rFonts w:ascii="Univers" w:hAnsi="Univers"/>
                <w:b/>
                <w:sz w:val="36"/>
              </w:rPr>
              <w:t>political rights</w:t>
            </w:r>
          </w:p>
          <w:p w:rsidR="00000000" w:rsidRDefault="00751B7F">
            <w:pPr>
              <w:rPr>
                <w:rFonts w:ascii="Univers" w:hAnsi="Univers"/>
                <w:b/>
                <w:sz w:val="36"/>
              </w:rPr>
            </w:pPr>
          </w:p>
          <w:p w:rsidR="00000000" w:rsidRDefault="00751B7F">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751B7F"/>
          <w:p w:rsidR="00000000" w:rsidRDefault="00751B7F"/>
          <w:p w:rsidR="00000000" w:rsidRDefault="00751B7F">
            <w:pPr>
              <w:rPr>
                <w:sz w:val="24"/>
                <w:szCs w:val="24"/>
              </w:rPr>
            </w:pPr>
            <w:r>
              <w:rPr>
                <w:sz w:val="24"/>
                <w:szCs w:val="24"/>
              </w:rPr>
              <w:t>Distr.</w:t>
            </w:r>
          </w:p>
          <w:p w:rsidR="00000000" w:rsidRDefault="00751B7F">
            <w:pPr>
              <w:rPr>
                <w:sz w:val="24"/>
                <w:szCs w:val="24"/>
              </w:rPr>
            </w:pPr>
            <w:r>
              <w:rPr>
                <w:sz w:val="24"/>
                <w:szCs w:val="24"/>
              </w:rPr>
              <w:fldChar w:fldCharType="begin"/>
            </w:r>
            <w:r>
              <w:rPr>
                <w:sz w:val="24"/>
                <w:szCs w:val="24"/>
              </w:rPr>
              <w:instrText xml:space="preserve"> FILLIN "Distr." \* MERGEFORMAT </w:instrText>
            </w:r>
            <w:r>
              <w:rPr>
                <w:sz w:val="24"/>
                <w:szCs w:val="24"/>
              </w:rPr>
              <w:fldChar w:fldCharType="separate"/>
            </w:r>
            <w:r>
              <w:rPr>
                <w:sz w:val="24"/>
                <w:szCs w:val="24"/>
              </w:rPr>
              <w:t>GENERAL</w:t>
            </w:r>
            <w:r>
              <w:rPr>
                <w:sz w:val="24"/>
                <w:szCs w:val="24"/>
              </w:rPr>
              <w:fldChar w:fldCharType="end"/>
            </w:r>
          </w:p>
          <w:p w:rsidR="00000000" w:rsidRDefault="00751B7F">
            <w:pPr>
              <w:rPr>
                <w:sz w:val="24"/>
                <w:szCs w:val="24"/>
              </w:rPr>
            </w:pPr>
          </w:p>
          <w:p w:rsidR="00000000" w:rsidRDefault="00751B7F">
            <w:pPr>
              <w:rPr>
                <w:sz w:val="24"/>
                <w:szCs w:val="24"/>
                <w:lang w:val="en-US"/>
              </w:rPr>
            </w:pPr>
            <w:r>
              <w:rPr>
                <w:sz w:val="24"/>
                <w:szCs w:val="24"/>
              </w:rPr>
              <w:fldChar w:fldCharType="begin"/>
            </w:r>
            <w:r>
              <w:rPr>
                <w:sz w:val="24"/>
                <w:szCs w:val="24"/>
                <w:lang w:val="en-US"/>
              </w:rPr>
              <w:instrText xml:space="preserve"> FILLIN "Symbol" \* MERGEFORMAT </w:instrText>
            </w:r>
            <w:r>
              <w:rPr>
                <w:sz w:val="24"/>
                <w:szCs w:val="24"/>
              </w:rPr>
              <w:fldChar w:fldCharType="separate"/>
            </w:r>
            <w:r>
              <w:rPr>
                <w:sz w:val="24"/>
                <w:szCs w:val="24"/>
                <w:lang w:val="en-US"/>
              </w:rPr>
              <w:t>CCPR/C/HKG/2005/2/Add.1</w:t>
            </w:r>
            <w:r>
              <w:rPr>
                <w:sz w:val="24"/>
                <w:szCs w:val="24"/>
              </w:rPr>
              <w:fldChar w:fldCharType="end"/>
            </w:r>
          </w:p>
          <w:p w:rsidR="00000000" w:rsidRDefault="00751B7F">
            <w:pPr>
              <w:rPr>
                <w:sz w:val="24"/>
                <w:szCs w:val="24"/>
              </w:rPr>
            </w:pPr>
            <w:r>
              <w:rPr>
                <w:sz w:val="24"/>
                <w:szCs w:val="24"/>
              </w:rPr>
              <w:t>18 October 2007</w:t>
            </w:r>
          </w:p>
          <w:p w:rsidR="00000000" w:rsidRDefault="00751B7F">
            <w:pPr>
              <w:rPr>
                <w:sz w:val="24"/>
                <w:szCs w:val="24"/>
              </w:rPr>
            </w:pPr>
          </w:p>
          <w:p w:rsidR="00000000" w:rsidRDefault="00751B7F">
            <w:pPr>
              <w:rPr>
                <w:sz w:val="24"/>
                <w:szCs w:val="24"/>
              </w:rPr>
            </w:pPr>
            <w:r>
              <w:rPr>
                <w:sz w:val="24"/>
                <w:szCs w:val="24"/>
              </w:rPr>
              <w:t>Original:  CHINESE/</w:t>
            </w:r>
            <w:r>
              <w:rPr>
                <w:sz w:val="24"/>
                <w:szCs w:val="24"/>
              </w:rPr>
              <w:t>ENGLISH</w:t>
            </w:r>
          </w:p>
          <w:p w:rsidR="00000000" w:rsidRDefault="00751B7F"/>
        </w:tc>
      </w:tr>
    </w:tbl>
    <w:p w:rsidR="00000000" w:rsidRDefault="00751B7F"/>
    <w:p w:rsidR="00000000" w:rsidRDefault="00751B7F">
      <w:pPr>
        <w:spacing w:after="1200"/>
        <w:outlineLvl w:val="0"/>
        <w:rPr>
          <w:b/>
          <w:bCs/>
          <w:sz w:val="24"/>
          <w:szCs w:val="24"/>
        </w:rPr>
      </w:pPr>
      <w:bookmarkStart w:id="1" w:name="_Toc112144963"/>
      <w:r>
        <w:rPr>
          <w:b/>
          <w:bCs/>
          <w:sz w:val="24"/>
          <w:szCs w:val="24"/>
        </w:rPr>
        <w:t>HUMAN RIGHTS COMMITTEE</w:t>
      </w:r>
    </w:p>
    <w:p w:rsidR="00000000" w:rsidRDefault="00751B7F">
      <w:pPr>
        <w:pStyle w:val="Heading1"/>
        <w:rPr>
          <w:bCs/>
          <w:sz w:val="24"/>
          <w:szCs w:val="24"/>
        </w:rPr>
      </w:pPr>
      <w:r>
        <w:rPr>
          <w:bCs/>
          <w:sz w:val="24"/>
          <w:szCs w:val="24"/>
        </w:rPr>
        <w:t xml:space="preserve">CONSIDERATION OF REPORTS SUBMITTED BY STATES PARTIES </w:t>
      </w:r>
      <w:r>
        <w:rPr>
          <w:bCs/>
          <w:sz w:val="24"/>
          <w:szCs w:val="24"/>
        </w:rPr>
        <w:br/>
        <w:t>UNDER ARTICLE 40 OF THE COVENANT</w:t>
      </w:r>
    </w:p>
    <w:p w:rsidR="00000000" w:rsidRDefault="00751B7F">
      <w:pPr>
        <w:pStyle w:val="Heading1"/>
        <w:rPr>
          <w:bCs/>
          <w:sz w:val="24"/>
          <w:szCs w:val="24"/>
        </w:rPr>
      </w:pPr>
    </w:p>
    <w:p w:rsidR="00000000" w:rsidRDefault="00751B7F">
      <w:pPr>
        <w:pStyle w:val="Heading1"/>
        <w:rPr>
          <w:caps/>
          <w:sz w:val="22"/>
          <w:szCs w:val="22"/>
        </w:rPr>
      </w:pPr>
      <w:r>
        <w:rPr>
          <w:caps/>
          <w:sz w:val="22"/>
          <w:szCs w:val="22"/>
        </w:rPr>
        <w:t>People’s Republic of China Hong Kong Special Administrative Region</w:t>
      </w:r>
      <w:r>
        <w:rPr>
          <w:rStyle w:val="FootnoteReference"/>
          <w:caps/>
          <w:sz w:val="22"/>
          <w:szCs w:val="22"/>
        </w:rPr>
        <w:t xml:space="preserve"> </w:t>
      </w:r>
      <w:r>
        <w:rPr>
          <w:rStyle w:val="FootnoteReference"/>
          <w:caps/>
          <w:sz w:val="22"/>
          <w:szCs w:val="22"/>
        </w:rPr>
        <w:footnoteReference w:customMarkFollows="1" w:id="1"/>
        <w:t>*</w:t>
      </w:r>
    </w:p>
    <w:p w:rsidR="00000000" w:rsidRDefault="00751B7F">
      <w:pPr>
        <w:pStyle w:val="Heading1"/>
        <w:rPr>
          <w:caps/>
          <w:sz w:val="22"/>
          <w:szCs w:val="22"/>
        </w:rPr>
      </w:pPr>
    </w:p>
    <w:p w:rsidR="00000000" w:rsidRDefault="00751B7F"/>
    <w:p w:rsidR="00000000" w:rsidRDefault="00751B7F">
      <w:pPr>
        <w:pStyle w:val="Heading2"/>
        <w:jc w:val="center"/>
        <w:rPr>
          <w:rFonts w:ascii="Times New Roman" w:hAnsi="Times New Roman"/>
          <w:b/>
          <w:bCs/>
          <w:szCs w:val="24"/>
        </w:rPr>
      </w:pPr>
      <w:r>
        <w:rPr>
          <w:rFonts w:ascii="Times New Roman" w:hAnsi="Times New Roman"/>
          <w:b/>
          <w:bCs/>
          <w:szCs w:val="24"/>
        </w:rPr>
        <w:t>Addendum</w:t>
      </w:r>
    </w:p>
    <w:p w:rsidR="00000000" w:rsidRDefault="00751B7F">
      <w:pPr>
        <w:rPr>
          <w:lang w:val="en-US"/>
        </w:rPr>
      </w:pPr>
    </w:p>
    <w:p w:rsidR="00000000" w:rsidRDefault="00751B7F">
      <w:pPr>
        <w:autoSpaceDE w:val="0"/>
        <w:autoSpaceDN w:val="0"/>
        <w:adjustRightInd w:val="0"/>
        <w:jc w:val="center"/>
        <w:rPr>
          <w:rFonts w:eastAsia="SimSun"/>
          <w:b/>
          <w:bCs/>
          <w:sz w:val="24"/>
          <w:szCs w:val="24"/>
          <w:lang w:val="en-US" w:eastAsia="zh-CN"/>
        </w:rPr>
      </w:pPr>
      <w:r>
        <w:rPr>
          <w:b/>
          <w:bCs/>
          <w:sz w:val="24"/>
          <w:szCs w:val="24"/>
        </w:rPr>
        <w:t>Comments by the Government of People’s Republic of Ch</w:t>
      </w:r>
      <w:r>
        <w:rPr>
          <w:b/>
          <w:bCs/>
          <w:sz w:val="24"/>
          <w:szCs w:val="24"/>
        </w:rPr>
        <w:t>ina Hong Kong Special Administrative Region</w:t>
      </w:r>
      <w:r>
        <w:rPr>
          <w:rFonts w:eastAsia="SimSun"/>
          <w:b/>
          <w:bCs/>
          <w:sz w:val="24"/>
          <w:szCs w:val="24"/>
          <w:lang w:val="en-US" w:eastAsia="zh-CN"/>
        </w:rPr>
        <w:t xml:space="preserve"> </w:t>
      </w:r>
      <w:r>
        <w:rPr>
          <w:b/>
          <w:bCs/>
          <w:sz w:val="24"/>
          <w:szCs w:val="24"/>
        </w:rPr>
        <w:t>on the concluding observations of the Human Rights Committee</w:t>
      </w:r>
    </w:p>
    <w:p w:rsidR="00000000" w:rsidRDefault="00751B7F">
      <w:pPr>
        <w:jc w:val="center"/>
        <w:rPr>
          <w:b/>
          <w:bCs/>
          <w:sz w:val="24"/>
          <w:szCs w:val="24"/>
          <w:lang w:val="en-US"/>
        </w:rPr>
      </w:pPr>
    </w:p>
    <w:p w:rsidR="00000000" w:rsidRDefault="00751B7F">
      <w:pPr>
        <w:rPr>
          <w:lang w:val="en-US"/>
        </w:rPr>
      </w:pPr>
    </w:p>
    <w:p w:rsidR="00000000" w:rsidRDefault="00751B7F">
      <w:pPr>
        <w:rPr>
          <w:lang w:val="en-US"/>
        </w:rPr>
      </w:pPr>
    </w:p>
    <w:p w:rsidR="00000000" w:rsidRDefault="00751B7F">
      <w:pPr>
        <w:jc w:val="right"/>
        <w:rPr>
          <w:b/>
          <w:bCs/>
          <w:sz w:val="24"/>
          <w:szCs w:val="24"/>
        </w:rPr>
      </w:pPr>
      <w:r>
        <w:rPr>
          <w:b/>
          <w:bCs/>
          <w:sz w:val="24"/>
          <w:szCs w:val="24"/>
        </w:rPr>
        <w:t>[21 August 2007]</w:t>
      </w:r>
    </w:p>
    <w:p w:rsidR="00000000" w:rsidRDefault="00751B7F">
      <w:pPr>
        <w:autoSpaceDE w:val="0"/>
        <w:autoSpaceDN w:val="0"/>
        <w:adjustRightInd w:val="0"/>
        <w:jc w:val="both"/>
        <w:rPr>
          <w:b/>
          <w:sz w:val="24"/>
        </w:rPr>
      </w:pPr>
      <w:r>
        <w:br w:type="page"/>
      </w:r>
    </w:p>
    <w:bookmarkEnd w:id="1"/>
    <w:p w:rsidR="00000000" w:rsidRDefault="00751B7F">
      <w:pPr>
        <w:jc w:val="both"/>
        <w:rPr>
          <w:b/>
          <w:sz w:val="24"/>
          <w:szCs w:val="24"/>
        </w:rPr>
      </w:pPr>
      <w:r>
        <w:rPr>
          <w:b/>
          <w:sz w:val="24"/>
          <w:szCs w:val="24"/>
        </w:rPr>
        <w:t>Introduction</w:t>
      </w:r>
    </w:p>
    <w:p w:rsidR="00000000" w:rsidRDefault="00751B7F">
      <w:pPr>
        <w:jc w:val="both"/>
        <w:rPr>
          <w:sz w:val="24"/>
          <w:szCs w:val="24"/>
        </w:rPr>
      </w:pPr>
    </w:p>
    <w:p w:rsidR="00000000" w:rsidRDefault="00751B7F">
      <w:pPr>
        <w:tabs>
          <w:tab w:val="left" w:pos="900"/>
        </w:tabs>
        <w:jc w:val="both"/>
        <w:rPr>
          <w:rFonts w:hint="eastAsia"/>
          <w:sz w:val="24"/>
          <w:szCs w:val="24"/>
        </w:rPr>
      </w:pPr>
      <w:r>
        <w:rPr>
          <w:sz w:val="24"/>
          <w:szCs w:val="24"/>
          <w:lang w:val="en-US"/>
        </w:rPr>
        <w:t>1.</w:t>
      </w:r>
      <w:r>
        <w:rPr>
          <w:sz w:val="24"/>
          <w:szCs w:val="24"/>
          <w:lang w:val="en-US"/>
        </w:rPr>
        <w:tab/>
        <w:t>Following consideration of the second period</w:t>
      </w:r>
      <w:r>
        <w:rPr>
          <w:rFonts w:hint="eastAsia"/>
          <w:sz w:val="24"/>
          <w:szCs w:val="24"/>
          <w:lang w:val="en-US"/>
        </w:rPr>
        <w:t>ic</w:t>
      </w:r>
      <w:r>
        <w:rPr>
          <w:sz w:val="24"/>
          <w:szCs w:val="24"/>
          <w:lang w:val="en-US"/>
        </w:rPr>
        <w:t xml:space="preserve"> report of the Hong Kong Special Administrative Region (HKSAR), th</w:t>
      </w:r>
      <w:r>
        <w:rPr>
          <w:sz w:val="24"/>
          <w:szCs w:val="24"/>
          <w:lang w:val="en-US"/>
        </w:rPr>
        <w:t xml:space="preserve">e Human Rights Committee adopted, on 30 March 2006, the concluding observations which are reproduced at </w:t>
      </w:r>
      <w:r>
        <w:rPr>
          <w:b/>
          <w:sz w:val="24"/>
          <w:szCs w:val="24"/>
          <w:u w:val="single"/>
          <w:lang w:val="en-US"/>
        </w:rPr>
        <w:t>Annex A</w:t>
      </w:r>
      <w:r>
        <w:rPr>
          <w:sz w:val="24"/>
          <w:szCs w:val="24"/>
          <w:lang w:val="en-US"/>
        </w:rPr>
        <w:t xml:space="preserve"> of this report.  </w:t>
      </w:r>
      <w:r>
        <w:rPr>
          <w:sz w:val="24"/>
          <w:szCs w:val="24"/>
        </w:rPr>
        <w:t>P</w:t>
      </w:r>
      <w:r>
        <w:rPr>
          <w:rFonts w:hint="eastAsia"/>
          <w:sz w:val="24"/>
          <w:szCs w:val="24"/>
        </w:rPr>
        <w:t xml:space="preserve">aragraph 21 </w:t>
      </w:r>
      <w:r>
        <w:rPr>
          <w:sz w:val="24"/>
          <w:szCs w:val="24"/>
        </w:rPr>
        <w:t>there</w:t>
      </w:r>
      <w:r>
        <w:rPr>
          <w:rFonts w:hint="eastAsia"/>
          <w:sz w:val="24"/>
          <w:szCs w:val="24"/>
        </w:rPr>
        <w:t xml:space="preserve">of </w:t>
      </w:r>
      <w:r>
        <w:rPr>
          <w:sz w:val="24"/>
          <w:szCs w:val="24"/>
        </w:rPr>
        <w:t>specifically requested the</w:t>
      </w:r>
      <w:r>
        <w:rPr>
          <w:rFonts w:hint="eastAsia"/>
          <w:sz w:val="24"/>
          <w:szCs w:val="24"/>
        </w:rPr>
        <w:t xml:space="preserve"> HKSAR to </w:t>
      </w:r>
      <w:r>
        <w:rPr>
          <w:sz w:val="24"/>
          <w:szCs w:val="24"/>
        </w:rPr>
        <w:t>“submit within one year information on the follow-up given to the Comm</w:t>
      </w:r>
      <w:r>
        <w:rPr>
          <w:sz w:val="24"/>
          <w:szCs w:val="24"/>
        </w:rPr>
        <w:t>ittee’s recommendations in paragraphs 9, 13, 15, 18.”</w:t>
      </w:r>
    </w:p>
    <w:p w:rsidR="00000000" w:rsidRDefault="00751B7F">
      <w:pPr>
        <w:tabs>
          <w:tab w:val="left" w:pos="900"/>
        </w:tabs>
        <w:jc w:val="both"/>
        <w:rPr>
          <w:sz w:val="24"/>
          <w:szCs w:val="24"/>
          <w:lang w:val="en-US"/>
        </w:rPr>
      </w:pPr>
    </w:p>
    <w:p w:rsidR="00000000" w:rsidRDefault="00751B7F">
      <w:pPr>
        <w:tabs>
          <w:tab w:val="left" w:pos="900"/>
        </w:tabs>
        <w:jc w:val="both"/>
        <w:rPr>
          <w:sz w:val="24"/>
          <w:szCs w:val="24"/>
        </w:rPr>
      </w:pPr>
      <w:r>
        <w:rPr>
          <w:sz w:val="24"/>
          <w:szCs w:val="24"/>
        </w:rPr>
        <w:t>2.</w:t>
      </w:r>
      <w:r>
        <w:rPr>
          <w:sz w:val="24"/>
          <w:szCs w:val="24"/>
        </w:rPr>
        <w:tab/>
        <w:t>The relevant recommendations were –</w:t>
      </w:r>
    </w:p>
    <w:p w:rsidR="00000000" w:rsidRDefault="00751B7F">
      <w:pPr>
        <w:tabs>
          <w:tab w:val="left" w:pos="900"/>
        </w:tabs>
        <w:jc w:val="both"/>
        <w:rPr>
          <w:sz w:val="24"/>
          <w:szCs w:val="24"/>
        </w:rPr>
      </w:pPr>
    </w:p>
    <w:p w:rsidR="00000000" w:rsidRDefault="00751B7F" w:rsidP="00751B7F">
      <w:pPr>
        <w:tabs>
          <w:tab w:val="left" w:pos="900"/>
        </w:tabs>
        <w:ind w:leftChars="128" w:left="31680"/>
        <w:jc w:val="both"/>
        <w:rPr>
          <w:sz w:val="24"/>
          <w:szCs w:val="24"/>
        </w:rPr>
      </w:pPr>
      <w:r>
        <w:rPr>
          <w:sz w:val="24"/>
          <w:szCs w:val="24"/>
        </w:rPr>
        <w:t>THAT the HKSAR should –</w:t>
      </w:r>
    </w:p>
    <w:p w:rsidR="00000000" w:rsidRDefault="00751B7F" w:rsidP="00751B7F">
      <w:pPr>
        <w:tabs>
          <w:tab w:val="left" w:pos="900"/>
        </w:tabs>
        <w:ind w:leftChars="128" w:left="31680"/>
        <w:jc w:val="both"/>
        <w:rPr>
          <w:sz w:val="24"/>
          <w:szCs w:val="24"/>
        </w:rPr>
      </w:pPr>
    </w:p>
    <w:p w:rsidR="00000000" w:rsidRDefault="00751B7F" w:rsidP="00751B7F">
      <w:pPr>
        <w:tabs>
          <w:tab w:val="left" w:pos="900"/>
        </w:tabs>
        <w:ind w:leftChars="128" w:left="31680" w:hanging="359"/>
        <w:jc w:val="both"/>
        <w:rPr>
          <w:sz w:val="24"/>
          <w:szCs w:val="24"/>
        </w:rPr>
      </w:pPr>
      <w:r>
        <w:rPr>
          <w:sz w:val="24"/>
          <w:szCs w:val="24"/>
        </w:rPr>
        <w:t>(a)</w:t>
      </w:r>
      <w:r>
        <w:rPr>
          <w:sz w:val="24"/>
          <w:szCs w:val="24"/>
        </w:rPr>
        <w:tab/>
        <w:t>ensure that the investigation of complaints against the police is carried out by an independent body, the decisions of which are bin</w:t>
      </w:r>
      <w:r>
        <w:rPr>
          <w:sz w:val="24"/>
          <w:szCs w:val="24"/>
        </w:rPr>
        <w:t xml:space="preserve">ding on relevant authorities </w:t>
      </w:r>
      <w:r>
        <w:rPr>
          <w:i/>
          <w:sz w:val="24"/>
          <w:szCs w:val="24"/>
        </w:rPr>
        <w:t>(paragraph 9)</w:t>
      </w:r>
      <w:r>
        <w:rPr>
          <w:sz w:val="24"/>
          <w:szCs w:val="24"/>
        </w:rPr>
        <w:t>;</w:t>
      </w:r>
    </w:p>
    <w:p w:rsidR="00000000" w:rsidRDefault="00751B7F" w:rsidP="00751B7F">
      <w:pPr>
        <w:tabs>
          <w:tab w:val="left" w:pos="900"/>
        </w:tabs>
        <w:ind w:leftChars="128" w:left="31680" w:hanging="359"/>
        <w:jc w:val="both"/>
        <w:rPr>
          <w:sz w:val="24"/>
          <w:szCs w:val="24"/>
        </w:rPr>
      </w:pPr>
    </w:p>
    <w:p w:rsidR="00000000" w:rsidRDefault="00751B7F" w:rsidP="00751B7F">
      <w:pPr>
        <w:tabs>
          <w:tab w:val="left" w:pos="900"/>
        </w:tabs>
        <w:ind w:leftChars="128" w:left="31680" w:hanging="359"/>
        <w:jc w:val="both"/>
        <w:rPr>
          <w:sz w:val="24"/>
          <w:szCs w:val="24"/>
        </w:rPr>
      </w:pPr>
      <w:r>
        <w:rPr>
          <w:sz w:val="24"/>
          <w:szCs w:val="24"/>
        </w:rPr>
        <w:t>(b)</w:t>
      </w:r>
      <w:r>
        <w:rPr>
          <w:sz w:val="24"/>
          <w:szCs w:val="24"/>
        </w:rPr>
        <w:tab/>
        <w:t xml:space="preserve">take vigorous measures to prevent and prosecute harassment of media personnel, and ensure that the media can operate independently and free from government intervention </w:t>
      </w:r>
      <w:r>
        <w:rPr>
          <w:i/>
          <w:sz w:val="24"/>
          <w:szCs w:val="24"/>
        </w:rPr>
        <w:t>(paragraph 13)</w:t>
      </w:r>
      <w:r>
        <w:rPr>
          <w:sz w:val="24"/>
          <w:szCs w:val="24"/>
        </w:rPr>
        <w:t xml:space="preserve">; </w:t>
      </w:r>
    </w:p>
    <w:p w:rsidR="00000000" w:rsidRDefault="00751B7F" w:rsidP="00751B7F">
      <w:pPr>
        <w:tabs>
          <w:tab w:val="left" w:pos="900"/>
        </w:tabs>
        <w:ind w:leftChars="128" w:left="31680" w:hanging="359"/>
        <w:jc w:val="both"/>
        <w:rPr>
          <w:sz w:val="24"/>
          <w:szCs w:val="24"/>
        </w:rPr>
      </w:pPr>
    </w:p>
    <w:p w:rsidR="00000000" w:rsidRDefault="00751B7F" w:rsidP="00751B7F">
      <w:pPr>
        <w:tabs>
          <w:tab w:val="left" w:pos="900"/>
        </w:tabs>
        <w:ind w:leftChars="128" w:left="31680" w:hanging="540"/>
        <w:jc w:val="both"/>
        <w:rPr>
          <w:sz w:val="24"/>
          <w:szCs w:val="24"/>
        </w:rPr>
      </w:pPr>
      <w:r>
        <w:rPr>
          <w:sz w:val="24"/>
          <w:szCs w:val="24"/>
        </w:rPr>
        <w:t>(c)</w:t>
      </w:r>
      <w:r>
        <w:rPr>
          <w:sz w:val="24"/>
          <w:szCs w:val="24"/>
        </w:rPr>
        <w:tab/>
        <w:t xml:space="preserve">ensure that its </w:t>
      </w:r>
      <w:r>
        <w:rPr>
          <w:sz w:val="24"/>
          <w:szCs w:val="24"/>
        </w:rPr>
        <w:t xml:space="preserve">policies and practices regarding the right of abode fully take into consideration its obligations regarding the right of families and children to protection enshrined in articles 23 and 24 of the Covenant </w:t>
      </w:r>
      <w:r>
        <w:rPr>
          <w:i/>
          <w:sz w:val="24"/>
          <w:szCs w:val="24"/>
        </w:rPr>
        <w:t>(paragraph 15)</w:t>
      </w:r>
      <w:r>
        <w:rPr>
          <w:sz w:val="24"/>
          <w:szCs w:val="24"/>
        </w:rPr>
        <w:t>;</w:t>
      </w:r>
    </w:p>
    <w:p w:rsidR="00000000" w:rsidRDefault="00751B7F" w:rsidP="00751B7F">
      <w:pPr>
        <w:tabs>
          <w:tab w:val="left" w:pos="900"/>
        </w:tabs>
        <w:ind w:leftChars="128" w:left="31680" w:hanging="359"/>
        <w:jc w:val="both"/>
        <w:rPr>
          <w:sz w:val="24"/>
          <w:szCs w:val="24"/>
        </w:rPr>
      </w:pPr>
    </w:p>
    <w:p w:rsidR="00000000" w:rsidRDefault="00751B7F" w:rsidP="00751B7F">
      <w:pPr>
        <w:tabs>
          <w:tab w:val="left" w:pos="900"/>
        </w:tabs>
        <w:ind w:leftChars="128" w:left="31680"/>
        <w:jc w:val="both"/>
        <w:rPr>
          <w:sz w:val="24"/>
          <w:szCs w:val="24"/>
        </w:rPr>
      </w:pPr>
      <w:r>
        <w:rPr>
          <w:sz w:val="24"/>
          <w:szCs w:val="24"/>
        </w:rPr>
        <w:t>AND THAT</w:t>
      </w:r>
    </w:p>
    <w:p w:rsidR="00000000" w:rsidRDefault="00751B7F" w:rsidP="00751B7F">
      <w:pPr>
        <w:tabs>
          <w:tab w:val="left" w:pos="900"/>
        </w:tabs>
        <w:ind w:leftChars="128" w:left="31680" w:hanging="359"/>
        <w:jc w:val="both"/>
        <w:rPr>
          <w:sz w:val="24"/>
          <w:szCs w:val="24"/>
        </w:rPr>
      </w:pPr>
    </w:p>
    <w:p w:rsidR="00000000" w:rsidRDefault="00751B7F" w:rsidP="00751B7F">
      <w:pPr>
        <w:tabs>
          <w:tab w:val="left" w:pos="900"/>
        </w:tabs>
        <w:ind w:leftChars="128" w:left="31680" w:hanging="540"/>
        <w:jc w:val="both"/>
        <w:rPr>
          <w:rFonts w:hint="eastAsia"/>
          <w:sz w:val="24"/>
          <w:szCs w:val="24"/>
        </w:rPr>
      </w:pPr>
      <w:r>
        <w:rPr>
          <w:sz w:val="24"/>
          <w:szCs w:val="24"/>
        </w:rPr>
        <w:t>(d)</w:t>
      </w:r>
      <w:r>
        <w:rPr>
          <w:sz w:val="24"/>
          <w:szCs w:val="24"/>
        </w:rPr>
        <w:tab/>
        <w:t>all necessary measur</w:t>
      </w:r>
      <w:r>
        <w:rPr>
          <w:sz w:val="24"/>
          <w:szCs w:val="24"/>
        </w:rPr>
        <w:t xml:space="preserve">es should be taken whereby the Legislative Council is elected by universal and equal suffrage. It should be ensured that all interpretations of the Basic Law, including on electoral and public affairs issues, are in compliance with the Covenant </w:t>
      </w:r>
      <w:r>
        <w:rPr>
          <w:i/>
          <w:sz w:val="24"/>
          <w:szCs w:val="24"/>
        </w:rPr>
        <w:t xml:space="preserve">(paragraph </w:t>
      </w:r>
      <w:r>
        <w:rPr>
          <w:i/>
          <w:sz w:val="24"/>
          <w:szCs w:val="24"/>
        </w:rPr>
        <w:t>18)</w:t>
      </w:r>
      <w:r>
        <w:rPr>
          <w:sz w:val="24"/>
          <w:szCs w:val="24"/>
        </w:rPr>
        <w:t>.</w:t>
      </w:r>
    </w:p>
    <w:p w:rsidR="00000000" w:rsidRDefault="00751B7F">
      <w:pPr>
        <w:tabs>
          <w:tab w:val="left" w:pos="900"/>
        </w:tabs>
        <w:jc w:val="both"/>
        <w:rPr>
          <w:rFonts w:hint="eastAsia"/>
          <w:sz w:val="24"/>
          <w:szCs w:val="24"/>
        </w:rPr>
      </w:pPr>
    </w:p>
    <w:p w:rsidR="00000000" w:rsidRDefault="00751B7F">
      <w:pPr>
        <w:tabs>
          <w:tab w:val="left" w:pos="900"/>
        </w:tabs>
        <w:jc w:val="both"/>
        <w:rPr>
          <w:sz w:val="24"/>
          <w:szCs w:val="24"/>
        </w:rPr>
      </w:pPr>
      <w:r>
        <w:rPr>
          <w:sz w:val="24"/>
          <w:szCs w:val="24"/>
        </w:rPr>
        <w:t>3.</w:t>
      </w:r>
      <w:r>
        <w:rPr>
          <w:sz w:val="24"/>
          <w:szCs w:val="24"/>
        </w:rPr>
        <w:tab/>
      </w:r>
      <w:r>
        <w:rPr>
          <w:rFonts w:hint="eastAsia"/>
          <w:sz w:val="24"/>
          <w:szCs w:val="24"/>
        </w:rPr>
        <w:t xml:space="preserve">In accordance with the </w:t>
      </w:r>
      <w:r>
        <w:rPr>
          <w:sz w:val="24"/>
          <w:szCs w:val="24"/>
        </w:rPr>
        <w:t xml:space="preserve">Human Rights </w:t>
      </w:r>
      <w:r>
        <w:rPr>
          <w:rFonts w:hint="eastAsia"/>
          <w:sz w:val="24"/>
          <w:szCs w:val="24"/>
        </w:rPr>
        <w:t>Committee</w:t>
      </w:r>
      <w:r>
        <w:rPr>
          <w:sz w:val="24"/>
          <w:szCs w:val="24"/>
        </w:rPr>
        <w:t>’</w:t>
      </w:r>
      <w:r>
        <w:rPr>
          <w:rFonts w:hint="eastAsia"/>
          <w:sz w:val="24"/>
          <w:szCs w:val="24"/>
        </w:rPr>
        <w:t xml:space="preserve">s request, </w:t>
      </w:r>
      <w:r>
        <w:rPr>
          <w:sz w:val="24"/>
          <w:szCs w:val="24"/>
        </w:rPr>
        <w:t>this report sets out, under respective headings, the HKSAR’s</w:t>
      </w:r>
      <w:r>
        <w:rPr>
          <w:rFonts w:hint="eastAsia"/>
          <w:sz w:val="24"/>
          <w:szCs w:val="24"/>
        </w:rPr>
        <w:t xml:space="preserve"> </w:t>
      </w:r>
      <w:r>
        <w:rPr>
          <w:sz w:val="24"/>
          <w:szCs w:val="24"/>
        </w:rPr>
        <w:t xml:space="preserve">follow-up and </w:t>
      </w:r>
      <w:r>
        <w:rPr>
          <w:rFonts w:hint="eastAsia"/>
          <w:sz w:val="24"/>
          <w:szCs w:val="24"/>
        </w:rPr>
        <w:t>response to the</w:t>
      </w:r>
      <w:r>
        <w:rPr>
          <w:sz w:val="24"/>
          <w:szCs w:val="24"/>
        </w:rPr>
        <w:t xml:space="preserve"> recommendations</w:t>
      </w:r>
      <w:r>
        <w:rPr>
          <w:rFonts w:hint="eastAsia"/>
          <w:sz w:val="24"/>
          <w:szCs w:val="24"/>
        </w:rPr>
        <w:t>.</w:t>
      </w:r>
    </w:p>
    <w:p w:rsidR="00000000" w:rsidRDefault="00751B7F">
      <w:pPr>
        <w:tabs>
          <w:tab w:val="left" w:pos="900"/>
        </w:tabs>
        <w:jc w:val="both"/>
        <w:rPr>
          <w:rFonts w:hint="eastAsia"/>
          <w:b/>
          <w:sz w:val="24"/>
          <w:szCs w:val="24"/>
        </w:rPr>
      </w:pPr>
    </w:p>
    <w:p w:rsidR="00000000" w:rsidRDefault="00751B7F">
      <w:pPr>
        <w:tabs>
          <w:tab w:val="left" w:pos="900"/>
        </w:tabs>
        <w:jc w:val="both"/>
        <w:rPr>
          <w:rFonts w:hint="eastAsia"/>
          <w:b/>
          <w:sz w:val="24"/>
          <w:szCs w:val="24"/>
        </w:rPr>
      </w:pPr>
      <w:r>
        <w:rPr>
          <w:b/>
          <w:sz w:val="24"/>
          <w:szCs w:val="24"/>
        </w:rPr>
        <w:br w:type="page"/>
      </w:r>
      <w:r>
        <w:rPr>
          <w:rFonts w:hint="eastAsia"/>
          <w:b/>
          <w:sz w:val="24"/>
          <w:szCs w:val="24"/>
        </w:rPr>
        <w:t>I</w:t>
      </w:r>
      <w:r>
        <w:rPr>
          <w:b/>
          <w:sz w:val="24"/>
          <w:szCs w:val="24"/>
        </w:rPr>
        <w:t xml:space="preserve">nvestigation of complaints against the </w:t>
      </w:r>
      <w:r>
        <w:rPr>
          <w:rFonts w:hint="eastAsia"/>
          <w:b/>
          <w:sz w:val="24"/>
          <w:szCs w:val="24"/>
        </w:rPr>
        <w:t>P</w:t>
      </w:r>
      <w:r>
        <w:rPr>
          <w:b/>
          <w:sz w:val="24"/>
          <w:szCs w:val="24"/>
        </w:rPr>
        <w:t>olice</w:t>
      </w:r>
    </w:p>
    <w:p w:rsidR="00000000" w:rsidRDefault="00751B7F">
      <w:pPr>
        <w:tabs>
          <w:tab w:val="left" w:pos="900"/>
        </w:tabs>
        <w:jc w:val="both"/>
        <w:rPr>
          <w:rFonts w:hint="eastAsia"/>
          <w:sz w:val="24"/>
          <w:szCs w:val="24"/>
        </w:rPr>
      </w:pPr>
    </w:p>
    <w:p w:rsidR="00000000" w:rsidRDefault="00751B7F">
      <w:pPr>
        <w:tabs>
          <w:tab w:val="left" w:pos="900"/>
        </w:tabs>
        <w:jc w:val="both"/>
        <w:rPr>
          <w:sz w:val="24"/>
          <w:szCs w:val="24"/>
        </w:rPr>
      </w:pPr>
      <w:r>
        <w:rPr>
          <w:sz w:val="24"/>
          <w:szCs w:val="24"/>
        </w:rPr>
        <w:t>4.</w:t>
      </w:r>
      <w:r>
        <w:rPr>
          <w:sz w:val="24"/>
          <w:szCs w:val="24"/>
        </w:rPr>
        <w:tab/>
        <w:t>At present, the Complaints Ag</w:t>
      </w:r>
      <w:r>
        <w:rPr>
          <w:sz w:val="24"/>
          <w:szCs w:val="24"/>
        </w:rPr>
        <w:t xml:space="preserve">ainst Police Office (CAPO), which is responsible for investigating into complaints against the </w:t>
      </w:r>
      <w:r>
        <w:rPr>
          <w:rFonts w:hint="eastAsia"/>
          <w:sz w:val="24"/>
          <w:szCs w:val="24"/>
        </w:rPr>
        <w:t>P</w:t>
      </w:r>
      <w:r>
        <w:rPr>
          <w:sz w:val="24"/>
          <w:szCs w:val="24"/>
        </w:rPr>
        <w:t xml:space="preserve">olice, already operates independently of all operational and support formations of the Police Force.  Moreover, its </w:t>
      </w:r>
      <w:r>
        <w:rPr>
          <w:rFonts w:hint="eastAsia"/>
          <w:sz w:val="24"/>
          <w:szCs w:val="24"/>
        </w:rPr>
        <w:t xml:space="preserve">handling of complaints </w:t>
      </w:r>
      <w:r>
        <w:rPr>
          <w:sz w:val="24"/>
          <w:szCs w:val="24"/>
        </w:rPr>
        <w:t xml:space="preserve">is closely monitored </w:t>
      </w:r>
      <w:r>
        <w:rPr>
          <w:sz w:val="24"/>
          <w:szCs w:val="24"/>
        </w:rPr>
        <w:t xml:space="preserve">by the Independent Police Complaints Council (IPCC), which comprises non-official members from a wide spectrum of the community.  </w:t>
      </w:r>
      <w:r>
        <w:rPr>
          <w:rFonts w:hint="eastAsia"/>
          <w:sz w:val="24"/>
          <w:szCs w:val="24"/>
        </w:rPr>
        <w:t xml:space="preserve">There are effective checks and balances to ensure that complaints are handled thoroughly, fairly and impartially.  The IPCC </w:t>
      </w:r>
      <w:r>
        <w:rPr>
          <w:sz w:val="24"/>
          <w:szCs w:val="24"/>
        </w:rPr>
        <w:t>ex</w:t>
      </w:r>
      <w:r>
        <w:rPr>
          <w:sz w:val="24"/>
          <w:szCs w:val="24"/>
        </w:rPr>
        <w:t xml:space="preserve">amines all investigation reports submitted by CAPO and may </w:t>
      </w:r>
      <w:r>
        <w:rPr>
          <w:rFonts w:hint="eastAsia"/>
          <w:sz w:val="24"/>
          <w:szCs w:val="24"/>
        </w:rPr>
        <w:t>invite the complainants, complainees and witnesses to interviews</w:t>
      </w:r>
      <w:r>
        <w:rPr>
          <w:sz w:val="24"/>
          <w:szCs w:val="24"/>
        </w:rPr>
        <w:t xml:space="preserve"> </w:t>
      </w:r>
      <w:r>
        <w:rPr>
          <w:rFonts w:hint="eastAsia"/>
          <w:sz w:val="24"/>
          <w:szCs w:val="24"/>
        </w:rPr>
        <w:t xml:space="preserve">as necessary.  </w:t>
      </w:r>
      <w:r>
        <w:rPr>
          <w:sz w:val="24"/>
          <w:szCs w:val="24"/>
        </w:rPr>
        <w:t>It</w:t>
      </w:r>
      <w:r>
        <w:rPr>
          <w:rFonts w:hint="eastAsia"/>
          <w:sz w:val="24"/>
          <w:szCs w:val="24"/>
        </w:rPr>
        <w:t xml:space="preserve"> may also ask CAPO to submit for its reference documents or information relevant to a complaint.</w:t>
      </w:r>
      <w:r>
        <w:rPr>
          <w:sz w:val="24"/>
          <w:szCs w:val="24"/>
        </w:rPr>
        <w:t xml:space="preserve"> CAPO will address </w:t>
      </w:r>
      <w:r>
        <w:rPr>
          <w:sz w:val="24"/>
          <w:szCs w:val="24"/>
        </w:rPr>
        <w:t xml:space="preserve">any queries that the Council may raise about a case and will re-investigate the case if the Council so requests.  </w:t>
      </w:r>
    </w:p>
    <w:p w:rsidR="00000000" w:rsidRDefault="00751B7F">
      <w:pPr>
        <w:tabs>
          <w:tab w:val="left" w:pos="900"/>
        </w:tabs>
        <w:jc w:val="both"/>
        <w:rPr>
          <w:rFonts w:hint="eastAsia"/>
          <w:sz w:val="24"/>
          <w:szCs w:val="24"/>
        </w:rPr>
      </w:pPr>
    </w:p>
    <w:p w:rsidR="00000000" w:rsidRDefault="00751B7F">
      <w:pPr>
        <w:tabs>
          <w:tab w:val="left" w:pos="900"/>
        </w:tabs>
        <w:jc w:val="both"/>
        <w:rPr>
          <w:sz w:val="24"/>
          <w:szCs w:val="24"/>
        </w:rPr>
      </w:pPr>
      <w:r>
        <w:rPr>
          <w:sz w:val="24"/>
          <w:szCs w:val="24"/>
        </w:rPr>
        <w:t>5.</w:t>
      </w:r>
      <w:r>
        <w:rPr>
          <w:sz w:val="24"/>
          <w:szCs w:val="24"/>
        </w:rPr>
        <w:tab/>
        <w:t>We are taking steps to convert the IPCC into a statutory body, and are preparing the necessary legislative proposals.</w:t>
      </w:r>
      <w:r>
        <w:rPr>
          <w:rFonts w:hint="eastAsia"/>
          <w:sz w:val="24"/>
          <w:szCs w:val="24"/>
        </w:rPr>
        <w:t xml:space="preserve">  This should furthe</w:t>
      </w:r>
      <w:r>
        <w:rPr>
          <w:rFonts w:hint="eastAsia"/>
          <w:sz w:val="24"/>
          <w:szCs w:val="24"/>
        </w:rPr>
        <w:t>r enhance the transparency and credibility of the police complaints system.</w:t>
      </w:r>
    </w:p>
    <w:p w:rsidR="00000000" w:rsidRDefault="00751B7F">
      <w:pPr>
        <w:tabs>
          <w:tab w:val="left" w:pos="900"/>
        </w:tabs>
        <w:jc w:val="both"/>
        <w:rPr>
          <w:rFonts w:hint="eastAsia"/>
          <w:b/>
          <w:sz w:val="24"/>
          <w:szCs w:val="24"/>
        </w:rPr>
      </w:pPr>
    </w:p>
    <w:p w:rsidR="00000000" w:rsidRDefault="00751B7F">
      <w:pPr>
        <w:tabs>
          <w:tab w:val="left" w:pos="900"/>
        </w:tabs>
        <w:jc w:val="both"/>
        <w:rPr>
          <w:rFonts w:hint="eastAsia"/>
          <w:b/>
          <w:sz w:val="24"/>
          <w:szCs w:val="24"/>
        </w:rPr>
      </w:pPr>
      <w:r>
        <w:rPr>
          <w:b/>
          <w:sz w:val="24"/>
          <w:szCs w:val="24"/>
        </w:rPr>
        <w:t>Prevention and prosecution against i</w:t>
      </w:r>
      <w:r>
        <w:rPr>
          <w:rFonts w:hint="eastAsia"/>
          <w:b/>
          <w:sz w:val="24"/>
          <w:szCs w:val="24"/>
        </w:rPr>
        <w:t>ntimidation and harassment of legislators and media personnel</w:t>
      </w:r>
    </w:p>
    <w:p w:rsidR="00000000" w:rsidRDefault="00751B7F">
      <w:pPr>
        <w:tabs>
          <w:tab w:val="left" w:pos="900"/>
        </w:tabs>
        <w:jc w:val="both"/>
        <w:rPr>
          <w:rFonts w:hint="eastAsia"/>
          <w:sz w:val="24"/>
          <w:szCs w:val="24"/>
        </w:rPr>
      </w:pPr>
    </w:p>
    <w:p w:rsidR="00000000" w:rsidRDefault="00751B7F">
      <w:pPr>
        <w:tabs>
          <w:tab w:val="left" w:pos="900"/>
        </w:tabs>
        <w:jc w:val="both"/>
        <w:rPr>
          <w:rFonts w:hint="eastAsia"/>
          <w:sz w:val="24"/>
          <w:szCs w:val="24"/>
          <w:lang w:val="en-US"/>
        </w:rPr>
      </w:pPr>
      <w:r>
        <w:rPr>
          <w:sz w:val="24"/>
          <w:szCs w:val="24"/>
        </w:rPr>
        <w:t>6.</w:t>
      </w:r>
      <w:r>
        <w:rPr>
          <w:sz w:val="24"/>
          <w:szCs w:val="24"/>
        </w:rPr>
        <w:tab/>
        <w:t>Hong Kong is one of the safest cities in the world.  The HKSAR Government acc</w:t>
      </w:r>
      <w:r>
        <w:rPr>
          <w:sz w:val="24"/>
          <w:szCs w:val="24"/>
        </w:rPr>
        <w:t>ords utmost importance to protecting the safety and property of the community, as well as safeguarding the freedom of speech and of the press enjoyed by the public and guaranteed under the Basic Law.  Government does not tolerate any criminal acts, irrespe</w:t>
      </w:r>
      <w:r>
        <w:rPr>
          <w:sz w:val="24"/>
          <w:szCs w:val="24"/>
        </w:rPr>
        <w:t xml:space="preserve">ctive of whether they are committed against persons of particular categories or ordinary members of the public. </w:t>
      </w:r>
    </w:p>
    <w:p w:rsidR="00000000" w:rsidRDefault="00751B7F">
      <w:pPr>
        <w:tabs>
          <w:tab w:val="left" w:pos="900"/>
        </w:tabs>
        <w:jc w:val="both"/>
        <w:rPr>
          <w:rFonts w:hint="eastAsia"/>
          <w:sz w:val="24"/>
          <w:szCs w:val="24"/>
        </w:rPr>
      </w:pPr>
    </w:p>
    <w:p w:rsidR="00000000" w:rsidRDefault="00751B7F">
      <w:pPr>
        <w:tabs>
          <w:tab w:val="left" w:pos="900"/>
        </w:tabs>
        <w:jc w:val="both"/>
        <w:rPr>
          <w:sz w:val="24"/>
          <w:szCs w:val="24"/>
        </w:rPr>
      </w:pPr>
      <w:r>
        <w:rPr>
          <w:sz w:val="24"/>
          <w:szCs w:val="24"/>
        </w:rPr>
        <w:t>7.</w:t>
      </w:r>
      <w:r>
        <w:rPr>
          <w:sz w:val="24"/>
          <w:szCs w:val="24"/>
        </w:rPr>
        <w:tab/>
      </w:r>
      <w:r>
        <w:rPr>
          <w:rFonts w:hint="eastAsia"/>
          <w:sz w:val="24"/>
          <w:szCs w:val="24"/>
        </w:rPr>
        <w:t xml:space="preserve">The number of </w:t>
      </w:r>
      <w:r>
        <w:rPr>
          <w:sz w:val="24"/>
          <w:szCs w:val="24"/>
        </w:rPr>
        <w:t>criminal</w:t>
      </w:r>
      <w:r>
        <w:rPr>
          <w:rFonts w:hint="eastAsia"/>
          <w:sz w:val="24"/>
          <w:szCs w:val="24"/>
        </w:rPr>
        <w:t xml:space="preserve"> incidents against</w:t>
      </w:r>
      <w:r>
        <w:rPr>
          <w:sz w:val="24"/>
          <w:szCs w:val="24"/>
        </w:rPr>
        <w:t xml:space="preserve"> Legislative Council Members and public affairs commentators</w:t>
      </w:r>
      <w:r>
        <w:rPr>
          <w:rFonts w:hint="eastAsia"/>
          <w:sz w:val="24"/>
          <w:szCs w:val="24"/>
        </w:rPr>
        <w:t xml:space="preserve"> is very small.  T</w:t>
      </w:r>
      <w:r>
        <w:rPr>
          <w:sz w:val="24"/>
          <w:szCs w:val="24"/>
        </w:rPr>
        <w:t>he majority of such c</w:t>
      </w:r>
      <w:r>
        <w:rPr>
          <w:sz w:val="24"/>
          <w:szCs w:val="24"/>
        </w:rPr>
        <w:t>ases are also of a relatively minor nature (such as vandalism o</w:t>
      </w:r>
      <w:r>
        <w:rPr>
          <w:rFonts w:hint="eastAsia"/>
          <w:sz w:val="24"/>
          <w:szCs w:val="24"/>
        </w:rPr>
        <w:t>f</w:t>
      </w:r>
      <w:r>
        <w:rPr>
          <w:sz w:val="24"/>
          <w:szCs w:val="24"/>
        </w:rPr>
        <w:t xml:space="preserve"> publicity banners or causing nuisance to the complainants)</w:t>
      </w:r>
      <w:r>
        <w:rPr>
          <w:rFonts w:hint="eastAsia"/>
          <w:sz w:val="24"/>
          <w:szCs w:val="24"/>
        </w:rPr>
        <w:t>.</w:t>
      </w:r>
      <w:r>
        <w:rPr>
          <w:sz w:val="24"/>
          <w:szCs w:val="24"/>
        </w:rPr>
        <w:t xml:space="preserve"> </w:t>
      </w:r>
      <w:r>
        <w:rPr>
          <w:rFonts w:hint="eastAsia"/>
          <w:sz w:val="24"/>
          <w:szCs w:val="24"/>
        </w:rPr>
        <w:t xml:space="preserve"> </w:t>
      </w:r>
      <w:r>
        <w:rPr>
          <w:sz w:val="24"/>
          <w:szCs w:val="24"/>
        </w:rPr>
        <w:t>This notwithstanding</w:t>
      </w:r>
      <w:r>
        <w:rPr>
          <w:rFonts w:hint="eastAsia"/>
          <w:sz w:val="24"/>
          <w:szCs w:val="24"/>
        </w:rPr>
        <w:t xml:space="preserve">, the Police </w:t>
      </w:r>
      <w:r>
        <w:rPr>
          <w:sz w:val="24"/>
          <w:szCs w:val="24"/>
        </w:rPr>
        <w:t>attach</w:t>
      </w:r>
      <w:r>
        <w:rPr>
          <w:rFonts w:hint="eastAsia"/>
          <w:sz w:val="24"/>
          <w:szCs w:val="24"/>
        </w:rPr>
        <w:t xml:space="preserve"> much importance to these incidents</w:t>
      </w:r>
      <w:r>
        <w:rPr>
          <w:sz w:val="24"/>
          <w:szCs w:val="24"/>
        </w:rPr>
        <w:t xml:space="preserve"> and, given their sensitivity,</w:t>
      </w:r>
      <w:r>
        <w:rPr>
          <w:rFonts w:hint="eastAsia"/>
          <w:sz w:val="24"/>
          <w:szCs w:val="24"/>
        </w:rPr>
        <w:t xml:space="preserve"> </w:t>
      </w:r>
      <w:r>
        <w:rPr>
          <w:sz w:val="24"/>
          <w:szCs w:val="24"/>
        </w:rPr>
        <w:t>adopts a proactive approa</w:t>
      </w:r>
      <w:r>
        <w:rPr>
          <w:sz w:val="24"/>
          <w:szCs w:val="24"/>
        </w:rPr>
        <w:t>ch in their investigation.  They conduct careful and thorough investigation into all such cases of complaints and reports, including taking statements from relevant parties, locating witnesses, gathering evidence at scenes of crime, establishing the culpri</w:t>
      </w:r>
      <w:r>
        <w:rPr>
          <w:sz w:val="24"/>
          <w:szCs w:val="24"/>
        </w:rPr>
        <w:t>ts’ profiles, and analysing their modus operandi.  Where sufficient evidence is established, the Police will take appropriate action to arrest and to prosecute the offenders.  All investigations and proceedings are undertaken in conformity with the rule of</w:t>
      </w:r>
      <w:r>
        <w:rPr>
          <w:sz w:val="24"/>
          <w:szCs w:val="24"/>
        </w:rPr>
        <w:t xml:space="preserve"> law and justice.</w:t>
      </w:r>
    </w:p>
    <w:p w:rsidR="00000000" w:rsidRDefault="00751B7F">
      <w:pPr>
        <w:tabs>
          <w:tab w:val="left" w:pos="900"/>
        </w:tabs>
        <w:jc w:val="both"/>
        <w:rPr>
          <w:sz w:val="24"/>
          <w:szCs w:val="24"/>
        </w:rPr>
      </w:pPr>
    </w:p>
    <w:p w:rsidR="00000000" w:rsidRDefault="00751B7F">
      <w:pPr>
        <w:tabs>
          <w:tab w:val="left" w:pos="900"/>
        </w:tabs>
        <w:jc w:val="both"/>
        <w:rPr>
          <w:rFonts w:hint="eastAsia"/>
          <w:sz w:val="24"/>
          <w:szCs w:val="24"/>
        </w:rPr>
      </w:pPr>
      <w:r>
        <w:rPr>
          <w:sz w:val="24"/>
          <w:szCs w:val="24"/>
        </w:rPr>
        <w:t>8.</w:t>
      </w:r>
      <w:r>
        <w:rPr>
          <w:sz w:val="24"/>
          <w:szCs w:val="24"/>
        </w:rPr>
        <w:tab/>
        <w:t>As requested by members of the Human Rights Committee at the hearing on 20-21 March 2006, t</w:t>
      </w:r>
      <w:r>
        <w:rPr>
          <w:rFonts w:hint="eastAsia"/>
          <w:sz w:val="24"/>
          <w:szCs w:val="24"/>
        </w:rPr>
        <w:t xml:space="preserve">he details of the cases of violence and criminal intimidation involving legislators and media commentators from 2002 to 2006 (up to September) </w:t>
      </w:r>
      <w:r>
        <w:rPr>
          <w:rFonts w:hint="eastAsia"/>
          <w:sz w:val="24"/>
          <w:szCs w:val="24"/>
        </w:rPr>
        <w:t xml:space="preserve">is </w:t>
      </w:r>
      <w:r>
        <w:rPr>
          <w:sz w:val="24"/>
          <w:szCs w:val="24"/>
        </w:rPr>
        <w:t xml:space="preserve">attached </w:t>
      </w:r>
      <w:r>
        <w:rPr>
          <w:rFonts w:hint="eastAsia"/>
          <w:sz w:val="24"/>
          <w:szCs w:val="24"/>
        </w:rPr>
        <w:t xml:space="preserve">at </w:t>
      </w:r>
      <w:r>
        <w:rPr>
          <w:rFonts w:hint="eastAsia"/>
          <w:b/>
          <w:sz w:val="24"/>
          <w:szCs w:val="24"/>
          <w:u w:val="single"/>
        </w:rPr>
        <w:t>Annex</w:t>
      </w:r>
      <w:r>
        <w:rPr>
          <w:b/>
          <w:sz w:val="24"/>
          <w:szCs w:val="24"/>
          <w:u w:val="single"/>
        </w:rPr>
        <w:t xml:space="preserve"> B</w:t>
      </w:r>
      <w:r>
        <w:rPr>
          <w:sz w:val="24"/>
          <w:szCs w:val="24"/>
        </w:rPr>
        <w:t xml:space="preserve"> of this report</w:t>
      </w:r>
      <w:r>
        <w:rPr>
          <w:rFonts w:hint="eastAsia"/>
          <w:sz w:val="24"/>
          <w:szCs w:val="24"/>
        </w:rPr>
        <w:t xml:space="preserve">.  </w:t>
      </w:r>
      <w:r>
        <w:rPr>
          <w:sz w:val="24"/>
          <w:szCs w:val="24"/>
        </w:rPr>
        <w:t>Where difficulties are</w:t>
      </w:r>
      <w:r>
        <w:rPr>
          <w:rFonts w:hint="eastAsia"/>
          <w:sz w:val="24"/>
          <w:szCs w:val="24"/>
        </w:rPr>
        <w:t xml:space="preserve"> encountered</w:t>
      </w:r>
      <w:r>
        <w:rPr>
          <w:sz w:val="24"/>
          <w:szCs w:val="24"/>
        </w:rPr>
        <w:t xml:space="preserve"> in investigations, these commonly relate to the lack of direct link</w:t>
      </w:r>
      <w:r>
        <w:rPr>
          <w:rFonts w:hint="eastAsia"/>
          <w:sz w:val="24"/>
          <w:szCs w:val="24"/>
        </w:rPr>
        <w:t>s</w:t>
      </w:r>
      <w:r>
        <w:rPr>
          <w:sz w:val="24"/>
          <w:szCs w:val="24"/>
        </w:rPr>
        <w:t xml:space="preserve"> between the culprit</w:t>
      </w:r>
      <w:r>
        <w:rPr>
          <w:rFonts w:hint="eastAsia"/>
          <w:sz w:val="24"/>
          <w:szCs w:val="24"/>
        </w:rPr>
        <w:t>s</w:t>
      </w:r>
      <w:r>
        <w:rPr>
          <w:sz w:val="24"/>
          <w:szCs w:val="24"/>
        </w:rPr>
        <w:t xml:space="preserve"> and the victim</w:t>
      </w:r>
      <w:r>
        <w:rPr>
          <w:rFonts w:hint="eastAsia"/>
          <w:sz w:val="24"/>
          <w:szCs w:val="24"/>
        </w:rPr>
        <w:t>s, and the often limited</w:t>
      </w:r>
      <w:r>
        <w:rPr>
          <w:sz w:val="24"/>
          <w:szCs w:val="24"/>
        </w:rPr>
        <w:t xml:space="preserve"> availability of information </w:t>
      </w:r>
      <w:r>
        <w:rPr>
          <w:rFonts w:hint="eastAsia"/>
          <w:sz w:val="24"/>
          <w:szCs w:val="24"/>
        </w:rPr>
        <w:t>from the witnesses and v</w:t>
      </w:r>
      <w:r>
        <w:rPr>
          <w:rFonts w:hint="eastAsia"/>
          <w:sz w:val="24"/>
          <w:szCs w:val="24"/>
        </w:rPr>
        <w:t>ictims.</w:t>
      </w:r>
    </w:p>
    <w:p w:rsidR="00000000" w:rsidRDefault="00751B7F">
      <w:pPr>
        <w:tabs>
          <w:tab w:val="left" w:pos="900"/>
        </w:tabs>
        <w:jc w:val="both"/>
        <w:rPr>
          <w:sz w:val="24"/>
          <w:szCs w:val="24"/>
        </w:rPr>
      </w:pPr>
    </w:p>
    <w:p w:rsidR="00000000" w:rsidRDefault="00751B7F">
      <w:pPr>
        <w:tabs>
          <w:tab w:val="left" w:pos="900"/>
        </w:tabs>
        <w:jc w:val="both"/>
        <w:rPr>
          <w:rFonts w:hint="eastAsia"/>
          <w:sz w:val="24"/>
          <w:szCs w:val="24"/>
        </w:rPr>
      </w:pPr>
      <w:r>
        <w:rPr>
          <w:sz w:val="24"/>
          <w:szCs w:val="24"/>
        </w:rPr>
        <w:t>9.</w:t>
      </w:r>
      <w:r>
        <w:rPr>
          <w:sz w:val="24"/>
          <w:szCs w:val="24"/>
        </w:rPr>
        <w:tab/>
        <w:t>At the risk of repetition, we reiterate the HKS</w:t>
      </w:r>
      <w:r>
        <w:rPr>
          <w:rFonts w:hint="eastAsia"/>
          <w:sz w:val="24"/>
          <w:szCs w:val="24"/>
        </w:rPr>
        <w:t>A</w:t>
      </w:r>
      <w:r>
        <w:rPr>
          <w:sz w:val="24"/>
          <w:szCs w:val="24"/>
        </w:rPr>
        <w:t xml:space="preserve">R Government’s </w:t>
      </w:r>
      <w:r>
        <w:rPr>
          <w:rFonts w:hint="eastAsia"/>
          <w:sz w:val="24"/>
          <w:szCs w:val="24"/>
        </w:rPr>
        <w:t xml:space="preserve">full </w:t>
      </w:r>
      <w:r>
        <w:rPr>
          <w:sz w:val="24"/>
          <w:szCs w:val="24"/>
        </w:rPr>
        <w:t xml:space="preserve">commitment to protecting the safety of the public. In particular, we do not tolerate </w:t>
      </w:r>
      <w:r>
        <w:rPr>
          <w:rFonts w:hint="eastAsia"/>
          <w:sz w:val="24"/>
          <w:szCs w:val="24"/>
        </w:rPr>
        <w:t xml:space="preserve">the use of violence or the threat of violence, </w:t>
      </w:r>
      <w:r>
        <w:rPr>
          <w:sz w:val="24"/>
          <w:szCs w:val="24"/>
        </w:rPr>
        <w:t xml:space="preserve">regardless of </w:t>
      </w:r>
      <w:r>
        <w:rPr>
          <w:rFonts w:hint="eastAsia"/>
          <w:sz w:val="24"/>
          <w:szCs w:val="24"/>
        </w:rPr>
        <w:t>whether the victims are ordina</w:t>
      </w:r>
      <w:r>
        <w:rPr>
          <w:rFonts w:hint="eastAsia"/>
          <w:sz w:val="24"/>
          <w:szCs w:val="24"/>
        </w:rPr>
        <w:t xml:space="preserve">ry members of the public or well known </w:t>
      </w:r>
      <w:r>
        <w:rPr>
          <w:sz w:val="24"/>
          <w:szCs w:val="24"/>
        </w:rPr>
        <w:t xml:space="preserve">public figures.  Where a witness or a victim is subject to a real and prolonged threat of physical injury, </w:t>
      </w:r>
      <w:r>
        <w:rPr>
          <w:rFonts w:hint="eastAsia"/>
          <w:sz w:val="24"/>
          <w:szCs w:val="24"/>
        </w:rPr>
        <w:t>we</w:t>
      </w:r>
      <w:r>
        <w:rPr>
          <w:sz w:val="24"/>
          <w:szCs w:val="24"/>
        </w:rPr>
        <w:t xml:space="preserve"> would offer </w:t>
      </w:r>
      <w:r>
        <w:rPr>
          <w:rFonts w:hint="eastAsia"/>
          <w:sz w:val="24"/>
          <w:szCs w:val="24"/>
        </w:rPr>
        <w:t xml:space="preserve">him </w:t>
      </w:r>
      <w:r>
        <w:rPr>
          <w:sz w:val="24"/>
          <w:szCs w:val="24"/>
        </w:rPr>
        <w:t>protection.  The Police will also investigate into such cases and take follow-up actions, i</w:t>
      </w:r>
      <w:r>
        <w:rPr>
          <w:sz w:val="24"/>
          <w:szCs w:val="24"/>
        </w:rPr>
        <w:t>ncluding prosecutions, as may be necessary and appropriate.</w:t>
      </w:r>
    </w:p>
    <w:p w:rsidR="00000000" w:rsidRDefault="00751B7F">
      <w:pPr>
        <w:tabs>
          <w:tab w:val="left" w:pos="900"/>
        </w:tabs>
        <w:jc w:val="both"/>
        <w:rPr>
          <w:sz w:val="24"/>
          <w:szCs w:val="24"/>
        </w:rPr>
      </w:pPr>
    </w:p>
    <w:p w:rsidR="00000000" w:rsidRDefault="00751B7F">
      <w:pPr>
        <w:tabs>
          <w:tab w:val="left" w:pos="900"/>
        </w:tabs>
        <w:jc w:val="both"/>
        <w:rPr>
          <w:b/>
          <w:sz w:val="24"/>
          <w:szCs w:val="24"/>
        </w:rPr>
      </w:pPr>
      <w:r>
        <w:rPr>
          <w:b/>
          <w:sz w:val="24"/>
          <w:szCs w:val="24"/>
        </w:rPr>
        <w:t>Right of abode</w:t>
      </w:r>
    </w:p>
    <w:p w:rsidR="00000000" w:rsidRDefault="00751B7F">
      <w:pPr>
        <w:tabs>
          <w:tab w:val="left" w:pos="900"/>
        </w:tabs>
        <w:jc w:val="both"/>
        <w:rPr>
          <w:sz w:val="24"/>
          <w:szCs w:val="24"/>
        </w:rPr>
      </w:pPr>
    </w:p>
    <w:p w:rsidR="00000000" w:rsidRDefault="00751B7F">
      <w:pPr>
        <w:tabs>
          <w:tab w:val="left" w:pos="900"/>
        </w:tabs>
        <w:jc w:val="both"/>
        <w:rPr>
          <w:sz w:val="24"/>
          <w:szCs w:val="24"/>
        </w:rPr>
      </w:pPr>
      <w:r>
        <w:rPr>
          <w:sz w:val="24"/>
          <w:szCs w:val="24"/>
        </w:rPr>
        <w:t>10.</w:t>
      </w:r>
      <w:r>
        <w:rPr>
          <w:sz w:val="24"/>
          <w:szCs w:val="24"/>
        </w:rPr>
        <w:tab/>
        <w:t>The criteria for eligibility for the right of abode in Hong Kong are prescribed in Article 24 of the Basic Law (BL24) and the Immigration Ordinance (Cap 115).  Those prescript</w:t>
      </w:r>
      <w:r>
        <w:rPr>
          <w:sz w:val="24"/>
          <w:szCs w:val="24"/>
        </w:rPr>
        <w:t xml:space="preserve">ions and laws are consistent with the relevant international human rights treaties applicable to Hong Kong.  </w:t>
      </w:r>
    </w:p>
    <w:p w:rsidR="00000000" w:rsidRDefault="00751B7F">
      <w:pPr>
        <w:tabs>
          <w:tab w:val="left" w:pos="900"/>
        </w:tabs>
        <w:jc w:val="both"/>
        <w:rPr>
          <w:sz w:val="24"/>
          <w:szCs w:val="24"/>
        </w:rPr>
      </w:pPr>
    </w:p>
    <w:p w:rsidR="00000000" w:rsidRDefault="00751B7F">
      <w:pPr>
        <w:tabs>
          <w:tab w:val="left" w:pos="900"/>
        </w:tabs>
        <w:jc w:val="both"/>
        <w:rPr>
          <w:sz w:val="24"/>
          <w:szCs w:val="24"/>
        </w:rPr>
      </w:pPr>
      <w:r>
        <w:rPr>
          <w:sz w:val="24"/>
          <w:szCs w:val="24"/>
        </w:rPr>
        <w:t>11.</w:t>
      </w:r>
      <w:r>
        <w:rPr>
          <w:sz w:val="24"/>
          <w:szCs w:val="24"/>
        </w:rPr>
        <w:tab/>
        <w:t>In January 2002, the Court of Final Appeal handed down judgment on the right of abode cases.  Mainland residents who have no legal right to s</w:t>
      </w:r>
      <w:r>
        <w:rPr>
          <w:sz w:val="24"/>
          <w:szCs w:val="24"/>
        </w:rPr>
        <w:t xml:space="preserve">tay in Hong Kong must return to the Mainland.  The Director of Immigration may exercise his discretion on a case-by-case basis to allow individual Mainland residents to stay if there are exceptional humanitarian or compassionate considerations. </w:t>
      </w:r>
    </w:p>
    <w:p w:rsidR="00000000" w:rsidRDefault="00751B7F">
      <w:pPr>
        <w:tabs>
          <w:tab w:val="left" w:pos="900"/>
        </w:tabs>
        <w:jc w:val="both"/>
        <w:rPr>
          <w:rFonts w:hint="eastAsia"/>
          <w:sz w:val="24"/>
          <w:szCs w:val="24"/>
        </w:rPr>
      </w:pPr>
    </w:p>
    <w:p w:rsidR="00000000" w:rsidRDefault="00751B7F">
      <w:pPr>
        <w:tabs>
          <w:tab w:val="left" w:pos="900"/>
        </w:tabs>
        <w:jc w:val="both"/>
        <w:rPr>
          <w:sz w:val="24"/>
          <w:szCs w:val="24"/>
        </w:rPr>
      </w:pPr>
      <w:r>
        <w:rPr>
          <w:sz w:val="24"/>
          <w:szCs w:val="24"/>
        </w:rPr>
        <w:t>12.</w:t>
      </w:r>
      <w:r>
        <w:rPr>
          <w:sz w:val="24"/>
          <w:szCs w:val="24"/>
        </w:rPr>
        <w:tab/>
        <w:t>We fu</w:t>
      </w:r>
      <w:r>
        <w:rPr>
          <w:sz w:val="24"/>
          <w:szCs w:val="24"/>
        </w:rPr>
        <w:t>lly understand the wishes for family reunion.  However, it has to be equally recognised that such wishes are not an absolute right.  Governments worldwide require people who wish to join their families to submit, prior to entering the jurisdictions in ques</w:t>
      </w:r>
      <w:r>
        <w:rPr>
          <w:sz w:val="24"/>
          <w:szCs w:val="24"/>
        </w:rPr>
        <w:t xml:space="preserve">tion, formal applications for processing in accordance with local laws and policies.  </w:t>
      </w:r>
    </w:p>
    <w:p w:rsidR="00000000" w:rsidRDefault="00751B7F">
      <w:pPr>
        <w:tabs>
          <w:tab w:val="left" w:pos="900"/>
        </w:tabs>
        <w:jc w:val="both"/>
        <w:rPr>
          <w:sz w:val="24"/>
          <w:szCs w:val="24"/>
        </w:rPr>
      </w:pPr>
    </w:p>
    <w:p w:rsidR="00000000" w:rsidRDefault="00751B7F">
      <w:pPr>
        <w:tabs>
          <w:tab w:val="left" w:pos="900"/>
        </w:tabs>
        <w:jc w:val="both"/>
        <w:rPr>
          <w:sz w:val="24"/>
          <w:szCs w:val="24"/>
        </w:rPr>
      </w:pPr>
      <w:r>
        <w:rPr>
          <w:sz w:val="24"/>
          <w:szCs w:val="24"/>
        </w:rPr>
        <w:t>13.</w:t>
      </w:r>
      <w:r>
        <w:rPr>
          <w:sz w:val="24"/>
          <w:szCs w:val="24"/>
        </w:rPr>
        <w:tab/>
        <w:t xml:space="preserve">Eligible Mainland residents who wish to settle in Hong Kong must apply under the One-way Permit Scheme for exit permits from the Mainland authorities in accordance </w:t>
      </w:r>
      <w:r>
        <w:rPr>
          <w:sz w:val="24"/>
          <w:szCs w:val="24"/>
        </w:rPr>
        <w:t>with the relevant national laws and administrative regulations.  To ensure orderly entry at a rate that our socio-economic infrastructure can practicably absorb, the Scheme is subject to a daily quota of 150, or 54,750 a year.  Applications are assessed by</w:t>
      </w:r>
      <w:r>
        <w:rPr>
          <w:sz w:val="24"/>
          <w:szCs w:val="24"/>
        </w:rPr>
        <w:t xml:space="preserve"> Mainland authorities in accordance with a points-based system.  From July 1997 to February 2007, over 500,000 Mainland residents have settled in Hong Kong under the Scheme.  Mainland residents may also apply for Two-way Permits from the relevant Mainland </w:t>
      </w:r>
      <w:r>
        <w:rPr>
          <w:sz w:val="24"/>
          <w:szCs w:val="24"/>
        </w:rPr>
        <w:t xml:space="preserve">authorities to visit their family members in Hong Kong.  In 2006, 1,740,120 Two-way permit holders entered Hong Kong on exit endorsement for visiting relatives. </w:t>
      </w:r>
    </w:p>
    <w:p w:rsidR="00000000" w:rsidRDefault="00751B7F">
      <w:pPr>
        <w:tabs>
          <w:tab w:val="left" w:pos="900"/>
        </w:tabs>
        <w:autoSpaceDE w:val="0"/>
        <w:autoSpaceDN w:val="0"/>
        <w:adjustRightInd w:val="0"/>
        <w:jc w:val="both"/>
        <w:rPr>
          <w:rFonts w:hint="eastAsia"/>
          <w:b/>
          <w:sz w:val="24"/>
          <w:szCs w:val="24"/>
        </w:rPr>
      </w:pPr>
    </w:p>
    <w:p w:rsidR="00000000" w:rsidRDefault="00751B7F">
      <w:pPr>
        <w:tabs>
          <w:tab w:val="left" w:pos="900"/>
        </w:tabs>
        <w:autoSpaceDE w:val="0"/>
        <w:autoSpaceDN w:val="0"/>
        <w:adjustRightInd w:val="0"/>
        <w:jc w:val="both"/>
        <w:rPr>
          <w:b/>
          <w:sz w:val="24"/>
          <w:szCs w:val="24"/>
        </w:rPr>
      </w:pPr>
      <w:r>
        <w:rPr>
          <w:b/>
          <w:sz w:val="24"/>
          <w:szCs w:val="24"/>
        </w:rPr>
        <w:t>Universal suffrage for e</w:t>
      </w:r>
      <w:r>
        <w:rPr>
          <w:rFonts w:hint="eastAsia"/>
          <w:b/>
          <w:sz w:val="24"/>
          <w:szCs w:val="24"/>
        </w:rPr>
        <w:t xml:space="preserve">lection </w:t>
      </w:r>
      <w:r>
        <w:rPr>
          <w:b/>
          <w:sz w:val="24"/>
          <w:szCs w:val="24"/>
        </w:rPr>
        <w:t>to</w:t>
      </w:r>
      <w:r>
        <w:rPr>
          <w:rFonts w:hint="eastAsia"/>
          <w:b/>
          <w:sz w:val="24"/>
          <w:szCs w:val="24"/>
        </w:rPr>
        <w:t xml:space="preserve"> the </w:t>
      </w:r>
      <w:r>
        <w:rPr>
          <w:b/>
          <w:sz w:val="24"/>
          <w:szCs w:val="24"/>
        </w:rPr>
        <w:t xml:space="preserve">Legislative Council </w:t>
      </w:r>
    </w:p>
    <w:p w:rsidR="00000000" w:rsidRDefault="00751B7F">
      <w:pPr>
        <w:tabs>
          <w:tab w:val="left" w:pos="900"/>
        </w:tabs>
        <w:rPr>
          <w:rFonts w:hint="eastAsia"/>
          <w:sz w:val="24"/>
          <w:szCs w:val="24"/>
        </w:rPr>
      </w:pPr>
    </w:p>
    <w:p w:rsidR="00000000" w:rsidRDefault="00751B7F">
      <w:pPr>
        <w:tabs>
          <w:tab w:val="left" w:pos="900"/>
        </w:tabs>
        <w:jc w:val="both"/>
        <w:rPr>
          <w:sz w:val="24"/>
          <w:szCs w:val="24"/>
        </w:rPr>
      </w:pPr>
      <w:r>
        <w:rPr>
          <w:sz w:val="24"/>
          <w:szCs w:val="24"/>
        </w:rPr>
        <w:t>14.</w:t>
      </w:r>
      <w:r>
        <w:rPr>
          <w:sz w:val="24"/>
          <w:szCs w:val="24"/>
        </w:rPr>
        <w:tab/>
        <w:t>For proper perspective, it s</w:t>
      </w:r>
      <w:r>
        <w:rPr>
          <w:sz w:val="24"/>
          <w:szCs w:val="24"/>
        </w:rPr>
        <w:t xml:space="preserve">hould be pointed out that, when the Covenant was applied to Hong Kong in 1976, a reservation was made not to apply </w:t>
      </w:r>
      <w:r>
        <w:rPr>
          <w:rFonts w:hint="eastAsia"/>
          <w:sz w:val="24"/>
          <w:szCs w:val="24"/>
        </w:rPr>
        <w:t>a</w:t>
      </w:r>
      <w:r>
        <w:rPr>
          <w:sz w:val="24"/>
          <w:szCs w:val="24"/>
        </w:rPr>
        <w:t xml:space="preserve">rticle 25(b) in so far as it might require the establishment of an elected Executive or Legislative Council in Hong Kong.  </w:t>
      </w:r>
      <w:r>
        <w:rPr>
          <w:rFonts w:hint="eastAsia"/>
          <w:sz w:val="24"/>
          <w:szCs w:val="24"/>
        </w:rPr>
        <w:t xml:space="preserve">This reservation </w:t>
      </w:r>
      <w:r>
        <w:rPr>
          <w:rFonts w:hint="eastAsia"/>
          <w:sz w:val="24"/>
          <w:szCs w:val="24"/>
        </w:rPr>
        <w:t xml:space="preserve">continues to apply. </w:t>
      </w:r>
    </w:p>
    <w:p w:rsidR="00000000" w:rsidRDefault="00751B7F">
      <w:pPr>
        <w:tabs>
          <w:tab w:val="left" w:pos="900"/>
        </w:tabs>
        <w:jc w:val="both"/>
        <w:rPr>
          <w:rFonts w:hint="eastAsia"/>
          <w:sz w:val="24"/>
          <w:szCs w:val="24"/>
        </w:rPr>
      </w:pPr>
    </w:p>
    <w:p w:rsidR="00000000" w:rsidRDefault="00751B7F">
      <w:pPr>
        <w:tabs>
          <w:tab w:val="left" w:pos="900"/>
        </w:tabs>
        <w:snapToGrid w:val="0"/>
        <w:jc w:val="both"/>
        <w:rPr>
          <w:rFonts w:hint="eastAsia"/>
          <w:sz w:val="24"/>
          <w:szCs w:val="24"/>
        </w:rPr>
      </w:pPr>
      <w:r>
        <w:rPr>
          <w:sz w:val="24"/>
          <w:szCs w:val="24"/>
        </w:rPr>
        <w:t>15.</w:t>
      </w:r>
      <w:r>
        <w:rPr>
          <w:sz w:val="24"/>
          <w:szCs w:val="24"/>
        </w:rPr>
        <w:tab/>
      </w:r>
      <w:r>
        <w:rPr>
          <w:rFonts w:hint="eastAsia"/>
          <w:sz w:val="24"/>
          <w:szCs w:val="24"/>
        </w:rPr>
        <w:t>Notwithstanding this reservation, the Basic Law promulgated by the National People</w:t>
      </w:r>
      <w:r>
        <w:rPr>
          <w:sz w:val="24"/>
          <w:szCs w:val="24"/>
        </w:rPr>
        <w:t>’</w:t>
      </w:r>
      <w:r>
        <w:rPr>
          <w:rFonts w:hint="eastAsia"/>
          <w:sz w:val="24"/>
          <w:szCs w:val="24"/>
        </w:rPr>
        <w:t>s Congress in 1990 clearly states that universal suffrage is the ultimate aim of Hong Kong</w:t>
      </w:r>
      <w:r>
        <w:rPr>
          <w:sz w:val="24"/>
          <w:szCs w:val="24"/>
        </w:rPr>
        <w:t>’</w:t>
      </w:r>
      <w:r>
        <w:rPr>
          <w:rFonts w:hint="eastAsia"/>
          <w:sz w:val="24"/>
          <w:szCs w:val="24"/>
        </w:rPr>
        <w:t xml:space="preserve">s constitutional development. </w:t>
      </w:r>
      <w:r>
        <w:rPr>
          <w:sz w:val="24"/>
          <w:szCs w:val="24"/>
        </w:rPr>
        <w:t xml:space="preserve"> </w:t>
      </w:r>
      <w:r>
        <w:rPr>
          <w:rFonts w:hint="eastAsia"/>
          <w:sz w:val="24"/>
          <w:szCs w:val="24"/>
        </w:rPr>
        <w:t xml:space="preserve">Thus, the </w:t>
      </w:r>
      <w:r>
        <w:rPr>
          <w:sz w:val="24"/>
          <w:szCs w:val="24"/>
        </w:rPr>
        <w:t>final goal</w:t>
      </w:r>
      <w:r>
        <w:rPr>
          <w:rFonts w:hint="eastAsia"/>
          <w:sz w:val="24"/>
          <w:szCs w:val="24"/>
        </w:rPr>
        <w:t xml:space="preserve"> of H</w:t>
      </w:r>
      <w:r>
        <w:rPr>
          <w:rFonts w:hint="eastAsia"/>
          <w:sz w:val="24"/>
          <w:szCs w:val="24"/>
        </w:rPr>
        <w:t>ong Kong</w:t>
      </w:r>
      <w:r>
        <w:rPr>
          <w:sz w:val="24"/>
          <w:szCs w:val="24"/>
        </w:rPr>
        <w:t>’</w:t>
      </w:r>
      <w:r>
        <w:rPr>
          <w:rFonts w:hint="eastAsia"/>
          <w:sz w:val="24"/>
          <w:szCs w:val="24"/>
        </w:rPr>
        <w:t>s evolution towards democracy originates from the Basic Law, and not the Covenant.</w:t>
      </w:r>
      <w:r>
        <w:rPr>
          <w:sz w:val="24"/>
          <w:szCs w:val="24"/>
        </w:rPr>
        <w:t xml:space="preserve">  </w:t>
      </w:r>
      <w:r>
        <w:rPr>
          <w:rFonts w:hint="eastAsia"/>
          <w:sz w:val="24"/>
          <w:szCs w:val="24"/>
        </w:rPr>
        <w:t>B</w:t>
      </w:r>
      <w:r>
        <w:rPr>
          <w:sz w:val="24"/>
          <w:szCs w:val="24"/>
        </w:rPr>
        <w:t xml:space="preserve">oth the Central Authorities and the Government are fully committed to achieving the ultimate aim of universal suffrage in accordance with the Basic Law and the </w:t>
      </w:r>
      <w:r>
        <w:rPr>
          <w:rFonts w:hint="eastAsia"/>
          <w:sz w:val="24"/>
          <w:szCs w:val="24"/>
        </w:rPr>
        <w:t>re</w:t>
      </w:r>
      <w:r>
        <w:rPr>
          <w:rFonts w:hint="eastAsia"/>
          <w:sz w:val="24"/>
          <w:szCs w:val="24"/>
        </w:rPr>
        <w:t xml:space="preserve">levant Interpretation and </w:t>
      </w:r>
      <w:r>
        <w:rPr>
          <w:sz w:val="24"/>
          <w:szCs w:val="24"/>
        </w:rPr>
        <w:t>Decision of the Standing Committee of the National People’s Congress (NPCSC) of April 2004.</w:t>
      </w:r>
    </w:p>
    <w:p w:rsidR="00000000" w:rsidRDefault="00751B7F">
      <w:pPr>
        <w:tabs>
          <w:tab w:val="left" w:pos="900"/>
        </w:tabs>
        <w:jc w:val="both"/>
        <w:rPr>
          <w:rFonts w:hint="eastAsia"/>
          <w:sz w:val="24"/>
          <w:szCs w:val="24"/>
        </w:rPr>
      </w:pPr>
    </w:p>
    <w:p w:rsidR="00000000" w:rsidRDefault="00751B7F">
      <w:pPr>
        <w:tabs>
          <w:tab w:val="left" w:pos="900"/>
        </w:tabs>
        <w:jc w:val="both"/>
        <w:rPr>
          <w:sz w:val="24"/>
          <w:szCs w:val="24"/>
        </w:rPr>
      </w:pPr>
      <w:r>
        <w:rPr>
          <w:rFonts w:hint="eastAsia"/>
          <w:sz w:val="24"/>
          <w:szCs w:val="24"/>
        </w:rPr>
        <w:t>16</w:t>
      </w:r>
      <w:r>
        <w:rPr>
          <w:sz w:val="24"/>
          <w:szCs w:val="24"/>
        </w:rPr>
        <w:t>.</w:t>
      </w:r>
      <w:r>
        <w:rPr>
          <w:sz w:val="24"/>
          <w:szCs w:val="24"/>
        </w:rPr>
        <w:tab/>
        <w:t>Regarding NPCSC’s interpretation of the Basic Law, the HKSAR Government’s consistent position is that, the power of interpretation of</w:t>
      </w:r>
      <w:r>
        <w:rPr>
          <w:sz w:val="24"/>
          <w:szCs w:val="24"/>
        </w:rPr>
        <w:t xml:space="preserve"> the Basic Law, which is enshrined in the Constitution and the Basic Law, is vested in NPCSC.  Such power is in general and unqualified terms.  This principle is fully acknowledged and respected in Hong Kong and by </w:t>
      </w:r>
      <w:r>
        <w:rPr>
          <w:rFonts w:hint="eastAsia"/>
          <w:sz w:val="24"/>
          <w:szCs w:val="24"/>
        </w:rPr>
        <w:t>the</w:t>
      </w:r>
      <w:r>
        <w:rPr>
          <w:sz w:val="24"/>
          <w:szCs w:val="24"/>
        </w:rPr>
        <w:t xml:space="preserve"> courts</w:t>
      </w:r>
      <w:r>
        <w:rPr>
          <w:rFonts w:hint="eastAsia"/>
          <w:sz w:val="24"/>
          <w:szCs w:val="24"/>
        </w:rPr>
        <w:t xml:space="preserve"> of the HKSAR</w:t>
      </w:r>
      <w:r>
        <w:rPr>
          <w:sz w:val="24"/>
          <w:szCs w:val="24"/>
        </w:rPr>
        <w:t>.  The exercise of</w:t>
      </w:r>
      <w:r>
        <w:rPr>
          <w:sz w:val="24"/>
          <w:szCs w:val="24"/>
        </w:rPr>
        <w:t xml:space="preserve"> that power by the NPCSC, therefore, has not, and could not have, in any way affected the independence of the Judiciary, the rule of law</w:t>
      </w:r>
      <w:r>
        <w:rPr>
          <w:rFonts w:hint="eastAsia"/>
          <w:sz w:val="24"/>
          <w:szCs w:val="24"/>
        </w:rPr>
        <w:t>,</w:t>
      </w:r>
      <w:r>
        <w:rPr>
          <w:sz w:val="24"/>
          <w:szCs w:val="24"/>
        </w:rPr>
        <w:t xml:space="preserve"> or</w:t>
      </w:r>
      <w:r>
        <w:rPr>
          <w:rFonts w:hint="eastAsia"/>
          <w:sz w:val="24"/>
          <w:szCs w:val="24"/>
        </w:rPr>
        <w:t xml:space="preserve"> </w:t>
      </w:r>
      <w:r>
        <w:rPr>
          <w:sz w:val="24"/>
          <w:szCs w:val="24"/>
        </w:rPr>
        <w:t>Hong Kong’s high degree of autonomy.</w:t>
      </w:r>
    </w:p>
    <w:p w:rsidR="00000000" w:rsidRDefault="00751B7F">
      <w:pPr>
        <w:tabs>
          <w:tab w:val="left" w:pos="900"/>
        </w:tabs>
        <w:jc w:val="both"/>
        <w:rPr>
          <w:sz w:val="24"/>
          <w:szCs w:val="24"/>
        </w:rPr>
      </w:pPr>
    </w:p>
    <w:p w:rsidR="00000000" w:rsidRDefault="00751B7F">
      <w:pPr>
        <w:tabs>
          <w:tab w:val="left" w:pos="900"/>
        </w:tabs>
        <w:jc w:val="both"/>
        <w:rPr>
          <w:sz w:val="24"/>
          <w:szCs w:val="24"/>
        </w:rPr>
      </w:pPr>
    </w:p>
    <w:p w:rsidR="00000000" w:rsidRDefault="00751B7F">
      <w:pPr>
        <w:tabs>
          <w:tab w:val="left" w:pos="900"/>
        </w:tabs>
        <w:jc w:val="both"/>
        <w:rPr>
          <w:sz w:val="24"/>
          <w:szCs w:val="24"/>
        </w:rPr>
      </w:pPr>
    </w:p>
    <w:p w:rsidR="00000000" w:rsidRDefault="00751B7F">
      <w:pPr>
        <w:tabs>
          <w:tab w:val="left" w:pos="900"/>
        </w:tabs>
        <w:jc w:val="both"/>
        <w:rPr>
          <w:sz w:val="24"/>
          <w:szCs w:val="24"/>
        </w:rPr>
      </w:pPr>
      <w:r>
        <w:rPr>
          <w:sz w:val="24"/>
          <w:szCs w:val="24"/>
        </w:rPr>
        <w:t xml:space="preserve">ANNEXES: </w:t>
      </w:r>
    </w:p>
    <w:p w:rsidR="00000000" w:rsidRDefault="00751B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val="0"/>
          <w:bCs/>
          <w:w w:val="100"/>
        </w:rPr>
      </w:pPr>
    </w:p>
    <w:p w:rsidR="00000000" w:rsidRDefault="00751B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val="0"/>
          <w:bCs/>
          <w:spacing w:val="0"/>
          <w:w w:val="100"/>
          <w:szCs w:val="24"/>
        </w:rPr>
      </w:pPr>
      <w:r>
        <w:rPr>
          <w:b w:val="0"/>
          <w:bCs/>
          <w:w w:val="100"/>
          <w:szCs w:val="24"/>
        </w:rPr>
        <w:t>A) Concluding Observations of the Human Rights Committee Hong Ko</w:t>
      </w:r>
      <w:r>
        <w:rPr>
          <w:b w:val="0"/>
          <w:bCs/>
          <w:w w:val="100"/>
          <w:szCs w:val="24"/>
        </w:rPr>
        <w:t xml:space="preserve">ng Special Administrative Region (HKSAR), </w:t>
      </w:r>
      <w:r>
        <w:rPr>
          <w:b w:val="0"/>
          <w:bCs/>
        </w:rPr>
        <w:t>CCPR/C/HKG/CO/2.</w:t>
      </w:r>
    </w:p>
    <w:p w:rsidR="00000000" w:rsidRDefault="00751B7F">
      <w:pPr>
        <w:tabs>
          <w:tab w:val="left" w:pos="900"/>
        </w:tabs>
        <w:jc w:val="both"/>
        <w:rPr>
          <w:bCs/>
          <w:sz w:val="24"/>
          <w:szCs w:val="24"/>
        </w:rPr>
      </w:pPr>
    </w:p>
    <w:p w:rsidR="00000000" w:rsidRDefault="00751B7F">
      <w:pPr>
        <w:pStyle w:val="Header"/>
        <w:rPr>
          <w:sz w:val="24"/>
          <w:szCs w:val="24"/>
          <w:lang w:val="en-US"/>
        </w:rPr>
      </w:pPr>
      <w:r>
        <w:rPr>
          <w:noProof/>
          <w:sz w:val="24"/>
          <w:szCs w:val="24"/>
          <w:lang w:val="en-US"/>
        </w:rPr>
        <w:pict>
          <v:shapetype id="_x0000_t202" coordsize="21600,21600" o:spt="202" path="m,l,21600r21600,l21600,xe">
            <v:stroke joinstyle="miter"/>
            <v:path gradientshapeok="t" o:connecttype="rect"/>
          </v:shapetype>
          <v:shape id="_x0000_s1029" type="#_x0000_t202" style="position:absolute;margin-left:657pt;margin-top:-21.75pt;width:95pt;height:43.5pt;z-index:1" strokecolor="white">
            <v:textbox>
              <w:txbxContent>
                <w:p w:rsidR="00000000" w:rsidRDefault="00751B7F">
                  <w:pPr>
                    <w:rPr>
                      <w:b/>
                      <w:u w:val="single"/>
                    </w:rPr>
                  </w:pPr>
                  <w:r>
                    <w:rPr>
                      <w:rFonts w:hint="eastAsia"/>
                      <w:b/>
                      <w:u w:val="single"/>
                    </w:rPr>
                    <w:t>Annex</w:t>
                  </w:r>
                  <w:r>
                    <w:rPr>
                      <w:b/>
                      <w:u w:val="single"/>
                    </w:rPr>
                    <w:t xml:space="preserve"> B</w:t>
                  </w:r>
                </w:p>
              </w:txbxContent>
            </v:textbox>
          </v:shape>
        </w:pict>
      </w:r>
      <w:r>
        <w:rPr>
          <w:sz w:val="24"/>
          <w:szCs w:val="24"/>
          <w:lang w:val="en-US"/>
        </w:rPr>
        <w:t>B) Reported cases of violence and criminal intimidation involving well known personalities from 2002 to 2006 (up to September 2006).</w:t>
      </w:r>
    </w:p>
    <w:p w:rsidR="00000000" w:rsidRDefault="00751B7F">
      <w:pPr>
        <w:tabs>
          <w:tab w:val="left" w:pos="900"/>
        </w:tabs>
        <w:rPr>
          <w:sz w:val="24"/>
          <w:szCs w:val="24"/>
          <w:lang w:val="en-US"/>
        </w:rPr>
      </w:pPr>
    </w:p>
    <w:sectPr w:rsidR="00000000">
      <w:headerReference w:type="even" r:id="rId9"/>
      <w:headerReference w:type="default" r:id="rId10"/>
      <w:footerReference w:type="even" r:id="rId11"/>
      <w:footerReference w:type="default" r:id="rId12"/>
      <w:pgSz w:w="11906" w:h="16838" w:code="9"/>
      <w:pgMar w:top="567" w:right="851" w:bottom="1985"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1B7F">
      <w:r>
        <w:separator/>
      </w:r>
    </w:p>
  </w:endnote>
  <w:endnote w:type="continuationSeparator" w:id="0">
    <w:p w:rsidR="00000000" w:rsidRDefault="0075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絡遺羹">
    <w:altName w:val="PMingLiU"/>
    <w:panose1 w:val="00000000000000000000"/>
    <w:charset w:val="88"/>
    <w:family w:val="roman"/>
    <w:notTrueType/>
    <w:pitch w:val="default"/>
    <w:sig w:usb0="00000001" w:usb1="08080000" w:usb2="00000010" w:usb3="00000000" w:csb0="00100000"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1B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1B7F">
    <w:pPr>
      <w:pStyle w:val="Footer"/>
      <w:ind w:right="360"/>
    </w:pPr>
  </w:p>
  <w:p w:rsidR="00000000" w:rsidRDefault="00751B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1B7F">
      <w:r>
        <w:separator/>
      </w:r>
    </w:p>
  </w:footnote>
  <w:footnote w:type="continuationSeparator" w:id="0">
    <w:p w:rsidR="00000000" w:rsidRDefault="00751B7F">
      <w:r>
        <w:continuationSeparator/>
      </w:r>
    </w:p>
  </w:footnote>
  <w:footnote w:id="1">
    <w:p w:rsidR="00000000" w:rsidRDefault="00751B7F">
      <w:pPr>
        <w:pStyle w:val="FootnoteText"/>
        <w:spacing w:after="480"/>
      </w:pPr>
      <w:r>
        <w:rPr>
          <w:rStyle w:val="FootnoteReference"/>
          <w:b w:val="0"/>
          <w:bCs/>
        </w:rPr>
        <w:t>*</w:t>
      </w:r>
      <w:r>
        <w:t xml:space="preserve">  In accordance with the information transmitted to States p</w:t>
      </w:r>
      <w:r>
        <w:t>arties regarding the processing of their reports, the present document was not formally edited before being sent to the United Nations translation services. Annexes can be consulted with the Secretariat.</w:t>
      </w:r>
    </w:p>
    <w:p w:rsidR="00000000" w:rsidRDefault="00751B7F">
      <w:pPr>
        <w:pStyle w:val="FootnoteText"/>
        <w:spacing w:after="0"/>
      </w:pPr>
      <w:r>
        <w:t>GE.07-44614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1B7F">
    <w:pPr>
      <w:jc w:val="right"/>
      <w:rPr>
        <w:sz w:val="24"/>
        <w:szCs w:val="24"/>
        <w:lang w:val="en-US"/>
      </w:rPr>
    </w:pPr>
    <w:r>
      <w:rPr>
        <w:sz w:val="24"/>
        <w:szCs w:val="24"/>
      </w:rPr>
      <w:fldChar w:fldCharType="begin"/>
    </w:r>
    <w:r>
      <w:rPr>
        <w:sz w:val="24"/>
        <w:szCs w:val="24"/>
        <w:lang w:val="en-US"/>
      </w:rPr>
      <w:instrText xml:space="preserve"> FILLIN "Symbol" \* MERGEF</w:instrText>
    </w:r>
    <w:r>
      <w:rPr>
        <w:sz w:val="24"/>
        <w:szCs w:val="24"/>
        <w:lang w:val="en-US"/>
      </w:rPr>
      <w:instrText xml:space="preserve">ORMAT </w:instrText>
    </w:r>
    <w:r>
      <w:rPr>
        <w:sz w:val="24"/>
        <w:szCs w:val="24"/>
      </w:rPr>
      <w:fldChar w:fldCharType="separate"/>
    </w:r>
    <w:r>
      <w:rPr>
        <w:sz w:val="24"/>
        <w:szCs w:val="24"/>
        <w:lang w:val="en-US"/>
      </w:rPr>
      <w:t>CCPR/C/HKG/2005/2/Add.1</w:t>
    </w:r>
    <w:r>
      <w:rPr>
        <w:sz w:val="24"/>
        <w:szCs w:val="24"/>
      </w:rPr>
      <w:fldChar w:fldCharType="end"/>
    </w:r>
  </w:p>
  <w:p w:rsidR="00000000" w:rsidRDefault="00751B7F">
    <w:pPr>
      <w:pStyle w:val="Header"/>
      <w:jc w:val="right"/>
      <w:rPr>
        <w:sz w:val="24"/>
        <w:szCs w:val="24"/>
      </w:rPr>
    </w:pPr>
    <w:r>
      <w:rPr>
        <w:sz w:val="24"/>
        <w:szCs w:val="24"/>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1B7F">
    <w:pPr>
      <w:rPr>
        <w:sz w:val="24"/>
        <w:szCs w:val="24"/>
        <w:lang w:val="en-US"/>
      </w:rPr>
    </w:pPr>
    <w:r>
      <w:rPr>
        <w:sz w:val="24"/>
        <w:szCs w:val="24"/>
      </w:rPr>
      <w:fldChar w:fldCharType="begin"/>
    </w:r>
    <w:r>
      <w:rPr>
        <w:sz w:val="24"/>
        <w:szCs w:val="24"/>
        <w:lang w:val="en-US"/>
      </w:rPr>
      <w:instrText xml:space="preserve"> FILLIN "Symbol" \* MERGEFORMAT </w:instrText>
    </w:r>
    <w:r>
      <w:rPr>
        <w:sz w:val="24"/>
        <w:szCs w:val="24"/>
      </w:rPr>
      <w:fldChar w:fldCharType="separate"/>
    </w:r>
    <w:r>
      <w:rPr>
        <w:sz w:val="24"/>
        <w:szCs w:val="24"/>
        <w:lang w:val="en-US"/>
      </w:rPr>
      <w:t>CCPR/C/HKG/2005/2/Add.1</w:t>
    </w:r>
    <w:r>
      <w:rPr>
        <w:sz w:val="24"/>
        <w:szCs w:val="24"/>
      </w:rPr>
      <w:fldChar w:fldCharType="end"/>
    </w:r>
  </w:p>
  <w:p w:rsidR="00000000" w:rsidRDefault="00751B7F">
    <w:pPr>
      <w:pStyle w:val="Header"/>
      <w:rPr>
        <w:sz w:val="24"/>
        <w:szCs w:val="24"/>
      </w:rPr>
    </w:pPr>
    <w:r>
      <w:rPr>
        <w:sz w:val="24"/>
        <w:szCs w:val="24"/>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79D"/>
    <w:multiLevelType w:val="singleLevel"/>
    <w:tmpl w:val="CDF27C6C"/>
    <w:lvl w:ilvl="0">
      <w:numFmt w:val="bullet"/>
      <w:lvlText w:val="-"/>
      <w:lvlJc w:val="left"/>
      <w:pPr>
        <w:tabs>
          <w:tab w:val="num" w:pos="540"/>
        </w:tabs>
        <w:ind w:left="540" w:hanging="360"/>
      </w:pPr>
      <w:rPr>
        <w:rFonts w:ascii="Times New Roman" w:hAnsi="Times New Roman" w:hint="default"/>
      </w:rPr>
    </w:lvl>
  </w:abstractNum>
  <w:abstractNum w:abstractNumId="1">
    <w:nsid w:val="07A16105"/>
    <w:multiLevelType w:val="hybridMultilevel"/>
    <w:tmpl w:val="805261EA"/>
    <w:lvl w:ilvl="0" w:tplc="301854E0">
      <w:start w:val="1"/>
      <w:numFmt w:val="none"/>
      <w:lvlText w:val=""/>
      <w:lvlJc w:val="left"/>
      <w:pPr>
        <w:tabs>
          <w:tab w:val="num" w:pos="1051"/>
        </w:tabs>
        <w:ind w:left="1051" w:hanging="851"/>
      </w:pPr>
      <w:rPr>
        <w:rFonts w:ascii="Monotype Sorts" w:hAnsi="Monotype Sorts" w:hint="default"/>
      </w:rPr>
    </w:lvl>
    <w:lvl w:ilvl="1" w:tplc="AF4A5C4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B8D506A"/>
    <w:multiLevelType w:val="hybridMultilevel"/>
    <w:tmpl w:val="6F6E27CA"/>
    <w:lvl w:ilvl="0" w:tplc="23C6EB82">
      <w:start w:val="2"/>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3FE4A87"/>
    <w:multiLevelType w:val="multilevel"/>
    <w:tmpl w:val="83C8048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A9072B6"/>
    <w:multiLevelType w:val="hybridMultilevel"/>
    <w:tmpl w:val="E324655E"/>
    <w:lvl w:ilvl="0" w:tplc="301854E0">
      <w:start w:val="1"/>
      <w:numFmt w:val="none"/>
      <w:lvlText w:val=""/>
      <w:lvlJc w:val="left"/>
      <w:pPr>
        <w:tabs>
          <w:tab w:val="num" w:pos="1051"/>
        </w:tabs>
        <w:ind w:left="1051" w:hanging="851"/>
      </w:pPr>
      <w:rPr>
        <w:rFonts w:ascii="Monotype Sorts" w:hAnsi="Monotype Sorts" w:hint="default"/>
      </w:rPr>
    </w:lvl>
    <w:lvl w:ilvl="1" w:tplc="AF4A5C4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C6D3C2C"/>
    <w:multiLevelType w:val="hybridMultilevel"/>
    <w:tmpl w:val="51C2ECCE"/>
    <w:lvl w:ilvl="0" w:tplc="301854E0">
      <w:start w:val="1"/>
      <w:numFmt w:val="none"/>
      <w:lvlText w:val=""/>
      <w:lvlJc w:val="left"/>
      <w:pPr>
        <w:tabs>
          <w:tab w:val="num" w:pos="1051"/>
        </w:tabs>
        <w:ind w:left="1051" w:hanging="851"/>
      </w:pPr>
      <w:rPr>
        <w:rFonts w:ascii="Monotype Sorts" w:hAnsi="Monotype Sorts" w:hint="default"/>
      </w:rPr>
    </w:lvl>
    <w:lvl w:ilvl="1" w:tplc="AF4A5C4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283"/>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B7F"/>
    <w:rsid w:val="00751B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it-IT"/>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outlineLvl w:val="1"/>
    </w:pPr>
    <w:rPr>
      <w:rFonts w:ascii="Book Antiqua" w:hAnsi="Book Antiqua"/>
      <w:sz w:val="24"/>
      <w:lang w:val="en-US"/>
    </w:rPr>
  </w:style>
  <w:style w:type="paragraph" w:styleId="Heading3">
    <w:name w:val="heading 3"/>
    <w:basedOn w:val="Normal"/>
    <w:next w:val="Normal"/>
    <w:qFormat/>
    <w:pPr>
      <w:keepNext/>
      <w:jc w:val="center"/>
      <w:outlineLvl w:val="2"/>
    </w:pPr>
    <w:rPr>
      <w:b/>
      <w:sz w:val="32"/>
    </w:rPr>
  </w:style>
  <w:style w:type="paragraph" w:styleId="Heading4">
    <w:name w:val="heading 4"/>
    <w:aliases w:val="Titre 4 Car,Titre 4 Car1 Car,Titre 4 Car Car Car,Heading 4 Char Car Car Car,Heading 4 Char1 Char1 Car Car Car,Heading 4 Char Char Char1 Car Car Car,Heading 4 Char1 Char Char Car Car Car,Heading 4 Char Char Char Char Car Car Car"/>
    <w:basedOn w:val="Normal"/>
    <w:next w:val="Normal"/>
    <w:qFormat/>
    <w:pPr>
      <w:widowControl w:val="0"/>
      <w:ind w:left="2160" w:hanging="720"/>
      <w:outlineLvl w:val="3"/>
    </w:pPr>
    <w:rPr>
      <w:sz w:val="24"/>
      <w:lang w:val="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both"/>
      <w:outlineLvl w:val="5"/>
    </w:pPr>
    <w:rPr>
      <w:b/>
      <w:sz w:val="24"/>
      <w:u w:val="single"/>
    </w:rPr>
  </w:style>
  <w:style w:type="paragraph" w:styleId="Heading7">
    <w:name w:val="heading 7"/>
    <w:basedOn w:val="Normal"/>
    <w:next w:val="Normal"/>
    <w:qFormat/>
    <w:pPr>
      <w:spacing w:before="240" w:after="60"/>
      <w:outlineLvl w:val="6"/>
    </w:pPr>
    <w:rPr>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 Antiqua" w:hAnsi="Book Antiqua"/>
      <w:b/>
      <w:sz w:val="24"/>
      <w:lang w:val="en-US"/>
    </w:rPr>
  </w:style>
  <w:style w:type="character" w:styleId="EndnoteReference">
    <w:name w:val="endnote reference"/>
    <w:semiHidden/>
    <w:rPr>
      <w:vertAlign w:val="superscript"/>
    </w:rPr>
  </w:style>
  <w:style w:type="character" w:styleId="CommentReference">
    <w:name w:val="annotation reference"/>
    <w:semiHidden/>
    <w:rPr>
      <w:sz w:val="16"/>
      <w:szCs w:val="16"/>
    </w:rPr>
  </w:style>
  <w:style w:type="paragraph" w:styleId="EndnoteText">
    <w:name w:val="endnote text"/>
    <w:basedOn w:val="Normal"/>
    <w:semiHidden/>
    <w:rPr>
      <w:lang w:val="en-US"/>
    </w:rPr>
  </w:style>
  <w:style w:type="paragraph" w:styleId="BodyText3">
    <w:name w:val="Body Text 3"/>
    <w:basedOn w:val="Normal"/>
    <w:semiHidden/>
    <w:pPr>
      <w:spacing w:after="120"/>
    </w:pPr>
    <w:rPr>
      <w:sz w:val="16"/>
      <w:szCs w:val="16"/>
    </w:rPr>
  </w:style>
  <w:style w:type="paragraph" w:customStyle="1" w:styleId="Corpodeltestocitazione">
    <w:name w:val="Corpo del testo.citazione"/>
    <w:basedOn w:val="Normal"/>
    <w:pPr>
      <w:jc w:val="both"/>
    </w:pPr>
    <w:rPr>
      <w:sz w:val="24"/>
    </w:rPr>
  </w:style>
  <w:style w:type="paragraph" w:styleId="Title">
    <w:name w:val="Title"/>
    <w:basedOn w:val="Normal"/>
    <w:qFormat/>
    <w:pPr>
      <w:jc w:val="center"/>
    </w:pPr>
    <w:rPr>
      <w:rFonts w:ascii="Book Antiqua" w:hAnsi="Book Antiqua"/>
      <w:b/>
      <w:sz w:val="28"/>
      <w:lang w:val="en-US"/>
    </w:rPr>
  </w:style>
  <w:style w:type="paragraph" w:styleId="NormalWeb">
    <w:name w:val="Normal (Web)"/>
    <w:basedOn w:val="Normal"/>
    <w:semiHidden/>
    <w:pPr>
      <w:spacing w:before="100" w:beforeAutospacing="1" w:after="100" w:afterAutospacing="1"/>
    </w:pPr>
    <w:rPr>
      <w:rFonts w:ascii="Arial" w:hAnsi="Arial" w:cs="Arial"/>
      <w:color w:val="000000"/>
      <w:sz w:val="18"/>
      <w:szCs w:val="18"/>
    </w:rPr>
  </w:style>
  <w:style w:type="character" w:styleId="Hyperlink">
    <w:name w:val="Hyperlink"/>
    <w:semiHidden/>
    <w:rPr>
      <w:color w:val="0000FF"/>
      <w:u w:val="single"/>
    </w:rPr>
  </w:style>
  <w:style w:type="paragraph" w:styleId="Footer">
    <w:name w:val="footer"/>
    <w:basedOn w:val="Normal"/>
    <w:semiHidden/>
    <w:pPr>
      <w:tabs>
        <w:tab w:val="center" w:pos="4819"/>
        <w:tab w:val="right" w:pos="9638"/>
      </w:tabs>
    </w:pPr>
  </w:style>
  <w:style w:type="character" w:styleId="PageNumber">
    <w:name w:val="page number"/>
    <w:basedOn w:val="DefaultParagraphFont"/>
    <w:semiHidden/>
  </w:style>
  <w:style w:type="paragraph" w:styleId="BodyText2">
    <w:name w:val="Body Text 2"/>
    <w:basedOn w:val="Normal"/>
    <w:semiHidden/>
    <w:pPr>
      <w:jc w:val="both"/>
    </w:pPr>
    <w:rPr>
      <w:i/>
      <w:iCs/>
    </w:rPr>
  </w:style>
  <w:style w:type="paragraph" w:styleId="Header">
    <w:name w:val="header"/>
    <w:basedOn w:val="Normal"/>
    <w:semiHidden/>
    <w:pPr>
      <w:tabs>
        <w:tab w:val="center" w:pos="4320"/>
        <w:tab w:val="right" w:pos="8640"/>
      </w:tabs>
    </w:pPr>
  </w:style>
  <w:style w:type="character" w:styleId="FootnoteReference">
    <w:name w:val="footnote reference"/>
    <w:semiHidden/>
    <w:rPr>
      <w:b/>
      <w:vertAlign w:val="superscript"/>
    </w:rPr>
  </w:style>
  <w:style w:type="paragraph" w:styleId="FootnoteText">
    <w:name w:val="footnote text"/>
    <w:basedOn w:val="Normal"/>
    <w:semiHidden/>
    <w:pPr>
      <w:spacing w:after="240"/>
    </w:pPr>
    <w:rPr>
      <w:sz w:val="24"/>
      <w:lang w:eastAsia="en-US"/>
    </w:rPr>
  </w:style>
  <w:style w:type="paragraph" w:styleId="BodyTextIndent">
    <w:name w:val="Body Text Indent"/>
    <w:basedOn w:val="Normal"/>
    <w:semiHidden/>
    <w:pPr>
      <w:spacing w:after="120"/>
      <w:ind w:left="283"/>
    </w:pPr>
  </w:style>
  <w:style w:type="paragraph" w:styleId="BodyTextIndent3">
    <w:name w:val="Body Text Indent 3"/>
    <w:basedOn w:val="Normal"/>
    <w:semiHidden/>
    <w:pPr>
      <w:spacing w:after="120"/>
      <w:ind w:left="283"/>
    </w:pPr>
    <w:rPr>
      <w:sz w:val="16"/>
      <w:szCs w:val="16"/>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PMingLiU"/>
      <w:spacing w:val="4"/>
      <w:w w:val="103"/>
      <w:kern w:val="14"/>
      <w:lang w:eastAsia="en-US"/>
    </w:rPr>
  </w:style>
  <w:style w:type="paragraph" w:customStyle="1" w:styleId="H1">
    <w:name w:val="_ H_1"/>
    <w:basedOn w:val="Normal"/>
    <w:next w:val="SingleTxt"/>
    <w:pPr>
      <w:keepNext/>
      <w:keepLines/>
      <w:suppressAutoHyphens/>
      <w:spacing w:line="270" w:lineRule="exact"/>
      <w:outlineLvl w:val="0"/>
    </w:pPr>
    <w:rPr>
      <w:rFonts w:eastAsia="PMingLiU"/>
      <w:b/>
      <w:spacing w:val="4"/>
      <w:w w:val="103"/>
      <w:kern w:val="14"/>
      <w:sz w:val="24"/>
      <w:lang w:eastAsia="en-US"/>
    </w:rPr>
  </w:style>
  <w:style w:type="paragraph" w:styleId="BlockText">
    <w:name w:val="Block Text"/>
    <w:basedOn w:val="Normal"/>
    <w:semiHidden/>
    <w:pPr>
      <w:widowControl w:val="0"/>
      <w:autoSpaceDE w:val="0"/>
      <w:autoSpaceDN w:val="0"/>
      <w:adjustRightInd w:val="0"/>
      <w:spacing w:line="260" w:lineRule="exact"/>
      <w:ind w:left="132" w:right="132"/>
    </w:pPr>
    <w:rPr>
      <w:rFonts w:eastAsia="絡遺羹"/>
      <w:color w:val="000000"/>
      <w:spacing w:val="30"/>
      <w:sz w:val="24"/>
      <w:szCs w:val="24"/>
      <w:lang w:eastAsia="zh-TW"/>
    </w:rPr>
  </w:style>
  <w:style w:type="paragraph" w:customStyle="1" w:styleId="HCh">
    <w:name w:val="_ H _Ch"/>
    <w:basedOn w:val="H1"/>
    <w:next w:val="SingleTxt"/>
    <w:pPr>
      <w:spacing w:line="300" w:lineRule="exact"/>
    </w:pPr>
    <w:rPr>
      <w:spacing w:val="-2"/>
      <w:sz w:val="28"/>
    </w:rPr>
  </w:style>
  <w:style w:type="paragraph" w:customStyle="1" w:styleId="H23">
    <w:name w:val="_ H_2/3"/>
    <w:basedOn w:val="H1"/>
    <w:next w:val="SingleTxt"/>
    <w:pPr>
      <w:spacing w:line="240" w:lineRule="exact"/>
      <w:outlineLvl w:val="1"/>
    </w:pPr>
    <w:rPr>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1398</Words>
  <Characters>7971</Characters>
  <Application>Microsoft Office Word</Application>
  <DocSecurity>4</DocSecurity>
  <Lines>66</Lines>
  <Paragraphs>15</Paragraphs>
  <ScaleCrop>false</ScaleCrop>
  <HeadingPairs>
    <vt:vector size="2" baseType="variant">
      <vt:variant>
        <vt:lpstr>Title</vt:lpstr>
      </vt:variant>
      <vt:variant>
        <vt:i4>1</vt:i4>
      </vt:variant>
    </vt:vector>
  </HeadingPairs>
  <TitlesOfParts>
    <vt:vector size="1" baseType="lpstr">
      <vt:lpstr>ITALY</vt:lpstr>
    </vt:vector>
  </TitlesOfParts>
  <Company>--</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dc:title>
  <dc:subject/>
  <dc:creator>maja bova</dc:creator>
  <cp:keywords/>
  <cp:lastModifiedBy>csd</cp:lastModifiedBy>
  <cp:revision>4</cp:revision>
  <cp:lastPrinted>2007-10-19T15:58:00Z</cp:lastPrinted>
  <dcterms:created xsi:type="dcterms:W3CDTF">2007-10-19T15:57:00Z</dcterms:created>
  <dcterms:modified xsi:type="dcterms:W3CDTF">2007-10-19T15:58:00Z</dcterms:modified>
</cp:coreProperties>
</file>