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77" w:rsidRDefault="00FB5A77" w:rsidP="00FB5A77">
      <w:pPr>
        <w:spacing w:line="60" w:lineRule="exact"/>
        <w:rPr>
          <w:rStyle w:val="a4"/>
          <w:color w:val="auto"/>
          <w:w w:val="100"/>
          <w:sz w:val="6"/>
          <w:vertAlign w:val="baseline"/>
        </w:rPr>
        <w:sectPr w:rsidR="00FB5A77" w:rsidSect="00FB5A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31E9D" w:rsidRDefault="00B31E9D" w:rsidP="00FB5A77">
      <w:pPr>
        <w:spacing w:line="60" w:lineRule="exact"/>
        <w:rPr>
          <w:sz w:val="6"/>
        </w:rPr>
      </w:pPr>
    </w:p>
    <w:p w:rsidR="009A34BB" w:rsidRPr="009A34BB" w:rsidRDefault="009A34BB" w:rsidP="009A34BB">
      <w:pPr>
        <w:pStyle w:val="H1"/>
        <w:rPr>
          <w:rStyle w:val="a4"/>
          <w:color w:val="auto"/>
          <w:w w:val="100"/>
          <w:vertAlign w:val="baseline"/>
        </w:rPr>
      </w:pPr>
      <w:r w:rsidRPr="009A34BB">
        <w:rPr>
          <w:rStyle w:val="a4"/>
          <w:rFonts w:hint="eastAsia"/>
          <w:color w:val="auto"/>
          <w:w w:val="100"/>
          <w:vertAlign w:val="baseline"/>
        </w:rPr>
        <w:t>消除对妇女歧视委员会</w:t>
      </w:r>
    </w:p>
    <w:p w:rsidR="009A34BB" w:rsidRPr="009A34BB" w:rsidRDefault="009A34BB" w:rsidP="009A34B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34BB" w:rsidRPr="009A34BB" w:rsidRDefault="009A34BB" w:rsidP="009A34B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34BB" w:rsidRPr="009A34BB" w:rsidRDefault="009A34BB" w:rsidP="009A34B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34BB" w:rsidRPr="009A34BB" w:rsidRDefault="009A34BB" w:rsidP="009A34BB">
      <w:pPr>
        <w:framePr w:w="9792" w:h="432" w:hSpace="180" w:wrap="around" w:hAnchor="page" w:x="1210" w:yAlign="bottom"/>
        <w:spacing w:line="100" w:lineRule="exact"/>
        <w:rPr>
          <w:sz w:val="10"/>
        </w:rPr>
      </w:pPr>
    </w:p>
    <w:p w:rsidR="009A34BB" w:rsidRPr="009A34BB" w:rsidRDefault="009A34BB" w:rsidP="009A34BB">
      <w:pPr>
        <w:framePr w:w="9792" w:h="432" w:hSpace="180" w:wrap="around" w:hAnchor="page" w:x="1210" w:yAlign="bottom"/>
        <w:spacing w:line="60" w:lineRule="exact"/>
        <w:rPr>
          <w:sz w:val="6"/>
        </w:rPr>
      </w:pPr>
      <w:r w:rsidRPr="009A34BB">
        <w:rPr>
          <w:noProof/>
          <w:sz w:val="6"/>
        </w:rPr>
        <mc:AlternateContent>
          <mc:Choice Requires="wps">
            <w:drawing>
              <wp:anchor distT="0" distB="0" distL="114300" distR="114300" simplePos="0" relativeHeight="251660288" behindDoc="0" locked="0" layoutInCell="1" allowOverlap="1" wp14:anchorId="5609BAD1" wp14:editId="4E50C6E8">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" strokecolor="#4579b8 [3044]" strokeweight=".25pt">
                <w10:wrap anchorx="page"/>
              </v:line>
            </w:pict>
          </mc:Fallback>
        </mc:AlternateContent>
      </w:r>
    </w:p>
    <w:p w:rsidR="009A34BB" w:rsidRPr="009A34BB" w:rsidRDefault="009A34BB" w:rsidP="009A34BB">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9A34BB">
        <w:rPr>
          <w:rFonts w:hint="eastAsia"/>
          <w:sz w:val="18"/>
        </w:rPr>
        <w:tab/>
      </w:r>
      <w:r w:rsidRPr="009A34BB">
        <w:rPr>
          <w:rFonts w:hint="eastAsia"/>
          <w:sz w:val="18"/>
          <w:vertAlign w:val="superscript"/>
        </w:rPr>
        <w:t>*</w:t>
      </w:r>
      <w:r w:rsidRPr="009A34BB">
        <w:rPr>
          <w:rFonts w:hint="eastAsia"/>
          <w:sz w:val="18"/>
        </w:rPr>
        <w:tab/>
      </w:r>
      <w:r w:rsidRPr="009A34BB">
        <w:rPr>
          <w:rFonts w:hint="eastAsia"/>
          <w:sz w:val="18"/>
        </w:rPr>
        <w:t>委员会第六十一届会议通过</w:t>
      </w:r>
      <w:r>
        <w:rPr>
          <w:rFonts w:hint="eastAsia"/>
          <w:sz w:val="18"/>
        </w:rPr>
        <w:t>(</w:t>
      </w:r>
      <w:r w:rsidRPr="009A34BB">
        <w:rPr>
          <w:rFonts w:hint="eastAsia"/>
          <w:sz w:val="18"/>
        </w:rPr>
        <w:t>2015</w:t>
      </w:r>
      <w:r w:rsidRPr="009A34BB">
        <w:rPr>
          <w:rFonts w:hint="eastAsia"/>
          <w:sz w:val="18"/>
        </w:rPr>
        <w:t>年</w:t>
      </w:r>
      <w:r w:rsidRPr="009A34BB">
        <w:rPr>
          <w:rFonts w:hint="eastAsia"/>
          <w:sz w:val="18"/>
        </w:rPr>
        <w:t>7</w:t>
      </w:r>
      <w:r w:rsidRPr="009A34BB">
        <w:rPr>
          <w:rFonts w:hint="eastAsia"/>
          <w:sz w:val="18"/>
        </w:rPr>
        <w:t>月</w:t>
      </w:r>
      <w:r w:rsidRPr="009A34BB">
        <w:rPr>
          <w:rFonts w:hint="eastAsia"/>
          <w:sz w:val="18"/>
        </w:rPr>
        <w:t>6</w:t>
      </w:r>
      <w:r w:rsidRPr="009A34BB">
        <w:rPr>
          <w:rFonts w:hint="eastAsia"/>
          <w:sz w:val="18"/>
        </w:rPr>
        <w:t>日至</w:t>
      </w:r>
      <w:r w:rsidRPr="009A34BB">
        <w:rPr>
          <w:rFonts w:hint="eastAsia"/>
          <w:sz w:val="18"/>
        </w:rPr>
        <w:t>24</w:t>
      </w:r>
      <w:r w:rsidRPr="009A34BB">
        <w:rPr>
          <w:rFonts w:hint="eastAsia"/>
          <w:sz w:val="18"/>
        </w:rPr>
        <w:t>日</w:t>
      </w:r>
      <w:r w:rsidRPr="009A34BB">
        <w:rPr>
          <w:rFonts w:hint="eastAsia"/>
          <w:sz w:val="18"/>
        </w:rPr>
        <w:t>)</w:t>
      </w:r>
      <w:r w:rsidRPr="009A34BB">
        <w:rPr>
          <w:rFonts w:hint="eastAsia"/>
          <w:sz w:val="18"/>
        </w:rPr>
        <w:t>。</w:t>
      </w:r>
    </w:p>
    <w:p w:rsidR="009A34BB" w:rsidRPr="009A34BB" w:rsidRDefault="009A34BB" w:rsidP="009A34B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关于圣文森特和格林纳丁斯第四至第八次合并定期报告的结论意见</w:t>
      </w:r>
      <w:r w:rsidRPr="009A34BB">
        <w:rPr>
          <w:rStyle w:val="a4"/>
          <w:rFonts w:hint="eastAsia"/>
          <w:color w:val="auto"/>
          <w:w w:val="100"/>
        </w:rPr>
        <w:t>*</w:t>
      </w:r>
    </w:p>
    <w:p w:rsidR="009A34BB" w:rsidRPr="009A34BB" w:rsidRDefault="009A34BB" w:rsidP="009A34BB">
      <w:pPr>
        <w:pStyle w:val="SingleTxt"/>
        <w:spacing w:after="0" w:line="120" w:lineRule="exact"/>
        <w:rPr>
          <w:sz w:val="10"/>
        </w:rPr>
      </w:pP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w:t>
      </w:r>
      <w:r w:rsidRPr="009A34BB">
        <w:rPr>
          <w:rStyle w:val="a4"/>
          <w:rFonts w:hint="eastAsia"/>
          <w:color w:val="auto"/>
          <w:w w:val="100"/>
          <w:vertAlign w:val="baseline"/>
        </w:rPr>
        <w:tab/>
      </w:r>
      <w:r w:rsidRPr="0020718B">
        <w:rPr>
          <w:rStyle w:val="a4"/>
          <w:rFonts w:hint="eastAsia"/>
          <w:color w:val="auto"/>
          <w:spacing w:val="-6"/>
          <w:w w:val="100"/>
          <w:vertAlign w:val="baseline"/>
        </w:rPr>
        <w:t>委员会在</w:t>
      </w:r>
      <w:r w:rsidRPr="0020718B">
        <w:rPr>
          <w:rStyle w:val="a4"/>
          <w:rFonts w:hint="eastAsia"/>
          <w:color w:val="auto"/>
          <w:spacing w:val="-6"/>
          <w:w w:val="100"/>
          <w:vertAlign w:val="baseline"/>
        </w:rPr>
        <w:t>2015</w:t>
      </w:r>
      <w:r w:rsidRPr="0020718B">
        <w:rPr>
          <w:rStyle w:val="a4"/>
          <w:rFonts w:hint="eastAsia"/>
          <w:color w:val="auto"/>
          <w:spacing w:val="-6"/>
          <w:w w:val="100"/>
          <w:vertAlign w:val="baseline"/>
        </w:rPr>
        <w:t>年</w:t>
      </w:r>
      <w:r w:rsidRPr="0020718B">
        <w:rPr>
          <w:rStyle w:val="a4"/>
          <w:rFonts w:hint="eastAsia"/>
          <w:color w:val="auto"/>
          <w:spacing w:val="-6"/>
          <w:w w:val="100"/>
          <w:vertAlign w:val="baseline"/>
        </w:rPr>
        <w:t>7</w:t>
      </w:r>
      <w:r w:rsidRPr="0020718B">
        <w:rPr>
          <w:rStyle w:val="a4"/>
          <w:rFonts w:hint="eastAsia"/>
          <w:color w:val="auto"/>
          <w:spacing w:val="-6"/>
          <w:w w:val="100"/>
          <w:vertAlign w:val="baseline"/>
        </w:rPr>
        <w:t>月</w:t>
      </w:r>
      <w:r w:rsidRPr="0020718B">
        <w:rPr>
          <w:rStyle w:val="a4"/>
          <w:rFonts w:hint="eastAsia"/>
          <w:color w:val="auto"/>
          <w:spacing w:val="-6"/>
          <w:w w:val="100"/>
          <w:vertAlign w:val="baseline"/>
        </w:rPr>
        <w:t>20</w:t>
      </w:r>
      <w:r w:rsidRPr="0020718B">
        <w:rPr>
          <w:rStyle w:val="a4"/>
          <w:rFonts w:hint="eastAsia"/>
          <w:color w:val="auto"/>
          <w:spacing w:val="-6"/>
          <w:w w:val="100"/>
          <w:vertAlign w:val="baseline"/>
        </w:rPr>
        <w:t>日举行的第</w:t>
      </w:r>
      <w:r w:rsidRPr="0020718B">
        <w:rPr>
          <w:rStyle w:val="a4"/>
          <w:rFonts w:hint="eastAsia"/>
          <w:color w:val="auto"/>
          <w:spacing w:val="-6"/>
          <w:w w:val="100"/>
          <w:vertAlign w:val="baseline"/>
        </w:rPr>
        <w:t>1323</w:t>
      </w:r>
      <w:r w:rsidRPr="0020718B">
        <w:rPr>
          <w:rStyle w:val="a4"/>
          <w:rFonts w:hint="eastAsia"/>
          <w:color w:val="auto"/>
          <w:spacing w:val="-6"/>
          <w:w w:val="100"/>
          <w:vertAlign w:val="baseline"/>
        </w:rPr>
        <w:t>次和第</w:t>
      </w:r>
      <w:r w:rsidRPr="0020718B">
        <w:rPr>
          <w:rStyle w:val="a4"/>
          <w:rFonts w:hint="eastAsia"/>
          <w:color w:val="auto"/>
          <w:spacing w:val="-6"/>
          <w:w w:val="100"/>
          <w:vertAlign w:val="baseline"/>
        </w:rPr>
        <w:t>1324</w:t>
      </w:r>
      <w:r w:rsidRPr="0020718B">
        <w:rPr>
          <w:rStyle w:val="a4"/>
          <w:rFonts w:hint="eastAsia"/>
          <w:color w:val="auto"/>
          <w:spacing w:val="-6"/>
          <w:w w:val="100"/>
          <w:vertAlign w:val="baseline"/>
        </w:rPr>
        <w:t>次会议审议了圣文森特和格林纳丁斯第四至第八次合并定期报告</w:t>
      </w:r>
      <w:r w:rsidRPr="0020718B">
        <w:rPr>
          <w:rStyle w:val="a4"/>
          <w:rFonts w:hint="eastAsia"/>
          <w:color w:val="auto"/>
          <w:spacing w:val="-4"/>
          <w:w w:val="100"/>
          <w:vertAlign w:val="baseline"/>
        </w:rPr>
        <w:t>(</w:t>
      </w:r>
      <w:hyperlink r:id="rId16" w:history="1">
        <w:r w:rsidRPr="0020718B">
          <w:rPr>
            <w:rStyle w:val="ad"/>
            <w:rFonts w:hint="eastAsia"/>
            <w:spacing w:val="-4"/>
          </w:rPr>
          <w:t>CEDAW/C/VCT/4-8)</w:t>
        </w:r>
      </w:hyperlink>
      <w:r w:rsidRPr="0020718B">
        <w:rPr>
          <w:rStyle w:val="a4"/>
          <w:rFonts w:hint="eastAsia"/>
          <w:color w:val="auto"/>
          <w:spacing w:val="-4"/>
          <w:w w:val="100"/>
          <w:vertAlign w:val="baseline"/>
        </w:rPr>
        <w:t>(</w:t>
      </w:r>
      <w:r w:rsidRPr="0020718B">
        <w:rPr>
          <w:rStyle w:val="a4"/>
          <w:rFonts w:hint="eastAsia"/>
          <w:color w:val="auto"/>
          <w:spacing w:val="-4"/>
          <w:w w:val="100"/>
          <w:vertAlign w:val="baseline"/>
        </w:rPr>
        <w:t>见</w:t>
      </w:r>
      <w:hyperlink r:id="rId17" w:history="1">
        <w:r w:rsidRPr="0020718B">
          <w:rPr>
            <w:rStyle w:val="ad"/>
            <w:rFonts w:hint="eastAsia"/>
            <w:spacing w:val="-4"/>
          </w:rPr>
          <w:t>CEDAW/C/SR.1323</w:t>
        </w:r>
      </w:hyperlink>
      <w:r w:rsidRPr="0020718B">
        <w:rPr>
          <w:rStyle w:val="a4"/>
          <w:rFonts w:hint="eastAsia"/>
          <w:color w:val="auto"/>
          <w:spacing w:val="-6"/>
          <w:w w:val="100"/>
          <w:vertAlign w:val="baseline"/>
        </w:rPr>
        <w:t>和</w:t>
      </w:r>
      <w:r w:rsidRPr="0020718B">
        <w:rPr>
          <w:rStyle w:val="a4"/>
          <w:rFonts w:hint="eastAsia"/>
          <w:color w:val="auto"/>
          <w:spacing w:val="-6"/>
          <w:w w:val="100"/>
          <w:vertAlign w:val="baseline"/>
        </w:rPr>
        <w:t>1324)</w:t>
      </w:r>
      <w:r w:rsidRPr="0020718B">
        <w:rPr>
          <w:rStyle w:val="a4"/>
          <w:rFonts w:hint="eastAsia"/>
          <w:color w:val="auto"/>
          <w:spacing w:val="-6"/>
          <w:w w:val="100"/>
          <w:vertAlign w:val="baseline"/>
        </w:rPr>
        <w:t>。</w:t>
      </w:r>
      <w:r w:rsidRPr="009A34BB">
        <w:rPr>
          <w:rStyle w:val="a4"/>
          <w:rFonts w:hint="eastAsia"/>
          <w:color w:val="auto"/>
          <w:w w:val="100"/>
          <w:vertAlign w:val="baseline"/>
        </w:rPr>
        <w:t>委员会的议题和问题清单载于</w:t>
      </w:r>
      <w:hyperlink r:id="rId18" w:history="1">
        <w:r w:rsidRPr="00C54C16">
          <w:rPr>
            <w:rStyle w:val="ad"/>
            <w:rFonts w:hint="eastAsia"/>
          </w:rPr>
          <w:t>CEDAW/C/VCT/Q/</w:t>
        </w:r>
      </w:hyperlink>
      <w:r w:rsidRPr="009A34BB">
        <w:rPr>
          <w:rStyle w:val="a4"/>
          <w:rFonts w:hint="eastAsia"/>
          <w:color w:val="auto"/>
          <w:w w:val="100"/>
          <w:vertAlign w:val="baseline"/>
        </w:rPr>
        <w:t>4-8/Add.1</w:t>
      </w:r>
      <w:r w:rsidRPr="009A34BB">
        <w:rPr>
          <w:rStyle w:val="a4"/>
          <w:rFonts w:hint="eastAsia"/>
          <w:color w:val="auto"/>
          <w:w w:val="100"/>
          <w:vertAlign w:val="baseline"/>
        </w:rPr>
        <w:t>，圣文森特和格林纳丁斯的答复载于</w:t>
      </w:r>
      <w:hyperlink r:id="rId19" w:history="1">
        <w:r w:rsidRPr="00C54C16">
          <w:rPr>
            <w:rStyle w:val="ad"/>
            <w:rFonts w:hint="eastAsia"/>
          </w:rPr>
          <w:t>CEDAW/C/VCT/Q/4-8/Add.2</w:t>
        </w:r>
      </w:hyperlink>
      <w:r w:rsidRPr="009A34BB">
        <w:rPr>
          <w:rStyle w:val="a4"/>
          <w:rFonts w:hint="eastAsia"/>
          <w:color w:val="auto"/>
          <w:w w:val="100"/>
          <w:vertAlign w:val="baseline"/>
        </w:rPr>
        <w:t>。</w:t>
      </w:r>
    </w:p>
    <w:p w:rsidR="009A34BB" w:rsidRPr="009A34BB" w:rsidRDefault="009A34BB" w:rsidP="009A34B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t>导言</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w:t>
      </w:r>
      <w:r w:rsidRPr="009A34BB">
        <w:rPr>
          <w:rStyle w:val="a4"/>
          <w:rFonts w:hint="eastAsia"/>
          <w:color w:val="auto"/>
          <w:w w:val="100"/>
          <w:vertAlign w:val="baseline"/>
        </w:rPr>
        <w:tab/>
      </w:r>
      <w:r w:rsidRPr="009A34BB">
        <w:rPr>
          <w:rStyle w:val="a4"/>
          <w:rFonts w:hint="eastAsia"/>
          <w:color w:val="auto"/>
          <w:w w:val="100"/>
          <w:vertAlign w:val="baseline"/>
        </w:rPr>
        <w:t>委员会感谢缔约国提交第四至第八次合并定期报告，尽管拖延了很久。它也赞赏缔约国对会前工作组提出的一系列议题和问题作了书面答复，并欢迎代表团口头介绍了情况以及对委员会在对话期间口头提出的问题作出进一步澄清。</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w:t>
      </w:r>
      <w:r w:rsidRPr="009A34BB">
        <w:rPr>
          <w:rStyle w:val="a4"/>
          <w:rFonts w:hint="eastAsia"/>
          <w:color w:val="auto"/>
          <w:w w:val="100"/>
          <w:vertAlign w:val="baseline"/>
        </w:rPr>
        <w:tab/>
      </w:r>
      <w:r w:rsidRPr="009A34BB">
        <w:rPr>
          <w:rStyle w:val="a4"/>
          <w:rFonts w:hint="eastAsia"/>
          <w:color w:val="auto"/>
          <w:w w:val="100"/>
          <w:vertAlign w:val="baseline"/>
        </w:rPr>
        <w:t>委员会赞赏国家动员、社会发展、家庭、性别平等事务、残疾人和青年部社会发展局局长梅丽莎</w:t>
      </w:r>
      <w:r>
        <w:rPr>
          <w:rStyle w:val="a4"/>
          <w:rFonts w:hint="eastAsia"/>
          <w:color w:val="auto"/>
          <w:w w:val="100"/>
          <w:vertAlign w:val="baseline"/>
        </w:rPr>
        <w:t>·芬奇·</w:t>
      </w:r>
      <w:r w:rsidRPr="009A34BB">
        <w:rPr>
          <w:rStyle w:val="a4"/>
          <w:rFonts w:hint="eastAsia"/>
          <w:color w:val="auto"/>
          <w:w w:val="100"/>
          <w:vertAlign w:val="baseline"/>
        </w:rPr>
        <w:t>伯克和包括一名顾问为代表的代表团出席会议。委员会感谢代表团与委员会进行了建设性的对话，但注意到仍有一些问题没有得到充分回答。</w:t>
      </w:r>
    </w:p>
    <w:p w:rsidR="009A34BB" w:rsidRPr="009A34BB" w:rsidRDefault="009A34BB" w:rsidP="009A34B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t>积极方面</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w:t>
      </w:r>
      <w:r w:rsidRPr="009A34BB">
        <w:rPr>
          <w:rStyle w:val="a4"/>
          <w:rFonts w:hint="eastAsia"/>
          <w:color w:val="auto"/>
          <w:w w:val="100"/>
          <w:vertAlign w:val="baseline"/>
        </w:rPr>
        <w:tab/>
      </w:r>
      <w:r w:rsidRPr="0020718B">
        <w:rPr>
          <w:rStyle w:val="a4"/>
          <w:rFonts w:hint="eastAsia"/>
          <w:color w:val="auto"/>
          <w:spacing w:val="-4"/>
          <w:w w:val="100"/>
          <w:vertAlign w:val="baseline"/>
        </w:rPr>
        <w:t>委员会欢迎自</w:t>
      </w:r>
      <w:r w:rsidRPr="0020718B">
        <w:rPr>
          <w:rStyle w:val="a4"/>
          <w:rFonts w:hint="eastAsia"/>
          <w:color w:val="auto"/>
          <w:spacing w:val="-4"/>
          <w:w w:val="100"/>
          <w:vertAlign w:val="baseline"/>
        </w:rPr>
        <w:t>1997</w:t>
      </w:r>
      <w:r w:rsidRPr="0020718B">
        <w:rPr>
          <w:rStyle w:val="a4"/>
          <w:rFonts w:hint="eastAsia"/>
          <w:color w:val="auto"/>
          <w:spacing w:val="-4"/>
          <w:w w:val="100"/>
          <w:vertAlign w:val="baseline"/>
        </w:rPr>
        <w:t>年审议该缔约国初次至第三次合并报告</w:t>
      </w:r>
      <w:r w:rsidRPr="0020718B">
        <w:rPr>
          <w:rStyle w:val="a4"/>
          <w:rFonts w:hint="eastAsia"/>
          <w:color w:val="auto"/>
          <w:spacing w:val="-4"/>
          <w:w w:val="100"/>
          <w:vertAlign w:val="baseline"/>
        </w:rPr>
        <w:t>(</w:t>
      </w:r>
      <w:hyperlink r:id="rId20" w:history="1">
        <w:r w:rsidRPr="0020718B">
          <w:rPr>
            <w:rStyle w:val="ad"/>
            <w:rFonts w:hint="eastAsia"/>
            <w:spacing w:val="-4"/>
          </w:rPr>
          <w:t>CEDAW/C/STV/1-3</w:t>
        </w:r>
      </w:hyperlink>
      <w:r w:rsidRPr="009A34BB">
        <w:rPr>
          <w:rStyle w:val="a4"/>
          <w:rFonts w:hint="eastAsia"/>
          <w:color w:val="auto"/>
          <w:w w:val="100"/>
          <w:vertAlign w:val="baseline"/>
        </w:rPr>
        <w:t>和</w:t>
      </w:r>
      <w:r w:rsidRPr="009A34BB">
        <w:rPr>
          <w:rStyle w:val="a4"/>
          <w:rFonts w:hint="eastAsia"/>
          <w:color w:val="auto"/>
          <w:w w:val="100"/>
          <w:vertAlign w:val="baseline"/>
        </w:rPr>
        <w:t>Add.1</w:t>
      </w:r>
      <w:r>
        <w:rPr>
          <w:rStyle w:val="a4"/>
          <w:rFonts w:hint="eastAsia"/>
          <w:color w:val="auto"/>
          <w:w w:val="100"/>
          <w:vertAlign w:val="baseline"/>
        </w:rPr>
        <w:t>)</w:t>
      </w:r>
      <w:r w:rsidRPr="009A34BB">
        <w:rPr>
          <w:rStyle w:val="a4"/>
          <w:rFonts w:hint="eastAsia"/>
          <w:color w:val="auto"/>
          <w:w w:val="100"/>
          <w:vertAlign w:val="baseline"/>
        </w:rPr>
        <w:t>以来在进行立法改革方面取得的进展，特别是通过了以下各项立法：</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t>2015</w:t>
      </w:r>
      <w:r w:rsidRPr="009A34BB">
        <w:rPr>
          <w:rStyle w:val="a4"/>
          <w:rFonts w:hint="eastAsia"/>
          <w:color w:val="auto"/>
          <w:w w:val="100"/>
          <w:vertAlign w:val="baseline"/>
        </w:rPr>
        <w:t>年家庭暴力法</w:t>
      </w:r>
      <w:r>
        <w:rPr>
          <w:rStyle w:val="a4"/>
          <w:rFonts w:hint="eastAsia"/>
          <w:color w:val="auto"/>
          <w:w w:val="100"/>
          <w:vertAlign w:val="baseline"/>
        </w:rPr>
        <w:t>——</w:t>
      </w:r>
      <w:r w:rsidRPr="009A34BB">
        <w:rPr>
          <w:rStyle w:val="a4"/>
          <w:rFonts w:hint="eastAsia"/>
          <w:color w:val="auto"/>
          <w:w w:val="100"/>
          <w:vertAlign w:val="baseline"/>
        </w:rPr>
        <w:t>禁止家庭暴力并加强对妇女和女童提供保护；</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t>2009</w:t>
      </w:r>
      <w:r w:rsidRPr="009A34BB">
        <w:rPr>
          <w:rStyle w:val="a4"/>
          <w:rFonts w:hint="eastAsia"/>
          <w:color w:val="auto"/>
          <w:w w:val="100"/>
          <w:vertAlign w:val="baseline"/>
        </w:rPr>
        <w:t>年妇女、年轻人和儿童就业法；</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t>2004</w:t>
      </w:r>
      <w:r w:rsidRPr="009A34BB">
        <w:rPr>
          <w:rStyle w:val="a4"/>
          <w:rFonts w:hint="eastAsia"/>
          <w:color w:val="auto"/>
          <w:w w:val="100"/>
          <w:vertAlign w:val="baseline"/>
        </w:rPr>
        <w:t>年保护就业法，其中具体规定禁止雇主因性别、婚姻状况、怀孕、</w:t>
      </w:r>
      <w:r w:rsidRPr="009A34BB">
        <w:rPr>
          <w:rStyle w:val="a4"/>
          <w:rFonts w:hint="eastAsia"/>
          <w:color w:val="auto"/>
          <w:w w:val="100"/>
          <w:vertAlign w:val="baseline"/>
        </w:rPr>
        <w:lastRenderedPageBreak/>
        <w:t>家庭急事或责任而合理脱产或在产假期间离开岗位等各种原因解雇雇用人员。</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w:t>
      </w:r>
      <w:r w:rsidRPr="009A34BB">
        <w:rPr>
          <w:rStyle w:val="a4"/>
          <w:rFonts w:hint="eastAsia"/>
          <w:color w:val="auto"/>
          <w:w w:val="100"/>
          <w:vertAlign w:val="baseline"/>
        </w:rPr>
        <w:tab/>
      </w:r>
      <w:r w:rsidRPr="009A34BB">
        <w:rPr>
          <w:rStyle w:val="a4"/>
          <w:rFonts w:hint="eastAsia"/>
          <w:color w:val="auto"/>
          <w:w w:val="100"/>
          <w:vertAlign w:val="baseline"/>
        </w:rPr>
        <w:t>委员会欢迎</w:t>
      </w:r>
      <w:r w:rsidRPr="009A34BB">
        <w:rPr>
          <w:rStyle w:val="a4"/>
          <w:rFonts w:hint="eastAsia"/>
          <w:color w:val="auto"/>
          <w:w w:val="100"/>
          <w:vertAlign w:val="baseline"/>
        </w:rPr>
        <w:t>2015</w:t>
      </w:r>
      <w:r w:rsidRPr="009A34BB">
        <w:rPr>
          <w:rStyle w:val="a4"/>
          <w:rFonts w:hint="eastAsia"/>
          <w:color w:val="auto"/>
          <w:w w:val="100"/>
          <w:vertAlign w:val="baseline"/>
        </w:rPr>
        <w:t>年通过国家打击性别暴力行动计划，它为防止和打击缔约国内的性别暴力问题制定了全面政策框架。</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6.</w:t>
      </w:r>
      <w:r w:rsidRPr="009A34BB">
        <w:rPr>
          <w:rStyle w:val="a4"/>
          <w:rFonts w:hint="eastAsia"/>
          <w:color w:val="auto"/>
          <w:w w:val="100"/>
          <w:vertAlign w:val="baseline"/>
        </w:rPr>
        <w:tab/>
      </w:r>
      <w:r w:rsidRPr="009A34BB">
        <w:rPr>
          <w:rStyle w:val="a4"/>
          <w:rFonts w:hint="eastAsia"/>
          <w:color w:val="auto"/>
          <w:w w:val="100"/>
          <w:vertAlign w:val="baseline"/>
        </w:rPr>
        <w:t>委员会欢迎缔约国自审议前数份报告以来，批准或加入了下列文书：</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t>2011</w:t>
      </w:r>
      <w:r w:rsidRPr="009A34BB">
        <w:rPr>
          <w:rStyle w:val="a4"/>
          <w:rFonts w:hint="eastAsia"/>
          <w:color w:val="auto"/>
          <w:w w:val="100"/>
          <w:vertAlign w:val="baseline"/>
        </w:rPr>
        <w:t>年，《儿童权利公约关于儿童卷入武装冲突问题的任择议定书》；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t>2010</w:t>
      </w:r>
      <w:r w:rsidRPr="009A34BB">
        <w:rPr>
          <w:rStyle w:val="a4"/>
          <w:rFonts w:hint="eastAsia"/>
          <w:color w:val="auto"/>
          <w:w w:val="100"/>
          <w:vertAlign w:val="baseline"/>
        </w:rPr>
        <w:t>年，《联合国打击跨国有组织犯罪公约》及其议定书；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t>2010</w:t>
      </w:r>
      <w:r w:rsidRPr="009A34BB">
        <w:rPr>
          <w:rStyle w:val="a4"/>
          <w:rFonts w:hint="eastAsia"/>
          <w:color w:val="auto"/>
          <w:w w:val="100"/>
          <w:vertAlign w:val="baseline"/>
        </w:rPr>
        <w:t>年，《残疾人权利公约》及其议定书；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t>2010</w:t>
      </w:r>
      <w:r w:rsidRPr="009A34BB">
        <w:rPr>
          <w:rStyle w:val="a4"/>
          <w:rFonts w:hint="eastAsia"/>
          <w:color w:val="auto"/>
          <w:w w:val="100"/>
          <w:vertAlign w:val="baseline"/>
        </w:rPr>
        <w:t>年，《保护所有移徙工人及其家庭成员权利国际公约》；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(e)</w:t>
      </w:r>
      <w:r w:rsidRPr="009A34BB">
        <w:rPr>
          <w:rStyle w:val="a4"/>
          <w:rFonts w:hint="eastAsia"/>
          <w:color w:val="auto"/>
          <w:w w:val="100"/>
          <w:vertAlign w:val="baseline"/>
        </w:rPr>
        <w:tab/>
        <w:t>2005</w:t>
      </w:r>
      <w:r w:rsidRPr="009A34BB">
        <w:rPr>
          <w:rStyle w:val="a4"/>
          <w:rFonts w:hint="eastAsia"/>
          <w:color w:val="auto"/>
          <w:w w:val="100"/>
          <w:vertAlign w:val="baseline"/>
        </w:rPr>
        <w:t>年，《儿童权利公约关于买卖儿童、儿童卖淫和儿童色情制品问题的任择议定书》；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(f)</w:t>
      </w:r>
      <w:r w:rsidRPr="009A34BB">
        <w:rPr>
          <w:rStyle w:val="a4"/>
          <w:rFonts w:hint="eastAsia"/>
          <w:color w:val="auto"/>
          <w:w w:val="100"/>
          <w:vertAlign w:val="baseline"/>
        </w:rPr>
        <w:tab/>
        <w:t>1999</w:t>
      </w:r>
      <w:r w:rsidRPr="009A34BB">
        <w:rPr>
          <w:rStyle w:val="a4"/>
          <w:rFonts w:hint="eastAsia"/>
          <w:color w:val="auto"/>
          <w:w w:val="100"/>
          <w:vertAlign w:val="baseline"/>
        </w:rPr>
        <w:t>年，</w:t>
      </w:r>
      <w:r w:rsidRPr="009A34BB">
        <w:rPr>
          <w:rStyle w:val="a4"/>
          <w:rFonts w:hint="eastAsia"/>
          <w:color w:val="auto"/>
          <w:w w:val="100"/>
          <w:vertAlign w:val="baseline"/>
        </w:rPr>
        <w:t>1954</w:t>
      </w:r>
      <w:r w:rsidRPr="009A34BB">
        <w:rPr>
          <w:rStyle w:val="a4"/>
          <w:rFonts w:hint="eastAsia"/>
          <w:color w:val="auto"/>
          <w:w w:val="100"/>
          <w:vertAlign w:val="baseline"/>
        </w:rPr>
        <w:t>年《关于无国籍人地位的公约》，和</w:t>
      </w:r>
      <w:r w:rsidRPr="009A34BB">
        <w:rPr>
          <w:rStyle w:val="a4"/>
          <w:rFonts w:hint="eastAsia"/>
          <w:color w:val="auto"/>
          <w:w w:val="100"/>
          <w:vertAlign w:val="baseline"/>
        </w:rPr>
        <w:t>2003</w:t>
      </w:r>
      <w:r w:rsidRPr="009A34BB">
        <w:rPr>
          <w:rStyle w:val="a4"/>
          <w:rFonts w:hint="eastAsia"/>
          <w:color w:val="auto"/>
          <w:w w:val="100"/>
          <w:vertAlign w:val="baseline"/>
        </w:rPr>
        <w:t>年，关于难民地位的议定书；</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(g)</w:t>
      </w:r>
      <w:r w:rsidRPr="009A34BB">
        <w:rPr>
          <w:rStyle w:val="a4"/>
          <w:rFonts w:hint="eastAsia"/>
          <w:color w:val="auto"/>
          <w:w w:val="100"/>
          <w:vertAlign w:val="baseline"/>
        </w:rPr>
        <w:tab/>
        <w:t>2002</w:t>
      </w:r>
      <w:r w:rsidRPr="009A34BB">
        <w:rPr>
          <w:rStyle w:val="a4"/>
          <w:rFonts w:hint="eastAsia"/>
          <w:color w:val="auto"/>
          <w:w w:val="100"/>
          <w:vertAlign w:val="baseline"/>
        </w:rPr>
        <w:t>年，《国际刑事法院罗马规约》；</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(h)</w:t>
      </w:r>
      <w:r w:rsidRPr="009A34BB">
        <w:rPr>
          <w:rStyle w:val="a4"/>
          <w:rFonts w:hint="eastAsia"/>
          <w:color w:val="auto"/>
          <w:w w:val="100"/>
          <w:vertAlign w:val="baseline"/>
        </w:rPr>
        <w:tab/>
        <w:t>2001</w:t>
      </w:r>
      <w:r w:rsidRPr="009A34BB">
        <w:rPr>
          <w:rStyle w:val="a4"/>
          <w:rFonts w:hint="eastAsia"/>
          <w:color w:val="auto"/>
          <w:w w:val="100"/>
          <w:vertAlign w:val="baseline"/>
        </w:rPr>
        <w:t>年，《禁止酷刑和其他残忍、不人道或有辱人格的待遇或处罚公约》。</w:t>
      </w:r>
    </w:p>
    <w:p w:rsidR="009A34BB" w:rsidRPr="009A34BB" w:rsidRDefault="009A34BB" w:rsidP="00C54C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t>主要关切领域和建议</w:t>
      </w:r>
    </w:p>
    <w:p w:rsidR="00C54C16" w:rsidRPr="00C54C16" w:rsidRDefault="00C54C16" w:rsidP="00C54C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众议院</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7.</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强调立法机构在确保充分执行《公约》方面所发挥的关键作用(见2010年委员会第四十五届会议通过的关于委员会与议会议员之间关系的声明)。它邀请众议院根据职责采取必要措施，从现在开始至下一次根据《公约》提交报告期间，落实目前的结论意见</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《公约》现况</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8.</w:t>
      </w:r>
      <w:r w:rsidRPr="009A34BB">
        <w:rPr>
          <w:rStyle w:val="a4"/>
          <w:rFonts w:hint="eastAsia"/>
          <w:color w:val="auto"/>
          <w:w w:val="100"/>
          <w:vertAlign w:val="baseline"/>
        </w:rPr>
        <w:tab/>
      </w:r>
      <w:r w:rsidRPr="009A34BB">
        <w:rPr>
          <w:rStyle w:val="a4"/>
          <w:rFonts w:hint="eastAsia"/>
          <w:color w:val="auto"/>
          <w:w w:val="100"/>
          <w:vertAlign w:val="baseline"/>
        </w:rPr>
        <w:t>委员会感到关切的是，尽管《公约》在</w:t>
      </w:r>
      <w:r w:rsidRPr="009A34BB">
        <w:rPr>
          <w:rStyle w:val="a4"/>
          <w:rFonts w:hint="eastAsia"/>
          <w:color w:val="auto"/>
          <w:w w:val="100"/>
          <w:vertAlign w:val="baseline"/>
        </w:rPr>
        <w:t>1981</w:t>
      </w:r>
      <w:r w:rsidRPr="009A34BB">
        <w:rPr>
          <w:rStyle w:val="a4"/>
          <w:rFonts w:hint="eastAsia"/>
          <w:color w:val="auto"/>
          <w:w w:val="100"/>
          <w:vertAlign w:val="baseline"/>
        </w:rPr>
        <w:t>年得到批准，但至今仍未根据国家立法或法院裁决全面纳入本国法律，使其能在国家法院得到直接适用。</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9.</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委员会呼吁缔约国立即将这项《公约》纳入本国法律</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宪法框架和歧视性法律</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10.</w:t>
      </w:r>
      <w:r w:rsidRPr="009A34BB">
        <w:rPr>
          <w:rStyle w:val="a4"/>
          <w:rFonts w:hint="eastAsia"/>
          <w:color w:val="auto"/>
          <w:w w:val="100"/>
          <w:vertAlign w:val="baseline"/>
        </w:rPr>
        <w:tab/>
      </w:r>
      <w:r w:rsidRPr="009A34BB">
        <w:rPr>
          <w:rStyle w:val="a4"/>
          <w:rFonts w:hint="eastAsia"/>
          <w:color w:val="auto"/>
          <w:w w:val="100"/>
          <w:vertAlign w:val="baseline"/>
        </w:rPr>
        <w:t>委员会认识到《宪法》</w:t>
      </w:r>
      <w:r>
        <w:rPr>
          <w:rStyle w:val="a4"/>
          <w:rFonts w:hint="eastAsia"/>
          <w:color w:val="auto"/>
          <w:w w:val="100"/>
          <w:vertAlign w:val="baseline"/>
        </w:rPr>
        <w:t>(</w:t>
      </w:r>
      <w:r w:rsidRPr="009A34BB">
        <w:rPr>
          <w:rStyle w:val="a4"/>
          <w:rFonts w:hint="eastAsia"/>
          <w:color w:val="auto"/>
          <w:w w:val="100"/>
          <w:vertAlign w:val="baseline"/>
        </w:rPr>
        <w:t>1979</w:t>
      </w:r>
      <w:r w:rsidRPr="009A34BB">
        <w:rPr>
          <w:rStyle w:val="a4"/>
          <w:rFonts w:hint="eastAsia"/>
          <w:color w:val="auto"/>
          <w:w w:val="100"/>
          <w:vertAlign w:val="baseline"/>
        </w:rPr>
        <w:t>年</w:t>
      </w:r>
      <w:r>
        <w:rPr>
          <w:rStyle w:val="a4"/>
          <w:rFonts w:hint="eastAsia"/>
          <w:color w:val="auto"/>
          <w:w w:val="100"/>
          <w:vertAlign w:val="baseline"/>
        </w:rPr>
        <w:t>)</w:t>
      </w:r>
      <w:r w:rsidRPr="009A34BB">
        <w:rPr>
          <w:rStyle w:val="a4"/>
          <w:rFonts w:hint="eastAsia"/>
          <w:color w:val="auto"/>
          <w:w w:val="100"/>
          <w:vertAlign w:val="baseline"/>
        </w:rPr>
        <w:t>第</w:t>
      </w:r>
      <w:r w:rsidRPr="009A34BB">
        <w:rPr>
          <w:rStyle w:val="a4"/>
          <w:rFonts w:hint="eastAsia"/>
          <w:color w:val="auto"/>
          <w:w w:val="100"/>
          <w:vertAlign w:val="baseline"/>
        </w:rPr>
        <w:t>13</w:t>
      </w:r>
      <w:r w:rsidRPr="009A34BB">
        <w:rPr>
          <w:rStyle w:val="a4"/>
          <w:rFonts w:hint="eastAsia"/>
          <w:color w:val="auto"/>
          <w:w w:val="100"/>
          <w:vertAlign w:val="baseline"/>
        </w:rPr>
        <w:t>条禁止性别歧视，但对没有具体规定男女权利平等感到关切。它遗憾地注意到，</w:t>
      </w:r>
      <w:r w:rsidRPr="009A34BB">
        <w:rPr>
          <w:rStyle w:val="a4"/>
          <w:rFonts w:hint="eastAsia"/>
          <w:color w:val="auto"/>
          <w:w w:val="100"/>
          <w:vertAlign w:val="baseline"/>
        </w:rPr>
        <w:t>2009</w:t>
      </w:r>
      <w:r w:rsidRPr="009A34BB">
        <w:rPr>
          <w:rStyle w:val="a4"/>
          <w:rFonts w:hint="eastAsia"/>
          <w:color w:val="auto"/>
          <w:w w:val="100"/>
          <w:vertAlign w:val="baseline"/>
        </w:rPr>
        <w:t>年的《宪法》法案虽然包括了男女权利平等和具有同等法律地位以及禁止性别歧视的规定，但却被</w:t>
      </w:r>
      <w:r w:rsidRPr="009A34BB">
        <w:rPr>
          <w:rStyle w:val="a4"/>
          <w:rFonts w:hint="eastAsia"/>
          <w:color w:val="auto"/>
          <w:w w:val="100"/>
          <w:vertAlign w:val="baseline"/>
        </w:rPr>
        <w:t>2009</w:t>
      </w:r>
      <w:r w:rsidRPr="009A34BB">
        <w:rPr>
          <w:rStyle w:val="a4"/>
          <w:rFonts w:hint="eastAsia"/>
          <w:color w:val="auto"/>
          <w:w w:val="100"/>
          <w:vertAlign w:val="baseline"/>
        </w:rPr>
        <w:t>年</w:t>
      </w:r>
      <w:r w:rsidRPr="009A34BB">
        <w:rPr>
          <w:rStyle w:val="a4"/>
          <w:rFonts w:hint="eastAsia"/>
          <w:color w:val="auto"/>
          <w:w w:val="100"/>
          <w:vertAlign w:val="baseline"/>
        </w:rPr>
        <w:t>11</w:t>
      </w:r>
      <w:r w:rsidRPr="009A34BB">
        <w:rPr>
          <w:rStyle w:val="a4"/>
          <w:rFonts w:hint="eastAsia"/>
          <w:color w:val="auto"/>
          <w:w w:val="100"/>
          <w:vertAlign w:val="baseline"/>
        </w:rPr>
        <w:t>月</w:t>
      </w:r>
      <w:r w:rsidRPr="009A34BB">
        <w:rPr>
          <w:rStyle w:val="a4"/>
          <w:rFonts w:hint="eastAsia"/>
          <w:color w:val="auto"/>
          <w:w w:val="100"/>
          <w:vertAlign w:val="baseline"/>
        </w:rPr>
        <w:t>25</w:t>
      </w:r>
      <w:r w:rsidRPr="009A34BB">
        <w:rPr>
          <w:rStyle w:val="a4"/>
          <w:rFonts w:hint="eastAsia"/>
          <w:color w:val="auto"/>
          <w:w w:val="100"/>
          <w:vertAlign w:val="baseline"/>
        </w:rPr>
        <w:t>日举行的全民公投否决。委员会关切地注意到，缔约国的立法没有载列符合《公约》关于歧视妇女定义以及男女平等原则的规定。它还感到关切的是，性别平等法律或全面反歧视立法都没有采纳符合《公约》第</w:t>
      </w:r>
      <w:r w:rsidRPr="009A34BB">
        <w:rPr>
          <w:rStyle w:val="a4"/>
          <w:rFonts w:hint="eastAsia"/>
          <w:color w:val="auto"/>
          <w:w w:val="100"/>
          <w:vertAlign w:val="baseline"/>
        </w:rPr>
        <w:t>1</w:t>
      </w:r>
      <w:r w:rsidRPr="009A34BB">
        <w:rPr>
          <w:rStyle w:val="a4"/>
          <w:rFonts w:hint="eastAsia"/>
          <w:color w:val="auto"/>
          <w:w w:val="100"/>
          <w:vertAlign w:val="baseline"/>
        </w:rPr>
        <w:t>条和第</w:t>
      </w:r>
      <w:r w:rsidRPr="009A34BB">
        <w:rPr>
          <w:rStyle w:val="a4"/>
          <w:rFonts w:hint="eastAsia"/>
          <w:color w:val="auto"/>
          <w:w w:val="100"/>
          <w:vertAlign w:val="baseline"/>
        </w:rPr>
        <w:t>2</w:t>
      </w:r>
      <w:r w:rsidRPr="009A34BB">
        <w:rPr>
          <w:rStyle w:val="a4"/>
          <w:rFonts w:hint="eastAsia"/>
          <w:color w:val="auto"/>
          <w:w w:val="100"/>
          <w:vertAlign w:val="baseline"/>
        </w:rPr>
        <w:t>条规定的男女平等原则和界定及禁止一切形式的性别歧视，包括在公私领域的直接和间接歧视。</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11.</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委员会建议缔约国立即通过新的立法，全面采纳符合《公约》第1条和第2条规定的男女平等原则以及界定和禁止公私领域一切形式的性别歧视</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12.</w:t>
      </w:r>
      <w:r w:rsidRPr="009A34BB">
        <w:rPr>
          <w:rStyle w:val="a4"/>
          <w:rFonts w:hint="eastAsia"/>
          <w:color w:val="auto"/>
          <w:w w:val="100"/>
          <w:vertAlign w:val="baseline"/>
        </w:rPr>
        <w:tab/>
      </w:r>
      <w:r w:rsidRPr="009A34BB">
        <w:rPr>
          <w:rStyle w:val="a4"/>
          <w:rFonts w:hint="eastAsia"/>
          <w:color w:val="auto"/>
          <w:w w:val="100"/>
          <w:vertAlign w:val="baseline"/>
        </w:rPr>
        <w:t>委员会满意地注意到缔约国已通过一些反歧视立法，但关切地注意到，在其立法中继续存在性别歧视条款，其中包括《刑法》、《婚姻法》、《妇女、年轻人和儿童就业法》和《公民身份法》</w:t>
      </w:r>
      <w:r>
        <w:rPr>
          <w:rStyle w:val="a4"/>
          <w:rFonts w:hint="eastAsia"/>
          <w:color w:val="auto"/>
          <w:w w:val="100"/>
          <w:vertAlign w:val="baseline"/>
        </w:rPr>
        <w:t>(</w:t>
      </w:r>
      <w:r w:rsidRPr="009A34BB">
        <w:rPr>
          <w:rStyle w:val="a4"/>
          <w:rFonts w:hint="eastAsia"/>
          <w:color w:val="auto"/>
          <w:w w:val="100"/>
          <w:vertAlign w:val="baseline"/>
        </w:rPr>
        <w:t>1984</w:t>
      </w:r>
      <w:r w:rsidRPr="009A34BB">
        <w:rPr>
          <w:rStyle w:val="a4"/>
          <w:rFonts w:hint="eastAsia"/>
          <w:color w:val="auto"/>
          <w:w w:val="100"/>
          <w:vertAlign w:val="baseline"/>
        </w:rPr>
        <w:t>年</w:t>
      </w:r>
      <w:r>
        <w:rPr>
          <w:rStyle w:val="a4"/>
          <w:rFonts w:hint="eastAsia"/>
          <w:color w:val="auto"/>
          <w:w w:val="100"/>
          <w:vertAlign w:val="baseline"/>
        </w:rPr>
        <w:t>)</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13.</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根据它以前提出的建议(见</w:t>
      </w:r>
      <w:hyperlink r:id="rId21" w:history="1">
        <w:r w:rsidRPr="00C54C16">
          <w:rPr>
            <w:rStyle w:val="ad"/>
            <w:rFonts w:ascii="黑体" w:eastAsia="黑体" w:hAnsi="黑体" w:hint="eastAsia"/>
          </w:rPr>
          <w:t>A/52/38/Rev.1</w:t>
        </w:r>
      </w:hyperlink>
      <w:r w:rsidRPr="009A34BB">
        <w:rPr>
          <w:rStyle w:val="a4"/>
          <w:rFonts w:ascii="黑体" w:eastAsia="黑体" w:hAnsi="黑体" w:hint="eastAsia"/>
          <w:color w:val="auto"/>
          <w:w w:val="100"/>
          <w:vertAlign w:val="baseline"/>
        </w:rPr>
        <w:t>，第142段)，委员会建议缔约国审查现有各项立法，就法律改革进程制定明确的时限和目标，并修订或废除所有歧视性条款，务使这些立法符合《公约》规定的平等和不歧视原则</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提高妇女地位的国家机制</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14.</w:t>
      </w:r>
      <w:r w:rsidRPr="009A34BB">
        <w:rPr>
          <w:rStyle w:val="a4"/>
          <w:rFonts w:hint="eastAsia"/>
          <w:color w:val="auto"/>
          <w:w w:val="100"/>
          <w:vertAlign w:val="baseline"/>
        </w:rPr>
        <w:tab/>
        <w:t xml:space="preserve"> </w:t>
      </w:r>
      <w:r w:rsidRPr="009A34BB">
        <w:rPr>
          <w:rStyle w:val="a4"/>
          <w:rFonts w:hint="eastAsia"/>
          <w:color w:val="auto"/>
          <w:w w:val="100"/>
          <w:vertAlign w:val="baseline"/>
        </w:rPr>
        <w:t>委员会认为积极的发展是性别平等事务司已重新调整方向，在所有国家部门侧重性别平等主流化和制定性别平等政策问题，因此，它目前正设法在所有政府部门将推动性别平等作为主要工作并与财政和经济规划部共同设计和落实具体针对性别平等的预算编制工作，以推动这项进程。委员会注意到性别平等事务司负有制定多部门国家性别平等政策的责任，但对提高缔约国体制结构中妇女地位的国家机制的级别偏低以及分配给它的人力、物力和技术资源欠缺的情况感到关切。</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15.</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加强性别平等事务司在缔约国体制结构中的权威和份量并向其提供足够的人力、物力和技术资源，使其能有效进行协调并将性别平等观点纳入政府所有部门和级别的所有政策和方案</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巩固性别平等主流化活动，其方式是立即制定多部门国家性别平等政策和确定推出这种政策的时限</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落实具体针对性别平等问题的预算编制工作</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临时特别措施</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16.</w:t>
      </w:r>
      <w:r w:rsidRPr="009A34BB">
        <w:rPr>
          <w:rStyle w:val="a4"/>
          <w:rFonts w:hint="eastAsia"/>
          <w:color w:val="auto"/>
          <w:w w:val="100"/>
          <w:vertAlign w:val="baseline"/>
        </w:rPr>
        <w:tab/>
      </w:r>
      <w:r w:rsidRPr="009A34BB">
        <w:rPr>
          <w:rStyle w:val="a4"/>
          <w:rFonts w:hint="eastAsia"/>
          <w:color w:val="auto"/>
          <w:w w:val="100"/>
          <w:vertAlign w:val="baseline"/>
        </w:rPr>
        <w:t>委员会注意到，缔约国在对议题和问题清单提出的答复中列出改善各个部门妇女和女童状况所采取的立法和行政措施，但它认为，这些措施不符合《公约》第</w:t>
      </w:r>
      <w:r w:rsidRPr="009A34BB">
        <w:rPr>
          <w:rStyle w:val="a4"/>
          <w:rFonts w:hint="eastAsia"/>
          <w:color w:val="auto"/>
          <w:w w:val="100"/>
          <w:vertAlign w:val="baseline"/>
        </w:rPr>
        <w:t>4</w:t>
      </w:r>
      <w:r>
        <w:rPr>
          <w:rStyle w:val="a4"/>
          <w:rFonts w:hint="eastAsia"/>
          <w:color w:val="auto"/>
          <w:w w:val="100"/>
          <w:vertAlign w:val="baseline"/>
        </w:rPr>
        <w:t>(</w:t>
      </w:r>
      <w:r w:rsidRPr="009A34BB">
        <w:rPr>
          <w:rStyle w:val="a4"/>
          <w:rFonts w:hint="eastAsia"/>
          <w:color w:val="auto"/>
          <w:w w:val="100"/>
          <w:vertAlign w:val="baseline"/>
        </w:rPr>
        <w:t>1</w:t>
      </w:r>
      <w:r>
        <w:rPr>
          <w:rStyle w:val="a4"/>
          <w:rFonts w:hint="eastAsia"/>
          <w:color w:val="auto"/>
          <w:w w:val="100"/>
          <w:vertAlign w:val="baseline"/>
        </w:rPr>
        <w:t>)</w:t>
      </w:r>
      <w:r w:rsidRPr="009A34BB">
        <w:rPr>
          <w:rStyle w:val="a4"/>
          <w:rFonts w:hint="eastAsia"/>
          <w:color w:val="auto"/>
          <w:w w:val="100"/>
          <w:vertAlign w:val="baseline"/>
        </w:rPr>
        <w:t>条规定的和在委员会就此问题提出的一般性建议</w:t>
      </w:r>
      <w:r w:rsidRPr="009A34BB">
        <w:rPr>
          <w:rStyle w:val="a4"/>
          <w:rFonts w:hint="eastAsia"/>
          <w:color w:val="auto"/>
          <w:w w:val="100"/>
          <w:vertAlign w:val="baseline"/>
        </w:rPr>
        <w:t>25</w:t>
      </w:r>
      <w:r w:rsidRPr="009A34BB">
        <w:rPr>
          <w:rStyle w:val="a4"/>
          <w:rFonts w:hint="eastAsia"/>
          <w:color w:val="auto"/>
          <w:w w:val="100"/>
          <w:vertAlign w:val="baseline"/>
        </w:rPr>
        <w:t>中要求制定的临时特别措施。这显示缔约国仍然不明了临时特别措施的概念及其促进事实上的平等的用途。在这个背景下，委员会对缔约国报告中“未就妇女进入公职或其他领域设定限额”的声明表示遗憾。</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17.</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依照《公约》第4(1)条和委员会一般性建议第25号使所有相关官员和政策制定者熟悉暂行特别措施的概念和用途，并采取和落实这些措施促进所有《公约》所属领域代表性不足或处于不利地位的妇女的男女实质平等。这些措施或可包括促使政党候选人名单实现女性保障名额</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陈规定型观念和有害作法</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18.</w:t>
      </w:r>
      <w:r w:rsidRPr="009A34BB">
        <w:rPr>
          <w:rStyle w:val="a4"/>
          <w:rFonts w:hint="eastAsia"/>
          <w:color w:val="auto"/>
          <w:w w:val="100"/>
          <w:vertAlign w:val="baseline"/>
        </w:rPr>
        <w:tab/>
      </w:r>
      <w:r w:rsidRPr="009A34BB">
        <w:rPr>
          <w:rStyle w:val="a4"/>
          <w:rFonts w:hint="eastAsia"/>
          <w:color w:val="auto"/>
          <w:w w:val="100"/>
          <w:vertAlign w:val="baseline"/>
        </w:rPr>
        <w:t>委员会认识到缔约国的文化和传统在每日生活中的重要性，并注意到已在学校展开强调性别平等的培训和通过无线电节目及讲习班向社区进行宣传。尽管如此，委员会仍对社会和家庭中男女地位和责任的歧视性陈规定型观念、消极传统价值观和重男轻女态度感到关切，它们过分强调妇女作为母亲和妻子的作用，这使她们无法积极参与《公约》所述政治和经济生活的所有领域。</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19.</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立即制定全面战略，纠正或消除歧视妇女的重男轻女态度。这项战略应包括对社会各阶层男女以及对社区和宗教领袖进行教育和提高他们认识的活动，并特别注意到妇女的价值观和尊严以及她们参与社区和整个社会决策进程的能力。民间社会组织和大众媒体应参与这项战略的实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将不歧视和男女平等原则充分纳入教育政策、国家核心课程和相关文件以及教师、保健专业人员和其他服务提供者的基础教育和进修课程</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采取创新措施，以儿童和成人为目标群体，加强他们对男女平等原则的理解，并通过正规和非正规教育体系并与大众传媒一道开展工作，以强化妇女的正面和非陈规定型形象</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监测和审查为此采取的各项措施，以定期评估其影响，并采取适当的补救行动</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暴力侵害妇女行为</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20.</w:t>
      </w:r>
      <w:r w:rsidRPr="009A34BB">
        <w:rPr>
          <w:rStyle w:val="a4"/>
          <w:rFonts w:hint="eastAsia"/>
          <w:color w:val="auto"/>
          <w:w w:val="100"/>
          <w:vertAlign w:val="baseline"/>
        </w:rPr>
        <w:tab/>
      </w:r>
      <w:r w:rsidRPr="009A34BB">
        <w:rPr>
          <w:rStyle w:val="a4"/>
          <w:rFonts w:hint="eastAsia"/>
          <w:color w:val="auto"/>
          <w:w w:val="100"/>
          <w:vertAlign w:val="baseline"/>
        </w:rPr>
        <w:t>委员会欢迎在</w:t>
      </w:r>
      <w:r w:rsidRPr="009A34BB">
        <w:rPr>
          <w:rStyle w:val="a4"/>
          <w:rFonts w:hint="eastAsia"/>
          <w:color w:val="auto"/>
          <w:w w:val="100"/>
          <w:vertAlign w:val="baseline"/>
        </w:rPr>
        <w:t>2015</w:t>
      </w:r>
      <w:r w:rsidRPr="009A34BB">
        <w:rPr>
          <w:rStyle w:val="a4"/>
          <w:rFonts w:hint="eastAsia"/>
          <w:color w:val="auto"/>
          <w:w w:val="100"/>
          <w:vertAlign w:val="baseline"/>
        </w:rPr>
        <w:t>年</w:t>
      </w:r>
      <w:r w:rsidRPr="009A34BB">
        <w:rPr>
          <w:rStyle w:val="a4"/>
          <w:rFonts w:hint="eastAsia"/>
          <w:color w:val="auto"/>
          <w:w w:val="100"/>
          <w:vertAlign w:val="baseline"/>
        </w:rPr>
        <w:t>4</w:t>
      </w:r>
      <w:r w:rsidRPr="009A34BB">
        <w:rPr>
          <w:rStyle w:val="a4"/>
          <w:rFonts w:hint="eastAsia"/>
          <w:color w:val="auto"/>
          <w:w w:val="100"/>
          <w:vertAlign w:val="baseline"/>
        </w:rPr>
        <w:t>月通过《家庭暴力法》，扩大了家庭暴力的定义，其中不仅包括肉体暴力，它还包括性暴力、精神暴力和经济暴力。委员会还赞赏地注意到</w:t>
      </w:r>
      <w:r w:rsidRPr="009A34BB">
        <w:rPr>
          <w:rStyle w:val="a4"/>
          <w:rFonts w:hint="eastAsia"/>
          <w:color w:val="auto"/>
          <w:w w:val="100"/>
          <w:vertAlign w:val="baseline"/>
        </w:rPr>
        <w:t>2015</w:t>
      </w:r>
      <w:r w:rsidRPr="009A34BB">
        <w:rPr>
          <w:rStyle w:val="a4"/>
          <w:rFonts w:hint="eastAsia"/>
          <w:color w:val="auto"/>
          <w:w w:val="100"/>
          <w:vertAlign w:val="baseline"/>
        </w:rPr>
        <w:t>年通过了关于防止性别暴力的部委间国家行动计划。不过，委员会注意到：</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hint="eastAsia"/>
          <w:color w:val="auto"/>
          <w:w w:val="100"/>
          <w:vertAlign w:val="baseline"/>
        </w:rPr>
        <w:t>违反《家庭暴力法》只属于民事案件，而只有违反保护令或占有令才被视为刑事案件；此外，为落实这些法令制定的措施软弱无力，并且用于惩处违反这些法令的规定力道不大；</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hint="eastAsia"/>
          <w:color w:val="auto"/>
          <w:w w:val="100"/>
          <w:vertAlign w:val="baseline"/>
        </w:rPr>
        <w:t>《刑法》和</w:t>
      </w:r>
      <w:r w:rsidRPr="009A34BB">
        <w:rPr>
          <w:rStyle w:val="a4"/>
          <w:rFonts w:hint="eastAsia"/>
          <w:color w:val="auto"/>
          <w:w w:val="100"/>
          <w:vertAlign w:val="baseline"/>
        </w:rPr>
        <w:t>/</w:t>
      </w:r>
      <w:r w:rsidRPr="009A34BB">
        <w:rPr>
          <w:rStyle w:val="a4"/>
          <w:rFonts w:hint="eastAsia"/>
          <w:color w:val="auto"/>
          <w:w w:val="100"/>
          <w:vertAlign w:val="baseline"/>
        </w:rPr>
        <w:t>或《家庭暴力法》中没有将婚内强奸明确作为犯罪行为的规定；</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hint="eastAsia"/>
          <w:color w:val="auto"/>
          <w:w w:val="100"/>
          <w:vertAlign w:val="baseline"/>
        </w:rPr>
        <w:t>缔约国承认，具有同性关系的妇女不属于能从《家庭暴力法》得到保护的受害者类别；</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hint="eastAsia"/>
          <w:color w:val="auto"/>
          <w:w w:val="100"/>
          <w:vertAlign w:val="baseline"/>
        </w:rPr>
        <w:t>受害者需要承担聘用律师提交证词的费用，它不由《家庭暴力法》提供；</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(e)</w:t>
      </w:r>
      <w:r w:rsidRPr="009A34BB">
        <w:rPr>
          <w:rStyle w:val="a4"/>
          <w:rFonts w:hint="eastAsia"/>
          <w:color w:val="auto"/>
          <w:w w:val="100"/>
          <w:vertAlign w:val="baseline"/>
        </w:rPr>
        <w:tab/>
      </w:r>
      <w:r w:rsidRPr="009A34BB">
        <w:rPr>
          <w:rStyle w:val="a4"/>
          <w:rFonts w:hint="eastAsia"/>
          <w:color w:val="auto"/>
          <w:w w:val="100"/>
          <w:vertAlign w:val="baseline"/>
        </w:rPr>
        <w:t>强奸的法律定义至为狭窄，它没有包括侵入性行为，如其他身体部分或物体的侵入。目前这些行为在《刑法》中属于猥亵罪，只受轻罚。</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(f)</w:t>
      </w:r>
      <w:r w:rsidRPr="009A34BB">
        <w:rPr>
          <w:rStyle w:val="a4"/>
          <w:rFonts w:hint="eastAsia"/>
          <w:color w:val="auto"/>
          <w:w w:val="100"/>
          <w:vertAlign w:val="baseline"/>
        </w:rPr>
        <w:tab/>
      </w:r>
      <w:r w:rsidRPr="009A34BB">
        <w:rPr>
          <w:rStyle w:val="a4"/>
          <w:rFonts w:hint="eastAsia"/>
          <w:color w:val="auto"/>
          <w:w w:val="100"/>
          <w:vertAlign w:val="baseline"/>
        </w:rPr>
        <w:t>警察的态度有时使受到暴力伤害的妇女不愿提出指控，因为执法官员以轻蔑和敌视的态度对待她们；</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(g)</w:t>
      </w:r>
      <w:r w:rsidRPr="009A34BB">
        <w:rPr>
          <w:rStyle w:val="a4"/>
          <w:rFonts w:hint="eastAsia"/>
          <w:color w:val="auto"/>
          <w:w w:val="100"/>
          <w:vertAlign w:val="baseline"/>
        </w:rPr>
        <w:tab/>
      </w:r>
      <w:r w:rsidRPr="009A34BB">
        <w:rPr>
          <w:rStyle w:val="a4"/>
          <w:rFonts w:hint="eastAsia"/>
          <w:color w:val="auto"/>
          <w:w w:val="100"/>
          <w:vertAlign w:val="baseline"/>
        </w:rPr>
        <w:t>根据性别、年龄、罪行类别及受害者和加害者之间关系分列属于《家庭暴力法》的所有暴力行为的统计数据不足。</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21.</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委员会敦促缔约国</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修订《刑法》和/或《家庭暴力法》，将属于《家庭暴力法》范围的所有家庭暴力行为定为罪行并将婚内强奸明确定为犯罪行为</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确保所有妇女均能依照《家庭暴力法》基于她参与其中的关系类别寻求和得到保护</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确保受到暴力伤害和希望根据《家庭暴力法》得到保护的妇女不会因为财务和行政困难而得不到保护</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扩大强奸的定义，以便将其他形式的入侵行为包括在内或为这种行为规定新的罪名，并考虑为此行为使用加勒比共同体关于性骚扰的立法范本</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(e)</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为有效落实《家庭暴力法》和《打击性别暴力国家行动计划》提供足够的人力、物力和技术资源，并加强与民间社会组织和其他相关利益攸关方进行这方面的合作</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(f)</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制定程序，以便因应、管理和引用家庭暴力案件，并向司法和执法官员提供关于促进性别平等程序的持续培训，帮助受到暴力伤害的妇女</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(g)</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通过消除蔑视性暴力和家庭暴力受害者以及提高对这种行为的严重性的认识，鼓励妇女指控遭到这种暴力侵害的案件</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(h)</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制定程序，供警察、司法官员和保健人员收集关于家庭暴力和其他暴力侵害妇女形式的信息，以便制度化地有系统收集、分析和散发按年龄、性别、国籍、族裔、暴力种类和加害者和受害者之间关系分列的家庭暴力的全面数据</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贩运和剥削卖淫</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22.</w:t>
      </w:r>
      <w:r w:rsidRPr="009A34BB">
        <w:rPr>
          <w:rStyle w:val="a4"/>
          <w:rFonts w:hint="eastAsia"/>
          <w:color w:val="auto"/>
          <w:w w:val="100"/>
          <w:vertAlign w:val="baseline"/>
        </w:rPr>
        <w:tab/>
      </w:r>
      <w:r w:rsidRPr="009A34BB">
        <w:rPr>
          <w:rStyle w:val="a4"/>
          <w:rFonts w:hint="eastAsia"/>
          <w:color w:val="auto"/>
          <w:w w:val="100"/>
          <w:vertAlign w:val="baseline"/>
        </w:rPr>
        <w:t>委员会注意到缔约国采取积极措施解决贩运人口特别是贩运妇女和女童的问题，包括在</w:t>
      </w:r>
      <w:r w:rsidRPr="009A34BB">
        <w:rPr>
          <w:rStyle w:val="a4"/>
          <w:rFonts w:hint="eastAsia"/>
          <w:color w:val="auto"/>
          <w:w w:val="100"/>
          <w:vertAlign w:val="baseline"/>
        </w:rPr>
        <w:t>2011</w:t>
      </w:r>
      <w:r w:rsidRPr="009A34BB">
        <w:rPr>
          <w:rStyle w:val="a4"/>
          <w:rFonts w:hint="eastAsia"/>
          <w:color w:val="auto"/>
          <w:w w:val="100"/>
          <w:vertAlign w:val="baseline"/>
        </w:rPr>
        <w:t>年颁布关于防止贩运人口的法案、在警局设立打击贩运人口的单位并为受害者成立危机应急中心。不过，委员会对于有人出资使儿童受到性侵害的家庭保持沉默和不报告性侵害的这种报道感到关切；这使儿童特别是女童受到性剥削并实质上使她们处于强迫卖淫的状况。委员会关切地注意到，</w:t>
      </w:r>
      <w:r w:rsidRPr="009A34BB">
        <w:rPr>
          <w:rStyle w:val="a4"/>
          <w:rFonts w:hint="eastAsia"/>
          <w:color w:val="auto"/>
          <w:w w:val="100"/>
          <w:vertAlign w:val="baseline"/>
        </w:rPr>
        <w:t>2014</w:t>
      </w:r>
      <w:r w:rsidRPr="009A34BB">
        <w:rPr>
          <w:rStyle w:val="a4"/>
          <w:rFonts w:hint="eastAsia"/>
          <w:color w:val="auto"/>
          <w:w w:val="100"/>
          <w:vertAlign w:val="baseline"/>
        </w:rPr>
        <w:t>年只有三件贩运人口的案件受到调查，</w:t>
      </w:r>
      <w:r w:rsidRPr="009A34BB">
        <w:rPr>
          <w:rStyle w:val="a4"/>
          <w:rFonts w:hint="eastAsia"/>
          <w:color w:val="auto"/>
          <w:w w:val="100"/>
          <w:vertAlign w:val="baseline"/>
        </w:rPr>
        <w:t>2013</w:t>
      </w:r>
      <w:r w:rsidRPr="009A34BB">
        <w:rPr>
          <w:rStyle w:val="a4"/>
          <w:rFonts w:hint="eastAsia"/>
          <w:color w:val="auto"/>
          <w:w w:val="100"/>
          <w:vertAlign w:val="baseline"/>
        </w:rPr>
        <w:t>年有五件，而没有任何一件受到起诉。此外，委员会对于希望脱离卖淫生涯的妇女和女童缺少其他工作机会感到关切。</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23.</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C54C16" w:rsidRDefault="009A34BB" w:rsidP="009A34BB">
      <w:pPr>
        <w:pStyle w:val="SingleTxt"/>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通过包括提高认识、起诉和惩罚犯罪者和为受害者建立具体支持和康复方案等途径，强化措施，以预防和有效应对跨国和国内贩运和性剥削事件，特别是贩运和性剥削年龄在18岁以下女童的事件</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有系统地收集和分析按性别分类的关于贩运人口和性剥削的数据和信息，包括外人性剥削家中孩子和色情旅游业的数据和信息</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加强采取旨在解决贩运妇女和女童问题根源的措施，例如贫穷和高失业率等，这些因素也可能导致她们卖淫</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加强对贩运和性剥削受害者的支持服务，包括创造替代性就业机会，帮助希望脱离卖淫生涯的妇女和女童重返社会</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参与政治和公共生活</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24.</w:t>
      </w:r>
      <w:r w:rsidRPr="009A34BB">
        <w:rPr>
          <w:rStyle w:val="a4"/>
          <w:rFonts w:hint="eastAsia"/>
          <w:color w:val="auto"/>
          <w:w w:val="100"/>
          <w:vertAlign w:val="baseline"/>
        </w:rPr>
        <w:tab/>
      </w:r>
      <w:r w:rsidRPr="009A34BB">
        <w:rPr>
          <w:rStyle w:val="a4"/>
          <w:rFonts w:hint="eastAsia"/>
          <w:color w:val="auto"/>
          <w:w w:val="100"/>
          <w:vertAlign w:val="baseline"/>
        </w:rPr>
        <w:t>委员会注意到，妇女目前占公务机构人员的</w:t>
      </w:r>
      <w:r w:rsidRPr="009A34BB">
        <w:rPr>
          <w:rStyle w:val="a4"/>
          <w:rFonts w:hint="eastAsia"/>
          <w:color w:val="auto"/>
          <w:w w:val="100"/>
          <w:vertAlign w:val="baseline"/>
        </w:rPr>
        <w:t>40%</w:t>
      </w:r>
      <w:r w:rsidRPr="009A34BB">
        <w:rPr>
          <w:rStyle w:val="a4"/>
          <w:rFonts w:hint="eastAsia"/>
          <w:color w:val="auto"/>
          <w:w w:val="100"/>
          <w:vertAlign w:val="baseline"/>
        </w:rPr>
        <w:t>，并且高级别公职，包括检察长、会计长、众议院书记长、最高法院书记官和家庭法院院长等职位都由女性担任，并且半数高等法院法官和半数司法官都是女性。不过，委员会仍对女性在最高级别决策层人数严重不足的现象感到关切，注意到女性只占议员人数的</w:t>
      </w:r>
      <w:r w:rsidRPr="009A34BB">
        <w:rPr>
          <w:rStyle w:val="a4"/>
          <w:rFonts w:hint="eastAsia"/>
          <w:color w:val="auto"/>
          <w:w w:val="100"/>
          <w:vertAlign w:val="baseline"/>
        </w:rPr>
        <w:t>13%</w:t>
      </w:r>
      <w:r w:rsidRPr="009A34BB">
        <w:rPr>
          <w:rStyle w:val="a4"/>
          <w:rFonts w:hint="eastAsia"/>
          <w:color w:val="auto"/>
          <w:w w:val="100"/>
          <w:vertAlign w:val="baseline"/>
        </w:rPr>
        <w:t>和部长人数的</w:t>
      </w:r>
      <w:r w:rsidRPr="009A34BB">
        <w:rPr>
          <w:rStyle w:val="a4"/>
          <w:rFonts w:hint="eastAsia"/>
          <w:color w:val="auto"/>
          <w:w w:val="100"/>
          <w:vertAlign w:val="baseline"/>
        </w:rPr>
        <w:t>9.1%</w:t>
      </w:r>
      <w:r w:rsidRPr="009A34BB">
        <w:rPr>
          <w:rStyle w:val="a4"/>
          <w:rFonts w:hint="eastAsia"/>
          <w:color w:val="auto"/>
          <w:w w:val="100"/>
          <w:vertAlign w:val="baseline"/>
        </w:rPr>
        <w:t>。委员会感到关切的是，由于</w:t>
      </w:r>
      <w:r w:rsidRPr="009A34BB">
        <w:rPr>
          <w:rStyle w:val="a4"/>
          <w:rFonts w:hint="eastAsia"/>
          <w:color w:val="auto"/>
          <w:w w:val="100"/>
          <w:vertAlign w:val="baseline"/>
        </w:rPr>
        <w:t>2009</w:t>
      </w:r>
      <w:r w:rsidRPr="009A34BB">
        <w:rPr>
          <w:rStyle w:val="a4"/>
          <w:rFonts w:hint="eastAsia"/>
          <w:color w:val="auto"/>
          <w:w w:val="100"/>
          <w:vertAlign w:val="baseline"/>
        </w:rPr>
        <w:t>年全民公投没有通过在《宪法》中载列政党选举名单须有</w:t>
      </w:r>
      <w:r w:rsidRPr="009A34BB">
        <w:rPr>
          <w:rStyle w:val="a4"/>
          <w:rFonts w:hint="eastAsia"/>
          <w:color w:val="auto"/>
          <w:w w:val="100"/>
          <w:vertAlign w:val="baseline"/>
        </w:rPr>
        <w:t>30%</w:t>
      </w:r>
      <w:r w:rsidRPr="009A34BB">
        <w:rPr>
          <w:rStyle w:val="a4"/>
          <w:rFonts w:hint="eastAsia"/>
          <w:color w:val="auto"/>
          <w:w w:val="100"/>
          <w:vertAlign w:val="baseline"/>
        </w:rPr>
        <w:t>女性候选人配额的规定，以致至今没有为促进妇女参与政治和公共生活设定配额制度。它还对缔约国支持女性候选人竞选公职的措施不足并且没有具体针对培养这类妇女领导和谈判能力的培训和指导方案感到关切。委员会还对竞选公职的妇女面对的各种障碍感到关切，包括消极的文化态度和性别的成规定性观念。</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25.</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按照委员会关于妇女参与政治和公共生活的第23号一般性建议，作为优先事项，采取有针对性的措施，包括培训、能力建设、对性别问题有敏感认识的征聘办法和暂行特别措施，提高女性在任命的高级别职位、政府、公共事务和外交部门的比例</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修订选举法，依照《公约》第</w:t>
      </w:r>
      <w:r w:rsidR="00C54C16">
        <w:rPr>
          <w:rStyle w:val="a4"/>
          <w:rFonts w:ascii="黑体" w:eastAsia="黑体" w:hAnsi="黑体" w:hint="eastAsia"/>
          <w:color w:val="auto"/>
          <w:w w:val="100"/>
          <w:vertAlign w:val="baseline"/>
        </w:rPr>
        <w:t>4</w:t>
      </w:r>
      <w:r w:rsidRPr="009A34BB">
        <w:rPr>
          <w:rStyle w:val="a4"/>
          <w:rFonts w:ascii="黑体" w:eastAsia="黑体" w:hAnsi="黑体" w:hint="eastAsia"/>
          <w:color w:val="auto"/>
          <w:w w:val="100"/>
          <w:vertAlign w:val="baseline"/>
        </w:rPr>
        <w:t>(1)条和委员会第23号和第25号一般性建议，将至少30%的议会议席保留给妇女</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向妇女包括向格林纳丁斯的妇女提供关于领导技能、竞选活动和争取选民的培训，使她们做好准备，成为候选人，并能承担公职及公共管理领域的职务</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为政界人士、记者、教师和社区领袖，尤其是其中男性开展提高认识的宣传活动，使其更加了解妇女在与男子平等的基础上充分、平等、自由和民主参与政治和公共生活是充分落实《公约》的要求</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(e)</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排除使妇女无法担任决策职位的文化障碍并使担任这些职位的男女比例相同</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国籍</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26.</w:t>
      </w:r>
      <w:r w:rsidRPr="009A34BB">
        <w:rPr>
          <w:rStyle w:val="a4"/>
          <w:rFonts w:hint="eastAsia"/>
          <w:color w:val="auto"/>
          <w:w w:val="100"/>
          <w:vertAlign w:val="baseline"/>
        </w:rPr>
        <w:tab/>
      </w:r>
      <w:r w:rsidRPr="009A34BB">
        <w:rPr>
          <w:rStyle w:val="a4"/>
          <w:rFonts w:hint="eastAsia"/>
          <w:color w:val="auto"/>
          <w:w w:val="100"/>
          <w:vertAlign w:val="baseline"/>
        </w:rPr>
        <w:t>委员会满意地注意到，根据缔约国法律，妇女在获得、改变和保留国籍方面与男性享有一样的权利。它还认识到，这些立法还规定男女同样有权将其国籍传给他们子女，并且男女可同样享有双重国籍。不过，委员会对于已婚妇女能否使其丈夫拥有其国籍需要得到政府负责官员的认可这项规定感到关切，因为他可基于“合理理由”不同意丈夫拥有妻子的国籍。</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27.</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委员会建议缔约国修订相关立法，使女性国民在使其外籍配偶拥有她的国籍方面享有与男性相同的权利</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教育</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28.</w:t>
      </w:r>
      <w:r w:rsidRPr="009A34BB">
        <w:rPr>
          <w:rStyle w:val="a4"/>
          <w:rFonts w:hint="eastAsia"/>
          <w:color w:val="auto"/>
          <w:w w:val="100"/>
          <w:vertAlign w:val="baseline"/>
        </w:rPr>
        <w:tab/>
      </w:r>
      <w:r w:rsidRPr="009A34BB">
        <w:rPr>
          <w:rStyle w:val="a4"/>
          <w:rFonts w:hint="eastAsia"/>
          <w:color w:val="auto"/>
          <w:w w:val="100"/>
          <w:vertAlign w:val="baseline"/>
        </w:rPr>
        <w:t>委员会赞赏缔约国实现全民小学和中学教育。它还欢迎制定保健和家庭生活教育课程及旨使怀孕少女能够继续入学的方案，向其提供日托服务、支付学费以及书籍和交通费用</w:t>
      </w:r>
      <w:r>
        <w:rPr>
          <w:rStyle w:val="a4"/>
          <w:rFonts w:hint="eastAsia"/>
          <w:color w:val="auto"/>
          <w:w w:val="100"/>
          <w:vertAlign w:val="baseline"/>
        </w:rPr>
        <w:t>(</w:t>
      </w:r>
      <w:r w:rsidRPr="009A34BB">
        <w:rPr>
          <w:rStyle w:val="a4"/>
          <w:rFonts w:hint="eastAsia"/>
          <w:color w:val="auto"/>
          <w:w w:val="100"/>
          <w:vertAlign w:val="baseline"/>
        </w:rPr>
        <w:t>“少龄母亲返校”方案</w:t>
      </w:r>
      <w:r>
        <w:rPr>
          <w:rStyle w:val="a4"/>
          <w:rFonts w:hint="eastAsia"/>
          <w:color w:val="auto"/>
          <w:w w:val="100"/>
          <w:vertAlign w:val="baseline"/>
        </w:rPr>
        <w:t>)</w:t>
      </w:r>
      <w:r w:rsidRPr="009A34BB">
        <w:rPr>
          <w:rStyle w:val="a4"/>
          <w:rFonts w:hint="eastAsia"/>
          <w:color w:val="auto"/>
          <w:w w:val="100"/>
          <w:vertAlign w:val="baseline"/>
        </w:rPr>
        <w:t>。不过，委员会关切地注意到：</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hint="eastAsia"/>
          <w:color w:val="auto"/>
          <w:w w:val="100"/>
          <w:vertAlign w:val="baseline"/>
        </w:rPr>
        <w:t>少女怀孕率高</w:t>
      </w:r>
      <w:r>
        <w:rPr>
          <w:rStyle w:val="a4"/>
          <w:rFonts w:hint="eastAsia"/>
          <w:color w:val="auto"/>
          <w:w w:val="100"/>
          <w:vertAlign w:val="baseline"/>
        </w:rPr>
        <w:t>(</w:t>
      </w:r>
      <w:r w:rsidRPr="009A34BB">
        <w:rPr>
          <w:rStyle w:val="a4"/>
          <w:rFonts w:hint="eastAsia"/>
          <w:color w:val="auto"/>
          <w:w w:val="100"/>
          <w:vertAlign w:val="baseline"/>
        </w:rPr>
        <w:t>近</w:t>
      </w:r>
      <w:r w:rsidRPr="009A34BB">
        <w:rPr>
          <w:rStyle w:val="a4"/>
          <w:rFonts w:hint="eastAsia"/>
          <w:color w:val="auto"/>
          <w:w w:val="100"/>
          <w:vertAlign w:val="baseline"/>
        </w:rPr>
        <w:t>50%</w:t>
      </w:r>
      <w:r w:rsidRPr="009A34BB">
        <w:rPr>
          <w:rStyle w:val="a4"/>
          <w:rFonts w:hint="eastAsia"/>
          <w:color w:val="auto"/>
          <w:w w:val="100"/>
          <w:vertAlign w:val="baseline"/>
        </w:rPr>
        <w:t>妇女</w:t>
      </w:r>
      <w:r w:rsidRPr="009A34BB">
        <w:rPr>
          <w:rStyle w:val="a4"/>
          <w:rFonts w:hint="eastAsia"/>
          <w:color w:val="auto"/>
          <w:w w:val="100"/>
          <w:vertAlign w:val="baseline"/>
        </w:rPr>
        <w:t>/</w:t>
      </w:r>
      <w:r w:rsidRPr="009A34BB">
        <w:rPr>
          <w:rStyle w:val="a4"/>
          <w:rFonts w:hint="eastAsia"/>
          <w:color w:val="auto"/>
          <w:w w:val="100"/>
          <w:vertAlign w:val="baseline"/>
        </w:rPr>
        <w:t>女孩在</w:t>
      </w:r>
      <w:r w:rsidRPr="009A34BB">
        <w:rPr>
          <w:rStyle w:val="a4"/>
          <w:rFonts w:hint="eastAsia"/>
          <w:color w:val="auto"/>
          <w:w w:val="100"/>
          <w:vertAlign w:val="baseline"/>
        </w:rPr>
        <w:t>15</w:t>
      </w:r>
      <w:r w:rsidRPr="009A34BB">
        <w:rPr>
          <w:rStyle w:val="a4"/>
          <w:rFonts w:hint="eastAsia"/>
          <w:color w:val="auto"/>
          <w:w w:val="100"/>
          <w:vertAlign w:val="baseline"/>
        </w:rPr>
        <w:t>岁至</w:t>
      </w:r>
      <w:r w:rsidRPr="009A34BB">
        <w:rPr>
          <w:rStyle w:val="a4"/>
          <w:rFonts w:hint="eastAsia"/>
          <w:color w:val="auto"/>
          <w:w w:val="100"/>
          <w:vertAlign w:val="baseline"/>
        </w:rPr>
        <w:t>19</w:t>
      </w:r>
      <w:r w:rsidRPr="009A34BB">
        <w:rPr>
          <w:rStyle w:val="a4"/>
          <w:rFonts w:hint="eastAsia"/>
          <w:color w:val="auto"/>
          <w:w w:val="100"/>
          <w:vertAlign w:val="baseline"/>
        </w:rPr>
        <w:t>岁间生头胎</w:t>
      </w:r>
      <w:r>
        <w:rPr>
          <w:rStyle w:val="a4"/>
          <w:rFonts w:hint="eastAsia"/>
          <w:color w:val="auto"/>
          <w:w w:val="100"/>
          <w:vertAlign w:val="baseline"/>
        </w:rPr>
        <w:t>)</w:t>
      </w:r>
      <w:r w:rsidRPr="009A34BB">
        <w:rPr>
          <w:rStyle w:val="a4"/>
          <w:rFonts w:hint="eastAsia"/>
          <w:color w:val="auto"/>
          <w:w w:val="100"/>
          <w:vertAlign w:val="baseline"/>
        </w:rPr>
        <w:t>，这导致高辍学率，同时也欠缺是否在所有教育级别提供适合年龄段以及包括性别平等观点和教导负责任的性行为的保健和家庭生活教育课程的信息；</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hint="eastAsia"/>
          <w:color w:val="auto"/>
          <w:w w:val="100"/>
          <w:vertAlign w:val="baseline"/>
        </w:rPr>
        <w:t>对促使未成年母亲返校学习的报道有限和欠缺对这项方案的宣传，也没有进行影响评估所需的按性别分类的数据；</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hint="eastAsia"/>
          <w:color w:val="auto"/>
          <w:w w:val="100"/>
          <w:vertAlign w:val="baseline"/>
        </w:rPr>
        <w:t>缺乏全面和综合的战略来消除使女孩不愿参加非传统学术和技术</w:t>
      </w:r>
      <w:r w:rsidRPr="009A34BB">
        <w:rPr>
          <w:rStyle w:val="a4"/>
          <w:rFonts w:hint="eastAsia"/>
          <w:color w:val="auto"/>
          <w:w w:val="100"/>
          <w:vertAlign w:val="baseline"/>
        </w:rPr>
        <w:t>-</w:t>
      </w:r>
      <w:r w:rsidRPr="009A34BB">
        <w:rPr>
          <w:rStyle w:val="a4"/>
          <w:rFonts w:hint="eastAsia"/>
          <w:color w:val="auto"/>
          <w:w w:val="100"/>
          <w:vertAlign w:val="baseline"/>
        </w:rPr>
        <w:t>职业课程的意识形态和结构性障碍。</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29.</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考虑使少女减少意外怀孕的方法，包括继续向少男少女提供性健康和生殖健康及权利和负责任的性行为的教育，并使这种教育适合年龄段和在所有教育级别提供</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全力使女孩留在学校和通过提供支助服务的方式使怀孕少女和年轻母亲回到学校，例如提供为人父母的技巧辅导和适当的性健康和生殖健康服务和充足的育儿设施，以及扩大“少龄母亲返校”方案的适用范围和增加这项方案的提供及便于加入</w:t>
      </w:r>
      <w:r>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消除可能使女孩不愿参与一般属于男性学习领域的陈规定型观念和结构性障碍，例如科学和技术，并作出努力向女孩提供有关非传统职业道路和正规教育以外的其他途径的职业辅导，包括脱离陈规定型观念的职业培训</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就业</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30.</w:t>
      </w:r>
      <w:r w:rsidRPr="009A34BB">
        <w:rPr>
          <w:rStyle w:val="a4"/>
          <w:rFonts w:hint="eastAsia"/>
          <w:color w:val="auto"/>
          <w:w w:val="100"/>
          <w:vertAlign w:val="baseline"/>
        </w:rPr>
        <w:tab/>
      </w:r>
      <w:r w:rsidRPr="009A34BB">
        <w:rPr>
          <w:rStyle w:val="a4"/>
          <w:rFonts w:hint="eastAsia"/>
          <w:color w:val="auto"/>
          <w:w w:val="100"/>
          <w:vertAlign w:val="baseline"/>
        </w:rPr>
        <w:t>委员会认识到缔约国为消除妇女在就业领域的歧视和确保男女平等进入劳动力市场通过了立法和采取了其他措施，包括设立社区幼儿设施和改善公共交通。不过，委员会关切地注意到，</w:t>
      </w:r>
      <w:r w:rsidRPr="009A34BB">
        <w:rPr>
          <w:rStyle w:val="a4"/>
          <w:rFonts w:hint="eastAsia"/>
          <w:color w:val="auto"/>
          <w:w w:val="100"/>
          <w:vertAlign w:val="baseline"/>
        </w:rPr>
        <w:t>2013</w:t>
      </w:r>
      <w:r w:rsidRPr="009A34BB">
        <w:rPr>
          <w:rStyle w:val="a4"/>
          <w:rFonts w:hint="eastAsia"/>
          <w:color w:val="auto"/>
          <w:w w:val="100"/>
          <w:vertAlign w:val="baseline"/>
        </w:rPr>
        <w:t>年劳动力市场的参与率女性为</w:t>
      </w:r>
      <w:r w:rsidRPr="009A34BB">
        <w:rPr>
          <w:rStyle w:val="a4"/>
          <w:rFonts w:hint="eastAsia"/>
          <w:color w:val="auto"/>
          <w:w w:val="100"/>
          <w:vertAlign w:val="baseline"/>
        </w:rPr>
        <w:t>55.7%</w:t>
      </w:r>
      <w:r w:rsidRPr="009A34BB">
        <w:rPr>
          <w:rStyle w:val="a4"/>
          <w:rFonts w:hint="eastAsia"/>
          <w:color w:val="auto"/>
          <w:w w:val="100"/>
          <w:vertAlign w:val="baseline"/>
        </w:rPr>
        <w:t>，男性为</w:t>
      </w:r>
      <w:r w:rsidRPr="009A34BB">
        <w:rPr>
          <w:rStyle w:val="a4"/>
          <w:rFonts w:hint="eastAsia"/>
          <w:color w:val="auto"/>
          <w:w w:val="100"/>
          <w:vertAlign w:val="baseline"/>
        </w:rPr>
        <w:t>78.4%</w:t>
      </w:r>
      <w:r w:rsidRPr="009A34BB">
        <w:rPr>
          <w:rStyle w:val="a4"/>
          <w:rFonts w:hint="eastAsia"/>
          <w:color w:val="auto"/>
          <w:w w:val="100"/>
          <w:vertAlign w:val="baseline"/>
        </w:rPr>
        <w:t>。尽管委员会注意到缔约国努力促使女性参与非传统经济部门，但对劳动力市场明显存在横向隔离和女性集中在低收入的职业类别的现象感到关切。</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31.</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有系统地收集按性别开列的劳动力市场参与数据，并对妇女拥有较高教育水平但与妇女在工作场所所处较低级别处境之间持续缺乏关联的状况进行分析并拟定有效对策</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制定和落实有时限目标和指标的政策，以扭转文化习俗和改变社会来自学校教育和父母教导按性别分工的传统性别陈规定型观念和规范，以便消除职业隔离现象，并通过加强女性在这些传统属于男性领域的技术和职业培训，实现劳动市场的男女实质平等</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32.</w:t>
      </w:r>
      <w:r w:rsidRPr="009A34BB">
        <w:rPr>
          <w:rStyle w:val="a4"/>
          <w:rFonts w:hint="eastAsia"/>
          <w:color w:val="auto"/>
          <w:w w:val="100"/>
          <w:vertAlign w:val="baseline"/>
        </w:rPr>
        <w:tab/>
      </w:r>
      <w:r w:rsidRPr="009A34BB">
        <w:rPr>
          <w:rStyle w:val="a4"/>
          <w:rFonts w:hint="eastAsia"/>
          <w:color w:val="auto"/>
          <w:w w:val="100"/>
          <w:vertAlign w:val="baseline"/>
        </w:rPr>
        <w:t>委员会关切地注意到，《同工同酬法》并不符合男女同值工作具有同等报酬的原则。</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33.</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委员会建议缔约国修订《同工同酬法》第3(1)条，使男女同值工作得到同等报酬</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34.</w:t>
      </w:r>
      <w:r w:rsidRPr="009A34BB">
        <w:rPr>
          <w:rStyle w:val="a4"/>
          <w:rFonts w:hint="eastAsia"/>
          <w:color w:val="auto"/>
          <w:w w:val="100"/>
          <w:vertAlign w:val="baseline"/>
        </w:rPr>
        <w:tab/>
      </w:r>
      <w:r w:rsidRPr="009A34BB">
        <w:rPr>
          <w:rStyle w:val="a4"/>
          <w:rFonts w:hint="eastAsia"/>
          <w:color w:val="auto"/>
          <w:w w:val="100"/>
          <w:vertAlign w:val="baseline"/>
        </w:rPr>
        <w:t>委员会对于缔约国提供的有关有些妇女在求职时被要求以性好处换取雇用的传闻感到关切。它还对现有国家立法没有涵盖性骚扰的所有方面问题以及《家庭暴力法》只处理私有领域的骚扰而不处理工作场所的性骚扰问题感到关切。</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35.</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委员会建议缔约国通过立法，具体地将发生在所有情况下的性骚扰包括在工作场所的性骚扰都定为犯罪行为，并且将性好处换取升级和改变对女性不利的工作环境包括在内</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保健</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36.</w:t>
      </w:r>
      <w:r w:rsidRPr="009A34BB">
        <w:rPr>
          <w:rStyle w:val="a4"/>
          <w:rFonts w:hint="eastAsia"/>
          <w:color w:val="auto"/>
          <w:w w:val="100"/>
          <w:vertAlign w:val="baseline"/>
        </w:rPr>
        <w:tab/>
      </w:r>
      <w:r w:rsidRPr="0020718B">
        <w:rPr>
          <w:rStyle w:val="a4"/>
          <w:rFonts w:hint="eastAsia"/>
          <w:color w:val="auto"/>
          <w:spacing w:val="2"/>
          <w:w w:val="100"/>
          <w:vertAlign w:val="baseline"/>
        </w:rPr>
        <w:t>委员会赞赏地注意到国家计划生育协调员为解决负责任的性行为、少女怀孕、</w:t>
      </w:r>
      <w:r w:rsidRPr="009A34BB">
        <w:rPr>
          <w:rStyle w:val="a4"/>
          <w:rFonts w:hint="eastAsia"/>
          <w:color w:val="auto"/>
          <w:w w:val="100"/>
          <w:vertAlign w:val="baseline"/>
        </w:rPr>
        <w:t>包括避孕办法在内的计划生育服务以及性传染疾病等这些问题在中学、技术</w:t>
      </w:r>
      <w:bookmarkStart w:id="2" w:name="TmpSave"/>
      <w:bookmarkEnd w:id="2"/>
      <w:r w:rsidRPr="009A34BB">
        <w:rPr>
          <w:rStyle w:val="a4"/>
          <w:rFonts w:hint="eastAsia"/>
          <w:color w:val="auto"/>
          <w:w w:val="100"/>
          <w:vertAlign w:val="baseline"/>
        </w:rPr>
        <w:t>机构和社区学院进行的提高认识活动。不过，委员会仍然对于传统态度和文化规范阻碍使用避孕办法包括紧急避孕办法的这种信息感到关切，因为诊所护士时常认为，在学女童不宜在性方面太过活跃，因此她们不是拒绝提供避孕用品，就是将女童的性活动通知她们的母亲。</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37.</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根据《公约》第12条和委员会关于妇女和健康问题的一般性建议第24号，它建议缔约国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务必将免费和充足的性保健和生殖保健服务，特别是现代避孕办法，提供给所有妇女和女童，包括居住在离岛的妇女和女童，并通过保健和家庭生活教育课程，加强为未成年男女提供适合年龄段的关于性保健和生殖保健和权利的学校教育</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审查向妇女和女童提供性保健和生殖保健服务的政策和做法，并为保健提供者制定和进行提高认识和培训方案，使这些政策和做法得到有效执行，以期解决和克服阻碍得到计划生育服务包括避孕办法的传统态度和文化障碍</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在社区包括在格林纳丁斯的社区提供免费和保护隐私的计划生育服务，并教导妇女和女童及男子和男童负责任的性行为以及如何预防早孕和意外怀孕以及性传染疾病</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38.</w:t>
      </w:r>
      <w:r w:rsidRPr="009A34BB">
        <w:rPr>
          <w:rStyle w:val="a4"/>
          <w:rFonts w:hint="eastAsia"/>
          <w:color w:val="auto"/>
          <w:w w:val="100"/>
          <w:vertAlign w:val="baseline"/>
        </w:rPr>
        <w:tab/>
      </w:r>
      <w:r w:rsidRPr="009A34BB">
        <w:rPr>
          <w:rStyle w:val="a4"/>
          <w:rFonts w:hint="eastAsia"/>
          <w:color w:val="auto"/>
          <w:w w:val="100"/>
          <w:vertAlign w:val="baseline"/>
        </w:rPr>
        <w:t>委员会注意到，《刑法》第</w:t>
      </w:r>
      <w:r w:rsidRPr="009A34BB">
        <w:rPr>
          <w:rStyle w:val="a4"/>
          <w:rFonts w:hint="eastAsia"/>
          <w:color w:val="auto"/>
          <w:w w:val="100"/>
          <w:vertAlign w:val="baseline"/>
        </w:rPr>
        <w:t>149</w:t>
      </w:r>
      <w:r w:rsidRPr="009A34BB">
        <w:rPr>
          <w:rStyle w:val="a4"/>
          <w:rFonts w:hint="eastAsia"/>
          <w:color w:val="auto"/>
          <w:w w:val="100"/>
          <w:vertAlign w:val="baseline"/>
        </w:rPr>
        <w:t>条规定，除非属于强奸、乱伦、孕妇的生命或身心健康处于危险或胎儿严重残损，堕胎均属非法。不过，委员会对于堕胎事实上无法提供给遭到强奸或乱伦的受害者或由于怀孕而生命危殆的妇女的信息感到关切。它还关切地注意到，适当的医疗手术极其昂贵，因此不是许多设法私下堕胎的妇女的选项。它又关切地注意到，官方数据显示，孕产妇的死亡率是每</w:t>
      </w:r>
      <w:r w:rsidRPr="009A34BB">
        <w:rPr>
          <w:rStyle w:val="a4"/>
          <w:rFonts w:hint="eastAsia"/>
          <w:color w:val="auto"/>
          <w:w w:val="100"/>
          <w:vertAlign w:val="baseline"/>
        </w:rPr>
        <w:t>100</w:t>
      </w:r>
      <w:r>
        <w:rPr>
          <w:rStyle w:val="a4"/>
          <w:rFonts w:hint="eastAsia"/>
          <w:color w:val="auto"/>
          <w:w w:val="100"/>
          <w:vertAlign w:val="baseline"/>
        </w:rPr>
        <w:t xml:space="preserve"> </w:t>
      </w:r>
      <w:r w:rsidRPr="009A34BB">
        <w:rPr>
          <w:rStyle w:val="a4"/>
          <w:rFonts w:hint="eastAsia"/>
          <w:color w:val="auto"/>
          <w:w w:val="100"/>
          <w:vertAlign w:val="baseline"/>
        </w:rPr>
        <w:t>000</w:t>
      </w:r>
      <w:r w:rsidRPr="009A34BB">
        <w:rPr>
          <w:rStyle w:val="a4"/>
          <w:rFonts w:hint="eastAsia"/>
          <w:color w:val="auto"/>
          <w:w w:val="100"/>
          <w:vertAlign w:val="baseline"/>
        </w:rPr>
        <w:t>例活产死亡</w:t>
      </w:r>
      <w:r w:rsidRPr="009A34BB">
        <w:rPr>
          <w:rStyle w:val="a4"/>
          <w:rFonts w:hint="eastAsia"/>
          <w:color w:val="auto"/>
          <w:w w:val="100"/>
          <w:vertAlign w:val="baseline"/>
        </w:rPr>
        <w:t>48</w:t>
      </w:r>
      <w:r w:rsidRPr="009A34BB">
        <w:rPr>
          <w:rStyle w:val="a4"/>
          <w:rFonts w:hint="eastAsia"/>
          <w:color w:val="auto"/>
          <w:w w:val="100"/>
          <w:vertAlign w:val="baseline"/>
        </w:rPr>
        <w:t>例，据称这部分是由于缔约国内不安全堕胎造成的。</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39.</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取消对堕胎妇女的惩罚，并切实落实《刑法》第149条的规定，保证在遭到强奸、乱伦、孕妇的生命或健康处于危险或胎儿严重残损时可进行合法和安全的堕胎，以符合委员会关于妇女和健康问题的一般性建议第24号的规定，并确保妇女和女童能在保护隐私的情况下得到适当的堕胎后照顾，包括私下堕胎后的照顾</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农村妇女</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40.</w:t>
      </w:r>
      <w:r w:rsidRPr="009A34BB">
        <w:rPr>
          <w:rStyle w:val="a4"/>
          <w:rFonts w:hint="eastAsia"/>
          <w:color w:val="auto"/>
          <w:w w:val="100"/>
          <w:vertAlign w:val="baseline"/>
        </w:rPr>
        <w:tab/>
      </w:r>
      <w:r w:rsidRPr="009A34BB">
        <w:rPr>
          <w:rStyle w:val="a4"/>
          <w:rFonts w:hint="eastAsia"/>
          <w:color w:val="auto"/>
          <w:w w:val="100"/>
          <w:vertAlign w:val="baseline"/>
        </w:rPr>
        <w:t>尽管委员会欢迎缔约国作出努力，以推动发展和小额信贷项目以及改善向偏远社区提供基本社会服务的方式减少农村贫穷，但它关切地注意到，农村妇女包括偏远社区的妇女，其中包括土著妇女，不成比例地受到贫穷、失业和性别暴力的影响。农村妇女得到保健、教育、技能发展和培训以及获得司法和法律援助的机会有限，并且很少能够参与决策进程。委员会还对存在大量女户主家庭的情况感到关切，它们还处于不应有的劣势并缺乏社会保障。委员会更感关切的是，农村妇女特别易受自然灾害的影响，例如洪水、飓风和地震，这都显示于飓风“伊万”</w:t>
      </w:r>
      <w:r>
        <w:rPr>
          <w:rStyle w:val="a4"/>
          <w:rFonts w:hint="eastAsia"/>
          <w:color w:val="auto"/>
          <w:w w:val="100"/>
          <w:vertAlign w:val="baseline"/>
        </w:rPr>
        <w:t>(</w:t>
      </w:r>
      <w:r w:rsidRPr="009A34BB">
        <w:rPr>
          <w:rStyle w:val="a4"/>
          <w:rFonts w:hint="eastAsia"/>
          <w:color w:val="auto"/>
          <w:w w:val="100"/>
          <w:vertAlign w:val="baseline"/>
        </w:rPr>
        <w:t>2004</w:t>
      </w:r>
      <w:r w:rsidRPr="009A34BB">
        <w:rPr>
          <w:rStyle w:val="a4"/>
          <w:rFonts w:hint="eastAsia"/>
          <w:color w:val="auto"/>
          <w:w w:val="100"/>
          <w:vertAlign w:val="baseline"/>
        </w:rPr>
        <w:t>年</w:t>
      </w:r>
      <w:r>
        <w:rPr>
          <w:rStyle w:val="a4"/>
          <w:rFonts w:hint="eastAsia"/>
          <w:color w:val="auto"/>
          <w:w w:val="100"/>
          <w:vertAlign w:val="baseline"/>
        </w:rPr>
        <w:t>)</w:t>
      </w:r>
      <w:r w:rsidRPr="009A34BB">
        <w:rPr>
          <w:rStyle w:val="a4"/>
          <w:rFonts w:hint="eastAsia"/>
          <w:color w:val="auto"/>
          <w:w w:val="100"/>
          <w:vertAlign w:val="baseline"/>
        </w:rPr>
        <w:t>、飓风“托马斯”</w:t>
      </w:r>
      <w:r>
        <w:rPr>
          <w:rStyle w:val="a4"/>
          <w:rFonts w:hint="eastAsia"/>
          <w:color w:val="auto"/>
          <w:w w:val="100"/>
          <w:vertAlign w:val="baseline"/>
        </w:rPr>
        <w:t>(</w:t>
      </w:r>
      <w:r w:rsidRPr="009A34BB">
        <w:rPr>
          <w:rStyle w:val="a4"/>
          <w:rFonts w:hint="eastAsia"/>
          <w:color w:val="auto"/>
          <w:w w:val="100"/>
          <w:vertAlign w:val="baseline"/>
        </w:rPr>
        <w:t>2010</w:t>
      </w:r>
      <w:r w:rsidRPr="009A34BB">
        <w:rPr>
          <w:rStyle w:val="a4"/>
          <w:rFonts w:hint="eastAsia"/>
          <w:color w:val="auto"/>
          <w:w w:val="100"/>
          <w:vertAlign w:val="baseline"/>
        </w:rPr>
        <w:t>年</w:t>
      </w:r>
      <w:r>
        <w:rPr>
          <w:rStyle w:val="a4"/>
          <w:rFonts w:hint="eastAsia"/>
          <w:color w:val="auto"/>
          <w:w w:val="100"/>
          <w:vertAlign w:val="baseline"/>
        </w:rPr>
        <w:t>)</w:t>
      </w:r>
      <w:r w:rsidRPr="009A34BB">
        <w:rPr>
          <w:rStyle w:val="a4"/>
          <w:rFonts w:hint="eastAsia"/>
          <w:color w:val="auto"/>
          <w:w w:val="100"/>
          <w:vertAlign w:val="baseline"/>
        </w:rPr>
        <w:t>和热带风暴“莉莉”，以及气候影响的变化。</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41.</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强方案以解决农村妇女特别是偏远社区的农村妇女及女户主的性别暴力、贫穷和失业问题，并加强她们得到保健、社会服务和司法体系的机会，并为由于年老和残疾而受到多重歧视的妇女制定具有针对性的方案，包括使她们更能得到社会安全网的帮助</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考虑以所有处于不利地位的女户主为目标，扩大社会保障体系，包括提供附加条件的现金转让办法</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确保制定和落实关于备灾、应对自然灾害和气候变化以及其他紧急情况的政策和方案的基础是进行全面性别平等分析和将对妇女特别是农村妇女的关切主流化，并将她们纳入这些方案的设计和管理</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家庭关系和婚姻</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42.</w:t>
      </w:r>
      <w:r w:rsidRPr="009A34BB">
        <w:rPr>
          <w:rStyle w:val="a4"/>
          <w:rFonts w:hint="eastAsia"/>
          <w:color w:val="auto"/>
          <w:w w:val="100"/>
          <w:vertAlign w:val="baseline"/>
        </w:rPr>
        <w:tab/>
      </w:r>
      <w:r w:rsidRPr="009A34BB">
        <w:rPr>
          <w:rStyle w:val="a4"/>
          <w:rFonts w:hint="eastAsia"/>
          <w:color w:val="auto"/>
          <w:w w:val="100"/>
          <w:vertAlign w:val="baseline"/>
        </w:rPr>
        <w:t>委员会欢迎通过保护非婚生子女权利的国家立法，但仍对导致歧视妇女和女童的文化态度和家庭关系中权力不平衡的状况感到关切。委员会还对妇女的事实结合继续在法律上处于不利地位感到关切，她们在结合期间无权得到财产或从其伴侣得到财务支助。委员会又关切地注意到法院判定给予未婚母亲的子女和已婚母亲的子女所得抚养费不同。</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43.</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(a)</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加大力度开展提高认识运动，消除家庭中男女作用的陈规定型观念</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(b)</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依照委员会关于《公约》第16条的一般性建议第29号(婚姻、家庭关系及其解除的经济后果)，加快作出改革，包括立法改革，以期保护妇女在事实结合结束之后的财产权利，和在需要时，给予她们财务支持的权利</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(c)</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加大努力以取得足够数额的子女抚养费，并确保给予婚生子女和非婚生子女的抚养费没有不同</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ab/>
        <w:t>(d)</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考虑批准1973年《承认及执行有关赡养义务裁决的公约》</w:t>
      </w:r>
      <w:r w:rsidRPr="009A34BB">
        <w:rPr>
          <w:rStyle w:val="a4"/>
          <w:rFonts w:hint="eastAsia"/>
          <w:color w:val="auto"/>
          <w:w w:val="100"/>
          <w:vertAlign w:val="baseline"/>
        </w:rPr>
        <w:t>。</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44.</w:t>
      </w:r>
      <w:r w:rsidRPr="009A34BB">
        <w:rPr>
          <w:rStyle w:val="a4"/>
          <w:rFonts w:hint="eastAsia"/>
          <w:color w:val="auto"/>
          <w:w w:val="100"/>
          <w:vertAlign w:val="baseline"/>
        </w:rPr>
        <w:tab/>
      </w:r>
      <w:r w:rsidRPr="009A34BB">
        <w:rPr>
          <w:rStyle w:val="a4"/>
          <w:rFonts w:hint="eastAsia"/>
          <w:color w:val="auto"/>
          <w:w w:val="100"/>
          <w:vertAlign w:val="baseline"/>
        </w:rPr>
        <w:t>委员会对《婚姻法》将女童结婚最低年龄定为</w:t>
      </w:r>
      <w:r w:rsidRPr="009A34BB">
        <w:rPr>
          <w:rStyle w:val="a4"/>
          <w:rFonts w:hint="eastAsia"/>
          <w:color w:val="auto"/>
          <w:w w:val="100"/>
          <w:vertAlign w:val="baseline"/>
        </w:rPr>
        <w:t>15</w:t>
      </w:r>
      <w:r w:rsidRPr="009A34BB">
        <w:rPr>
          <w:rStyle w:val="a4"/>
          <w:rFonts w:hint="eastAsia"/>
          <w:color w:val="auto"/>
          <w:w w:val="100"/>
          <w:vertAlign w:val="baseline"/>
        </w:rPr>
        <w:t>岁和男童定为</w:t>
      </w:r>
      <w:r w:rsidRPr="009A34BB">
        <w:rPr>
          <w:rStyle w:val="a4"/>
          <w:rFonts w:hint="eastAsia"/>
          <w:color w:val="auto"/>
          <w:w w:val="100"/>
          <w:vertAlign w:val="baseline"/>
        </w:rPr>
        <w:t>16</w:t>
      </w:r>
      <w:r w:rsidRPr="009A34BB">
        <w:rPr>
          <w:rStyle w:val="a4"/>
          <w:rFonts w:hint="eastAsia"/>
          <w:color w:val="auto"/>
          <w:w w:val="100"/>
          <w:vertAlign w:val="baseline"/>
        </w:rPr>
        <w:t>岁感到关切。</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45.</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委员会敦促缔约国加快修订《婚姻法》，以便根据关于有害习俗的消除对妇女歧视委员会第31号/儿童权利委员会第18号联合一般性建议，将女童和男童的最低结婚年龄提高到18岁</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Default="009A34BB">
      <w:pPr>
        <w:spacing w:line="240" w:lineRule="auto"/>
        <w:jc w:val="left"/>
      </w:pPr>
      <w:r>
        <w:br w:type="page"/>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数据收集和分析</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46.</w:t>
      </w:r>
      <w:r w:rsidRPr="009A34BB">
        <w:rPr>
          <w:rStyle w:val="a4"/>
          <w:rFonts w:hint="eastAsia"/>
          <w:color w:val="auto"/>
          <w:w w:val="100"/>
          <w:vertAlign w:val="baseline"/>
        </w:rPr>
        <w:tab/>
      </w:r>
      <w:r w:rsidRPr="009A34BB">
        <w:rPr>
          <w:rStyle w:val="a4"/>
          <w:rFonts w:hint="eastAsia"/>
          <w:color w:val="auto"/>
          <w:w w:val="100"/>
          <w:vertAlign w:val="baseline"/>
        </w:rPr>
        <w:t>委员会感到关切的是，《公约》所涉领域普遍缺少按性别、年龄、种族、族裔、地理位置和社会经济背景分列的数据，这些数据对于评估妇女状况、制定知情和有针对性的政策以及系统监测和评价妇女在《公约》所涉所有领域实现实质性平等方面取得的进展必不可少。</w:t>
      </w: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47.</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呼吁缔约国落实按性别、年龄、残疾、种族、族裔、地理位置和社会经济背景分列的数据收集、分析和传播系统，以及利用可衡量的指标评估妇女状况趋势及妇女在《公约》所涉所有领域实现实质性平等方面取得的进展。在这方面，委员会提请缔约国注意关于涉及妇女状况的统计数据的委员会第9号一般性建议，并鼓励缔约国制订针对性别平等问题的指标，这种指标可用于性别平等政策的拟订、执行、监测和评价，如有必要，还可用于性别平等政策的审查</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《公约》的任择议定书和对第20条第1款的修订案</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48.</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委员会鼓励缔约国批准《公约》的任择议定书，并尽快接受关于委员会开会时间的《公约》第20条第1款的修订案</w:t>
      </w:r>
      <w:r w:rsidRPr="009A34BB">
        <w:rPr>
          <w:rStyle w:val="a4"/>
          <w:rFonts w:hint="eastAsia"/>
          <w:color w:val="auto"/>
          <w:w w:val="100"/>
          <w:vertAlign w:val="baseline"/>
        </w:rPr>
        <w:t>。</w:t>
      </w:r>
      <w:r w:rsidRPr="009A34BB">
        <w:rPr>
          <w:rStyle w:val="a4"/>
          <w:rFonts w:hint="eastAsia"/>
          <w:color w:val="auto"/>
          <w:w w:val="100"/>
          <w:vertAlign w:val="baseline"/>
        </w:rPr>
        <w:t xml:space="preserve"> </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北京宣言和行动纲领</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49.</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委员会呼吁缔约国在其执行《公约》条款的工作中使用《北京宣言和行动纲领》</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千年发展目标和2015年后发展框架</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50.</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委员会要求依照《公约》的规定，在实现千年发展目标的全部努力中纳入性别观点以及将其纳入2015年后发展框架</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传播</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51.</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指出，缔约国有义务以有系统及持续的方式落实《公约》各项规定。它敦促缔约国从现在至提交下一次定期报告期间，优先注意落实目前各项结论意见和建议。因此，委员会要求以缔约国的官方语言及时向所有级别(国家、地区和地方)的相关国家机构，特别是向政府、各部委、众议院和司法部门传播目前这些结论意见，使它们能够得到充分执行。它鼓励缔约国与所有相关利益攸关方，例如雇主协会、工会、人权和妇女组织、大学、研究机构以及媒体开展合作。它建议目前这些结论意见在地方社区以适当方式得到散发，使其能够得到落实。此外，委员会要求缔约国除了向所有利益攸关方传播委员会的一般性建议之外，继续向其散发《公约》及其议定书和相关司法案例</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技术援助</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52.</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委员会建议缔约国将其落实公约的工作与其发展努力联系在一起，并将利用这方面的区域或国际技术援助</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批准其他条约</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53.</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委员会指出，缔约国加入九项主要国际人权文书</w:t>
      </w:r>
      <w:r>
        <w:rPr>
          <w:rStyle w:val="a3"/>
          <w:rFonts w:ascii="黑体" w:eastAsia="黑体" w:hAnsi="黑体"/>
        </w:rPr>
        <w:footnoteReference w:id="1"/>
      </w:r>
      <w:r w:rsidRPr="009A34BB">
        <w:rPr>
          <w:rStyle w:val="a4"/>
          <w:rFonts w:ascii="黑体" w:eastAsia="黑体" w:hAnsi="黑体" w:hint="eastAsia"/>
          <w:color w:val="auto"/>
          <w:w w:val="100"/>
          <w:vertAlign w:val="baseline"/>
        </w:rPr>
        <w:t xml:space="preserve"> 将促进妇女在生活的各个方面享有人权和基本自由。因此，委员会鼓励缔约国考虑批准它尚未加入的《保护所有人免遭强迫失踪国际公约》</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结论意见的后续行动</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54.</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委员会要求缔约国在两年内提交关于落实上文第17段和第21(d)、(e)、(g)和(h)段所载各项建议采取的步骤的书面信息</w:t>
      </w:r>
      <w:r w:rsidRPr="009A34BB">
        <w:rPr>
          <w:rStyle w:val="a4"/>
          <w:rFonts w:hint="eastAsia"/>
          <w:color w:val="auto"/>
          <w:w w:val="100"/>
          <w:vertAlign w:val="baseline"/>
        </w:rPr>
        <w:t>。</w:t>
      </w:r>
    </w:p>
    <w:p w:rsidR="009A34BB" w:rsidRPr="009A34BB" w:rsidRDefault="009A34BB" w:rsidP="009A34B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4"/>
          <w:color w:val="auto"/>
          <w:w w:val="100"/>
          <w:vertAlign w:val="baseline"/>
        </w:rPr>
      </w:pPr>
      <w:r w:rsidRPr="009A34BB">
        <w:rPr>
          <w:rStyle w:val="a4"/>
          <w:rFonts w:hint="eastAsia"/>
          <w:color w:val="auto"/>
          <w:w w:val="100"/>
          <w:vertAlign w:val="baseline"/>
        </w:rPr>
        <w:tab/>
      </w:r>
      <w:r w:rsidRPr="009A34BB">
        <w:rPr>
          <w:rStyle w:val="a4"/>
          <w:rFonts w:hint="eastAsia"/>
          <w:color w:val="auto"/>
          <w:w w:val="100"/>
          <w:vertAlign w:val="baseline"/>
        </w:rPr>
        <w:tab/>
        <w:t>编制下一份报告</w:t>
      </w:r>
    </w:p>
    <w:p w:rsidR="009A34BB" w:rsidRPr="009A34BB" w:rsidRDefault="009A34BB" w:rsidP="009A34BB">
      <w:pPr>
        <w:pStyle w:val="SingleTxt"/>
        <w:spacing w:after="0" w:line="120" w:lineRule="exact"/>
        <w:rPr>
          <w:sz w:val="10"/>
        </w:rPr>
      </w:pPr>
    </w:p>
    <w:p w:rsidR="009A34BB" w:rsidRPr="009A34BB" w:rsidRDefault="009A34BB" w:rsidP="009A34BB">
      <w:pPr>
        <w:pStyle w:val="SingleTxt"/>
        <w:rPr>
          <w:rStyle w:val="a4"/>
          <w:color w:val="auto"/>
          <w:w w:val="100"/>
          <w:vertAlign w:val="baseline"/>
        </w:rPr>
      </w:pPr>
      <w:r w:rsidRPr="009A34BB">
        <w:rPr>
          <w:rStyle w:val="a4"/>
          <w:rFonts w:hint="eastAsia"/>
          <w:color w:val="auto"/>
          <w:w w:val="100"/>
          <w:vertAlign w:val="baseline"/>
        </w:rPr>
        <w:t>55.</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委员会邀请缔约国在2019年7月提交其第九次定期报告</w:t>
      </w:r>
      <w:r w:rsidRPr="009A34BB">
        <w:rPr>
          <w:rStyle w:val="a4"/>
          <w:rFonts w:hint="eastAsia"/>
          <w:color w:val="auto"/>
          <w:w w:val="100"/>
          <w:vertAlign w:val="baseline"/>
        </w:rPr>
        <w:t>。</w:t>
      </w:r>
    </w:p>
    <w:p w:rsidR="009A34BB" w:rsidRDefault="009A34BB" w:rsidP="009A34BB">
      <w:pPr>
        <w:pStyle w:val="SingleTxt"/>
        <w:spacing w:after="0" w:line="240" w:lineRule="auto"/>
      </w:pPr>
      <w:r w:rsidRPr="009A34BB">
        <w:rPr>
          <w:rStyle w:val="a4"/>
          <w:rFonts w:hint="eastAsia"/>
          <w:color w:val="auto"/>
          <w:w w:val="100"/>
          <w:vertAlign w:val="baseline"/>
        </w:rPr>
        <w:t>56.</w:t>
      </w:r>
      <w:r w:rsidRPr="009A34BB">
        <w:rPr>
          <w:rStyle w:val="a4"/>
          <w:rFonts w:hint="eastAsia"/>
          <w:color w:val="auto"/>
          <w:w w:val="100"/>
          <w:vertAlign w:val="baseline"/>
        </w:rPr>
        <w:tab/>
      </w:r>
      <w:r w:rsidRPr="009A34BB">
        <w:rPr>
          <w:rStyle w:val="a4"/>
          <w:rFonts w:ascii="黑体" w:eastAsia="黑体" w:hAnsi="黑体" w:hint="eastAsia"/>
          <w:color w:val="auto"/>
          <w:w w:val="100"/>
          <w:vertAlign w:val="baseline"/>
        </w:rPr>
        <w:t>委员会要求缔约国根据国际人权条约使用提交报告的统一准则，包括编写共同核心文件和提交具体条约文件的准则(</w:t>
      </w:r>
      <w:hyperlink r:id="rId22" w:history="1">
        <w:r w:rsidRPr="00C54C16">
          <w:rPr>
            <w:rStyle w:val="ad"/>
            <w:rFonts w:ascii="黑体" w:eastAsia="黑体" w:hAnsi="黑体" w:hint="eastAsia"/>
          </w:rPr>
          <w:t>HRI/GEN/2/Rev.6</w:t>
        </w:r>
      </w:hyperlink>
      <w:r w:rsidRPr="009A34BB">
        <w:rPr>
          <w:rStyle w:val="a4"/>
          <w:rFonts w:ascii="黑体" w:eastAsia="黑体" w:hAnsi="黑体" w:hint="eastAsia"/>
          <w:color w:val="auto"/>
          <w:w w:val="100"/>
          <w:vertAlign w:val="baseline"/>
        </w:rPr>
        <w:t>，第一章)</w:t>
      </w:r>
      <w:r w:rsidRPr="009A34BB">
        <w:rPr>
          <w:rStyle w:val="a4"/>
          <w:rFonts w:hint="eastAsia"/>
          <w:color w:val="auto"/>
          <w:w w:val="100"/>
          <w:vertAlign w:val="baseline"/>
        </w:rPr>
        <w:t>。</w:t>
      </w:r>
    </w:p>
    <w:p w:rsidR="00FB5A77" w:rsidRPr="009A34BB" w:rsidRDefault="009A34BB" w:rsidP="009A34BB">
      <w:pPr>
        <w:pStyle w:val="SingleTxt"/>
        <w:spacing w:after="0" w:line="240" w:lineRule="auto"/>
        <w:rPr>
          <w:rStyle w:val="a4"/>
          <w:color w:val="auto"/>
          <w:w w:val="100"/>
          <w:sz w:val="20"/>
          <w:vertAlign w:val="baseline"/>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FB5A77" w:rsidRPr="009A34BB" w:rsidSect="00FB5A77">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8T13:31:00Z" w:initials="Start">
    <w:p w:rsidR="00FB5A77" w:rsidRDefault="00FB5A77">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C54C16">
        <w:rPr>
          <w:rFonts w:hint="eastAsia"/>
          <w:noProof/>
        </w:rPr>
        <w:t>页</w:t>
      </w:r>
      <w:r w:rsidR="00C54C16">
        <w:rPr>
          <w:rFonts w:hint="eastAsia"/>
          <w:noProof/>
        </w:rPr>
        <w:t xml:space="preserve">: </w:t>
      </w:r>
      <w:r w:rsidR="00C54C16">
        <w:rPr>
          <w:noProof/>
        </w:rPr>
        <w:t>1</w:t>
      </w:r>
      <w:r w:rsidR="00C54C16">
        <w:rPr>
          <w:rFonts w:hint="eastAsia"/>
          <w:noProof/>
        </w:rPr>
        <w:br/>
      </w:r>
      <w:r>
        <w:fldChar w:fldCharType="end"/>
      </w:r>
      <w:r>
        <w:rPr>
          <w:rStyle w:val="a9"/>
        </w:rPr>
        <w:annotationRef/>
      </w:r>
      <w:r>
        <w:t>&lt;&lt;ODS JOB NO&gt;&gt;N1523464C&lt;&lt;ODS JOB NO&gt;&gt;</w:t>
      </w:r>
    </w:p>
    <w:p w:rsidR="00FB5A77" w:rsidRDefault="00FB5A77">
      <w:pPr>
        <w:pStyle w:val="a7"/>
      </w:pPr>
      <w:r>
        <w:t>&lt;&lt;ODS DOC SYMBOL1&gt;&gt;CEDAW/C/VCT/CO/4-8&lt;&lt;ODS DOC SYMBOL1&gt;&gt;</w:t>
      </w:r>
    </w:p>
    <w:p w:rsidR="00FB5A77" w:rsidRDefault="00FB5A77">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E4" w:rsidRDefault="00A634E4">
      <w:r>
        <w:separator/>
      </w:r>
    </w:p>
  </w:endnote>
  <w:endnote w:type="continuationSeparator" w:id="0">
    <w:p w:rsidR="00A634E4" w:rsidRDefault="00A6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5A77" w:rsidTr="00FB5A77">
      <w:tc>
        <w:tcPr>
          <w:tcW w:w="5028" w:type="dxa"/>
          <w:shd w:val="clear" w:color="auto" w:fill="auto"/>
        </w:tcPr>
        <w:p w:rsidR="00FB5A77" w:rsidRPr="00FB5A77" w:rsidRDefault="00FB5A77" w:rsidP="00FB5A7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4C16">
            <w:rPr>
              <w:b w:val="0"/>
              <w:w w:val="103"/>
              <w:sz w:val="14"/>
            </w:rPr>
            <w:t>15-12791 (C)</w:t>
          </w:r>
          <w:r>
            <w:rPr>
              <w:b w:val="0"/>
              <w:w w:val="103"/>
              <w:sz w:val="14"/>
            </w:rPr>
            <w:fldChar w:fldCharType="end"/>
          </w:r>
        </w:p>
      </w:tc>
      <w:tc>
        <w:tcPr>
          <w:tcW w:w="5028" w:type="dxa"/>
          <w:shd w:val="clear" w:color="auto" w:fill="auto"/>
        </w:tcPr>
        <w:p w:rsidR="00FB5A77" w:rsidRPr="00FB5A77" w:rsidRDefault="00FB5A77" w:rsidP="00FB5A77">
          <w:pPr>
            <w:pStyle w:val="ac"/>
            <w:jc w:val="left"/>
            <w:rPr>
              <w:w w:val="103"/>
            </w:rPr>
          </w:pPr>
          <w:r>
            <w:rPr>
              <w:w w:val="103"/>
            </w:rPr>
            <w:fldChar w:fldCharType="begin"/>
          </w:r>
          <w:r>
            <w:rPr>
              <w:w w:val="103"/>
            </w:rPr>
            <w:instrText xml:space="preserve"> PAGE  \* Arabic  \* MERGEFORMAT </w:instrText>
          </w:r>
          <w:r>
            <w:rPr>
              <w:w w:val="103"/>
            </w:rPr>
            <w:fldChar w:fldCharType="separate"/>
          </w:r>
          <w:r w:rsidR="00117A68">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7A68">
            <w:rPr>
              <w:w w:val="103"/>
            </w:rPr>
            <w:t>12</w:t>
          </w:r>
          <w:r>
            <w:rPr>
              <w:w w:val="103"/>
            </w:rPr>
            <w:fldChar w:fldCharType="end"/>
          </w:r>
        </w:p>
      </w:tc>
    </w:tr>
  </w:tbl>
  <w:p w:rsidR="00FB5A77" w:rsidRPr="00FB5A77" w:rsidRDefault="00FB5A77" w:rsidP="00FB5A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B5A77" w:rsidTr="00FB5A77">
      <w:tc>
        <w:tcPr>
          <w:tcW w:w="5028" w:type="dxa"/>
          <w:shd w:val="clear" w:color="auto" w:fill="auto"/>
        </w:tcPr>
        <w:p w:rsidR="00FB5A77" w:rsidRPr="00FB5A77" w:rsidRDefault="00FB5A77" w:rsidP="00FB5A77">
          <w:pPr>
            <w:pStyle w:val="ac"/>
            <w:jc w:val="right"/>
          </w:pPr>
          <w:r>
            <w:fldChar w:fldCharType="begin"/>
          </w:r>
          <w:r>
            <w:instrText xml:space="preserve"> PAGE  \* Arabic  \* MERGEFORMAT </w:instrText>
          </w:r>
          <w:r>
            <w:fldChar w:fldCharType="separate"/>
          </w:r>
          <w:r w:rsidR="00117A68">
            <w:t>9</w:t>
          </w:r>
          <w:r>
            <w:fldChar w:fldCharType="end"/>
          </w:r>
          <w:r>
            <w:t>/</w:t>
          </w:r>
          <w:fldSimple w:instr=" NUMPAGES  \* Arabic  \* MERGEFORMAT ">
            <w:r w:rsidR="00117A68">
              <w:t>12</w:t>
            </w:r>
          </w:fldSimple>
        </w:p>
      </w:tc>
      <w:tc>
        <w:tcPr>
          <w:tcW w:w="5028" w:type="dxa"/>
          <w:shd w:val="clear" w:color="auto" w:fill="auto"/>
        </w:tcPr>
        <w:p w:rsidR="00FB5A77" w:rsidRPr="00FB5A77" w:rsidRDefault="00FB5A77" w:rsidP="00FB5A7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4C16">
            <w:rPr>
              <w:b w:val="0"/>
              <w:w w:val="103"/>
              <w:sz w:val="14"/>
            </w:rPr>
            <w:t>15-12791 (C)</w:t>
          </w:r>
          <w:r>
            <w:rPr>
              <w:b w:val="0"/>
              <w:w w:val="103"/>
              <w:sz w:val="14"/>
            </w:rPr>
            <w:fldChar w:fldCharType="end"/>
          </w:r>
        </w:p>
      </w:tc>
    </w:tr>
  </w:tbl>
  <w:p w:rsidR="00FB5A77" w:rsidRPr="00FB5A77" w:rsidRDefault="00FB5A77" w:rsidP="00FB5A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FB5A77" w:rsidTr="00FB5A77">
      <w:tc>
        <w:tcPr>
          <w:tcW w:w="3744" w:type="dxa"/>
        </w:tcPr>
        <w:p w:rsidR="00FB5A77" w:rsidRDefault="00C54C16" w:rsidP="00FB5A77">
          <w:pPr>
            <w:pStyle w:val="Release"/>
          </w:pPr>
          <w:r w:rsidRPr="00C54C16">
            <w:t>15-12791 X (C)    280915    061015</w:t>
          </w:r>
          <w:r w:rsidR="00FB5A77">
            <w:rPr>
              <w:noProof/>
            </w:rPr>
            <w:drawing>
              <wp:anchor distT="0" distB="0" distL="114300" distR="114300" simplePos="0" relativeHeight="251658240" behindDoc="0" locked="0" layoutInCell="1" allowOverlap="1" wp14:anchorId="69FE709B" wp14:editId="6132E869">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VCT/CO/4-8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CT/CO/4-8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FB5A77" w:rsidRPr="00FB5A77" w:rsidRDefault="00FB5A77" w:rsidP="00FB5A77">
          <w:pPr>
            <w:spacing w:before="80" w:line="210" w:lineRule="exact"/>
            <w:rPr>
              <w:rFonts w:ascii="Barcode 3 of 9 by request" w:hAnsi="Barcode 3 of 9 by request"/>
              <w:sz w:val="24"/>
            </w:rPr>
          </w:pPr>
          <w:r>
            <w:rPr>
              <w:rFonts w:ascii="Barcode 3 of 9 by request" w:hAnsi="Barcode 3 of 9 by request" w:hint="eastAsia"/>
              <w:sz w:val="24"/>
            </w:rPr>
            <w:t>*1512791*</w:t>
          </w:r>
        </w:p>
      </w:tc>
      <w:tc>
        <w:tcPr>
          <w:tcW w:w="5028" w:type="dxa"/>
        </w:tcPr>
        <w:p w:rsidR="00FB5A77" w:rsidRDefault="00FB5A77" w:rsidP="00FB5A77">
          <w:pPr>
            <w:pStyle w:val="ac"/>
            <w:jc w:val="right"/>
            <w:rPr>
              <w:b w:val="0"/>
              <w:sz w:val="21"/>
            </w:rPr>
          </w:pPr>
          <w:r>
            <w:rPr>
              <w:b w:val="0"/>
              <w:sz w:val="21"/>
            </w:rPr>
            <w:drawing>
              <wp:inline distT="0" distB="0" distL="0" distR="0" wp14:anchorId="790AF8E1" wp14:editId="34FACFC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B5A77" w:rsidRPr="00FB5A77" w:rsidRDefault="00FB5A77" w:rsidP="00FB5A7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E4" w:rsidRPr="009A34BB" w:rsidRDefault="009A34BB" w:rsidP="009A34BB">
      <w:pPr>
        <w:pStyle w:val="ac"/>
        <w:spacing w:after="80"/>
        <w:ind w:left="792"/>
        <w:rPr>
          <w:sz w:val="16"/>
        </w:rPr>
      </w:pPr>
      <w:r w:rsidRPr="009A34BB">
        <w:rPr>
          <w:sz w:val="16"/>
        </w:rPr>
        <w:t>__________________</w:t>
      </w:r>
    </w:p>
  </w:footnote>
  <w:footnote w:type="continuationSeparator" w:id="0">
    <w:p w:rsidR="00A634E4" w:rsidRPr="009A34BB" w:rsidRDefault="009A34BB" w:rsidP="009A34BB">
      <w:pPr>
        <w:pStyle w:val="ac"/>
        <w:spacing w:after="80"/>
        <w:ind w:left="792"/>
        <w:rPr>
          <w:sz w:val="16"/>
        </w:rPr>
      </w:pPr>
      <w:r w:rsidRPr="009A34BB">
        <w:rPr>
          <w:sz w:val="16"/>
        </w:rPr>
        <w:t>__________________</w:t>
      </w:r>
    </w:p>
  </w:footnote>
  <w:footnote w:id="1">
    <w:p w:rsidR="009A34BB" w:rsidRDefault="009A34BB" w:rsidP="009A34B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9A34BB">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5A77" w:rsidTr="00FB5A77">
      <w:trPr>
        <w:trHeight w:hRule="exact" w:val="864"/>
      </w:trPr>
      <w:tc>
        <w:tcPr>
          <w:tcW w:w="4838" w:type="dxa"/>
          <w:shd w:val="clear" w:color="auto" w:fill="auto"/>
          <w:vAlign w:val="bottom"/>
        </w:tcPr>
        <w:p w:rsidR="00FB5A77" w:rsidRPr="00FB5A77" w:rsidRDefault="00FB5A77" w:rsidP="00FB5A7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54C16">
            <w:rPr>
              <w:b/>
              <w:sz w:val="17"/>
            </w:rPr>
            <w:t>CEDAW/C/VCT/CO/4-8</w:t>
          </w:r>
          <w:r>
            <w:rPr>
              <w:b/>
              <w:sz w:val="17"/>
            </w:rPr>
            <w:fldChar w:fldCharType="end"/>
          </w:r>
        </w:p>
      </w:tc>
      <w:tc>
        <w:tcPr>
          <w:tcW w:w="5028" w:type="dxa"/>
          <w:shd w:val="clear" w:color="auto" w:fill="auto"/>
          <w:vAlign w:val="bottom"/>
        </w:tcPr>
        <w:p w:rsidR="00FB5A77" w:rsidRDefault="00FB5A77" w:rsidP="00FB5A77">
          <w:pPr>
            <w:pStyle w:val="ab"/>
          </w:pPr>
        </w:p>
      </w:tc>
    </w:tr>
  </w:tbl>
  <w:p w:rsidR="00FB5A77" w:rsidRPr="00FB5A77" w:rsidRDefault="00FB5A77" w:rsidP="00FB5A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5A77" w:rsidTr="00FB5A77">
      <w:trPr>
        <w:trHeight w:hRule="exact" w:val="864"/>
      </w:trPr>
      <w:tc>
        <w:tcPr>
          <w:tcW w:w="4838" w:type="dxa"/>
          <w:shd w:val="clear" w:color="auto" w:fill="auto"/>
          <w:vAlign w:val="bottom"/>
        </w:tcPr>
        <w:p w:rsidR="00FB5A77" w:rsidRDefault="00FB5A77" w:rsidP="00FB5A77">
          <w:pPr>
            <w:pStyle w:val="ab"/>
          </w:pPr>
        </w:p>
      </w:tc>
      <w:tc>
        <w:tcPr>
          <w:tcW w:w="5028" w:type="dxa"/>
          <w:shd w:val="clear" w:color="auto" w:fill="auto"/>
          <w:vAlign w:val="bottom"/>
        </w:tcPr>
        <w:p w:rsidR="00FB5A77" w:rsidRPr="00FB5A77" w:rsidRDefault="00FB5A77" w:rsidP="00FB5A7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54C16">
            <w:rPr>
              <w:b/>
              <w:sz w:val="17"/>
            </w:rPr>
            <w:t>CEDAW/C/VCT/CO/4-8</w:t>
          </w:r>
          <w:r>
            <w:rPr>
              <w:b/>
              <w:sz w:val="17"/>
            </w:rPr>
            <w:fldChar w:fldCharType="end"/>
          </w:r>
        </w:p>
      </w:tc>
    </w:tr>
  </w:tbl>
  <w:p w:rsidR="00FB5A77" w:rsidRPr="00FB5A77" w:rsidRDefault="00FB5A77" w:rsidP="00FB5A7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B5A77" w:rsidTr="00FB5A77">
      <w:trPr>
        <w:gridAfter w:val="1"/>
        <w:wAfter w:w="12" w:type="dxa"/>
        <w:trHeight w:hRule="exact" w:val="864"/>
      </w:trPr>
      <w:tc>
        <w:tcPr>
          <w:tcW w:w="1267" w:type="dxa"/>
          <w:tcBorders>
            <w:bottom w:val="single" w:sz="4" w:space="0" w:color="auto"/>
          </w:tcBorders>
          <w:shd w:val="clear" w:color="auto" w:fill="auto"/>
          <w:vAlign w:val="bottom"/>
        </w:tcPr>
        <w:p w:rsidR="00FB5A77" w:rsidRDefault="00FB5A77" w:rsidP="00FB5A77">
          <w:pPr>
            <w:pStyle w:val="ab"/>
            <w:spacing w:after="120"/>
          </w:pPr>
        </w:p>
      </w:tc>
      <w:tc>
        <w:tcPr>
          <w:tcW w:w="1872" w:type="dxa"/>
          <w:tcBorders>
            <w:bottom w:val="single" w:sz="4" w:space="0" w:color="auto"/>
          </w:tcBorders>
          <w:shd w:val="clear" w:color="auto" w:fill="auto"/>
          <w:vAlign w:val="bottom"/>
        </w:tcPr>
        <w:p w:rsidR="00FB5A77" w:rsidRPr="00FB5A77" w:rsidRDefault="00FB5A77" w:rsidP="00FB5A7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FB5A77" w:rsidRDefault="00FB5A77" w:rsidP="00FB5A77">
          <w:pPr>
            <w:pStyle w:val="ab"/>
            <w:spacing w:after="120"/>
          </w:pPr>
        </w:p>
      </w:tc>
      <w:tc>
        <w:tcPr>
          <w:tcW w:w="6523" w:type="dxa"/>
          <w:gridSpan w:val="3"/>
          <w:tcBorders>
            <w:bottom w:val="single" w:sz="4" w:space="0" w:color="auto"/>
          </w:tcBorders>
          <w:shd w:val="clear" w:color="auto" w:fill="auto"/>
          <w:vAlign w:val="bottom"/>
        </w:tcPr>
        <w:p w:rsidR="00FB5A77" w:rsidRPr="00FB5A77" w:rsidRDefault="00FB5A77" w:rsidP="00FB5A77">
          <w:pPr>
            <w:spacing w:after="80" w:line="240" w:lineRule="auto"/>
            <w:jc w:val="right"/>
            <w:rPr>
              <w:position w:val="-4"/>
            </w:rPr>
          </w:pPr>
          <w:r>
            <w:rPr>
              <w:position w:val="-4"/>
              <w:sz w:val="40"/>
            </w:rPr>
            <w:t>CEDAW</w:t>
          </w:r>
          <w:r>
            <w:rPr>
              <w:position w:val="-4"/>
            </w:rPr>
            <w:t>/C/VCT/CO/4-8</w:t>
          </w:r>
        </w:p>
      </w:tc>
    </w:tr>
    <w:tr w:rsidR="00FB5A77" w:rsidRPr="00FB5A77" w:rsidTr="00FB5A77">
      <w:trPr>
        <w:trHeight w:hRule="exact" w:val="2880"/>
      </w:trPr>
      <w:tc>
        <w:tcPr>
          <w:tcW w:w="1267" w:type="dxa"/>
          <w:tcBorders>
            <w:top w:val="single" w:sz="4" w:space="0" w:color="auto"/>
            <w:bottom w:val="single" w:sz="12" w:space="0" w:color="auto"/>
          </w:tcBorders>
          <w:shd w:val="clear" w:color="auto" w:fill="auto"/>
        </w:tcPr>
        <w:p w:rsidR="00FB5A77" w:rsidRPr="00FB5A77" w:rsidRDefault="00FB5A77" w:rsidP="00FB5A77">
          <w:pPr>
            <w:pStyle w:val="ab"/>
            <w:spacing w:before="109"/>
            <w:ind w:left="-72"/>
          </w:pPr>
          <w:r>
            <w:t xml:space="preserve"> </w:t>
          </w:r>
          <w:r>
            <w:drawing>
              <wp:inline distT="0" distB="0" distL="0" distR="0" wp14:anchorId="04392185" wp14:editId="1EC7972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B5A77" w:rsidRPr="00FB5A77" w:rsidRDefault="00FB5A77" w:rsidP="00FB5A7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B5A77" w:rsidRPr="00FB5A77" w:rsidRDefault="00FB5A77" w:rsidP="00FB5A77">
          <w:pPr>
            <w:pStyle w:val="ab"/>
            <w:spacing w:before="109"/>
          </w:pPr>
        </w:p>
      </w:tc>
      <w:tc>
        <w:tcPr>
          <w:tcW w:w="3180" w:type="dxa"/>
          <w:gridSpan w:val="2"/>
          <w:tcBorders>
            <w:top w:val="single" w:sz="4" w:space="0" w:color="auto"/>
            <w:bottom w:val="single" w:sz="12" w:space="0" w:color="auto"/>
          </w:tcBorders>
          <w:shd w:val="clear" w:color="auto" w:fill="auto"/>
        </w:tcPr>
        <w:p w:rsidR="00FB5A77" w:rsidRDefault="00FB5A77" w:rsidP="00FB5A77">
          <w:pPr>
            <w:pStyle w:val="Distr"/>
          </w:pPr>
          <w:r>
            <w:t>Distr.: General</w:t>
          </w:r>
        </w:p>
        <w:p w:rsidR="00FB5A77" w:rsidRDefault="00FB5A77" w:rsidP="00FB5A77">
          <w:pPr>
            <w:pStyle w:val="Publication"/>
          </w:pPr>
          <w:r>
            <w:t>28 July 2015</w:t>
          </w:r>
        </w:p>
        <w:p w:rsidR="00FB5A77" w:rsidRDefault="00FB5A77" w:rsidP="00FB5A77">
          <w:pPr>
            <w:spacing w:line="240" w:lineRule="exact"/>
          </w:pPr>
          <w:r>
            <w:t>Chinese</w:t>
          </w:r>
        </w:p>
        <w:p w:rsidR="00FB5A77" w:rsidRDefault="00FB5A77" w:rsidP="00FB5A77">
          <w:pPr>
            <w:pStyle w:val="Original"/>
          </w:pPr>
          <w:r>
            <w:t>Original: English</w:t>
          </w:r>
        </w:p>
        <w:p w:rsidR="00FB5A77" w:rsidRPr="00FB5A77" w:rsidRDefault="00FB5A77" w:rsidP="00FB5A77"/>
      </w:tc>
    </w:tr>
  </w:tbl>
  <w:p w:rsidR="00FB5A77" w:rsidRPr="00FB5A77" w:rsidRDefault="00FB5A77" w:rsidP="00FB5A7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91*"/>
    <w:docVar w:name="CreationDt" w:val="28/09/2015 13:17:47"/>
    <w:docVar w:name="DocCategory" w:val="Doc"/>
    <w:docVar w:name="DocType" w:val="Final"/>
    <w:docVar w:name="DutyStation" w:val="New York"/>
    <w:docVar w:name="FooterJN" w:val="15-12791 (C)"/>
    <w:docVar w:name="jobn" w:val="15-12791 (C)"/>
    <w:docVar w:name="jobnDT" w:val="15-12791 (C)   280915"/>
    <w:docVar w:name="jobnDTDT" w:val="15-12791 (C)   280915   280915"/>
    <w:docVar w:name="JobNo" w:val="1512791C"/>
    <w:docVar w:name="LocalDrive" w:val="0"/>
    <w:docVar w:name="OandT" w:val="yanghua"/>
    <w:docVar w:name="PaperSize" w:val="Letter"/>
    <w:docVar w:name="sss1" w:val="CEDAW/C/VCT/CO/4-8"/>
    <w:docVar w:name="sss2" w:val="-"/>
    <w:docVar w:name="Symbol1" w:val="CEDAW/C/VCT/CO/4-8"/>
    <w:docVar w:name="Symbol2" w:val="-"/>
  </w:docVars>
  <w:rsids>
    <w:rsidRoot w:val="00A634E4"/>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17A68"/>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0718B"/>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2B1"/>
    <w:rsid w:val="00872730"/>
    <w:rsid w:val="00883DB0"/>
    <w:rsid w:val="008843BC"/>
    <w:rsid w:val="00884C8F"/>
    <w:rsid w:val="0088790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A34B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4E4"/>
    <w:rsid w:val="00A635A7"/>
    <w:rsid w:val="00A652D9"/>
    <w:rsid w:val="00A72E47"/>
    <w:rsid w:val="00A74DBA"/>
    <w:rsid w:val="00A750A5"/>
    <w:rsid w:val="00A778F1"/>
    <w:rsid w:val="00A90956"/>
    <w:rsid w:val="00A95404"/>
    <w:rsid w:val="00A954C6"/>
    <w:rsid w:val="00A963B9"/>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54C16"/>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170F1"/>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B4F96"/>
    <w:rsid w:val="00FB5A77"/>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VCT/Q/" TargetMode="External"/><Relationship Id="rId3" Type="http://schemas.openxmlformats.org/officeDocument/2006/relationships/styles" Target="styles.xml"/><Relationship Id="rId21" Type="http://schemas.openxmlformats.org/officeDocument/2006/relationships/hyperlink" Target="http://undocs.org/ch/A/52/38/Rev.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323" TargetMode="External"/><Relationship Id="rId2" Type="http://schemas.openxmlformats.org/officeDocument/2006/relationships/numbering" Target="numbering.xml"/><Relationship Id="rId16" Type="http://schemas.openxmlformats.org/officeDocument/2006/relationships/hyperlink" Target="http://undocs.org/ch/CEDAW/C/VCT/4" TargetMode="External"/><Relationship Id="rId20" Type="http://schemas.openxmlformats.org/officeDocument/2006/relationships/hyperlink" Target="http://undocs.org/ch/CEDAW/C/ST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VCT/Q/4-8/Add.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CD2E-82F8-436C-BF6B-566D9E6B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1594</Words>
  <Characters>9087</Characters>
  <Application>Microsoft Office Word</Application>
  <DocSecurity>0</DocSecurity>
  <Lines>75</Lines>
  <Paragraphs>21</Paragraphs>
  <ScaleCrop>false</ScaleCrop>
  <Company>United Nations</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Ctpu1</cp:lastModifiedBy>
  <cp:revision>10</cp:revision>
  <cp:lastPrinted>2015-09-28T17:31:00Z</cp:lastPrinted>
  <dcterms:created xsi:type="dcterms:W3CDTF">2015-09-28T17:17:00Z</dcterms:created>
  <dcterms:modified xsi:type="dcterms:W3CDTF">2015-10-06T18:40:00Z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1512791</vt:lpwstr>
  </property>
  <property fmtid="{D5CDD505-2E9C-101B-9397-08002B2CF9AE}" pid="3" name="ODSRefJobNo">
    <vt:lpwstr>1523464C</vt:lpwstr>
  </property>
  <property fmtid="{D5CDD505-2E9C-101B-9397-08002B2CF9AE}" pid="4" name="Symbol1">
    <vt:lpwstr>CEDAW/C/VCT/CO/4-8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July 2015</vt:lpwstr>
  </property>
  <property fmtid="{D5CDD505-2E9C-101B-9397-08002B2CF9AE}" pid="9" name="Original">
    <vt:lpwstr>English</vt:lpwstr>
  </property>
  <property fmtid="{D5CDD505-2E9C-101B-9397-08002B2CF9AE}" pid="10" name="Release Date">
    <vt:lpwstr>280915</vt:lpwstr>
  </property>
  <property fmtid="{D5CDD505-2E9C-101B-9397-08002B2CF9AE}" pid="11" name="Comment">
    <vt:lpwstr/>
  </property>
  <property fmtid="{D5CDD505-2E9C-101B-9397-08002B2CF9AE}" pid="12" name="DraftPages">
    <vt:lpwstr> </vt:lpwstr>
  </property>
  <property fmtid="{D5CDD505-2E9C-101B-9397-08002B2CF9AE}" pid="13" name="Operator">
    <vt:lpwstr>yanghua</vt:lpwstr>
  </property>
</Properties>
</file>