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C3" w:rsidRDefault="002E36C3" w:rsidP="002E36C3">
      <w:pPr>
        <w:spacing w:line="60" w:lineRule="exact"/>
        <w:rPr>
          <w:sz w:val="6"/>
        </w:rPr>
        <w:sectPr w:rsidR="002E36C3" w:rsidSect="002E36C3">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2E36C3">
      <w:pPr>
        <w:spacing w:line="60" w:lineRule="exact"/>
        <w:rPr>
          <w:sz w:val="6"/>
        </w:rPr>
      </w:pPr>
    </w:p>
    <w:p w:rsidR="00EC5325" w:rsidRDefault="00EC5325" w:rsidP="00EC53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EC5325" w:rsidRPr="00EC5325" w:rsidRDefault="00EC5325" w:rsidP="00EC5325">
      <w:pPr>
        <w:pStyle w:val="SingleTxt"/>
        <w:spacing w:after="0" w:line="120" w:lineRule="exact"/>
        <w:rPr>
          <w:rFonts w:hint="eastAsia"/>
          <w:sz w:val="10"/>
        </w:rPr>
      </w:pPr>
    </w:p>
    <w:p w:rsidR="00EC5325" w:rsidRPr="00EC5325" w:rsidRDefault="00EC5325" w:rsidP="00EC5325">
      <w:pPr>
        <w:pStyle w:val="SingleTxt"/>
        <w:spacing w:after="0" w:line="120" w:lineRule="exact"/>
        <w:rPr>
          <w:rFonts w:hint="eastAsia"/>
          <w:sz w:val="10"/>
        </w:rPr>
      </w:pPr>
    </w:p>
    <w:p w:rsidR="00EC5325" w:rsidRPr="00EC5325" w:rsidRDefault="00EC5325" w:rsidP="00EC5325">
      <w:pPr>
        <w:pStyle w:val="SingleTxt"/>
        <w:spacing w:after="0" w:line="120" w:lineRule="exact"/>
        <w:rPr>
          <w:rFonts w:hint="eastAsia"/>
          <w:sz w:val="10"/>
        </w:rPr>
      </w:pPr>
    </w:p>
    <w:p w:rsidR="00EC5325" w:rsidRDefault="00EC5325" w:rsidP="00EC53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与委内瑞拉玻利瓦尔共和国第七和第八次合并定期报告有关的议题和问题清单</w:t>
      </w:r>
    </w:p>
    <w:p w:rsidR="00EC5325" w:rsidRPr="00EC5325" w:rsidRDefault="00EC5325" w:rsidP="00EC53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EC5325" w:rsidRPr="00EC5325" w:rsidRDefault="00EC5325" w:rsidP="00EC53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EC5325" w:rsidRDefault="00EC5325" w:rsidP="00EC532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增编</w:t>
      </w:r>
    </w:p>
    <w:p w:rsidR="00EC5325" w:rsidRPr="00EC5325" w:rsidRDefault="00EC5325" w:rsidP="00EC5325">
      <w:pPr>
        <w:pStyle w:val="SingleTxt"/>
        <w:spacing w:after="0" w:line="120" w:lineRule="exact"/>
        <w:rPr>
          <w:rFonts w:hint="eastAsia"/>
          <w:sz w:val="10"/>
        </w:rPr>
      </w:pPr>
    </w:p>
    <w:p w:rsidR="00EC5325" w:rsidRPr="00EC5325" w:rsidRDefault="00EC5325" w:rsidP="00EC5325">
      <w:pPr>
        <w:framePr w:w="9792" w:h="432" w:hSpace="180" w:wrap="around" w:hAnchor="page" w:x="1210" w:yAlign="bottom"/>
        <w:spacing w:line="100" w:lineRule="exact"/>
        <w:rPr>
          <w:sz w:val="10"/>
        </w:rPr>
      </w:pPr>
    </w:p>
    <w:p w:rsidR="00EC5325" w:rsidRPr="00EC5325" w:rsidRDefault="00EC5325" w:rsidP="00EC5325">
      <w:pPr>
        <w:framePr w:w="9792" w:h="432" w:hSpace="180" w:wrap="around" w:hAnchor="page" w:x="1210" w:yAlign="bottom"/>
        <w:spacing w:line="60" w:lineRule="exact"/>
        <w:rPr>
          <w:sz w:val="6"/>
        </w:rPr>
      </w:pPr>
      <w:r w:rsidRPr="00EC5325">
        <w:rPr>
          <w:noProof/>
          <w:sz w:val="6"/>
        </w:rPr>
        <w:pict>
          <v:line id="_x0000_s1027" style="position:absolute;left:0;text-align:left;z-index:2;mso-position-horizontal-relative:page" from="108pt,-1pt" to="180pt,-1pt" strokeweight=".25pt">
            <w10:wrap anchorx="page"/>
          </v:line>
        </w:pict>
      </w:r>
    </w:p>
    <w:p w:rsidR="00EC5325" w:rsidRPr="00EC5325" w:rsidRDefault="00EC5325" w:rsidP="00EC5325">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EC5325">
        <w:rPr>
          <w:rFonts w:hint="eastAsia"/>
          <w:sz w:val="18"/>
        </w:rPr>
        <w:tab/>
      </w:r>
      <w:r w:rsidRPr="00EC5325">
        <w:rPr>
          <w:rFonts w:hint="eastAsia"/>
          <w:sz w:val="18"/>
          <w:vertAlign w:val="superscript"/>
        </w:rPr>
        <w:t>*</w:t>
      </w:r>
      <w:r w:rsidRPr="00EC5325">
        <w:rPr>
          <w:rFonts w:hint="eastAsia"/>
          <w:sz w:val="18"/>
        </w:rPr>
        <w:tab/>
      </w:r>
      <w:r w:rsidRPr="00EC5325">
        <w:rPr>
          <w:rFonts w:hint="eastAsia"/>
          <w:sz w:val="18"/>
        </w:rPr>
        <w:t>本文件发布时未经正式编辑。</w:t>
      </w:r>
    </w:p>
    <w:p w:rsidR="008625CB" w:rsidRPr="008625CB" w:rsidRDefault="008625CB" w:rsidP="008625C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EC5325" w:rsidRDefault="00EC5325" w:rsidP="00EC532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委内瑞拉玻利瓦尔共和国的答复</w:t>
      </w:r>
      <w:r w:rsidRPr="00EC5325">
        <w:rPr>
          <w:rFonts w:hint="eastAsia"/>
          <w:vertAlign w:val="superscript"/>
        </w:rPr>
        <w:t>*</w:t>
      </w:r>
    </w:p>
    <w:p w:rsidR="00EC5325" w:rsidRPr="00EC5325" w:rsidRDefault="00EC5325" w:rsidP="00EC5325">
      <w:pPr>
        <w:pStyle w:val="SingleTxt"/>
        <w:spacing w:after="0" w:line="120" w:lineRule="exact"/>
        <w:rPr>
          <w:rFonts w:hint="eastAsia"/>
          <w:sz w:val="10"/>
        </w:rPr>
      </w:pPr>
    </w:p>
    <w:p w:rsidR="00EC5325" w:rsidRPr="00EC5325" w:rsidRDefault="00EC5325" w:rsidP="00EC5325">
      <w:pPr>
        <w:pStyle w:val="SingleTxt"/>
        <w:spacing w:after="0" w:line="120" w:lineRule="exact"/>
        <w:rPr>
          <w:rFonts w:hint="eastAsia"/>
          <w:sz w:val="10"/>
        </w:rPr>
      </w:pPr>
    </w:p>
    <w:p w:rsidR="00EC5325" w:rsidRDefault="00EC5325" w:rsidP="009D42A2">
      <w:pPr>
        <w:pStyle w:val="SingleTxt"/>
        <w:jc w:val="right"/>
        <w:rPr>
          <w:rFonts w:hint="eastAsia"/>
        </w:rPr>
      </w:pPr>
      <w:r>
        <w:rPr>
          <w:rFonts w:hint="eastAsia"/>
        </w:rPr>
        <w:t>[</w:t>
      </w:r>
      <w:r>
        <w:rPr>
          <w:rFonts w:hint="eastAsia"/>
        </w:rPr>
        <w:t>接收日期：</w:t>
      </w:r>
      <w:r>
        <w:rPr>
          <w:rFonts w:hint="eastAsia"/>
        </w:rPr>
        <w:t>2014</w:t>
      </w:r>
      <w:r>
        <w:rPr>
          <w:rFonts w:hint="eastAsia"/>
        </w:rPr>
        <w:t>年</w:t>
      </w:r>
      <w:r>
        <w:rPr>
          <w:rFonts w:hint="eastAsia"/>
        </w:rPr>
        <w:t>6</w:t>
      </w:r>
      <w:r>
        <w:rPr>
          <w:rFonts w:hint="eastAsia"/>
        </w:rPr>
        <w:t>月</w:t>
      </w:r>
      <w:r>
        <w:rPr>
          <w:rFonts w:hint="eastAsia"/>
        </w:rPr>
        <w:t>23</w:t>
      </w:r>
      <w:r>
        <w:rPr>
          <w:rFonts w:hint="eastAsia"/>
        </w:rPr>
        <w:t>日</w:t>
      </w:r>
      <w:r>
        <w:rPr>
          <w:rFonts w:hint="eastAsia"/>
        </w:rPr>
        <w:t xml:space="preserve">] </w:t>
      </w:r>
    </w:p>
    <w:p w:rsidR="00EC5325" w:rsidRPr="009D42A2" w:rsidRDefault="00EC5325" w:rsidP="00EC5325">
      <w:pPr>
        <w:pStyle w:val="SingleTxt"/>
        <w:rPr>
          <w:rFonts w:ascii="SimHei" w:eastAsia="SimHei" w:hAnsi="SimHei" w:hint="eastAsia"/>
          <w:sz w:val="24"/>
          <w:szCs w:val="24"/>
        </w:rPr>
      </w:pPr>
      <w:r>
        <w:br w:type="page"/>
      </w:r>
      <w:r w:rsidRPr="009D42A2">
        <w:rPr>
          <w:rFonts w:ascii="SimHei" w:eastAsia="SimHei" w:hAnsi="SimHei" w:hint="eastAsia"/>
          <w:sz w:val="24"/>
          <w:szCs w:val="24"/>
        </w:rPr>
        <w:t>立法和体制框架</w:t>
      </w:r>
    </w:p>
    <w:p w:rsidR="009D42A2" w:rsidRPr="009D42A2" w:rsidRDefault="009D42A2" w:rsidP="009D42A2">
      <w:pPr>
        <w:pStyle w:val="SingleTxt"/>
        <w:spacing w:after="0" w:line="120" w:lineRule="exact"/>
        <w:rPr>
          <w:rFonts w:ascii="SimHei" w:eastAsia="SimHei" w:hAnsi="SimHei" w:hint="eastAsia"/>
          <w:sz w:val="10"/>
        </w:rPr>
      </w:pPr>
    </w:p>
    <w:p w:rsidR="00EC5325" w:rsidRDefault="00EC5325" w:rsidP="00EC5325">
      <w:pPr>
        <w:pStyle w:val="SingleTxt"/>
        <w:rPr>
          <w:rFonts w:hint="eastAsia"/>
        </w:rPr>
      </w:pPr>
      <w:r w:rsidRPr="00EC5325">
        <w:rPr>
          <w:rFonts w:ascii="SimHei" w:eastAsia="SimHei" w:hAnsi="SimHei" w:hint="eastAsia"/>
        </w:rPr>
        <w:t>问题1：与《妇女享有性别平等和公平权利法案》、对歧视妇女的定义以及全面改革《刑法典》有关的情况</w:t>
      </w:r>
    </w:p>
    <w:p w:rsidR="00EC5325" w:rsidRDefault="00EC5325" w:rsidP="00EC5325">
      <w:pPr>
        <w:pStyle w:val="SingleTxt"/>
        <w:rPr>
          <w:rFonts w:hint="eastAsia"/>
        </w:rPr>
      </w:pPr>
      <w:r>
        <w:rPr>
          <w:rFonts w:hint="eastAsia"/>
        </w:rPr>
        <w:t>1.</w:t>
      </w:r>
      <w:r>
        <w:rPr>
          <w:rFonts w:hint="eastAsia"/>
        </w:rPr>
        <w:tab/>
      </w:r>
      <w:r>
        <w:rPr>
          <w:rFonts w:hint="eastAsia"/>
        </w:rPr>
        <w:t>《妇女享有性别平等和公平权利法案》于</w:t>
      </w:r>
      <w:r>
        <w:rPr>
          <w:rFonts w:hint="eastAsia"/>
        </w:rPr>
        <w:t>2008</w:t>
      </w:r>
      <w:r>
        <w:rPr>
          <w:rFonts w:hint="eastAsia"/>
        </w:rPr>
        <w:t>年被提交至国民大会家庭、妇女和青年事务常设委员会讨论，目的是加强保障妇女权利的体制建设，并深化新的政治、民主参与进程，提高妇女在我们的社会中的主体地位，推进树立男女真正平等的新性别文化。</w:t>
      </w:r>
    </w:p>
    <w:p w:rsidR="00EC5325" w:rsidRDefault="00EC5325" w:rsidP="00EC5325">
      <w:pPr>
        <w:pStyle w:val="SingleTxt"/>
        <w:rPr>
          <w:rFonts w:hint="eastAsia"/>
        </w:rPr>
      </w:pPr>
      <w:r>
        <w:rPr>
          <w:rFonts w:hint="eastAsia"/>
        </w:rPr>
        <w:t>2.</w:t>
      </w:r>
      <w:r>
        <w:rPr>
          <w:rFonts w:hint="eastAsia"/>
        </w:rPr>
        <w:tab/>
      </w:r>
      <w:r>
        <w:rPr>
          <w:rFonts w:hint="eastAsia"/>
        </w:rPr>
        <w:t>同样，基于在立法和司法框架方面取得的最新进展，为了落实《消除对妇女一切形式歧视公约》，以及实现宪法使命，将共和国打造成为一个保障平等、消除歧视和从属地位，巩固对人权的普遍、不可分割的保障的社会，国民大会在其</w:t>
      </w:r>
      <w:r>
        <w:rPr>
          <w:rFonts w:hint="eastAsia"/>
        </w:rPr>
        <w:t>2014</w:t>
      </w:r>
      <w:r>
        <w:rPr>
          <w:rFonts w:hint="eastAsia"/>
        </w:rPr>
        <w:t>年议程中加入了一项关于全面改革《刑法典》的讨论，在讨论中专门加入了与法律条文可能构成对妇女的歧视有关的议题。</w:t>
      </w:r>
    </w:p>
    <w:p w:rsidR="00EC5325" w:rsidRDefault="00EC5325" w:rsidP="00EC5325">
      <w:pPr>
        <w:pStyle w:val="SingleTxt"/>
        <w:rPr>
          <w:rFonts w:hint="eastAsia"/>
        </w:rPr>
      </w:pPr>
      <w:r>
        <w:rPr>
          <w:rFonts w:hint="eastAsia"/>
        </w:rPr>
        <w:t>3.</w:t>
      </w:r>
      <w:r>
        <w:rPr>
          <w:rFonts w:hint="eastAsia"/>
        </w:rPr>
        <w:tab/>
      </w:r>
      <w:r>
        <w:rPr>
          <w:rFonts w:hint="eastAsia"/>
        </w:rPr>
        <w:t>这一讨论是人民政权各机构、妇女社会运动和女权运动以及各类公共机构通力开展的一项参与性和包容性工作的结果，再一次表明了委内瑞拉全国上下在捍卫和保障平等权方面的强烈意愿。</w:t>
      </w:r>
    </w:p>
    <w:p w:rsidR="00EC5325" w:rsidRDefault="00EC5325" w:rsidP="00EC5325">
      <w:pPr>
        <w:pStyle w:val="SingleTxt"/>
        <w:rPr>
          <w:rFonts w:hint="eastAsia"/>
        </w:rPr>
      </w:pPr>
      <w:r>
        <w:rPr>
          <w:rFonts w:hint="eastAsia"/>
        </w:rPr>
        <w:t>4.</w:t>
      </w:r>
      <w:r>
        <w:rPr>
          <w:rFonts w:hint="eastAsia"/>
        </w:rPr>
        <w:tab/>
      </w:r>
      <w:r>
        <w:rPr>
          <w:rFonts w:hint="eastAsia"/>
        </w:rPr>
        <w:t>人民政权妇女事务和性别平等部制定了一份路线图，旨在促进出台一项《〈刑法典〉部分修订法草案》以供国民大会审议，其内容包括废除因歧视妇女而构成违宪的若干条款；此外，对相关条款进行调整，使用一种无性别倾向的非歧视性语言。</w:t>
      </w:r>
    </w:p>
    <w:p w:rsidR="00EC5325" w:rsidRDefault="00EC5325" w:rsidP="00EC5325">
      <w:pPr>
        <w:pStyle w:val="SingleTxt"/>
        <w:rPr>
          <w:rFonts w:hint="eastAsia"/>
        </w:rPr>
      </w:pPr>
      <w:r w:rsidRPr="00EC5325">
        <w:rPr>
          <w:rFonts w:ascii="SimHei" w:eastAsia="SimHei" w:hAnsi="SimHei" w:hint="eastAsia"/>
        </w:rPr>
        <w:t>问题2：《胡安娜·拉米雷斯先驱计划》、《“罗莎妈妈”两性平等与公正计划》、性别统计小组委员会的工作及其性别指标</w:t>
      </w:r>
    </w:p>
    <w:p w:rsidR="00EC5325" w:rsidRDefault="00EC5325" w:rsidP="00EC5325">
      <w:pPr>
        <w:pStyle w:val="SingleTxt"/>
        <w:rPr>
          <w:rFonts w:hint="eastAsia"/>
        </w:rPr>
      </w:pPr>
      <w:r>
        <w:rPr>
          <w:rFonts w:hint="eastAsia"/>
        </w:rPr>
        <w:t>5.</w:t>
      </w:r>
      <w:r>
        <w:rPr>
          <w:rFonts w:hint="eastAsia"/>
        </w:rPr>
        <w:tab/>
      </w:r>
      <w:r>
        <w:rPr>
          <w:rFonts w:hint="eastAsia"/>
        </w:rPr>
        <w:t>《</w:t>
      </w:r>
      <w:r>
        <w:rPr>
          <w:rFonts w:hint="eastAsia"/>
        </w:rPr>
        <w:t>2009-2013</w:t>
      </w:r>
      <w:r>
        <w:rPr>
          <w:rFonts w:hint="eastAsia"/>
        </w:rPr>
        <w:t>年胡安娜·拉米雷斯先驱计划》包含四个战略方针，由妇女事务部负责开展实施，目的是对妇女政策进行跟踪监测和评估。这四项方针是：</w:t>
      </w:r>
      <w:r>
        <w:rPr>
          <w:rFonts w:hint="eastAsia"/>
        </w:rPr>
        <w:t>(a</w:t>
      </w:r>
      <w:r w:rsidR="008625CB">
        <w:rPr>
          <w:rFonts w:hint="eastAsia"/>
        </w:rPr>
        <w:t>)</w:t>
      </w:r>
      <w:r>
        <w:rPr>
          <w:rFonts w:hint="eastAsia"/>
        </w:rPr>
        <w:t xml:space="preserve"> </w:t>
      </w:r>
      <w:r>
        <w:rPr>
          <w:rFonts w:hint="eastAsia"/>
        </w:rPr>
        <w:t>让妇女参与社会—生产部门；</w:t>
      </w:r>
      <w:r>
        <w:rPr>
          <w:rFonts w:hint="eastAsia"/>
        </w:rPr>
        <w:t>(b</w:t>
      </w:r>
      <w:r w:rsidR="008625CB">
        <w:rPr>
          <w:rFonts w:hint="eastAsia"/>
        </w:rPr>
        <w:t>)</w:t>
      </w:r>
      <w:r>
        <w:rPr>
          <w:rFonts w:hint="eastAsia"/>
        </w:rPr>
        <w:t xml:space="preserve"> </w:t>
      </w:r>
      <w:r>
        <w:rPr>
          <w:rFonts w:hint="eastAsia"/>
        </w:rPr>
        <w:t>加强妇女在国家政治生活各个领域的政治参与和主体地位；</w:t>
      </w:r>
      <w:r>
        <w:rPr>
          <w:rFonts w:hint="eastAsia"/>
        </w:rPr>
        <w:t>(c</w:t>
      </w:r>
      <w:r w:rsidR="008625CB">
        <w:rPr>
          <w:rFonts w:hint="eastAsia"/>
        </w:rPr>
        <w:t>)</w:t>
      </w:r>
      <w:r>
        <w:rPr>
          <w:rFonts w:hint="eastAsia"/>
        </w:rPr>
        <w:t xml:space="preserve"> </w:t>
      </w:r>
      <w:r>
        <w:rPr>
          <w:rFonts w:hint="eastAsia"/>
        </w:rPr>
        <w:t>健康和生活质量；妇女的全面保健、教育和平等研究；</w:t>
      </w:r>
      <w:r>
        <w:rPr>
          <w:rFonts w:hint="eastAsia"/>
        </w:rPr>
        <w:t>d</w:t>
      </w:r>
      <w:r w:rsidR="008625CB">
        <w:rPr>
          <w:rFonts w:hint="eastAsia"/>
        </w:rPr>
        <w:t>)</w:t>
      </w:r>
      <w:r>
        <w:rPr>
          <w:rFonts w:hint="eastAsia"/>
        </w:rPr>
        <w:t>加强性别意识、阶级意识和种族意识。</w:t>
      </w:r>
    </w:p>
    <w:p w:rsidR="00EC5325" w:rsidRDefault="00EC5325" w:rsidP="00EC5325">
      <w:pPr>
        <w:pStyle w:val="SingleTxt"/>
        <w:rPr>
          <w:rFonts w:hint="eastAsia"/>
        </w:rPr>
      </w:pPr>
      <w:r>
        <w:rPr>
          <w:rFonts w:hint="eastAsia"/>
        </w:rPr>
        <w:t>6.</w:t>
      </w:r>
      <w:r>
        <w:rPr>
          <w:rFonts w:hint="eastAsia"/>
        </w:rPr>
        <w:tab/>
      </w:r>
      <w:r>
        <w:rPr>
          <w:rFonts w:hint="eastAsia"/>
        </w:rPr>
        <w:t>为通过实施《</w:t>
      </w:r>
      <w:r>
        <w:rPr>
          <w:rFonts w:hint="eastAsia"/>
        </w:rPr>
        <w:t>2009-2013</w:t>
      </w:r>
      <w:r>
        <w:rPr>
          <w:rFonts w:hint="eastAsia"/>
        </w:rPr>
        <w:t>年胡安娜·拉米雷斯先驱计划》，将妇女纳入到社会生产领域和社会经济领域，自</w:t>
      </w:r>
      <w:r>
        <w:rPr>
          <w:rFonts w:hint="eastAsia"/>
        </w:rPr>
        <w:t>2012</w:t>
      </w:r>
      <w:r>
        <w:rPr>
          <w:rFonts w:hint="eastAsia"/>
        </w:rPr>
        <w:t>年至</w:t>
      </w:r>
      <w:r>
        <w:rPr>
          <w:rFonts w:hint="eastAsia"/>
        </w:rPr>
        <w:t>2013</w:t>
      </w:r>
      <w:r>
        <w:rPr>
          <w:rFonts w:hint="eastAsia"/>
        </w:rPr>
        <w:t>年，平均发放了</w:t>
      </w:r>
      <w:r>
        <w:rPr>
          <w:rFonts w:hint="eastAsia"/>
        </w:rPr>
        <w:t>182 179</w:t>
      </w:r>
      <w:r>
        <w:rPr>
          <w:rFonts w:hint="eastAsia"/>
        </w:rPr>
        <w:t>笔经济补贴和</w:t>
      </w:r>
      <w:r>
        <w:rPr>
          <w:rFonts w:hint="eastAsia"/>
        </w:rPr>
        <w:t>22 811</w:t>
      </w:r>
      <w:r>
        <w:rPr>
          <w:rFonts w:hint="eastAsia"/>
        </w:rPr>
        <w:t>笔小额信贷，作为一项措施来应对挑战，维持和完善国家报告中所提到的国家公共政策。</w:t>
      </w:r>
    </w:p>
    <w:p w:rsidR="00EC5325" w:rsidRDefault="00EC5325" w:rsidP="00EC5325">
      <w:pPr>
        <w:pStyle w:val="SingleTxt"/>
        <w:rPr>
          <w:rFonts w:hint="eastAsia"/>
        </w:rPr>
      </w:pPr>
      <w:r>
        <w:rPr>
          <w:rFonts w:hint="eastAsia"/>
        </w:rPr>
        <w:t>7.</w:t>
      </w:r>
      <w:r>
        <w:rPr>
          <w:rFonts w:hint="eastAsia"/>
        </w:rPr>
        <w:tab/>
      </w:r>
      <w:r>
        <w:rPr>
          <w:rFonts w:hint="eastAsia"/>
        </w:rPr>
        <w:t>此外，已经开发出妇女参与经济和金融领域的其他组织形式，例如</w:t>
      </w:r>
      <w:proofErr w:type="spellStart"/>
      <w:r>
        <w:rPr>
          <w:rFonts w:hint="eastAsia"/>
        </w:rPr>
        <w:t>Banmujer</w:t>
      </w:r>
      <w:proofErr w:type="spellEnd"/>
      <w:r>
        <w:rPr>
          <w:rFonts w:hint="eastAsia"/>
        </w:rPr>
        <w:t>用户网络，在</w:t>
      </w:r>
      <w:r>
        <w:rPr>
          <w:rFonts w:hint="eastAsia"/>
        </w:rPr>
        <w:t>2013</w:t>
      </w:r>
      <w:r>
        <w:rPr>
          <w:rFonts w:hint="eastAsia"/>
        </w:rPr>
        <w:t>年共计有</w:t>
      </w:r>
      <w:r>
        <w:rPr>
          <w:rFonts w:hint="eastAsia"/>
        </w:rPr>
        <w:t>220</w:t>
      </w:r>
      <w:r>
        <w:rPr>
          <w:rFonts w:hint="eastAsia"/>
        </w:rPr>
        <w:t>个网络投入运作，得益于玻利瓦尔政府推行的激励政策，自</w:t>
      </w:r>
      <w:r>
        <w:rPr>
          <w:rFonts w:hint="eastAsia"/>
        </w:rPr>
        <w:t>2012</w:t>
      </w:r>
      <w:r>
        <w:rPr>
          <w:rFonts w:hint="eastAsia"/>
        </w:rPr>
        <w:t>年至</w:t>
      </w:r>
      <w:r>
        <w:rPr>
          <w:rFonts w:hint="eastAsia"/>
        </w:rPr>
        <w:t>2013</w:t>
      </w:r>
      <w:r>
        <w:rPr>
          <w:rFonts w:hint="eastAsia"/>
        </w:rPr>
        <w:t>年，已经设立了</w:t>
      </w:r>
      <w:r>
        <w:rPr>
          <w:rFonts w:hint="eastAsia"/>
        </w:rPr>
        <w:t>4 610</w:t>
      </w:r>
      <w:r>
        <w:rPr>
          <w:rFonts w:hint="eastAsia"/>
        </w:rPr>
        <w:t>个社区妈妈委员会和</w:t>
      </w:r>
      <w:r>
        <w:rPr>
          <w:rFonts w:hint="eastAsia"/>
        </w:rPr>
        <w:t>254</w:t>
      </w:r>
      <w:r>
        <w:rPr>
          <w:rFonts w:hint="eastAsia"/>
        </w:rPr>
        <w:t>个家庭事务与性别平等委员会。</w:t>
      </w:r>
      <w:r>
        <w:rPr>
          <w:rStyle w:val="FootnoteReference"/>
        </w:rPr>
        <w:footnoteReference w:id="1"/>
      </w:r>
      <w:r>
        <w:rPr>
          <w:rFonts w:hint="eastAsia"/>
        </w:rPr>
        <w:t xml:space="preserve"> </w:t>
      </w:r>
    </w:p>
    <w:p w:rsidR="00EC5325" w:rsidRDefault="00EC5325" w:rsidP="00EC5325">
      <w:pPr>
        <w:pStyle w:val="SingleTxt"/>
        <w:rPr>
          <w:rFonts w:hint="eastAsia"/>
        </w:rPr>
      </w:pPr>
      <w:r>
        <w:rPr>
          <w:rFonts w:hint="eastAsia"/>
        </w:rPr>
        <w:t>8.</w:t>
      </w:r>
      <w:r>
        <w:rPr>
          <w:rFonts w:hint="eastAsia"/>
        </w:rPr>
        <w:tab/>
      </w:r>
      <w:r>
        <w:rPr>
          <w:rFonts w:hint="eastAsia"/>
        </w:rPr>
        <w:t>在提高妇女的政治参与和主体地位方面，到</w:t>
      </w:r>
      <w:r>
        <w:rPr>
          <w:rFonts w:hint="eastAsia"/>
        </w:rPr>
        <w:t>2014</w:t>
      </w:r>
      <w:r>
        <w:rPr>
          <w:rFonts w:hint="eastAsia"/>
        </w:rPr>
        <w:t>年，在人民政权五个部门中，有三个由妇女领导主持工作</w:t>
      </w:r>
      <w:r w:rsidR="008625CB">
        <w:rPr>
          <w:rFonts w:hint="eastAsia"/>
        </w:rPr>
        <w:t>(</w:t>
      </w:r>
      <w:r>
        <w:rPr>
          <w:rFonts w:hint="eastAsia"/>
        </w:rPr>
        <w:t>司法部门、选举部门和公民事务部门</w:t>
      </w:r>
      <w:r w:rsidR="008625CB">
        <w:rPr>
          <w:rFonts w:hint="eastAsia"/>
        </w:rPr>
        <w:t>)</w:t>
      </w:r>
      <w:r>
        <w:rPr>
          <w:rFonts w:hint="eastAsia"/>
        </w:rPr>
        <w:t>，这表明妇女在决策中的参与度有所提高，促进了性别比例的均等。另一方面，在公社和社区理事会这些行使公共治理权的基层社区组织层面，</w:t>
      </w:r>
      <w:r>
        <w:rPr>
          <w:rFonts w:hint="eastAsia"/>
        </w:rPr>
        <w:t>70%</w:t>
      </w:r>
      <w:r>
        <w:rPr>
          <w:rFonts w:hint="eastAsia"/>
        </w:rPr>
        <w:t>的发言人职务由女性担任。</w:t>
      </w:r>
      <w:r>
        <w:rPr>
          <w:rFonts w:hint="eastAsia"/>
        </w:rPr>
        <w:t xml:space="preserve"> </w:t>
      </w:r>
    </w:p>
    <w:p w:rsidR="00EC5325" w:rsidRDefault="00EC5325" w:rsidP="00EC5325">
      <w:pPr>
        <w:pStyle w:val="SingleTxt"/>
        <w:rPr>
          <w:rFonts w:hint="eastAsia"/>
        </w:rPr>
      </w:pPr>
      <w:r>
        <w:rPr>
          <w:rFonts w:hint="eastAsia"/>
        </w:rPr>
        <w:t>9.</w:t>
      </w:r>
      <w:r>
        <w:rPr>
          <w:rFonts w:hint="eastAsia"/>
        </w:rPr>
        <w:tab/>
      </w:r>
      <w:r w:rsidR="008625CB">
        <w:rPr>
          <w:rFonts w:hint="eastAsia"/>
        </w:rPr>
        <w:t>在提高妇女地位方面，一个具有历史里程碑意义的事件就是卡门·</w:t>
      </w:r>
      <w:r>
        <w:rPr>
          <w:rFonts w:hint="eastAsia"/>
        </w:rPr>
        <w:t>梅伦德斯女士晋升为海军上将，这是国内在军界达到这一级别的首位女性。之后，她又被任命为人民政权国防部部长，同时接任玻利瓦尔国家武装部队海军首长一职。这一任命是玻利瓦尔政府为在玻利瓦尔国家武装部队领域彻底根除对妇女一切形式的歧视所付出努力的结果。作为首位在国家武装部队担任最高领导职务的女性，这两项任命都具有历史性意义。</w:t>
      </w:r>
    </w:p>
    <w:p w:rsidR="00EC5325" w:rsidRDefault="00EC5325" w:rsidP="00EC5325">
      <w:pPr>
        <w:pStyle w:val="SingleTxt"/>
        <w:rPr>
          <w:rFonts w:hint="eastAsia"/>
        </w:rPr>
      </w:pPr>
      <w:r>
        <w:rPr>
          <w:rFonts w:hint="eastAsia"/>
        </w:rPr>
        <w:t>10.</w:t>
      </w:r>
      <w:r>
        <w:rPr>
          <w:rFonts w:hint="eastAsia"/>
        </w:rPr>
        <w:tab/>
      </w:r>
      <w:r>
        <w:rPr>
          <w:rFonts w:hint="eastAsia"/>
        </w:rPr>
        <w:t>委内瑞拉玻利瓦尔共和国政府自</w:t>
      </w:r>
      <w:r>
        <w:rPr>
          <w:rFonts w:hint="eastAsia"/>
        </w:rPr>
        <w:t>2013</w:t>
      </w:r>
      <w:r>
        <w:rPr>
          <w:rFonts w:hint="eastAsia"/>
        </w:rPr>
        <w:t>年以来，通过人民政权妇女事务和性别平等部，对最初由妇女运动形成的碰头点进行了调整，通过妇女运动促进和平与生活，并将家庭事务委员会转化成两性平等与公正委员会，从而扩大了妇女在其社区中的政治和社会参与，在以下领域实施社会监管职能：预防对妇女的暴力侵害，捍卫妇女的经济地位，促进男女之间的平等与公正，等等。在这个意义上说，自</w:t>
      </w:r>
      <w:r>
        <w:rPr>
          <w:rFonts w:hint="eastAsia"/>
        </w:rPr>
        <w:t>2013</w:t>
      </w:r>
      <w:r>
        <w:rPr>
          <w:rFonts w:hint="eastAsia"/>
        </w:rPr>
        <w:t>年底以来已经组建了</w:t>
      </w:r>
      <w:r>
        <w:rPr>
          <w:rFonts w:hint="eastAsia"/>
        </w:rPr>
        <w:t>841</w:t>
      </w:r>
      <w:r>
        <w:rPr>
          <w:rFonts w:hint="eastAsia"/>
        </w:rPr>
        <w:t>个捍卫妇女经济地位委员会和</w:t>
      </w:r>
      <w:r>
        <w:rPr>
          <w:rFonts w:hint="eastAsia"/>
        </w:rPr>
        <w:t>205</w:t>
      </w:r>
      <w:r>
        <w:rPr>
          <w:rFonts w:hint="eastAsia"/>
        </w:rPr>
        <w:t>个妇女事务与性别平等委员会。</w:t>
      </w:r>
    </w:p>
    <w:p w:rsidR="00EC5325" w:rsidRDefault="00EC5325" w:rsidP="00EC5325">
      <w:pPr>
        <w:pStyle w:val="SingleTxt"/>
        <w:rPr>
          <w:rFonts w:hint="eastAsia"/>
        </w:rPr>
      </w:pPr>
      <w:r>
        <w:rPr>
          <w:rFonts w:hint="eastAsia"/>
        </w:rPr>
        <w:t>11.</w:t>
      </w:r>
      <w:r>
        <w:rPr>
          <w:rFonts w:hint="eastAsia"/>
        </w:rPr>
        <w:tab/>
      </w:r>
      <w:r w:rsidR="008625CB">
        <w:rPr>
          <w:rFonts w:hint="eastAsia"/>
        </w:rPr>
        <w:t>为改善妇女的整体健康状况，在《胡安娜·</w:t>
      </w:r>
      <w:r>
        <w:rPr>
          <w:rFonts w:hint="eastAsia"/>
        </w:rPr>
        <w:t>拉米雷斯先驱计划》框架内实施了“强化家庭和社区关注，预防、关爱和应对早孕现象”项目。自</w:t>
      </w:r>
      <w:r>
        <w:rPr>
          <w:rFonts w:hint="eastAsia"/>
        </w:rPr>
        <w:t>2012</w:t>
      </w:r>
      <w:r>
        <w:rPr>
          <w:rFonts w:hint="eastAsia"/>
        </w:rPr>
        <w:t>年至</w:t>
      </w:r>
      <w:r>
        <w:rPr>
          <w:rFonts w:hint="eastAsia"/>
        </w:rPr>
        <w:t>2013</w:t>
      </w:r>
      <w:r>
        <w:rPr>
          <w:rFonts w:hint="eastAsia"/>
        </w:rPr>
        <w:t>年，在</w:t>
      </w:r>
      <w:r>
        <w:rPr>
          <w:rFonts w:hint="eastAsia"/>
        </w:rPr>
        <w:t>20</w:t>
      </w:r>
      <w:r>
        <w:rPr>
          <w:rFonts w:hint="eastAsia"/>
        </w:rPr>
        <w:t>个联邦实体的</w:t>
      </w:r>
      <w:r>
        <w:rPr>
          <w:rFonts w:hint="eastAsia"/>
        </w:rPr>
        <w:t>499</w:t>
      </w:r>
      <w:r>
        <w:rPr>
          <w:rFonts w:hint="eastAsia"/>
        </w:rPr>
        <w:t>个教育中心内，将年龄在</w:t>
      </w:r>
      <w:r>
        <w:rPr>
          <w:rFonts w:hint="eastAsia"/>
        </w:rPr>
        <w:t>10</w:t>
      </w:r>
      <w:r>
        <w:rPr>
          <w:rFonts w:hint="eastAsia"/>
        </w:rPr>
        <w:t>至</w:t>
      </w:r>
      <w:r>
        <w:rPr>
          <w:rFonts w:hint="eastAsia"/>
        </w:rPr>
        <w:t>19</w:t>
      </w:r>
      <w:r>
        <w:rPr>
          <w:rFonts w:hint="eastAsia"/>
        </w:rPr>
        <w:t>岁之间的</w:t>
      </w:r>
      <w:r>
        <w:rPr>
          <w:rFonts w:hint="eastAsia"/>
        </w:rPr>
        <w:t>45 930</w:t>
      </w:r>
      <w:r>
        <w:rPr>
          <w:rFonts w:hint="eastAsia"/>
        </w:rPr>
        <w:t>名女童和少女以及</w:t>
      </w:r>
      <w:r>
        <w:rPr>
          <w:rFonts w:hint="eastAsia"/>
        </w:rPr>
        <w:t>41 448</w:t>
      </w:r>
      <w:r>
        <w:rPr>
          <w:rFonts w:hint="eastAsia"/>
        </w:rPr>
        <w:t>名男童和少年作为防范对象，对其进行了培训。</w:t>
      </w:r>
      <w:r>
        <w:rPr>
          <w:rStyle w:val="FootnoteReference"/>
        </w:rPr>
        <w:footnoteReference w:id="2"/>
      </w:r>
      <w:r>
        <w:rPr>
          <w:rFonts w:hint="eastAsia"/>
        </w:rPr>
        <w:t xml:space="preserve"> </w:t>
      </w:r>
      <w:r>
        <w:rPr>
          <w:rFonts w:hint="eastAsia"/>
        </w:rPr>
        <w:t>此外，还在教育界以及人民政权各机关内举办了讲习班和研讨会，旨在倡导健康、愉快和负责任的性行为，在</w:t>
      </w:r>
      <w:r>
        <w:rPr>
          <w:rFonts w:hint="eastAsia"/>
        </w:rPr>
        <w:t>2013</w:t>
      </w:r>
      <w:r>
        <w:rPr>
          <w:rFonts w:hint="eastAsia"/>
        </w:rPr>
        <w:t>年期间共有</w:t>
      </w:r>
      <w:r>
        <w:rPr>
          <w:rFonts w:hint="eastAsia"/>
        </w:rPr>
        <w:t>6 120</w:t>
      </w:r>
      <w:r>
        <w:rPr>
          <w:rFonts w:hint="eastAsia"/>
        </w:rPr>
        <w:t>名妇女从中受益。</w:t>
      </w:r>
    </w:p>
    <w:p w:rsidR="00EC5325" w:rsidRDefault="00EC5325" w:rsidP="00EC5325">
      <w:pPr>
        <w:pStyle w:val="SingleTxt"/>
        <w:rPr>
          <w:rFonts w:hint="eastAsia"/>
        </w:rPr>
      </w:pPr>
      <w:r>
        <w:rPr>
          <w:rFonts w:hint="eastAsia"/>
        </w:rPr>
        <w:t>12.</w:t>
      </w:r>
      <w:r>
        <w:rPr>
          <w:rFonts w:hint="eastAsia"/>
        </w:rPr>
        <w:tab/>
      </w:r>
      <w:r>
        <w:rPr>
          <w:rFonts w:hint="eastAsia"/>
        </w:rPr>
        <w:t>为提高对性别观念、阶级观念和种族观念的认识，已经推行了多项针对妇女的公共政策，主要着眼于从性别角度对基层妇女进行培训，目的就是提高妇女在地方层面和公社层面的地位，并促进两性平等与公正。</w:t>
      </w:r>
      <w:r>
        <w:rPr>
          <w:rStyle w:val="FootnoteReference"/>
        </w:rPr>
        <w:footnoteReference w:id="3"/>
      </w:r>
      <w:r>
        <w:rPr>
          <w:rFonts w:hint="eastAsia"/>
        </w:rPr>
        <w:t xml:space="preserve"> </w:t>
      </w:r>
      <w:r>
        <w:rPr>
          <w:rFonts w:hint="eastAsia"/>
        </w:rPr>
        <w:t>在这方面，自</w:t>
      </w:r>
      <w:r>
        <w:rPr>
          <w:rFonts w:hint="eastAsia"/>
        </w:rPr>
        <w:t>2012</w:t>
      </w:r>
      <w:r>
        <w:rPr>
          <w:rFonts w:hint="eastAsia"/>
        </w:rPr>
        <w:t>年至</w:t>
      </w:r>
      <w:r>
        <w:rPr>
          <w:rFonts w:hint="eastAsia"/>
        </w:rPr>
        <w:t>2013</w:t>
      </w:r>
      <w:r>
        <w:rPr>
          <w:rFonts w:hint="eastAsia"/>
        </w:rPr>
        <w:t>年，有</w:t>
      </w:r>
      <w:r>
        <w:rPr>
          <w:rFonts w:hint="eastAsia"/>
        </w:rPr>
        <w:t>42 953</w:t>
      </w:r>
      <w:r>
        <w:rPr>
          <w:rFonts w:hint="eastAsia"/>
        </w:rPr>
        <w:t>名妇女接受了社会政治方面的培训，还有</w:t>
      </w:r>
      <w:r>
        <w:rPr>
          <w:rFonts w:hint="eastAsia"/>
        </w:rPr>
        <w:t xml:space="preserve">   1 285</w:t>
      </w:r>
      <w:r>
        <w:rPr>
          <w:rFonts w:hint="eastAsia"/>
        </w:rPr>
        <w:t>名妇女接受了性别事务方面的培训。</w:t>
      </w:r>
      <w:r>
        <w:rPr>
          <w:rStyle w:val="FootnoteReference"/>
        </w:rPr>
        <w:footnoteReference w:id="4"/>
      </w:r>
      <w:r>
        <w:rPr>
          <w:rFonts w:hint="eastAsia"/>
        </w:rPr>
        <w:t xml:space="preserve"> </w:t>
      </w:r>
    </w:p>
    <w:p w:rsidR="00EC5325" w:rsidRDefault="00EC5325" w:rsidP="00EC5325">
      <w:pPr>
        <w:pStyle w:val="SingleTxt"/>
        <w:rPr>
          <w:rFonts w:hint="eastAsia"/>
        </w:rPr>
      </w:pPr>
      <w:r>
        <w:rPr>
          <w:rFonts w:hint="eastAsia"/>
        </w:rPr>
        <w:t>13.</w:t>
      </w:r>
      <w:r>
        <w:rPr>
          <w:rFonts w:hint="eastAsia"/>
        </w:rPr>
        <w:tab/>
      </w:r>
      <w:r>
        <w:rPr>
          <w:rFonts w:hint="eastAsia"/>
        </w:rPr>
        <w:t>另一方面，在改善对受到暴力侵害的妇女的关爱质量方面，玻利瓦尔政府加大了对《妇女享有无暴力生活权利组织法》的宣传力度，目的是提高从事预防和处理对妇女的暴力侵害、接收这方面的投诉并诉诸司法程序的公职人员的认识。这些宣传运动深入到社区开展，在</w:t>
      </w:r>
      <w:r>
        <w:rPr>
          <w:rFonts w:hint="eastAsia"/>
        </w:rPr>
        <w:t>2013</w:t>
      </w:r>
      <w:r>
        <w:rPr>
          <w:rFonts w:hint="eastAsia"/>
        </w:rPr>
        <w:t>年期间有</w:t>
      </w:r>
      <w:r>
        <w:rPr>
          <w:rFonts w:hint="eastAsia"/>
        </w:rPr>
        <w:t>5 606</w:t>
      </w:r>
      <w:r>
        <w:rPr>
          <w:rFonts w:hint="eastAsia"/>
        </w:rPr>
        <w:t>名妇女接受了培训。</w:t>
      </w:r>
      <w:r>
        <w:rPr>
          <w:rFonts w:hint="eastAsia"/>
        </w:rPr>
        <w:t xml:space="preserve">  </w:t>
      </w:r>
    </w:p>
    <w:p w:rsidR="00EC5325" w:rsidRDefault="00EC5325" w:rsidP="00EC5325">
      <w:pPr>
        <w:pStyle w:val="SingleTxt"/>
        <w:rPr>
          <w:rFonts w:hint="eastAsia"/>
        </w:rPr>
      </w:pPr>
      <w:r>
        <w:rPr>
          <w:rFonts w:hint="eastAsia"/>
        </w:rPr>
        <w:t>14.</w:t>
      </w:r>
      <w:r>
        <w:rPr>
          <w:rFonts w:hint="eastAsia"/>
        </w:rPr>
        <w:tab/>
      </w:r>
      <w:r>
        <w:rPr>
          <w:rFonts w:hint="eastAsia"/>
        </w:rPr>
        <w:t>作为精神关爱、法律救助和社会心理辅导机制的组成部分，自</w:t>
      </w:r>
      <w:r>
        <w:rPr>
          <w:rFonts w:hint="eastAsia"/>
        </w:rPr>
        <w:t>2012</w:t>
      </w:r>
      <w:r>
        <w:rPr>
          <w:rFonts w:hint="eastAsia"/>
        </w:rPr>
        <w:t>年至</w:t>
      </w:r>
      <w:r>
        <w:rPr>
          <w:rFonts w:hint="eastAsia"/>
        </w:rPr>
        <w:t>2013</w:t>
      </w:r>
      <w:r>
        <w:rPr>
          <w:rFonts w:hint="eastAsia"/>
        </w:rPr>
        <w:t>年，委内瑞拉政府通过司法机关各部门以及国家治安部队的参与，已经对</w:t>
      </w:r>
      <w:r>
        <w:rPr>
          <w:rFonts w:hint="eastAsia"/>
        </w:rPr>
        <w:t>23 441</w:t>
      </w:r>
      <w:r>
        <w:rPr>
          <w:rFonts w:hint="eastAsia"/>
        </w:rPr>
        <w:t>名暴力受害妇女进行了关爱。</w:t>
      </w:r>
    </w:p>
    <w:p w:rsidR="00EC5325" w:rsidRDefault="00EC5325" w:rsidP="00EC5325">
      <w:pPr>
        <w:pStyle w:val="SingleTxt"/>
        <w:rPr>
          <w:rFonts w:hint="eastAsia"/>
        </w:rPr>
      </w:pPr>
      <w:r>
        <w:rPr>
          <w:rFonts w:hint="eastAsia"/>
        </w:rPr>
        <w:t>15.</w:t>
      </w:r>
      <w:r>
        <w:rPr>
          <w:rFonts w:hint="eastAsia"/>
        </w:rPr>
        <w:tab/>
      </w:r>
      <w:r>
        <w:rPr>
          <w:rFonts w:hint="eastAsia"/>
        </w:rPr>
        <w:t>对于委员会</w:t>
      </w:r>
      <w:r w:rsidR="008625CB">
        <w:rPr>
          <w:rFonts w:hint="eastAsia"/>
        </w:rPr>
        <w:t>提出的关于设想制定新的妇女平等计划的问题，应指出，作为《胡安娜·</w:t>
      </w:r>
      <w:r>
        <w:rPr>
          <w:rFonts w:hint="eastAsia"/>
        </w:rPr>
        <w:t>拉米雷斯先驱国家计划》的成果，玻利瓦尔政府编制了一份文件来开展公共协商，从而出台了《“罗莎妈妈”两性平等与公正计划</w:t>
      </w:r>
      <w:r w:rsidR="008625CB">
        <w:rPr>
          <w:rFonts w:hint="eastAsia"/>
        </w:rPr>
        <w:t>(</w:t>
      </w:r>
      <w:r>
        <w:rPr>
          <w:rFonts w:hint="eastAsia"/>
        </w:rPr>
        <w:t>2013-2019</w:t>
      </w:r>
      <w:r>
        <w:rPr>
          <w:rFonts w:hint="eastAsia"/>
        </w:rPr>
        <w:t>年</w:t>
      </w:r>
      <w:r w:rsidR="008625CB">
        <w:rPr>
          <w:rFonts w:hint="eastAsia"/>
        </w:rPr>
        <w:t>)</w:t>
      </w:r>
      <w:r>
        <w:rPr>
          <w:rFonts w:hint="eastAsia"/>
        </w:rPr>
        <w:t>》，该计划旨在从性别观点指导公共政策的制定和规划，奉行社会公正原则，目的就是维护和恢复委内瑞拉男性和女性公民的权利。</w:t>
      </w:r>
    </w:p>
    <w:p w:rsidR="00EC5325" w:rsidRDefault="00EC5325" w:rsidP="00EC5325">
      <w:pPr>
        <w:pStyle w:val="SingleTxt"/>
        <w:rPr>
          <w:rFonts w:hint="eastAsia"/>
        </w:rPr>
      </w:pPr>
      <w:r>
        <w:rPr>
          <w:rFonts w:hint="eastAsia"/>
        </w:rPr>
        <w:t>16.</w:t>
      </w:r>
      <w:r>
        <w:rPr>
          <w:rFonts w:hint="eastAsia"/>
        </w:rPr>
        <w:tab/>
      </w:r>
      <w:r>
        <w:rPr>
          <w:rFonts w:hint="eastAsia"/>
        </w:rPr>
        <w:t>该计划保持了其传统目标，即根除父权制这一资本主义压迫制度的表现并建设倡导男女平等的社会主义制度，并提出了以下战略目标：</w:t>
      </w:r>
    </w:p>
    <w:p w:rsidR="00EC5325" w:rsidRDefault="00EC5325" w:rsidP="00EC5325">
      <w:pPr>
        <w:pStyle w:val="SingleTxt"/>
        <w:rPr>
          <w:rFonts w:hint="eastAsia"/>
        </w:rPr>
      </w:pPr>
      <w:r>
        <w:rPr>
          <w:rFonts w:hint="eastAsia"/>
        </w:rPr>
        <w:tab/>
        <w:t>(a)</w:t>
      </w:r>
      <w:r>
        <w:rPr>
          <w:rFonts w:hint="eastAsia"/>
        </w:rPr>
        <w:tab/>
      </w:r>
      <w:r>
        <w:rPr>
          <w:rFonts w:hint="eastAsia"/>
        </w:rPr>
        <w:t>在政治和意识形态方面：实现男性与女性在平等条件下的政治参与，实现男女在政治主体地位和比例上的均等</w:t>
      </w:r>
      <w:r w:rsidR="008625CB">
        <w:rPr>
          <w:rFonts w:hint="eastAsia"/>
        </w:rPr>
        <w:t>(</w:t>
      </w:r>
      <w:r>
        <w:rPr>
          <w:rFonts w:hint="eastAsia"/>
        </w:rPr>
        <w:t>50</w:t>
      </w:r>
      <w:r>
        <w:rPr>
          <w:rFonts w:hint="eastAsia"/>
        </w:rPr>
        <w:t>比</w:t>
      </w:r>
      <w:r>
        <w:rPr>
          <w:rFonts w:hint="eastAsia"/>
        </w:rPr>
        <w:t>50</w:t>
      </w:r>
      <w:r w:rsidR="008625CB">
        <w:rPr>
          <w:rFonts w:hint="eastAsia"/>
        </w:rPr>
        <w:t>)</w:t>
      </w:r>
      <w:r>
        <w:rPr>
          <w:rFonts w:hint="eastAsia"/>
        </w:rPr>
        <w:t>。</w:t>
      </w:r>
    </w:p>
    <w:p w:rsidR="00EC5325" w:rsidRDefault="00EC5325" w:rsidP="00EC5325">
      <w:pPr>
        <w:pStyle w:val="SingleTxt"/>
        <w:rPr>
          <w:rFonts w:hint="eastAsia"/>
        </w:rPr>
      </w:pPr>
      <w:r>
        <w:rPr>
          <w:rFonts w:hint="eastAsia"/>
        </w:rPr>
        <w:tab/>
        <w:t>(b)</w:t>
      </w:r>
      <w:r>
        <w:rPr>
          <w:rFonts w:hint="eastAsia"/>
        </w:rPr>
        <w:tab/>
      </w:r>
      <w:r>
        <w:rPr>
          <w:rFonts w:hint="eastAsia"/>
        </w:rPr>
        <w:t>在经济方面：深化妇女在建设和巩固社会主义生产性经济发展新模式中的参与。</w:t>
      </w:r>
    </w:p>
    <w:p w:rsidR="00EC5325" w:rsidRDefault="00EC5325" w:rsidP="00EC5325">
      <w:pPr>
        <w:pStyle w:val="SingleTxt"/>
        <w:rPr>
          <w:rFonts w:hint="eastAsia"/>
        </w:rPr>
      </w:pPr>
      <w:r>
        <w:rPr>
          <w:rFonts w:hint="eastAsia"/>
        </w:rPr>
        <w:tab/>
        <w:t>(c)</w:t>
      </w:r>
      <w:r>
        <w:rPr>
          <w:rFonts w:hint="eastAsia"/>
        </w:rPr>
        <w:tab/>
      </w:r>
      <w:r>
        <w:rPr>
          <w:rFonts w:hint="eastAsia"/>
        </w:rPr>
        <w:t>在社会方面：确保将全国境内的所有妇女都纳入到所有社会方案中。消除一切形式的性别暴力行为。</w:t>
      </w:r>
    </w:p>
    <w:p w:rsidR="00EC5325" w:rsidRDefault="00EC5325" w:rsidP="00EC5325">
      <w:pPr>
        <w:pStyle w:val="SingleTxt"/>
        <w:rPr>
          <w:rFonts w:hint="eastAsia"/>
        </w:rPr>
      </w:pPr>
      <w:r>
        <w:rPr>
          <w:rFonts w:hint="eastAsia"/>
        </w:rPr>
        <w:tab/>
        <w:t>(d)</w:t>
      </w:r>
      <w:r>
        <w:rPr>
          <w:rFonts w:hint="eastAsia"/>
        </w:rPr>
        <w:tab/>
      </w:r>
      <w:r>
        <w:rPr>
          <w:rFonts w:hint="eastAsia"/>
        </w:rPr>
        <w:t>在文化方面：在国家各个领域以及各政治组织、运动、社会团体以及其他形式的人民政权组织行为方中树立起性别平等意识。</w:t>
      </w:r>
    </w:p>
    <w:p w:rsidR="00EC5325" w:rsidRDefault="00EC5325" w:rsidP="00EC5325">
      <w:pPr>
        <w:pStyle w:val="SingleTxt"/>
        <w:rPr>
          <w:rFonts w:hint="eastAsia"/>
        </w:rPr>
      </w:pPr>
      <w:r>
        <w:rPr>
          <w:rFonts w:hint="eastAsia"/>
        </w:rPr>
        <w:tab/>
        <w:t>(e)</w:t>
      </w:r>
      <w:r>
        <w:rPr>
          <w:rFonts w:hint="eastAsia"/>
        </w:rPr>
        <w:tab/>
      </w:r>
      <w:r>
        <w:rPr>
          <w:rFonts w:hint="eastAsia"/>
        </w:rPr>
        <w:t>在环境方面：确保在男性和女性涉足的所有领域中对地球母亲的保护。</w:t>
      </w:r>
    </w:p>
    <w:p w:rsidR="00EC5325" w:rsidRDefault="00EC5325" w:rsidP="00EC5325">
      <w:pPr>
        <w:pStyle w:val="SingleTxt"/>
        <w:rPr>
          <w:rFonts w:hint="eastAsia"/>
        </w:rPr>
      </w:pPr>
      <w:r>
        <w:rPr>
          <w:rFonts w:hint="eastAsia"/>
        </w:rPr>
        <w:t>17.</w:t>
      </w:r>
      <w:r>
        <w:rPr>
          <w:rFonts w:hint="eastAsia"/>
        </w:rPr>
        <w:tab/>
      </w:r>
      <w:r>
        <w:rPr>
          <w:rFonts w:hint="eastAsia"/>
        </w:rPr>
        <w:t>认识到单靠救助政策并不足以根除对妇女的暴力侵害，玻利瓦尔政府在</w:t>
      </w:r>
      <w:r>
        <w:rPr>
          <w:rFonts w:hint="eastAsia"/>
        </w:rPr>
        <w:t>2013</w:t>
      </w:r>
      <w:r>
        <w:rPr>
          <w:rFonts w:hint="eastAsia"/>
        </w:rPr>
        <w:t>年退出了一个试点方案，即“对妇女的综合关爱和培训中心”。该方案的构思理念在于产生决定性的影响力，不仅仅是要作为提供社会</w:t>
      </w:r>
      <w:r>
        <w:rPr>
          <w:rFonts w:hint="eastAsia"/>
        </w:rPr>
        <w:t>-</w:t>
      </w:r>
      <w:r>
        <w:rPr>
          <w:rFonts w:hint="eastAsia"/>
        </w:rPr>
        <w:t>文化服务、心理辅导和医疗救助的空间，还要从性别角度开展培训工作，促进强化妇女组织和女权主义组织的能力，以便增强妇女权能和提高妇女的自主性，无论妇女由于社会领域和生命周期而呈现出何种多样性，为此要与国内的妇女运动和女权运动、公社理事会、在建公社以及其他任何形式的组织联合起来共同行动。</w:t>
      </w:r>
    </w:p>
    <w:p w:rsidR="00EC5325" w:rsidRDefault="00EC5325" w:rsidP="00EC5325">
      <w:pPr>
        <w:pStyle w:val="SingleTxt"/>
        <w:rPr>
          <w:rFonts w:hint="eastAsia"/>
        </w:rPr>
      </w:pPr>
      <w:r>
        <w:rPr>
          <w:rFonts w:hint="eastAsia"/>
        </w:rPr>
        <w:t>18.</w:t>
      </w:r>
      <w:r>
        <w:rPr>
          <w:rFonts w:hint="eastAsia"/>
        </w:rPr>
        <w:tab/>
      </w:r>
      <w:r>
        <w:rPr>
          <w:rFonts w:hint="eastAsia"/>
        </w:rPr>
        <w:t>方案启动之初，在苏利亚州和首都区开办了两</w:t>
      </w:r>
      <w:r w:rsidR="008625CB">
        <w:rPr>
          <w:rFonts w:hint="eastAsia"/>
        </w:rPr>
        <w:t>(</w:t>
      </w:r>
      <w:r>
        <w:rPr>
          <w:rFonts w:hint="eastAsia"/>
        </w:rPr>
        <w:t>2</w:t>
      </w:r>
      <w:r w:rsidR="008625CB">
        <w:rPr>
          <w:rFonts w:hint="eastAsia"/>
        </w:rPr>
        <w:t>)</w:t>
      </w:r>
      <w:r>
        <w:rPr>
          <w:rFonts w:hint="eastAsia"/>
        </w:rPr>
        <w:t>家对妇女的综合关爱和培训中心，其服务能力达到每月可为</w:t>
      </w:r>
      <w:r>
        <w:rPr>
          <w:rFonts w:hint="eastAsia"/>
        </w:rPr>
        <w:t>1 000</w:t>
      </w:r>
      <w:r>
        <w:rPr>
          <w:rFonts w:hint="eastAsia"/>
        </w:rPr>
        <w:t>名妇女提供关爱。</w:t>
      </w:r>
    </w:p>
    <w:p w:rsidR="00EC5325" w:rsidRDefault="00EC5325" w:rsidP="00EC5325">
      <w:pPr>
        <w:pStyle w:val="SingleTxt"/>
        <w:rPr>
          <w:rFonts w:hint="eastAsia"/>
        </w:rPr>
      </w:pPr>
      <w:r>
        <w:rPr>
          <w:rFonts w:hint="eastAsia"/>
        </w:rPr>
        <w:t>19.</w:t>
      </w:r>
      <w:r>
        <w:rPr>
          <w:rFonts w:hint="eastAsia"/>
        </w:rPr>
        <w:tab/>
      </w:r>
      <w:r>
        <w:rPr>
          <w:rFonts w:hint="eastAsia"/>
        </w:rPr>
        <w:t>最后，针对关于性别统计小组委员会的咨询，在此作出答复，即社会和环境统计协调委员会仍是一个常设机构。在工作组方面所取得的一项进步，就是在</w:t>
      </w:r>
      <w:r>
        <w:rPr>
          <w:rFonts w:hint="eastAsia"/>
        </w:rPr>
        <w:t>2013</w:t>
      </w:r>
      <w:r>
        <w:rPr>
          <w:rFonts w:hint="eastAsia"/>
        </w:rPr>
        <w:t>年设立了行政管理登记工作组，设计了一项数据采集工具，即“获得全国残疾人理事会资格认证的残疾人登记簿”，国家妇女研究所和国家统计局参与了此项工作。</w:t>
      </w:r>
    </w:p>
    <w:p w:rsidR="00EC5325" w:rsidRDefault="00EC5325" w:rsidP="00EC5325">
      <w:pPr>
        <w:pStyle w:val="SingleTxt"/>
        <w:rPr>
          <w:rFonts w:hint="eastAsia"/>
        </w:rPr>
      </w:pPr>
      <w:r>
        <w:rPr>
          <w:rFonts w:hint="eastAsia"/>
        </w:rPr>
        <w:t>20.</w:t>
      </w:r>
      <w:r>
        <w:rPr>
          <w:rFonts w:hint="eastAsia"/>
        </w:rPr>
        <w:tab/>
      </w:r>
      <w:r>
        <w:rPr>
          <w:rFonts w:hint="eastAsia"/>
        </w:rPr>
        <w:t>该小组委员会的教育工作组起草了“从性别角度生成统计数据”讲习班教学设计纲要，参与这项工作的有妇女研究中心、权利监察员办公室、计划部、国家妇女研究所和国家统计局。随后面向性别统计小组委员会的公务员开办了这一讲习班。</w:t>
      </w:r>
    </w:p>
    <w:p w:rsidR="00EC5325" w:rsidRDefault="00EC5325" w:rsidP="00EC5325">
      <w:pPr>
        <w:pStyle w:val="SingleTxt"/>
        <w:rPr>
          <w:rFonts w:hint="eastAsia"/>
        </w:rPr>
      </w:pPr>
      <w:r>
        <w:rPr>
          <w:rFonts w:hint="eastAsia"/>
        </w:rPr>
        <w:t>21.</w:t>
      </w:r>
      <w:r>
        <w:rPr>
          <w:rFonts w:hint="eastAsia"/>
        </w:rPr>
        <w:tab/>
      </w:r>
      <w:r>
        <w:rPr>
          <w:rFonts w:hint="eastAsia"/>
        </w:rPr>
        <w:t>同样，国家统计局在</w:t>
      </w:r>
      <w:r>
        <w:rPr>
          <w:rFonts w:hint="eastAsia"/>
        </w:rPr>
        <w:t>2011</w:t>
      </w:r>
      <w:r>
        <w:rPr>
          <w:rFonts w:hint="eastAsia"/>
        </w:rPr>
        <w:t>年和</w:t>
      </w:r>
      <w:r>
        <w:rPr>
          <w:rFonts w:hint="eastAsia"/>
        </w:rPr>
        <w:t>2012</w:t>
      </w:r>
      <w:r>
        <w:rPr>
          <w:rFonts w:hint="eastAsia"/>
        </w:rPr>
        <w:t>年发布了性别指标简报，其中包含教育、收入、就业和健康方面的信息。简报材料既有印刷格式的，也有数字格式的，可通过统计局的官网获取。</w:t>
      </w:r>
      <w:r>
        <w:rPr>
          <w:rStyle w:val="FootnoteReference"/>
        </w:rPr>
        <w:footnoteReference w:id="5"/>
      </w:r>
      <w:r>
        <w:rPr>
          <w:rFonts w:hint="eastAsia"/>
        </w:rPr>
        <w:t xml:space="preserve"> </w:t>
      </w:r>
      <w:r>
        <w:rPr>
          <w:rFonts w:hint="eastAsia"/>
        </w:rPr>
        <w:t>设定的指标由：识字率和文盲率，男女识字比和男女文盲比，平均受教育年限，女性与男性的工资收入比，劳动力总体指标，女性贫困指数等等。这些指标有助于对一些基本条件进行评估，以实现性别平等，进而实现社会正义。</w:t>
      </w:r>
      <w:r>
        <w:rPr>
          <w:rFonts w:hint="eastAsia"/>
        </w:rPr>
        <w:t xml:space="preserve"> </w:t>
      </w:r>
    </w:p>
    <w:p w:rsidR="00EC5325" w:rsidRPr="008625CB" w:rsidRDefault="00EC5325" w:rsidP="00EC5325">
      <w:pPr>
        <w:pStyle w:val="SingleTxt"/>
        <w:rPr>
          <w:rFonts w:ascii="SimHei" w:eastAsia="SimHei" w:hAnsi="SimHei" w:hint="eastAsia"/>
        </w:rPr>
      </w:pPr>
      <w:r w:rsidRPr="008625CB">
        <w:rPr>
          <w:rFonts w:ascii="SimHei" w:eastAsia="SimHei" w:hAnsi="SimHei" w:hint="eastAsia"/>
        </w:rPr>
        <w:t>诉诸法律</w:t>
      </w:r>
    </w:p>
    <w:p w:rsidR="00EC5325" w:rsidRPr="008625CB" w:rsidRDefault="00EC5325" w:rsidP="00EC5325">
      <w:pPr>
        <w:pStyle w:val="SingleTxt"/>
        <w:rPr>
          <w:rFonts w:ascii="SimHei" w:eastAsia="SimHei" w:hAnsi="SimHei" w:hint="eastAsia"/>
        </w:rPr>
      </w:pPr>
      <w:r w:rsidRPr="008625CB">
        <w:rPr>
          <w:rFonts w:ascii="SimHei" w:eastAsia="SimHei" w:hAnsi="SimHei" w:hint="eastAsia"/>
        </w:rPr>
        <w:t>问题3：全国性别问题司法委员会</w:t>
      </w:r>
    </w:p>
    <w:p w:rsidR="00EC5325" w:rsidRDefault="00EC5325" w:rsidP="00EC5325">
      <w:pPr>
        <w:pStyle w:val="SingleTxt"/>
        <w:rPr>
          <w:rFonts w:hint="eastAsia"/>
        </w:rPr>
      </w:pPr>
      <w:r>
        <w:rPr>
          <w:rFonts w:hint="eastAsia"/>
        </w:rPr>
        <w:t>22.</w:t>
      </w:r>
      <w:r>
        <w:rPr>
          <w:rFonts w:hint="eastAsia"/>
        </w:rPr>
        <w:tab/>
      </w:r>
      <w:r>
        <w:rPr>
          <w:rFonts w:hint="eastAsia"/>
        </w:rPr>
        <w:t>司法权是独立的，最高司法法院根据《宪法》之规定享有职能、财务和行政自主权。</w:t>
      </w:r>
      <w:r>
        <w:rPr>
          <w:rStyle w:val="FootnoteReference"/>
        </w:rPr>
        <w:footnoteReference w:id="6"/>
      </w:r>
      <w:r>
        <w:rPr>
          <w:rFonts w:hint="eastAsia"/>
        </w:rPr>
        <w:t xml:space="preserve"> </w:t>
      </w:r>
      <w:r>
        <w:rPr>
          <w:rFonts w:hint="eastAsia"/>
        </w:rPr>
        <w:t>在这个意义上说，应当强调司法部门在处理对妇女的暴力侵害罪方面的职能自主权，目的就是在开展司法工作时尊重人权和性别观点。</w:t>
      </w:r>
    </w:p>
    <w:p w:rsidR="00EC5325" w:rsidRDefault="00EC5325" w:rsidP="00EC5325">
      <w:pPr>
        <w:pStyle w:val="SingleTxt"/>
        <w:rPr>
          <w:rFonts w:hint="eastAsia"/>
        </w:rPr>
      </w:pPr>
      <w:r>
        <w:rPr>
          <w:rFonts w:hint="eastAsia"/>
        </w:rPr>
        <w:t>23.</w:t>
      </w:r>
      <w:r>
        <w:rPr>
          <w:rFonts w:hint="eastAsia"/>
        </w:rPr>
        <w:tab/>
      </w:r>
      <w:r>
        <w:rPr>
          <w:rFonts w:hint="eastAsia"/>
        </w:rPr>
        <w:t>全国性别问题司法委员会的职能就是保障性别平等并确保不以性别原因为由对妇女进行歧视，以落实共和国签署的国际条约以及《妇女享有无暴力生活权利组织法》。委员会的职责是：</w:t>
      </w:r>
      <w:r>
        <w:rPr>
          <w:rFonts w:hint="eastAsia"/>
        </w:rPr>
        <w:t>(1</w:t>
      </w:r>
      <w:r w:rsidR="008625CB">
        <w:rPr>
          <w:rFonts w:hint="eastAsia"/>
        </w:rPr>
        <w:t xml:space="preserve">) </w:t>
      </w:r>
      <w:r>
        <w:rPr>
          <w:rFonts w:hint="eastAsia"/>
        </w:rPr>
        <w:t>设计和开发司法政策来优化性别问题司法系统及</w:t>
      </w:r>
      <w:r w:rsidR="008625CB">
        <w:rPr>
          <w:rFonts w:hint="eastAsia"/>
        </w:rPr>
        <w:t>(</w:t>
      </w:r>
      <w:r>
        <w:rPr>
          <w:rFonts w:hint="eastAsia"/>
        </w:rPr>
        <w:t>2</w:t>
      </w:r>
      <w:r w:rsidR="008625CB">
        <w:rPr>
          <w:rFonts w:hint="eastAsia"/>
        </w:rPr>
        <w:t xml:space="preserve">) </w:t>
      </w:r>
      <w:r>
        <w:rPr>
          <w:rFonts w:hint="eastAsia"/>
        </w:rPr>
        <w:t>协调有管辖权的法院来处理暴力侵害妇女犯罪问题；</w:t>
      </w:r>
      <w:r>
        <w:rPr>
          <w:rFonts w:hint="eastAsia"/>
        </w:rPr>
        <w:t>(3</w:t>
      </w:r>
      <w:r w:rsidR="008625CB">
        <w:rPr>
          <w:rFonts w:hint="eastAsia"/>
        </w:rPr>
        <w:t xml:space="preserve">) </w:t>
      </w:r>
      <w:r>
        <w:rPr>
          <w:rFonts w:hint="eastAsia"/>
        </w:rPr>
        <w:t>设立专门处理暴力侵害妇女问题的法院；</w:t>
      </w:r>
      <w:r>
        <w:rPr>
          <w:rStyle w:val="FootnoteReference"/>
        </w:rPr>
        <w:footnoteReference w:id="7"/>
      </w:r>
      <w:r>
        <w:rPr>
          <w:rFonts w:hint="eastAsia"/>
        </w:rPr>
        <w:t xml:space="preserve"> (4</w:t>
      </w:r>
      <w:r w:rsidR="008625CB">
        <w:rPr>
          <w:rFonts w:hint="eastAsia"/>
        </w:rPr>
        <w:t xml:space="preserve">) </w:t>
      </w:r>
      <w:r>
        <w:rPr>
          <w:rFonts w:hint="eastAsia"/>
        </w:rPr>
        <w:t>管理性别暴力方面的司法体系；监督司法体系的运作情况；对法官以及其他司法工作人员进行任免。</w:t>
      </w:r>
    </w:p>
    <w:p w:rsidR="00EC5325" w:rsidRDefault="00EC5325" w:rsidP="00EC5325">
      <w:pPr>
        <w:pStyle w:val="SingleTxt"/>
        <w:rPr>
          <w:rFonts w:hint="eastAsia"/>
        </w:rPr>
      </w:pPr>
      <w:r>
        <w:rPr>
          <w:rFonts w:hint="eastAsia"/>
        </w:rPr>
        <w:t>24.</w:t>
      </w:r>
      <w:r>
        <w:rPr>
          <w:rFonts w:hint="eastAsia"/>
        </w:rPr>
        <w:tab/>
      </w:r>
      <w:r>
        <w:rPr>
          <w:rFonts w:hint="eastAsia"/>
        </w:rPr>
        <w:t>在宣传和培训方面，全国性别问题司法委员会已经开展了以下行动：</w:t>
      </w:r>
    </w:p>
    <w:p w:rsidR="00EC5325" w:rsidRDefault="008625CB" w:rsidP="00EC5325">
      <w:pPr>
        <w:pStyle w:val="SingleTxt"/>
        <w:rPr>
          <w:rFonts w:hint="eastAsia"/>
        </w:rPr>
      </w:pPr>
      <w:r>
        <w:rPr>
          <w:rFonts w:hint="eastAsia"/>
        </w:rPr>
        <w:tab/>
        <w:t>(</w:t>
      </w:r>
      <w:r w:rsidR="00EC5325">
        <w:rPr>
          <w:rFonts w:hint="eastAsia"/>
        </w:rPr>
        <w:t>a)</w:t>
      </w:r>
      <w:r w:rsidR="00EC5325">
        <w:rPr>
          <w:rFonts w:hint="eastAsia"/>
        </w:rPr>
        <w:tab/>
      </w:r>
      <w:r w:rsidR="00EC5325">
        <w:rPr>
          <w:rFonts w:hint="eastAsia"/>
        </w:rPr>
        <w:t>《信息通报和提高认识方案》，目的就是从性别观点开展人权问题培训和《妇女享有无暴力生活权利组织法》应用方面的培训，该方案对委员会的所有技术人员、律师和支助人员都具有强制约束力。</w:t>
      </w:r>
      <w:r w:rsidR="00EC5325">
        <w:rPr>
          <w:rFonts w:hint="eastAsia"/>
        </w:rPr>
        <w:t xml:space="preserve"> </w:t>
      </w:r>
    </w:p>
    <w:p w:rsidR="00EC5325" w:rsidRDefault="008625CB" w:rsidP="00EC5325">
      <w:pPr>
        <w:pStyle w:val="SingleTxt"/>
        <w:rPr>
          <w:rFonts w:hint="eastAsia"/>
        </w:rPr>
      </w:pPr>
      <w:r>
        <w:rPr>
          <w:rFonts w:hint="eastAsia"/>
        </w:rPr>
        <w:tab/>
        <w:t>(</w:t>
      </w:r>
      <w:r w:rsidR="00EC5325">
        <w:rPr>
          <w:rFonts w:hint="eastAsia"/>
        </w:rPr>
        <w:t>b)</w:t>
      </w:r>
      <w:r w:rsidR="00EC5325">
        <w:rPr>
          <w:rFonts w:hint="eastAsia"/>
        </w:rPr>
        <w:tab/>
      </w:r>
      <w:r w:rsidR="00EC5325">
        <w:rPr>
          <w:rFonts w:hint="eastAsia"/>
        </w:rPr>
        <w:t>利用信息和通信技术进行“妇女正义网”的网站开发工作，将之作为通过社交网络来进行政策宣传的信息传播机构。</w:t>
      </w:r>
    </w:p>
    <w:p w:rsidR="00EC5325" w:rsidRDefault="008625CB" w:rsidP="00EC5325">
      <w:pPr>
        <w:pStyle w:val="SingleTxt"/>
        <w:rPr>
          <w:rFonts w:hint="eastAsia"/>
        </w:rPr>
      </w:pPr>
      <w:r>
        <w:rPr>
          <w:rFonts w:hint="eastAsia"/>
        </w:rPr>
        <w:tab/>
        <w:t>(</w:t>
      </w:r>
      <w:r w:rsidR="00EC5325">
        <w:rPr>
          <w:rFonts w:hint="eastAsia"/>
        </w:rPr>
        <w:t>c)</w:t>
      </w:r>
      <w:r w:rsidR="00EC5325">
        <w:rPr>
          <w:rFonts w:hint="eastAsia"/>
        </w:rPr>
        <w:tab/>
      </w:r>
      <w:r w:rsidR="00EC5325">
        <w:rPr>
          <w:rFonts w:hint="eastAsia"/>
        </w:rPr>
        <w:t>举办与法官的座谈会，作为对由宪法庭和刑事上诉庭在《妇女享有无暴力生活权利组织法》这一专门领域所作判例的宣传、评估和监测空间，目的就是确保司法速审程序，避免有罪不罚。自</w:t>
      </w:r>
      <w:r w:rsidR="00EC5325">
        <w:rPr>
          <w:rFonts w:hint="eastAsia"/>
        </w:rPr>
        <w:t>2013</w:t>
      </w:r>
      <w:r w:rsidR="00EC5325">
        <w:rPr>
          <w:rFonts w:hint="eastAsia"/>
        </w:rPr>
        <w:t>年起，已经举办了五</w:t>
      </w:r>
      <w:r>
        <w:rPr>
          <w:rFonts w:hint="eastAsia"/>
        </w:rPr>
        <w:t>(</w:t>
      </w:r>
      <w:r w:rsidR="00EC5325">
        <w:rPr>
          <w:rFonts w:hint="eastAsia"/>
        </w:rPr>
        <w:t>5</w:t>
      </w:r>
      <w:r>
        <w:rPr>
          <w:rFonts w:hint="eastAsia"/>
        </w:rPr>
        <w:t>)</w:t>
      </w:r>
      <w:r w:rsidR="00EC5325">
        <w:rPr>
          <w:rFonts w:hint="eastAsia"/>
        </w:rPr>
        <w:t>场座谈会：其中截至</w:t>
      </w:r>
      <w:r w:rsidR="00EC5325">
        <w:rPr>
          <w:rFonts w:hint="eastAsia"/>
        </w:rPr>
        <w:t>2013</w:t>
      </w:r>
      <w:r w:rsidR="00EC5325">
        <w:rPr>
          <w:rFonts w:hint="eastAsia"/>
        </w:rPr>
        <w:t>年举办了三</w:t>
      </w:r>
      <w:r>
        <w:rPr>
          <w:rFonts w:hint="eastAsia"/>
        </w:rPr>
        <w:t>(</w:t>
      </w:r>
      <w:r w:rsidR="00EC5325">
        <w:rPr>
          <w:rFonts w:hint="eastAsia"/>
        </w:rPr>
        <w:t>3</w:t>
      </w:r>
      <w:r>
        <w:rPr>
          <w:rFonts w:hint="eastAsia"/>
        </w:rPr>
        <w:t>)</w:t>
      </w:r>
      <w:r w:rsidR="00EC5325">
        <w:rPr>
          <w:rFonts w:hint="eastAsia"/>
        </w:rPr>
        <w:t>场，另外两</w:t>
      </w:r>
      <w:r>
        <w:rPr>
          <w:rFonts w:hint="eastAsia"/>
        </w:rPr>
        <w:t>(</w:t>
      </w:r>
      <w:r w:rsidR="00EC5325">
        <w:rPr>
          <w:rFonts w:hint="eastAsia"/>
        </w:rPr>
        <w:t>2</w:t>
      </w:r>
      <w:r>
        <w:rPr>
          <w:rFonts w:hint="eastAsia"/>
        </w:rPr>
        <w:t>)</w:t>
      </w:r>
      <w:r w:rsidR="00EC5325">
        <w:rPr>
          <w:rFonts w:hint="eastAsia"/>
        </w:rPr>
        <w:t>场全国座谈会分别是在</w:t>
      </w:r>
      <w:r w:rsidR="00EC5325">
        <w:rPr>
          <w:rFonts w:hint="eastAsia"/>
        </w:rPr>
        <w:t>2014</w:t>
      </w:r>
      <w:r w:rsidR="00EC5325">
        <w:rPr>
          <w:rFonts w:hint="eastAsia"/>
        </w:rPr>
        <w:t>年</w:t>
      </w:r>
      <w:r w:rsidR="00EC5325">
        <w:rPr>
          <w:rFonts w:hint="eastAsia"/>
        </w:rPr>
        <w:t>3</w:t>
      </w:r>
      <w:r w:rsidR="00EC5325">
        <w:rPr>
          <w:rFonts w:hint="eastAsia"/>
        </w:rPr>
        <w:t>月和</w:t>
      </w:r>
      <w:r w:rsidR="00EC5325">
        <w:rPr>
          <w:rFonts w:hint="eastAsia"/>
        </w:rPr>
        <w:t>5</w:t>
      </w:r>
      <w:r w:rsidR="00EC5325">
        <w:rPr>
          <w:rFonts w:hint="eastAsia"/>
        </w:rPr>
        <w:t>月举办的。</w:t>
      </w:r>
    </w:p>
    <w:p w:rsidR="00EC5325" w:rsidRDefault="008625CB" w:rsidP="00EC5325">
      <w:pPr>
        <w:pStyle w:val="SingleTxt"/>
        <w:rPr>
          <w:rFonts w:hint="eastAsia"/>
        </w:rPr>
      </w:pPr>
      <w:r>
        <w:rPr>
          <w:rFonts w:hint="eastAsia"/>
        </w:rPr>
        <w:tab/>
        <w:t>(</w:t>
      </w:r>
      <w:r w:rsidR="00EC5325">
        <w:rPr>
          <w:rFonts w:hint="eastAsia"/>
        </w:rPr>
        <w:t>d)</w:t>
      </w:r>
      <w:r w:rsidR="00EC5325">
        <w:rPr>
          <w:rFonts w:hint="eastAsia"/>
        </w:rPr>
        <w:tab/>
      </w:r>
      <w:r>
        <w:rPr>
          <w:rFonts w:hint="eastAsia"/>
        </w:rPr>
        <w:t>批准了《欧梅利亚·</w:t>
      </w:r>
      <w:r w:rsidR="00EC5325">
        <w:rPr>
          <w:rFonts w:hint="eastAsia"/>
        </w:rPr>
        <w:t>埃尔南德斯令》，对女工活动家、工会女活动家和女权主义活动家进行了表彰，以鼓励各领域的人们参与到消除对妇女一切形式的暴力和歧视的战斗中去。</w:t>
      </w:r>
    </w:p>
    <w:p w:rsidR="00EC5325" w:rsidRDefault="008625CB" w:rsidP="00EC5325">
      <w:pPr>
        <w:pStyle w:val="SingleTxt"/>
        <w:rPr>
          <w:rFonts w:hint="eastAsia"/>
        </w:rPr>
      </w:pPr>
      <w:r>
        <w:rPr>
          <w:rFonts w:hint="eastAsia"/>
        </w:rPr>
        <w:tab/>
        <w:t>(</w:t>
      </w:r>
      <w:r w:rsidR="00EC5325">
        <w:rPr>
          <w:rFonts w:hint="eastAsia"/>
        </w:rPr>
        <w:t>e)</w:t>
      </w:r>
      <w:r w:rsidR="00EC5325">
        <w:rPr>
          <w:rFonts w:hint="eastAsia"/>
        </w:rPr>
        <w:tab/>
      </w:r>
      <w:r w:rsidR="00EC5325">
        <w:rPr>
          <w:rFonts w:hint="eastAsia"/>
        </w:rPr>
        <w:t>设立意见反馈箱，目的就是了解</w:t>
      </w:r>
      <w:r>
        <w:rPr>
          <w:rFonts w:hint="eastAsia"/>
        </w:rPr>
        <w:t>(</w:t>
      </w:r>
      <w:r w:rsidR="00EC5325">
        <w:rPr>
          <w:rFonts w:hint="eastAsia"/>
        </w:rPr>
        <w:t>自</w:t>
      </w:r>
      <w:r w:rsidR="00EC5325">
        <w:rPr>
          <w:rFonts w:hint="eastAsia"/>
        </w:rPr>
        <w:t>2013</w:t>
      </w:r>
      <w:r w:rsidR="00EC5325">
        <w:rPr>
          <w:rFonts w:hint="eastAsia"/>
        </w:rPr>
        <w:t>年第四季度以来</w:t>
      </w:r>
      <w:r>
        <w:rPr>
          <w:rFonts w:hint="eastAsia"/>
        </w:rPr>
        <w:t>)</w:t>
      </w:r>
      <w:r w:rsidR="00EC5325">
        <w:rPr>
          <w:rFonts w:hint="eastAsia"/>
        </w:rPr>
        <w:t>全国范围内主管暴力侵害妇女问题的法院所提供服务的质量。</w:t>
      </w:r>
    </w:p>
    <w:p w:rsidR="00EC5325" w:rsidRDefault="008625CB" w:rsidP="00EC5325">
      <w:pPr>
        <w:pStyle w:val="SingleTxt"/>
        <w:rPr>
          <w:rFonts w:hint="eastAsia"/>
        </w:rPr>
      </w:pPr>
      <w:r>
        <w:rPr>
          <w:rFonts w:hint="eastAsia"/>
        </w:rPr>
        <w:tab/>
        <w:t>(</w:t>
      </w:r>
      <w:r w:rsidR="00EC5325">
        <w:rPr>
          <w:rFonts w:hint="eastAsia"/>
        </w:rPr>
        <w:t>f)</w:t>
      </w:r>
      <w:r w:rsidR="00EC5325">
        <w:rPr>
          <w:rFonts w:hint="eastAsia"/>
        </w:rPr>
        <w:tab/>
      </w:r>
      <w:r w:rsidR="00EC5325">
        <w:rPr>
          <w:rFonts w:hint="eastAsia"/>
        </w:rPr>
        <w:t>与各社区举办论坛、讲习班和座谈会，其中主要有以下活动：</w:t>
      </w:r>
      <w:r w:rsidR="00EC5325">
        <w:rPr>
          <w:rFonts w:hint="eastAsia"/>
        </w:rPr>
        <w:t>3</w:t>
      </w:r>
      <w:r w:rsidR="00EC5325">
        <w:rPr>
          <w:rFonts w:hint="eastAsia"/>
        </w:rPr>
        <w:t>场与妇女组织的座谈会，其中两</w:t>
      </w:r>
      <w:r>
        <w:rPr>
          <w:rFonts w:hint="eastAsia"/>
        </w:rPr>
        <w:t>(</w:t>
      </w:r>
      <w:r w:rsidR="00EC5325">
        <w:rPr>
          <w:rFonts w:hint="eastAsia"/>
        </w:rPr>
        <w:t>2</w:t>
      </w:r>
      <w:r>
        <w:rPr>
          <w:rFonts w:hint="eastAsia"/>
        </w:rPr>
        <w:t>)</w:t>
      </w:r>
      <w:r w:rsidR="00EC5325">
        <w:rPr>
          <w:rFonts w:hint="eastAsia"/>
        </w:rPr>
        <w:t>场在巴尔加斯州举办，一</w:t>
      </w:r>
      <w:r>
        <w:rPr>
          <w:rFonts w:hint="eastAsia"/>
        </w:rPr>
        <w:t>(</w:t>
      </w:r>
      <w:r w:rsidR="00EC5325">
        <w:rPr>
          <w:rFonts w:hint="eastAsia"/>
        </w:rPr>
        <w:t>1</w:t>
      </w:r>
      <w:r>
        <w:rPr>
          <w:rFonts w:hint="eastAsia"/>
        </w:rPr>
        <w:t>)</w:t>
      </w:r>
      <w:r w:rsidR="00EC5325">
        <w:rPr>
          <w:rFonts w:hint="eastAsia"/>
        </w:rPr>
        <w:t>场在苏利亚州举办，以此创造条件，促进各公社理事会中所设立的性别事务委员会行使其社会监察职能；一</w:t>
      </w:r>
      <w:r>
        <w:rPr>
          <w:rFonts w:hint="eastAsia"/>
        </w:rPr>
        <w:t>(</w:t>
      </w:r>
      <w:r w:rsidR="00EC5325">
        <w:rPr>
          <w:rFonts w:hint="eastAsia"/>
        </w:rPr>
        <w:t>1</w:t>
      </w:r>
      <w:r>
        <w:rPr>
          <w:rFonts w:hint="eastAsia"/>
        </w:rPr>
        <w:t>)</w:t>
      </w:r>
      <w:r w:rsidR="00EC5325">
        <w:rPr>
          <w:rFonts w:hint="eastAsia"/>
        </w:rPr>
        <w:t>场讲习班，旨在提高国立安全实验大学毕业生们在性别问题上的认识；一</w:t>
      </w:r>
      <w:r>
        <w:rPr>
          <w:rFonts w:hint="eastAsia"/>
        </w:rPr>
        <w:t>(</w:t>
      </w:r>
      <w:r w:rsidR="00EC5325">
        <w:rPr>
          <w:rFonts w:hint="eastAsia"/>
        </w:rPr>
        <w:t>1</w:t>
      </w:r>
      <w:r>
        <w:rPr>
          <w:rFonts w:hint="eastAsia"/>
        </w:rPr>
        <w:t>)</w:t>
      </w:r>
      <w:r w:rsidR="00EC5325">
        <w:rPr>
          <w:rFonts w:hint="eastAsia"/>
        </w:rPr>
        <w:t>场针对刑事和犯罪学科学调查机构的公务员开办的讲习班，并参加了由主管暴力侵害妇女犯罪问题的国家系统各机构举办的各类研讨会，这些机构有：权利监察员办公室、公诉处、国民大会和公设辩护人办公室。</w:t>
      </w:r>
    </w:p>
    <w:p w:rsidR="00EC5325" w:rsidRDefault="008625CB" w:rsidP="00EC5325">
      <w:pPr>
        <w:pStyle w:val="SingleTxt"/>
        <w:rPr>
          <w:rFonts w:hint="eastAsia"/>
        </w:rPr>
      </w:pPr>
      <w:r>
        <w:rPr>
          <w:rFonts w:hint="eastAsia"/>
        </w:rPr>
        <w:tab/>
        <w:t>(</w:t>
      </w:r>
      <w:r w:rsidR="00EC5325">
        <w:rPr>
          <w:rFonts w:hint="eastAsia"/>
        </w:rPr>
        <w:t>g)</w:t>
      </w:r>
      <w:r w:rsidR="00EC5325">
        <w:rPr>
          <w:rFonts w:hint="eastAsia"/>
        </w:rPr>
        <w:tab/>
      </w:r>
      <w:r w:rsidR="00EC5325">
        <w:rPr>
          <w:rFonts w:hint="eastAsia"/>
        </w:rPr>
        <w:t>实施社会监察：自</w:t>
      </w:r>
      <w:r w:rsidR="00EC5325">
        <w:rPr>
          <w:rFonts w:hint="eastAsia"/>
        </w:rPr>
        <w:t>2014</w:t>
      </w:r>
      <w:r w:rsidR="00EC5325">
        <w:rPr>
          <w:rFonts w:hint="eastAsia"/>
        </w:rPr>
        <w:t>年起，陆续对在主管暴力侵害妇女犯罪问题的法院中任职的提名候选人进行了公示。</w:t>
      </w:r>
    </w:p>
    <w:p w:rsidR="00EC5325" w:rsidRDefault="008625CB" w:rsidP="00EC5325">
      <w:pPr>
        <w:pStyle w:val="SingleTxt"/>
        <w:rPr>
          <w:rFonts w:hint="eastAsia"/>
        </w:rPr>
      </w:pPr>
      <w:r>
        <w:rPr>
          <w:rFonts w:hint="eastAsia"/>
        </w:rPr>
        <w:tab/>
        <w:t>(</w:t>
      </w:r>
      <w:r w:rsidR="00EC5325">
        <w:rPr>
          <w:rFonts w:hint="eastAsia"/>
        </w:rPr>
        <w:t>h)</w:t>
      </w:r>
      <w:r w:rsidR="00EC5325">
        <w:rPr>
          <w:rFonts w:hint="eastAsia"/>
        </w:rPr>
        <w:tab/>
      </w:r>
      <w:r w:rsidR="00EC5325">
        <w:rPr>
          <w:rFonts w:hint="eastAsia"/>
        </w:rPr>
        <w:t>同样，还出台了一项培训方案，由国家法官学院负责实施，所有在专门主管暴力侵害妇女犯罪问题的法院中任职的法官都被强制性要求接受这一培训。此外，为了优化主管暴力侵害妇女犯罪问题的专门法院中的跨学科团队提供的辅助性服务，最高司法法院于</w:t>
      </w:r>
      <w:r w:rsidR="00EC5325">
        <w:rPr>
          <w:rFonts w:hint="eastAsia"/>
        </w:rPr>
        <w:t>2014</w:t>
      </w:r>
      <w:r w:rsidR="00EC5325">
        <w:rPr>
          <w:rFonts w:hint="eastAsia"/>
        </w:rPr>
        <w:t>年</w:t>
      </w:r>
      <w:r w:rsidR="00EC5325">
        <w:rPr>
          <w:rFonts w:hint="eastAsia"/>
        </w:rPr>
        <w:t>4</w:t>
      </w:r>
      <w:r w:rsidR="00EC5325">
        <w:rPr>
          <w:rFonts w:hint="eastAsia"/>
        </w:rPr>
        <w:t>月在其全体会议上批准了由全国性别问题司法委员会提交的跨学科团队关爱工作议定书。</w:t>
      </w:r>
    </w:p>
    <w:p w:rsidR="00EC5325" w:rsidRDefault="00EC5325" w:rsidP="00EC5325">
      <w:pPr>
        <w:pStyle w:val="SingleTxt"/>
        <w:rPr>
          <w:rFonts w:hint="eastAsia"/>
        </w:rPr>
      </w:pPr>
      <w:r>
        <w:rPr>
          <w:rFonts w:hint="eastAsia"/>
        </w:rPr>
        <w:t>25.</w:t>
      </w:r>
      <w:r>
        <w:rPr>
          <w:rFonts w:hint="eastAsia"/>
        </w:rPr>
        <w:tab/>
      </w:r>
      <w:r>
        <w:rPr>
          <w:rFonts w:hint="eastAsia"/>
        </w:rPr>
        <w:t>为了统一标准，已经在人民政权内政、司法与和平部警察署两性平等与公正理事会的参与配合下，对各投诉受理机关的多学科团队签发的体检报告和心理评估报告的有效性进行了审核。</w:t>
      </w:r>
    </w:p>
    <w:p w:rsidR="00EC5325" w:rsidRDefault="00EC5325" w:rsidP="00EC5325">
      <w:pPr>
        <w:pStyle w:val="SingleTxt"/>
        <w:rPr>
          <w:rFonts w:hint="eastAsia"/>
        </w:rPr>
      </w:pPr>
      <w:r>
        <w:rPr>
          <w:rFonts w:hint="eastAsia"/>
        </w:rPr>
        <w:t>26.</w:t>
      </w:r>
      <w:r>
        <w:rPr>
          <w:rFonts w:hint="eastAsia"/>
        </w:rPr>
        <w:tab/>
      </w:r>
      <w:r>
        <w:rPr>
          <w:rFonts w:hint="eastAsia"/>
        </w:rPr>
        <w:t>自</w:t>
      </w:r>
      <w:r>
        <w:rPr>
          <w:rFonts w:hint="eastAsia"/>
        </w:rPr>
        <w:t>2014</w:t>
      </w:r>
      <w:r>
        <w:rPr>
          <w:rFonts w:hint="eastAsia"/>
        </w:rPr>
        <w:t>年起，根据最高司法法院全体会议的决议，在国家各司法辖区中每一个对暴力侵害妇女犯罪问题享有管辖权的司法区内都设立了一</w:t>
      </w:r>
      <w:r w:rsidR="008625CB">
        <w:rPr>
          <w:rFonts w:hint="eastAsia"/>
        </w:rPr>
        <w:t>(</w:t>
      </w:r>
      <w:r>
        <w:rPr>
          <w:rFonts w:hint="eastAsia"/>
        </w:rPr>
        <w:t>1</w:t>
      </w:r>
      <w:r w:rsidR="008625CB">
        <w:rPr>
          <w:rFonts w:hint="eastAsia"/>
        </w:rPr>
        <w:t>)</w:t>
      </w:r>
      <w:r>
        <w:rPr>
          <w:rFonts w:hint="eastAsia"/>
        </w:rPr>
        <w:t>个主管暴力侵害妇女犯罪问题的执行法院，这些执行法院可设在上述司法区内。</w:t>
      </w:r>
    </w:p>
    <w:p w:rsidR="00EC5325" w:rsidRDefault="00EC5325" w:rsidP="00EC5325">
      <w:pPr>
        <w:pStyle w:val="SingleTxt"/>
        <w:rPr>
          <w:rFonts w:hint="eastAsia"/>
        </w:rPr>
      </w:pPr>
      <w:r>
        <w:rPr>
          <w:rFonts w:hint="eastAsia"/>
        </w:rPr>
        <w:t>27.</w:t>
      </w:r>
      <w:r>
        <w:rPr>
          <w:rFonts w:hint="eastAsia"/>
        </w:rPr>
        <w:tab/>
      </w:r>
      <w:r>
        <w:rPr>
          <w:rFonts w:hint="eastAsia"/>
        </w:rPr>
        <w:t>针对委员会提出的关于全国性别问题司法委员会在性别问题司法系统各组成部分所起的作用这一问题，需要重申的是，委员会的职责是研究制定法律政策，旨在优化性别司法体系，以及加强打击暴力侵害妇女行为法院与公社理事会之间的联系。</w:t>
      </w:r>
      <w:r>
        <w:rPr>
          <w:rFonts w:hint="eastAsia"/>
        </w:rPr>
        <w:t xml:space="preserve"> </w:t>
      </w:r>
    </w:p>
    <w:p w:rsidR="00EC5325" w:rsidRDefault="00EC5325" w:rsidP="00EC5325">
      <w:pPr>
        <w:pStyle w:val="SingleTxt"/>
        <w:rPr>
          <w:rFonts w:hint="eastAsia"/>
        </w:rPr>
      </w:pPr>
      <w:r>
        <w:rPr>
          <w:rFonts w:hint="eastAsia"/>
        </w:rPr>
        <w:t>28.</w:t>
      </w:r>
      <w:r>
        <w:rPr>
          <w:rFonts w:hint="eastAsia"/>
        </w:rPr>
        <w:tab/>
      </w:r>
      <w:r>
        <w:rPr>
          <w:rFonts w:hint="eastAsia"/>
        </w:rPr>
        <w:t>在这方面，委员会提出了一则草案，名为“关于在全国范围内增设新的法院机构的多民族计划</w:t>
      </w:r>
      <w:r w:rsidR="008625CB">
        <w:rPr>
          <w:rFonts w:hint="eastAsia"/>
        </w:rPr>
        <w:t>(</w:t>
      </w:r>
      <w:r>
        <w:rPr>
          <w:rFonts w:hint="eastAsia"/>
        </w:rPr>
        <w:t>2014-2016</w:t>
      </w:r>
      <w:r>
        <w:rPr>
          <w:rFonts w:hint="eastAsia"/>
        </w:rPr>
        <w:t>年</w:t>
      </w:r>
      <w:r w:rsidR="008625CB">
        <w:rPr>
          <w:rFonts w:hint="eastAsia"/>
        </w:rPr>
        <w:t>)</w:t>
      </w:r>
      <w:r>
        <w:rPr>
          <w:rFonts w:hint="eastAsia"/>
        </w:rPr>
        <w:t>”，该计划针对的是国内五个州，自</w:t>
      </w:r>
      <w:r>
        <w:rPr>
          <w:rFonts w:hint="eastAsia"/>
        </w:rPr>
        <w:t>2014</w:t>
      </w:r>
      <w:r>
        <w:rPr>
          <w:rFonts w:hint="eastAsia"/>
        </w:rPr>
        <w:t>年起实施。</w:t>
      </w:r>
      <w:r>
        <w:rPr>
          <w:rStyle w:val="FootnoteReference"/>
        </w:rPr>
        <w:footnoteReference w:id="8"/>
      </w:r>
      <w:r>
        <w:rPr>
          <w:rFonts w:hint="eastAsia"/>
        </w:rPr>
        <w:t xml:space="preserve"> </w:t>
      </w:r>
      <w:r>
        <w:rPr>
          <w:rFonts w:hint="eastAsia"/>
        </w:rPr>
        <w:t>我们要着重强调，玻利瓦尔州的圣埃伦娜德乌艾伦市由于地处边境，设立新的法院机构至关重要，需要将州司法辖区的刑事司法区的暴力侵害妇女问题初审法院进行机构扩展，由两个管理、听证和保全法庭和一个审判法庭构成。最后，计划到</w:t>
      </w:r>
      <w:r>
        <w:rPr>
          <w:rFonts w:hint="eastAsia"/>
        </w:rPr>
        <w:t>2015</w:t>
      </w:r>
      <w:r>
        <w:rPr>
          <w:rFonts w:hint="eastAsia"/>
        </w:rPr>
        <w:t>年在八个州建成新的法院机构，并对加拉加斯首都大区的法院机构进行扩建，此项工作将取决于资金的落实情况。</w:t>
      </w:r>
    </w:p>
    <w:p w:rsidR="00EC5325" w:rsidRDefault="00EC5325" w:rsidP="00EC5325">
      <w:pPr>
        <w:pStyle w:val="SingleTxt"/>
        <w:rPr>
          <w:rFonts w:hint="eastAsia"/>
        </w:rPr>
      </w:pPr>
      <w:r>
        <w:rPr>
          <w:rFonts w:hint="eastAsia"/>
        </w:rPr>
        <w:t>29.</w:t>
      </w:r>
      <w:r>
        <w:rPr>
          <w:rFonts w:hint="eastAsia"/>
        </w:rPr>
        <w:tab/>
      </w:r>
      <w:r>
        <w:rPr>
          <w:rFonts w:hint="eastAsia"/>
        </w:rPr>
        <w:t>此外，委员会于</w:t>
      </w:r>
      <w:r>
        <w:rPr>
          <w:rFonts w:hint="eastAsia"/>
        </w:rPr>
        <w:t>2014</w:t>
      </w:r>
      <w:r>
        <w:rPr>
          <w:rFonts w:hint="eastAsia"/>
        </w:rPr>
        <w:t>年</w:t>
      </w:r>
      <w:r>
        <w:rPr>
          <w:rFonts w:hint="eastAsia"/>
        </w:rPr>
        <w:t>4</w:t>
      </w:r>
      <w:r>
        <w:rPr>
          <w:rFonts w:hint="eastAsia"/>
        </w:rPr>
        <w:t>月向各大学提出申请，要求设置性别学分，目的是将性别课程作为必修课纳入到各大学每个院系的课程大纲中。委内瑞拉玻利瓦尔大学学务部于</w:t>
      </w:r>
      <w:r>
        <w:rPr>
          <w:rFonts w:hint="eastAsia"/>
        </w:rPr>
        <w:t>2014</w:t>
      </w:r>
      <w:r>
        <w:rPr>
          <w:rFonts w:hint="eastAsia"/>
        </w:rPr>
        <w:t>年</w:t>
      </w:r>
      <w:r>
        <w:rPr>
          <w:rFonts w:hint="eastAsia"/>
        </w:rPr>
        <w:t>4</w:t>
      </w:r>
      <w:r>
        <w:rPr>
          <w:rFonts w:hint="eastAsia"/>
        </w:rPr>
        <w:t>月批准了这一申请。另一方面，全国性别问题司法委员会作为妇女人权方面的高级别顾问机构，承担了从性别角度为国家公共权力各部门提供顾问服务的职能。</w:t>
      </w:r>
    </w:p>
    <w:p w:rsidR="00EC5325" w:rsidRDefault="00EC5325" w:rsidP="00EC5325">
      <w:pPr>
        <w:pStyle w:val="SingleTxt"/>
        <w:rPr>
          <w:rFonts w:hint="eastAsia"/>
        </w:rPr>
      </w:pPr>
      <w:r>
        <w:rPr>
          <w:rFonts w:hint="eastAsia"/>
        </w:rPr>
        <w:t>30.</w:t>
      </w:r>
      <w:r>
        <w:rPr>
          <w:rFonts w:hint="eastAsia"/>
        </w:rPr>
        <w:tab/>
      </w:r>
      <w:r>
        <w:rPr>
          <w:rFonts w:hint="eastAsia"/>
        </w:rPr>
        <w:t>由于深信对妇女的暴力侵害是一个涉及到公共卫生和人权的多要素问题，要求转变社会观念，通过多机构努力来开展具有影响力的行动，从而反映到生活态度和行为模式上，因此，全国性别问题司法委员会在</w:t>
      </w:r>
      <w:r>
        <w:rPr>
          <w:rFonts w:hint="eastAsia"/>
        </w:rPr>
        <w:t>2013</w:t>
      </w:r>
      <w:r>
        <w:rPr>
          <w:rFonts w:hint="eastAsia"/>
        </w:rPr>
        <w:t>年下半年期间，与权利监察员办公室、公诉处、公设辩护人办公室、人民政权妇女事务和性别平等部；</w:t>
      </w:r>
      <w:r w:rsidRPr="009D42A2">
        <w:rPr>
          <w:rFonts w:hint="eastAsia"/>
          <w:spacing w:val="2"/>
        </w:rPr>
        <w:t>国民大会的卡洛斯</w:t>
      </w:r>
      <w:r w:rsidR="009D42A2" w:rsidRPr="009D42A2">
        <w:rPr>
          <w:rFonts w:hint="eastAsia"/>
          <w:spacing w:val="2"/>
        </w:rPr>
        <w:t>·</w:t>
      </w:r>
      <w:r w:rsidRPr="009D42A2">
        <w:rPr>
          <w:rFonts w:hint="eastAsia"/>
          <w:spacing w:val="2"/>
        </w:rPr>
        <w:t>埃斯卡拉学院以及妇女组织分别召开了三</w:t>
      </w:r>
      <w:r w:rsidR="008625CB" w:rsidRPr="009D42A2">
        <w:rPr>
          <w:rFonts w:hint="eastAsia"/>
          <w:spacing w:val="2"/>
        </w:rPr>
        <w:t>(</w:t>
      </w:r>
      <w:r w:rsidRPr="009D42A2">
        <w:rPr>
          <w:rFonts w:hint="eastAsia"/>
          <w:spacing w:val="2"/>
        </w:rPr>
        <w:t>3</w:t>
      </w:r>
      <w:r w:rsidR="008625CB" w:rsidRPr="009D42A2">
        <w:rPr>
          <w:rFonts w:hint="eastAsia"/>
          <w:spacing w:val="2"/>
        </w:rPr>
        <w:t>)</w:t>
      </w:r>
      <w:r w:rsidRPr="009D42A2">
        <w:rPr>
          <w:rFonts w:hint="eastAsia"/>
          <w:spacing w:val="2"/>
        </w:rPr>
        <w:t>场跨机构工作会</w:t>
      </w:r>
      <w:r>
        <w:rPr>
          <w:rFonts w:hint="eastAsia"/>
        </w:rPr>
        <w:t>议，目的是达成机构间协议，以针对国民开办一场旨在提高认识和预防暴力的宣传运动。</w:t>
      </w:r>
    </w:p>
    <w:p w:rsidR="00EC5325" w:rsidRDefault="00EC5325" w:rsidP="00EC5325">
      <w:pPr>
        <w:pStyle w:val="SingleTxt"/>
        <w:rPr>
          <w:rFonts w:hint="eastAsia"/>
        </w:rPr>
      </w:pPr>
      <w:r>
        <w:rPr>
          <w:rFonts w:hint="eastAsia"/>
        </w:rPr>
        <w:t>31.</w:t>
      </w:r>
      <w:r>
        <w:rPr>
          <w:rFonts w:hint="eastAsia"/>
        </w:rPr>
        <w:tab/>
      </w:r>
      <w:r>
        <w:rPr>
          <w:rFonts w:hint="eastAsia"/>
        </w:rPr>
        <w:t>司法机关打击性别暴力国家运动所取得的一项成果，就是出版和宣传了最高司法法院宪法庭</w:t>
      </w:r>
      <w:r>
        <w:rPr>
          <w:rStyle w:val="FootnoteReference"/>
        </w:rPr>
        <w:footnoteReference w:id="9"/>
      </w:r>
      <w:r>
        <w:rPr>
          <w:rFonts w:hint="eastAsia"/>
        </w:rPr>
        <w:t xml:space="preserve">  </w:t>
      </w:r>
      <w:r>
        <w:rPr>
          <w:rFonts w:hint="eastAsia"/>
        </w:rPr>
        <w:t>和刑事上诉庭就《妇女享有无暴力生活权利组织法》所包含原则的适用方面所作的判例，从而使受害人有可能获得有效的司法保护、诉诸司法、避免二次受害并落实其辩护权。</w:t>
      </w:r>
      <w:r>
        <w:rPr>
          <w:rStyle w:val="FootnoteReference"/>
        </w:rPr>
        <w:footnoteReference w:id="10"/>
      </w:r>
      <w:r>
        <w:rPr>
          <w:rFonts w:hint="eastAsia"/>
        </w:rPr>
        <w:t xml:space="preserve"> </w:t>
      </w:r>
    </w:p>
    <w:p w:rsidR="00EC5325" w:rsidRDefault="00EC5325" w:rsidP="00EC5325">
      <w:pPr>
        <w:pStyle w:val="SingleTxt"/>
        <w:rPr>
          <w:rFonts w:hint="eastAsia"/>
        </w:rPr>
      </w:pPr>
      <w:r w:rsidRPr="008625CB">
        <w:rPr>
          <w:rFonts w:ascii="SimHei" w:eastAsia="SimHei" w:hAnsi="SimHei" w:hint="eastAsia"/>
        </w:rPr>
        <w:t>问题4：请说明公诉处收到的侵犯妇女权利的投诉，如收到的投诉数目、侵犯权利的类型、受害人与行为人的关系、受害人年龄以及调查、起诉和定罪的数目</w:t>
      </w:r>
      <w:r w:rsidR="008625CB" w:rsidRPr="008625CB">
        <w:rPr>
          <w:rFonts w:ascii="SimHei" w:eastAsia="SimHei" w:hAnsi="SimHei" w:hint="eastAsia"/>
        </w:rPr>
        <w:t>(</w:t>
      </w:r>
      <w:r w:rsidRPr="008625CB">
        <w:rPr>
          <w:rFonts w:ascii="SimHei" w:eastAsia="SimHei" w:hAnsi="SimHei" w:hint="eastAsia"/>
        </w:rPr>
        <w:t>第83段</w:t>
      </w:r>
      <w:r w:rsidR="008625CB" w:rsidRPr="008625CB">
        <w:rPr>
          <w:rFonts w:ascii="SimHei" w:eastAsia="SimHei" w:hAnsi="SimHei" w:hint="eastAsia"/>
        </w:rPr>
        <w:t>)</w:t>
      </w:r>
      <w:r w:rsidRPr="008625CB">
        <w:rPr>
          <w:rFonts w:ascii="SimHei" w:eastAsia="SimHei" w:hAnsi="SimHei" w:hint="eastAsia"/>
        </w:rPr>
        <w:t>。还请更新2011-2013年的数据</w:t>
      </w:r>
    </w:p>
    <w:p w:rsidR="00EC5325" w:rsidRDefault="00EC5325" w:rsidP="00EC5325">
      <w:pPr>
        <w:pStyle w:val="SingleTxt"/>
        <w:rPr>
          <w:rFonts w:hint="eastAsia"/>
        </w:rPr>
      </w:pPr>
      <w:r>
        <w:rPr>
          <w:rFonts w:hint="eastAsia"/>
        </w:rPr>
        <w:t>32.</w:t>
      </w:r>
      <w:r>
        <w:rPr>
          <w:rFonts w:hint="eastAsia"/>
        </w:rPr>
        <w:tab/>
      </w:r>
      <w:r>
        <w:rPr>
          <w:rFonts w:hint="eastAsia"/>
        </w:rPr>
        <w:t>公诉处，作为刑事侦查和起诉的主管机关，在</w:t>
      </w:r>
      <w:r>
        <w:rPr>
          <w:rFonts w:hint="eastAsia"/>
        </w:rPr>
        <w:t>2011</w:t>
      </w:r>
      <w:r>
        <w:rPr>
          <w:rFonts w:hint="eastAsia"/>
        </w:rPr>
        <w:t>年接到了</w:t>
      </w:r>
      <w:r>
        <w:rPr>
          <w:rFonts w:hint="eastAsia"/>
        </w:rPr>
        <w:t>73 047</w:t>
      </w:r>
      <w:r>
        <w:rPr>
          <w:rFonts w:hint="eastAsia"/>
        </w:rPr>
        <w:t>例关于侵害妇女权利的投诉，</w:t>
      </w:r>
      <w:r>
        <w:rPr>
          <w:rFonts w:hint="eastAsia"/>
        </w:rPr>
        <w:t>2012</w:t>
      </w:r>
      <w:r>
        <w:rPr>
          <w:rFonts w:hint="eastAsia"/>
        </w:rPr>
        <w:t>年接到的此类投诉数量为</w:t>
      </w:r>
      <w:r>
        <w:rPr>
          <w:rFonts w:hint="eastAsia"/>
        </w:rPr>
        <w:t>83 113</w:t>
      </w:r>
      <w:r>
        <w:rPr>
          <w:rFonts w:hint="eastAsia"/>
        </w:rPr>
        <w:t>例，</w:t>
      </w:r>
      <w:r>
        <w:rPr>
          <w:rFonts w:hint="eastAsia"/>
        </w:rPr>
        <w:t>2013</w:t>
      </w:r>
      <w:r>
        <w:rPr>
          <w:rFonts w:hint="eastAsia"/>
        </w:rPr>
        <w:t>年则为</w:t>
      </w:r>
      <w:r>
        <w:rPr>
          <w:rFonts w:hint="eastAsia"/>
        </w:rPr>
        <w:t>71 812</w:t>
      </w:r>
      <w:r>
        <w:rPr>
          <w:rFonts w:hint="eastAsia"/>
        </w:rPr>
        <w:t>例，投诉对象为涉嫌犯有暴力性侵害、性骚扰、欺凌或骚扰、与特别弱势受害人有性行为、猥亵、威胁、性奴役、基于性别原因公开侮辱、强迫卖淫、非法贩运女童和少女、身体暴力、工作场所暴力、产科暴力、财产和经济暴力、精神暴力和性暴力罪行的行为人。在</w:t>
      </w:r>
      <w:r>
        <w:rPr>
          <w:rFonts w:hint="eastAsia"/>
        </w:rPr>
        <w:t>2011-2013</w:t>
      </w:r>
      <w:r>
        <w:rPr>
          <w:rFonts w:hint="eastAsia"/>
        </w:rPr>
        <w:t>年期间，公诉处提起了</w:t>
      </w:r>
      <w:r>
        <w:rPr>
          <w:rFonts w:hint="eastAsia"/>
        </w:rPr>
        <w:t>32 674</w:t>
      </w:r>
      <w:r>
        <w:rPr>
          <w:rFonts w:hint="eastAsia"/>
        </w:rPr>
        <w:t>例指控，同时，有</w:t>
      </w:r>
      <w:r>
        <w:rPr>
          <w:rFonts w:hint="eastAsia"/>
        </w:rPr>
        <w:t>114 441</w:t>
      </w:r>
      <w:r>
        <w:rPr>
          <w:rFonts w:hint="eastAsia"/>
        </w:rPr>
        <w:t>例案件被予以案卷封存处理，还有</w:t>
      </w:r>
      <w:r>
        <w:rPr>
          <w:rFonts w:hint="eastAsia"/>
        </w:rPr>
        <w:t>149 036</w:t>
      </w:r>
      <w:r>
        <w:rPr>
          <w:rFonts w:hint="eastAsia"/>
        </w:rPr>
        <w:t>例案件被驳回。</w:t>
      </w:r>
    </w:p>
    <w:p w:rsidR="008A1811" w:rsidRDefault="00EC5325" w:rsidP="00EC5325">
      <w:pPr>
        <w:pStyle w:val="SingleTxt"/>
      </w:pPr>
      <w:r>
        <w:rPr>
          <w:rFonts w:hint="eastAsia"/>
        </w:rPr>
        <w:t>33.</w:t>
      </w:r>
      <w:r>
        <w:rPr>
          <w:rFonts w:hint="eastAsia"/>
        </w:rPr>
        <w:tab/>
      </w:r>
      <w:r>
        <w:rPr>
          <w:rFonts w:hint="eastAsia"/>
        </w:rPr>
        <w:t>另一方面，需要注意的是，随着特别法院的设立，此类性质的投诉数量有所增加，这是因为受虐妇女看到了从性别角度诉诸司法的希望，而之前由于没有设置专门的法院，这些数字一直被隐藏。司法机关的统计信息系统记录了以下数据，这是自</w:t>
      </w:r>
      <w:r>
        <w:rPr>
          <w:rFonts w:hint="eastAsia"/>
        </w:rPr>
        <w:t>2009</w:t>
      </w:r>
      <w:r>
        <w:rPr>
          <w:rFonts w:hint="eastAsia"/>
        </w:rPr>
        <w:t>年至</w:t>
      </w:r>
      <w:r>
        <w:rPr>
          <w:rFonts w:hint="eastAsia"/>
        </w:rPr>
        <w:t>2013</w:t>
      </w:r>
      <w:r>
        <w:rPr>
          <w:rFonts w:hint="eastAsia"/>
        </w:rPr>
        <w:t>年由具备管理、听证和保全职能的暴力侵害妇女问题初审法院每年受理并作出最终裁决的案件数量。</w:t>
      </w:r>
    </w:p>
    <w:p w:rsidR="008A1811" w:rsidRDefault="008A1811" w:rsidP="00EC5325">
      <w:pPr>
        <w:pStyle w:val="SingleTxt"/>
        <w:rPr>
          <w:rFonts w:hint="eastAsia"/>
        </w:rPr>
      </w:pPr>
      <w:r>
        <w:br w:type="page"/>
      </w:r>
    </w:p>
    <w:tbl>
      <w:tblPr>
        <w:tblW w:w="9849" w:type="dxa"/>
        <w:tblLayout w:type="fixed"/>
        <w:tblCellMar>
          <w:left w:w="0" w:type="dxa"/>
          <w:right w:w="0" w:type="dxa"/>
        </w:tblCellMar>
        <w:tblLook w:val="0000"/>
      </w:tblPr>
      <w:tblGrid>
        <w:gridCol w:w="3710"/>
        <w:gridCol w:w="1596"/>
        <w:gridCol w:w="979"/>
        <w:gridCol w:w="812"/>
        <w:gridCol w:w="924"/>
        <w:gridCol w:w="854"/>
        <w:gridCol w:w="974"/>
      </w:tblGrid>
      <w:tr w:rsidR="008A1811" w:rsidRPr="008A1811" w:rsidTr="008A1811">
        <w:tblPrEx>
          <w:tblCellMar>
            <w:top w:w="0" w:type="dxa"/>
            <w:bottom w:w="0" w:type="dxa"/>
          </w:tblCellMar>
        </w:tblPrEx>
        <w:trPr>
          <w:tblHeader/>
        </w:trPr>
        <w:tc>
          <w:tcPr>
            <w:tcW w:w="3710" w:type="dxa"/>
            <w:tcBorders>
              <w:top w:val="single" w:sz="4" w:space="0" w:color="auto"/>
              <w:bottom w:val="single" w:sz="12" w:space="0" w:color="auto"/>
            </w:tcBorders>
            <w:shd w:val="clear" w:color="auto" w:fill="auto"/>
            <w:vAlign w:val="bottom"/>
          </w:tcPr>
          <w:p w:rsidR="008A1811" w:rsidRPr="008A1811" w:rsidRDefault="008A1811" w:rsidP="008A1811">
            <w:pPr>
              <w:tabs>
                <w:tab w:val="left" w:pos="360"/>
                <w:tab w:val="left" w:pos="720"/>
                <w:tab w:val="left" w:pos="1080"/>
                <w:tab w:val="left" w:pos="1440"/>
              </w:tabs>
              <w:suppressAutoHyphens/>
              <w:spacing w:before="60" w:after="60" w:line="200" w:lineRule="exact"/>
              <w:ind w:right="57"/>
              <w:rPr>
                <w:rFonts w:eastAsia="楷体" w:hint="eastAsia"/>
                <w:sz w:val="15"/>
              </w:rPr>
            </w:pPr>
          </w:p>
        </w:tc>
        <w:tc>
          <w:tcPr>
            <w:tcW w:w="1596" w:type="dxa"/>
            <w:tcBorders>
              <w:top w:val="single" w:sz="4" w:space="0" w:color="auto"/>
              <w:bottom w:val="single" w:sz="12" w:space="0" w:color="auto"/>
            </w:tcBorders>
            <w:shd w:val="clear" w:color="auto" w:fill="auto"/>
            <w:vAlign w:val="bottom"/>
          </w:tcPr>
          <w:p w:rsidR="008A1811" w:rsidRPr="008A1811" w:rsidRDefault="008A1811" w:rsidP="008A1811">
            <w:pPr>
              <w:pStyle w:val="SingleTxtG"/>
              <w:spacing w:before="60" w:after="60" w:line="200" w:lineRule="exact"/>
              <w:ind w:left="0" w:right="57"/>
              <w:jc w:val="right"/>
              <w:rPr>
                <w:rFonts w:eastAsia="楷体" w:hint="eastAsia"/>
                <w:bCs/>
                <w:sz w:val="15"/>
                <w:szCs w:val="21"/>
                <w:lang w:val="es-VE" w:eastAsia="zh-CN"/>
              </w:rPr>
            </w:pPr>
            <w:r w:rsidRPr="008A1811">
              <w:rPr>
                <w:rFonts w:eastAsia="楷体" w:hint="eastAsia"/>
                <w:bCs/>
                <w:sz w:val="15"/>
                <w:szCs w:val="21"/>
                <w:lang w:val="es-VE" w:eastAsia="zh-CN"/>
              </w:rPr>
              <w:t>判决</w:t>
            </w:r>
            <w:r w:rsidRPr="008A1811">
              <w:rPr>
                <w:rFonts w:eastAsia="楷体"/>
                <w:bCs/>
                <w:sz w:val="15"/>
                <w:szCs w:val="21"/>
                <w:lang w:val="es-VE" w:eastAsia="zh-CN"/>
              </w:rPr>
              <w:br/>
            </w:r>
            <w:r w:rsidRPr="008A1811">
              <w:rPr>
                <w:rFonts w:eastAsia="楷体" w:hint="eastAsia"/>
                <w:bCs/>
                <w:sz w:val="15"/>
                <w:szCs w:val="21"/>
                <w:lang w:val="es-VE" w:eastAsia="zh-CN"/>
              </w:rPr>
              <w:t>数量合计</w:t>
            </w:r>
          </w:p>
        </w:tc>
        <w:tc>
          <w:tcPr>
            <w:tcW w:w="979" w:type="dxa"/>
            <w:tcBorders>
              <w:top w:val="single" w:sz="4" w:space="0" w:color="auto"/>
              <w:bottom w:val="single" w:sz="12" w:space="0" w:color="auto"/>
            </w:tcBorders>
            <w:shd w:val="clear" w:color="auto" w:fill="auto"/>
            <w:vAlign w:val="bottom"/>
          </w:tcPr>
          <w:p w:rsidR="008A1811" w:rsidRPr="008A1811" w:rsidRDefault="008A1811" w:rsidP="008A1811">
            <w:pPr>
              <w:pStyle w:val="SingleTxtG"/>
              <w:spacing w:before="60" w:after="60" w:line="200" w:lineRule="exact"/>
              <w:ind w:left="0" w:right="57"/>
              <w:jc w:val="right"/>
              <w:rPr>
                <w:rFonts w:eastAsia="楷体" w:hint="eastAsia"/>
                <w:bCs/>
                <w:sz w:val="15"/>
                <w:szCs w:val="21"/>
                <w:lang w:val="es-VE" w:eastAsia="zh-CN"/>
              </w:rPr>
            </w:pPr>
            <w:r w:rsidRPr="008A1811">
              <w:rPr>
                <w:rFonts w:eastAsia="楷体" w:hint="eastAsia"/>
                <w:bCs/>
                <w:sz w:val="15"/>
                <w:szCs w:val="21"/>
                <w:lang w:val="es-VE" w:eastAsia="zh-CN"/>
              </w:rPr>
              <w:t>2009</w:t>
            </w:r>
            <w:r w:rsidRPr="008A1811">
              <w:rPr>
                <w:rFonts w:eastAsia="楷体" w:hint="eastAsia"/>
                <w:bCs/>
                <w:sz w:val="15"/>
                <w:szCs w:val="21"/>
                <w:lang w:val="es-VE" w:eastAsia="zh-CN"/>
              </w:rPr>
              <w:t>年</w:t>
            </w:r>
          </w:p>
        </w:tc>
        <w:tc>
          <w:tcPr>
            <w:tcW w:w="812" w:type="dxa"/>
            <w:tcBorders>
              <w:top w:val="single" w:sz="4" w:space="0" w:color="auto"/>
              <w:bottom w:val="single" w:sz="12" w:space="0" w:color="auto"/>
            </w:tcBorders>
            <w:shd w:val="clear" w:color="auto" w:fill="auto"/>
            <w:vAlign w:val="bottom"/>
          </w:tcPr>
          <w:p w:rsidR="008A1811" w:rsidRPr="008A1811" w:rsidRDefault="008A1811" w:rsidP="008A1811">
            <w:pPr>
              <w:pStyle w:val="SingleTxtG"/>
              <w:spacing w:before="60" w:after="60" w:line="200" w:lineRule="exact"/>
              <w:ind w:left="0" w:right="57"/>
              <w:jc w:val="right"/>
              <w:rPr>
                <w:rFonts w:eastAsia="楷体" w:hint="eastAsia"/>
                <w:bCs/>
                <w:sz w:val="15"/>
                <w:szCs w:val="21"/>
                <w:lang w:val="es-VE" w:eastAsia="zh-CN"/>
              </w:rPr>
            </w:pPr>
            <w:r w:rsidRPr="008A1811">
              <w:rPr>
                <w:rFonts w:eastAsia="楷体" w:hint="eastAsia"/>
                <w:bCs/>
                <w:sz w:val="15"/>
                <w:szCs w:val="21"/>
                <w:lang w:val="es-VE" w:eastAsia="zh-CN"/>
              </w:rPr>
              <w:t>2010</w:t>
            </w:r>
            <w:r w:rsidRPr="008A1811">
              <w:rPr>
                <w:rFonts w:eastAsia="楷体" w:hint="eastAsia"/>
                <w:bCs/>
                <w:sz w:val="15"/>
                <w:szCs w:val="21"/>
                <w:lang w:val="es-VE" w:eastAsia="zh-CN"/>
              </w:rPr>
              <w:t>年</w:t>
            </w:r>
          </w:p>
        </w:tc>
        <w:tc>
          <w:tcPr>
            <w:tcW w:w="924" w:type="dxa"/>
            <w:tcBorders>
              <w:top w:val="single" w:sz="4" w:space="0" w:color="auto"/>
              <w:bottom w:val="single" w:sz="12" w:space="0" w:color="auto"/>
            </w:tcBorders>
            <w:shd w:val="clear" w:color="auto" w:fill="auto"/>
            <w:vAlign w:val="bottom"/>
          </w:tcPr>
          <w:p w:rsidR="008A1811" w:rsidRPr="008A1811" w:rsidRDefault="008A1811" w:rsidP="008A1811">
            <w:pPr>
              <w:pStyle w:val="SingleTxtG"/>
              <w:spacing w:before="60" w:after="60" w:line="200" w:lineRule="exact"/>
              <w:ind w:left="0" w:right="57"/>
              <w:jc w:val="right"/>
              <w:rPr>
                <w:rFonts w:eastAsia="楷体" w:hint="eastAsia"/>
                <w:bCs/>
                <w:sz w:val="15"/>
                <w:szCs w:val="21"/>
                <w:lang w:val="es-VE" w:eastAsia="zh-CN"/>
              </w:rPr>
            </w:pPr>
            <w:r w:rsidRPr="008A1811">
              <w:rPr>
                <w:rFonts w:eastAsia="楷体" w:hint="eastAsia"/>
                <w:bCs/>
                <w:sz w:val="15"/>
                <w:szCs w:val="21"/>
                <w:lang w:val="es-VE" w:eastAsia="zh-CN"/>
              </w:rPr>
              <w:t>2011</w:t>
            </w:r>
            <w:r w:rsidRPr="008A1811">
              <w:rPr>
                <w:rFonts w:eastAsia="楷体" w:hint="eastAsia"/>
                <w:bCs/>
                <w:sz w:val="15"/>
                <w:szCs w:val="21"/>
                <w:lang w:val="es-VE" w:eastAsia="zh-CN"/>
              </w:rPr>
              <w:t>年</w:t>
            </w:r>
          </w:p>
        </w:tc>
        <w:tc>
          <w:tcPr>
            <w:tcW w:w="854" w:type="dxa"/>
            <w:tcBorders>
              <w:top w:val="single" w:sz="4" w:space="0" w:color="auto"/>
              <w:bottom w:val="single" w:sz="12" w:space="0" w:color="auto"/>
            </w:tcBorders>
            <w:shd w:val="clear" w:color="auto" w:fill="auto"/>
            <w:vAlign w:val="bottom"/>
          </w:tcPr>
          <w:p w:rsidR="008A1811" w:rsidRPr="008A1811" w:rsidRDefault="008A1811" w:rsidP="008A1811">
            <w:pPr>
              <w:pStyle w:val="SingleTxtG"/>
              <w:spacing w:before="60" w:after="60" w:line="200" w:lineRule="exact"/>
              <w:ind w:left="0" w:right="57"/>
              <w:jc w:val="right"/>
              <w:rPr>
                <w:rFonts w:eastAsia="楷体" w:hint="eastAsia"/>
                <w:bCs/>
                <w:sz w:val="15"/>
                <w:szCs w:val="21"/>
                <w:lang w:val="es-VE" w:eastAsia="zh-CN"/>
              </w:rPr>
            </w:pPr>
            <w:r w:rsidRPr="008A1811">
              <w:rPr>
                <w:rFonts w:eastAsia="楷体" w:hint="eastAsia"/>
                <w:bCs/>
                <w:sz w:val="15"/>
                <w:szCs w:val="21"/>
                <w:lang w:val="es-VE" w:eastAsia="zh-CN"/>
              </w:rPr>
              <w:t>2012</w:t>
            </w:r>
            <w:r w:rsidRPr="008A1811">
              <w:rPr>
                <w:rFonts w:eastAsia="楷体" w:hint="eastAsia"/>
                <w:bCs/>
                <w:sz w:val="15"/>
                <w:szCs w:val="21"/>
                <w:lang w:val="es-VE" w:eastAsia="zh-CN"/>
              </w:rPr>
              <w:t>年</w:t>
            </w:r>
          </w:p>
        </w:tc>
        <w:tc>
          <w:tcPr>
            <w:tcW w:w="974" w:type="dxa"/>
            <w:tcBorders>
              <w:top w:val="single" w:sz="4" w:space="0" w:color="auto"/>
              <w:bottom w:val="single" w:sz="12" w:space="0" w:color="auto"/>
            </w:tcBorders>
            <w:shd w:val="clear" w:color="auto" w:fill="auto"/>
            <w:vAlign w:val="bottom"/>
          </w:tcPr>
          <w:p w:rsidR="008A1811" w:rsidRPr="008A1811" w:rsidRDefault="008A1811" w:rsidP="008A1811">
            <w:pPr>
              <w:pStyle w:val="SingleTxtG"/>
              <w:spacing w:before="60" w:after="60" w:line="200" w:lineRule="exact"/>
              <w:ind w:left="0" w:right="57"/>
              <w:jc w:val="right"/>
              <w:rPr>
                <w:rFonts w:eastAsia="楷体" w:hint="eastAsia"/>
                <w:bCs/>
                <w:sz w:val="15"/>
                <w:szCs w:val="21"/>
                <w:lang w:val="es-VE" w:eastAsia="zh-CN"/>
              </w:rPr>
            </w:pPr>
            <w:r w:rsidRPr="008A1811">
              <w:rPr>
                <w:rFonts w:eastAsia="楷体" w:hint="eastAsia"/>
                <w:bCs/>
                <w:sz w:val="15"/>
                <w:szCs w:val="21"/>
                <w:lang w:val="es-VE" w:eastAsia="zh-CN"/>
              </w:rPr>
              <w:t>截至</w:t>
            </w:r>
            <w:r w:rsidRPr="008A1811">
              <w:rPr>
                <w:rFonts w:eastAsia="楷体"/>
                <w:bCs/>
                <w:sz w:val="15"/>
                <w:szCs w:val="21"/>
                <w:lang w:val="es-VE" w:eastAsia="zh-CN"/>
              </w:rPr>
              <w:br/>
            </w:r>
            <w:r w:rsidRPr="008A1811">
              <w:rPr>
                <w:rFonts w:eastAsia="楷体" w:hint="eastAsia"/>
                <w:bCs/>
                <w:sz w:val="15"/>
                <w:szCs w:val="21"/>
                <w:lang w:val="es-VE" w:eastAsia="zh-CN"/>
              </w:rPr>
              <w:t>2013</w:t>
            </w:r>
            <w:r w:rsidRPr="008A1811">
              <w:rPr>
                <w:rFonts w:eastAsia="楷体" w:hint="eastAsia"/>
                <w:bCs/>
                <w:sz w:val="15"/>
                <w:szCs w:val="21"/>
                <w:lang w:val="es-VE" w:eastAsia="zh-CN"/>
              </w:rPr>
              <w:t>年</w:t>
            </w:r>
            <w:r w:rsidRPr="008A1811">
              <w:rPr>
                <w:rFonts w:eastAsia="楷体" w:hint="eastAsia"/>
                <w:bCs/>
                <w:sz w:val="15"/>
                <w:szCs w:val="21"/>
                <w:lang w:val="es-VE" w:eastAsia="zh-CN"/>
              </w:rPr>
              <w:t>6</w:t>
            </w:r>
            <w:r w:rsidRPr="008A1811">
              <w:rPr>
                <w:rFonts w:eastAsia="楷体" w:hint="eastAsia"/>
                <w:bCs/>
                <w:sz w:val="15"/>
                <w:szCs w:val="21"/>
                <w:lang w:val="es-VE" w:eastAsia="zh-CN"/>
              </w:rPr>
              <w:t>月</w:t>
            </w:r>
          </w:p>
        </w:tc>
      </w:tr>
      <w:tr w:rsidR="008A1811" w:rsidRPr="008A1811" w:rsidTr="008A1811">
        <w:tblPrEx>
          <w:tblCellMar>
            <w:top w:w="0" w:type="dxa"/>
            <w:bottom w:w="0" w:type="dxa"/>
          </w:tblCellMar>
        </w:tblPrEx>
        <w:trPr>
          <w:trHeight w:hRule="exact" w:val="115"/>
          <w:tblHeader/>
        </w:trPr>
        <w:tc>
          <w:tcPr>
            <w:tcW w:w="3710" w:type="dxa"/>
            <w:tcBorders>
              <w:top w:val="single" w:sz="12" w:space="0" w:color="auto"/>
            </w:tcBorders>
            <w:shd w:val="clear" w:color="auto" w:fill="auto"/>
            <w:vAlign w:val="bottom"/>
          </w:tcPr>
          <w:p w:rsidR="008A1811" w:rsidRPr="008A1811" w:rsidRDefault="008A1811" w:rsidP="008A1811">
            <w:pPr>
              <w:tabs>
                <w:tab w:val="left" w:pos="360"/>
                <w:tab w:val="left" w:pos="720"/>
                <w:tab w:val="left" w:pos="1080"/>
                <w:tab w:val="left" w:pos="1440"/>
              </w:tabs>
              <w:suppressAutoHyphens/>
              <w:spacing w:after="60" w:line="280" w:lineRule="exact"/>
              <w:ind w:right="57"/>
              <w:rPr>
                <w:rFonts w:hint="eastAsia"/>
                <w:sz w:val="17"/>
              </w:rPr>
            </w:pPr>
          </w:p>
        </w:tc>
        <w:tc>
          <w:tcPr>
            <w:tcW w:w="1596" w:type="dxa"/>
            <w:tcBorders>
              <w:top w:val="single" w:sz="12" w:space="0" w:color="auto"/>
            </w:tcBorders>
            <w:shd w:val="clear" w:color="auto" w:fill="auto"/>
            <w:vAlign w:val="bottom"/>
          </w:tcPr>
          <w:p w:rsidR="008A1811" w:rsidRPr="008A1811" w:rsidRDefault="008A1811" w:rsidP="008A1811">
            <w:pPr>
              <w:pStyle w:val="SingleTxtG"/>
              <w:spacing w:after="60" w:line="280" w:lineRule="exact"/>
              <w:ind w:left="0" w:right="57"/>
              <w:jc w:val="right"/>
              <w:rPr>
                <w:sz w:val="17"/>
                <w:szCs w:val="21"/>
                <w:lang w:val="es-VE" w:eastAsia="zh-CN"/>
              </w:rPr>
            </w:pPr>
          </w:p>
        </w:tc>
        <w:tc>
          <w:tcPr>
            <w:tcW w:w="979" w:type="dxa"/>
            <w:tcBorders>
              <w:top w:val="single" w:sz="12" w:space="0" w:color="auto"/>
            </w:tcBorders>
            <w:shd w:val="clear" w:color="auto" w:fill="auto"/>
            <w:vAlign w:val="bottom"/>
          </w:tcPr>
          <w:p w:rsidR="008A1811" w:rsidRPr="008A1811" w:rsidRDefault="008A1811" w:rsidP="008A1811">
            <w:pPr>
              <w:pStyle w:val="SingleTxtG"/>
              <w:spacing w:after="60" w:line="280" w:lineRule="exact"/>
              <w:ind w:left="0" w:right="57"/>
              <w:jc w:val="right"/>
              <w:rPr>
                <w:sz w:val="17"/>
                <w:szCs w:val="21"/>
                <w:lang w:val="es-VE" w:eastAsia="zh-CN"/>
              </w:rPr>
            </w:pPr>
          </w:p>
        </w:tc>
        <w:tc>
          <w:tcPr>
            <w:tcW w:w="812" w:type="dxa"/>
            <w:tcBorders>
              <w:top w:val="single" w:sz="12" w:space="0" w:color="auto"/>
            </w:tcBorders>
            <w:shd w:val="clear" w:color="auto" w:fill="auto"/>
            <w:vAlign w:val="bottom"/>
          </w:tcPr>
          <w:p w:rsidR="008A1811" w:rsidRPr="008A1811" w:rsidRDefault="008A1811" w:rsidP="008A1811">
            <w:pPr>
              <w:pStyle w:val="SingleTxtG"/>
              <w:spacing w:after="60" w:line="280" w:lineRule="exact"/>
              <w:ind w:left="0" w:right="57"/>
              <w:jc w:val="right"/>
              <w:rPr>
                <w:sz w:val="17"/>
                <w:szCs w:val="21"/>
                <w:lang w:val="es-VE" w:eastAsia="zh-CN"/>
              </w:rPr>
            </w:pPr>
          </w:p>
        </w:tc>
        <w:tc>
          <w:tcPr>
            <w:tcW w:w="924" w:type="dxa"/>
            <w:tcBorders>
              <w:top w:val="single" w:sz="12" w:space="0" w:color="auto"/>
            </w:tcBorders>
            <w:shd w:val="clear" w:color="auto" w:fill="auto"/>
            <w:vAlign w:val="bottom"/>
          </w:tcPr>
          <w:p w:rsidR="008A1811" w:rsidRPr="008A1811" w:rsidRDefault="008A1811" w:rsidP="008A1811">
            <w:pPr>
              <w:pStyle w:val="SingleTxtG"/>
              <w:spacing w:after="60" w:line="280" w:lineRule="exact"/>
              <w:ind w:left="0" w:right="57"/>
              <w:jc w:val="right"/>
              <w:rPr>
                <w:sz w:val="17"/>
                <w:szCs w:val="21"/>
                <w:lang w:val="es-VE" w:eastAsia="zh-CN"/>
              </w:rPr>
            </w:pPr>
          </w:p>
        </w:tc>
        <w:tc>
          <w:tcPr>
            <w:tcW w:w="854" w:type="dxa"/>
            <w:tcBorders>
              <w:top w:val="single" w:sz="12" w:space="0" w:color="auto"/>
            </w:tcBorders>
            <w:shd w:val="clear" w:color="auto" w:fill="auto"/>
            <w:vAlign w:val="bottom"/>
          </w:tcPr>
          <w:p w:rsidR="008A1811" w:rsidRPr="008A1811" w:rsidRDefault="008A1811" w:rsidP="008A1811">
            <w:pPr>
              <w:pStyle w:val="SingleTxtG"/>
              <w:spacing w:after="60" w:line="280" w:lineRule="exact"/>
              <w:ind w:left="0" w:right="57"/>
              <w:jc w:val="right"/>
              <w:rPr>
                <w:sz w:val="17"/>
                <w:szCs w:val="21"/>
                <w:lang w:val="es-VE" w:eastAsia="zh-CN"/>
              </w:rPr>
            </w:pPr>
          </w:p>
        </w:tc>
        <w:tc>
          <w:tcPr>
            <w:tcW w:w="974" w:type="dxa"/>
            <w:tcBorders>
              <w:top w:val="single" w:sz="12" w:space="0" w:color="auto"/>
            </w:tcBorders>
            <w:shd w:val="clear" w:color="auto" w:fill="auto"/>
            <w:vAlign w:val="bottom"/>
          </w:tcPr>
          <w:p w:rsidR="008A1811" w:rsidRPr="008A1811" w:rsidRDefault="008A1811" w:rsidP="008A1811">
            <w:pPr>
              <w:pStyle w:val="SingleTxtG"/>
              <w:spacing w:after="60" w:line="280" w:lineRule="exact"/>
              <w:ind w:left="0" w:right="57"/>
              <w:jc w:val="right"/>
              <w:rPr>
                <w:sz w:val="17"/>
                <w:szCs w:val="21"/>
                <w:lang w:val="es-VE" w:eastAsia="zh-CN"/>
              </w:rPr>
            </w:pPr>
          </w:p>
        </w:tc>
      </w:tr>
      <w:tr w:rsidR="008A1811" w:rsidRPr="008A1811" w:rsidTr="008A1811">
        <w:tblPrEx>
          <w:tblCellMar>
            <w:top w:w="0" w:type="dxa"/>
            <w:bottom w:w="0" w:type="dxa"/>
          </w:tblCellMar>
        </w:tblPrEx>
        <w:tc>
          <w:tcPr>
            <w:tcW w:w="3710" w:type="dxa"/>
            <w:tcBorders>
              <w:bottom w:val="single" w:sz="12" w:space="0" w:color="auto"/>
            </w:tcBorders>
            <w:shd w:val="clear" w:color="auto" w:fill="auto"/>
            <w:vAlign w:val="bottom"/>
          </w:tcPr>
          <w:p w:rsidR="008A1811" w:rsidRPr="008A1811" w:rsidRDefault="008A1811" w:rsidP="008A1811">
            <w:pPr>
              <w:tabs>
                <w:tab w:val="left" w:pos="334"/>
                <w:tab w:val="left" w:pos="669"/>
                <w:tab w:val="left" w:pos="1003"/>
                <w:tab w:val="left" w:pos="1338"/>
              </w:tabs>
              <w:suppressAutoHyphens/>
              <w:spacing w:after="60" w:line="280" w:lineRule="exact"/>
              <w:ind w:right="57"/>
              <w:rPr>
                <w:rFonts w:hint="eastAsia"/>
                <w:sz w:val="17"/>
              </w:rPr>
            </w:pPr>
            <w:r w:rsidRPr="008A1811">
              <w:rPr>
                <w:rFonts w:eastAsia="楷体" w:hint="eastAsia"/>
                <w:bCs/>
                <w:sz w:val="15"/>
                <w:szCs w:val="21"/>
                <w:lang w:val="es-VE"/>
              </w:rPr>
              <w:t>判决数量</w:t>
            </w:r>
          </w:p>
        </w:tc>
        <w:tc>
          <w:tcPr>
            <w:tcW w:w="1596" w:type="dxa"/>
            <w:tcBorders>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155 854</w:t>
            </w:r>
          </w:p>
        </w:tc>
        <w:tc>
          <w:tcPr>
            <w:tcW w:w="979" w:type="dxa"/>
            <w:tcBorders>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20 185</w:t>
            </w:r>
          </w:p>
        </w:tc>
        <w:tc>
          <w:tcPr>
            <w:tcW w:w="812" w:type="dxa"/>
            <w:tcBorders>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27 195</w:t>
            </w:r>
          </w:p>
        </w:tc>
        <w:tc>
          <w:tcPr>
            <w:tcW w:w="924" w:type="dxa"/>
            <w:tcBorders>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35 935</w:t>
            </w:r>
          </w:p>
        </w:tc>
        <w:tc>
          <w:tcPr>
            <w:tcW w:w="854" w:type="dxa"/>
            <w:tcBorders>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45 741</w:t>
            </w:r>
          </w:p>
        </w:tc>
        <w:tc>
          <w:tcPr>
            <w:tcW w:w="974" w:type="dxa"/>
            <w:tcBorders>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55 067</w:t>
            </w:r>
          </w:p>
        </w:tc>
      </w:tr>
    </w:tbl>
    <w:p w:rsidR="008A1811" w:rsidRDefault="008A1811"/>
    <w:tbl>
      <w:tblPr>
        <w:tblW w:w="9849" w:type="dxa"/>
        <w:tblLayout w:type="fixed"/>
        <w:tblCellMar>
          <w:left w:w="0" w:type="dxa"/>
          <w:right w:w="0" w:type="dxa"/>
        </w:tblCellMar>
        <w:tblLook w:val="0000"/>
      </w:tblPr>
      <w:tblGrid>
        <w:gridCol w:w="3710"/>
        <w:gridCol w:w="1302"/>
        <w:gridCol w:w="1021"/>
        <w:gridCol w:w="812"/>
        <w:gridCol w:w="868"/>
        <w:gridCol w:w="798"/>
        <w:gridCol w:w="1338"/>
      </w:tblGrid>
      <w:tr w:rsidR="008A1811" w:rsidRPr="008A1811" w:rsidTr="008625CB">
        <w:tblPrEx>
          <w:tblCellMar>
            <w:top w:w="0" w:type="dxa"/>
            <w:bottom w:w="0" w:type="dxa"/>
          </w:tblCellMar>
        </w:tblPrEx>
        <w:trPr>
          <w:tblHeader/>
        </w:trPr>
        <w:tc>
          <w:tcPr>
            <w:tcW w:w="3710" w:type="dxa"/>
            <w:tcBorders>
              <w:top w:val="single" w:sz="4" w:space="0" w:color="auto"/>
              <w:bottom w:val="single" w:sz="12" w:space="0" w:color="auto"/>
            </w:tcBorders>
            <w:shd w:val="clear" w:color="auto" w:fill="auto"/>
            <w:vAlign w:val="bottom"/>
          </w:tcPr>
          <w:p w:rsidR="008A1811" w:rsidRPr="008A1811" w:rsidRDefault="008A1811" w:rsidP="008A1811">
            <w:pPr>
              <w:tabs>
                <w:tab w:val="left" w:pos="334"/>
                <w:tab w:val="left" w:pos="669"/>
                <w:tab w:val="left" w:pos="1003"/>
                <w:tab w:val="left" w:pos="1338"/>
              </w:tabs>
              <w:suppressAutoHyphens/>
              <w:spacing w:before="60" w:after="60" w:line="200" w:lineRule="exact"/>
              <w:ind w:right="57"/>
              <w:rPr>
                <w:rFonts w:eastAsia="楷体" w:hint="eastAsia"/>
                <w:sz w:val="15"/>
              </w:rPr>
            </w:pPr>
          </w:p>
        </w:tc>
        <w:tc>
          <w:tcPr>
            <w:tcW w:w="6139" w:type="dxa"/>
            <w:gridSpan w:val="6"/>
            <w:tcBorders>
              <w:top w:val="single" w:sz="4" w:space="0" w:color="auto"/>
              <w:bottom w:val="single" w:sz="12" w:space="0" w:color="auto"/>
            </w:tcBorders>
            <w:shd w:val="clear" w:color="auto" w:fill="auto"/>
            <w:vAlign w:val="bottom"/>
          </w:tcPr>
          <w:p w:rsidR="008A1811" w:rsidRPr="008A1811" w:rsidRDefault="008A1811" w:rsidP="008A1811">
            <w:pPr>
              <w:tabs>
                <w:tab w:val="left" w:pos="334"/>
                <w:tab w:val="left" w:pos="669"/>
                <w:tab w:val="left" w:pos="1003"/>
                <w:tab w:val="left" w:pos="1338"/>
              </w:tabs>
              <w:suppressAutoHyphens/>
              <w:spacing w:before="60" w:after="60" w:line="200" w:lineRule="exact"/>
              <w:ind w:right="57"/>
              <w:jc w:val="center"/>
              <w:rPr>
                <w:rFonts w:eastAsia="楷体" w:hint="eastAsia"/>
                <w:sz w:val="15"/>
              </w:rPr>
            </w:pPr>
            <w:r w:rsidRPr="008A1811">
              <w:rPr>
                <w:rFonts w:eastAsia="楷体" w:hint="eastAsia"/>
                <w:bCs/>
                <w:sz w:val="15"/>
                <w:szCs w:val="21"/>
                <w:lang w:val="es-VE"/>
              </w:rPr>
              <w:t>受理案件的数量</w:t>
            </w:r>
          </w:p>
        </w:tc>
      </w:tr>
      <w:tr w:rsidR="008A1811" w:rsidRPr="008A1811" w:rsidTr="008A1811">
        <w:tblPrEx>
          <w:tblCellMar>
            <w:top w:w="0" w:type="dxa"/>
            <w:bottom w:w="0" w:type="dxa"/>
          </w:tblCellMar>
        </w:tblPrEx>
        <w:trPr>
          <w:trHeight w:hRule="exact" w:val="115"/>
          <w:tblHeader/>
        </w:trPr>
        <w:tc>
          <w:tcPr>
            <w:tcW w:w="3710" w:type="dxa"/>
            <w:tcBorders>
              <w:top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rPr>
                <w:rFonts w:ascii="KaiTi_GB2312" w:hint="eastAsia"/>
                <w:bCs/>
                <w:sz w:val="17"/>
                <w:szCs w:val="21"/>
                <w:lang w:val="es-VE" w:eastAsia="zh-CN"/>
              </w:rPr>
            </w:pPr>
          </w:p>
        </w:tc>
        <w:tc>
          <w:tcPr>
            <w:tcW w:w="1302" w:type="dxa"/>
            <w:tcBorders>
              <w:top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p>
        </w:tc>
        <w:tc>
          <w:tcPr>
            <w:tcW w:w="1021" w:type="dxa"/>
            <w:tcBorders>
              <w:top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p>
        </w:tc>
        <w:tc>
          <w:tcPr>
            <w:tcW w:w="812" w:type="dxa"/>
            <w:tcBorders>
              <w:top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p>
        </w:tc>
        <w:tc>
          <w:tcPr>
            <w:tcW w:w="868" w:type="dxa"/>
            <w:tcBorders>
              <w:top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p>
        </w:tc>
        <w:tc>
          <w:tcPr>
            <w:tcW w:w="798" w:type="dxa"/>
            <w:tcBorders>
              <w:top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p>
        </w:tc>
        <w:tc>
          <w:tcPr>
            <w:tcW w:w="1338" w:type="dxa"/>
            <w:tcBorders>
              <w:top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p>
        </w:tc>
      </w:tr>
      <w:tr w:rsidR="008A1811" w:rsidRPr="008A1811" w:rsidTr="008A1811">
        <w:tblPrEx>
          <w:tblCellMar>
            <w:top w:w="0" w:type="dxa"/>
            <w:bottom w:w="0" w:type="dxa"/>
          </w:tblCellMar>
        </w:tblPrEx>
        <w:tc>
          <w:tcPr>
            <w:tcW w:w="3710"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rPr>
                <w:rFonts w:ascii="KaiTi_GB2312" w:hint="eastAsia"/>
                <w:bCs/>
                <w:sz w:val="17"/>
                <w:szCs w:val="21"/>
                <w:lang w:val="es-VE" w:eastAsia="zh-CN"/>
              </w:rPr>
            </w:pPr>
            <w:r w:rsidRPr="008A1811">
              <w:rPr>
                <w:rFonts w:ascii="KaiTi_GB2312" w:hint="eastAsia"/>
                <w:bCs/>
                <w:sz w:val="17"/>
                <w:szCs w:val="21"/>
                <w:lang w:val="es-VE" w:eastAsia="zh-CN"/>
              </w:rPr>
              <w:t>法庭</w:t>
            </w:r>
            <w:r w:rsidRPr="008A1811">
              <w:rPr>
                <w:rFonts w:ascii="KaiTi_GB2312" w:hint="eastAsia"/>
                <w:bCs/>
                <w:sz w:val="17"/>
                <w:szCs w:val="21"/>
                <w:lang w:val="es-VE" w:eastAsia="zh-CN"/>
              </w:rPr>
              <w:t>/</w:t>
            </w:r>
            <w:r w:rsidRPr="008A1811">
              <w:rPr>
                <w:rFonts w:ascii="KaiTi_GB2312" w:hint="eastAsia"/>
                <w:bCs/>
                <w:sz w:val="17"/>
                <w:szCs w:val="21"/>
                <w:lang w:val="es-VE" w:eastAsia="zh-CN"/>
              </w:rPr>
              <w:t>年份</w:t>
            </w:r>
          </w:p>
        </w:tc>
        <w:tc>
          <w:tcPr>
            <w:tcW w:w="1302"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r w:rsidRPr="008A1811">
              <w:rPr>
                <w:rFonts w:ascii="KaiTi_GB2312" w:hint="eastAsia"/>
                <w:bCs/>
                <w:sz w:val="17"/>
                <w:szCs w:val="21"/>
                <w:lang w:val="es-VE" w:eastAsia="zh-CN"/>
              </w:rPr>
              <w:t>合计</w:t>
            </w:r>
          </w:p>
        </w:tc>
        <w:tc>
          <w:tcPr>
            <w:tcW w:w="1021"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r w:rsidRPr="008A1811">
              <w:rPr>
                <w:rFonts w:ascii="KaiTi_GB2312" w:hint="eastAsia"/>
                <w:bCs/>
                <w:sz w:val="17"/>
                <w:szCs w:val="21"/>
                <w:lang w:val="es-VE" w:eastAsia="zh-CN"/>
              </w:rPr>
              <w:t>2009</w:t>
            </w:r>
            <w:r w:rsidRPr="008A1811">
              <w:rPr>
                <w:rFonts w:ascii="KaiTi_GB2312" w:hint="eastAsia"/>
                <w:bCs/>
                <w:sz w:val="17"/>
                <w:szCs w:val="21"/>
                <w:lang w:val="es-VE" w:eastAsia="zh-CN"/>
              </w:rPr>
              <w:t>年</w:t>
            </w:r>
          </w:p>
        </w:tc>
        <w:tc>
          <w:tcPr>
            <w:tcW w:w="812"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r w:rsidRPr="008A1811">
              <w:rPr>
                <w:rFonts w:ascii="KaiTi_GB2312" w:hint="eastAsia"/>
                <w:bCs/>
                <w:sz w:val="17"/>
                <w:szCs w:val="21"/>
                <w:lang w:val="es-VE" w:eastAsia="zh-CN"/>
              </w:rPr>
              <w:t>2010</w:t>
            </w:r>
            <w:r w:rsidRPr="008A1811">
              <w:rPr>
                <w:rFonts w:ascii="KaiTi_GB2312" w:hint="eastAsia"/>
                <w:bCs/>
                <w:sz w:val="17"/>
                <w:szCs w:val="21"/>
                <w:lang w:val="es-VE" w:eastAsia="zh-CN"/>
              </w:rPr>
              <w:t>年</w:t>
            </w:r>
          </w:p>
        </w:tc>
        <w:tc>
          <w:tcPr>
            <w:tcW w:w="868"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r w:rsidRPr="008A1811">
              <w:rPr>
                <w:rFonts w:ascii="KaiTi_GB2312" w:hint="eastAsia"/>
                <w:bCs/>
                <w:sz w:val="17"/>
                <w:szCs w:val="21"/>
                <w:lang w:val="es-VE" w:eastAsia="zh-CN"/>
              </w:rPr>
              <w:t>2011</w:t>
            </w:r>
            <w:r w:rsidRPr="008A1811">
              <w:rPr>
                <w:rFonts w:ascii="KaiTi_GB2312" w:hint="eastAsia"/>
                <w:bCs/>
                <w:sz w:val="17"/>
                <w:szCs w:val="21"/>
                <w:lang w:val="es-VE" w:eastAsia="zh-CN"/>
              </w:rPr>
              <w:t>年</w:t>
            </w:r>
          </w:p>
        </w:tc>
        <w:tc>
          <w:tcPr>
            <w:tcW w:w="798"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r w:rsidRPr="008A1811">
              <w:rPr>
                <w:rFonts w:ascii="KaiTi_GB2312" w:hint="eastAsia"/>
                <w:bCs/>
                <w:sz w:val="17"/>
                <w:szCs w:val="21"/>
                <w:lang w:val="es-VE" w:eastAsia="zh-CN"/>
              </w:rPr>
              <w:t>2012</w:t>
            </w:r>
            <w:r w:rsidRPr="008A1811">
              <w:rPr>
                <w:rFonts w:ascii="KaiTi_GB2312" w:hint="eastAsia"/>
                <w:bCs/>
                <w:sz w:val="17"/>
                <w:szCs w:val="21"/>
                <w:lang w:val="es-VE" w:eastAsia="zh-CN"/>
              </w:rPr>
              <w:t>年</w:t>
            </w:r>
          </w:p>
        </w:tc>
        <w:tc>
          <w:tcPr>
            <w:tcW w:w="1338"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rFonts w:ascii="KaiTi_GB2312" w:hint="eastAsia"/>
                <w:bCs/>
                <w:sz w:val="17"/>
                <w:szCs w:val="21"/>
                <w:lang w:val="es-VE" w:eastAsia="zh-CN"/>
              </w:rPr>
            </w:pPr>
            <w:r w:rsidRPr="008A1811">
              <w:rPr>
                <w:rFonts w:ascii="KaiTi_GB2312" w:hint="eastAsia"/>
                <w:bCs/>
                <w:sz w:val="17"/>
                <w:szCs w:val="21"/>
                <w:lang w:val="es-VE" w:eastAsia="zh-CN"/>
              </w:rPr>
              <w:t>2013</w:t>
            </w:r>
            <w:r w:rsidRPr="008A1811">
              <w:rPr>
                <w:rFonts w:ascii="KaiTi_GB2312" w:hint="eastAsia"/>
                <w:bCs/>
                <w:sz w:val="17"/>
                <w:szCs w:val="21"/>
                <w:lang w:val="es-VE" w:eastAsia="zh-CN"/>
              </w:rPr>
              <w:t>年</w:t>
            </w:r>
            <w:r w:rsidR="008625CB">
              <w:rPr>
                <w:rFonts w:ascii="KaiTi_GB2312" w:hint="eastAsia"/>
                <w:bCs/>
                <w:sz w:val="17"/>
                <w:szCs w:val="21"/>
                <w:lang w:val="es-VE" w:eastAsia="zh-CN"/>
              </w:rPr>
              <w:t>(</w:t>
            </w:r>
            <w:r w:rsidRPr="008A1811">
              <w:rPr>
                <w:rFonts w:ascii="KaiTi_GB2312" w:hint="eastAsia"/>
                <w:bCs/>
                <w:sz w:val="17"/>
                <w:szCs w:val="21"/>
                <w:lang w:val="es-VE" w:eastAsia="zh-CN"/>
              </w:rPr>
              <w:t>6</w:t>
            </w:r>
            <w:r w:rsidRPr="008A1811">
              <w:rPr>
                <w:rFonts w:ascii="KaiTi_GB2312" w:hint="eastAsia"/>
                <w:bCs/>
                <w:sz w:val="17"/>
                <w:szCs w:val="21"/>
                <w:lang w:val="es-VE" w:eastAsia="zh-CN"/>
              </w:rPr>
              <w:t>月</w:t>
            </w:r>
            <w:r w:rsidR="008625CB">
              <w:rPr>
                <w:rFonts w:ascii="KaiTi_GB2312" w:hint="eastAsia"/>
                <w:bCs/>
                <w:sz w:val="17"/>
                <w:szCs w:val="21"/>
                <w:lang w:val="es-VE" w:eastAsia="zh-CN"/>
              </w:rPr>
              <w:t>)</w:t>
            </w:r>
          </w:p>
        </w:tc>
      </w:tr>
      <w:tr w:rsidR="008A1811" w:rsidRPr="008A1811" w:rsidTr="008A1811">
        <w:tblPrEx>
          <w:tblCellMar>
            <w:top w:w="0" w:type="dxa"/>
            <w:bottom w:w="0" w:type="dxa"/>
          </w:tblCellMar>
        </w:tblPrEx>
        <w:tc>
          <w:tcPr>
            <w:tcW w:w="3710"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rPr>
                <w:bCs/>
                <w:sz w:val="17"/>
                <w:szCs w:val="21"/>
                <w:lang w:val="es-VE" w:eastAsia="zh-CN"/>
              </w:rPr>
            </w:pPr>
            <w:r w:rsidRPr="008A1811">
              <w:rPr>
                <w:rFonts w:hint="eastAsia"/>
                <w:sz w:val="17"/>
                <w:szCs w:val="21"/>
                <w:lang w:val="es-VE" w:eastAsia="zh-CN"/>
              </w:rPr>
              <w:t>具备管理、听证和保全职能的暴力侵害</w:t>
            </w:r>
            <w:r>
              <w:rPr>
                <w:sz w:val="17"/>
                <w:szCs w:val="21"/>
                <w:lang w:val="es-VE" w:eastAsia="zh-CN"/>
              </w:rPr>
              <w:br/>
            </w:r>
            <w:r w:rsidRPr="008A1811">
              <w:rPr>
                <w:rFonts w:hint="eastAsia"/>
                <w:sz w:val="17"/>
                <w:szCs w:val="21"/>
                <w:lang w:val="es-VE" w:eastAsia="zh-CN"/>
              </w:rPr>
              <w:t>妇女问题初审法院</w:t>
            </w:r>
          </w:p>
        </w:tc>
        <w:tc>
          <w:tcPr>
            <w:tcW w:w="1302"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265 281</w:t>
            </w:r>
          </w:p>
        </w:tc>
        <w:tc>
          <w:tcPr>
            <w:tcW w:w="1021"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42 488</w:t>
            </w:r>
          </w:p>
        </w:tc>
        <w:tc>
          <w:tcPr>
            <w:tcW w:w="812"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44 491</w:t>
            </w:r>
          </w:p>
        </w:tc>
        <w:tc>
          <w:tcPr>
            <w:tcW w:w="868"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68 340</w:t>
            </w:r>
          </w:p>
        </w:tc>
        <w:tc>
          <w:tcPr>
            <w:tcW w:w="798"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85 534</w:t>
            </w:r>
          </w:p>
        </w:tc>
        <w:tc>
          <w:tcPr>
            <w:tcW w:w="1338" w:type="dxa"/>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24 428</w:t>
            </w:r>
          </w:p>
        </w:tc>
      </w:tr>
      <w:tr w:rsidR="008A1811" w:rsidRPr="008A1811" w:rsidTr="008A1811">
        <w:tblPrEx>
          <w:tblCellMar>
            <w:top w:w="0" w:type="dxa"/>
            <w:bottom w:w="0" w:type="dxa"/>
          </w:tblCellMar>
        </w:tblPrEx>
        <w:tc>
          <w:tcPr>
            <w:tcW w:w="3710" w:type="dxa"/>
            <w:tcBorders>
              <w:bottom w:val="single" w:sz="4"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rPr>
                <w:bCs/>
                <w:sz w:val="17"/>
                <w:szCs w:val="21"/>
                <w:lang w:val="es-VE" w:eastAsia="zh-CN"/>
              </w:rPr>
            </w:pPr>
            <w:r w:rsidRPr="008A1811">
              <w:rPr>
                <w:rFonts w:hint="eastAsia"/>
                <w:sz w:val="17"/>
                <w:szCs w:val="21"/>
                <w:lang w:val="es-VE" w:eastAsia="zh-CN"/>
              </w:rPr>
              <w:t>具备审判职能的暴力侵害妇女问题初审法院</w:t>
            </w:r>
          </w:p>
        </w:tc>
        <w:tc>
          <w:tcPr>
            <w:tcW w:w="1302" w:type="dxa"/>
            <w:tcBorders>
              <w:bottom w:val="single" w:sz="4"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3 707</w:t>
            </w:r>
          </w:p>
        </w:tc>
        <w:tc>
          <w:tcPr>
            <w:tcW w:w="1021" w:type="dxa"/>
            <w:tcBorders>
              <w:bottom w:val="single" w:sz="4"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386</w:t>
            </w:r>
          </w:p>
        </w:tc>
        <w:tc>
          <w:tcPr>
            <w:tcW w:w="812" w:type="dxa"/>
            <w:tcBorders>
              <w:bottom w:val="single" w:sz="4"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516</w:t>
            </w:r>
          </w:p>
        </w:tc>
        <w:tc>
          <w:tcPr>
            <w:tcW w:w="868" w:type="dxa"/>
            <w:tcBorders>
              <w:bottom w:val="single" w:sz="4"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1073</w:t>
            </w:r>
          </w:p>
        </w:tc>
        <w:tc>
          <w:tcPr>
            <w:tcW w:w="798" w:type="dxa"/>
            <w:tcBorders>
              <w:bottom w:val="single" w:sz="4"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1 138</w:t>
            </w:r>
          </w:p>
        </w:tc>
        <w:tc>
          <w:tcPr>
            <w:tcW w:w="1338" w:type="dxa"/>
            <w:tcBorders>
              <w:bottom w:val="single" w:sz="4"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after="60" w:line="280" w:lineRule="exact"/>
              <w:ind w:left="0" w:right="57"/>
              <w:jc w:val="right"/>
              <w:rPr>
                <w:sz w:val="17"/>
                <w:szCs w:val="21"/>
                <w:lang w:val="es-VE" w:eastAsia="zh-CN"/>
              </w:rPr>
            </w:pPr>
            <w:r w:rsidRPr="008A1811">
              <w:rPr>
                <w:sz w:val="17"/>
                <w:szCs w:val="21"/>
                <w:lang w:val="es-VE" w:eastAsia="zh-CN"/>
              </w:rPr>
              <w:t>594</w:t>
            </w:r>
          </w:p>
        </w:tc>
      </w:tr>
      <w:tr w:rsidR="008A1811" w:rsidRPr="008A1811" w:rsidTr="008A1811">
        <w:tblPrEx>
          <w:tblCellMar>
            <w:top w:w="0" w:type="dxa"/>
            <w:bottom w:w="0" w:type="dxa"/>
          </w:tblCellMar>
        </w:tblPrEx>
        <w:tc>
          <w:tcPr>
            <w:tcW w:w="3710" w:type="dxa"/>
            <w:tcBorders>
              <w:top w:val="single" w:sz="4" w:space="0" w:color="auto"/>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before="80" w:after="80" w:line="280" w:lineRule="exact"/>
              <w:ind w:left="0" w:right="57"/>
              <w:rPr>
                <w:rFonts w:ascii="SimHei" w:eastAsia="SimHei" w:hAnsi="SimHei" w:hint="eastAsia"/>
                <w:b/>
                <w:bCs/>
                <w:sz w:val="17"/>
                <w:szCs w:val="21"/>
                <w:lang w:val="es-VE" w:eastAsia="zh-CN"/>
              </w:rPr>
            </w:pPr>
            <w:r>
              <w:rPr>
                <w:rFonts w:ascii="SimHei" w:eastAsia="SimHei" w:hAnsi="SimHei"/>
                <w:b/>
                <w:bCs/>
                <w:sz w:val="17"/>
                <w:szCs w:val="21"/>
                <w:lang w:val="es-VE" w:eastAsia="zh-CN"/>
              </w:rPr>
              <w:tab/>
            </w:r>
            <w:r w:rsidRPr="008A1811">
              <w:rPr>
                <w:rFonts w:ascii="SimHei" w:eastAsia="SimHei" w:hAnsi="SimHei" w:hint="eastAsia"/>
                <w:b/>
                <w:bCs/>
                <w:sz w:val="17"/>
                <w:szCs w:val="21"/>
                <w:lang w:val="es-VE" w:eastAsia="zh-CN"/>
              </w:rPr>
              <w:t>合计</w:t>
            </w:r>
          </w:p>
        </w:tc>
        <w:tc>
          <w:tcPr>
            <w:tcW w:w="1302" w:type="dxa"/>
            <w:tcBorders>
              <w:top w:val="single" w:sz="4" w:space="0" w:color="auto"/>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before="80" w:after="80" w:line="280" w:lineRule="exact"/>
              <w:ind w:left="0" w:right="57"/>
              <w:jc w:val="right"/>
              <w:rPr>
                <w:b/>
                <w:sz w:val="17"/>
                <w:szCs w:val="21"/>
                <w:lang w:val="es-VE" w:eastAsia="zh-CN"/>
              </w:rPr>
            </w:pPr>
            <w:r w:rsidRPr="008A1811">
              <w:rPr>
                <w:b/>
                <w:sz w:val="17"/>
                <w:szCs w:val="21"/>
                <w:lang w:val="es-VE" w:eastAsia="zh-CN"/>
              </w:rPr>
              <w:t>268 988</w:t>
            </w:r>
          </w:p>
        </w:tc>
        <w:tc>
          <w:tcPr>
            <w:tcW w:w="1021" w:type="dxa"/>
            <w:tcBorders>
              <w:top w:val="single" w:sz="4" w:space="0" w:color="auto"/>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before="80" w:after="80" w:line="280" w:lineRule="exact"/>
              <w:ind w:left="0" w:right="57"/>
              <w:jc w:val="right"/>
              <w:rPr>
                <w:b/>
                <w:sz w:val="17"/>
                <w:szCs w:val="21"/>
                <w:lang w:val="es-VE" w:eastAsia="zh-CN"/>
              </w:rPr>
            </w:pPr>
            <w:r w:rsidRPr="008A1811">
              <w:rPr>
                <w:b/>
                <w:sz w:val="17"/>
                <w:szCs w:val="21"/>
                <w:lang w:val="es-VE" w:eastAsia="zh-CN"/>
              </w:rPr>
              <w:t>43 374</w:t>
            </w:r>
          </w:p>
        </w:tc>
        <w:tc>
          <w:tcPr>
            <w:tcW w:w="812" w:type="dxa"/>
            <w:tcBorders>
              <w:top w:val="single" w:sz="4" w:space="0" w:color="auto"/>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before="80" w:after="80" w:line="280" w:lineRule="exact"/>
              <w:ind w:left="0" w:right="57"/>
              <w:jc w:val="right"/>
              <w:rPr>
                <w:b/>
                <w:sz w:val="17"/>
                <w:szCs w:val="21"/>
                <w:lang w:val="es-VE" w:eastAsia="zh-CN"/>
              </w:rPr>
            </w:pPr>
            <w:r w:rsidRPr="008A1811">
              <w:rPr>
                <w:b/>
                <w:sz w:val="17"/>
                <w:szCs w:val="21"/>
                <w:lang w:val="es-VE" w:eastAsia="zh-CN"/>
              </w:rPr>
              <w:t>45 007</w:t>
            </w:r>
          </w:p>
        </w:tc>
        <w:tc>
          <w:tcPr>
            <w:tcW w:w="868" w:type="dxa"/>
            <w:tcBorders>
              <w:top w:val="single" w:sz="4" w:space="0" w:color="auto"/>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before="80" w:after="80" w:line="280" w:lineRule="exact"/>
              <w:ind w:left="0" w:right="57"/>
              <w:jc w:val="right"/>
              <w:rPr>
                <w:b/>
                <w:sz w:val="17"/>
                <w:szCs w:val="21"/>
                <w:lang w:val="es-VE" w:eastAsia="zh-CN"/>
              </w:rPr>
            </w:pPr>
            <w:r w:rsidRPr="008A1811">
              <w:rPr>
                <w:b/>
                <w:sz w:val="17"/>
                <w:szCs w:val="21"/>
                <w:lang w:val="es-VE" w:eastAsia="zh-CN"/>
              </w:rPr>
              <w:t>69 413</w:t>
            </w:r>
          </w:p>
        </w:tc>
        <w:tc>
          <w:tcPr>
            <w:tcW w:w="798" w:type="dxa"/>
            <w:tcBorders>
              <w:top w:val="single" w:sz="4" w:space="0" w:color="auto"/>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before="80" w:after="80" w:line="280" w:lineRule="exact"/>
              <w:ind w:left="0" w:right="57"/>
              <w:jc w:val="right"/>
              <w:rPr>
                <w:b/>
                <w:sz w:val="17"/>
                <w:szCs w:val="21"/>
                <w:lang w:val="es-VE"/>
              </w:rPr>
            </w:pPr>
            <w:r w:rsidRPr="008A1811">
              <w:rPr>
                <w:b/>
                <w:sz w:val="17"/>
                <w:szCs w:val="21"/>
                <w:lang w:val="es-VE"/>
              </w:rPr>
              <w:t>86 672</w:t>
            </w:r>
          </w:p>
        </w:tc>
        <w:tc>
          <w:tcPr>
            <w:tcW w:w="1338" w:type="dxa"/>
            <w:tcBorders>
              <w:top w:val="single" w:sz="4" w:space="0" w:color="auto"/>
              <w:bottom w:val="single" w:sz="12" w:space="0" w:color="auto"/>
            </w:tcBorders>
            <w:shd w:val="clear" w:color="auto" w:fill="auto"/>
            <w:vAlign w:val="bottom"/>
          </w:tcPr>
          <w:p w:rsidR="008A1811" w:rsidRPr="008A1811" w:rsidRDefault="008A1811" w:rsidP="008A1811">
            <w:pPr>
              <w:pStyle w:val="SingleTxtG"/>
              <w:tabs>
                <w:tab w:val="left" w:pos="334"/>
                <w:tab w:val="left" w:pos="669"/>
                <w:tab w:val="left" w:pos="1003"/>
                <w:tab w:val="left" w:pos="1338"/>
              </w:tabs>
              <w:spacing w:before="80" w:after="80" w:line="280" w:lineRule="exact"/>
              <w:ind w:left="0" w:right="57"/>
              <w:jc w:val="right"/>
              <w:rPr>
                <w:b/>
                <w:sz w:val="17"/>
                <w:szCs w:val="21"/>
                <w:lang w:val="es-VE"/>
              </w:rPr>
            </w:pPr>
            <w:r w:rsidRPr="008A1811">
              <w:rPr>
                <w:b/>
                <w:sz w:val="17"/>
                <w:szCs w:val="21"/>
                <w:lang w:val="es-VE"/>
              </w:rPr>
              <w:t>25 022</w:t>
            </w:r>
          </w:p>
        </w:tc>
      </w:tr>
    </w:tbl>
    <w:p w:rsidR="008A1811" w:rsidRDefault="008A1811" w:rsidP="00EC5325">
      <w:pPr>
        <w:pStyle w:val="SingleTxt"/>
        <w:rPr>
          <w:rFonts w:hint="eastAsia"/>
        </w:rPr>
      </w:pPr>
    </w:p>
    <w:p w:rsidR="00EC5325" w:rsidRPr="008A1811" w:rsidRDefault="00EC5325" w:rsidP="00EC5325">
      <w:pPr>
        <w:pStyle w:val="SingleTxt"/>
        <w:rPr>
          <w:rFonts w:ascii="SimHei" w:eastAsia="SimHei" w:hAnsi="SimHei" w:hint="eastAsia"/>
        </w:rPr>
      </w:pPr>
      <w:r w:rsidRPr="008A1811">
        <w:rPr>
          <w:rFonts w:ascii="SimHei" w:eastAsia="SimHei" w:hAnsi="SimHei" w:hint="eastAsia"/>
        </w:rPr>
        <w:t>提高妇女地位的国家机构</w:t>
      </w:r>
    </w:p>
    <w:p w:rsidR="00EC5325" w:rsidRPr="008A1811" w:rsidRDefault="00EC5325" w:rsidP="00EC5325">
      <w:pPr>
        <w:pStyle w:val="SingleTxt"/>
        <w:rPr>
          <w:rFonts w:ascii="SimHei" w:eastAsia="SimHei" w:hAnsi="SimHei" w:hint="eastAsia"/>
        </w:rPr>
      </w:pPr>
      <w:r w:rsidRPr="008A1811">
        <w:rPr>
          <w:rFonts w:ascii="SimHei" w:eastAsia="SimHei" w:hAnsi="SimHei" w:hint="eastAsia"/>
        </w:rPr>
        <w:t>问题5</w:t>
      </w:r>
      <w:r w:rsidR="008625CB">
        <w:rPr>
          <w:rFonts w:ascii="SimHei" w:eastAsia="SimHei" w:hAnsi="SimHei" w:hint="eastAsia"/>
        </w:rPr>
        <w:t>：人民政权妇女事务和性别平等</w:t>
      </w:r>
    </w:p>
    <w:p w:rsidR="00EC5325" w:rsidRDefault="00EC5325" w:rsidP="00EC5325">
      <w:pPr>
        <w:pStyle w:val="SingleTxt"/>
        <w:rPr>
          <w:rFonts w:hint="eastAsia"/>
        </w:rPr>
      </w:pPr>
      <w:r>
        <w:rPr>
          <w:rFonts w:hint="eastAsia"/>
        </w:rPr>
        <w:t>34.</w:t>
      </w:r>
      <w:r>
        <w:rPr>
          <w:rFonts w:hint="eastAsia"/>
        </w:rPr>
        <w:tab/>
      </w:r>
      <w:r>
        <w:rPr>
          <w:rFonts w:hint="eastAsia"/>
        </w:rPr>
        <w:t>人民政权妇女事务和性别平等部，作为国内性别政策的领导机关，其宗旨就是通过实施公共政策来促进性别平等和根除对妇女的暴力。该部委具有庞大的组织结构，值得一提的是该部委在全国</w:t>
      </w:r>
      <w:r>
        <w:rPr>
          <w:rFonts w:hint="eastAsia"/>
        </w:rPr>
        <w:t>23</w:t>
      </w:r>
      <w:r>
        <w:rPr>
          <w:rFonts w:hint="eastAsia"/>
        </w:rPr>
        <w:t>个州分别设立了一个州级办事处，每一个办事处都是该部委的下级代表机构。</w:t>
      </w:r>
    </w:p>
    <w:p w:rsidR="00EC5325" w:rsidRDefault="00EC5325" w:rsidP="00EC5325">
      <w:pPr>
        <w:pStyle w:val="SingleTxt"/>
        <w:rPr>
          <w:rFonts w:hint="eastAsia"/>
        </w:rPr>
      </w:pPr>
      <w:r>
        <w:rPr>
          <w:rFonts w:hint="eastAsia"/>
        </w:rPr>
        <w:t>35.</w:t>
      </w:r>
      <w:r>
        <w:rPr>
          <w:rFonts w:hint="eastAsia"/>
        </w:rPr>
        <w:tab/>
      </w:r>
      <w:r>
        <w:rPr>
          <w:rFonts w:hint="eastAsia"/>
        </w:rPr>
        <w:t>批准的机构预算已经逐步增加。从</w:t>
      </w:r>
      <w:r>
        <w:rPr>
          <w:rFonts w:hint="eastAsia"/>
        </w:rPr>
        <w:t>2010</w:t>
      </w:r>
      <w:r>
        <w:rPr>
          <w:rFonts w:hint="eastAsia"/>
        </w:rPr>
        <w:t>年到</w:t>
      </w:r>
      <w:r>
        <w:rPr>
          <w:rFonts w:hint="eastAsia"/>
        </w:rPr>
        <w:t>2014</w:t>
      </w:r>
      <w:r>
        <w:rPr>
          <w:rFonts w:hint="eastAsia"/>
        </w:rPr>
        <w:t>年，财政资金翻了一番，从</w:t>
      </w:r>
      <w:r>
        <w:rPr>
          <w:rFonts w:hint="eastAsia"/>
        </w:rPr>
        <w:t>245 453 444</w:t>
      </w:r>
      <w:r>
        <w:rPr>
          <w:rFonts w:hint="eastAsia"/>
        </w:rPr>
        <w:t>美元增至</w:t>
      </w:r>
      <w:r>
        <w:rPr>
          <w:rFonts w:hint="eastAsia"/>
        </w:rPr>
        <w:t>582 759 781</w:t>
      </w:r>
      <w:r>
        <w:rPr>
          <w:rFonts w:hint="eastAsia"/>
        </w:rPr>
        <w:t>美元。</w:t>
      </w:r>
    </w:p>
    <w:p w:rsidR="00EC5325" w:rsidRDefault="00EC5325" w:rsidP="00EC5325">
      <w:pPr>
        <w:pStyle w:val="SingleTxt"/>
        <w:rPr>
          <w:rFonts w:hint="eastAsia"/>
        </w:rPr>
      </w:pPr>
      <w:r>
        <w:rPr>
          <w:rFonts w:hint="eastAsia"/>
        </w:rPr>
        <w:t>36.</w:t>
      </w:r>
      <w:r>
        <w:rPr>
          <w:rFonts w:hint="eastAsia"/>
        </w:rPr>
        <w:tab/>
      </w:r>
      <w:r>
        <w:rPr>
          <w:rFonts w:hint="eastAsia"/>
        </w:rPr>
        <w:t>除了州级办事处外，人民政权妇女事务和性别平等部还设立了</w:t>
      </w:r>
      <w:r>
        <w:rPr>
          <w:rFonts w:hint="eastAsia"/>
        </w:rPr>
        <w:t>17</w:t>
      </w:r>
      <w:r>
        <w:rPr>
          <w:rFonts w:hint="eastAsia"/>
        </w:rPr>
        <w:t>个州级事务局、</w:t>
      </w:r>
      <w:r>
        <w:rPr>
          <w:rFonts w:hint="eastAsia"/>
        </w:rPr>
        <w:t>115</w:t>
      </w:r>
      <w:r>
        <w:rPr>
          <w:rFonts w:hint="eastAsia"/>
        </w:rPr>
        <w:t>个市级事务局、</w:t>
      </w:r>
      <w:r>
        <w:rPr>
          <w:rFonts w:hint="eastAsia"/>
        </w:rPr>
        <w:t>16</w:t>
      </w:r>
      <w:r>
        <w:rPr>
          <w:rFonts w:hint="eastAsia"/>
        </w:rPr>
        <w:t>个关爱妇女所和</w:t>
      </w:r>
      <w:r>
        <w:rPr>
          <w:rFonts w:hint="eastAsia"/>
        </w:rPr>
        <w:t>20</w:t>
      </w:r>
      <w:r>
        <w:rPr>
          <w:rFonts w:hint="eastAsia"/>
        </w:rPr>
        <w:t>个关爱妇女办事处。这些机构从行政和财政上都隶属于州政府和市政府，但其行动方针是由国家妇女研究所颁布的，目的就是将妇女事务和性别平等公共政策整合成唯一的一个。</w:t>
      </w:r>
    </w:p>
    <w:p w:rsidR="00EC5325" w:rsidRPr="008A1811" w:rsidRDefault="00EC5325" w:rsidP="00EC5325">
      <w:pPr>
        <w:pStyle w:val="SingleTxt"/>
        <w:rPr>
          <w:rFonts w:ascii="SimHei" w:eastAsia="SimHei" w:hAnsi="SimHei" w:hint="eastAsia"/>
        </w:rPr>
      </w:pPr>
      <w:r w:rsidRPr="008A1811">
        <w:rPr>
          <w:rFonts w:ascii="SimHei" w:eastAsia="SimHei" w:hAnsi="SimHei" w:hint="eastAsia"/>
        </w:rPr>
        <w:t>问题6：国家妇女权利监察员办公室</w:t>
      </w:r>
    </w:p>
    <w:p w:rsidR="00EC5325" w:rsidRDefault="00EC5325" w:rsidP="00EC5325">
      <w:pPr>
        <w:pStyle w:val="SingleTxt"/>
        <w:rPr>
          <w:rFonts w:hint="eastAsia"/>
        </w:rPr>
      </w:pPr>
      <w:r>
        <w:rPr>
          <w:rFonts w:hint="eastAsia"/>
        </w:rPr>
        <w:t>37.</w:t>
      </w:r>
      <w:r>
        <w:rPr>
          <w:rFonts w:hint="eastAsia"/>
        </w:rPr>
        <w:tab/>
      </w:r>
      <w:r>
        <w:rPr>
          <w:rFonts w:hint="eastAsia"/>
        </w:rPr>
        <w:t>全国妇女权利检察院办公室，连同国家妇女研究所，都是根据《妇女机会平等法》之规定成立的，该法通过</w:t>
      </w:r>
      <w:r>
        <w:rPr>
          <w:rFonts w:hint="eastAsia"/>
        </w:rPr>
        <w:t>1999</w:t>
      </w:r>
      <w:r>
        <w:rPr>
          <w:rFonts w:hint="eastAsia"/>
        </w:rPr>
        <w:t>年</w:t>
      </w:r>
      <w:r>
        <w:rPr>
          <w:rFonts w:hint="eastAsia"/>
        </w:rPr>
        <w:t>10</w:t>
      </w:r>
      <w:r>
        <w:rPr>
          <w:rFonts w:hint="eastAsia"/>
        </w:rPr>
        <w:t>月</w:t>
      </w:r>
      <w:r>
        <w:rPr>
          <w:rFonts w:hint="eastAsia"/>
        </w:rPr>
        <w:t>26</w:t>
      </w:r>
      <w:r>
        <w:rPr>
          <w:rFonts w:hint="eastAsia"/>
        </w:rPr>
        <w:t>日的第</w:t>
      </w:r>
      <w:r>
        <w:rPr>
          <w:rFonts w:hint="eastAsia"/>
        </w:rPr>
        <w:t>5398</w:t>
      </w:r>
      <w:r>
        <w:rPr>
          <w:rFonts w:hint="eastAsia"/>
        </w:rPr>
        <w:t>号官方公报特刊颁布，当前，根据发布在</w:t>
      </w:r>
      <w:r>
        <w:rPr>
          <w:rFonts w:hint="eastAsia"/>
        </w:rPr>
        <w:t>2009</w:t>
      </w:r>
      <w:r>
        <w:rPr>
          <w:rFonts w:hint="eastAsia"/>
        </w:rPr>
        <w:t>年</w:t>
      </w:r>
      <w:r>
        <w:rPr>
          <w:rFonts w:hint="eastAsia"/>
        </w:rPr>
        <w:t>4</w:t>
      </w:r>
      <w:r>
        <w:rPr>
          <w:rFonts w:hint="eastAsia"/>
        </w:rPr>
        <w:t>月</w:t>
      </w:r>
      <w:r>
        <w:rPr>
          <w:rFonts w:hint="eastAsia"/>
        </w:rPr>
        <w:t>13</w:t>
      </w:r>
      <w:r>
        <w:rPr>
          <w:rFonts w:hint="eastAsia"/>
        </w:rPr>
        <w:t>日的第</w:t>
      </w:r>
      <w:r>
        <w:rPr>
          <w:rFonts w:hint="eastAsia"/>
        </w:rPr>
        <w:t>39156</w:t>
      </w:r>
      <w:r>
        <w:rPr>
          <w:rFonts w:hint="eastAsia"/>
        </w:rPr>
        <w:t>号官方公报上的第</w:t>
      </w:r>
      <w:r>
        <w:rPr>
          <w:rFonts w:hint="eastAsia"/>
        </w:rPr>
        <w:t>6663</w:t>
      </w:r>
      <w:r>
        <w:rPr>
          <w:rFonts w:hint="eastAsia"/>
        </w:rPr>
        <w:t>号总统令，国家妇女权利监察员办公室隶属于人民政权妇女事务和性别平等部。</w:t>
      </w:r>
    </w:p>
    <w:p w:rsidR="00EC5325" w:rsidRDefault="00EC5325" w:rsidP="00EC5325">
      <w:pPr>
        <w:pStyle w:val="SingleTxt"/>
        <w:rPr>
          <w:rFonts w:hint="eastAsia"/>
        </w:rPr>
      </w:pPr>
      <w:r>
        <w:rPr>
          <w:rFonts w:hint="eastAsia"/>
        </w:rPr>
        <w:t>38.</w:t>
      </w:r>
      <w:r>
        <w:rPr>
          <w:rFonts w:hint="eastAsia"/>
        </w:rPr>
        <w:tab/>
      </w:r>
      <w:r>
        <w:rPr>
          <w:rFonts w:hint="eastAsia"/>
        </w:rPr>
        <w:t>根据法律赋予的职能，国家妇女权利监察员办公室应当确保与妇女权利相关的法律、宣言、公约、条例和规定得以贯彻落实；并通过宣传运动、培训讲习班、培训空间和与社区和机构的活动来促进和倡导对妇女权利的尊重。</w:t>
      </w:r>
    </w:p>
    <w:p w:rsidR="00EC5325" w:rsidRDefault="00EC5325" w:rsidP="00EC5325">
      <w:pPr>
        <w:pStyle w:val="SingleTxt"/>
        <w:rPr>
          <w:rFonts w:hint="eastAsia"/>
        </w:rPr>
      </w:pPr>
      <w:r>
        <w:rPr>
          <w:rFonts w:hint="eastAsia"/>
        </w:rPr>
        <w:t>39.</w:t>
      </w:r>
      <w:r>
        <w:rPr>
          <w:rFonts w:hint="eastAsia"/>
        </w:rPr>
        <w:tab/>
      </w:r>
      <w:r>
        <w:rPr>
          <w:rFonts w:hint="eastAsia"/>
        </w:rPr>
        <w:t>从这个意义上说，国家妇女权利监察员办公室并不仅仅是一个投诉接收机构，更是一个确保所有妇女得以切实、有效和免费诉诸司法的权利保障机构，且根据《妇女享有无暴力生活权利组织法》以及前面提到的大宪章第</w:t>
      </w:r>
      <w:r>
        <w:rPr>
          <w:rFonts w:hint="eastAsia"/>
        </w:rPr>
        <w:t>23</w:t>
      </w:r>
      <w:r>
        <w:rPr>
          <w:rFonts w:hint="eastAsia"/>
        </w:rPr>
        <w:t>条之规定，该机构负有陪同、法律援助、宣传、提高认识和协调的职能，涉及到《消除对妇女一切形式歧视公约》规定的所有领域。</w:t>
      </w:r>
    </w:p>
    <w:p w:rsidR="00EC5325" w:rsidRDefault="00EC5325" w:rsidP="00EC5325">
      <w:pPr>
        <w:pStyle w:val="SingleTxt"/>
        <w:rPr>
          <w:rFonts w:hint="eastAsia"/>
        </w:rPr>
      </w:pPr>
      <w:r>
        <w:rPr>
          <w:rFonts w:hint="eastAsia"/>
        </w:rPr>
        <w:t>40.</w:t>
      </w:r>
      <w:r>
        <w:rPr>
          <w:rFonts w:hint="eastAsia"/>
        </w:rPr>
        <w:tab/>
      </w:r>
      <w:r>
        <w:rPr>
          <w:rFonts w:hint="eastAsia"/>
        </w:rPr>
        <w:t>其主要任务是确保所有妇女在权利遭到侵害时充分行使其权利，确保相关机构提供快速、透明和有效的司法保护。为此，国家妇女权利监察员办公室依法对妇女提供支持、指导和帮助，此外，对接到的投诉进行立案侦查，以便有针对性地采取行动予以纠正，从而制止因歧视所造成的威胁或实质性损害。因此，国家妇女权利监察员办公室可以直接作为妇女的法律代理人，在受害人有需要时，介入司法程序和司法外程序。还有一种方式就是指导受害人诉诸相应机构，并为其提供个人或集体性的法律咨询意见。同样，国家妇女权利监察员办公室还会对刑事法院所下达的判决进行跟踪，以确认受害人的权利是否得到保障。</w:t>
      </w:r>
    </w:p>
    <w:p w:rsidR="00EC5325" w:rsidRPr="008A1811" w:rsidRDefault="00EC5325" w:rsidP="00EC5325">
      <w:pPr>
        <w:pStyle w:val="SingleTxt"/>
        <w:rPr>
          <w:rFonts w:ascii="SimHei" w:eastAsia="SimHei" w:hAnsi="SimHei" w:hint="eastAsia"/>
        </w:rPr>
      </w:pPr>
      <w:r w:rsidRPr="008A1811">
        <w:rPr>
          <w:rFonts w:ascii="SimHei" w:eastAsia="SimHei" w:hAnsi="SimHei" w:hint="eastAsia"/>
        </w:rPr>
        <w:t>定型观念</w:t>
      </w:r>
    </w:p>
    <w:p w:rsidR="00EC5325" w:rsidRPr="008A1811" w:rsidRDefault="00EC5325" w:rsidP="00EC5325">
      <w:pPr>
        <w:pStyle w:val="SingleTxt"/>
        <w:rPr>
          <w:rFonts w:ascii="SimHei" w:eastAsia="SimHei" w:hAnsi="SimHei" w:hint="eastAsia"/>
        </w:rPr>
      </w:pPr>
      <w:r w:rsidRPr="008A1811">
        <w:rPr>
          <w:rFonts w:ascii="SimHei" w:eastAsia="SimHei" w:hAnsi="SimHei" w:hint="eastAsia"/>
        </w:rPr>
        <w:t>问题7：消除重男轻女观念和关于男女在社会所起作用的定型观念；消除将女童描</w:t>
      </w:r>
      <w:r w:rsidR="008625CB">
        <w:rPr>
          <w:rFonts w:ascii="SimHei" w:eastAsia="SimHei" w:hAnsi="SimHei" w:hint="eastAsia"/>
        </w:rPr>
        <w:t>述为性玩物的做法以及在执行《广播电视社会责任法》方面面临的困难</w:t>
      </w:r>
    </w:p>
    <w:p w:rsidR="00EC5325" w:rsidRDefault="00EC5325" w:rsidP="00EC5325">
      <w:pPr>
        <w:pStyle w:val="SingleTxt"/>
        <w:rPr>
          <w:rFonts w:hint="eastAsia"/>
        </w:rPr>
      </w:pPr>
      <w:r>
        <w:rPr>
          <w:rFonts w:hint="eastAsia"/>
        </w:rPr>
        <w:t>41.</w:t>
      </w:r>
      <w:r>
        <w:rPr>
          <w:rFonts w:hint="eastAsia"/>
        </w:rPr>
        <w:tab/>
      </w:r>
      <w:r>
        <w:rPr>
          <w:rFonts w:hint="eastAsia"/>
        </w:rPr>
        <w:t>委内瑞拉坚信，为了消除重男轻女观念和关于男女在社会所起作用的定型观念，必须要增强人民政权的权能，特别是增强妇女权利，认识到群众的智慧对于设计和实施这方面的公共政策所做出的贡献。</w:t>
      </w:r>
    </w:p>
    <w:p w:rsidR="00EC5325" w:rsidRDefault="00EC5325" w:rsidP="00EC5325">
      <w:pPr>
        <w:pStyle w:val="SingleTxt"/>
        <w:rPr>
          <w:rFonts w:hint="eastAsia"/>
        </w:rPr>
      </w:pPr>
      <w:r>
        <w:rPr>
          <w:rFonts w:hint="eastAsia"/>
        </w:rPr>
        <w:t>42.</w:t>
      </w:r>
      <w:r>
        <w:rPr>
          <w:rFonts w:hint="eastAsia"/>
        </w:rPr>
        <w:tab/>
      </w:r>
      <w:r>
        <w:rPr>
          <w:rFonts w:hint="eastAsia"/>
        </w:rPr>
        <w:t>为此，玻利瓦尔政府通过国家妇女研究所，已经通过信息宣传和推广，开展了社会文化宣传活动，旨在消除重男轻女观念和关于男女在社会所起作用的定型观念。其结果就是，在</w:t>
      </w:r>
      <w:r>
        <w:rPr>
          <w:rFonts w:hint="eastAsia"/>
        </w:rPr>
        <w:t>2010</w:t>
      </w:r>
      <w:r>
        <w:rPr>
          <w:rFonts w:hint="eastAsia"/>
        </w:rPr>
        <w:t>年至</w:t>
      </w:r>
      <w:r>
        <w:rPr>
          <w:rFonts w:hint="eastAsia"/>
        </w:rPr>
        <w:t>2013</w:t>
      </w:r>
      <w:r>
        <w:rPr>
          <w:rFonts w:hint="eastAsia"/>
        </w:rPr>
        <w:t>年期间，受众达到</w:t>
      </w:r>
      <w:r>
        <w:rPr>
          <w:rFonts w:hint="eastAsia"/>
        </w:rPr>
        <w:t>15 304</w:t>
      </w:r>
      <w:r>
        <w:rPr>
          <w:rFonts w:hint="eastAsia"/>
        </w:rPr>
        <w:t>名妇女和</w:t>
      </w:r>
      <w:r>
        <w:rPr>
          <w:rFonts w:hint="eastAsia"/>
        </w:rPr>
        <w:t>6 986</w:t>
      </w:r>
      <w:r>
        <w:rPr>
          <w:rFonts w:hint="eastAsia"/>
        </w:rPr>
        <w:t>名男子。有证据显示，在</w:t>
      </w:r>
      <w:r>
        <w:rPr>
          <w:rFonts w:hint="eastAsia"/>
        </w:rPr>
        <w:t>2013</w:t>
      </w:r>
      <w:r>
        <w:rPr>
          <w:rFonts w:hint="eastAsia"/>
        </w:rPr>
        <w:t>年，这一活动的宣传能力得以巩固，其受众是前一年受众人数的四倍。</w:t>
      </w:r>
    </w:p>
    <w:p w:rsidR="00EC5325" w:rsidRDefault="00EC5325" w:rsidP="00EC5325">
      <w:pPr>
        <w:pStyle w:val="SingleTxt"/>
        <w:rPr>
          <w:rFonts w:hint="eastAsia"/>
        </w:rPr>
      </w:pPr>
      <w:r>
        <w:rPr>
          <w:rFonts w:hint="eastAsia"/>
        </w:rPr>
        <w:t>43.</w:t>
      </w:r>
      <w:r>
        <w:rPr>
          <w:rFonts w:hint="eastAsia"/>
        </w:rPr>
        <w:tab/>
      </w:r>
      <w:r>
        <w:rPr>
          <w:rFonts w:hint="eastAsia"/>
        </w:rPr>
        <w:t>这些活动的针对对象为社区组织和国家实体、各级各类教育机构、投诉接收机构等部门的公务员。在这方面，值得一提的是由国家妇女研究所开展的若干方案，其中包括：公社监察员国家网络，推行和平与生活妇女运动，以及在各公社理事会内设立妇女事务和性别平等委员会。</w:t>
      </w:r>
    </w:p>
    <w:p w:rsidR="00EC5325" w:rsidRDefault="00EC5325" w:rsidP="00EC5325">
      <w:pPr>
        <w:pStyle w:val="SingleTxt"/>
        <w:rPr>
          <w:rFonts w:hint="eastAsia"/>
        </w:rPr>
      </w:pPr>
      <w:r>
        <w:rPr>
          <w:rFonts w:hint="eastAsia"/>
        </w:rPr>
        <w:t>44.</w:t>
      </w:r>
      <w:r>
        <w:rPr>
          <w:rFonts w:hint="eastAsia"/>
        </w:rPr>
        <w:tab/>
      </w:r>
      <w:r>
        <w:rPr>
          <w:rFonts w:hint="eastAsia"/>
        </w:rPr>
        <w:t>为消除重男轻女观念和关于男女在社会所起作用的定型观念，委内瑞拉通过玻利瓦尔信息与通信系统的媒体，切实遵循其行动路线所奉行的转化原则、社会主义原则和玻利瓦尔原则，促进妇女参与到所有的信息生成和传播空间，力图传递信息来对抗性别歧视现象，从而提高委内瑞拉妇女在祖国建设大业中的主体地位。</w:t>
      </w:r>
    </w:p>
    <w:p w:rsidR="00EC5325" w:rsidRDefault="00EC5325" w:rsidP="00EC5325">
      <w:pPr>
        <w:pStyle w:val="SingleTxt"/>
        <w:rPr>
          <w:rFonts w:hint="eastAsia"/>
        </w:rPr>
      </w:pPr>
      <w:r>
        <w:rPr>
          <w:rFonts w:hint="eastAsia"/>
        </w:rPr>
        <w:t>45.</w:t>
      </w:r>
      <w:r>
        <w:rPr>
          <w:rFonts w:hint="eastAsia"/>
        </w:rPr>
        <w:tab/>
      </w:r>
      <w:r>
        <w:rPr>
          <w:rFonts w:hint="eastAsia"/>
        </w:rPr>
        <w:t>已经在娱乐领域促进委内瑞拉、拉丁美洲和其他地区由女性电影人出品的女性题材电影作品的创作和播映，在这些作品中，讲述了女名人以及无名女英雄们的故事，有助于妇女对其所起作用和所处状况的自我认识，也有助于提高全社会的思想觉悟。</w:t>
      </w:r>
      <w:r w:rsidR="008A1811">
        <w:rPr>
          <w:rStyle w:val="FootnoteReference"/>
        </w:rPr>
        <w:footnoteReference w:id="11"/>
      </w:r>
      <w:r>
        <w:rPr>
          <w:rFonts w:hint="eastAsia"/>
        </w:rPr>
        <w:t xml:space="preserve"> </w:t>
      </w:r>
    </w:p>
    <w:p w:rsidR="00EC5325" w:rsidRDefault="00EC5325" w:rsidP="00EC5325">
      <w:pPr>
        <w:pStyle w:val="SingleTxt"/>
        <w:rPr>
          <w:rFonts w:hint="eastAsia"/>
        </w:rPr>
      </w:pPr>
      <w:r>
        <w:rPr>
          <w:rFonts w:hint="eastAsia"/>
        </w:rPr>
        <w:t>46.</w:t>
      </w:r>
      <w:r>
        <w:rPr>
          <w:rFonts w:hint="eastAsia"/>
        </w:rPr>
        <w:tab/>
      </w:r>
      <w:r>
        <w:rPr>
          <w:rFonts w:hint="eastAsia"/>
        </w:rPr>
        <w:t>在印刷媒体领域，确保女权主义团体在大众报刊上拥有发表空间，例如《奥里诺科城市邮报》，在这份刊物中，探讨了与男女角色分工、妇女权利、对父权制社会的批判、正视妇女受压迫的状况以及不同性取向者受压迫的状况相关的时事问题。</w:t>
      </w:r>
    </w:p>
    <w:p w:rsidR="00EC5325" w:rsidRDefault="00EC5325" w:rsidP="00EC5325">
      <w:pPr>
        <w:pStyle w:val="SingleTxt"/>
        <w:rPr>
          <w:rFonts w:hint="eastAsia"/>
        </w:rPr>
      </w:pPr>
      <w:r>
        <w:rPr>
          <w:rFonts w:hint="eastAsia"/>
        </w:rPr>
        <w:t>47.</w:t>
      </w:r>
      <w:r>
        <w:rPr>
          <w:rFonts w:hint="eastAsia"/>
        </w:rPr>
        <w:tab/>
      </w:r>
      <w:r>
        <w:rPr>
          <w:rFonts w:hint="eastAsia"/>
        </w:rPr>
        <w:t>在新闻和舆论空间，促进和鼓励对与妇女经历角色转化进程、在传统领域和非传统领域中的主体参与相关的宣传报道。对妇女作为工人、农民、母亲、专业人士、学生、政界人士等人物的日常生活进行近距离报道。</w:t>
      </w:r>
      <w:r w:rsidR="008A1811">
        <w:rPr>
          <w:rStyle w:val="FootnoteReference"/>
        </w:rPr>
        <w:footnoteReference w:id="12"/>
      </w:r>
      <w:r>
        <w:rPr>
          <w:rFonts w:hint="eastAsia"/>
        </w:rPr>
        <w:t xml:space="preserve"> </w:t>
      </w:r>
    </w:p>
    <w:p w:rsidR="00EC5325" w:rsidRDefault="00EC5325" w:rsidP="00EC5325">
      <w:pPr>
        <w:pStyle w:val="SingleTxt"/>
        <w:rPr>
          <w:rFonts w:hint="eastAsia"/>
        </w:rPr>
      </w:pPr>
      <w:r>
        <w:rPr>
          <w:rFonts w:hint="eastAsia"/>
        </w:rPr>
        <w:t>48.</w:t>
      </w:r>
      <w:r>
        <w:rPr>
          <w:rFonts w:hint="eastAsia"/>
        </w:rPr>
        <w:tab/>
      </w:r>
      <w:r>
        <w:rPr>
          <w:rFonts w:hint="eastAsia"/>
        </w:rPr>
        <w:t>另一方面，委内瑞拉已经采取措施来消除促使对妇女持有定型观念的做法，尤其是媒体的做法，如将妇女和女童描述为性玩物和以符合社会期待的方式呈现女性的身体。在这方面的一项具体措施，就是由宪法庭通过</w:t>
      </w:r>
      <w:r>
        <w:rPr>
          <w:rFonts w:hint="eastAsia"/>
        </w:rPr>
        <w:t>2014</w:t>
      </w:r>
      <w:r>
        <w:rPr>
          <w:rFonts w:hint="eastAsia"/>
        </w:rPr>
        <w:t>年</w:t>
      </w:r>
      <w:r>
        <w:rPr>
          <w:rFonts w:hint="eastAsia"/>
        </w:rPr>
        <w:t>5</w:t>
      </w:r>
      <w:r>
        <w:rPr>
          <w:rFonts w:hint="eastAsia"/>
        </w:rPr>
        <w:t>月</w:t>
      </w:r>
      <w:r>
        <w:rPr>
          <w:rFonts w:hint="eastAsia"/>
        </w:rPr>
        <w:t>8</w:t>
      </w:r>
      <w:r>
        <w:rPr>
          <w:rFonts w:hint="eastAsia"/>
        </w:rPr>
        <w:t>日的第</w:t>
      </w:r>
      <w:r>
        <w:rPr>
          <w:rFonts w:hint="eastAsia"/>
        </w:rPr>
        <w:t>09-0066</w:t>
      </w:r>
      <w:r>
        <w:rPr>
          <w:rFonts w:hint="eastAsia"/>
        </w:rPr>
        <w:t>号判决，责令消除在少年儿童可以接触到的平面广告中的一切包含不良内容的图片或者具有明示或暗示性信息的内容，这些图片或内容可能会产生性刺激，促进商业性剥削活动。</w:t>
      </w:r>
    </w:p>
    <w:p w:rsidR="00EC5325" w:rsidRDefault="00EC5325" w:rsidP="00EC5325">
      <w:pPr>
        <w:pStyle w:val="SingleTxt"/>
        <w:rPr>
          <w:rFonts w:hint="eastAsia"/>
        </w:rPr>
      </w:pPr>
      <w:r>
        <w:rPr>
          <w:rFonts w:hint="eastAsia"/>
        </w:rPr>
        <w:t>49.</w:t>
      </w:r>
      <w:r>
        <w:rPr>
          <w:rFonts w:hint="eastAsia"/>
        </w:rPr>
        <w:tab/>
      </w:r>
      <w:r>
        <w:rPr>
          <w:rFonts w:hint="eastAsia"/>
        </w:rPr>
        <w:t>最后，委内瑞拉在执行《广播电视社会责任法》方面所面临的挑战，就是要提高媒体的性别问题意识，认识到广播电视节目需要尊重妇女权利。为此，国家电信委员会已经就违反《广播电视社会责任法》规定的情况向媒体发出了建议。</w:t>
      </w:r>
    </w:p>
    <w:p w:rsidR="00EC5325" w:rsidRPr="008A1811" w:rsidRDefault="008625CB" w:rsidP="00EC5325">
      <w:pPr>
        <w:pStyle w:val="SingleTxt"/>
        <w:rPr>
          <w:rFonts w:ascii="SimHei" w:eastAsia="SimHei" w:hAnsi="SimHei" w:hint="eastAsia"/>
        </w:rPr>
      </w:pPr>
      <w:r>
        <w:rPr>
          <w:rFonts w:ascii="SimHei" w:eastAsia="SimHei" w:hAnsi="SimHei"/>
        </w:rPr>
        <w:br w:type="page"/>
      </w:r>
      <w:r w:rsidR="00EC5325" w:rsidRPr="008A1811">
        <w:rPr>
          <w:rFonts w:ascii="SimHei" w:eastAsia="SimHei" w:hAnsi="SimHei" w:hint="eastAsia"/>
        </w:rPr>
        <w:t>侵害妇女的暴力行为</w:t>
      </w:r>
    </w:p>
    <w:p w:rsidR="00EC5325" w:rsidRDefault="00EC5325" w:rsidP="00EC5325">
      <w:pPr>
        <w:pStyle w:val="SingleTxt"/>
        <w:rPr>
          <w:rFonts w:hint="eastAsia"/>
        </w:rPr>
      </w:pPr>
      <w:r w:rsidRPr="008A1811">
        <w:rPr>
          <w:rFonts w:ascii="SimHei" w:eastAsia="SimHei" w:hAnsi="SimHei" w:hint="eastAsia"/>
        </w:rPr>
        <w:t>问题8：《妇女享有无暴力生活权利组织法》的有效实施与杀害妇女行为</w:t>
      </w:r>
    </w:p>
    <w:p w:rsidR="00EC5325" w:rsidRDefault="00EC5325" w:rsidP="00EC5325">
      <w:pPr>
        <w:pStyle w:val="SingleTxt"/>
        <w:rPr>
          <w:rFonts w:hint="eastAsia"/>
        </w:rPr>
      </w:pPr>
      <w:r>
        <w:rPr>
          <w:rFonts w:hint="eastAsia"/>
        </w:rPr>
        <w:t>50.</w:t>
      </w:r>
      <w:r>
        <w:rPr>
          <w:rFonts w:hint="eastAsia"/>
        </w:rPr>
        <w:tab/>
      </w:r>
      <w:r>
        <w:rPr>
          <w:rFonts w:hint="eastAsia"/>
        </w:rPr>
        <w:t>为答复委员会提出的在实施《妇女享有无暴力生活权利组织法》方面所面临的挑战这一问题，在此指出，玻利瓦尔政府通过全国妇女权利监察员办公室，在行使职能时看到，委内瑞拉在执行和落实该法内容方面已经取得了广泛进步。</w:t>
      </w:r>
    </w:p>
    <w:p w:rsidR="00EC5325" w:rsidRDefault="00EC5325" w:rsidP="00EC5325">
      <w:pPr>
        <w:pStyle w:val="SingleTxt"/>
        <w:rPr>
          <w:rFonts w:hint="eastAsia"/>
        </w:rPr>
      </w:pPr>
      <w:r>
        <w:rPr>
          <w:rFonts w:hint="eastAsia"/>
        </w:rPr>
        <w:t>51.</w:t>
      </w:r>
      <w:r>
        <w:rPr>
          <w:rFonts w:hint="eastAsia"/>
        </w:rPr>
        <w:tab/>
      </w:r>
      <w:r>
        <w:rPr>
          <w:rFonts w:hint="eastAsia"/>
        </w:rPr>
        <w:t>但是，权利监察员办公室开展了一次针对所有投诉接收机构的业绩考核，得出了以下结果：</w:t>
      </w:r>
    </w:p>
    <w:p w:rsidR="00EC5325" w:rsidRDefault="008625CB" w:rsidP="00EC5325">
      <w:pPr>
        <w:pStyle w:val="SingleTxt"/>
        <w:rPr>
          <w:rFonts w:hint="eastAsia"/>
        </w:rPr>
      </w:pPr>
      <w:r>
        <w:rPr>
          <w:rFonts w:hint="eastAsia"/>
        </w:rPr>
        <w:tab/>
      </w:r>
      <w:r w:rsidR="00EC5325">
        <w:rPr>
          <w:rFonts w:hint="eastAsia"/>
        </w:rPr>
        <w:t>a.</w:t>
      </w:r>
      <w:r w:rsidR="00EC5325">
        <w:rPr>
          <w:rFonts w:hint="eastAsia"/>
        </w:rPr>
        <w:tab/>
      </w:r>
      <w:r w:rsidR="00EC5325">
        <w:rPr>
          <w:rFonts w:hint="eastAsia"/>
        </w:rPr>
        <w:t>此次研究得出的第一个成果，就是在</w:t>
      </w:r>
      <w:r w:rsidR="00EC5325">
        <w:rPr>
          <w:rFonts w:hint="eastAsia"/>
        </w:rPr>
        <w:t>2010</w:t>
      </w:r>
      <w:r w:rsidR="00EC5325">
        <w:rPr>
          <w:rFonts w:hint="eastAsia"/>
        </w:rPr>
        <w:t>年</w:t>
      </w:r>
      <w:r w:rsidR="00EC5325">
        <w:rPr>
          <w:rFonts w:hint="eastAsia"/>
        </w:rPr>
        <w:t>6</w:t>
      </w:r>
      <w:r w:rsidR="00EC5325">
        <w:rPr>
          <w:rFonts w:hint="eastAsia"/>
        </w:rPr>
        <w:t>月提出了名为“机构路线图”的关于关爱暴力受害妇女的计划，这是一项由联合国人口基金</w:t>
      </w:r>
      <w:r>
        <w:rPr>
          <w:rFonts w:hint="eastAsia"/>
        </w:rPr>
        <w:t>(</w:t>
      </w:r>
      <w:r w:rsidR="00EC5325">
        <w:rPr>
          <w:rFonts w:hint="eastAsia"/>
        </w:rPr>
        <w:t>人口基金</w:t>
      </w:r>
      <w:r>
        <w:rPr>
          <w:rFonts w:hint="eastAsia"/>
        </w:rPr>
        <w:t>)</w:t>
      </w:r>
      <w:r w:rsidR="00EC5325">
        <w:rPr>
          <w:rFonts w:hint="eastAsia"/>
        </w:rPr>
        <w:t>和西班牙国际发展合作署与最高司法法院、公诉处、国家妇女研究所和权利监察员办公室联合发起的倡议。该路线图作为一项教学工具，可用于识别和整合《妇女享有无暴力生活权利组织法》中规定的程序和流程，这有助于对投诉接收机构的工作人员进行培训并减少在该法执行过程中的自由裁量权。</w:t>
      </w:r>
    </w:p>
    <w:p w:rsidR="00EC5325" w:rsidRDefault="008625CB" w:rsidP="00EC5325">
      <w:pPr>
        <w:pStyle w:val="SingleTxt"/>
        <w:rPr>
          <w:rFonts w:hint="eastAsia"/>
        </w:rPr>
      </w:pPr>
      <w:r>
        <w:rPr>
          <w:rFonts w:hint="eastAsia"/>
        </w:rPr>
        <w:tab/>
      </w:r>
      <w:r w:rsidR="00EC5325">
        <w:rPr>
          <w:rFonts w:hint="eastAsia"/>
        </w:rPr>
        <w:t>b.</w:t>
      </w:r>
      <w:r w:rsidR="00EC5325">
        <w:rPr>
          <w:rFonts w:hint="eastAsia"/>
        </w:rPr>
        <w:tab/>
      </w:r>
      <w:r w:rsidR="00EC5325">
        <w:rPr>
          <w:rFonts w:hint="eastAsia"/>
        </w:rPr>
        <w:t>在</w:t>
      </w:r>
      <w:r w:rsidR="00EC5325">
        <w:rPr>
          <w:rFonts w:hint="eastAsia"/>
        </w:rPr>
        <w:t>2012</w:t>
      </w:r>
      <w:r w:rsidR="00EC5325">
        <w:rPr>
          <w:rFonts w:hint="eastAsia"/>
        </w:rPr>
        <w:t>年期间，得出的另一个研究成果，就是由各投诉接收机构共同努力，在人口基金的支持下编制了一份出版物，名为《关于优化接收关于暴力侵害妇女的投诉的若干建议》，旨在通过该文件通过信息并在投诉接收机构中推广好做法，以及提高负责这项任务的人员对与性别分类相关问题的认识，促进创立一个有效解决暴力侵害妇女案件的动态解决模式。</w:t>
      </w:r>
    </w:p>
    <w:p w:rsidR="00EC5325" w:rsidRDefault="00EC5325" w:rsidP="00EC5325">
      <w:pPr>
        <w:pStyle w:val="SingleTxt"/>
        <w:rPr>
          <w:rFonts w:hint="eastAsia"/>
        </w:rPr>
      </w:pPr>
      <w:r>
        <w:rPr>
          <w:rFonts w:hint="eastAsia"/>
        </w:rPr>
        <w:t>52.</w:t>
      </w:r>
      <w:r>
        <w:rPr>
          <w:rFonts w:hint="eastAsia"/>
        </w:rPr>
        <w:tab/>
      </w:r>
      <w:r>
        <w:rPr>
          <w:rFonts w:hint="eastAsia"/>
        </w:rPr>
        <w:t>负责根除暴力侵害妇女行为的主管机构所开展的评估的结果显示，仍有许多困难和问题有待克服，例如：</w:t>
      </w:r>
      <w:r w:rsidR="008625CB">
        <w:rPr>
          <w:rFonts w:hint="eastAsia"/>
        </w:rPr>
        <w:t>(</w:t>
      </w:r>
      <w:r>
        <w:rPr>
          <w:rFonts w:hint="eastAsia"/>
        </w:rPr>
        <w:t>1</w:t>
      </w:r>
      <w:r w:rsidR="008625CB">
        <w:rPr>
          <w:rFonts w:hint="eastAsia"/>
        </w:rPr>
        <w:t xml:space="preserve">) </w:t>
      </w:r>
      <w:r>
        <w:rPr>
          <w:rFonts w:hint="eastAsia"/>
        </w:rPr>
        <w:t>强化机制，以统一预防和关爱系统以及保护和保障系统中的模式和程序，以促进尽职调查和让暴力受害妇女获得司法保护，并优化对暴力侵害妇女投诉的接收工作；</w:t>
      </w:r>
      <w:r w:rsidR="008625CB">
        <w:rPr>
          <w:rFonts w:hint="eastAsia"/>
        </w:rPr>
        <w:t>(</w:t>
      </w:r>
      <w:r>
        <w:rPr>
          <w:rFonts w:hint="eastAsia"/>
        </w:rPr>
        <w:t>2</w:t>
      </w:r>
      <w:r w:rsidR="008625CB">
        <w:rPr>
          <w:rFonts w:hint="eastAsia"/>
        </w:rPr>
        <w:t xml:space="preserve">) </w:t>
      </w:r>
      <w:r>
        <w:rPr>
          <w:rFonts w:hint="eastAsia"/>
        </w:rPr>
        <w:t>通过能力培养来促进暴力受害妇女积极参与到所有职能机构的侦查、起诉和审判程序中；</w:t>
      </w:r>
      <w:r w:rsidR="008625CB">
        <w:rPr>
          <w:rFonts w:hint="eastAsia"/>
        </w:rPr>
        <w:t>(</w:t>
      </w:r>
      <w:r>
        <w:rPr>
          <w:rFonts w:hint="eastAsia"/>
        </w:rPr>
        <w:t>3</w:t>
      </w:r>
      <w:r w:rsidR="008625CB">
        <w:rPr>
          <w:rFonts w:hint="eastAsia"/>
        </w:rPr>
        <w:t xml:space="preserve">) </w:t>
      </w:r>
      <w:r>
        <w:rPr>
          <w:rFonts w:hint="eastAsia"/>
        </w:rPr>
        <w:t>从人民政权层面设立相应组织，将女权主义者武装起来，从而影响到公共政策，特别是促进对受害妇女的关爱和根除暴力；</w:t>
      </w:r>
      <w:r w:rsidR="008625CB">
        <w:rPr>
          <w:rFonts w:hint="eastAsia"/>
        </w:rPr>
        <w:t>(</w:t>
      </w:r>
      <w:r>
        <w:rPr>
          <w:rFonts w:hint="eastAsia"/>
        </w:rPr>
        <w:t>4</w:t>
      </w:r>
      <w:r w:rsidR="008625CB">
        <w:rPr>
          <w:rFonts w:hint="eastAsia"/>
        </w:rPr>
        <w:t xml:space="preserve">) </w:t>
      </w:r>
      <w:r>
        <w:rPr>
          <w:rFonts w:hint="eastAsia"/>
        </w:rPr>
        <w:t>从性别角度加强统计数据收集机制，用于设计公共政策；及</w:t>
      </w:r>
      <w:r w:rsidR="008625CB">
        <w:rPr>
          <w:rFonts w:hint="eastAsia"/>
        </w:rPr>
        <w:t>(</w:t>
      </w:r>
      <w:r>
        <w:rPr>
          <w:rFonts w:hint="eastAsia"/>
        </w:rPr>
        <w:t>5</w:t>
      </w:r>
      <w:r w:rsidR="008625CB">
        <w:rPr>
          <w:rFonts w:hint="eastAsia"/>
        </w:rPr>
        <w:t xml:space="preserve">) </w:t>
      </w:r>
      <w:r>
        <w:rPr>
          <w:rFonts w:hint="eastAsia"/>
        </w:rPr>
        <w:t>根除男尊女卑文化。</w:t>
      </w:r>
    </w:p>
    <w:p w:rsidR="00EC5325" w:rsidRDefault="00EC5325" w:rsidP="00EC5325">
      <w:pPr>
        <w:pStyle w:val="SingleTxt"/>
        <w:rPr>
          <w:rFonts w:hint="eastAsia"/>
        </w:rPr>
      </w:pPr>
      <w:r>
        <w:rPr>
          <w:rFonts w:hint="eastAsia"/>
        </w:rPr>
        <w:t>53.</w:t>
      </w:r>
      <w:r>
        <w:rPr>
          <w:rFonts w:hint="eastAsia"/>
        </w:rPr>
        <w:tab/>
      </w:r>
      <w:r>
        <w:rPr>
          <w:rFonts w:hint="eastAsia"/>
        </w:rPr>
        <w:t>关于为了在《妇女享有无暴力生活权利组织法》中将杀害妇女行为定为刑事犯罪和规定相应处罚而提出的修正案这一问题，考虑到公诉处掌握的数据，在</w:t>
      </w:r>
      <w:r>
        <w:rPr>
          <w:rFonts w:hint="eastAsia"/>
        </w:rPr>
        <w:t>2010</w:t>
      </w:r>
      <w:r>
        <w:rPr>
          <w:rFonts w:hint="eastAsia"/>
        </w:rPr>
        <w:t>年至</w:t>
      </w:r>
      <w:r>
        <w:rPr>
          <w:rFonts w:hint="eastAsia"/>
        </w:rPr>
        <w:t>2013</w:t>
      </w:r>
      <w:r>
        <w:rPr>
          <w:rFonts w:hint="eastAsia"/>
        </w:rPr>
        <w:t>年期间发生了</w:t>
      </w:r>
      <w:r>
        <w:rPr>
          <w:rFonts w:hint="eastAsia"/>
        </w:rPr>
        <w:t>157</w:t>
      </w:r>
      <w:r>
        <w:rPr>
          <w:rFonts w:hint="eastAsia"/>
        </w:rPr>
        <w:t>例由于性别原因杀害妇女的案件，共和国总检察长在</w:t>
      </w:r>
      <w:r>
        <w:rPr>
          <w:rFonts w:hint="eastAsia"/>
        </w:rPr>
        <w:t>2013</w:t>
      </w:r>
      <w:r>
        <w:rPr>
          <w:rFonts w:hint="eastAsia"/>
        </w:rPr>
        <w:t>年</w:t>
      </w:r>
      <w:r>
        <w:rPr>
          <w:rFonts w:hint="eastAsia"/>
        </w:rPr>
        <w:t>5</w:t>
      </w:r>
      <w:r>
        <w:rPr>
          <w:rFonts w:hint="eastAsia"/>
        </w:rPr>
        <w:t>月</w:t>
      </w:r>
      <w:r>
        <w:rPr>
          <w:rFonts w:hint="eastAsia"/>
        </w:rPr>
        <w:t>21</w:t>
      </w:r>
      <w:r>
        <w:rPr>
          <w:rFonts w:hint="eastAsia"/>
        </w:rPr>
        <w:t>日申请增加两种刑事罪。该提案旨在正视杀害妇女问题，将之定为刑事犯罪，并破除将此类犯罪视为激情犯罪的文化观念，在侦查中对此类案件进行特殊对待，因为此类犯罪的侵害对象为女性。这一立法修正案于</w:t>
      </w:r>
      <w:r>
        <w:rPr>
          <w:rFonts w:hint="eastAsia"/>
        </w:rPr>
        <w:t>2013</w:t>
      </w:r>
      <w:r>
        <w:rPr>
          <w:rFonts w:hint="eastAsia"/>
        </w:rPr>
        <w:t>年</w:t>
      </w:r>
      <w:r>
        <w:rPr>
          <w:rFonts w:hint="eastAsia"/>
        </w:rPr>
        <w:t>5</w:t>
      </w:r>
      <w:r>
        <w:rPr>
          <w:rFonts w:hint="eastAsia"/>
        </w:rPr>
        <w:t>月</w:t>
      </w:r>
      <w:r>
        <w:rPr>
          <w:rFonts w:hint="eastAsia"/>
        </w:rPr>
        <w:t>28</w:t>
      </w:r>
      <w:r>
        <w:rPr>
          <w:rFonts w:hint="eastAsia"/>
        </w:rPr>
        <w:t>日通过一读，当前正在等待全会二读批准后颁布。</w:t>
      </w:r>
    </w:p>
    <w:p w:rsidR="00EC5325" w:rsidRDefault="00EC5325" w:rsidP="00EC5325">
      <w:pPr>
        <w:pStyle w:val="SingleTxt"/>
        <w:rPr>
          <w:rFonts w:hint="eastAsia"/>
        </w:rPr>
      </w:pPr>
      <w:r>
        <w:rPr>
          <w:rFonts w:hint="eastAsia"/>
        </w:rPr>
        <w:t>54.</w:t>
      </w:r>
      <w:r>
        <w:rPr>
          <w:rFonts w:hint="eastAsia"/>
        </w:rPr>
        <w:tab/>
      </w:r>
      <w:r>
        <w:rPr>
          <w:rFonts w:hint="eastAsia"/>
        </w:rPr>
        <w:t>立法提案不仅考虑到了由情人实施的杀害妇女的情形，还考虑到了在其他情形下出现的杀害妇女行为，例如由非情人实施的杀害行为或者间接杀害妇女行为。</w:t>
      </w:r>
      <w:r w:rsidR="008A1811">
        <w:rPr>
          <w:rStyle w:val="FootnoteReference"/>
        </w:rPr>
        <w:footnoteReference w:id="13"/>
      </w:r>
      <w:r>
        <w:rPr>
          <w:rFonts w:hint="eastAsia"/>
        </w:rPr>
        <w:t xml:space="preserve"> </w:t>
      </w:r>
      <w:r>
        <w:rPr>
          <w:rFonts w:hint="eastAsia"/>
        </w:rPr>
        <w:t>提案中还引申出了由于性别原因实施的杀害行为，其中就包含实施暴力杀害的一种间接方式。</w:t>
      </w:r>
      <w:r w:rsidR="008A1811">
        <w:rPr>
          <w:rStyle w:val="FootnoteReference"/>
        </w:rPr>
        <w:footnoteReference w:id="14"/>
      </w:r>
      <w:r>
        <w:rPr>
          <w:rFonts w:hint="eastAsia"/>
        </w:rPr>
        <w:t xml:space="preserve">  </w:t>
      </w:r>
    </w:p>
    <w:p w:rsidR="00EC5325" w:rsidRPr="008625CB" w:rsidRDefault="00EC5325" w:rsidP="00EC5325">
      <w:pPr>
        <w:pStyle w:val="SingleTxt"/>
        <w:rPr>
          <w:rFonts w:ascii="SimHei" w:eastAsia="SimHei" w:hAnsi="SimHei" w:hint="eastAsia"/>
        </w:rPr>
      </w:pPr>
      <w:r w:rsidRPr="008625CB">
        <w:rPr>
          <w:rFonts w:ascii="SimHei" w:eastAsia="SimHei" w:hAnsi="SimHei" w:hint="eastAsia"/>
        </w:rPr>
        <w:t>问题9：暴力侵害妇女行为盛行的原因</w:t>
      </w:r>
    </w:p>
    <w:p w:rsidR="00EC5325" w:rsidRDefault="00EC5325" w:rsidP="00EC5325">
      <w:pPr>
        <w:pStyle w:val="SingleTxt"/>
        <w:rPr>
          <w:rFonts w:hint="eastAsia"/>
        </w:rPr>
      </w:pPr>
      <w:r>
        <w:rPr>
          <w:rFonts w:hint="eastAsia"/>
        </w:rPr>
        <w:t>55.</w:t>
      </w:r>
      <w:r>
        <w:rPr>
          <w:rFonts w:hint="eastAsia"/>
        </w:rPr>
        <w:tab/>
      </w:r>
      <w:r>
        <w:rPr>
          <w:rFonts w:hint="eastAsia"/>
        </w:rPr>
        <w:t>在历史上妨碍妇女行使公民权的一个机制，就是暴力侵害妇女行为。这是全球的一个结构性现实，与生命权、自由权、人身完整性权利和健康权等一些人权的情况类似，这也阻碍了对其他公民权利、政治权利、经济权利、社会权利和文化权利的行使。</w:t>
      </w:r>
    </w:p>
    <w:p w:rsidR="00EC5325" w:rsidRDefault="00EC5325" w:rsidP="00EC5325">
      <w:pPr>
        <w:pStyle w:val="SingleTxt"/>
        <w:rPr>
          <w:rFonts w:hint="eastAsia"/>
        </w:rPr>
      </w:pPr>
      <w:r>
        <w:rPr>
          <w:rFonts w:hint="eastAsia"/>
        </w:rPr>
        <w:t>56.</w:t>
      </w:r>
      <w:r>
        <w:rPr>
          <w:rFonts w:hint="eastAsia"/>
        </w:rPr>
        <w:tab/>
      </w:r>
      <w:r>
        <w:rPr>
          <w:rFonts w:hint="eastAsia"/>
        </w:rPr>
        <w:t>委内瑞拉已经充分表现出打击这一恶行的意愿，这开始于乌戈•查韦斯总统在</w:t>
      </w:r>
      <w:r>
        <w:rPr>
          <w:rFonts w:hint="eastAsia"/>
        </w:rPr>
        <w:t>2009</w:t>
      </w:r>
      <w:r>
        <w:rPr>
          <w:rFonts w:hint="eastAsia"/>
        </w:rPr>
        <w:t>年所做的公开声明，他在声明的开头就表示：“如果没有妇女的真正解放，就不可能实现人民的完全解放，我深信，一个真正的社会主义者也应当是一个真正的倡导男女平等主义者”。从这个意义上说，为了打击此类损害妇女权利的社会定型观念，取得了不小的立法进步、行政进步和体制进步。但是，由于前面提到的种种原因，仍然存在许多的困难和挑战尚待克服。委内瑞拉在这方面达成了体制共识，但是我们的社会中仍存在负面的价值观，因此要认识到，需要继续努力来战胜这一恶行。</w:t>
      </w:r>
    </w:p>
    <w:p w:rsidR="00EC5325" w:rsidRPr="008625CB" w:rsidRDefault="00EC5325" w:rsidP="00EC5325">
      <w:pPr>
        <w:pStyle w:val="SingleTxt"/>
        <w:rPr>
          <w:rFonts w:ascii="SimHei" w:eastAsia="SimHei" w:hAnsi="SimHei" w:hint="eastAsia"/>
        </w:rPr>
      </w:pPr>
      <w:r w:rsidRPr="008625CB">
        <w:rPr>
          <w:rFonts w:ascii="SimHei" w:eastAsia="SimHei" w:hAnsi="SimHei" w:hint="eastAsia"/>
        </w:rPr>
        <w:t>问题10：庇护所</w:t>
      </w:r>
    </w:p>
    <w:p w:rsidR="00EC5325" w:rsidRDefault="00EC5325" w:rsidP="00EC5325">
      <w:pPr>
        <w:pStyle w:val="SingleTxt"/>
        <w:rPr>
          <w:rFonts w:hint="eastAsia"/>
        </w:rPr>
      </w:pPr>
      <w:r>
        <w:rPr>
          <w:rFonts w:hint="eastAsia"/>
        </w:rPr>
        <w:t>57.</w:t>
      </w:r>
      <w:r>
        <w:rPr>
          <w:rFonts w:hint="eastAsia"/>
        </w:rPr>
        <w:tab/>
      </w:r>
      <w:r>
        <w:rPr>
          <w:rFonts w:hint="eastAsia"/>
        </w:rPr>
        <w:t>庇护所是为由于家庭暴力而处于极端危险状况的妇女提供的临时性安置场所，以保护其人身安全。</w:t>
      </w:r>
    </w:p>
    <w:p w:rsidR="00EC5325" w:rsidRDefault="00EC5325" w:rsidP="00EC5325">
      <w:pPr>
        <w:pStyle w:val="SingleTxt"/>
        <w:rPr>
          <w:rFonts w:hint="eastAsia"/>
        </w:rPr>
      </w:pPr>
      <w:r>
        <w:rPr>
          <w:rFonts w:hint="eastAsia"/>
        </w:rPr>
        <w:t>58.</w:t>
      </w:r>
      <w:r>
        <w:rPr>
          <w:rFonts w:hint="eastAsia"/>
        </w:rPr>
        <w:tab/>
      </w:r>
      <w:r>
        <w:rPr>
          <w:rFonts w:hint="eastAsia"/>
        </w:rPr>
        <w:t>委内瑞拉玻利瓦尔共和国迄今共为处于极端暴力威胁状况的妇女设立了</w:t>
      </w:r>
      <w:r>
        <w:rPr>
          <w:rFonts w:hint="eastAsia"/>
        </w:rPr>
        <w:t>6</w:t>
      </w:r>
      <w:r>
        <w:rPr>
          <w:rFonts w:hint="eastAsia"/>
        </w:rPr>
        <w:t>个庇护所，分别设在阿拉瓜州、莫纳加斯州、苏克雷州、科赫德斯州、特鲁希略州和波图格萨州。这些庇护所都配备有多学科工作组，其成员包括协调员、心理学家、律师、教育工作者、行政助理、辅导员、厨师和清洁工。</w:t>
      </w:r>
    </w:p>
    <w:p w:rsidR="00EC5325" w:rsidRDefault="00EC5325" w:rsidP="00EC5325">
      <w:pPr>
        <w:pStyle w:val="SingleTxt"/>
        <w:rPr>
          <w:rFonts w:hint="eastAsia"/>
        </w:rPr>
      </w:pPr>
      <w:r>
        <w:rPr>
          <w:rFonts w:hint="eastAsia"/>
        </w:rPr>
        <w:t>59.</w:t>
      </w:r>
      <w:r>
        <w:rPr>
          <w:rFonts w:hint="eastAsia"/>
        </w:rPr>
        <w:tab/>
      </w:r>
      <w:r w:rsidRPr="009D42A2">
        <w:rPr>
          <w:rFonts w:hint="eastAsia"/>
          <w:spacing w:val="4"/>
        </w:rPr>
        <w:t>根据玻利瓦尔政府颁布的方针，鉴于国家行政机关在</w:t>
      </w:r>
      <w:r w:rsidRPr="009D42A2">
        <w:rPr>
          <w:rFonts w:hint="eastAsia"/>
          <w:spacing w:val="4"/>
        </w:rPr>
        <w:t>2013</w:t>
      </w:r>
      <w:r w:rsidRPr="009D42A2">
        <w:rPr>
          <w:rFonts w:hint="eastAsia"/>
          <w:spacing w:val="4"/>
        </w:rPr>
        <w:t>年落实了人民政权所提出的“政府上街高效办公”的承诺，已经出台了针对</w:t>
      </w:r>
      <w:r w:rsidRPr="009D42A2">
        <w:rPr>
          <w:rFonts w:hint="eastAsia"/>
          <w:spacing w:val="4"/>
        </w:rPr>
        <w:t>2014</w:t>
      </w:r>
      <w:r w:rsidRPr="009D42A2">
        <w:rPr>
          <w:rFonts w:hint="eastAsia"/>
          <w:spacing w:val="4"/>
        </w:rPr>
        <w:t>年的工作安排表，目的是在境内大多数地区设立庇护所，从而提高庇护服务的效率和成效。</w:t>
      </w:r>
    </w:p>
    <w:p w:rsidR="00EC5325" w:rsidRDefault="00EC5325" w:rsidP="00EC5325">
      <w:pPr>
        <w:pStyle w:val="SingleTxt"/>
        <w:rPr>
          <w:rFonts w:hint="eastAsia"/>
        </w:rPr>
      </w:pPr>
      <w:r>
        <w:rPr>
          <w:rFonts w:hint="eastAsia"/>
        </w:rPr>
        <w:t>60.</w:t>
      </w:r>
      <w:r>
        <w:rPr>
          <w:rFonts w:hint="eastAsia"/>
        </w:rPr>
        <w:tab/>
      </w:r>
      <w:r>
        <w:rPr>
          <w:rFonts w:hint="eastAsia"/>
        </w:rPr>
        <w:t>庇护所项目由国家妇女研究所的预防和综合处理暴力侵害妇女行为事务处负责，其职责是跟踪和监督这些庇护所的运作情况以及为被庇护妇女提供的常规服务情况。</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贩运妇女和利用妇女卖淫营利</w:t>
      </w:r>
    </w:p>
    <w:p w:rsidR="00EC5325" w:rsidRDefault="00EC5325" w:rsidP="00EC5325">
      <w:pPr>
        <w:pStyle w:val="SingleTxt"/>
        <w:rPr>
          <w:rFonts w:hint="eastAsia"/>
        </w:rPr>
      </w:pPr>
      <w:r w:rsidRPr="00224F75">
        <w:rPr>
          <w:rFonts w:ascii="SimHei" w:eastAsia="SimHei" w:hAnsi="SimHei" w:hint="eastAsia"/>
        </w:rPr>
        <w:t>问题11：贩运妇女和女童，关于人口贩运的法案，预防、禁止和惩治贩运人口行为国家行动计划以及与打击卖淫相关的措施</w:t>
      </w:r>
    </w:p>
    <w:p w:rsidR="00EC5325" w:rsidRDefault="00EC5325" w:rsidP="00EC5325">
      <w:pPr>
        <w:pStyle w:val="SingleTxt"/>
        <w:rPr>
          <w:rFonts w:hint="eastAsia"/>
        </w:rPr>
      </w:pPr>
      <w:r>
        <w:rPr>
          <w:rFonts w:hint="eastAsia"/>
        </w:rPr>
        <w:t>61.</w:t>
      </w:r>
      <w:r>
        <w:rPr>
          <w:rFonts w:hint="eastAsia"/>
        </w:rPr>
        <w:tab/>
      </w:r>
      <w:r>
        <w:rPr>
          <w:rFonts w:hint="eastAsia"/>
        </w:rPr>
        <w:t>尽管贩运妇女和女童现象在委内瑞拉玻利瓦尔共和国并不特别盛行，问题不是非常严重，但是人民政权内政、司法与和平部的预防犯罪总局，在联合国儿基会的支持下，通过</w:t>
      </w:r>
      <w:r>
        <w:rPr>
          <w:rFonts w:hint="eastAsia"/>
        </w:rPr>
        <w:t>2011</w:t>
      </w:r>
      <w:r>
        <w:rPr>
          <w:rFonts w:hint="eastAsia"/>
        </w:rPr>
        <w:t>年制定的《关于人口贩运的诊断报告》探索出各类受害者搜救方式以及各项风险要素，目的是根除这一危害妇女和女童的恶行。该报告指出，被贩运的受害者的共性就是，她们大多是经济社会地位低下的妇女，多来自人口密集的区域和边境地区。</w:t>
      </w:r>
    </w:p>
    <w:p w:rsidR="00EC5325" w:rsidRDefault="00EC5325" w:rsidP="00EC5325">
      <w:pPr>
        <w:pStyle w:val="SingleTxt"/>
      </w:pPr>
      <w:r>
        <w:rPr>
          <w:rFonts w:hint="eastAsia"/>
        </w:rPr>
        <w:t>62.</w:t>
      </w:r>
      <w:r>
        <w:rPr>
          <w:rFonts w:hint="eastAsia"/>
        </w:rPr>
        <w:tab/>
      </w:r>
      <w:r>
        <w:rPr>
          <w:rFonts w:hint="eastAsia"/>
        </w:rPr>
        <w:t>但是，根据刑事和犯罪学科学调查机构的国家打击暴力侵害妇女和家庭暴力事务处、刑事和犯罪学科学调查机构的普通犯罪和有组织犯罪事务处；公诉处的妇女权利辩护处；国家打击有组织犯罪和恐怖主义融资办公室，国际刑警组织驻加拉加斯国家中心局以及国家妇女研究所这些机构内设有的投诉接收和受害者关爱官方组织所掌握的资料，在委内瑞拉玻利瓦尔共和国，贩运人口罪并不常见。但是，尽管这一现象的发生率低，但是一旦发生，就会构成对国家遏止有组织犯罪的政策和战略的威胁，也会威胁到国家和国际法律文书的规定以及委内瑞拉国民人权的落实情况。</w:t>
      </w:r>
    </w:p>
    <w:p w:rsidR="00EC5325" w:rsidRDefault="00EC5325" w:rsidP="00EC5325">
      <w:pPr>
        <w:pStyle w:val="SingleTxt"/>
        <w:rPr>
          <w:rFonts w:hint="eastAsia"/>
        </w:rPr>
      </w:pPr>
      <w:r>
        <w:rPr>
          <w:rFonts w:hint="eastAsia"/>
        </w:rPr>
        <w:t>63.</w:t>
      </w:r>
      <w:r>
        <w:rPr>
          <w:rFonts w:hint="eastAsia"/>
        </w:rPr>
        <w:tab/>
      </w:r>
      <w:r w:rsidRPr="009D42A2">
        <w:rPr>
          <w:rFonts w:hint="eastAsia"/>
          <w:spacing w:val="2"/>
        </w:rPr>
        <w:t>玻利瓦尔政府在根除人口贩运的斗争中，向国民大会提交了一份《预防和惩治贩运人口犯罪和全面援助受害者法律草案》。当前，这一草案正处以一读程序。</w:t>
      </w:r>
    </w:p>
    <w:p w:rsidR="00EC5325" w:rsidRDefault="00EC5325" w:rsidP="00EC5325">
      <w:pPr>
        <w:pStyle w:val="SingleTxt"/>
        <w:rPr>
          <w:rFonts w:hint="eastAsia"/>
        </w:rPr>
      </w:pPr>
      <w:r>
        <w:rPr>
          <w:rFonts w:hint="eastAsia"/>
        </w:rPr>
        <w:t>64.</w:t>
      </w:r>
      <w:r>
        <w:rPr>
          <w:rFonts w:hint="eastAsia"/>
        </w:rPr>
        <w:tab/>
      </w:r>
      <w:r>
        <w:rPr>
          <w:rFonts w:hint="eastAsia"/>
        </w:rPr>
        <w:t>在这方面，委内瑞拉通过其法律框架，保护和保障妇女和少年儿童的权利免受此类罪行的侵害。因此，《委内瑞拉玻利瓦尔共和国宪法》第</w:t>
      </w:r>
      <w:r>
        <w:rPr>
          <w:rFonts w:hint="eastAsia"/>
        </w:rPr>
        <w:t>54</w:t>
      </w:r>
      <w:r>
        <w:rPr>
          <w:rFonts w:hint="eastAsia"/>
        </w:rPr>
        <w:t>条规定：“任何人不得被当作奴隶或受奴役。贩运人口，特别是贩运妇女和少年儿童，无论其形式为何，均应依法受到制裁”。</w:t>
      </w:r>
    </w:p>
    <w:p w:rsidR="00EC5325" w:rsidRDefault="00EC5325" w:rsidP="00EC5325">
      <w:pPr>
        <w:pStyle w:val="SingleTxt"/>
        <w:rPr>
          <w:rFonts w:hint="eastAsia"/>
        </w:rPr>
      </w:pPr>
      <w:r>
        <w:rPr>
          <w:rFonts w:hint="eastAsia"/>
        </w:rPr>
        <w:t>65.</w:t>
      </w:r>
      <w:r>
        <w:rPr>
          <w:rFonts w:hint="eastAsia"/>
        </w:rPr>
        <w:tab/>
      </w:r>
      <w:r w:rsidRPr="009D42A2">
        <w:rPr>
          <w:rFonts w:hint="eastAsia"/>
          <w:spacing w:val="-4"/>
        </w:rPr>
        <w:t>另一方面，《妇女享有无暴力生活权利组织法》，</w:t>
      </w:r>
      <w:r w:rsidR="008A1811" w:rsidRPr="009D42A2">
        <w:rPr>
          <w:rStyle w:val="FootnoteReference"/>
          <w:spacing w:val="-4"/>
        </w:rPr>
        <w:footnoteReference w:id="15"/>
      </w:r>
      <w:r w:rsidRPr="009D42A2">
        <w:rPr>
          <w:rFonts w:hint="eastAsia"/>
          <w:spacing w:val="-4"/>
        </w:rPr>
        <w:t xml:space="preserve"> </w:t>
      </w:r>
      <w:r w:rsidRPr="009D42A2">
        <w:rPr>
          <w:rFonts w:hint="eastAsia"/>
          <w:spacing w:val="-4"/>
        </w:rPr>
        <w:t>《少年儿童保护组织法》，</w:t>
      </w:r>
      <w:r w:rsidR="008A1811" w:rsidRPr="009D42A2">
        <w:rPr>
          <w:rStyle w:val="FootnoteReference"/>
          <w:spacing w:val="-4"/>
        </w:rPr>
        <w:footnoteReference w:id="16"/>
      </w:r>
      <w:r w:rsidR="008A1811">
        <w:rPr>
          <w:rFonts w:hint="eastAsia"/>
        </w:rPr>
        <w:t xml:space="preserve"> </w:t>
      </w:r>
      <w:r>
        <w:rPr>
          <w:rFonts w:hint="eastAsia"/>
        </w:rPr>
        <w:t>发布在</w:t>
      </w:r>
      <w:r>
        <w:rPr>
          <w:rFonts w:hint="eastAsia"/>
        </w:rPr>
        <w:t>2012</w:t>
      </w:r>
      <w:r>
        <w:rPr>
          <w:rFonts w:hint="eastAsia"/>
        </w:rPr>
        <w:t>年</w:t>
      </w:r>
      <w:r>
        <w:rPr>
          <w:rFonts w:hint="eastAsia"/>
        </w:rPr>
        <w:t>4</w:t>
      </w:r>
      <w:r>
        <w:rPr>
          <w:rFonts w:hint="eastAsia"/>
        </w:rPr>
        <w:t>月</w:t>
      </w:r>
      <w:r>
        <w:rPr>
          <w:rFonts w:hint="eastAsia"/>
        </w:rPr>
        <w:t>30</w:t>
      </w:r>
      <w:r>
        <w:rPr>
          <w:rFonts w:hint="eastAsia"/>
        </w:rPr>
        <w:t>日的第</w:t>
      </w:r>
      <w:r>
        <w:rPr>
          <w:rFonts w:hint="eastAsia"/>
        </w:rPr>
        <w:t>39912</w:t>
      </w:r>
      <w:r>
        <w:rPr>
          <w:rFonts w:hint="eastAsia"/>
        </w:rPr>
        <w:t>号官方公报上的《打击有组织犯罪和恐怖主义融资组织法》</w:t>
      </w:r>
      <w:r w:rsidR="008A1811">
        <w:rPr>
          <w:rStyle w:val="FootnoteReference"/>
        </w:rPr>
        <w:footnoteReference w:id="17"/>
      </w:r>
      <w:r w:rsidR="008A1811">
        <w:rPr>
          <w:rFonts w:hint="eastAsia"/>
        </w:rPr>
        <w:t xml:space="preserve"> </w:t>
      </w:r>
      <w:r>
        <w:rPr>
          <w:rFonts w:hint="eastAsia"/>
        </w:rPr>
        <w:t>也就此作出了规定。</w:t>
      </w:r>
    </w:p>
    <w:p w:rsidR="00EC5325" w:rsidRDefault="00EC5325" w:rsidP="00EC5325">
      <w:pPr>
        <w:pStyle w:val="SingleTxt"/>
        <w:rPr>
          <w:rFonts w:hint="eastAsia"/>
        </w:rPr>
      </w:pPr>
      <w:r>
        <w:rPr>
          <w:rFonts w:hint="eastAsia"/>
        </w:rPr>
        <w:t>66.</w:t>
      </w:r>
      <w:r>
        <w:rPr>
          <w:rFonts w:hint="eastAsia"/>
        </w:rPr>
        <w:tab/>
      </w:r>
      <w:r>
        <w:rPr>
          <w:rFonts w:hint="eastAsia"/>
        </w:rPr>
        <w:t>玻利瓦尔政府成立了国家打击有组织犯罪和恐怖主义融资办公室，作为这方面的主管机关，隶属于人民政权内政、司法与和平部的刑事调查综合系统事务署，目的就是设计、规划、组织、制定和实施打击贩运人口的公共政策和战略，并在全国范围内组织、控制和监督与预防和打击这一犯罪相关的一切活动。</w:t>
      </w:r>
    </w:p>
    <w:p w:rsidR="00EC5325" w:rsidRDefault="00EC5325" w:rsidP="00EC5325">
      <w:pPr>
        <w:pStyle w:val="SingleTxt"/>
        <w:rPr>
          <w:rFonts w:hint="eastAsia"/>
        </w:rPr>
      </w:pPr>
      <w:r>
        <w:rPr>
          <w:rFonts w:hint="eastAsia"/>
        </w:rPr>
        <w:t>67.</w:t>
      </w:r>
      <w:r>
        <w:rPr>
          <w:rFonts w:hint="eastAsia"/>
        </w:rPr>
        <w:tab/>
      </w:r>
      <w:r>
        <w:rPr>
          <w:rFonts w:hint="eastAsia"/>
        </w:rPr>
        <w:t>《预防、禁止和惩治贩运人口行为国家行动计划》当前正处于各主管部门的审议阶段，同时，玻利瓦尔政府作为保证人权的主体，通过推行人民政权内政、司法与和平部制定的政策来保护人口贩运的受害者。</w:t>
      </w:r>
    </w:p>
    <w:p w:rsidR="00EC5325" w:rsidRDefault="00EC5325" w:rsidP="00EC5325">
      <w:pPr>
        <w:pStyle w:val="SingleTxt"/>
        <w:rPr>
          <w:rFonts w:hint="eastAsia"/>
        </w:rPr>
      </w:pPr>
      <w:r>
        <w:rPr>
          <w:rFonts w:hint="eastAsia"/>
        </w:rPr>
        <w:t>68.</w:t>
      </w:r>
      <w:r>
        <w:rPr>
          <w:rFonts w:hint="eastAsia"/>
        </w:rPr>
        <w:tab/>
      </w:r>
      <w:r>
        <w:rPr>
          <w:rFonts w:hint="eastAsia"/>
        </w:rPr>
        <w:t>此外，委内瑞拉还出台了委内瑞拉终身伟大使命计划，其核心宗旨就是要减少犯罪发生率，通过改变结构条件来减少对人民享有各项权利构成威胁、侵害或风险的犯罪发生率，依法加以预防和监控。</w:t>
      </w:r>
      <w:r>
        <w:rPr>
          <w:rFonts w:hint="eastAsia"/>
        </w:rPr>
        <w:t xml:space="preserve"> </w:t>
      </w:r>
    </w:p>
    <w:p w:rsidR="00EC5325" w:rsidRDefault="00EC5325" w:rsidP="00EC5325">
      <w:pPr>
        <w:pStyle w:val="SingleTxt"/>
        <w:rPr>
          <w:rFonts w:hint="eastAsia"/>
        </w:rPr>
      </w:pPr>
      <w:r>
        <w:rPr>
          <w:rFonts w:hint="eastAsia"/>
        </w:rPr>
        <w:t>69.</w:t>
      </w:r>
      <w:r>
        <w:rPr>
          <w:rFonts w:hint="eastAsia"/>
        </w:rPr>
        <w:tab/>
      </w:r>
      <w:r>
        <w:rPr>
          <w:rFonts w:hint="eastAsia"/>
        </w:rPr>
        <w:t>另一方面，隶属于人民政权内政、司法与和平部的预防犯罪总局已经出台了相应的计划、方案和项目，目的是创造体制条件来形成一个国家、州、市和教区四级架构，由主管预防和控制贩运人口罪的各单位组成，从全局观念出发，目的就是确保受影响的人口享有和行使其权利。为此，已经有</w:t>
      </w:r>
      <w:r>
        <w:rPr>
          <w:rFonts w:hint="eastAsia"/>
        </w:rPr>
        <w:t>50 630</w:t>
      </w:r>
      <w:r>
        <w:rPr>
          <w:rFonts w:hint="eastAsia"/>
        </w:rPr>
        <w:t>人接受了与预防人口贩运和全面救助受害者相关的培训。</w:t>
      </w:r>
      <w:r w:rsidR="008A1811">
        <w:rPr>
          <w:rStyle w:val="FootnoteReference"/>
        </w:rPr>
        <w:footnoteReference w:id="18"/>
      </w:r>
      <w:r>
        <w:rPr>
          <w:rFonts w:hint="eastAsia"/>
        </w:rPr>
        <w:t xml:space="preserve">  </w:t>
      </w:r>
    </w:p>
    <w:p w:rsidR="00EC5325" w:rsidRDefault="00EC5325" w:rsidP="00EC5325">
      <w:pPr>
        <w:pStyle w:val="SingleTxt"/>
        <w:rPr>
          <w:rFonts w:hint="eastAsia"/>
        </w:rPr>
      </w:pPr>
      <w:r>
        <w:rPr>
          <w:rFonts w:hint="eastAsia"/>
        </w:rPr>
        <w:t>70.</w:t>
      </w:r>
      <w:r>
        <w:rPr>
          <w:rFonts w:hint="eastAsia"/>
        </w:rPr>
        <w:tab/>
      </w:r>
      <w:r>
        <w:rPr>
          <w:rFonts w:hint="eastAsia"/>
        </w:rPr>
        <w:t>此外，在</w:t>
      </w:r>
      <w:r>
        <w:rPr>
          <w:rFonts w:hint="eastAsia"/>
        </w:rPr>
        <w:t>2012</w:t>
      </w:r>
      <w:r>
        <w:rPr>
          <w:rFonts w:hint="eastAsia"/>
        </w:rPr>
        <w:t>年期间，已经面向</w:t>
      </w:r>
      <w:r>
        <w:rPr>
          <w:rFonts w:hint="eastAsia"/>
        </w:rPr>
        <w:t>76</w:t>
      </w:r>
      <w:r>
        <w:rPr>
          <w:rFonts w:hint="eastAsia"/>
        </w:rPr>
        <w:t>名治安机关高级别官员、检察官、具有一般刑事管辖权的法官举办了讲习班，就这方面问题进行了培训和教育，重点宣传了人口密集区域和弱势区域的信息。</w:t>
      </w:r>
      <w:r>
        <w:rPr>
          <w:rFonts w:hint="eastAsia"/>
        </w:rPr>
        <w:t xml:space="preserve"> </w:t>
      </w:r>
    </w:p>
    <w:p w:rsidR="00EC5325" w:rsidRDefault="00EC5325" w:rsidP="00EC5325">
      <w:pPr>
        <w:pStyle w:val="SingleTxt"/>
        <w:rPr>
          <w:rFonts w:hint="eastAsia"/>
        </w:rPr>
      </w:pPr>
      <w:r>
        <w:rPr>
          <w:rFonts w:hint="eastAsia"/>
        </w:rPr>
        <w:t>71.</w:t>
      </w:r>
      <w:r>
        <w:rPr>
          <w:rFonts w:hint="eastAsia"/>
        </w:rPr>
        <w:tab/>
      </w:r>
      <w:r>
        <w:rPr>
          <w:rFonts w:hint="eastAsia"/>
        </w:rPr>
        <w:t>在采取的措施方面，为了减少对娼妓的需求，委内瑞拉在《妇女享有无暴力生活权利组织法》第</w:t>
      </w:r>
      <w:r>
        <w:rPr>
          <w:rFonts w:hint="eastAsia"/>
        </w:rPr>
        <w:t>46</w:t>
      </w:r>
      <w:r>
        <w:rPr>
          <w:rFonts w:hint="eastAsia"/>
        </w:rPr>
        <w:t>条和第</w:t>
      </w:r>
      <w:r>
        <w:rPr>
          <w:rFonts w:hint="eastAsia"/>
        </w:rPr>
        <w:t>47</w:t>
      </w:r>
      <w:r>
        <w:rPr>
          <w:rFonts w:hint="eastAsia"/>
        </w:rPr>
        <w:t>条中分别规定对强迫卖淫和性奴役犯罪处以</w:t>
      </w:r>
      <w:r>
        <w:rPr>
          <w:rFonts w:hint="eastAsia"/>
        </w:rPr>
        <w:t>10</w:t>
      </w:r>
      <w:r>
        <w:rPr>
          <w:rFonts w:hint="eastAsia"/>
        </w:rPr>
        <w:t>至</w:t>
      </w:r>
      <w:r>
        <w:rPr>
          <w:rFonts w:hint="eastAsia"/>
        </w:rPr>
        <w:t>20</w:t>
      </w:r>
      <w:r>
        <w:rPr>
          <w:rFonts w:hint="eastAsia"/>
        </w:rPr>
        <w:t>年监禁徒刑。</w:t>
      </w:r>
    </w:p>
    <w:p w:rsidR="00EC5325" w:rsidRDefault="00EC5325" w:rsidP="00EC5325">
      <w:pPr>
        <w:pStyle w:val="SingleTxt"/>
        <w:rPr>
          <w:rFonts w:hint="eastAsia"/>
        </w:rPr>
      </w:pPr>
      <w:r>
        <w:rPr>
          <w:rFonts w:hint="eastAsia"/>
        </w:rPr>
        <w:t>72.</w:t>
      </w:r>
      <w:r>
        <w:rPr>
          <w:rFonts w:hint="eastAsia"/>
        </w:rPr>
        <w:tab/>
      </w:r>
      <w:r>
        <w:rPr>
          <w:rFonts w:hint="eastAsia"/>
        </w:rPr>
        <w:t>而《打击有组织犯罪和恐怖主义融资组织法》将商业性剥削、传播淫秽物品、利用少年儿童从事儿童色情业、以及制作儿童色情制品的行为认定为刑事犯罪并规定了相应的处罚。</w:t>
      </w:r>
    </w:p>
    <w:p w:rsidR="00EC5325" w:rsidRDefault="00EC5325" w:rsidP="00EC5325">
      <w:pPr>
        <w:pStyle w:val="SingleTxt"/>
        <w:rPr>
          <w:rFonts w:hint="eastAsia"/>
        </w:rPr>
      </w:pPr>
      <w:r>
        <w:rPr>
          <w:rFonts w:hint="eastAsia"/>
        </w:rPr>
        <w:t>73.</w:t>
      </w:r>
      <w:r>
        <w:rPr>
          <w:rFonts w:hint="eastAsia"/>
        </w:rPr>
        <w:tab/>
      </w:r>
      <w:r>
        <w:rPr>
          <w:rFonts w:hint="eastAsia"/>
        </w:rPr>
        <w:t>在为减少对娼妓的需求而采取的措施方面，应重申最高司法法院下达的责令消除在少年儿童可以接触到的平面广告中的一切包含不良内容的图片或者具有明示或暗示性信息的内容的裁决。同样，该裁决还敦促公诉处调查在国内媒体中刊发的此类广告是否与人口贩运或教唆卖淫等罪行有关，以及是否真正犯有不法行为。</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参与政治和公共生活</w:t>
      </w:r>
    </w:p>
    <w:p w:rsidR="00EC5325" w:rsidRDefault="00EC5325" w:rsidP="00EC5325">
      <w:pPr>
        <w:pStyle w:val="SingleTxt"/>
        <w:rPr>
          <w:rFonts w:hint="eastAsia"/>
        </w:rPr>
      </w:pPr>
      <w:r w:rsidRPr="00224F75">
        <w:rPr>
          <w:rFonts w:ascii="SimHei" w:eastAsia="SimHei" w:hAnsi="SimHei" w:hint="eastAsia"/>
        </w:rPr>
        <w:t>问题12：全国选举委员会关于候选人名单中男女人数均等和轮流掌权原则的决定，该决定对妇女在国民大会和其他民选职位任职人数的影响，以及在政府行政和司法部门男女有同等任职人数的情况</w:t>
      </w:r>
    </w:p>
    <w:p w:rsidR="00EC5325" w:rsidRDefault="00EC5325" w:rsidP="00EC5325">
      <w:pPr>
        <w:pStyle w:val="SingleTxt"/>
        <w:rPr>
          <w:rFonts w:hint="eastAsia"/>
        </w:rPr>
      </w:pPr>
      <w:r>
        <w:rPr>
          <w:rFonts w:hint="eastAsia"/>
        </w:rPr>
        <w:t>74.</w:t>
      </w:r>
      <w:r>
        <w:rPr>
          <w:rFonts w:hint="eastAsia"/>
        </w:rPr>
        <w:tab/>
      </w:r>
      <w:r>
        <w:rPr>
          <w:rFonts w:hint="eastAsia"/>
        </w:rPr>
        <w:t>全国选举委员会通过决议设定了候选人名单中男女人数均等和轮流掌权原则的结果，就是在国民大会的总共</w:t>
      </w:r>
      <w:r>
        <w:rPr>
          <w:rFonts w:hint="eastAsia"/>
        </w:rPr>
        <w:t>165</w:t>
      </w:r>
      <w:r>
        <w:rPr>
          <w:rFonts w:hint="eastAsia"/>
        </w:rPr>
        <w:t>个议席中，正式女议员人数为</w:t>
      </w:r>
      <w:r>
        <w:rPr>
          <w:rFonts w:hint="eastAsia"/>
        </w:rPr>
        <w:t>26</w:t>
      </w:r>
      <w:r>
        <w:rPr>
          <w:rFonts w:hint="eastAsia"/>
        </w:rPr>
        <w:t>人，候补女议员人数为</w:t>
      </w:r>
      <w:r>
        <w:rPr>
          <w:rFonts w:hint="eastAsia"/>
        </w:rPr>
        <w:t>35</w:t>
      </w:r>
      <w:r>
        <w:rPr>
          <w:rFonts w:hint="eastAsia"/>
        </w:rPr>
        <w:t>人。此外，其常设委员会中有两名女委员长和两名女副委员长，而管理委员会中的第二副主席一职也由女性担任。</w:t>
      </w:r>
      <w:r>
        <w:rPr>
          <w:rFonts w:hint="eastAsia"/>
        </w:rPr>
        <w:t xml:space="preserve"> </w:t>
      </w:r>
    </w:p>
    <w:p w:rsidR="00EC5325" w:rsidRDefault="00EC5325" w:rsidP="00EC5325">
      <w:pPr>
        <w:pStyle w:val="SingleTxt"/>
        <w:rPr>
          <w:rFonts w:hint="eastAsia"/>
        </w:rPr>
      </w:pPr>
      <w:r>
        <w:rPr>
          <w:rFonts w:hint="eastAsia"/>
        </w:rPr>
        <w:t>75.</w:t>
      </w:r>
      <w:r>
        <w:rPr>
          <w:rFonts w:hint="eastAsia"/>
        </w:rPr>
        <w:tab/>
      </w:r>
      <w:r>
        <w:rPr>
          <w:rFonts w:hint="eastAsia"/>
        </w:rPr>
        <w:t>此外，最高司法法院的管理委员会由三</w:t>
      </w:r>
      <w:r w:rsidR="008625CB">
        <w:rPr>
          <w:rFonts w:hint="eastAsia"/>
        </w:rPr>
        <w:t>(</w:t>
      </w:r>
      <w:r>
        <w:rPr>
          <w:rFonts w:hint="eastAsia"/>
        </w:rPr>
        <w:t>3</w:t>
      </w:r>
      <w:r w:rsidR="008625CB">
        <w:rPr>
          <w:rFonts w:hint="eastAsia"/>
        </w:rPr>
        <w:t>)</w:t>
      </w:r>
      <w:r>
        <w:rPr>
          <w:rFonts w:hint="eastAsia"/>
        </w:rPr>
        <w:t>名女性大法官和三</w:t>
      </w:r>
      <w:r w:rsidR="008625CB">
        <w:rPr>
          <w:rFonts w:hint="eastAsia"/>
        </w:rPr>
        <w:t>(</w:t>
      </w:r>
      <w:r>
        <w:rPr>
          <w:rFonts w:hint="eastAsia"/>
        </w:rPr>
        <w:t>3</w:t>
      </w:r>
      <w:r w:rsidR="008625CB">
        <w:rPr>
          <w:rFonts w:hint="eastAsia"/>
        </w:rPr>
        <w:t>)</w:t>
      </w:r>
      <w:r>
        <w:rPr>
          <w:rFonts w:hint="eastAsia"/>
        </w:rPr>
        <w:t>名男性大法官组成，最高司法法院的院长一职也由女性担任。在司法部门中，女性的任职人数远高于男性，这是委内瑞拉政府为转变工作和专业领域中性别关系的陈规定型观念而付出的努力的结果。</w:t>
      </w:r>
      <w:r>
        <w:rPr>
          <w:rFonts w:hint="eastAsia"/>
        </w:rPr>
        <w:t xml:space="preserve"> </w:t>
      </w:r>
    </w:p>
    <w:p w:rsidR="00EC5325" w:rsidRDefault="00EC5325" w:rsidP="00EC5325">
      <w:pPr>
        <w:pStyle w:val="SingleTxt"/>
        <w:rPr>
          <w:rFonts w:hint="eastAsia"/>
        </w:rPr>
      </w:pPr>
      <w:r>
        <w:rPr>
          <w:rFonts w:hint="eastAsia"/>
        </w:rPr>
        <w:t>76.</w:t>
      </w:r>
      <w:r>
        <w:rPr>
          <w:rFonts w:hint="eastAsia"/>
        </w:rPr>
        <w:tab/>
      </w:r>
      <w:r>
        <w:rPr>
          <w:rFonts w:hint="eastAsia"/>
        </w:rPr>
        <w:t>以最高司法法院的情况为例，其机构设置为六</w:t>
      </w:r>
      <w:r w:rsidR="008625CB">
        <w:rPr>
          <w:rFonts w:hint="eastAsia"/>
        </w:rPr>
        <w:t>(</w:t>
      </w:r>
      <w:r>
        <w:rPr>
          <w:rFonts w:hint="eastAsia"/>
        </w:rPr>
        <w:t>6</w:t>
      </w:r>
      <w:r w:rsidR="008625CB">
        <w:rPr>
          <w:rFonts w:hint="eastAsia"/>
        </w:rPr>
        <w:t>)</w:t>
      </w:r>
      <w:r>
        <w:rPr>
          <w:rFonts w:hint="eastAsia"/>
        </w:rPr>
        <w:t>个法庭和</w:t>
      </w:r>
      <w:r>
        <w:rPr>
          <w:rFonts w:hint="eastAsia"/>
        </w:rPr>
        <w:t>1</w:t>
      </w:r>
      <w:r>
        <w:rPr>
          <w:rFonts w:hint="eastAsia"/>
        </w:rPr>
        <w:t>个全体会议，六</w:t>
      </w:r>
      <w:r w:rsidR="008625CB">
        <w:rPr>
          <w:rFonts w:hint="eastAsia"/>
        </w:rPr>
        <w:t>(</w:t>
      </w:r>
      <w:r>
        <w:rPr>
          <w:rFonts w:hint="eastAsia"/>
        </w:rPr>
        <w:t>6</w:t>
      </w:r>
      <w:r w:rsidR="008625CB">
        <w:rPr>
          <w:rFonts w:hint="eastAsia"/>
        </w:rPr>
        <w:t>)</w:t>
      </w:r>
      <w:r>
        <w:rPr>
          <w:rFonts w:hint="eastAsia"/>
        </w:rPr>
        <w:t>个法庭的大法官数目为三十二</w:t>
      </w:r>
      <w:r w:rsidR="008625CB">
        <w:rPr>
          <w:rFonts w:hint="eastAsia"/>
        </w:rPr>
        <w:t>(</w:t>
      </w:r>
      <w:r>
        <w:rPr>
          <w:rFonts w:hint="eastAsia"/>
        </w:rPr>
        <w:t>32</w:t>
      </w:r>
      <w:r w:rsidR="008625CB">
        <w:rPr>
          <w:rFonts w:hint="eastAsia"/>
        </w:rPr>
        <w:t>)</w:t>
      </w:r>
      <w:r>
        <w:rPr>
          <w:rFonts w:hint="eastAsia"/>
        </w:rPr>
        <w:t>人，其中女法官十七</w:t>
      </w:r>
      <w:r w:rsidR="008625CB">
        <w:rPr>
          <w:rFonts w:hint="eastAsia"/>
        </w:rPr>
        <w:t>(</w:t>
      </w:r>
      <w:r>
        <w:rPr>
          <w:rFonts w:hint="eastAsia"/>
        </w:rPr>
        <w:t>17</w:t>
      </w:r>
      <w:r w:rsidR="008625CB">
        <w:rPr>
          <w:rFonts w:hint="eastAsia"/>
        </w:rPr>
        <w:t>)</w:t>
      </w:r>
      <w:r>
        <w:rPr>
          <w:rFonts w:hint="eastAsia"/>
        </w:rPr>
        <w:t>人，男法官十五</w:t>
      </w:r>
      <w:r w:rsidR="008625CB">
        <w:rPr>
          <w:rFonts w:hint="eastAsia"/>
        </w:rPr>
        <w:t>(</w:t>
      </w:r>
      <w:r>
        <w:rPr>
          <w:rFonts w:hint="eastAsia"/>
        </w:rPr>
        <w:t>15</w:t>
      </w:r>
      <w:r w:rsidR="008625CB">
        <w:rPr>
          <w:rFonts w:hint="eastAsia"/>
        </w:rPr>
        <w:t>)</w:t>
      </w:r>
      <w:r>
        <w:rPr>
          <w:rFonts w:hint="eastAsia"/>
        </w:rPr>
        <w:t>人。在这六</w:t>
      </w:r>
      <w:r w:rsidR="008625CB">
        <w:rPr>
          <w:rFonts w:hint="eastAsia"/>
        </w:rPr>
        <w:t>(</w:t>
      </w:r>
      <w:r>
        <w:rPr>
          <w:rFonts w:hint="eastAsia"/>
        </w:rPr>
        <w:t>6</w:t>
      </w:r>
      <w:r w:rsidR="008625CB">
        <w:rPr>
          <w:rFonts w:hint="eastAsia"/>
        </w:rPr>
        <w:t>)</w:t>
      </w:r>
      <w:r>
        <w:rPr>
          <w:rFonts w:hint="eastAsia"/>
        </w:rPr>
        <w:t>个法庭中，刑事上诉法庭、民事上诉法庭和宪法庭这三</w:t>
      </w:r>
      <w:r w:rsidR="008625CB">
        <w:rPr>
          <w:rFonts w:hint="eastAsia"/>
        </w:rPr>
        <w:t>(</w:t>
      </w:r>
      <w:r>
        <w:rPr>
          <w:rFonts w:hint="eastAsia"/>
        </w:rPr>
        <w:t>3</w:t>
      </w:r>
      <w:r w:rsidR="008625CB">
        <w:rPr>
          <w:rFonts w:hint="eastAsia"/>
        </w:rPr>
        <w:t>)</w:t>
      </w:r>
      <w:r>
        <w:rPr>
          <w:rFonts w:hint="eastAsia"/>
        </w:rPr>
        <w:t>个法庭的庭长为女性，而社会上诉法庭、政治行政上诉法庭和选举法庭这三</w:t>
      </w:r>
      <w:r w:rsidR="008625CB">
        <w:rPr>
          <w:rFonts w:hint="eastAsia"/>
        </w:rPr>
        <w:t>(</w:t>
      </w:r>
      <w:r>
        <w:rPr>
          <w:rFonts w:hint="eastAsia"/>
        </w:rPr>
        <w:t>3</w:t>
      </w:r>
      <w:r w:rsidR="008625CB">
        <w:rPr>
          <w:rFonts w:hint="eastAsia"/>
        </w:rPr>
        <w:t>)</w:t>
      </w:r>
      <w:r>
        <w:rPr>
          <w:rFonts w:hint="eastAsia"/>
        </w:rPr>
        <w:t>个法庭的庭长为男性。</w:t>
      </w:r>
      <w:r>
        <w:rPr>
          <w:rFonts w:hint="eastAsia"/>
        </w:rPr>
        <w:t xml:space="preserve"> </w:t>
      </w:r>
    </w:p>
    <w:p w:rsidR="00EC5325" w:rsidRDefault="00EC5325" w:rsidP="00EC5325">
      <w:pPr>
        <w:pStyle w:val="SingleTxt"/>
        <w:rPr>
          <w:rFonts w:hint="eastAsia"/>
        </w:rPr>
      </w:pPr>
      <w:r>
        <w:rPr>
          <w:rFonts w:hint="eastAsia"/>
        </w:rPr>
        <w:t>77.</w:t>
      </w:r>
      <w:r>
        <w:rPr>
          <w:rFonts w:hint="eastAsia"/>
        </w:rPr>
        <w:tab/>
      </w:r>
      <w:r>
        <w:rPr>
          <w:rFonts w:hint="eastAsia"/>
        </w:rPr>
        <w:t>按照同样的思路，当前司法人员构成中也有性别差异，在担任法官职务的总共</w:t>
      </w:r>
      <w:r>
        <w:rPr>
          <w:rFonts w:hint="eastAsia"/>
        </w:rPr>
        <w:t>2 005</w:t>
      </w:r>
      <w:r>
        <w:rPr>
          <w:rFonts w:hint="eastAsia"/>
        </w:rPr>
        <w:t>人中，女法官</w:t>
      </w:r>
      <w:r>
        <w:rPr>
          <w:rFonts w:hint="eastAsia"/>
        </w:rPr>
        <w:t>1 304</w:t>
      </w:r>
      <w:r>
        <w:rPr>
          <w:rFonts w:hint="eastAsia"/>
        </w:rPr>
        <w:t>人，男法官</w:t>
      </w:r>
      <w:r>
        <w:rPr>
          <w:rFonts w:hint="eastAsia"/>
        </w:rPr>
        <w:t>701</w:t>
      </w:r>
      <w:r>
        <w:rPr>
          <w:rFonts w:hint="eastAsia"/>
        </w:rPr>
        <w:t>人。我们注意到，在暴力侵害妇女问题特别法院中，共有五十八</w:t>
      </w:r>
      <w:r w:rsidR="008625CB">
        <w:rPr>
          <w:rFonts w:hint="eastAsia"/>
        </w:rPr>
        <w:t>(</w:t>
      </w:r>
      <w:r>
        <w:rPr>
          <w:rFonts w:hint="eastAsia"/>
        </w:rPr>
        <w:t>58</w:t>
      </w:r>
      <w:r w:rsidR="008625CB">
        <w:rPr>
          <w:rFonts w:hint="eastAsia"/>
        </w:rPr>
        <w:t>)</w:t>
      </w:r>
      <w:r>
        <w:rPr>
          <w:rFonts w:hint="eastAsia"/>
        </w:rPr>
        <w:t>名法官，其中女法官五十二</w:t>
      </w:r>
      <w:r w:rsidR="008625CB">
        <w:rPr>
          <w:rFonts w:hint="eastAsia"/>
        </w:rPr>
        <w:t>(</w:t>
      </w:r>
      <w:r>
        <w:rPr>
          <w:rFonts w:hint="eastAsia"/>
        </w:rPr>
        <w:t>52</w:t>
      </w:r>
      <w:r w:rsidR="008625CB">
        <w:rPr>
          <w:rFonts w:hint="eastAsia"/>
        </w:rPr>
        <w:t>)</w:t>
      </w:r>
      <w:r>
        <w:rPr>
          <w:rFonts w:hint="eastAsia"/>
        </w:rPr>
        <w:t>人，男法官六</w:t>
      </w:r>
      <w:r w:rsidR="008625CB">
        <w:rPr>
          <w:rFonts w:hint="eastAsia"/>
        </w:rPr>
        <w:t>(</w:t>
      </w:r>
      <w:r>
        <w:rPr>
          <w:rFonts w:hint="eastAsia"/>
        </w:rPr>
        <w:t>6</w:t>
      </w:r>
      <w:r w:rsidR="008625CB">
        <w:rPr>
          <w:rFonts w:hint="eastAsia"/>
        </w:rPr>
        <w:t>)</w:t>
      </w:r>
      <w:r>
        <w:rPr>
          <w:rFonts w:hint="eastAsia"/>
        </w:rPr>
        <w:t>人。</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教育</w:t>
      </w:r>
    </w:p>
    <w:p w:rsidR="00EC5325" w:rsidRDefault="00EC5325" w:rsidP="00EC5325">
      <w:pPr>
        <w:pStyle w:val="SingleTxt"/>
        <w:rPr>
          <w:rFonts w:hint="eastAsia"/>
        </w:rPr>
      </w:pPr>
      <w:r>
        <w:rPr>
          <w:rFonts w:hint="eastAsia"/>
        </w:rPr>
        <w:t>问题</w:t>
      </w:r>
      <w:r>
        <w:rPr>
          <w:rFonts w:hint="eastAsia"/>
        </w:rPr>
        <w:t>13</w:t>
      </w:r>
      <w:r>
        <w:rPr>
          <w:rFonts w:hint="eastAsia"/>
        </w:rPr>
        <w:t>：请提供信息说明为提高教育质量，特别是小学和中学教育质量而采取的措施，如修改学校课程和加强教师能力。也请提供信息说明已采取何种措施使关于性与生殖健康和权利的全面、有效和适合有关年龄段的方案成为青春期男女孩学校课程的常规部分，并说明各项旨在消除男女在社会所起作用的负面定型观念的方案。</w:t>
      </w:r>
    </w:p>
    <w:p w:rsidR="00EC5325" w:rsidRDefault="00EC5325" w:rsidP="00EC5325">
      <w:pPr>
        <w:pStyle w:val="SingleTxt"/>
        <w:rPr>
          <w:rFonts w:hint="eastAsia"/>
        </w:rPr>
      </w:pPr>
      <w:r>
        <w:rPr>
          <w:rFonts w:hint="eastAsia"/>
        </w:rPr>
        <w:t>78.</w:t>
      </w:r>
      <w:r>
        <w:rPr>
          <w:rFonts w:hint="eastAsia"/>
        </w:rPr>
        <w:tab/>
      </w:r>
      <w:r>
        <w:rPr>
          <w:rFonts w:hint="eastAsia"/>
        </w:rPr>
        <w:t>当前国内正在就教育质量问题开展一项广泛、开放性的咨商程序，参与咨商的包括学生、教师、行政人员、工人和社区，目的就是制定提案来改善教育质量。国家行政机关对这一问题尤为关注，看到了在过去十年中通过实施教育计划而取得的重大进步，将教育覆盖面扩展到了以前没有机会受教育的广大人民群众。</w:t>
      </w:r>
    </w:p>
    <w:p w:rsidR="00EC5325" w:rsidRDefault="00EC5325" w:rsidP="00EC5325">
      <w:pPr>
        <w:pStyle w:val="SingleTxt"/>
        <w:rPr>
          <w:rFonts w:hint="eastAsia"/>
        </w:rPr>
      </w:pPr>
      <w:r>
        <w:rPr>
          <w:rFonts w:hint="eastAsia"/>
        </w:rPr>
        <w:t>79.</w:t>
      </w:r>
      <w:r>
        <w:rPr>
          <w:rFonts w:hint="eastAsia"/>
        </w:rPr>
        <w:tab/>
      </w:r>
      <w:r>
        <w:rPr>
          <w:rFonts w:hint="eastAsia"/>
        </w:rPr>
        <w:t>在这方面，设立了国家教育质量委员会，由人民政权教育部主持工作，并纳入了社会各领域的成员。该委员会是一个临时性机构，具有咨商、跨机构、透明、参与、多元和技术性特点。在讨论和磋商工作中包含了境内各级组织，以学校作为切入点，将工作逐步扩展到社区、教区、县市和州。</w:t>
      </w:r>
    </w:p>
    <w:p w:rsidR="00EC5325" w:rsidRDefault="00EC5325" w:rsidP="00EC5325">
      <w:pPr>
        <w:pStyle w:val="SingleTxt"/>
        <w:rPr>
          <w:rFonts w:hint="eastAsia"/>
        </w:rPr>
      </w:pPr>
      <w:r>
        <w:rPr>
          <w:rFonts w:hint="eastAsia"/>
        </w:rPr>
        <w:t>80.</w:t>
      </w:r>
      <w:r>
        <w:rPr>
          <w:rFonts w:hint="eastAsia"/>
        </w:rPr>
        <w:tab/>
      </w:r>
      <w:r>
        <w:rPr>
          <w:rFonts w:hint="eastAsia"/>
        </w:rPr>
        <w:t>在教师培训方面，出台了用于指导对教师进行长期持续性培训的政策和方案，将之纳入到了现行的课程大纲和指南中。为此，自</w:t>
      </w:r>
      <w:r>
        <w:rPr>
          <w:rFonts w:hint="eastAsia"/>
        </w:rPr>
        <w:t>2007</w:t>
      </w:r>
      <w:r>
        <w:rPr>
          <w:rFonts w:hint="eastAsia"/>
        </w:rPr>
        <w:t>年起陆续开发了针对教师的研究生培养方案，共有</w:t>
      </w:r>
      <w:r>
        <w:rPr>
          <w:rFonts w:hint="eastAsia"/>
        </w:rPr>
        <w:t>4 016</w:t>
      </w:r>
      <w:r>
        <w:rPr>
          <w:rFonts w:hint="eastAsia"/>
        </w:rPr>
        <w:t>名教师从进修班结业，有</w:t>
      </w:r>
      <w:r>
        <w:rPr>
          <w:rFonts w:hint="eastAsia"/>
        </w:rPr>
        <w:t>617</w:t>
      </w:r>
      <w:r>
        <w:rPr>
          <w:rFonts w:hint="eastAsia"/>
        </w:rPr>
        <w:t>名教师获得了学士文凭，有</w:t>
      </w:r>
      <w:r>
        <w:rPr>
          <w:rFonts w:hint="eastAsia"/>
        </w:rPr>
        <w:t>239</w:t>
      </w:r>
      <w:r>
        <w:rPr>
          <w:rFonts w:hint="eastAsia"/>
        </w:rPr>
        <w:t>名教师获得了硕士文凭，还有</w:t>
      </w:r>
      <w:r>
        <w:rPr>
          <w:rFonts w:hint="eastAsia"/>
        </w:rPr>
        <w:t>33</w:t>
      </w:r>
      <w:r>
        <w:rPr>
          <w:rFonts w:hint="eastAsia"/>
        </w:rPr>
        <w:t>名教师获得了博士文凭。</w:t>
      </w:r>
    </w:p>
    <w:p w:rsidR="00EC5325" w:rsidRDefault="00EC5325" w:rsidP="00EC5325">
      <w:pPr>
        <w:pStyle w:val="SingleTxt"/>
        <w:rPr>
          <w:rFonts w:hint="eastAsia"/>
        </w:rPr>
      </w:pPr>
      <w:r>
        <w:rPr>
          <w:rFonts w:hint="eastAsia"/>
        </w:rPr>
        <w:t>81.</w:t>
      </w:r>
      <w:r>
        <w:rPr>
          <w:rFonts w:hint="eastAsia"/>
        </w:rPr>
        <w:tab/>
      </w:r>
      <w:r>
        <w:rPr>
          <w:rFonts w:hint="eastAsia"/>
        </w:rPr>
        <w:t>在为使关于性与生殖健康和权利的全面、有效和适合有关年龄段的方案成为青春期男女孩学校课程的常规部分而采取的措施方面，玻利瓦尔政府通过人民政权教育部，与联合国人口基金</w:t>
      </w:r>
      <w:r w:rsidR="008625CB">
        <w:rPr>
          <w:rFonts w:hint="eastAsia"/>
        </w:rPr>
        <w:t>(</w:t>
      </w:r>
      <w:r>
        <w:rPr>
          <w:rFonts w:hint="eastAsia"/>
        </w:rPr>
        <w:t>人口基金</w:t>
      </w:r>
      <w:r w:rsidR="008625CB">
        <w:rPr>
          <w:rFonts w:hint="eastAsia"/>
        </w:rPr>
        <w:t>)</w:t>
      </w:r>
      <w:r>
        <w:rPr>
          <w:rFonts w:hint="eastAsia"/>
        </w:rPr>
        <w:t>共同开展了一系列的活动，旨在响应培养和树立少年儿童、年轻人和成年人的性别意识的需要，确保提供全面、优质的教育，促进形成公民意识，以使权利主体行使其所有权利，包括性权利和生殖权利，同样帮助其应对在行使性权利过程中出现的社会问题和公共卫生问题，例如少女怀孕以及性传播感染，包括艾滋病毒</w:t>
      </w:r>
      <w:r>
        <w:rPr>
          <w:rFonts w:hint="eastAsia"/>
        </w:rPr>
        <w:t>/</w:t>
      </w:r>
      <w:r>
        <w:rPr>
          <w:rFonts w:hint="eastAsia"/>
        </w:rPr>
        <w:t>艾滋病。</w:t>
      </w:r>
    </w:p>
    <w:p w:rsidR="00EC5325" w:rsidRDefault="00EC5325" w:rsidP="00EC5325">
      <w:pPr>
        <w:pStyle w:val="SingleTxt"/>
        <w:rPr>
          <w:rFonts w:hint="eastAsia"/>
        </w:rPr>
      </w:pPr>
      <w:r>
        <w:rPr>
          <w:rFonts w:hint="eastAsia"/>
        </w:rPr>
        <w:t>82.</w:t>
      </w:r>
      <w:r>
        <w:rPr>
          <w:rFonts w:hint="eastAsia"/>
        </w:rPr>
        <w:tab/>
      </w:r>
      <w:r>
        <w:rPr>
          <w:rFonts w:hint="eastAsia"/>
        </w:rPr>
        <w:t>玻利瓦尔国家基础教育课程子系统纳入了因材施教的战略，从而使教育能够符合社会文化和历史现实，并将研究、创作和创新程序纳入到教学实践中。</w:t>
      </w:r>
      <w:r>
        <w:rPr>
          <w:rFonts w:hint="eastAsia"/>
        </w:rPr>
        <w:t xml:space="preserve"> </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问题14：使女童获得职业技术教育机会、辍学问题以及为消除辍学现象而采取的措施</w:t>
      </w:r>
    </w:p>
    <w:p w:rsidR="00EC5325" w:rsidRDefault="00EC5325" w:rsidP="00EC5325">
      <w:pPr>
        <w:pStyle w:val="SingleTxt"/>
        <w:rPr>
          <w:rFonts w:hint="eastAsia"/>
        </w:rPr>
      </w:pPr>
      <w:r>
        <w:rPr>
          <w:rFonts w:hint="eastAsia"/>
        </w:rPr>
        <w:t>83.</w:t>
      </w:r>
      <w:r>
        <w:rPr>
          <w:rFonts w:hint="eastAsia"/>
        </w:rPr>
        <w:tab/>
      </w:r>
      <w:r>
        <w:rPr>
          <w:rFonts w:hint="eastAsia"/>
        </w:rPr>
        <w:t>在受教育方面的性别差距在一定程度上是由在受教育方面的困难造成的，为此，玻利瓦尔政府已经集中力量来确保在教育系统中的男童和女童机会平等。</w:t>
      </w:r>
      <w:r>
        <w:rPr>
          <w:rFonts w:hint="eastAsia"/>
        </w:rPr>
        <w:t>2012-2013</w:t>
      </w:r>
      <w:r>
        <w:rPr>
          <w:rFonts w:hint="eastAsia"/>
        </w:rPr>
        <w:t>年期间按性别分列的启蒙教育毛入学率为女童</w:t>
      </w:r>
      <w:r>
        <w:rPr>
          <w:rFonts w:hint="eastAsia"/>
        </w:rPr>
        <w:t>92.8%</w:t>
      </w:r>
      <w:r>
        <w:rPr>
          <w:rFonts w:hint="eastAsia"/>
        </w:rPr>
        <w:t>，男童</w:t>
      </w:r>
      <w:r>
        <w:rPr>
          <w:rFonts w:hint="eastAsia"/>
        </w:rPr>
        <w:t>92.2%</w:t>
      </w:r>
      <w:r>
        <w:rPr>
          <w:rFonts w:hint="eastAsia"/>
        </w:rPr>
        <w:t>，在小学教育阶段，这一比率分别为女童</w:t>
      </w:r>
      <w:r>
        <w:rPr>
          <w:rFonts w:hint="eastAsia"/>
        </w:rPr>
        <w:t>101.4%</w:t>
      </w:r>
      <w:r>
        <w:rPr>
          <w:rFonts w:hint="eastAsia"/>
        </w:rPr>
        <w:t>，男童</w:t>
      </w:r>
      <w:r>
        <w:rPr>
          <w:rFonts w:hint="eastAsia"/>
        </w:rPr>
        <w:t>103.3%</w:t>
      </w:r>
      <w:r>
        <w:rPr>
          <w:rFonts w:hint="eastAsia"/>
        </w:rPr>
        <w:t>。在中学教育阶段，可以看到同期的女生入学率较高，为</w:t>
      </w:r>
      <w:r>
        <w:rPr>
          <w:rFonts w:hint="eastAsia"/>
        </w:rPr>
        <w:t>90.4%</w:t>
      </w:r>
      <w:r>
        <w:rPr>
          <w:rFonts w:hint="eastAsia"/>
        </w:rPr>
        <w:t>，而同期的男生入学率则为</w:t>
      </w:r>
      <w:r>
        <w:rPr>
          <w:rFonts w:hint="eastAsia"/>
        </w:rPr>
        <w:t>82.6%</w:t>
      </w:r>
      <w:r>
        <w:rPr>
          <w:rFonts w:hint="eastAsia"/>
        </w:rPr>
        <w:t>，这表明在达成全民教育目标并消除在教育上的性别差距方面呈现出上升趋势。</w:t>
      </w:r>
    </w:p>
    <w:p w:rsidR="00EC5325" w:rsidRDefault="00EC5325" w:rsidP="00EC5325">
      <w:pPr>
        <w:pStyle w:val="SingleTxt"/>
        <w:rPr>
          <w:rFonts w:hint="eastAsia"/>
        </w:rPr>
      </w:pPr>
      <w:r>
        <w:rPr>
          <w:rFonts w:hint="eastAsia"/>
        </w:rPr>
        <w:t>84.</w:t>
      </w:r>
      <w:r>
        <w:rPr>
          <w:rFonts w:hint="eastAsia"/>
        </w:rPr>
        <w:tab/>
      </w:r>
      <w:r>
        <w:rPr>
          <w:rFonts w:hint="eastAsia"/>
        </w:rPr>
        <w:t>在</w:t>
      </w:r>
      <w:r>
        <w:rPr>
          <w:rFonts w:hint="eastAsia"/>
        </w:rPr>
        <w:t>2012-2013</w:t>
      </w:r>
      <w:r>
        <w:rPr>
          <w:rFonts w:hint="eastAsia"/>
        </w:rPr>
        <w:t>学年度，小学教育阶段的女童辍学率为</w:t>
      </w:r>
      <w:r>
        <w:rPr>
          <w:rFonts w:hint="eastAsia"/>
        </w:rPr>
        <w:t>0.4%</w:t>
      </w:r>
      <w:r>
        <w:rPr>
          <w:rFonts w:hint="eastAsia"/>
        </w:rPr>
        <w:t>，而中学教育阶段的这一比率为</w:t>
      </w:r>
      <w:r>
        <w:rPr>
          <w:rFonts w:hint="eastAsia"/>
        </w:rPr>
        <w:t>5.7%</w:t>
      </w:r>
      <w:r>
        <w:rPr>
          <w:rFonts w:hint="eastAsia"/>
        </w:rPr>
        <w:t>。在</w:t>
      </w:r>
      <w:r>
        <w:rPr>
          <w:rFonts w:hint="eastAsia"/>
        </w:rPr>
        <w:t>2011-2012</w:t>
      </w:r>
      <w:r>
        <w:rPr>
          <w:rFonts w:hint="eastAsia"/>
        </w:rPr>
        <w:t>学年度，小学教育阶段的女童辍学率为</w:t>
      </w:r>
      <w:r>
        <w:rPr>
          <w:rFonts w:hint="eastAsia"/>
        </w:rPr>
        <w:t>0.1%</w:t>
      </w:r>
      <w:r>
        <w:rPr>
          <w:rFonts w:hint="eastAsia"/>
        </w:rPr>
        <w:t>，而中学教育阶段的这一比率为</w:t>
      </w:r>
      <w:r>
        <w:rPr>
          <w:rFonts w:hint="eastAsia"/>
        </w:rPr>
        <w:t>5.7%</w:t>
      </w:r>
      <w:r>
        <w:rPr>
          <w:rFonts w:hint="eastAsia"/>
        </w:rPr>
        <w:t>。在</w:t>
      </w:r>
      <w:r>
        <w:rPr>
          <w:rFonts w:hint="eastAsia"/>
        </w:rPr>
        <w:t>2010-2011</w:t>
      </w:r>
      <w:r>
        <w:rPr>
          <w:rFonts w:hint="eastAsia"/>
        </w:rPr>
        <w:t>学年度，小学教育阶段的女童辍学率为</w:t>
      </w:r>
      <w:r>
        <w:rPr>
          <w:rFonts w:hint="eastAsia"/>
        </w:rPr>
        <w:t>-0.2%</w:t>
      </w:r>
      <w:r>
        <w:rPr>
          <w:rFonts w:hint="eastAsia"/>
        </w:rPr>
        <w:t>，而中学教育阶段的这一比率为</w:t>
      </w:r>
      <w:r>
        <w:rPr>
          <w:rFonts w:hint="eastAsia"/>
        </w:rPr>
        <w:t>4.4%</w:t>
      </w:r>
      <w:r>
        <w:rPr>
          <w:rFonts w:hint="eastAsia"/>
        </w:rPr>
        <w:t>。</w:t>
      </w:r>
    </w:p>
    <w:p w:rsidR="00EC5325" w:rsidRDefault="00EC5325" w:rsidP="00EC5325">
      <w:pPr>
        <w:pStyle w:val="SingleTxt"/>
        <w:rPr>
          <w:rFonts w:hint="eastAsia"/>
        </w:rPr>
      </w:pPr>
      <w:r>
        <w:rPr>
          <w:rFonts w:hint="eastAsia"/>
        </w:rPr>
        <w:t>85.</w:t>
      </w:r>
      <w:r>
        <w:rPr>
          <w:rFonts w:hint="eastAsia"/>
        </w:rPr>
        <w:tab/>
      </w:r>
      <w:r>
        <w:rPr>
          <w:rFonts w:hint="eastAsia"/>
        </w:rPr>
        <w:t>在使女童获得职业技术教育机会的问题上，在职业技术培训领域，玻利瓦尔教育体系中设有一系列的专业科目，青少年在这一教育体系中可以学到知识和技能，并接受职业培训，从而帮助其从事生产性劳动、生产商品和提供服务、进行创新和实现经济独立。</w:t>
      </w:r>
      <w:r>
        <w:rPr>
          <w:rFonts w:hint="eastAsia"/>
        </w:rPr>
        <w:t xml:space="preserve"> </w:t>
      </w:r>
    </w:p>
    <w:p w:rsidR="00EC5325" w:rsidRDefault="00EC5325" w:rsidP="00EC5325">
      <w:pPr>
        <w:pStyle w:val="SingleTxt"/>
        <w:rPr>
          <w:rFonts w:hint="eastAsia"/>
        </w:rPr>
      </w:pPr>
      <w:r>
        <w:rPr>
          <w:rFonts w:hint="eastAsia"/>
        </w:rPr>
        <w:t>86.</w:t>
      </w:r>
      <w:r>
        <w:rPr>
          <w:rFonts w:hint="eastAsia"/>
        </w:rPr>
        <w:tab/>
      </w:r>
      <w:r>
        <w:rPr>
          <w:rFonts w:hint="eastAsia"/>
        </w:rPr>
        <w:t>在</w:t>
      </w:r>
      <w:r>
        <w:rPr>
          <w:rFonts w:hint="eastAsia"/>
        </w:rPr>
        <w:t>2012-2013</w:t>
      </w:r>
      <w:r>
        <w:rPr>
          <w:rFonts w:hint="eastAsia"/>
        </w:rPr>
        <w:t>学年度，技术教育的女生注册入学总数为</w:t>
      </w:r>
      <w:r>
        <w:rPr>
          <w:rFonts w:hint="eastAsia"/>
        </w:rPr>
        <w:t>59 888</w:t>
      </w:r>
      <w:r>
        <w:rPr>
          <w:rFonts w:hint="eastAsia"/>
        </w:rPr>
        <w:t>人，按专业技术领域划分的情况如下：农业类专业为</w:t>
      </w:r>
      <w:r>
        <w:rPr>
          <w:rFonts w:hint="eastAsia"/>
        </w:rPr>
        <w:t>7 782</w:t>
      </w:r>
      <w:r>
        <w:rPr>
          <w:rFonts w:hint="eastAsia"/>
        </w:rPr>
        <w:t>人</w:t>
      </w:r>
      <w:r w:rsidR="008625CB">
        <w:rPr>
          <w:rFonts w:hint="eastAsia"/>
        </w:rPr>
        <w:t>(</w:t>
      </w:r>
      <w:r>
        <w:rPr>
          <w:rFonts w:hint="eastAsia"/>
        </w:rPr>
        <w:t>43.46%</w:t>
      </w:r>
      <w:r w:rsidR="008625CB">
        <w:rPr>
          <w:rFonts w:hint="eastAsia"/>
        </w:rPr>
        <w:t>)</w:t>
      </w:r>
      <w:r>
        <w:rPr>
          <w:rFonts w:hint="eastAsia"/>
        </w:rPr>
        <w:t>，工业类专业为</w:t>
      </w:r>
      <w:r>
        <w:rPr>
          <w:rFonts w:hint="eastAsia"/>
        </w:rPr>
        <w:t>8 287</w:t>
      </w:r>
      <w:r>
        <w:rPr>
          <w:rFonts w:hint="eastAsia"/>
        </w:rPr>
        <w:t>人</w:t>
      </w:r>
      <w:r w:rsidR="008625CB">
        <w:rPr>
          <w:rFonts w:hint="eastAsia"/>
        </w:rPr>
        <w:t>(</w:t>
      </w:r>
      <w:r>
        <w:rPr>
          <w:rFonts w:hint="eastAsia"/>
        </w:rPr>
        <w:t>30.98%</w:t>
      </w:r>
      <w:r w:rsidR="008625CB">
        <w:rPr>
          <w:rFonts w:hint="eastAsia"/>
        </w:rPr>
        <w:t>)</w:t>
      </w:r>
      <w:r>
        <w:rPr>
          <w:rFonts w:hint="eastAsia"/>
        </w:rPr>
        <w:t>，商业和服务业类专业为</w:t>
      </w:r>
      <w:r>
        <w:rPr>
          <w:rFonts w:hint="eastAsia"/>
        </w:rPr>
        <w:t>31 866</w:t>
      </w:r>
      <w:r>
        <w:rPr>
          <w:rFonts w:hint="eastAsia"/>
        </w:rPr>
        <w:t>人</w:t>
      </w:r>
      <w:r w:rsidR="008625CB">
        <w:rPr>
          <w:rFonts w:hint="eastAsia"/>
        </w:rPr>
        <w:t>(</w:t>
      </w:r>
      <w:r>
        <w:rPr>
          <w:rFonts w:hint="eastAsia"/>
        </w:rPr>
        <w:t>57.95%</w:t>
      </w:r>
      <w:r w:rsidR="008625CB">
        <w:rPr>
          <w:rFonts w:hint="eastAsia"/>
        </w:rPr>
        <w:t>)</w:t>
      </w:r>
      <w:r>
        <w:rPr>
          <w:rFonts w:hint="eastAsia"/>
        </w:rPr>
        <w:t>，家庭教育专业</w:t>
      </w:r>
      <w:r>
        <w:rPr>
          <w:rFonts w:hint="eastAsia"/>
        </w:rPr>
        <w:t>56</w:t>
      </w:r>
      <w:r>
        <w:rPr>
          <w:rFonts w:hint="eastAsia"/>
        </w:rPr>
        <w:t>人</w:t>
      </w:r>
      <w:r w:rsidR="008625CB">
        <w:rPr>
          <w:rFonts w:hint="eastAsia"/>
        </w:rPr>
        <w:t>(</w:t>
      </w:r>
      <w:r>
        <w:rPr>
          <w:rFonts w:hint="eastAsia"/>
        </w:rPr>
        <w:t>55.45%</w:t>
      </w:r>
      <w:r w:rsidR="008625CB">
        <w:rPr>
          <w:rFonts w:hint="eastAsia"/>
        </w:rPr>
        <w:t>)</w:t>
      </w:r>
      <w:r>
        <w:rPr>
          <w:rFonts w:hint="eastAsia"/>
        </w:rPr>
        <w:t>，社会促进和卫生服务类专业为</w:t>
      </w:r>
      <w:r>
        <w:rPr>
          <w:rFonts w:hint="eastAsia"/>
        </w:rPr>
        <w:t>5 242</w:t>
      </w:r>
      <w:r>
        <w:rPr>
          <w:rFonts w:hint="eastAsia"/>
        </w:rPr>
        <w:t>人</w:t>
      </w:r>
      <w:r w:rsidR="008625CB">
        <w:rPr>
          <w:rFonts w:hint="eastAsia"/>
        </w:rPr>
        <w:t>(</w:t>
      </w:r>
      <w:r>
        <w:rPr>
          <w:rFonts w:hint="eastAsia"/>
        </w:rPr>
        <w:t>61.43%</w:t>
      </w:r>
      <w:r w:rsidR="008625CB">
        <w:rPr>
          <w:rFonts w:hint="eastAsia"/>
        </w:rPr>
        <w:t>)</w:t>
      </w:r>
      <w:r>
        <w:rPr>
          <w:rFonts w:hint="eastAsia"/>
        </w:rPr>
        <w:t>及艺术类专业为</w:t>
      </w:r>
      <w:r>
        <w:rPr>
          <w:rFonts w:hint="eastAsia"/>
        </w:rPr>
        <w:t>6 655</w:t>
      </w:r>
      <w:r>
        <w:rPr>
          <w:rFonts w:hint="eastAsia"/>
        </w:rPr>
        <w:t>人</w:t>
      </w:r>
      <w:r w:rsidR="008625CB">
        <w:rPr>
          <w:rFonts w:hint="eastAsia"/>
        </w:rPr>
        <w:t>(</w:t>
      </w:r>
      <w:r>
        <w:rPr>
          <w:rFonts w:hint="eastAsia"/>
        </w:rPr>
        <w:t>54.65%</w:t>
      </w:r>
      <w:r w:rsidR="008625CB">
        <w:rPr>
          <w:rFonts w:hint="eastAsia"/>
        </w:rPr>
        <w:t>)</w:t>
      </w:r>
      <w:r>
        <w:rPr>
          <w:rFonts w:hint="eastAsia"/>
        </w:rPr>
        <w:t>。</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就业</w:t>
      </w:r>
    </w:p>
    <w:p w:rsidR="00EC5325" w:rsidRDefault="00EC5325" w:rsidP="00EC5325">
      <w:pPr>
        <w:pStyle w:val="SingleTxt"/>
        <w:rPr>
          <w:rFonts w:hint="eastAsia"/>
        </w:rPr>
      </w:pPr>
      <w:r>
        <w:rPr>
          <w:rFonts w:hint="eastAsia"/>
        </w:rPr>
        <w:t>问题</w:t>
      </w:r>
      <w:r>
        <w:rPr>
          <w:rFonts w:hint="eastAsia"/>
        </w:rPr>
        <w:t>15</w:t>
      </w:r>
      <w:r>
        <w:rPr>
          <w:rFonts w:hint="eastAsia"/>
        </w:rPr>
        <w:t>：请提供信息说明已采取何种具体措施以缩小男女工资差距、确保实施同工同酬原则和消除特别是在私营部门妇女集中在低技术工作的状况</w:t>
      </w:r>
      <w:r w:rsidR="008625CB">
        <w:rPr>
          <w:rFonts w:hint="eastAsia"/>
        </w:rPr>
        <w:t>(</w:t>
      </w:r>
      <w:r>
        <w:rPr>
          <w:rFonts w:hint="eastAsia"/>
        </w:rPr>
        <w:t>第</w:t>
      </w:r>
      <w:r>
        <w:rPr>
          <w:rFonts w:hint="eastAsia"/>
        </w:rPr>
        <w:t>147</w:t>
      </w:r>
      <w:r>
        <w:rPr>
          <w:rFonts w:hint="eastAsia"/>
        </w:rPr>
        <w:t>段</w:t>
      </w:r>
      <w:r w:rsidR="008625CB">
        <w:rPr>
          <w:rFonts w:hint="eastAsia"/>
        </w:rPr>
        <w:t>)</w:t>
      </w:r>
      <w:r>
        <w:rPr>
          <w:rFonts w:hint="eastAsia"/>
        </w:rPr>
        <w:t>。请提供信息说明于</w:t>
      </w:r>
      <w:r>
        <w:rPr>
          <w:rFonts w:hint="eastAsia"/>
        </w:rPr>
        <w:t>2012</w:t>
      </w:r>
      <w:r>
        <w:rPr>
          <w:rFonts w:hint="eastAsia"/>
        </w:rPr>
        <w:t>年</w:t>
      </w:r>
      <w:r>
        <w:rPr>
          <w:rFonts w:hint="eastAsia"/>
        </w:rPr>
        <w:t>4</w:t>
      </w:r>
      <w:r>
        <w:rPr>
          <w:rFonts w:hint="eastAsia"/>
        </w:rPr>
        <w:t>月通过的第</w:t>
      </w:r>
      <w:r>
        <w:rPr>
          <w:rFonts w:hint="eastAsia"/>
        </w:rPr>
        <w:t>8921</w:t>
      </w:r>
      <w:r>
        <w:rPr>
          <w:rFonts w:hint="eastAsia"/>
        </w:rPr>
        <w:t>号总统令的执行情况，根据该令，在非正规部门工作的妇女和家庭主妇都加入社会保障制度。请提供信息说明已采取何种措施确保保护孕产妇的法律框架，包括制裁雇主的规定得到执行</w:t>
      </w:r>
      <w:r w:rsidR="008625CB">
        <w:rPr>
          <w:rFonts w:hint="eastAsia"/>
        </w:rPr>
        <w:t>(</w:t>
      </w:r>
      <w:r>
        <w:rPr>
          <w:rFonts w:hint="eastAsia"/>
        </w:rPr>
        <w:t>第</w:t>
      </w:r>
      <w:r>
        <w:rPr>
          <w:rFonts w:hint="eastAsia"/>
        </w:rPr>
        <w:t>151</w:t>
      </w:r>
      <w:r>
        <w:rPr>
          <w:rFonts w:hint="eastAsia"/>
        </w:rPr>
        <w:t>段</w:t>
      </w:r>
      <w:r w:rsidR="008625CB">
        <w:rPr>
          <w:rFonts w:hint="eastAsia"/>
        </w:rPr>
        <w:t>)</w:t>
      </w:r>
      <w:r>
        <w:rPr>
          <w:rFonts w:hint="eastAsia"/>
        </w:rPr>
        <w:t>。请提供信息说明为对付性骚扰而采取的措施，并说明劳工法和其他相关法律有无纳入工作场所禁止性骚扰的规定。</w:t>
      </w:r>
    </w:p>
    <w:p w:rsidR="00EC5325" w:rsidRDefault="00EC5325" w:rsidP="00EC5325">
      <w:pPr>
        <w:pStyle w:val="SingleTxt"/>
        <w:rPr>
          <w:rFonts w:hint="eastAsia"/>
        </w:rPr>
      </w:pPr>
      <w:r>
        <w:rPr>
          <w:rFonts w:hint="eastAsia"/>
        </w:rPr>
        <w:t>87.</w:t>
      </w:r>
      <w:r>
        <w:rPr>
          <w:rFonts w:hint="eastAsia"/>
        </w:rPr>
        <w:tab/>
      </w:r>
      <w:r>
        <w:rPr>
          <w:rFonts w:hint="eastAsia"/>
        </w:rPr>
        <w:t>针对工资差距采取了相关措施，通过由国家社会主义教育和培训学院实施的培训方案来提高收入并消除妇女集中在低技术工作岗位的现象，自</w:t>
      </w:r>
      <w:r>
        <w:rPr>
          <w:rFonts w:hint="eastAsia"/>
        </w:rPr>
        <w:t>2007</w:t>
      </w:r>
      <w:r>
        <w:rPr>
          <w:rFonts w:hint="eastAsia"/>
        </w:rPr>
        <w:t>年至今，该学院将总计</w:t>
      </w:r>
      <w:r>
        <w:rPr>
          <w:rFonts w:hint="eastAsia"/>
        </w:rPr>
        <w:t>554 242</w:t>
      </w:r>
      <w:r>
        <w:rPr>
          <w:rFonts w:hint="eastAsia"/>
        </w:rPr>
        <w:t>名妇女培养成为技术工人，占到不同专业方向毕业生总数的</w:t>
      </w:r>
      <w:r>
        <w:rPr>
          <w:rFonts w:hint="eastAsia"/>
        </w:rPr>
        <w:t>51.63%</w:t>
      </w:r>
      <w:r>
        <w:rPr>
          <w:rFonts w:hint="eastAsia"/>
        </w:rPr>
        <w:t>，这些专业技能方向包括农业生产、建筑、制造业、科技、电信、贸易和服务。</w:t>
      </w:r>
    </w:p>
    <w:p w:rsidR="00EC5325" w:rsidRDefault="00EC5325" w:rsidP="00EC5325">
      <w:pPr>
        <w:pStyle w:val="SingleTxt"/>
        <w:rPr>
          <w:rFonts w:hint="eastAsia"/>
        </w:rPr>
      </w:pPr>
      <w:r>
        <w:rPr>
          <w:rFonts w:hint="eastAsia"/>
        </w:rPr>
        <w:t>88.</w:t>
      </w:r>
      <w:r>
        <w:rPr>
          <w:rFonts w:hint="eastAsia"/>
        </w:rPr>
        <w:tab/>
      </w:r>
      <w:r>
        <w:rPr>
          <w:rFonts w:hint="eastAsia"/>
        </w:rPr>
        <w:t>通过这些培训方案，促进将妇女融入到原先由男性主导的职业领域，例如建筑专业的女毕业生为</w:t>
      </w:r>
      <w:r>
        <w:rPr>
          <w:rFonts w:hint="eastAsia"/>
        </w:rPr>
        <w:t>3 351</w:t>
      </w:r>
      <w:r>
        <w:rPr>
          <w:rFonts w:hint="eastAsia"/>
        </w:rPr>
        <w:t>人</w:t>
      </w:r>
      <w:r w:rsidR="008625CB">
        <w:rPr>
          <w:rFonts w:hint="eastAsia"/>
        </w:rPr>
        <w:t>(</w:t>
      </w:r>
      <w:r>
        <w:rPr>
          <w:rFonts w:hint="eastAsia"/>
        </w:rPr>
        <w:t>31.68%</w:t>
      </w:r>
      <w:r w:rsidR="008625CB">
        <w:rPr>
          <w:rFonts w:hint="eastAsia"/>
        </w:rPr>
        <w:t>)</w:t>
      </w:r>
      <w:r>
        <w:rPr>
          <w:rFonts w:hint="eastAsia"/>
        </w:rPr>
        <w:t>，工艺技术专业的女毕业生为</w:t>
      </w:r>
      <w:r>
        <w:rPr>
          <w:rFonts w:hint="eastAsia"/>
        </w:rPr>
        <w:t>234</w:t>
      </w:r>
      <w:r>
        <w:rPr>
          <w:rFonts w:hint="eastAsia"/>
        </w:rPr>
        <w:t>人</w:t>
      </w:r>
      <w:r w:rsidR="008625CB">
        <w:rPr>
          <w:rFonts w:hint="eastAsia"/>
        </w:rPr>
        <w:t>(</w:t>
      </w:r>
      <w:r>
        <w:rPr>
          <w:rFonts w:hint="eastAsia"/>
        </w:rPr>
        <w:t>36.61%</w:t>
      </w:r>
      <w:r w:rsidR="008625CB">
        <w:rPr>
          <w:rFonts w:hint="eastAsia"/>
        </w:rPr>
        <w:t>)</w:t>
      </w:r>
      <w:r>
        <w:rPr>
          <w:rFonts w:hint="eastAsia"/>
        </w:rPr>
        <w:t>，农业生产专业的女毕业生为</w:t>
      </w:r>
      <w:r>
        <w:rPr>
          <w:rFonts w:hint="eastAsia"/>
        </w:rPr>
        <w:t>5 805</w:t>
      </w:r>
      <w:r>
        <w:rPr>
          <w:rFonts w:hint="eastAsia"/>
        </w:rPr>
        <w:t>人</w:t>
      </w:r>
      <w:r w:rsidR="008625CB">
        <w:rPr>
          <w:rFonts w:hint="eastAsia"/>
        </w:rPr>
        <w:t>(</w:t>
      </w:r>
      <w:r>
        <w:rPr>
          <w:rFonts w:hint="eastAsia"/>
        </w:rPr>
        <w:t>54%</w:t>
      </w:r>
      <w:r w:rsidR="008625CB">
        <w:rPr>
          <w:rFonts w:hint="eastAsia"/>
        </w:rPr>
        <w:t>)</w:t>
      </w:r>
      <w:r>
        <w:rPr>
          <w:rFonts w:hint="eastAsia"/>
        </w:rPr>
        <w:t>，其中重点落在种植、养殖、农牧业、农工业和林业生产和加工领域。</w:t>
      </w:r>
    </w:p>
    <w:p w:rsidR="00EC5325" w:rsidRDefault="00EC5325" w:rsidP="00EC5325">
      <w:pPr>
        <w:pStyle w:val="SingleTxt"/>
        <w:rPr>
          <w:rFonts w:hint="eastAsia"/>
        </w:rPr>
      </w:pPr>
      <w:r>
        <w:rPr>
          <w:rFonts w:hint="eastAsia"/>
        </w:rPr>
        <w:t>89.</w:t>
      </w:r>
      <w:r>
        <w:rPr>
          <w:rFonts w:hint="eastAsia"/>
        </w:rPr>
        <w:tab/>
      </w:r>
      <w:r>
        <w:rPr>
          <w:rFonts w:hint="eastAsia"/>
        </w:rPr>
        <w:t>为执行于</w:t>
      </w:r>
      <w:r>
        <w:rPr>
          <w:rFonts w:hint="eastAsia"/>
        </w:rPr>
        <w:t>2012</w:t>
      </w:r>
      <w:r>
        <w:rPr>
          <w:rFonts w:hint="eastAsia"/>
        </w:rPr>
        <w:t>年</w:t>
      </w:r>
      <w:r>
        <w:rPr>
          <w:rFonts w:hint="eastAsia"/>
        </w:rPr>
        <w:t>4</w:t>
      </w:r>
      <w:r>
        <w:rPr>
          <w:rFonts w:hint="eastAsia"/>
        </w:rPr>
        <w:t>月通过的第</w:t>
      </w:r>
      <w:r>
        <w:rPr>
          <w:rFonts w:hint="eastAsia"/>
        </w:rPr>
        <w:t>9821</w:t>
      </w:r>
      <w:r>
        <w:rPr>
          <w:rFonts w:hint="eastAsia"/>
        </w:rPr>
        <w:t>号总统令，玻利瓦尔政府将在非正规部门工作的妇女都纳入到了委内瑞拉社会保险局的保障范围内，截至</w:t>
      </w:r>
      <w:r>
        <w:rPr>
          <w:rFonts w:hint="eastAsia"/>
        </w:rPr>
        <w:t>2013</w:t>
      </w:r>
      <w:r>
        <w:rPr>
          <w:rFonts w:hint="eastAsia"/>
        </w:rPr>
        <w:t>年已经对</w:t>
      </w:r>
      <w:r>
        <w:rPr>
          <w:rFonts w:hint="eastAsia"/>
        </w:rPr>
        <w:t>152 216</w:t>
      </w:r>
      <w:r>
        <w:rPr>
          <w:rFonts w:hint="eastAsia"/>
        </w:rPr>
        <w:t>人进行了登记，其中妇女</w:t>
      </w:r>
      <w:r>
        <w:rPr>
          <w:rFonts w:hint="eastAsia"/>
        </w:rPr>
        <w:t>91 330</w:t>
      </w:r>
      <w:r>
        <w:rPr>
          <w:rFonts w:hint="eastAsia"/>
        </w:rPr>
        <w:t>人</w:t>
      </w:r>
      <w:r w:rsidR="008625CB">
        <w:rPr>
          <w:rFonts w:hint="eastAsia"/>
        </w:rPr>
        <w:t>(</w:t>
      </w:r>
      <w:r>
        <w:rPr>
          <w:rFonts w:hint="eastAsia"/>
        </w:rPr>
        <w:t>60%</w:t>
      </w:r>
      <w:r w:rsidR="008625CB">
        <w:rPr>
          <w:rFonts w:hint="eastAsia"/>
        </w:rPr>
        <w:t>)</w:t>
      </w:r>
      <w:r>
        <w:rPr>
          <w:rFonts w:hint="eastAsia"/>
        </w:rPr>
        <w:t>，男子</w:t>
      </w:r>
      <w:r>
        <w:rPr>
          <w:rFonts w:hint="eastAsia"/>
        </w:rPr>
        <w:t>60 887</w:t>
      </w:r>
      <w:r>
        <w:rPr>
          <w:rFonts w:hint="eastAsia"/>
        </w:rPr>
        <w:t>人</w:t>
      </w:r>
      <w:r w:rsidR="008625CB">
        <w:rPr>
          <w:rFonts w:hint="eastAsia"/>
        </w:rPr>
        <w:t>(</w:t>
      </w:r>
      <w:r>
        <w:rPr>
          <w:rFonts w:hint="eastAsia"/>
        </w:rPr>
        <w:t>40%</w:t>
      </w:r>
      <w:r w:rsidR="008625CB">
        <w:rPr>
          <w:rFonts w:hint="eastAsia"/>
        </w:rPr>
        <w:t>)</w:t>
      </w:r>
      <w:r>
        <w:rPr>
          <w:rFonts w:hint="eastAsia"/>
        </w:rPr>
        <w:t>。另据报道，有</w:t>
      </w:r>
      <w:r>
        <w:rPr>
          <w:rFonts w:hint="eastAsia"/>
        </w:rPr>
        <w:t>2 517 401</w:t>
      </w:r>
      <w:r>
        <w:rPr>
          <w:rFonts w:hint="eastAsia"/>
        </w:rPr>
        <w:t>名男子和妇女可正常领取养老金，</w:t>
      </w:r>
      <w:r>
        <w:rPr>
          <w:rFonts w:hint="eastAsia"/>
        </w:rPr>
        <w:t>516 677</w:t>
      </w:r>
      <w:r>
        <w:rPr>
          <w:rFonts w:hint="eastAsia"/>
        </w:rPr>
        <w:t>人通过委内瑞拉敬老爱老伟大使命计划领取养老金，还有</w:t>
      </w:r>
      <w:r>
        <w:rPr>
          <w:rFonts w:hint="eastAsia"/>
        </w:rPr>
        <w:t>15 557</w:t>
      </w:r>
      <w:r>
        <w:rPr>
          <w:rFonts w:hint="eastAsia"/>
        </w:rPr>
        <w:t>名家庭主妇享有养老金待遇。</w:t>
      </w:r>
      <w:r>
        <w:rPr>
          <w:rFonts w:hint="eastAsia"/>
        </w:rPr>
        <w:t xml:space="preserve"> </w:t>
      </w:r>
    </w:p>
    <w:p w:rsidR="00EC5325" w:rsidRDefault="00EC5325" w:rsidP="00EC5325">
      <w:pPr>
        <w:pStyle w:val="SingleTxt"/>
        <w:rPr>
          <w:rFonts w:hint="eastAsia"/>
        </w:rPr>
      </w:pPr>
      <w:r>
        <w:rPr>
          <w:rFonts w:hint="eastAsia"/>
        </w:rPr>
        <w:t>90.</w:t>
      </w:r>
      <w:r>
        <w:rPr>
          <w:rFonts w:hint="eastAsia"/>
        </w:rPr>
        <w:tab/>
      </w:r>
      <w:r>
        <w:rPr>
          <w:rFonts w:hint="eastAsia"/>
        </w:rPr>
        <w:t>在确保保护孕产妇的法律框架得以执行而采取的措施方面，《劳动与劳工组织法》规定了特别保护措施，例如在女工怀孕期间以及产后两年内为女工保留劳动岗位，且男性在其配偶怀孕期间及产后两年内也享有同等的保护。该法也规定了对无正当理由解雇孕产妇及其配偶的行为的补救办法，据此使</w:t>
      </w:r>
      <w:r>
        <w:rPr>
          <w:rFonts w:hint="eastAsia"/>
        </w:rPr>
        <w:t>1 070</w:t>
      </w:r>
      <w:r>
        <w:rPr>
          <w:rFonts w:hint="eastAsia"/>
        </w:rPr>
        <w:t>名女工在休完产假后重返工作岗位，其中有</w:t>
      </w:r>
      <w:r>
        <w:rPr>
          <w:rFonts w:hint="eastAsia"/>
        </w:rPr>
        <w:t>593</w:t>
      </w:r>
      <w:r>
        <w:rPr>
          <w:rFonts w:hint="eastAsia"/>
        </w:rPr>
        <w:t>名女工获得了劳工事务检察官办公室的无偿援助，并使</w:t>
      </w:r>
      <w:r>
        <w:rPr>
          <w:rFonts w:hint="eastAsia"/>
        </w:rPr>
        <w:t>1 078</w:t>
      </w:r>
      <w:r>
        <w:rPr>
          <w:rFonts w:hint="eastAsia"/>
        </w:rPr>
        <w:t>名男工在休完陪产假后重返工作岗位。</w:t>
      </w:r>
    </w:p>
    <w:p w:rsidR="00EC5325" w:rsidRDefault="00EC5325" w:rsidP="00EC5325">
      <w:pPr>
        <w:pStyle w:val="SingleTxt"/>
        <w:rPr>
          <w:rFonts w:hint="eastAsia"/>
        </w:rPr>
      </w:pPr>
      <w:r>
        <w:rPr>
          <w:rFonts w:hint="eastAsia"/>
        </w:rPr>
        <w:t>91.</w:t>
      </w:r>
      <w:r>
        <w:rPr>
          <w:rFonts w:hint="eastAsia"/>
        </w:rPr>
        <w:tab/>
      </w:r>
      <w:r>
        <w:rPr>
          <w:rFonts w:hint="eastAsia"/>
        </w:rPr>
        <w:t>为确定《劳动与劳工组织法》中规定的孕产女工权利的落实情况，在</w:t>
      </w:r>
      <w:r>
        <w:rPr>
          <w:rFonts w:hint="eastAsia"/>
        </w:rPr>
        <w:t>2014</w:t>
      </w:r>
      <w:r>
        <w:rPr>
          <w:rFonts w:hint="eastAsia"/>
        </w:rPr>
        <w:t>年上半年，对</w:t>
      </w:r>
      <w:r>
        <w:rPr>
          <w:rFonts w:hint="eastAsia"/>
        </w:rPr>
        <w:t>6 845</w:t>
      </w:r>
      <w:r>
        <w:rPr>
          <w:rFonts w:hint="eastAsia"/>
        </w:rPr>
        <w:t>个工作单位进行了检查，检查结果如下：</w:t>
      </w:r>
      <w:r w:rsidR="00224F75">
        <w:rPr>
          <w:rFonts w:hint="eastAsia"/>
        </w:rPr>
        <w:t>(</w:t>
      </w:r>
      <w:r>
        <w:rPr>
          <w:rFonts w:hint="eastAsia"/>
        </w:rPr>
        <w:t>a</w:t>
      </w:r>
      <w:r w:rsidR="008625CB">
        <w:rPr>
          <w:rFonts w:hint="eastAsia"/>
        </w:rPr>
        <w:t>)</w:t>
      </w:r>
      <w:r w:rsidR="00224F75">
        <w:rPr>
          <w:rFonts w:hint="eastAsia"/>
        </w:rPr>
        <w:t xml:space="preserve"> </w:t>
      </w:r>
      <w:r>
        <w:rPr>
          <w:rFonts w:hint="eastAsia"/>
        </w:rPr>
        <w:t>在保护产前休假和产后休假权利方面，</w:t>
      </w:r>
      <w:r w:rsidR="008625CB">
        <w:rPr>
          <w:rStyle w:val="FootnoteReference"/>
        </w:rPr>
        <w:footnoteReference w:id="19"/>
      </w:r>
      <w:r>
        <w:rPr>
          <w:rFonts w:hint="eastAsia"/>
        </w:rPr>
        <w:t xml:space="preserve"> 6 809</w:t>
      </w:r>
      <w:r>
        <w:rPr>
          <w:rFonts w:hint="eastAsia"/>
        </w:rPr>
        <w:t>个单位</w:t>
      </w:r>
      <w:r w:rsidR="008625CB">
        <w:rPr>
          <w:rFonts w:hint="eastAsia"/>
        </w:rPr>
        <w:t>(</w:t>
      </w:r>
      <w:r>
        <w:rPr>
          <w:rFonts w:hint="eastAsia"/>
        </w:rPr>
        <w:t>93%</w:t>
      </w:r>
      <w:r w:rsidR="008625CB">
        <w:rPr>
          <w:rFonts w:hint="eastAsia"/>
        </w:rPr>
        <w:t>)</w:t>
      </w:r>
      <w:r>
        <w:rPr>
          <w:rFonts w:hint="eastAsia"/>
        </w:rPr>
        <w:t>遵守了休假时间规定，而有</w:t>
      </w:r>
      <w:r>
        <w:rPr>
          <w:rFonts w:hint="eastAsia"/>
        </w:rPr>
        <w:t>45</w:t>
      </w:r>
      <w:r>
        <w:rPr>
          <w:rFonts w:hint="eastAsia"/>
        </w:rPr>
        <w:t>个单位</w:t>
      </w:r>
      <w:r w:rsidR="008625CB">
        <w:rPr>
          <w:rFonts w:hint="eastAsia"/>
        </w:rPr>
        <w:t>(</w:t>
      </w:r>
      <w:r>
        <w:rPr>
          <w:rFonts w:hint="eastAsia"/>
        </w:rPr>
        <w:t>7%</w:t>
      </w:r>
      <w:r w:rsidR="008625CB">
        <w:rPr>
          <w:rFonts w:hint="eastAsia"/>
        </w:rPr>
        <w:t>)</w:t>
      </w:r>
      <w:r>
        <w:rPr>
          <w:rFonts w:hint="eastAsia"/>
        </w:rPr>
        <w:t>出现违规；</w:t>
      </w:r>
      <w:r w:rsidR="00224F75">
        <w:rPr>
          <w:rFonts w:hint="eastAsia"/>
        </w:rPr>
        <w:t>(</w:t>
      </w:r>
      <w:r>
        <w:rPr>
          <w:rFonts w:hint="eastAsia"/>
        </w:rPr>
        <w:t>b</w:t>
      </w:r>
      <w:r w:rsidR="008625CB">
        <w:rPr>
          <w:rFonts w:hint="eastAsia"/>
        </w:rPr>
        <w:t>)</w:t>
      </w:r>
      <w:r w:rsidR="00224F75">
        <w:rPr>
          <w:rFonts w:hint="eastAsia"/>
        </w:rPr>
        <w:t xml:space="preserve"> </w:t>
      </w:r>
      <w:r>
        <w:rPr>
          <w:rFonts w:hint="eastAsia"/>
        </w:rPr>
        <w:t>在产检带薪休假</w:t>
      </w:r>
      <w:r w:rsidR="008625CB">
        <w:rPr>
          <w:rStyle w:val="FootnoteReference"/>
        </w:rPr>
        <w:footnoteReference w:id="20"/>
      </w:r>
      <w:r>
        <w:rPr>
          <w:rFonts w:hint="eastAsia"/>
        </w:rPr>
        <w:t xml:space="preserve"> </w:t>
      </w:r>
      <w:r>
        <w:rPr>
          <w:rFonts w:hint="eastAsia"/>
        </w:rPr>
        <w:t>方面，</w:t>
      </w:r>
      <w:r>
        <w:rPr>
          <w:rFonts w:hint="eastAsia"/>
        </w:rPr>
        <w:t>3%</w:t>
      </w:r>
      <w:r>
        <w:rPr>
          <w:rFonts w:hint="eastAsia"/>
        </w:rPr>
        <w:t>的工作单位违反了这一规定；</w:t>
      </w:r>
      <w:r w:rsidR="00224F75">
        <w:rPr>
          <w:rFonts w:hint="eastAsia"/>
        </w:rPr>
        <w:t>(</w:t>
      </w:r>
      <w:r>
        <w:rPr>
          <w:rFonts w:hint="eastAsia"/>
        </w:rPr>
        <w:t>c</w:t>
      </w:r>
      <w:r w:rsidR="008625CB">
        <w:rPr>
          <w:rFonts w:hint="eastAsia"/>
        </w:rPr>
        <w:t>)</w:t>
      </w:r>
      <w:r w:rsidR="00224F75">
        <w:rPr>
          <w:rFonts w:hint="eastAsia"/>
        </w:rPr>
        <w:t xml:space="preserve"> </w:t>
      </w:r>
      <w:r>
        <w:rPr>
          <w:rFonts w:hint="eastAsia"/>
        </w:rPr>
        <w:t>在保证哺乳假时间</w:t>
      </w:r>
      <w:r w:rsidR="008625CB">
        <w:rPr>
          <w:rStyle w:val="FootnoteReference"/>
        </w:rPr>
        <w:footnoteReference w:id="21"/>
      </w:r>
      <w:r>
        <w:rPr>
          <w:rFonts w:hint="eastAsia"/>
        </w:rPr>
        <w:t xml:space="preserve"> </w:t>
      </w:r>
      <w:r>
        <w:rPr>
          <w:rFonts w:hint="eastAsia"/>
        </w:rPr>
        <w:t>方面，检查发现有</w:t>
      </w:r>
      <w:r>
        <w:rPr>
          <w:rFonts w:hint="eastAsia"/>
        </w:rPr>
        <w:t>5%</w:t>
      </w:r>
      <w:r>
        <w:rPr>
          <w:rFonts w:hint="eastAsia"/>
        </w:rPr>
        <w:t>的单位违反了这一规定；</w:t>
      </w:r>
      <w:r w:rsidR="00224F75">
        <w:rPr>
          <w:rFonts w:hint="eastAsia"/>
        </w:rPr>
        <w:t>(</w:t>
      </w:r>
      <w:r>
        <w:rPr>
          <w:rFonts w:hint="eastAsia"/>
        </w:rPr>
        <w:t>d</w:t>
      </w:r>
      <w:r w:rsidR="008625CB">
        <w:rPr>
          <w:rFonts w:hint="eastAsia"/>
        </w:rPr>
        <w:t>)</w:t>
      </w:r>
      <w:r w:rsidR="00224F75">
        <w:rPr>
          <w:rFonts w:hint="eastAsia"/>
        </w:rPr>
        <w:t xml:space="preserve"> </w:t>
      </w:r>
      <w:r>
        <w:rPr>
          <w:rFonts w:hint="eastAsia"/>
        </w:rPr>
        <w:t>在配备带有哺乳室的托儿所</w:t>
      </w:r>
      <w:r w:rsidR="008625CB">
        <w:rPr>
          <w:rStyle w:val="FootnoteReference"/>
        </w:rPr>
        <w:footnoteReference w:id="22"/>
      </w:r>
      <w:r>
        <w:rPr>
          <w:rFonts w:hint="eastAsia"/>
        </w:rPr>
        <w:t xml:space="preserve"> </w:t>
      </w:r>
      <w:r>
        <w:rPr>
          <w:rFonts w:hint="eastAsia"/>
        </w:rPr>
        <w:t>方面，检查发现有</w:t>
      </w:r>
      <w:r>
        <w:rPr>
          <w:rFonts w:hint="eastAsia"/>
        </w:rPr>
        <w:t>3.5%</w:t>
      </w:r>
      <w:r>
        <w:rPr>
          <w:rFonts w:hint="eastAsia"/>
        </w:rPr>
        <w:t>的单位没有遵守这一规定。</w:t>
      </w:r>
    </w:p>
    <w:p w:rsidR="00EC5325" w:rsidRDefault="00EC5325" w:rsidP="00EC5325">
      <w:pPr>
        <w:pStyle w:val="SingleTxt"/>
        <w:rPr>
          <w:rFonts w:hint="eastAsia"/>
        </w:rPr>
      </w:pPr>
      <w:r>
        <w:rPr>
          <w:rFonts w:hint="eastAsia"/>
        </w:rPr>
        <w:t>92.</w:t>
      </w:r>
      <w:r>
        <w:rPr>
          <w:rFonts w:hint="eastAsia"/>
        </w:rPr>
        <w:tab/>
      </w:r>
      <w:r>
        <w:rPr>
          <w:rFonts w:hint="eastAsia"/>
        </w:rPr>
        <w:t>对于女工因未享受到产假或哺乳假而向劳动纪检部门投诉的情况，在</w:t>
      </w:r>
      <w:r>
        <w:rPr>
          <w:rFonts w:hint="eastAsia"/>
        </w:rPr>
        <w:t>2013</w:t>
      </w:r>
      <w:r>
        <w:rPr>
          <w:rFonts w:hint="eastAsia"/>
        </w:rPr>
        <w:t>年期间共接到</w:t>
      </w:r>
      <w:r>
        <w:rPr>
          <w:rFonts w:hint="eastAsia"/>
        </w:rPr>
        <w:t>115</w:t>
      </w:r>
      <w:r>
        <w:rPr>
          <w:rFonts w:hint="eastAsia"/>
        </w:rPr>
        <w:t>例此类投诉。经调查投诉情况属实的，经办案件的劳动纪检官员会给予雇主</w:t>
      </w:r>
      <w:r>
        <w:rPr>
          <w:rFonts w:hint="eastAsia"/>
        </w:rPr>
        <w:t>30</w:t>
      </w:r>
      <w:r>
        <w:rPr>
          <w:rFonts w:hint="eastAsia"/>
        </w:rPr>
        <w:t>天以下的整改期限。雇主未在限期内作出整改而继续违反的，将启动相应的制裁程序并处以相应的罚金。</w:t>
      </w:r>
    </w:p>
    <w:p w:rsidR="00EC5325" w:rsidRDefault="00EC5325" w:rsidP="00EC5325">
      <w:pPr>
        <w:pStyle w:val="SingleTxt"/>
        <w:rPr>
          <w:rFonts w:hint="eastAsia"/>
        </w:rPr>
      </w:pPr>
      <w:r>
        <w:rPr>
          <w:rFonts w:hint="eastAsia"/>
        </w:rPr>
        <w:t>93.</w:t>
      </w:r>
      <w:r>
        <w:rPr>
          <w:rFonts w:hint="eastAsia"/>
        </w:rPr>
        <w:tab/>
      </w:r>
      <w:r>
        <w:rPr>
          <w:rFonts w:hint="eastAsia"/>
        </w:rPr>
        <w:t>在为应对性骚扰而采取的措施方面，《劳动与劳工组织法》就性骚扰、工作场所骚扰、雇主在健康和劳动安全保障方面的责任做出了规定，雇主有义务通过设置职能岗位来预防此类骚扰并为此类人员开展工作提供便利条件，职业安全与健康委员会应对其成员进行适当分工，利用其空余时间和社会旅游，保护残疾人及其劳动权利，出台对工作场所骚扰和性骚扰的制裁措施，并规定社会保障属于非营利性公共事业。</w:t>
      </w:r>
    </w:p>
    <w:p w:rsidR="00EC5325" w:rsidRDefault="00EC5325" w:rsidP="00EC5325">
      <w:pPr>
        <w:pStyle w:val="SingleTxt"/>
        <w:rPr>
          <w:rFonts w:hint="eastAsia"/>
        </w:rPr>
      </w:pPr>
      <w:r>
        <w:rPr>
          <w:rFonts w:hint="eastAsia"/>
        </w:rPr>
        <w:t>94.</w:t>
      </w:r>
      <w:r>
        <w:rPr>
          <w:rFonts w:hint="eastAsia"/>
        </w:rPr>
        <w:tab/>
      </w:r>
      <w:r>
        <w:rPr>
          <w:rFonts w:hint="eastAsia"/>
        </w:rPr>
        <w:t>同样，《妇女享有无暴力生活权利组织法》将性骚扰认定为一种暴力行为并规定了相应的制裁办法，而《关于劳动安全防范、劳动条件和劳动环境的组织法》则保证了男女劳动在健康、安全、卫生和福利方面的工作语言情况，以便保持没有暴力的最佳工作环境。</w:t>
      </w:r>
      <w:r>
        <w:rPr>
          <w:rFonts w:hint="eastAsia"/>
        </w:rPr>
        <w:t xml:space="preserve"> </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健康</w:t>
      </w:r>
    </w:p>
    <w:p w:rsidR="00EC5325" w:rsidRDefault="00EC5325" w:rsidP="00EC5325">
      <w:pPr>
        <w:pStyle w:val="SingleTxt"/>
        <w:rPr>
          <w:rFonts w:hint="eastAsia"/>
        </w:rPr>
      </w:pPr>
      <w:r w:rsidRPr="00224F75">
        <w:rPr>
          <w:rFonts w:ascii="SimHei" w:eastAsia="SimHei" w:hAnsi="SimHei" w:hint="eastAsia"/>
        </w:rPr>
        <w:t>问题16：旨在降低孕产妇死亡率的措施，《性健康与生殖健康全面护理正式规定》，堕胎率以及孕妇的艾滋病毒/艾滋病感染率</w:t>
      </w:r>
    </w:p>
    <w:p w:rsidR="00EC5325" w:rsidRDefault="00EC5325" w:rsidP="00EC5325">
      <w:pPr>
        <w:pStyle w:val="SingleTxt"/>
        <w:rPr>
          <w:rFonts w:hint="eastAsia"/>
        </w:rPr>
      </w:pPr>
      <w:r>
        <w:rPr>
          <w:rFonts w:hint="eastAsia"/>
        </w:rPr>
        <w:t>95.</w:t>
      </w:r>
      <w:r>
        <w:rPr>
          <w:rFonts w:hint="eastAsia"/>
        </w:rPr>
        <w:tab/>
      </w:r>
      <w:r>
        <w:rPr>
          <w:rFonts w:hint="eastAsia"/>
        </w:rPr>
        <w:t>委内瑞拉政府认识到，降低孕产妇死亡率指数、落实性权利和生殖权利对于尊重和保障妇女人权至关重要，为此，已经制定了《性权利与生殖权利国家计划》，旨在提高男性和女性对于在人生的各个阶段享有快乐和负责人的性行为权利的认识。</w:t>
      </w:r>
      <w:r>
        <w:rPr>
          <w:rFonts w:hint="eastAsia"/>
        </w:rPr>
        <w:t xml:space="preserve"> </w:t>
      </w:r>
    </w:p>
    <w:p w:rsidR="00EC5325" w:rsidRDefault="00EC5325" w:rsidP="00EC5325">
      <w:pPr>
        <w:pStyle w:val="SingleTxt"/>
        <w:rPr>
          <w:rFonts w:hint="eastAsia"/>
        </w:rPr>
      </w:pPr>
      <w:r>
        <w:rPr>
          <w:rFonts w:hint="eastAsia"/>
        </w:rPr>
        <w:t>96.</w:t>
      </w:r>
      <w:r>
        <w:rPr>
          <w:rFonts w:hint="eastAsia"/>
        </w:rPr>
        <w:tab/>
      </w:r>
      <w:r>
        <w:rPr>
          <w:rFonts w:hint="eastAsia"/>
        </w:rPr>
        <w:t>同样在这方面，已经实施了若干战略来落实《性健康与生殖健康全面护理正式规定》，到</w:t>
      </w:r>
      <w:r>
        <w:rPr>
          <w:rFonts w:hint="eastAsia"/>
        </w:rPr>
        <w:t>2013</w:t>
      </w:r>
      <w:r>
        <w:rPr>
          <w:rFonts w:hint="eastAsia"/>
        </w:rPr>
        <w:t>年</w:t>
      </w:r>
      <w:r>
        <w:rPr>
          <w:rFonts w:hint="eastAsia"/>
        </w:rPr>
        <w:t>12</w:t>
      </w:r>
      <w:r>
        <w:rPr>
          <w:rFonts w:hint="eastAsia"/>
        </w:rPr>
        <w:t>月，在人民政权卫生部、泛美卫生组织</w:t>
      </w:r>
      <w:r>
        <w:rPr>
          <w:rFonts w:hint="eastAsia"/>
        </w:rPr>
        <w:t>/</w:t>
      </w:r>
      <w:r>
        <w:rPr>
          <w:rFonts w:hint="eastAsia"/>
        </w:rPr>
        <w:t>世界卫生组织</w:t>
      </w:r>
      <w:r w:rsidR="008625CB">
        <w:rPr>
          <w:rFonts w:hint="eastAsia"/>
        </w:rPr>
        <w:t>(</w:t>
      </w:r>
      <w:r>
        <w:rPr>
          <w:rFonts w:hint="eastAsia"/>
        </w:rPr>
        <w:t>世卫组织</w:t>
      </w:r>
      <w:r w:rsidR="008625CB">
        <w:rPr>
          <w:rFonts w:hint="eastAsia"/>
        </w:rPr>
        <w:t>)</w:t>
      </w:r>
      <w:r>
        <w:rPr>
          <w:rFonts w:hint="eastAsia"/>
        </w:rPr>
        <w:t>和联合国人口基金</w:t>
      </w:r>
      <w:r w:rsidR="008625CB">
        <w:rPr>
          <w:rFonts w:hint="eastAsia"/>
        </w:rPr>
        <w:t>(</w:t>
      </w:r>
      <w:r>
        <w:rPr>
          <w:rFonts w:hint="eastAsia"/>
        </w:rPr>
        <w:t>人口基金</w:t>
      </w:r>
      <w:r w:rsidR="008625CB">
        <w:rPr>
          <w:rFonts w:hint="eastAsia"/>
        </w:rPr>
        <w:t>)</w:t>
      </w:r>
      <w:r>
        <w:rPr>
          <w:rFonts w:hint="eastAsia"/>
        </w:rPr>
        <w:t>的共同努力下，已经印发了</w:t>
      </w:r>
      <w:r>
        <w:rPr>
          <w:rFonts w:hint="eastAsia"/>
        </w:rPr>
        <w:t>15 000</w:t>
      </w:r>
      <w:r>
        <w:rPr>
          <w:rFonts w:hint="eastAsia"/>
        </w:rPr>
        <w:t>册样本。委内瑞拉重申，孕产妇死亡问题仍然是一项挑战，因此国家将继续实施积极政策来预防和解决这一问题。</w:t>
      </w:r>
    </w:p>
    <w:p w:rsidR="00EC5325" w:rsidRDefault="00EC5325" w:rsidP="00EC5325">
      <w:pPr>
        <w:pStyle w:val="SingleTxt"/>
        <w:rPr>
          <w:rFonts w:hint="eastAsia"/>
        </w:rPr>
      </w:pPr>
      <w:r>
        <w:rPr>
          <w:rFonts w:hint="eastAsia"/>
        </w:rPr>
        <w:t>97.</w:t>
      </w:r>
      <w:r>
        <w:rPr>
          <w:rFonts w:hint="eastAsia"/>
        </w:rPr>
        <w:tab/>
      </w:r>
      <w:r>
        <w:rPr>
          <w:rFonts w:hint="eastAsia"/>
        </w:rPr>
        <w:t>在堕胎去罪化问题上，根据委内瑞拉法律，在出于挽救孕妇生命的需要必须采取这一措施的情况下，允许堕胎。</w:t>
      </w:r>
      <w:r>
        <w:rPr>
          <w:rFonts w:hint="eastAsia"/>
        </w:rPr>
        <w:t xml:space="preserve"> </w:t>
      </w:r>
    </w:p>
    <w:p w:rsidR="00EC5325" w:rsidRDefault="00EC5325" w:rsidP="00EC5325">
      <w:pPr>
        <w:pStyle w:val="SingleTxt"/>
        <w:rPr>
          <w:rFonts w:hint="eastAsia"/>
        </w:rPr>
      </w:pPr>
      <w:r>
        <w:rPr>
          <w:rFonts w:hint="eastAsia"/>
        </w:rPr>
        <w:t>98.</w:t>
      </w:r>
      <w:r>
        <w:rPr>
          <w:rFonts w:hint="eastAsia"/>
        </w:rPr>
        <w:tab/>
      </w:r>
      <w:r>
        <w:rPr>
          <w:rFonts w:hint="eastAsia"/>
        </w:rPr>
        <w:t>委内瑞拉为大力巩固人民政权，已经开辟了与妇女组织和女权主义运动的讨论空间，这些组织和运动团体已经提出了关于修改《刑法典》的若干提案。同样，权利监察员办公室也已经向国民大会提交了一份《刑法典》的改革案，建议在怀孕影响到女童、少女和孕妇的身体健康或心理健康，存在胎儿畸形风险及因强奸导致怀孕的情况下，允许进行合法堕胎。在</w:t>
      </w:r>
      <w:r>
        <w:rPr>
          <w:rFonts w:hint="eastAsia"/>
        </w:rPr>
        <w:t>2010</w:t>
      </w:r>
      <w:r>
        <w:rPr>
          <w:rFonts w:hint="eastAsia"/>
        </w:rPr>
        <w:t>年，国民大会的妇女事务和性别平等小组委员会提交了一份关于对自愿终止妊娠去罪化的提案。</w:t>
      </w:r>
    </w:p>
    <w:p w:rsidR="00EC5325" w:rsidRDefault="00EC5325" w:rsidP="00EC5325">
      <w:pPr>
        <w:pStyle w:val="SingleTxt"/>
        <w:rPr>
          <w:rFonts w:hint="eastAsia"/>
        </w:rPr>
      </w:pPr>
      <w:r>
        <w:rPr>
          <w:rFonts w:hint="eastAsia"/>
        </w:rPr>
        <w:t>99.</w:t>
      </w:r>
      <w:r>
        <w:rPr>
          <w:rFonts w:hint="eastAsia"/>
        </w:rPr>
        <w:tab/>
      </w:r>
      <w:r>
        <w:rPr>
          <w:rFonts w:hint="eastAsia"/>
        </w:rPr>
        <w:t>在妇女的艾滋病毒</w:t>
      </w:r>
      <w:r>
        <w:rPr>
          <w:rFonts w:hint="eastAsia"/>
        </w:rPr>
        <w:t>/</w:t>
      </w:r>
      <w:r>
        <w:rPr>
          <w:rFonts w:hint="eastAsia"/>
        </w:rPr>
        <w:t>艾滋病感染率方面，截至</w:t>
      </w:r>
      <w:r>
        <w:rPr>
          <w:rFonts w:hint="eastAsia"/>
        </w:rPr>
        <w:t>2013</w:t>
      </w:r>
      <w:r>
        <w:rPr>
          <w:rFonts w:hint="eastAsia"/>
        </w:rPr>
        <w:t>年</w:t>
      </w:r>
      <w:r>
        <w:rPr>
          <w:rFonts w:hint="eastAsia"/>
        </w:rPr>
        <w:t>12</w:t>
      </w:r>
      <w:r>
        <w:rPr>
          <w:rFonts w:hint="eastAsia"/>
        </w:rPr>
        <w:t>月，已经报告了</w:t>
      </w:r>
      <w:r>
        <w:rPr>
          <w:rFonts w:hint="eastAsia"/>
        </w:rPr>
        <w:t>135 332</w:t>
      </w:r>
      <w:r>
        <w:rPr>
          <w:rFonts w:hint="eastAsia"/>
        </w:rPr>
        <w:t>例艾滋病毒</w:t>
      </w:r>
      <w:r>
        <w:rPr>
          <w:rFonts w:hint="eastAsia"/>
        </w:rPr>
        <w:t>/</w:t>
      </w:r>
      <w:r>
        <w:rPr>
          <w:rFonts w:hint="eastAsia"/>
        </w:rPr>
        <w:t>艾滋病感染病例，其中</w:t>
      </w:r>
      <w:r>
        <w:rPr>
          <w:rFonts w:hint="eastAsia"/>
        </w:rPr>
        <w:t>76%</w:t>
      </w:r>
      <w:r>
        <w:rPr>
          <w:rFonts w:hint="eastAsia"/>
        </w:rPr>
        <w:t>为男性，</w:t>
      </w:r>
      <w:r>
        <w:rPr>
          <w:rFonts w:hint="eastAsia"/>
        </w:rPr>
        <w:t>24%</w:t>
      </w:r>
      <w:r>
        <w:rPr>
          <w:rFonts w:hint="eastAsia"/>
        </w:rPr>
        <w:t>为女性。据估计，疫情属于集中型，在一般人口中的患病率为</w:t>
      </w:r>
      <w:r>
        <w:rPr>
          <w:rFonts w:hint="eastAsia"/>
        </w:rPr>
        <w:t>0.56%</w:t>
      </w:r>
      <w:r>
        <w:rPr>
          <w:rFonts w:hint="eastAsia"/>
        </w:rPr>
        <w:t>，在弱势群体，特别是男男性行为者群体中的患病率超过</w:t>
      </w:r>
      <w:r>
        <w:rPr>
          <w:rFonts w:hint="eastAsia"/>
        </w:rPr>
        <w:t>5%</w:t>
      </w:r>
      <w:r>
        <w:rPr>
          <w:rFonts w:hint="eastAsia"/>
        </w:rPr>
        <w:t>。</w:t>
      </w:r>
      <w:r w:rsidR="008625CB">
        <w:rPr>
          <w:rStyle w:val="FootnoteReference"/>
        </w:rPr>
        <w:footnoteReference w:id="23"/>
      </w:r>
      <w:r>
        <w:rPr>
          <w:rFonts w:hint="eastAsia"/>
        </w:rPr>
        <w:t xml:space="preserve"> </w:t>
      </w:r>
    </w:p>
    <w:p w:rsidR="00EC5325" w:rsidRDefault="00224F75" w:rsidP="00EC5325">
      <w:pPr>
        <w:pStyle w:val="SingleTxt"/>
        <w:rPr>
          <w:rFonts w:hint="eastAsia"/>
        </w:rPr>
      </w:pPr>
      <w:r>
        <w:rPr>
          <w:rFonts w:hint="eastAsia"/>
        </w:rPr>
        <w:t xml:space="preserve">100.  </w:t>
      </w:r>
      <w:r w:rsidR="00EC5325">
        <w:rPr>
          <w:rFonts w:hint="eastAsia"/>
        </w:rPr>
        <w:t>在委内瑞拉，预防艾滋病毒的垂直传播是通过《国家生殖健康计划》和《国家艾滋病</w:t>
      </w:r>
      <w:r w:rsidR="00EC5325">
        <w:rPr>
          <w:rFonts w:hint="eastAsia"/>
        </w:rPr>
        <w:t>/</w:t>
      </w:r>
      <w:r w:rsidR="00EC5325">
        <w:rPr>
          <w:rFonts w:hint="eastAsia"/>
        </w:rPr>
        <w:t>性传播疾病防控计划》共同开展的，以免费方式强制性对所有孕妇在初次产检时进行艾滋病毒重点筛查，目的就是及时发现病毒检测呈阳性的孕妇，以开始治疗并在妊娠和分娩过程中按照《委内瑞拉艾滋病毒</w:t>
      </w:r>
      <w:r w:rsidR="00EC5325">
        <w:rPr>
          <w:rFonts w:hint="eastAsia"/>
        </w:rPr>
        <w:t>/</w:t>
      </w:r>
      <w:r w:rsidR="00EC5325">
        <w:rPr>
          <w:rFonts w:hint="eastAsia"/>
        </w:rPr>
        <w:t>艾滋病患者全面护理技术规程共识》的规定进行适当干预，这些规定是于</w:t>
      </w:r>
      <w:r w:rsidR="00EC5325">
        <w:rPr>
          <w:rFonts w:hint="eastAsia"/>
        </w:rPr>
        <w:t>2007</w:t>
      </w:r>
      <w:r w:rsidR="00EC5325">
        <w:rPr>
          <w:rFonts w:hint="eastAsia"/>
        </w:rPr>
        <w:t>年在全国医学专家的参与下编制出台的，并得到了泛美卫生组织的国际认证。</w:t>
      </w:r>
    </w:p>
    <w:tbl>
      <w:tblPr>
        <w:tblW w:w="7228" w:type="dxa"/>
        <w:tblInd w:w="1276" w:type="dxa"/>
        <w:tblCellMar>
          <w:left w:w="0" w:type="dxa"/>
          <w:right w:w="0" w:type="dxa"/>
        </w:tblCellMar>
        <w:tblLook w:val="0000"/>
      </w:tblPr>
      <w:tblGrid>
        <w:gridCol w:w="3140"/>
        <w:gridCol w:w="4088"/>
      </w:tblGrid>
      <w:tr w:rsidR="008625CB" w:rsidRPr="008625CB" w:rsidTr="008625CB">
        <w:trPr>
          <w:trHeight w:val="240"/>
          <w:tblHeader/>
        </w:trPr>
        <w:tc>
          <w:tcPr>
            <w:tcW w:w="3140" w:type="dxa"/>
            <w:tcBorders>
              <w:top w:val="single" w:sz="4" w:space="0" w:color="auto"/>
              <w:bottom w:val="single" w:sz="12" w:space="0" w:color="auto"/>
            </w:tcBorders>
            <w:shd w:val="clear" w:color="auto" w:fill="auto"/>
            <w:vAlign w:val="bottom"/>
          </w:tcPr>
          <w:p w:rsidR="008625CB" w:rsidRPr="008625CB" w:rsidRDefault="008625CB" w:rsidP="008625CB">
            <w:pPr>
              <w:pStyle w:val="SingleTxtG"/>
              <w:spacing w:before="60" w:after="60" w:line="200" w:lineRule="exact"/>
              <w:ind w:left="0" w:right="57"/>
              <w:jc w:val="left"/>
              <w:rPr>
                <w:rFonts w:eastAsia="楷体" w:hint="eastAsia"/>
                <w:sz w:val="15"/>
                <w:szCs w:val="21"/>
                <w:lang w:val="es-VE" w:eastAsia="zh-CN"/>
              </w:rPr>
            </w:pPr>
            <w:r w:rsidRPr="008625CB">
              <w:rPr>
                <w:rFonts w:eastAsia="楷体" w:hint="eastAsia"/>
                <w:bCs/>
                <w:sz w:val="15"/>
                <w:szCs w:val="21"/>
                <w:lang w:val="es-VE" w:eastAsia="zh-CN"/>
              </w:rPr>
              <w:t>年份</w:t>
            </w:r>
          </w:p>
        </w:tc>
        <w:tc>
          <w:tcPr>
            <w:tcW w:w="4088" w:type="dxa"/>
            <w:tcBorders>
              <w:top w:val="single" w:sz="4" w:space="0" w:color="auto"/>
              <w:bottom w:val="single" w:sz="12" w:space="0" w:color="auto"/>
            </w:tcBorders>
            <w:shd w:val="clear" w:color="auto" w:fill="auto"/>
            <w:vAlign w:val="bottom"/>
          </w:tcPr>
          <w:p w:rsidR="008625CB" w:rsidRPr="008625CB" w:rsidRDefault="008625CB" w:rsidP="008625CB">
            <w:pPr>
              <w:pStyle w:val="SingleTxtG"/>
              <w:spacing w:before="60" w:after="60" w:line="200" w:lineRule="exact"/>
              <w:ind w:left="0" w:right="57"/>
              <w:jc w:val="right"/>
              <w:rPr>
                <w:rFonts w:eastAsia="楷体" w:hint="eastAsia"/>
                <w:sz w:val="15"/>
                <w:szCs w:val="21"/>
                <w:lang w:val="es-VE" w:eastAsia="zh-CN"/>
              </w:rPr>
            </w:pPr>
            <w:r w:rsidRPr="008625CB">
              <w:rPr>
                <w:rFonts w:eastAsia="楷体" w:hint="eastAsia"/>
                <w:bCs/>
                <w:sz w:val="15"/>
                <w:szCs w:val="21"/>
                <w:lang w:val="es-VE" w:eastAsia="zh-CN"/>
              </w:rPr>
              <w:t>孕妇数量</w:t>
            </w:r>
          </w:p>
        </w:tc>
      </w:tr>
      <w:tr w:rsidR="008625CB" w:rsidRPr="008625CB" w:rsidTr="008625CB">
        <w:trPr>
          <w:trHeight w:hRule="exact" w:val="115"/>
          <w:tblHeader/>
        </w:trPr>
        <w:tc>
          <w:tcPr>
            <w:tcW w:w="3140" w:type="dxa"/>
            <w:tcBorders>
              <w:top w:val="single" w:sz="12" w:space="0" w:color="auto"/>
            </w:tcBorders>
            <w:shd w:val="clear" w:color="auto" w:fill="auto"/>
            <w:vAlign w:val="bottom"/>
          </w:tcPr>
          <w:p w:rsidR="008625CB" w:rsidRPr="008625CB" w:rsidRDefault="008625CB" w:rsidP="008625CB">
            <w:pPr>
              <w:pStyle w:val="SingleTxtG"/>
              <w:spacing w:after="60" w:line="280" w:lineRule="exact"/>
              <w:ind w:left="0" w:right="57"/>
              <w:jc w:val="left"/>
              <w:rPr>
                <w:sz w:val="17"/>
                <w:szCs w:val="21"/>
                <w:lang w:val="es-VE"/>
              </w:rPr>
            </w:pPr>
          </w:p>
        </w:tc>
        <w:tc>
          <w:tcPr>
            <w:tcW w:w="4088" w:type="dxa"/>
            <w:tcBorders>
              <w:top w:val="single" w:sz="12" w:space="0" w:color="auto"/>
            </w:tcBorders>
            <w:shd w:val="clear" w:color="auto" w:fill="auto"/>
            <w:vAlign w:val="bottom"/>
          </w:tcPr>
          <w:p w:rsidR="008625CB" w:rsidRPr="008625CB" w:rsidRDefault="008625CB" w:rsidP="008625CB">
            <w:pPr>
              <w:pStyle w:val="SingleTxtG"/>
              <w:spacing w:after="60" w:line="280" w:lineRule="exact"/>
              <w:ind w:left="0" w:right="57"/>
              <w:jc w:val="right"/>
              <w:rPr>
                <w:sz w:val="17"/>
                <w:szCs w:val="21"/>
                <w:lang w:val="es-VE"/>
              </w:rPr>
            </w:pPr>
          </w:p>
        </w:tc>
      </w:tr>
      <w:tr w:rsidR="008625CB" w:rsidRPr="008625CB" w:rsidTr="008625CB">
        <w:trPr>
          <w:trHeight w:val="240"/>
        </w:trPr>
        <w:tc>
          <w:tcPr>
            <w:tcW w:w="3140"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rPr>
                <w:sz w:val="17"/>
                <w:szCs w:val="21"/>
                <w:lang w:val="es-VE"/>
              </w:rPr>
            </w:pPr>
            <w:r w:rsidRPr="008625CB">
              <w:rPr>
                <w:sz w:val="17"/>
                <w:szCs w:val="21"/>
                <w:lang w:val="es-VE"/>
              </w:rPr>
              <w:t>2009</w:t>
            </w:r>
          </w:p>
        </w:tc>
        <w:tc>
          <w:tcPr>
            <w:tcW w:w="4088"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233</w:t>
            </w:r>
          </w:p>
        </w:tc>
      </w:tr>
      <w:tr w:rsidR="008625CB" w:rsidRPr="008625CB" w:rsidTr="008625CB">
        <w:trPr>
          <w:trHeight w:val="240"/>
        </w:trPr>
        <w:tc>
          <w:tcPr>
            <w:tcW w:w="3140"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rPr>
                <w:sz w:val="17"/>
                <w:szCs w:val="21"/>
                <w:lang w:val="es-VE"/>
              </w:rPr>
            </w:pPr>
            <w:r w:rsidRPr="008625CB">
              <w:rPr>
                <w:sz w:val="17"/>
                <w:szCs w:val="21"/>
                <w:lang w:val="es-VE"/>
              </w:rPr>
              <w:t>2010</w:t>
            </w:r>
          </w:p>
        </w:tc>
        <w:tc>
          <w:tcPr>
            <w:tcW w:w="4088"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272</w:t>
            </w:r>
          </w:p>
        </w:tc>
      </w:tr>
      <w:tr w:rsidR="008625CB" w:rsidRPr="008625CB" w:rsidTr="008625CB">
        <w:trPr>
          <w:trHeight w:val="240"/>
        </w:trPr>
        <w:tc>
          <w:tcPr>
            <w:tcW w:w="3140"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rPr>
                <w:sz w:val="17"/>
                <w:szCs w:val="21"/>
                <w:lang w:val="es-VE"/>
              </w:rPr>
            </w:pPr>
            <w:r w:rsidRPr="008625CB">
              <w:rPr>
                <w:sz w:val="17"/>
                <w:szCs w:val="21"/>
                <w:lang w:val="es-VE"/>
              </w:rPr>
              <w:t>2011</w:t>
            </w:r>
          </w:p>
        </w:tc>
        <w:tc>
          <w:tcPr>
            <w:tcW w:w="4088"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285</w:t>
            </w:r>
          </w:p>
        </w:tc>
      </w:tr>
      <w:tr w:rsidR="008625CB" w:rsidRPr="008625CB" w:rsidTr="008625CB">
        <w:trPr>
          <w:trHeight w:val="240"/>
        </w:trPr>
        <w:tc>
          <w:tcPr>
            <w:tcW w:w="3140"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rPr>
                <w:sz w:val="17"/>
                <w:szCs w:val="21"/>
                <w:lang w:val="es-VE"/>
              </w:rPr>
            </w:pPr>
            <w:r w:rsidRPr="008625CB">
              <w:rPr>
                <w:sz w:val="17"/>
                <w:szCs w:val="21"/>
                <w:lang w:val="es-VE"/>
              </w:rPr>
              <w:t>2012</w:t>
            </w:r>
          </w:p>
        </w:tc>
        <w:tc>
          <w:tcPr>
            <w:tcW w:w="4088"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348</w:t>
            </w:r>
          </w:p>
        </w:tc>
      </w:tr>
      <w:tr w:rsidR="008625CB" w:rsidRPr="008625CB" w:rsidTr="008625CB">
        <w:trPr>
          <w:trHeight w:val="240"/>
        </w:trPr>
        <w:tc>
          <w:tcPr>
            <w:tcW w:w="3140"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rPr>
                <w:sz w:val="17"/>
                <w:szCs w:val="21"/>
                <w:lang w:val="es-VE"/>
              </w:rPr>
            </w:pPr>
            <w:r w:rsidRPr="008625CB">
              <w:rPr>
                <w:sz w:val="17"/>
                <w:szCs w:val="21"/>
                <w:lang w:val="es-VE"/>
              </w:rPr>
              <w:t>2013</w:t>
            </w:r>
          </w:p>
        </w:tc>
        <w:tc>
          <w:tcPr>
            <w:tcW w:w="4088" w:type="dxa"/>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432</w:t>
            </w:r>
          </w:p>
        </w:tc>
      </w:tr>
      <w:tr w:rsidR="008625CB" w:rsidRPr="008625CB" w:rsidTr="008625CB">
        <w:trPr>
          <w:trHeight w:val="240"/>
        </w:trPr>
        <w:tc>
          <w:tcPr>
            <w:tcW w:w="3140" w:type="dxa"/>
            <w:tcBorders>
              <w:bottom w:val="single" w:sz="12" w:space="0" w:color="auto"/>
            </w:tcBorders>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rPr>
                <w:rFonts w:hint="eastAsia"/>
                <w:sz w:val="17"/>
                <w:szCs w:val="21"/>
                <w:lang w:val="es-VE" w:eastAsia="zh-CN"/>
              </w:rPr>
            </w:pPr>
            <w:r w:rsidRPr="008625CB">
              <w:rPr>
                <w:rFonts w:hint="eastAsia"/>
                <w:bCs/>
                <w:sz w:val="17"/>
                <w:szCs w:val="21"/>
                <w:lang w:val="es-VE" w:eastAsia="zh-CN"/>
              </w:rPr>
              <w:t>合计</w:t>
            </w:r>
          </w:p>
        </w:tc>
        <w:tc>
          <w:tcPr>
            <w:tcW w:w="4088" w:type="dxa"/>
            <w:tcBorders>
              <w:bottom w:val="single" w:sz="12" w:space="0" w:color="auto"/>
            </w:tcBorders>
            <w:shd w:val="clear" w:color="auto" w:fill="auto"/>
            <w:vAlign w:val="bottom"/>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bCs/>
                <w:sz w:val="17"/>
                <w:szCs w:val="21"/>
                <w:lang w:val="es-VE"/>
              </w:rPr>
              <w:t>2</w:t>
            </w:r>
            <w:r w:rsidRPr="008625CB">
              <w:rPr>
                <w:rFonts w:hint="eastAsia"/>
                <w:bCs/>
                <w:sz w:val="17"/>
                <w:szCs w:val="21"/>
                <w:lang w:val="es-VE" w:eastAsia="zh-CN"/>
              </w:rPr>
              <w:t xml:space="preserve"> </w:t>
            </w:r>
            <w:r w:rsidRPr="008625CB">
              <w:rPr>
                <w:bCs/>
                <w:sz w:val="17"/>
                <w:szCs w:val="21"/>
                <w:lang w:val="es-VE"/>
              </w:rPr>
              <w:t>625</w:t>
            </w:r>
          </w:p>
        </w:tc>
      </w:tr>
    </w:tbl>
    <w:p w:rsidR="008625CB" w:rsidRPr="008625CB" w:rsidRDefault="008625CB" w:rsidP="008625CB">
      <w:pPr>
        <w:pStyle w:val="SingleTxt"/>
        <w:spacing w:after="0" w:line="120" w:lineRule="exact"/>
        <w:rPr>
          <w:rFonts w:hint="eastAsia"/>
          <w:sz w:val="10"/>
        </w:rPr>
      </w:pPr>
    </w:p>
    <w:p w:rsidR="00224F75" w:rsidRPr="00224F75" w:rsidRDefault="00224F75" w:rsidP="00224F75">
      <w:pPr>
        <w:pStyle w:val="SingleTxt"/>
        <w:spacing w:after="0" w:line="120" w:lineRule="exact"/>
        <w:rPr>
          <w:rFonts w:ascii="SimHei" w:eastAsia="SimHei" w:hAnsi="SimHei" w:hint="eastAsia"/>
          <w:sz w:val="10"/>
        </w:rPr>
      </w:pPr>
    </w:p>
    <w:p w:rsidR="00EC5325" w:rsidRPr="00224F75" w:rsidRDefault="009D42A2" w:rsidP="00EC5325">
      <w:pPr>
        <w:pStyle w:val="SingleTxt"/>
        <w:rPr>
          <w:rFonts w:ascii="SimHei" w:eastAsia="SimHei" w:hAnsi="SimHei" w:hint="eastAsia"/>
        </w:rPr>
      </w:pPr>
      <w:r>
        <w:rPr>
          <w:rFonts w:ascii="SimHei" w:eastAsia="SimHei" w:hAnsi="SimHei"/>
        </w:rPr>
        <w:br w:type="page"/>
      </w:r>
      <w:r w:rsidR="00EC5325" w:rsidRPr="00224F75">
        <w:rPr>
          <w:rFonts w:ascii="SimHei" w:eastAsia="SimHei" w:hAnsi="SimHei" w:hint="eastAsia"/>
        </w:rPr>
        <w:t>农村妇女</w:t>
      </w:r>
    </w:p>
    <w:p w:rsidR="00EC5325" w:rsidRDefault="00EC5325" w:rsidP="00EC5325">
      <w:pPr>
        <w:pStyle w:val="SingleTxt"/>
        <w:rPr>
          <w:rFonts w:hint="eastAsia"/>
        </w:rPr>
      </w:pPr>
      <w:r w:rsidRPr="00224F75">
        <w:rPr>
          <w:rFonts w:ascii="SimHei" w:eastAsia="SimHei" w:hAnsi="SimHei" w:hint="eastAsia"/>
        </w:rPr>
        <w:t>问题17：农村地区的性别关系</w:t>
      </w:r>
      <w:r>
        <w:rPr>
          <w:rFonts w:hint="eastAsia"/>
        </w:rPr>
        <w:t xml:space="preserve"> </w:t>
      </w:r>
    </w:p>
    <w:p w:rsidR="00EC5325" w:rsidRDefault="00224F75" w:rsidP="00EC5325">
      <w:pPr>
        <w:pStyle w:val="SingleTxt"/>
        <w:rPr>
          <w:rFonts w:hint="eastAsia"/>
        </w:rPr>
      </w:pPr>
      <w:r>
        <w:rPr>
          <w:rFonts w:hint="eastAsia"/>
        </w:rPr>
        <w:t xml:space="preserve">101.  </w:t>
      </w:r>
      <w:r w:rsidR="00EC5325">
        <w:rPr>
          <w:rFonts w:hint="eastAsia"/>
        </w:rPr>
        <w:t>在</w:t>
      </w:r>
      <w:r w:rsidR="00EC5325">
        <w:rPr>
          <w:rFonts w:hint="eastAsia"/>
        </w:rPr>
        <w:t>2012</w:t>
      </w:r>
      <w:r w:rsidR="00EC5325">
        <w:rPr>
          <w:rFonts w:hint="eastAsia"/>
        </w:rPr>
        <w:t>年</w:t>
      </w:r>
      <w:r w:rsidR="00EC5325">
        <w:rPr>
          <w:rFonts w:hint="eastAsia"/>
        </w:rPr>
        <w:t>5</w:t>
      </w:r>
      <w:r w:rsidR="00EC5325">
        <w:rPr>
          <w:rFonts w:hint="eastAsia"/>
        </w:rPr>
        <w:t>月，批准通过了新的《劳动与劳工组织法》，规定了体面劳动条件，这对于妇女、特别是农村妇女来说是一项历史性进步。对此，该法第</w:t>
      </w:r>
      <w:r w:rsidR="00EC5325">
        <w:rPr>
          <w:rFonts w:hint="eastAsia"/>
        </w:rPr>
        <w:t>235</w:t>
      </w:r>
      <w:r w:rsidR="00EC5325">
        <w:rPr>
          <w:rFonts w:hint="eastAsia"/>
        </w:rPr>
        <w:t>条和第</w:t>
      </w:r>
      <w:r w:rsidR="00EC5325">
        <w:rPr>
          <w:rFonts w:hint="eastAsia"/>
        </w:rPr>
        <w:t>236</w:t>
      </w:r>
      <w:r w:rsidR="00EC5325">
        <w:rPr>
          <w:rFonts w:hint="eastAsia"/>
        </w:rPr>
        <w:t>条规定，如果农业女工在节假日工作，应向其支付双倍工资。此外，该法规定农业女工每年享有与在农业生产单位中从事劳动的家庭成员相同的带薪假，这些家庭成员可以同时申请带薪休假。</w:t>
      </w:r>
    </w:p>
    <w:p w:rsidR="00EC5325" w:rsidRDefault="00224F75" w:rsidP="00EC5325">
      <w:pPr>
        <w:pStyle w:val="SingleTxt"/>
        <w:rPr>
          <w:rFonts w:hint="eastAsia"/>
        </w:rPr>
      </w:pPr>
      <w:r>
        <w:rPr>
          <w:rFonts w:hint="eastAsia"/>
        </w:rPr>
        <w:t xml:space="preserve">102.  </w:t>
      </w:r>
      <w:r w:rsidR="00EC5325">
        <w:rPr>
          <w:rFonts w:hint="eastAsia"/>
        </w:rPr>
        <w:t>作为一项具有划时代意义的权利主张，第</w:t>
      </w:r>
      <w:r w:rsidR="00EC5325">
        <w:rPr>
          <w:rFonts w:hint="eastAsia"/>
        </w:rPr>
        <w:t>233</w:t>
      </w:r>
      <w:r w:rsidR="00EC5325">
        <w:rPr>
          <w:rFonts w:hint="eastAsia"/>
        </w:rPr>
        <w:t>条提出，在农业劳动者在农业生产单位中自费在耕地上从事劳作的情况下，在结束雇用劳动关系时，其有权继续在相应耕地上从事劳作。</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土著妇女和非裔妇女</w:t>
      </w:r>
    </w:p>
    <w:p w:rsidR="00EC5325" w:rsidRDefault="00EC5325" w:rsidP="00EC5325">
      <w:pPr>
        <w:pStyle w:val="SingleTxt"/>
        <w:rPr>
          <w:rFonts w:hint="eastAsia"/>
        </w:rPr>
      </w:pPr>
      <w:r w:rsidRPr="00224F75">
        <w:rPr>
          <w:rFonts w:ascii="SimHei" w:eastAsia="SimHei" w:hAnsi="SimHei" w:hint="eastAsia"/>
        </w:rPr>
        <w:t>问题18：土著妇女和非裔妇女获得司法正义、教育、就业、医疗保健服务、自然资源和土地、信贷服务、决策参与、社区服务以及参与政治和公共生活的机会的情况</w:t>
      </w:r>
    </w:p>
    <w:p w:rsidR="00EC5325" w:rsidRDefault="00224F75" w:rsidP="00EC5325">
      <w:pPr>
        <w:pStyle w:val="SingleTxt"/>
        <w:rPr>
          <w:rFonts w:hint="eastAsia"/>
        </w:rPr>
      </w:pPr>
      <w:r>
        <w:rPr>
          <w:rFonts w:hint="eastAsia"/>
        </w:rPr>
        <w:t xml:space="preserve">103.  </w:t>
      </w:r>
      <w:r w:rsidR="00EC5325">
        <w:rPr>
          <w:rFonts w:hint="eastAsia"/>
        </w:rPr>
        <w:t>委内瑞拉背负的一项重要责任，就是为实现土著妇女和非裔妇女的性别平等而斗争，这不仅仅是要保护妇女的权利，更是其许下的偿还对国内的土著人民和非裔人民的历史亏欠的承诺的一部分。</w:t>
      </w:r>
    </w:p>
    <w:p w:rsidR="00EC5325" w:rsidRDefault="00224F75" w:rsidP="00EC5325">
      <w:pPr>
        <w:pStyle w:val="SingleTxt"/>
        <w:rPr>
          <w:rFonts w:hint="eastAsia"/>
        </w:rPr>
      </w:pPr>
      <w:r>
        <w:rPr>
          <w:rFonts w:hint="eastAsia"/>
        </w:rPr>
        <w:t xml:space="preserve">104.  </w:t>
      </w:r>
      <w:r w:rsidR="00EC5325">
        <w:rPr>
          <w:rFonts w:hint="eastAsia"/>
        </w:rPr>
        <w:t>在委内瑞拉，根据国家统计局在</w:t>
      </w:r>
      <w:r w:rsidR="00EC5325">
        <w:rPr>
          <w:rFonts w:hint="eastAsia"/>
        </w:rPr>
        <w:t>2011</w:t>
      </w:r>
      <w:r w:rsidR="00EC5325">
        <w:rPr>
          <w:rFonts w:hint="eastAsia"/>
        </w:rPr>
        <w:t>年进行的最新一次普查，估计土著妇女的人数达到</w:t>
      </w:r>
      <w:r w:rsidR="00EC5325">
        <w:rPr>
          <w:rFonts w:hint="eastAsia"/>
        </w:rPr>
        <w:t>359 016</w:t>
      </w:r>
      <w:r w:rsidR="00EC5325">
        <w:rPr>
          <w:rFonts w:hint="eastAsia"/>
        </w:rPr>
        <w:t>人，占土著人口总数的</w:t>
      </w:r>
      <w:r w:rsidR="00EC5325">
        <w:rPr>
          <w:rFonts w:hint="eastAsia"/>
        </w:rPr>
        <w:t>49.5%</w:t>
      </w:r>
      <w:r w:rsidR="008625CB">
        <w:rPr>
          <w:rFonts w:hint="eastAsia"/>
        </w:rPr>
        <w:t>(</w:t>
      </w:r>
      <w:r w:rsidR="00EC5325">
        <w:rPr>
          <w:rFonts w:hint="eastAsia"/>
        </w:rPr>
        <w:t>占国内人口总数的</w:t>
      </w:r>
      <w:r w:rsidR="00EC5325">
        <w:rPr>
          <w:rFonts w:hint="eastAsia"/>
        </w:rPr>
        <w:t>2.7%</w:t>
      </w:r>
      <w:r w:rsidR="008625CB">
        <w:rPr>
          <w:rFonts w:hint="eastAsia"/>
        </w:rPr>
        <w:t>)</w:t>
      </w:r>
      <w:r w:rsidR="00EC5325">
        <w:rPr>
          <w:rFonts w:hint="eastAsia"/>
        </w:rPr>
        <w:t>。人民政权土著人事务部实施了若干对土著妇女有利的项目，其中一个就是为国内极端弱势人口提供立即和持续的关爱。</w:t>
      </w:r>
    </w:p>
    <w:p w:rsidR="00EC5325" w:rsidRDefault="00224F75" w:rsidP="00EC5325">
      <w:pPr>
        <w:pStyle w:val="SingleTxt"/>
        <w:rPr>
          <w:rFonts w:hint="eastAsia"/>
        </w:rPr>
      </w:pPr>
      <w:r>
        <w:rPr>
          <w:rFonts w:hint="eastAsia"/>
        </w:rPr>
        <w:t xml:space="preserve">105.  </w:t>
      </w:r>
      <w:r w:rsidR="00EC5325">
        <w:rPr>
          <w:rFonts w:hint="eastAsia"/>
        </w:rPr>
        <w:t>迄今人民政权土著人事务部已经资助开展了总计</w:t>
      </w:r>
      <w:r w:rsidR="00EC5325">
        <w:rPr>
          <w:rFonts w:hint="eastAsia"/>
        </w:rPr>
        <w:t>31</w:t>
      </w:r>
      <w:r w:rsidR="00EC5325">
        <w:rPr>
          <w:rFonts w:hint="eastAsia"/>
        </w:rPr>
        <w:t>个针对土著妇女的项目，其中大多数项目都是为了促进经济社会发展，例如种植和手工艺项目，共有</w:t>
      </w:r>
      <w:r w:rsidR="00EC5325">
        <w:rPr>
          <w:rFonts w:hint="eastAsia"/>
        </w:rPr>
        <w:t>2 172</w:t>
      </w:r>
      <w:r w:rsidR="00EC5325">
        <w:rPr>
          <w:rFonts w:hint="eastAsia"/>
        </w:rPr>
        <w:t>名土著妇女从中受益。</w:t>
      </w:r>
    </w:p>
    <w:p w:rsidR="00EC5325" w:rsidRDefault="00224F75" w:rsidP="00EC5325">
      <w:pPr>
        <w:pStyle w:val="SingleTxt"/>
        <w:rPr>
          <w:rFonts w:hint="eastAsia"/>
        </w:rPr>
      </w:pPr>
      <w:r>
        <w:rPr>
          <w:rFonts w:hint="eastAsia"/>
        </w:rPr>
        <w:t xml:space="preserve">106.  </w:t>
      </w:r>
      <w:r w:rsidR="00EC5325">
        <w:rPr>
          <w:rFonts w:hint="eastAsia"/>
        </w:rPr>
        <w:t>司法机关已经颁布了若干与土著人口和土著社区相关的判决，其主旨就是要落实土著特别管辖权。《宪法》第</w:t>
      </w:r>
      <w:r w:rsidR="00EC5325">
        <w:rPr>
          <w:rFonts w:hint="eastAsia"/>
        </w:rPr>
        <w:t>260</w:t>
      </w:r>
      <w:r w:rsidR="00EC5325">
        <w:rPr>
          <w:rFonts w:hint="eastAsia"/>
        </w:rPr>
        <w:t>条规定了土著人民的司法治理权，土</w:t>
      </w:r>
      <w:r w:rsidR="00EC5325" w:rsidRPr="009D42A2">
        <w:rPr>
          <w:rFonts w:hint="eastAsia"/>
          <w:spacing w:val="2"/>
        </w:rPr>
        <w:t>著司法当局根据该条被赋予了司法管辖权，据此可以在其领地内设立司法机关，根据其自有的规则和程序开展工作，但仅对土著成员具有管辖权，且不得与《宪法》、</w:t>
      </w:r>
      <w:r w:rsidR="00EC5325">
        <w:rPr>
          <w:rFonts w:hint="eastAsia"/>
        </w:rPr>
        <w:t>法律相悖或者破坏公共秩序。这表明委内瑞拉是一个多民族和多元文化的社会。</w:t>
      </w:r>
    </w:p>
    <w:p w:rsidR="00EC5325" w:rsidRDefault="00224F75" w:rsidP="00EC5325">
      <w:pPr>
        <w:pStyle w:val="SingleTxt"/>
        <w:rPr>
          <w:rFonts w:hint="eastAsia"/>
        </w:rPr>
      </w:pPr>
      <w:r>
        <w:rPr>
          <w:rFonts w:hint="eastAsia"/>
        </w:rPr>
        <w:t xml:space="preserve">107.  </w:t>
      </w:r>
      <w:r w:rsidR="00EC5325">
        <w:rPr>
          <w:rFonts w:hint="eastAsia"/>
        </w:rPr>
        <w:t>公诉处已经在全国范围内设立了两</w:t>
      </w:r>
      <w:r w:rsidR="008625CB">
        <w:rPr>
          <w:rFonts w:hint="eastAsia"/>
        </w:rPr>
        <w:t>(</w:t>
      </w:r>
      <w:r w:rsidR="00EC5325">
        <w:rPr>
          <w:rFonts w:hint="eastAsia"/>
        </w:rPr>
        <w:t>2</w:t>
      </w:r>
      <w:r w:rsidR="008625CB">
        <w:rPr>
          <w:rFonts w:hint="eastAsia"/>
        </w:rPr>
        <w:t>)</w:t>
      </w:r>
      <w:r w:rsidR="00EC5325">
        <w:rPr>
          <w:rFonts w:hint="eastAsia"/>
        </w:rPr>
        <w:t>个专门处理土著问题的检察官办公室，以协调土著特别管辖权与一般刑事管辖权。</w:t>
      </w:r>
    </w:p>
    <w:p w:rsidR="00EC5325" w:rsidRDefault="00224F75" w:rsidP="00EC5325">
      <w:pPr>
        <w:pStyle w:val="SingleTxt"/>
        <w:rPr>
          <w:rFonts w:hint="eastAsia"/>
        </w:rPr>
      </w:pPr>
      <w:r>
        <w:rPr>
          <w:rFonts w:hint="eastAsia"/>
        </w:rPr>
        <w:t xml:space="preserve">108.  </w:t>
      </w:r>
      <w:r w:rsidR="00EC5325">
        <w:rPr>
          <w:rFonts w:hint="eastAsia"/>
        </w:rPr>
        <w:t>在土地和自然资源方面，委内瑞拉十分重视土著人民的参与，其中就包括咨商权，这对土著聚居地和土著领地具有强制约束力，在《土著人民和土著社区组织法》中明文规定，在没有行使咨商权的情况下，不得在土著领地中实施任何类型的项目。</w:t>
      </w:r>
    </w:p>
    <w:p w:rsidR="009D42A2" w:rsidRPr="009D42A2" w:rsidRDefault="009D42A2" w:rsidP="009D42A2">
      <w:pPr>
        <w:pStyle w:val="SingleTxt"/>
        <w:spacing w:after="0" w:line="120" w:lineRule="exact"/>
        <w:rPr>
          <w:rFonts w:ascii="SimHei" w:eastAsia="SimHei" w:hAnsi="SimHei" w:hint="eastAsia"/>
          <w:sz w:val="10"/>
        </w:rPr>
      </w:pPr>
    </w:p>
    <w:p w:rsidR="00EC5325" w:rsidRPr="00224F75" w:rsidRDefault="00EC5325" w:rsidP="00EC5325">
      <w:pPr>
        <w:pStyle w:val="SingleTxt"/>
        <w:rPr>
          <w:rFonts w:ascii="SimHei" w:eastAsia="SimHei" w:hAnsi="SimHei" w:hint="eastAsia"/>
        </w:rPr>
      </w:pPr>
      <w:r w:rsidRPr="00224F75">
        <w:rPr>
          <w:rFonts w:ascii="SimHei" w:eastAsia="SimHei" w:hAnsi="SimHei" w:hint="eastAsia"/>
        </w:rPr>
        <w:t>被拘留妇女</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问题19：被拘留妇女</w:t>
      </w:r>
    </w:p>
    <w:p w:rsidR="00EC5325" w:rsidRDefault="00224F75" w:rsidP="00EC5325">
      <w:pPr>
        <w:pStyle w:val="SingleTxt"/>
        <w:rPr>
          <w:rFonts w:hint="eastAsia"/>
        </w:rPr>
      </w:pPr>
      <w:r>
        <w:rPr>
          <w:rFonts w:hint="eastAsia"/>
        </w:rPr>
        <w:t xml:space="preserve">109.  </w:t>
      </w:r>
      <w:r w:rsidR="00EC5325">
        <w:rPr>
          <w:rFonts w:hint="eastAsia"/>
        </w:rPr>
        <w:t>为确保在落实被剥夺自由妇女的权利方面不断取得进步，使其在监狱机构中的处境得到改善，委内瑞拉设立了一些专门收押被剥夺自由妇女的监所，为其提供庇护，并根据《监狱制度法》的规定，在同时兼收男犯和女犯的监所，将分配给女犯的房舍彻底隔离。同样还规范了保障措施，以便被拘留妇女享有接受家属探视的权利。通过这些措施，国家还落实了《囚犯待遇最低限度标准规则》中包含的联合国任务，特别是规则</w:t>
      </w:r>
      <w:r w:rsidR="00EC5325">
        <w:rPr>
          <w:rFonts w:hint="eastAsia"/>
        </w:rPr>
        <w:t>8</w:t>
      </w:r>
      <w:r w:rsidR="008625CB">
        <w:rPr>
          <w:rFonts w:hint="eastAsia"/>
        </w:rPr>
        <w:t>(</w:t>
      </w:r>
      <w:r w:rsidR="00EC5325">
        <w:rPr>
          <w:rFonts w:hint="eastAsia"/>
        </w:rPr>
        <w:t>a</w:t>
      </w:r>
      <w:r w:rsidR="008625CB">
        <w:rPr>
          <w:rFonts w:hint="eastAsia"/>
        </w:rPr>
        <w:t>)</w:t>
      </w:r>
      <w:r w:rsidR="00EC5325">
        <w:rPr>
          <w:rFonts w:hint="eastAsia"/>
        </w:rPr>
        <w:t>款中的规定。</w:t>
      </w:r>
      <w:r w:rsidR="00EC5325">
        <w:rPr>
          <w:rFonts w:hint="eastAsia"/>
        </w:rPr>
        <w:t xml:space="preserve"> </w:t>
      </w:r>
    </w:p>
    <w:p w:rsidR="00EC5325" w:rsidRDefault="00224F75" w:rsidP="00EC5325">
      <w:pPr>
        <w:pStyle w:val="SingleTxt"/>
        <w:rPr>
          <w:rFonts w:hint="eastAsia"/>
        </w:rPr>
      </w:pPr>
      <w:r>
        <w:rPr>
          <w:rFonts w:hint="eastAsia"/>
        </w:rPr>
        <w:t xml:space="preserve">110.  </w:t>
      </w:r>
      <w:r w:rsidR="00EC5325">
        <w:rPr>
          <w:rFonts w:hint="eastAsia"/>
        </w:rPr>
        <w:t>需要强调的是，对于处于妊娠期或哺乳期的被拘留妇女，国家将按医嘱或者治疗方针提供特殊医疗服务，从而保障孕产妇及其子女的权利。此外，国家还努力让孕妇在监狱机构以外的专门医疗机构中进行分娩。如果无法实现这一点，则确保让孕妇在具备适当卫生和医疗条件的场所进行分娩，以便在被拘留妇女分娩和产后为其提供帮助。</w:t>
      </w:r>
    </w:p>
    <w:p w:rsidR="00EC5325" w:rsidRDefault="00224F75" w:rsidP="00EC5325">
      <w:pPr>
        <w:pStyle w:val="SingleTxt"/>
        <w:rPr>
          <w:rFonts w:hint="eastAsia"/>
        </w:rPr>
      </w:pPr>
      <w:r>
        <w:rPr>
          <w:rFonts w:hint="eastAsia"/>
        </w:rPr>
        <w:t xml:space="preserve">111.  </w:t>
      </w:r>
      <w:r w:rsidR="00EC5325">
        <w:rPr>
          <w:rFonts w:hint="eastAsia"/>
        </w:rPr>
        <w:t>针对提供文化教育和劳动培训这一问题，让被拘留妇女有机会参与全面照顾方案、扫盲方案和三个阶段的学习教育：通过罗宾逊计划提供小学教育；通过里瓦斯计划提供中学教育，并通过苏克雷计划提供大学教育。</w:t>
      </w:r>
    </w:p>
    <w:p w:rsidR="00EC5325" w:rsidRDefault="00224F75" w:rsidP="00EC5325">
      <w:pPr>
        <w:pStyle w:val="SingleTxt"/>
        <w:rPr>
          <w:rFonts w:hint="eastAsia"/>
        </w:rPr>
      </w:pPr>
      <w:r>
        <w:rPr>
          <w:rFonts w:hint="eastAsia"/>
        </w:rPr>
        <w:t xml:space="preserve">112.  </w:t>
      </w:r>
      <w:r w:rsidR="00EC5325">
        <w:rPr>
          <w:rFonts w:hint="eastAsia"/>
        </w:rPr>
        <w:t>同样，已经制定了若干文化教育和劳动培训计划，例如“好运到来计划”，该计划惠及到</w:t>
      </w:r>
      <w:r w:rsidR="00EC5325">
        <w:rPr>
          <w:rFonts w:hint="eastAsia"/>
        </w:rPr>
        <w:t>2 052</w:t>
      </w:r>
      <w:r w:rsidR="00EC5325">
        <w:rPr>
          <w:rFonts w:hint="eastAsia"/>
        </w:rPr>
        <w:t>名被拘留妇女。同样在这方面还制定了“时来运转计划”，将被拘留的孕产妇纳入到监狱机构的冲突解决机制中以及全国范围内的关爱机构中。同样还出台了“坎波特计划”，该计划旨在将被拘留妇女纳入到由国家监狱建筑基金资助开展的监狱基础设施修复、重建和改造进程中。同样，国内有</w:t>
      </w:r>
      <w:r w:rsidR="00EC5325">
        <w:rPr>
          <w:rFonts w:hint="eastAsia"/>
        </w:rPr>
        <w:t>2 331</w:t>
      </w:r>
      <w:r w:rsidR="00EC5325">
        <w:rPr>
          <w:rFonts w:hint="eastAsia"/>
        </w:rPr>
        <w:t>名被拘留妇女正逐步得益于法律规定的程序优待，这是旨在打击司法程序拖沓的“卡亚帕计划”实施的结果。</w:t>
      </w:r>
    </w:p>
    <w:p w:rsidR="00EC5325" w:rsidRDefault="00224F75" w:rsidP="00EC5325">
      <w:pPr>
        <w:pStyle w:val="SingleTxt"/>
        <w:rPr>
          <w:rFonts w:hint="eastAsia"/>
        </w:rPr>
      </w:pPr>
      <w:r>
        <w:rPr>
          <w:rFonts w:hint="eastAsia"/>
        </w:rPr>
        <w:t xml:space="preserve">113.  </w:t>
      </w:r>
      <w:r w:rsidR="00EC5325">
        <w:rPr>
          <w:rFonts w:hint="eastAsia"/>
        </w:rPr>
        <w:t>为量化并提供被拘留妇女状况的分类数据，在下表中将介绍处于被剥夺自由状况的妇女的相关信息：</w:t>
      </w:r>
    </w:p>
    <w:p w:rsidR="009D42A2" w:rsidRDefault="009D42A2" w:rsidP="009D42A2">
      <w:pPr>
        <w:pStyle w:val="SingleTxt"/>
        <w:spacing w:after="0" w:line="120" w:lineRule="exact"/>
        <w:rPr>
          <w:rFonts w:hint="eastAsia"/>
        </w:rPr>
      </w:pPr>
      <w:r>
        <w:br w:type="page"/>
      </w:r>
    </w:p>
    <w:tbl>
      <w:tblPr>
        <w:tblW w:w="7319" w:type="dxa"/>
        <w:tblInd w:w="1276" w:type="dxa"/>
        <w:tblCellMar>
          <w:left w:w="0" w:type="dxa"/>
          <w:right w:w="0" w:type="dxa"/>
        </w:tblCellMar>
        <w:tblLook w:val="04A0"/>
      </w:tblPr>
      <w:tblGrid>
        <w:gridCol w:w="908"/>
        <w:gridCol w:w="1644"/>
        <w:gridCol w:w="1984"/>
        <w:gridCol w:w="2783"/>
      </w:tblGrid>
      <w:tr w:rsidR="008625CB" w:rsidRPr="008625CB" w:rsidTr="00621605">
        <w:trPr>
          <w:trHeight w:val="240"/>
          <w:tblHeader/>
        </w:trPr>
        <w:tc>
          <w:tcPr>
            <w:tcW w:w="908" w:type="dxa"/>
            <w:tcBorders>
              <w:top w:val="single" w:sz="4" w:space="0" w:color="auto"/>
              <w:bottom w:val="single" w:sz="12" w:space="0" w:color="auto"/>
            </w:tcBorders>
            <w:shd w:val="clear" w:color="auto" w:fill="auto"/>
          </w:tcPr>
          <w:p w:rsidR="008625CB" w:rsidRPr="008625CB" w:rsidRDefault="008625CB" w:rsidP="008625CB">
            <w:pPr>
              <w:pStyle w:val="SingleTxtG"/>
              <w:spacing w:before="60" w:after="60" w:line="200" w:lineRule="exact"/>
              <w:ind w:left="0" w:right="57"/>
              <w:jc w:val="left"/>
              <w:rPr>
                <w:rFonts w:eastAsia="楷体" w:hint="eastAsia"/>
                <w:bCs/>
                <w:sz w:val="15"/>
                <w:szCs w:val="21"/>
                <w:lang w:val="es-VE" w:eastAsia="zh-CN"/>
              </w:rPr>
            </w:pPr>
            <w:r w:rsidRPr="008625CB">
              <w:rPr>
                <w:rFonts w:eastAsia="楷体" w:hint="eastAsia"/>
                <w:bCs/>
                <w:sz w:val="15"/>
                <w:szCs w:val="21"/>
                <w:lang w:val="es-VE" w:eastAsia="zh-CN"/>
              </w:rPr>
              <w:t>地区</w:t>
            </w:r>
          </w:p>
        </w:tc>
        <w:tc>
          <w:tcPr>
            <w:tcW w:w="1644" w:type="dxa"/>
            <w:tcBorders>
              <w:top w:val="single" w:sz="4" w:space="0" w:color="auto"/>
              <w:bottom w:val="single" w:sz="12" w:space="0" w:color="auto"/>
            </w:tcBorders>
            <w:shd w:val="clear" w:color="auto" w:fill="auto"/>
          </w:tcPr>
          <w:p w:rsidR="008625CB" w:rsidRPr="008625CB" w:rsidRDefault="008625CB" w:rsidP="008625CB">
            <w:pPr>
              <w:pStyle w:val="SingleTxtG"/>
              <w:spacing w:before="60" w:after="60" w:line="200" w:lineRule="exact"/>
              <w:ind w:left="0" w:right="57"/>
              <w:jc w:val="right"/>
              <w:rPr>
                <w:rFonts w:eastAsia="楷体" w:hint="eastAsia"/>
                <w:bCs/>
                <w:sz w:val="15"/>
                <w:szCs w:val="21"/>
                <w:lang w:val="es-VE" w:eastAsia="zh-CN"/>
              </w:rPr>
            </w:pPr>
            <w:r w:rsidRPr="008625CB">
              <w:rPr>
                <w:rFonts w:eastAsia="楷体" w:hint="eastAsia"/>
                <w:bCs/>
                <w:sz w:val="15"/>
                <w:szCs w:val="21"/>
                <w:lang w:val="es-VE" w:eastAsia="zh-CN"/>
              </w:rPr>
              <w:t>委内瑞拉人</w:t>
            </w:r>
          </w:p>
        </w:tc>
        <w:tc>
          <w:tcPr>
            <w:tcW w:w="1984" w:type="dxa"/>
            <w:tcBorders>
              <w:top w:val="single" w:sz="4" w:space="0" w:color="auto"/>
              <w:bottom w:val="single" w:sz="12" w:space="0" w:color="auto"/>
            </w:tcBorders>
            <w:shd w:val="clear" w:color="auto" w:fill="auto"/>
          </w:tcPr>
          <w:p w:rsidR="008625CB" w:rsidRPr="008625CB" w:rsidRDefault="008625CB" w:rsidP="008625CB">
            <w:pPr>
              <w:pStyle w:val="SingleTxtG"/>
              <w:spacing w:before="60" w:after="60" w:line="200" w:lineRule="exact"/>
              <w:ind w:left="0" w:right="57"/>
              <w:jc w:val="right"/>
              <w:rPr>
                <w:rFonts w:eastAsia="楷体" w:hint="eastAsia"/>
                <w:bCs/>
                <w:sz w:val="15"/>
                <w:szCs w:val="21"/>
                <w:lang w:val="es-VE" w:eastAsia="zh-CN"/>
              </w:rPr>
            </w:pPr>
            <w:r w:rsidRPr="008625CB">
              <w:rPr>
                <w:rFonts w:eastAsia="楷体" w:hint="eastAsia"/>
                <w:bCs/>
                <w:sz w:val="15"/>
                <w:szCs w:val="21"/>
                <w:lang w:val="es-VE" w:eastAsia="zh-CN"/>
              </w:rPr>
              <w:t>外国人</w:t>
            </w:r>
          </w:p>
        </w:tc>
        <w:tc>
          <w:tcPr>
            <w:tcW w:w="2783" w:type="dxa"/>
            <w:tcBorders>
              <w:top w:val="single" w:sz="4" w:space="0" w:color="auto"/>
              <w:bottom w:val="single" w:sz="12" w:space="0" w:color="auto"/>
            </w:tcBorders>
            <w:shd w:val="clear" w:color="auto" w:fill="auto"/>
          </w:tcPr>
          <w:p w:rsidR="008625CB" w:rsidRPr="008625CB" w:rsidRDefault="008625CB" w:rsidP="00621605">
            <w:pPr>
              <w:pStyle w:val="SingleTxtG"/>
              <w:spacing w:before="60" w:after="60" w:line="200" w:lineRule="exact"/>
              <w:ind w:left="454" w:right="57"/>
              <w:jc w:val="left"/>
              <w:rPr>
                <w:rFonts w:eastAsia="楷体" w:hint="eastAsia"/>
                <w:bCs/>
                <w:sz w:val="15"/>
                <w:szCs w:val="21"/>
                <w:lang w:val="es-VE" w:eastAsia="zh-CN"/>
              </w:rPr>
            </w:pPr>
            <w:r w:rsidRPr="008625CB">
              <w:rPr>
                <w:rFonts w:eastAsia="楷体" w:hint="eastAsia"/>
                <w:bCs/>
                <w:sz w:val="15"/>
                <w:szCs w:val="21"/>
                <w:lang w:val="es-VE" w:eastAsia="zh-CN"/>
              </w:rPr>
              <w:t>民族团体</w:t>
            </w:r>
          </w:p>
        </w:tc>
      </w:tr>
      <w:tr w:rsidR="008625CB" w:rsidRPr="008625CB" w:rsidTr="00621605">
        <w:trPr>
          <w:trHeight w:hRule="exact" w:val="115"/>
          <w:tblHeader/>
        </w:trPr>
        <w:tc>
          <w:tcPr>
            <w:tcW w:w="908" w:type="dxa"/>
            <w:tcBorders>
              <w:top w:val="single" w:sz="12" w:space="0" w:color="auto"/>
            </w:tcBorders>
            <w:shd w:val="clear" w:color="auto" w:fill="auto"/>
          </w:tcPr>
          <w:p w:rsidR="008625CB" w:rsidRPr="008625CB" w:rsidRDefault="008625CB" w:rsidP="008625CB">
            <w:pPr>
              <w:pStyle w:val="SingleTxtG"/>
              <w:spacing w:after="60" w:line="280" w:lineRule="exact"/>
              <w:ind w:left="0" w:right="57"/>
              <w:jc w:val="left"/>
              <w:rPr>
                <w:rFonts w:hint="eastAsia"/>
                <w:bCs/>
                <w:sz w:val="17"/>
                <w:szCs w:val="21"/>
                <w:lang w:val="es-VE" w:eastAsia="zh-CN"/>
              </w:rPr>
            </w:pPr>
          </w:p>
        </w:tc>
        <w:tc>
          <w:tcPr>
            <w:tcW w:w="1644" w:type="dxa"/>
            <w:tcBorders>
              <w:top w:val="single" w:sz="12" w:space="0" w:color="auto"/>
            </w:tcBorders>
            <w:shd w:val="clear" w:color="auto" w:fill="auto"/>
          </w:tcPr>
          <w:p w:rsidR="008625CB" w:rsidRPr="008625CB" w:rsidRDefault="008625CB" w:rsidP="008625CB">
            <w:pPr>
              <w:pStyle w:val="SingleTxtG"/>
              <w:spacing w:after="60" w:line="280" w:lineRule="exact"/>
              <w:ind w:left="0" w:right="57"/>
              <w:jc w:val="right"/>
              <w:rPr>
                <w:sz w:val="17"/>
                <w:szCs w:val="21"/>
                <w:lang w:val="es-VE"/>
              </w:rPr>
            </w:pPr>
          </w:p>
        </w:tc>
        <w:tc>
          <w:tcPr>
            <w:tcW w:w="1984" w:type="dxa"/>
            <w:tcBorders>
              <w:top w:val="single" w:sz="12" w:space="0" w:color="auto"/>
            </w:tcBorders>
            <w:shd w:val="clear" w:color="auto" w:fill="auto"/>
          </w:tcPr>
          <w:p w:rsidR="008625CB" w:rsidRPr="008625CB" w:rsidRDefault="008625CB" w:rsidP="008625CB">
            <w:pPr>
              <w:pStyle w:val="SingleTxtG"/>
              <w:spacing w:after="60" w:line="280" w:lineRule="exact"/>
              <w:ind w:left="0" w:right="57"/>
              <w:jc w:val="right"/>
              <w:rPr>
                <w:sz w:val="17"/>
                <w:szCs w:val="21"/>
                <w:lang w:val="es-VE"/>
              </w:rPr>
            </w:pPr>
          </w:p>
        </w:tc>
        <w:tc>
          <w:tcPr>
            <w:tcW w:w="2783" w:type="dxa"/>
            <w:tcBorders>
              <w:top w:val="single" w:sz="12" w:space="0" w:color="auto"/>
            </w:tcBorders>
            <w:shd w:val="clear" w:color="auto" w:fill="auto"/>
          </w:tcPr>
          <w:p w:rsidR="008625CB" w:rsidRPr="008625CB" w:rsidRDefault="008625CB" w:rsidP="008625CB">
            <w:pPr>
              <w:pStyle w:val="SingleTxtG"/>
              <w:spacing w:after="60" w:line="280" w:lineRule="exact"/>
              <w:ind w:left="227" w:right="57"/>
              <w:jc w:val="left"/>
              <w:rPr>
                <w:sz w:val="17"/>
                <w:szCs w:val="21"/>
                <w:lang w:val="es-VE"/>
              </w:rPr>
            </w:pPr>
          </w:p>
        </w:tc>
      </w:tr>
      <w:tr w:rsidR="008625CB" w:rsidRPr="008625CB" w:rsidTr="00621605">
        <w:trPr>
          <w:trHeight w:val="240"/>
        </w:trPr>
        <w:tc>
          <w:tcPr>
            <w:tcW w:w="908"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rPr>
                <w:rFonts w:hint="eastAsia"/>
                <w:bCs/>
                <w:sz w:val="17"/>
                <w:szCs w:val="21"/>
                <w:lang w:val="es-VE" w:eastAsia="zh-CN"/>
              </w:rPr>
            </w:pPr>
            <w:r w:rsidRPr="008625CB">
              <w:rPr>
                <w:rFonts w:hint="eastAsia"/>
                <w:bCs/>
                <w:sz w:val="17"/>
                <w:szCs w:val="21"/>
                <w:lang w:val="es-VE" w:eastAsia="zh-CN"/>
              </w:rPr>
              <w:t>首都地区</w:t>
            </w:r>
          </w:p>
        </w:tc>
        <w:tc>
          <w:tcPr>
            <w:tcW w:w="164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822</w:t>
            </w:r>
          </w:p>
        </w:tc>
        <w:tc>
          <w:tcPr>
            <w:tcW w:w="198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53</w:t>
            </w:r>
          </w:p>
        </w:tc>
        <w:tc>
          <w:tcPr>
            <w:tcW w:w="2783" w:type="dxa"/>
            <w:shd w:val="clear" w:color="auto" w:fill="auto"/>
          </w:tcPr>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Pr>
                <w:rFonts w:hint="eastAsia"/>
                <w:sz w:val="17"/>
                <w:szCs w:val="21"/>
                <w:lang w:val="es-VE" w:eastAsia="zh-CN"/>
              </w:rPr>
              <w:t>—</w:t>
            </w:r>
          </w:p>
        </w:tc>
      </w:tr>
      <w:tr w:rsidR="008625CB" w:rsidRPr="008625CB" w:rsidTr="00621605">
        <w:trPr>
          <w:trHeight w:val="240"/>
        </w:trPr>
        <w:tc>
          <w:tcPr>
            <w:tcW w:w="908"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rPr>
                <w:rFonts w:hint="eastAsia"/>
                <w:bCs/>
                <w:sz w:val="17"/>
                <w:szCs w:val="21"/>
                <w:lang w:val="es-VE" w:eastAsia="zh-CN"/>
              </w:rPr>
            </w:pPr>
            <w:r w:rsidRPr="008625CB">
              <w:rPr>
                <w:rFonts w:hint="eastAsia"/>
                <w:bCs/>
                <w:sz w:val="17"/>
                <w:szCs w:val="21"/>
                <w:lang w:val="es-VE" w:eastAsia="zh-CN"/>
              </w:rPr>
              <w:t>中部地区</w:t>
            </w:r>
          </w:p>
        </w:tc>
        <w:tc>
          <w:tcPr>
            <w:tcW w:w="164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805</w:t>
            </w:r>
          </w:p>
        </w:tc>
        <w:tc>
          <w:tcPr>
            <w:tcW w:w="198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26</w:t>
            </w:r>
          </w:p>
        </w:tc>
        <w:tc>
          <w:tcPr>
            <w:tcW w:w="2783" w:type="dxa"/>
            <w:shd w:val="clear" w:color="auto" w:fill="auto"/>
          </w:tcPr>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Pr>
                <w:rFonts w:hint="eastAsia"/>
                <w:sz w:val="17"/>
                <w:szCs w:val="21"/>
                <w:lang w:val="es-VE" w:eastAsia="zh-CN"/>
              </w:rPr>
              <w:t>—</w:t>
            </w:r>
          </w:p>
        </w:tc>
      </w:tr>
      <w:tr w:rsidR="008625CB" w:rsidRPr="008625CB" w:rsidTr="00621605">
        <w:trPr>
          <w:trHeight w:val="240"/>
        </w:trPr>
        <w:tc>
          <w:tcPr>
            <w:tcW w:w="908"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rPr>
                <w:rFonts w:hint="eastAsia"/>
                <w:bCs/>
                <w:sz w:val="17"/>
                <w:szCs w:val="21"/>
                <w:lang w:val="es-VE" w:eastAsia="zh-CN"/>
              </w:rPr>
            </w:pPr>
            <w:r w:rsidRPr="008625CB">
              <w:rPr>
                <w:rFonts w:hint="eastAsia"/>
                <w:bCs/>
                <w:sz w:val="17"/>
                <w:szCs w:val="21"/>
                <w:lang w:val="es-VE" w:eastAsia="zh-CN"/>
              </w:rPr>
              <w:t>东部地区</w:t>
            </w:r>
          </w:p>
        </w:tc>
        <w:tc>
          <w:tcPr>
            <w:tcW w:w="164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114</w:t>
            </w:r>
          </w:p>
        </w:tc>
        <w:tc>
          <w:tcPr>
            <w:tcW w:w="198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08</w:t>
            </w:r>
          </w:p>
        </w:tc>
        <w:tc>
          <w:tcPr>
            <w:tcW w:w="2783" w:type="dxa"/>
            <w:shd w:val="clear" w:color="auto" w:fill="auto"/>
          </w:tcPr>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Pr>
                <w:rFonts w:hint="eastAsia"/>
                <w:sz w:val="17"/>
                <w:szCs w:val="21"/>
                <w:lang w:val="es-VE" w:eastAsia="zh-CN"/>
              </w:rPr>
              <w:t>—</w:t>
            </w:r>
          </w:p>
        </w:tc>
      </w:tr>
      <w:tr w:rsidR="008625CB" w:rsidRPr="008625CB" w:rsidTr="00621605">
        <w:trPr>
          <w:trHeight w:val="240"/>
        </w:trPr>
        <w:tc>
          <w:tcPr>
            <w:tcW w:w="908"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rPr>
                <w:rFonts w:hint="eastAsia"/>
                <w:bCs/>
                <w:sz w:val="17"/>
                <w:szCs w:val="21"/>
                <w:lang w:val="es-VE" w:eastAsia="zh-CN"/>
              </w:rPr>
            </w:pPr>
            <w:r w:rsidRPr="008625CB">
              <w:rPr>
                <w:rFonts w:hint="eastAsia"/>
                <w:bCs/>
                <w:sz w:val="17"/>
                <w:szCs w:val="21"/>
                <w:lang w:val="es-VE" w:eastAsia="zh-CN"/>
              </w:rPr>
              <w:t>南部地区</w:t>
            </w:r>
          </w:p>
        </w:tc>
        <w:tc>
          <w:tcPr>
            <w:tcW w:w="164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p>
        </w:tc>
        <w:tc>
          <w:tcPr>
            <w:tcW w:w="198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p>
        </w:tc>
        <w:tc>
          <w:tcPr>
            <w:tcW w:w="2783" w:type="dxa"/>
            <w:shd w:val="clear" w:color="auto" w:fill="auto"/>
          </w:tcPr>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sidRPr="008625CB">
              <w:rPr>
                <w:rFonts w:hint="eastAsia"/>
                <w:sz w:val="17"/>
                <w:szCs w:val="21"/>
                <w:lang w:val="es-VE" w:eastAsia="zh-CN"/>
              </w:rPr>
              <w:t>瓜希罗族</w:t>
            </w:r>
            <w:r w:rsidRPr="008625CB">
              <w:rPr>
                <w:sz w:val="17"/>
                <w:szCs w:val="21"/>
                <w:lang w:val="es-VE" w:eastAsia="zh-CN"/>
              </w:rPr>
              <w:t>2</w:t>
            </w:r>
            <w:r w:rsidRPr="008625CB">
              <w:rPr>
                <w:rFonts w:hint="eastAsia"/>
                <w:sz w:val="17"/>
                <w:szCs w:val="21"/>
                <w:lang w:val="es-VE" w:eastAsia="zh-CN"/>
              </w:rPr>
              <w:t>人</w:t>
            </w:r>
          </w:p>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sidRPr="008625CB">
              <w:rPr>
                <w:rFonts w:hint="eastAsia"/>
                <w:sz w:val="17"/>
                <w:szCs w:val="21"/>
                <w:lang w:val="es-VE" w:eastAsia="zh-CN"/>
              </w:rPr>
              <w:t>西努族</w:t>
            </w:r>
            <w:r w:rsidRPr="008625CB">
              <w:rPr>
                <w:rFonts w:hint="eastAsia"/>
                <w:sz w:val="17"/>
                <w:szCs w:val="21"/>
                <w:lang w:val="es-VE" w:eastAsia="zh-CN"/>
              </w:rPr>
              <w:t>2</w:t>
            </w:r>
            <w:r w:rsidRPr="008625CB">
              <w:rPr>
                <w:rFonts w:hint="eastAsia"/>
                <w:sz w:val="17"/>
                <w:szCs w:val="21"/>
                <w:lang w:val="es-VE" w:eastAsia="zh-CN"/>
              </w:rPr>
              <w:t>人</w:t>
            </w:r>
          </w:p>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sidRPr="008625CB">
              <w:rPr>
                <w:rFonts w:hint="eastAsia"/>
                <w:sz w:val="17"/>
                <w:szCs w:val="21"/>
                <w:lang w:val="es-VE" w:eastAsia="zh-CN"/>
              </w:rPr>
              <w:t>普夏纳族</w:t>
            </w:r>
            <w:r w:rsidRPr="008625CB">
              <w:rPr>
                <w:rFonts w:hint="eastAsia"/>
                <w:sz w:val="17"/>
                <w:szCs w:val="21"/>
                <w:lang w:val="es-VE" w:eastAsia="zh-CN"/>
              </w:rPr>
              <w:t>1</w:t>
            </w:r>
            <w:r w:rsidRPr="008625CB">
              <w:rPr>
                <w:rFonts w:hint="eastAsia"/>
                <w:sz w:val="17"/>
                <w:szCs w:val="21"/>
                <w:lang w:val="es-VE" w:eastAsia="zh-CN"/>
              </w:rPr>
              <w:t>人</w:t>
            </w:r>
          </w:p>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sidRPr="008625CB">
              <w:rPr>
                <w:rFonts w:hint="eastAsia"/>
                <w:sz w:val="17"/>
                <w:szCs w:val="21"/>
                <w:lang w:val="es-VE" w:eastAsia="zh-CN"/>
              </w:rPr>
              <w:t>乌拉里古族</w:t>
            </w:r>
            <w:r w:rsidRPr="008625CB">
              <w:rPr>
                <w:rFonts w:hint="eastAsia"/>
                <w:sz w:val="17"/>
                <w:szCs w:val="21"/>
                <w:lang w:val="es-VE" w:eastAsia="zh-CN"/>
              </w:rPr>
              <w:t>1</w:t>
            </w:r>
            <w:r w:rsidRPr="008625CB">
              <w:rPr>
                <w:rFonts w:hint="eastAsia"/>
                <w:sz w:val="17"/>
                <w:szCs w:val="21"/>
                <w:lang w:val="es-VE" w:eastAsia="zh-CN"/>
              </w:rPr>
              <w:t>人</w:t>
            </w:r>
          </w:p>
          <w:p w:rsidR="008625CB" w:rsidRPr="008625CB" w:rsidRDefault="008625CB" w:rsidP="009D42A2">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sidRPr="008625CB">
              <w:rPr>
                <w:rFonts w:hint="eastAsia"/>
                <w:sz w:val="17"/>
                <w:szCs w:val="21"/>
                <w:lang w:val="es-VE" w:eastAsia="zh-CN"/>
              </w:rPr>
              <w:t>埃皮亚龙族</w:t>
            </w:r>
            <w:r w:rsidRPr="008625CB">
              <w:rPr>
                <w:rFonts w:hint="eastAsia"/>
                <w:sz w:val="17"/>
                <w:szCs w:val="21"/>
                <w:lang w:val="es-VE" w:eastAsia="zh-CN"/>
              </w:rPr>
              <w:t>4</w:t>
            </w:r>
            <w:r w:rsidRPr="008625CB">
              <w:rPr>
                <w:rFonts w:hint="eastAsia"/>
                <w:sz w:val="17"/>
                <w:szCs w:val="21"/>
                <w:lang w:val="es-VE" w:eastAsia="zh-CN"/>
              </w:rPr>
              <w:t>人</w:t>
            </w:r>
          </w:p>
        </w:tc>
      </w:tr>
      <w:tr w:rsidR="008625CB" w:rsidRPr="008625CB" w:rsidTr="00621605">
        <w:trPr>
          <w:trHeight w:val="240"/>
        </w:trPr>
        <w:tc>
          <w:tcPr>
            <w:tcW w:w="908"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rPr>
                <w:rFonts w:hint="eastAsia"/>
                <w:bCs/>
                <w:sz w:val="17"/>
                <w:szCs w:val="21"/>
                <w:lang w:val="es-VE" w:eastAsia="zh-CN"/>
              </w:rPr>
            </w:pPr>
          </w:p>
        </w:tc>
        <w:tc>
          <w:tcPr>
            <w:tcW w:w="164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rFonts w:hint="eastAsia"/>
                <w:sz w:val="17"/>
                <w:szCs w:val="21"/>
                <w:lang w:val="es-VE" w:eastAsia="zh-CN"/>
              </w:rPr>
            </w:pPr>
            <w:r>
              <w:rPr>
                <w:rFonts w:hint="eastAsia"/>
                <w:sz w:val="17"/>
                <w:szCs w:val="21"/>
                <w:lang w:val="es-VE" w:eastAsia="zh-CN"/>
              </w:rPr>
              <w:t>525</w:t>
            </w:r>
          </w:p>
        </w:tc>
        <w:tc>
          <w:tcPr>
            <w:tcW w:w="198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rFonts w:hint="eastAsia"/>
                <w:sz w:val="17"/>
                <w:szCs w:val="21"/>
                <w:lang w:val="es-VE" w:eastAsia="zh-CN"/>
              </w:rPr>
            </w:pPr>
            <w:r>
              <w:rPr>
                <w:rFonts w:hint="eastAsia"/>
                <w:sz w:val="17"/>
                <w:szCs w:val="21"/>
                <w:lang w:val="es-VE" w:eastAsia="zh-CN"/>
              </w:rPr>
              <w:t>54</w:t>
            </w:r>
          </w:p>
        </w:tc>
        <w:tc>
          <w:tcPr>
            <w:tcW w:w="2783" w:type="dxa"/>
            <w:shd w:val="clear" w:color="auto" w:fill="auto"/>
          </w:tcPr>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sidRPr="008625CB">
              <w:rPr>
                <w:rFonts w:hint="eastAsia"/>
                <w:sz w:val="17"/>
                <w:szCs w:val="21"/>
                <w:lang w:val="es-VE" w:eastAsia="zh-CN"/>
              </w:rPr>
              <w:t>合计：</w:t>
            </w:r>
            <w:r w:rsidRPr="008625CB">
              <w:rPr>
                <w:rFonts w:hint="eastAsia"/>
                <w:sz w:val="17"/>
                <w:szCs w:val="21"/>
                <w:lang w:val="es-VE" w:eastAsia="zh-CN"/>
              </w:rPr>
              <w:t>10</w:t>
            </w:r>
            <w:r w:rsidRPr="008625CB">
              <w:rPr>
                <w:rFonts w:hint="eastAsia"/>
                <w:sz w:val="17"/>
                <w:szCs w:val="21"/>
                <w:lang w:val="es-VE" w:eastAsia="zh-CN"/>
              </w:rPr>
              <w:t>人</w:t>
            </w:r>
          </w:p>
        </w:tc>
      </w:tr>
      <w:tr w:rsidR="008625CB" w:rsidRPr="008625CB" w:rsidTr="00621605">
        <w:trPr>
          <w:trHeight w:val="240"/>
        </w:trPr>
        <w:tc>
          <w:tcPr>
            <w:tcW w:w="908"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rPr>
                <w:rFonts w:hint="eastAsia"/>
                <w:bCs/>
                <w:sz w:val="17"/>
                <w:szCs w:val="21"/>
                <w:lang w:val="es-VE" w:eastAsia="zh-CN"/>
              </w:rPr>
            </w:pPr>
            <w:r w:rsidRPr="008625CB">
              <w:rPr>
                <w:rFonts w:hint="eastAsia"/>
                <w:bCs/>
                <w:sz w:val="17"/>
                <w:szCs w:val="21"/>
                <w:lang w:val="es-VE" w:eastAsia="zh-CN"/>
              </w:rPr>
              <w:t>平原地区</w:t>
            </w:r>
          </w:p>
        </w:tc>
        <w:tc>
          <w:tcPr>
            <w:tcW w:w="164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520</w:t>
            </w:r>
          </w:p>
        </w:tc>
        <w:tc>
          <w:tcPr>
            <w:tcW w:w="1984" w:type="dxa"/>
            <w:shd w:val="clear" w:color="auto" w:fill="auto"/>
          </w:tcPr>
          <w:p w:rsidR="008625CB" w:rsidRPr="008625CB" w:rsidRDefault="008625CB" w:rsidP="008625CB">
            <w:pPr>
              <w:pStyle w:val="SingleTxtG"/>
              <w:tabs>
                <w:tab w:val="left" w:pos="334"/>
                <w:tab w:val="left" w:pos="669"/>
                <w:tab w:val="left" w:pos="1003"/>
                <w:tab w:val="left" w:pos="1338"/>
              </w:tabs>
              <w:spacing w:after="60" w:line="280" w:lineRule="exact"/>
              <w:ind w:left="0" w:right="57"/>
              <w:jc w:val="right"/>
              <w:rPr>
                <w:sz w:val="17"/>
                <w:szCs w:val="21"/>
                <w:lang w:val="es-VE"/>
              </w:rPr>
            </w:pPr>
            <w:r w:rsidRPr="008625CB">
              <w:rPr>
                <w:sz w:val="17"/>
                <w:szCs w:val="21"/>
                <w:lang w:val="es-VE"/>
              </w:rPr>
              <w:t>90</w:t>
            </w:r>
          </w:p>
        </w:tc>
        <w:tc>
          <w:tcPr>
            <w:tcW w:w="2783" w:type="dxa"/>
            <w:shd w:val="clear" w:color="auto" w:fill="auto"/>
          </w:tcPr>
          <w:p w:rsidR="008625CB" w:rsidRPr="008625CB" w:rsidRDefault="008625CB" w:rsidP="00621605">
            <w:pPr>
              <w:pStyle w:val="SingleTxtG"/>
              <w:tabs>
                <w:tab w:val="left" w:pos="334"/>
                <w:tab w:val="left" w:pos="669"/>
                <w:tab w:val="left" w:pos="1003"/>
                <w:tab w:val="left" w:pos="1338"/>
              </w:tabs>
              <w:spacing w:after="60" w:line="280" w:lineRule="exact"/>
              <w:ind w:left="454" w:right="57"/>
              <w:jc w:val="left"/>
              <w:rPr>
                <w:rFonts w:hint="eastAsia"/>
                <w:sz w:val="17"/>
                <w:szCs w:val="21"/>
                <w:lang w:val="es-VE" w:eastAsia="zh-CN"/>
              </w:rPr>
            </w:pPr>
            <w:r>
              <w:rPr>
                <w:rFonts w:hint="eastAsia"/>
                <w:sz w:val="17"/>
                <w:szCs w:val="21"/>
                <w:lang w:val="es-VE" w:eastAsia="zh-CN"/>
              </w:rPr>
              <w:t>—</w:t>
            </w:r>
          </w:p>
        </w:tc>
      </w:tr>
      <w:tr w:rsidR="008625CB" w:rsidRPr="008625CB" w:rsidTr="00621605">
        <w:trPr>
          <w:trHeight w:val="240"/>
        </w:trPr>
        <w:tc>
          <w:tcPr>
            <w:tcW w:w="908" w:type="dxa"/>
            <w:tcBorders>
              <w:bottom w:val="single" w:sz="12" w:space="0" w:color="auto"/>
            </w:tcBorders>
            <w:shd w:val="clear" w:color="auto" w:fill="auto"/>
          </w:tcPr>
          <w:p w:rsidR="008625CB" w:rsidRPr="008625CB" w:rsidRDefault="008625CB" w:rsidP="008625CB">
            <w:pPr>
              <w:pStyle w:val="SingleTxtG"/>
              <w:tabs>
                <w:tab w:val="left" w:pos="334"/>
                <w:tab w:val="left" w:pos="669"/>
                <w:tab w:val="left" w:pos="1003"/>
                <w:tab w:val="left" w:pos="1338"/>
              </w:tabs>
              <w:spacing w:before="80" w:after="80" w:line="280" w:lineRule="exact"/>
              <w:ind w:left="0" w:right="57"/>
              <w:rPr>
                <w:rFonts w:ascii="SimHei" w:eastAsia="SimHei" w:hAnsi="SimHei" w:hint="eastAsia"/>
                <w:b/>
                <w:bCs/>
                <w:sz w:val="17"/>
                <w:szCs w:val="21"/>
                <w:lang w:val="es-VE" w:eastAsia="zh-CN"/>
              </w:rPr>
            </w:pPr>
            <w:r>
              <w:rPr>
                <w:rFonts w:ascii="SimHei" w:eastAsia="SimHei" w:hAnsi="SimHei"/>
                <w:b/>
                <w:bCs/>
                <w:sz w:val="17"/>
                <w:szCs w:val="21"/>
                <w:lang w:val="es-VE" w:eastAsia="zh-CN"/>
              </w:rPr>
              <w:tab/>
            </w:r>
            <w:r w:rsidRPr="008625CB">
              <w:rPr>
                <w:rFonts w:ascii="SimHei" w:eastAsia="SimHei" w:hAnsi="SimHei" w:hint="eastAsia"/>
                <w:b/>
                <w:bCs/>
                <w:sz w:val="17"/>
                <w:szCs w:val="21"/>
                <w:lang w:val="es-VE" w:eastAsia="zh-CN"/>
              </w:rPr>
              <w:t>合计</w:t>
            </w:r>
          </w:p>
        </w:tc>
        <w:tc>
          <w:tcPr>
            <w:tcW w:w="1644" w:type="dxa"/>
            <w:tcBorders>
              <w:bottom w:val="single" w:sz="12" w:space="0" w:color="auto"/>
            </w:tcBorders>
            <w:shd w:val="clear" w:color="auto" w:fill="auto"/>
          </w:tcPr>
          <w:p w:rsidR="008625CB" w:rsidRPr="008625CB" w:rsidRDefault="008625CB" w:rsidP="008625CB">
            <w:pPr>
              <w:pStyle w:val="SingleTxtG"/>
              <w:tabs>
                <w:tab w:val="left" w:pos="334"/>
                <w:tab w:val="left" w:pos="669"/>
                <w:tab w:val="left" w:pos="1003"/>
                <w:tab w:val="left" w:pos="1338"/>
              </w:tabs>
              <w:spacing w:before="80" w:after="80" w:line="280" w:lineRule="exact"/>
              <w:ind w:left="0" w:right="57"/>
              <w:jc w:val="right"/>
              <w:rPr>
                <w:b/>
                <w:sz w:val="17"/>
                <w:szCs w:val="21"/>
                <w:lang w:val="es-VE"/>
              </w:rPr>
            </w:pPr>
            <w:r w:rsidRPr="008625CB">
              <w:rPr>
                <w:b/>
                <w:sz w:val="17"/>
                <w:szCs w:val="21"/>
                <w:lang w:val="es-VE"/>
              </w:rPr>
              <w:t>2</w:t>
            </w:r>
            <w:r w:rsidRPr="008625CB">
              <w:rPr>
                <w:rFonts w:hint="eastAsia"/>
                <w:b/>
                <w:sz w:val="17"/>
                <w:szCs w:val="21"/>
                <w:lang w:val="es-VE" w:eastAsia="zh-CN"/>
              </w:rPr>
              <w:t xml:space="preserve"> </w:t>
            </w:r>
            <w:r w:rsidRPr="008625CB">
              <w:rPr>
                <w:b/>
                <w:sz w:val="17"/>
                <w:szCs w:val="21"/>
                <w:lang w:val="es-VE"/>
              </w:rPr>
              <w:t>786</w:t>
            </w:r>
          </w:p>
        </w:tc>
        <w:tc>
          <w:tcPr>
            <w:tcW w:w="1984" w:type="dxa"/>
            <w:tcBorders>
              <w:bottom w:val="single" w:sz="12" w:space="0" w:color="auto"/>
            </w:tcBorders>
            <w:shd w:val="clear" w:color="auto" w:fill="auto"/>
          </w:tcPr>
          <w:p w:rsidR="008625CB" w:rsidRPr="008625CB" w:rsidRDefault="008625CB" w:rsidP="008625CB">
            <w:pPr>
              <w:pStyle w:val="SingleTxtG"/>
              <w:tabs>
                <w:tab w:val="left" w:pos="334"/>
                <w:tab w:val="left" w:pos="669"/>
                <w:tab w:val="left" w:pos="1003"/>
                <w:tab w:val="left" w:pos="1338"/>
              </w:tabs>
              <w:spacing w:before="80" w:after="80" w:line="280" w:lineRule="exact"/>
              <w:ind w:left="0" w:right="57"/>
              <w:jc w:val="right"/>
              <w:rPr>
                <w:b/>
                <w:sz w:val="17"/>
                <w:szCs w:val="21"/>
                <w:lang w:val="es-VE"/>
              </w:rPr>
            </w:pPr>
            <w:r w:rsidRPr="008625CB">
              <w:rPr>
                <w:b/>
                <w:sz w:val="17"/>
                <w:szCs w:val="21"/>
                <w:lang w:val="es-VE"/>
              </w:rPr>
              <w:t>231</w:t>
            </w:r>
          </w:p>
        </w:tc>
        <w:tc>
          <w:tcPr>
            <w:tcW w:w="2783" w:type="dxa"/>
            <w:tcBorders>
              <w:bottom w:val="single" w:sz="12" w:space="0" w:color="auto"/>
            </w:tcBorders>
            <w:shd w:val="clear" w:color="auto" w:fill="auto"/>
          </w:tcPr>
          <w:p w:rsidR="008625CB" w:rsidRPr="008625CB" w:rsidRDefault="008625CB" w:rsidP="00621605">
            <w:pPr>
              <w:pStyle w:val="SingleTxtG"/>
              <w:tabs>
                <w:tab w:val="left" w:pos="334"/>
                <w:tab w:val="left" w:pos="669"/>
                <w:tab w:val="left" w:pos="1003"/>
                <w:tab w:val="left" w:pos="1338"/>
              </w:tabs>
              <w:spacing w:before="80" w:after="80" w:line="280" w:lineRule="exact"/>
              <w:ind w:left="454" w:right="57"/>
              <w:jc w:val="left"/>
              <w:rPr>
                <w:b/>
                <w:sz w:val="17"/>
                <w:szCs w:val="21"/>
                <w:lang w:val="es-VE"/>
              </w:rPr>
            </w:pPr>
            <w:r w:rsidRPr="008625CB">
              <w:rPr>
                <w:b/>
                <w:sz w:val="17"/>
                <w:szCs w:val="21"/>
                <w:lang w:val="es-VE"/>
              </w:rPr>
              <w:t>10</w:t>
            </w:r>
          </w:p>
        </w:tc>
      </w:tr>
    </w:tbl>
    <w:p w:rsidR="008625CB" w:rsidRPr="008625CB" w:rsidRDefault="008625CB" w:rsidP="008625CB">
      <w:pPr>
        <w:pStyle w:val="SingleTxt"/>
        <w:spacing w:after="0" w:line="120" w:lineRule="exact"/>
        <w:rPr>
          <w:rFonts w:hint="eastAsia"/>
          <w:sz w:val="10"/>
          <w:lang w:val="es-VE"/>
        </w:rPr>
      </w:pPr>
    </w:p>
    <w:p w:rsidR="008625CB" w:rsidRPr="008625CB" w:rsidRDefault="008625CB" w:rsidP="008625CB">
      <w:pPr>
        <w:pStyle w:val="SingleTxt"/>
        <w:spacing w:after="0" w:line="120" w:lineRule="exact"/>
        <w:rPr>
          <w:rFonts w:hint="eastAsia"/>
          <w:sz w:val="10"/>
        </w:rPr>
      </w:pPr>
    </w:p>
    <w:p w:rsidR="00EC5325" w:rsidRDefault="00224F75" w:rsidP="00EC5325">
      <w:pPr>
        <w:pStyle w:val="SingleTxt"/>
        <w:rPr>
          <w:rFonts w:hint="eastAsia"/>
        </w:rPr>
      </w:pPr>
      <w:r>
        <w:rPr>
          <w:rFonts w:hint="eastAsia"/>
        </w:rPr>
        <w:t xml:space="preserve">114.  </w:t>
      </w:r>
      <w:r w:rsidR="00EC5325">
        <w:rPr>
          <w:rFonts w:hint="eastAsia"/>
        </w:rPr>
        <w:t>根据全国各地不同的女子监狱提供的信息，在年龄方面，资料显示被拘留妇女分为三个年龄组，即</w:t>
      </w:r>
      <w:r w:rsidR="00EC5325">
        <w:rPr>
          <w:rFonts w:hint="eastAsia"/>
        </w:rPr>
        <w:t>18</w:t>
      </w:r>
      <w:r w:rsidR="00EC5325">
        <w:rPr>
          <w:rFonts w:hint="eastAsia"/>
        </w:rPr>
        <w:t>至</w:t>
      </w:r>
      <w:r w:rsidR="00EC5325">
        <w:rPr>
          <w:rFonts w:hint="eastAsia"/>
        </w:rPr>
        <w:t>23</w:t>
      </w:r>
      <w:r w:rsidR="00EC5325">
        <w:rPr>
          <w:rFonts w:hint="eastAsia"/>
        </w:rPr>
        <w:t>岁、</w:t>
      </w:r>
      <w:r w:rsidR="00EC5325">
        <w:rPr>
          <w:rFonts w:hint="eastAsia"/>
        </w:rPr>
        <w:t>25</w:t>
      </w:r>
      <w:r w:rsidR="00EC5325">
        <w:rPr>
          <w:rFonts w:hint="eastAsia"/>
        </w:rPr>
        <w:t>至</w:t>
      </w:r>
      <w:r w:rsidR="00EC5325">
        <w:rPr>
          <w:rFonts w:hint="eastAsia"/>
        </w:rPr>
        <w:t>36</w:t>
      </w:r>
      <w:r w:rsidR="00EC5325">
        <w:rPr>
          <w:rFonts w:hint="eastAsia"/>
        </w:rPr>
        <w:t>岁和</w:t>
      </w:r>
      <w:r w:rsidR="00EC5325">
        <w:rPr>
          <w:rFonts w:hint="eastAsia"/>
        </w:rPr>
        <w:t>44</w:t>
      </w:r>
      <w:r w:rsidR="00EC5325">
        <w:rPr>
          <w:rFonts w:hint="eastAsia"/>
        </w:rPr>
        <w:t>至</w:t>
      </w:r>
      <w:r w:rsidR="00EC5325">
        <w:rPr>
          <w:rFonts w:hint="eastAsia"/>
        </w:rPr>
        <w:t>60</w:t>
      </w:r>
      <w:r w:rsidR="00EC5325">
        <w:rPr>
          <w:rFonts w:hint="eastAsia"/>
        </w:rPr>
        <w:t>岁。</w:t>
      </w:r>
    </w:p>
    <w:p w:rsidR="00EC5325" w:rsidRPr="00224F75" w:rsidRDefault="00EC5325" w:rsidP="00EC5325">
      <w:pPr>
        <w:pStyle w:val="SingleTxt"/>
        <w:rPr>
          <w:rFonts w:ascii="SimHei" w:eastAsia="SimHei" w:hAnsi="SimHei" w:hint="eastAsia"/>
        </w:rPr>
      </w:pPr>
      <w:r w:rsidRPr="00224F75">
        <w:rPr>
          <w:rFonts w:ascii="SimHei" w:eastAsia="SimHei" w:hAnsi="SimHei" w:hint="eastAsia"/>
        </w:rPr>
        <w:t>婚姻与家庭关系</w:t>
      </w:r>
    </w:p>
    <w:p w:rsidR="00EC5325" w:rsidRDefault="00EC5325" w:rsidP="00EC5325">
      <w:pPr>
        <w:pStyle w:val="SingleTxt"/>
        <w:rPr>
          <w:rFonts w:hint="eastAsia"/>
        </w:rPr>
      </w:pPr>
      <w:r w:rsidRPr="00224F75">
        <w:rPr>
          <w:rFonts w:ascii="SimHei" w:eastAsia="SimHei" w:hAnsi="SimHei" w:hint="eastAsia"/>
        </w:rPr>
        <w:t>问题20：最低结婚年龄以及《儿童权利公约》第1条关于儿童的定义</w:t>
      </w:r>
    </w:p>
    <w:p w:rsidR="00EC5325" w:rsidRDefault="00224F75" w:rsidP="00EC5325">
      <w:pPr>
        <w:pStyle w:val="SingleTxt"/>
        <w:rPr>
          <w:rFonts w:hint="eastAsia"/>
        </w:rPr>
      </w:pPr>
      <w:r>
        <w:rPr>
          <w:rFonts w:hint="eastAsia"/>
        </w:rPr>
        <w:t xml:space="preserve">115.  </w:t>
      </w:r>
      <w:r w:rsidR="00EC5325">
        <w:rPr>
          <w:rFonts w:hint="eastAsia"/>
        </w:rPr>
        <w:t>权利监察员办公室在</w:t>
      </w:r>
      <w:r w:rsidR="00EC5325">
        <w:rPr>
          <w:rFonts w:hint="eastAsia"/>
        </w:rPr>
        <w:t>2010</w:t>
      </w:r>
      <w:r w:rsidR="00EC5325">
        <w:rPr>
          <w:rFonts w:hint="eastAsia"/>
        </w:rPr>
        <w:t>年向最高司法法院提出申诉，主张废止《民法典》第</w:t>
      </w:r>
      <w:r w:rsidR="00EC5325">
        <w:rPr>
          <w:rFonts w:hint="eastAsia"/>
        </w:rPr>
        <w:t>46</w:t>
      </w:r>
      <w:r w:rsidR="00EC5325">
        <w:rPr>
          <w:rFonts w:hint="eastAsia"/>
        </w:rPr>
        <w:t>条关于女孩最低结婚年龄为</w:t>
      </w:r>
      <w:r w:rsidR="00EC5325">
        <w:rPr>
          <w:rFonts w:hint="eastAsia"/>
        </w:rPr>
        <w:t>14</w:t>
      </w:r>
      <w:r w:rsidR="00EC5325">
        <w:rPr>
          <w:rFonts w:hint="eastAsia"/>
        </w:rPr>
        <w:t>岁、男孩为</w:t>
      </w:r>
      <w:r w:rsidR="00EC5325">
        <w:rPr>
          <w:rFonts w:hint="eastAsia"/>
        </w:rPr>
        <w:t>16</w:t>
      </w:r>
      <w:r w:rsidR="00EC5325">
        <w:rPr>
          <w:rFonts w:hint="eastAsia"/>
        </w:rPr>
        <w:t>岁的规定。理由是这一规定构成一种歧视行为，侵犯了《委内瑞拉玻利瓦尔共和国宪法》第</w:t>
      </w:r>
      <w:r w:rsidR="00EC5325">
        <w:rPr>
          <w:rFonts w:hint="eastAsia"/>
        </w:rPr>
        <w:t>21</w:t>
      </w:r>
      <w:r w:rsidR="00EC5325">
        <w:rPr>
          <w:rFonts w:hint="eastAsia"/>
        </w:rPr>
        <w:t>条所规定的平等权。最高司法法院在</w:t>
      </w:r>
      <w:r w:rsidR="00EC5325">
        <w:rPr>
          <w:rFonts w:hint="eastAsia"/>
        </w:rPr>
        <w:t>2012</w:t>
      </w:r>
      <w:r w:rsidR="00EC5325">
        <w:rPr>
          <w:rFonts w:hint="eastAsia"/>
        </w:rPr>
        <w:t>年以违宪为由采纳了这一废止主张，预计最高法院将对此作出宣判。</w:t>
      </w:r>
    </w:p>
    <w:p w:rsidR="002E36C3" w:rsidRDefault="00224F75" w:rsidP="00EC5325">
      <w:pPr>
        <w:pStyle w:val="SingleTxt"/>
        <w:rPr>
          <w:rFonts w:hint="eastAsia"/>
        </w:rPr>
      </w:pPr>
      <w:r>
        <w:rPr>
          <w:rFonts w:hint="eastAsia"/>
        </w:rPr>
        <w:t xml:space="preserve">116.  </w:t>
      </w:r>
      <w:r w:rsidR="00EC5325">
        <w:rPr>
          <w:rFonts w:hint="eastAsia"/>
        </w:rPr>
        <w:t>另一方面，针对权利监察员办公室提出的关于废止《民法典》第</w:t>
      </w:r>
      <w:r w:rsidR="00EC5325">
        <w:rPr>
          <w:rFonts w:hint="eastAsia"/>
        </w:rPr>
        <w:t>57</w:t>
      </w:r>
      <w:r w:rsidR="00EC5325">
        <w:rPr>
          <w:rFonts w:hint="eastAsia"/>
        </w:rPr>
        <w:t>条的主张，最高司法法院在</w:t>
      </w:r>
      <w:r w:rsidR="00EC5325">
        <w:rPr>
          <w:rFonts w:hint="eastAsia"/>
        </w:rPr>
        <w:t>2013</w:t>
      </w:r>
      <w:r w:rsidR="00EC5325">
        <w:rPr>
          <w:rFonts w:hint="eastAsia"/>
        </w:rPr>
        <w:t>年</w:t>
      </w:r>
      <w:r w:rsidR="00EC5325">
        <w:rPr>
          <w:rFonts w:hint="eastAsia"/>
        </w:rPr>
        <w:t>7</w:t>
      </w:r>
      <w:r w:rsidR="00EC5325">
        <w:rPr>
          <w:rFonts w:hint="eastAsia"/>
        </w:rPr>
        <w:t>月</w:t>
      </w:r>
      <w:r w:rsidR="00EC5325">
        <w:rPr>
          <w:rFonts w:hint="eastAsia"/>
        </w:rPr>
        <w:t>16</w:t>
      </w:r>
      <w:r w:rsidR="00EC5325">
        <w:rPr>
          <w:rFonts w:hint="eastAsia"/>
        </w:rPr>
        <w:t>日就这一违宪</w:t>
      </w:r>
      <w:bookmarkStart w:id="1" w:name="TmpSave"/>
      <w:bookmarkEnd w:id="1"/>
      <w:r w:rsidR="00EC5325">
        <w:rPr>
          <w:rFonts w:hint="eastAsia"/>
        </w:rPr>
        <w:t>诉讼作出了宣判，认定该条规定对男女设定了不同的要求条件，违反了夫妻平等原则，明显与《委内瑞拉玻利瓦尔共和国宪法》第</w:t>
      </w:r>
      <w:r w:rsidR="00EC5325">
        <w:rPr>
          <w:rFonts w:hint="eastAsia"/>
        </w:rPr>
        <w:t>21</w:t>
      </w:r>
      <w:r w:rsidR="00EC5325">
        <w:rPr>
          <w:rFonts w:hint="eastAsia"/>
        </w:rPr>
        <w:t>条和第</w:t>
      </w:r>
      <w:r w:rsidR="00EC5325">
        <w:rPr>
          <w:rFonts w:hint="eastAsia"/>
        </w:rPr>
        <w:t>77</w:t>
      </w:r>
      <w:r w:rsidR="00EC5325">
        <w:rPr>
          <w:rFonts w:hint="eastAsia"/>
        </w:rPr>
        <w:t>条之规定相悖，不符合我们的根本大法所规定的宪法原则和宪法权利，因此，最高法院在</w:t>
      </w:r>
      <w:r w:rsidR="00EC5325">
        <w:rPr>
          <w:rFonts w:hint="eastAsia"/>
        </w:rPr>
        <w:t>2013</w:t>
      </w:r>
      <w:r w:rsidR="00EC5325">
        <w:rPr>
          <w:rFonts w:hint="eastAsia"/>
        </w:rPr>
        <w:t>年</w:t>
      </w:r>
      <w:r w:rsidR="00EC5325">
        <w:rPr>
          <w:rFonts w:hint="eastAsia"/>
        </w:rPr>
        <w:t>7</w:t>
      </w:r>
      <w:r w:rsidR="00EC5325">
        <w:rPr>
          <w:rFonts w:hint="eastAsia"/>
        </w:rPr>
        <w:t>月</w:t>
      </w:r>
      <w:r w:rsidR="00EC5325">
        <w:rPr>
          <w:rFonts w:hint="eastAsia"/>
        </w:rPr>
        <w:t>16</w:t>
      </w:r>
      <w:r w:rsidR="00EC5325">
        <w:rPr>
          <w:rFonts w:hint="eastAsia"/>
        </w:rPr>
        <w:t>日的宣判中重申，在法律上对离婚妇女再婚没有作出任何限制。</w:t>
      </w:r>
    </w:p>
    <w:p w:rsidR="00EC5325" w:rsidRPr="00EC5325" w:rsidRDefault="00EC5325" w:rsidP="00EC5325">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color="#010000" strokeweight=".25pt"/>
        </w:pict>
      </w:r>
    </w:p>
    <w:sectPr w:rsidR="00EC5325" w:rsidRPr="00EC5325" w:rsidSect="002E36C3">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21T15:27:00Z" w:initials="Start">
    <w:p w:rsidR="008625CB" w:rsidRDefault="008625C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450CEF">
        <w:fldChar w:fldCharType="separate"/>
      </w:r>
      <w:r w:rsidR="00450CEF">
        <w:rPr>
          <w:rFonts w:hint="eastAsia"/>
          <w:noProof/>
        </w:rPr>
        <w:t>页</w:t>
      </w:r>
      <w:r w:rsidR="00450CEF">
        <w:rPr>
          <w:rFonts w:hint="eastAsia"/>
          <w:noProof/>
        </w:rPr>
        <w:t xml:space="preserve">: </w:t>
      </w:r>
      <w:r w:rsidR="00450CEF">
        <w:rPr>
          <w:noProof/>
        </w:rPr>
        <w:t>1</w:t>
      </w:r>
      <w:r w:rsidR="00450CEF">
        <w:rPr>
          <w:rFonts w:hint="eastAsia"/>
          <w:noProof/>
        </w:rPr>
        <w:br/>
      </w:r>
      <w:r>
        <w:fldChar w:fldCharType="end"/>
      </w:r>
      <w:r>
        <w:rPr>
          <w:rStyle w:val="CommentReference"/>
        </w:rPr>
        <w:annotationRef/>
      </w:r>
      <w:r>
        <w:t>&lt;&lt;ODS JOB NO&gt;&gt;N1444038C&lt;&lt;ODS JOB NO&gt;&gt;</w:t>
      </w:r>
    </w:p>
    <w:p w:rsidR="008625CB" w:rsidRDefault="008625CB">
      <w:pPr>
        <w:pStyle w:val="CommentText"/>
      </w:pPr>
      <w:r>
        <w:t>&lt;&lt;ODS DOC SYMBOL1&gt;&gt;CEDAW/C/VEN/Q/7-8/Add.1&lt;&lt;ODS DOC SYMBOL1&gt;&gt;</w:t>
      </w:r>
    </w:p>
    <w:p w:rsidR="008625CB" w:rsidRDefault="008625C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229" w:rsidRDefault="00E62229">
      <w:r>
        <w:separator/>
      </w:r>
    </w:p>
  </w:endnote>
  <w:endnote w:type="continuationSeparator" w:id="0">
    <w:p w:rsidR="00E62229" w:rsidRDefault="00E62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625CB" w:rsidTr="002E36C3">
      <w:tblPrEx>
        <w:tblCellMar>
          <w:top w:w="0" w:type="dxa"/>
          <w:bottom w:w="0" w:type="dxa"/>
        </w:tblCellMar>
      </w:tblPrEx>
      <w:tc>
        <w:tcPr>
          <w:tcW w:w="5033" w:type="dxa"/>
          <w:shd w:val="clear" w:color="auto" w:fill="auto"/>
        </w:tcPr>
        <w:p w:rsidR="008625CB" w:rsidRPr="002E36C3" w:rsidRDefault="008625CB" w:rsidP="002E36C3">
          <w:pPr>
            <w:pStyle w:val="Footer"/>
            <w:jc w:val="right"/>
            <w:rPr>
              <w:b w:val="0"/>
              <w:w w:val="103"/>
              <w:sz w:val="14"/>
            </w:rPr>
          </w:pPr>
          <w:fldSimple w:instr=" DOCVARIABLE &quot;FooterJN&quot; \* MERGEFORMAT ">
            <w:r w:rsidR="00450CEF">
              <w:rPr>
                <w:b w:val="0"/>
                <w:w w:val="103"/>
                <w:sz w:val="14"/>
              </w:rPr>
              <w:t>14-56111 (C)</w:t>
            </w:r>
          </w:fldSimple>
        </w:p>
      </w:tc>
      <w:tc>
        <w:tcPr>
          <w:tcW w:w="5033" w:type="dxa"/>
          <w:shd w:val="clear" w:color="auto" w:fill="auto"/>
        </w:tcPr>
        <w:p w:rsidR="008625CB" w:rsidRPr="002E36C3" w:rsidRDefault="008625CB" w:rsidP="002E36C3">
          <w:pPr>
            <w:pStyle w:val="Footer"/>
            <w:jc w:val="left"/>
            <w:rPr>
              <w:w w:val="103"/>
            </w:rPr>
          </w:pPr>
          <w:r>
            <w:rPr>
              <w:w w:val="103"/>
            </w:rPr>
            <w:fldChar w:fldCharType="begin"/>
          </w:r>
          <w:r>
            <w:rPr>
              <w:w w:val="103"/>
            </w:rPr>
            <w:instrText xml:space="preserve"> PAGE  \* Arabic  \* MERGEFORMAT </w:instrText>
          </w:r>
          <w:r>
            <w:rPr>
              <w:w w:val="103"/>
            </w:rPr>
            <w:fldChar w:fldCharType="separate"/>
          </w:r>
          <w:r w:rsidR="00177355">
            <w:rPr>
              <w:w w:val="103"/>
            </w:rPr>
            <w:t>22</w:t>
          </w:r>
          <w:r>
            <w:rPr>
              <w:w w:val="103"/>
            </w:rPr>
            <w:fldChar w:fldCharType="end"/>
          </w:r>
          <w:r>
            <w:rPr>
              <w:w w:val="103"/>
            </w:rPr>
            <w:t>/</w:t>
          </w:r>
          <w:fldSimple w:instr=" NUMPAGES  \* Arabic  \* MERGEFORMAT ">
            <w:r w:rsidR="00177355">
              <w:rPr>
                <w:w w:val="103"/>
              </w:rPr>
              <w:t>23</w:t>
            </w:r>
          </w:fldSimple>
        </w:p>
      </w:tc>
    </w:tr>
  </w:tbl>
  <w:p w:rsidR="008625CB" w:rsidRPr="002E36C3" w:rsidRDefault="008625CB" w:rsidP="002E3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8625CB" w:rsidTr="002E36C3">
      <w:tblPrEx>
        <w:tblCellMar>
          <w:top w:w="0" w:type="dxa"/>
          <w:bottom w:w="0" w:type="dxa"/>
        </w:tblCellMar>
      </w:tblPrEx>
      <w:tc>
        <w:tcPr>
          <w:tcW w:w="5033" w:type="dxa"/>
          <w:shd w:val="clear" w:color="auto" w:fill="auto"/>
        </w:tcPr>
        <w:p w:rsidR="008625CB" w:rsidRPr="002E36C3" w:rsidRDefault="008625CB" w:rsidP="002E36C3">
          <w:pPr>
            <w:pStyle w:val="Footer"/>
            <w:jc w:val="right"/>
          </w:pPr>
          <w:fldSimple w:instr=" PAGE  \* Arabic  \* MERGEFORMAT ">
            <w:r w:rsidR="00177355">
              <w:t>21</w:t>
            </w:r>
          </w:fldSimple>
          <w:r>
            <w:t>/</w:t>
          </w:r>
          <w:fldSimple w:instr=" NUMPAGES  \* Arabic  \* MERGEFORMAT ">
            <w:r w:rsidR="00177355">
              <w:t>23</w:t>
            </w:r>
          </w:fldSimple>
        </w:p>
      </w:tc>
      <w:tc>
        <w:tcPr>
          <w:tcW w:w="5033" w:type="dxa"/>
          <w:shd w:val="clear" w:color="auto" w:fill="auto"/>
        </w:tcPr>
        <w:p w:rsidR="008625CB" w:rsidRPr="002E36C3" w:rsidRDefault="008625CB" w:rsidP="002E36C3">
          <w:pPr>
            <w:pStyle w:val="Footer"/>
            <w:jc w:val="left"/>
            <w:rPr>
              <w:b w:val="0"/>
              <w:w w:val="103"/>
              <w:sz w:val="14"/>
            </w:rPr>
          </w:pPr>
          <w:fldSimple w:instr=" DOCVARIABLE &quot;FooterJN&quot; \* MERGEFORMAT ">
            <w:r w:rsidR="00450CEF">
              <w:rPr>
                <w:b w:val="0"/>
                <w:w w:val="103"/>
                <w:sz w:val="14"/>
              </w:rPr>
              <w:t>14-56111 (C)</w:t>
            </w:r>
          </w:fldSimple>
        </w:p>
      </w:tc>
    </w:tr>
  </w:tbl>
  <w:p w:rsidR="008625CB" w:rsidRPr="002E36C3" w:rsidRDefault="008625CB" w:rsidP="002E36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8625CB" w:rsidTr="002E36C3">
      <w:tblPrEx>
        <w:tblCellMar>
          <w:top w:w="0" w:type="dxa"/>
          <w:bottom w:w="0" w:type="dxa"/>
        </w:tblCellMar>
      </w:tblPrEx>
      <w:tc>
        <w:tcPr>
          <w:tcW w:w="5033" w:type="dxa"/>
        </w:tcPr>
        <w:p w:rsidR="008625CB" w:rsidRDefault="008625CB" w:rsidP="002E36C3">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Add"/>
                <w10:wrap anchorx="page" anchory="page"/>
              </v:shape>
            </w:pict>
          </w:r>
          <w:fldSimple w:instr=" DOCVARIABLE &quot;jobn&quot; \* MERGEFORMAT ">
            <w:r w:rsidR="00450CEF">
              <w:t>14-56111 (C)</w:t>
            </w:r>
          </w:fldSimple>
          <w:r w:rsidR="00224F75">
            <w:t xml:space="preserve">    210714    2</w:t>
          </w:r>
          <w:r w:rsidR="00224F75">
            <w:rPr>
              <w:rFonts w:hint="eastAsia"/>
            </w:rPr>
            <w:t>2</w:t>
          </w:r>
          <w:r w:rsidR="00224F75">
            <w:t>0</w:t>
          </w:r>
          <w:r w:rsidR="00177355">
            <w:rPr>
              <w:rFonts w:hint="eastAsia"/>
            </w:rPr>
            <w:t>7</w:t>
          </w:r>
          <w:r>
            <w:t>14</w:t>
          </w:r>
        </w:p>
        <w:p w:rsidR="008625CB" w:rsidRPr="002E36C3" w:rsidRDefault="008625CB" w:rsidP="002E36C3">
          <w:pPr>
            <w:spacing w:before="80" w:line="210" w:lineRule="exact"/>
            <w:rPr>
              <w:rFonts w:ascii="Barcode 3 of 9 by request" w:hAnsi="Barcode 3 of 9 by request"/>
              <w:sz w:val="24"/>
            </w:rPr>
          </w:pPr>
          <w:r>
            <w:rPr>
              <w:rFonts w:ascii="Barcode 3 of 9 by request" w:hAnsi="Barcode 3 of 9 by request"/>
              <w:sz w:val="24"/>
            </w:rPr>
            <w:t>*1456111*</w:t>
          </w:r>
        </w:p>
      </w:tc>
      <w:tc>
        <w:tcPr>
          <w:tcW w:w="3686" w:type="dxa"/>
        </w:tcPr>
        <w:p w:rsidR="008625CB" w:rsidRDefault="008625CB" w:rsidP="002E36C3">
          <w:pPr>
            <w:pStyle w:val="Footer"/>
            <w:jc w:val="right"/>
            <w:rPr>
              <w:b w:val="0"/>
              <w:sz w:val="21"/>
            </w:rPr>
          </w:pPr>
          <w:r>
            <w:rPr>
              <w:b w:val="0"/>
              <w:sz w:val="21"/>
            </w:rPr>
            <w:pict>
              <v:shape id="_x0000_i1026" type="#_x0000_t75" style="width:48.75pt;height:18pt">
                <v:imagedata r:id="rId2" o:title="recycle_Chinese"/>
              </v:shape>
            </w:pict>
          </w:r>
        </w:p>
      </w:tc>
    </w:tr>
  </w:tbl>
  <w:p w:rsidR="008625CB" w:rsidRPr="002E36C3" w:rsidRDefault="008625CB" w:rsidP="002E36C3">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229" w:rsidRPr="00EC5325" w:rsidRDefault="00E62229" w:rsidP="00EC5325">
      <w:pPr>
        <w:pStyle w:val="Footer"/>
        <w:spacing w:after="80"/>
        <w:ind w:left="792"/>
        <w:rPr>
          <w:sz w:val="16"/>
        </w:rPr>
      </w:pPr>
      <w:r w:rsidRPr="00EC5325">
        <w:rPr>
          <w:sz w:val="16"/>
        </w:rPr>
        <w:t>__________________</w:t>
      </w:r>
    </w:p>
  </w:footnote>
  <w:footnote w:type="continuationSeparator" w:id="0">
    <w:p w:rsidR="00E62229" w:rsidRPr="00EC5325" w:rsidRDefault="00E62229" w:rsidP="00EC5325">
      <w:pPr>
        <w:pStyle w:val="Footer"/>
        <w:spacing w:after="80"/>
        <w:ind w:left="792"/>
        <w:rPr>
          <w:sz w:val="16"/>
        </w:rPr>
      </w:pPr>
      <w:r w:rsidRPr="00EC5325">
        <w:rPr>
          <w:sz w:val="16"/>
        </w:rPr>
        <w:t>__________________</w:t>
      </w:r>
    </w:p>
  </w:footnote>
  <w:footnote w:id="1">
    <w:p w:rsidR="008625CB" w:rsidRDefault="008625CB" w:rsidP="00EC532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EC5325">
        <w:rPr>
          <w:rFonts w:hint="eastAsia"/>
        </w:rPr>
        <w:t>《人民政权妇女事务和性别平等部</w:t>
      </w:r>
      <w:r>
        <w:rPr>
          <w:rFonts w:hint="eastAsia"/>
        </w:rPr>
        <w:t>(</w:t>
      </w:r>
      <w:r w:rsidRPr="00EC5325">
        <w:rPr>
          <w:rFonts w:hint="eastAsia"/>
        </w:rPr>
        <w:t>妇女部</w:t>
      </w:r>
      <w:r>
        <w:rPr>
          <w:rFonts w:hint="eastAsia"/>
        </w:rPr>
        <w:t>)</w:t>
      </w:r>
      <w:r w:rsidRPr="00EC5325">
        <w:rPr>
          <w:rFonts w:hint="eastAsia"/>
        </w:rPr>
        <w:t>工作备忘与账目》，</w:t>
      </w:r>
      <w:r w:rsidRPr="00EC5325">
        <w:rPr>
          <w:rFonts w:hint="eastAsia"/>
        </w:rPr>
        <w:t>2006-2013</w:t>
      </w:r>
      <w:r w:rsidRPr="00EC5325">
        <w:rPr>
          <w:rFonts w:hint="eastAsia"/>
        </w:rPr>
        <w:t>年。</w:t>
      </w:r>
    </w:p>
  </w:footnote>
  <w:footnote w:id="2">
    <w:p w:rsidR="008625CB" w:rsidRDefault="008625CB" w:rsidP="00EC532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《“强化家庭和社区关注，预防、关爱和应对早孕现象”项目统计数据》。国家妇女研究所，</w:t>
      </w:r>
      <w:r>
        <w:rPr>
          <w:rFonts w:hint="eastAsia"/>
        </w:rPr>
        <w:t>2011-2012</w:t>
      </w:r>
      <w:r>
        <w:rPr>
          <w:rFonts w:hint="eastAsia"/>
        </w:rPr>
        <w:t>年。</w:t>
      </w:r>
    </w:p>
  </w:footnote>
  <w:footnote w:id="3">
    <w:p w:rsidR="008625CB" w:rsidRDefault="008625CB" w:rsidP="00EC532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《治理报告》。妇女部</w:t>
      </w:r>
      <w:r>
        <w:rPr>
          <w:rFonts w:hint="eastAsia"/>
        </w:rPr>
        <w:t>/</w:t>
      </w:r>
      <w:r>
        <w:rPr>
          <w:rFonts w:hint="eastAsia"/>
        </w:rPr>
        <w:t>公共政策评估监测战略办公室，</w:t>
      </w:r>
      <w:r>
        <w:rPr>
          <w:rFonts w:hint="eastAsia"/>
        </w:rPr>
        <w:t>2013</w:t>
      </w:r>
      <w:r>
        <w:rPr>
          <w:rFonts w:hint="eastAsia"/>
        </w:rPr>
        <w:t>年。</w:t>
      </w:r>
    </w:p>
  </w:footnote>
  <w:footnote w:id="4">
    <w:p w:rsidR="008625CB" w:rsidRDefault="008625CB" w:rsidP="00EC532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EC5325">
        <w:rPr>
          <w:rFonts w:hint="eastAsia"/>
        </w:rPr>
        <w:t>《治理报告》。妇女部</w:t>
      </w:r>
      <w:r w:rsidRPr="00EC5325">
        <w:rPr>
          <w:rFonts w:hint="eastAsia"/>
        </w:rPr>
        <w:t>/</w:t>
      </w:r>
      <w:r w:rsidRPr="00EC5325">
        <w:rPr>
          <w:rFonts w:hint="eastAsia"/>
        </w:rPr>
        <w:t>公共政策评估监测战略办公室，</w:t>
      </w:r>
      <w:r w:rsidRPr="00EC5325">
        <w:rPr>
          <w:rFonts w:hint="eastAsia"/>
        </w:rPr>
        <w:t>2013</w:t>
      </w:r>
      <w:r w:rsidRPr="00EC5325">
        <w:rPr>
          <w:rFonts w:hint="eastAsia"/>
        </w:rPr>
        <w:t>年。</w:t>
      </w:r>
    </w:p>
  </w:footnote>
  <w:footnote w:id="5">
    <w:p w:rsidR="008625CB" w:rsidRDefault="008625CB" w:rsidP="00EC532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http://www.ine.gob.ve/documentos/Boletines_Electronicos/Estadisticas_Sociales_y_Ambientales/ Indicadores_de_Genero/pdf/201312.pdf</w:t>
      </w:r>
      <w:r>
        <w:rPr>
          <w:rFonts w:hint="eastAsia"/>
        </w:rPr>
        <w:t>。</w:t>
      </w:r>
    </w:p>
  </w:footnote>
  <w:footnote w:id="6">
    <w:p w:rsidR="008625CB" w:rsidRDefault="008625CB" w:rsidP="00EC532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《委内瑞拉玻利瓦尔共和国宪法》第</w:t>
      </w:r>
      <w:r>
        <w:rPr>
          <w:rFonts w:hint="eastAsia"/>
        </w:rPr>
        <w:t>254</w:t>
      </w:r>
      <w:r>
        <w:rPr>
          <w:rFonts w:hint="eastAsia"/>
        </w:rPr>
        <w:t>条。</w:t>
      </w:r>
    </w:p>
  </w:footnote>
  <w:footnote w:id="7">
    <w:p w:rsidR="008625CB" w:rsidRDefault="008625CB" w:rsidP="00EC532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全国共有</w:t>
      </w:r>
      <w:r>
        <w:rPr>
          <w:rFonts w:hint="eastAsia"/>
        </w:rPr>
        <w:t>56</w:t>
      </w:r>
      <w:r>
        <w:rPr>
          <w:rFonts w:hint="eastAsia"/>
        </w:rPr>
        <w:t>个初审法院，外加若干上诉法院，其中一家位于加拉加斯首都大区，对暴力侵害妇女问题具有特别管辖权，还有一家专管暴力侵害妇女问题的上诉法院，该上诉法院位于苏利亚州，兼管少年犯刑事系统。</w:t>
      </w:r>
    </w:p>
  </w:footnote>
  <w:footnote w:id="8">
    <w:p w:rsidR="008625CB" w:rsidRDefault="008625CB" w:rsidP="00EC532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EC5325">
        <w:rPr>
          <w:rFonts w:hint="eastAsia"/>
        </w:rPr>
        <w:t>玻利瓦尔州、苏利亚州、瓜里科州、法尔孔州和特鲁希略州。</w:t>
      </w:r>
    </w:p>
  </w:footnote>
  <w:footnote w:id="9">
    <w:p w:rsidR="008625CB" w:rsidRDefault="008625CB" w:rsidP="00EC5325">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需要着重强调的一个关键问题是，宪法庭基于性别观点所做出的判决，其目的就是消除妇女在诉诸司法时所面临的体制壁垒，这些决定已经通过不同的方式进行了传播：最高司法法院通过其官网正式发布，通过编辑、出版和发行书籍以及通过与法官、司法系统的其他工作人员、社会组织举办研讨会、论坛、讲习班进行传播，有时还通过在国内各大学举办讲座，与委内瑞拉政府其他机构举办研讨会，以及通过社会媒体进行传播。</w:t>
      </w:r>
    </w:p>
  </w:footnote>
  <w:footnote w:id="10">
    <w:p w:rsidR="008625CB" w:rsidRDefault="008625CB" w:rsidP="00EC5325">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EC5325">
        <w:rPr>
          <w:rFonts w:hint="eastAsia"/>
          <w:spacing w:val="2"/>
        </w:rPr>
        <w:t>2007</w:t>
      </w:r>
      <w:r w:rsidRPr="00EC5325">
        <w:rPr>
          <w:rFonts w:hint="eastAsia"/>
          <w:spacing w:val="2"/>
        </w:rPr>
        <w:t>年</w:t>
      </w:r>
      <w:r w:rsidRPr="00EC5325">
        <w:rPr>
          <w:rFonts w:hint="eastAsia"/>
          <w:spacing w:val="2"/>
        </w:rPr>
        <w:t>2</w:t>
      </w:r>
      <w:r w:rsidRPr="00EC5325">
        <w:rPr>
          <w:rFonts w:hint="eastAsia"/>
          <w:spacing w:val="2"/>
        </w:rPr>
        <w:t>月</w:t>
      </w:r>
      <w:r w:rsidRPr="00EC5325">
        <w:rPr>
          <w:rFonts w:hint="eastAsia"/>
          <w:spacing w:val="2"/>
        </w:rPr>
        <w:t>15</w:t>
      </w:r>
      <w:r w:rsidRPr="00EC5325">
        <w:rPr>
          <w:rFonts w:hint="eastAsia"/>
          <w:spacing w:val="2"/>
        </w:rPr>
        <w:t>日对权利监察员加布里埃尔·德尔马尔·拉米雷斯·佩雷斯一案作出的第</w:t>
      </w:r>
      <w:r w:rsidRPr="00EC5325">
        <w:rPr>
          <w:rFonts w:hint="eastAsia"/>
          <w:spacing w:val="2"/>
        </w:rPr>
        <w:t>272/2007</w:t>
      </w:r>
      <w:r w:rsidRPr="00EC5325">
        <w:rPr>
          <w:rFonts w:hint="eastAsia"/>
          <w:spacing w:val="2"/>
        </w:rPr>
        <w:t>号判决。</w:t>
      </w:r>
      <w:r w:rsidRPr="00EC5325">
        <w:rPr>
          <w:rFonts w:hint="eastAsia"/>
          <w:spacing w:val="2"/>
        </w:rPr>
        <w:t>2011</w:t>
      </w:r>
      <w:r w:rsidRPr="00EC5325">
        <w:rPr>
          <w:rFonts w:hint="eastAsia"/>
          <w:spacing w:val="2"/>
        </w:rPr>
        <w:t>年</w:t>
      </w:r>
      <w:r w:rsidRPr="00EC5325">
        <w:rPr>
          <w:rFonts w:hint="eastAsia"/>
          <w:spacing w:val="2"/>
        </w:rPr>
        <w:t>2</w:t>
      </w:r>
      <w:r w:rsidRPr="00EC5325">
        <w:rPr>
          <w:rFonts w:hint="eastAsia"/>
          <w:spacing w:val="2"/>
        </w:rPr>
        <w:t>月</w:t>
      </w:r>
      <w:r w:rsidRPr="00EC5325">
        <w:rPr>
          <w:rFonts w:hint="eastAsia"/>
          <w:spacing w:val="2"/>
        </w:rPr>
        <w:t>16</w:t>
      </w:r>
      <w:r w:rsidRPr="00EC5325">
        <w:rPr>
          <w:rFonts w:hint="eastAsia"/>
          <w:spacing w:val="2"/>
        </w:rPr>
        <w:t>日对罗贝尔</w:t>
      </w:r>
      <w:r w:rsidRPr="008A1811">
        <w:rPr>
          <w:rFonts w:hint="eastAsia"/>
          <w:spacing w:val="4"/>
        </w:rPr>
        <w:t>托</w:t>
      </w:r>
      <w:r>
        <w:rPr>
          <w:rFonts w:hint="eastAsia"/>
          <w:spacing w:val="4"/>
        </w:rPr>
        <w:t>·</w:t>
      </w:r>
      <w:r w:rsidRPr="008A1811">
        <w:rPr>
          <w:rFonts w:hint="eastAsia"/>
          <w:spacing w:val="8"/>
        </w:rPr>
        <w:t>拉马尔卡•加布里埃尔一案作出的第</w:t>
      </w:r>
      <w:r w:rsidRPr="008A1811">
        <w:rPr>
          <w:rFonts w:hint="eastAsia"/>
          <w:spacing w:val="8"/>
        </w:rPr>
        <w:t>62/2011</w:t>
      </w:r>
      <w:r w:rsidRPr="008A1811">
        <w:rPr>
          <w:rFonts w:hint="eastAsia"/>
          <w:spacing w:val="8"/>
        </w:rPr>
        <w:t>号判决。</w:t>
      </w:r>
      <w:r w:rsidRPr="008A1811">
        <w:rPr>
          <w:rFonts w:hint="eastAsia"/>
          <w:spacing w:val="8"/>
        </w:rPr>
        <w:t>2011</w:t>
      </w:r>
      <w:r w:rsidRPr="008A1811">
        <w:rPr>
          <w:rFonts w:hint="eastAsia"/>
          <w:spacing w:val="8"/>
        </w:rPr>
        <w:t>年</w:t>
      </w:r>
      <w:r w:rsidRPr="008A1811">
        <w:rPr>
          <w:rFonts w:hint="eastAsia"/>
          <w:spacing w:val="8"/>
        </w:rPr>
        <w:t>4</w:t>
      </w:r>
      <w:r w:rsidRPr="008A1811">
        <w:rPr>
          <w:rFonts w:hint="eastAsia"/>
          <w:spacing w:val="8"/>
        </w:rPr>
        <w:t>月</w:t>
      </w:r>
      <w:r w:rsidRPr="008A1811">
        <w:rPr>
          <w:rFonts w:hint="eastAsia"/>
          <w:spacing w:val="8"/>
        </w:rPr>
        <w:t>12</w:t>
      </w:r>
      <w:r w:rsidRPr="008A1811">
        <w:rPr>
          <w:rFonts w:hint="eastAsia"/>
          <w:spacing w:val="8"/>
        </w:rPr>
        <w:t>日对何塞·格雷高里奥</w:t>
      </w:r>
      <w:r w:rsidRPr="008A1811">
        <w:rPr>
          <w:rFonts w:hint="eastAsia"/>
          <w:spacing w:val="4"/>
        </w:rPr>
        <w:t>·维利亚维森西奥一案作出的第</w:t>
      </w:r>
      <w:r w:rsidRPr="008A1811">
        <w:rPr>
          <w:rFonts w:hint="eastAsia"/>
          <w:spacing w:val="4"/>
        </w:rPr>
        <w:t>514/2011</w:t>
      </w:r>
      <w:r w:rsidRPr="008A1811">
        <w:rPr>
          <w:rFonts w:hint="eastAsia"/>
          <w:spacing w:val="4"/>
        </w:rPr>
        <w:t>号判决。</w:t>
      </w:r>
      <w:r w:rsidRPr="008A1811">
        <w:rPr>
          <w:rFonts w:hint="eastAsia"/>
          <w:spacing w:val="4"/>
        </w:rPr>
        <w:t>2011</w:t>
      </w:r>
      <w:r w:rsidRPr="008A1811">
        <w:rPr>
          <w:rFonts w:hint="eastAsia"/>
          <w:spacing w:val="4"/>
        </w:rPr>
        <w:t>年</w:t>
      </w:r>
      <w:r w:rsidRPr="008A1811">
        <w:rPr>
          <w:rFonts w:hint="eastAsia"/>
          <w:spacing w:val="4"/>
        </w:rPr>
        <w:t>6</w:t>
      </w:r>
      <w:r w:rsidRPr="008A1811">
        <w:rPr>
          <w:rFonts w:hint="eastAsia"/>
          <w:spacing w:val="4"/>
        </w:rPr>
        <w:t>月</w:t>
      </w:r>
      <w:r w:rsidRPr="008A1811">
        <w:rPr>
          <w:rFonts w:hint="eastAsia"/>
          <w:spacing w:val="4"/>
        </w:rPr>
        <w:t>2</w:t>
      </w:r>
      <w:r w:rsidRPr="008A1811">
        <w:rPr>
          <w:rFonts w:hint="eastAsia"/>
          <w:spacing w:val="4"/>
        </w:rPr>
        <w:t>日对诺埃尔·德·赫苏斯•弗洛雷斯一案</w:t>
      </w:r>
      <w:r w:rsidRPr="00EC5325">
        <w:rPr>
          <w:rFonts w:hint="eastAsia"/>
          <w:spacing w:val="2"/>
        </w:rPr>
        <w:t>作出的第</w:t>
      </w:r>
      <w:r w:rsidRPr="00EC5325">
        <w:rPr>
          <w:rFonts w:hint="eastAsia"/>
          <w:spacing w:val="2"/>
        </w:rPr>
        <w:t>216/2011</w:t>
      </w:r>
      <w:r w:rsidRPr="00EC5325">
        <w:rPr>
          <w:rFonts w:hint="eastAsia"/>
          <w:spacing w:val="2"/>
        </w:rPr>
        <w:t>号判决。</w:t>
      </w:r>
      <w:r w:rsidRPr="00EC5325">
        <w:rPr>
          <w:rFonts w:hint="eastAsia"/>
          <w:spacing w:val="2"/>
        </w:rPr>
        <w:t>2011</w:t>
      </w:r>
      <w:r w:rsidRPr="00EC5325">
        <w:rPr>
          <w:rFonts w:hint="eastAsia"/>
          <w:spacing w:val="2"/>
        </w:rPr>
        <w:t>年</w:t>
      </w:r>
      <w:r w:rsidRPr="00EC5325">
        <w:rPr>
          <w:rFonts w:hint="eastAsia"/>
          <w:spacing w:val="2"/>
        </w:rPr>
        <w:t>6</w:t>
      </w:r>
      <w:r w:rsidRPr="00EC5325">
        <w:rPr>
          <w:rFonts w:hint="eastAsia"/>
          <w:spacing w:val="2"/>
        </w:rPr>
        <w:t>月</w:t>
      </w:r>
      <w:r w:rsidRPr="00EC5325">
        <w:rPr>
          <w:rFonts w:hint="eastAsia"/>
          <w:spacing w:val="2"/>
        </w:rPr>
        <w:t>2</w:t>
      </w:r>
      <w:r w:rsidRPr="00EC5325">
        <w:rPr>
          <w:rFonts w:hint="eastAsia"/>
          <w:spacing w:val="2"/>
        </w:rPr>
        <w:t>日对埃德温·安东尼奥·桑切斯·门多萨和威廉姆·萨尔梅隆·埃尔南德斯一案作出的第</w:t>
      </w:r>
      <w:r w:rsidRPr="00EC5325">
        <w:rPr>
          <w:rFonts w:hint="eastAsia"/>
          <w:spacing w:val="2"/>
        </w:rPr>
        <w:t>220/2011</w:t>
      </w:r>
      <w:r w:rsidRPr="00EC5325">
        <w:rPr>
          <w:rFonts w:hint="eastAsia"/>
          <w:spacing w:val="2"/>
        </w:rPr>
        <w:t>号判决。</w:t>
      </w:r>
      <w:r w:rsidRPr="00EC5325">
        <w:rPr>
          <w:rFonts w:hint="eastAsia"/>
          <w:spacing w:val="2"/>
        </w:rPr>
        <w:t>2011</w:t>
      </w:r>
      <w:r w:rsidRPr="00EC5325">
        <w:rPr>
          <w:rFonts w:hint="eastAsia"/>
          <w:spacing w:val="2"/>
        </w:rPr>
        <w:t>年</w:t>
      </w:r>
      <w:r w:rsidRPr="00EC5325">
        <w:rPr>
          <w:rFonts w:hint="eastAsia"/>
          <w:spacing w:val="2"/>
        </w:rPr>
        <w:t>12</w:t>
      </w:r>
      <w:r w:rsidRPr="00EC5325">
        <w:rPr>
          <w:rFonts w:hint="eastAsia"/>
          <w:spacing w:val="2"/>
        </w:rPr>
        <w:t>月</w:t>
      </w:r>
      <w:r w:rsidRPr="00EC5325">
        <w:rPr>
          <w:rFonts w:hint="eastAsia"/>
          <w:spacing w:val="2"/>
        </w:rPr>
        <w:t>6</w:t>
      </w:r>
      <w:r w:rsidRPr="00EC5325">
        <w:rPr>
          <w:rFonts w:hint="eastAsia"/>
          <w:spacing w:val="2"/>
        </w:rPr>
        <w:t>日对胡安·卡洛斯·赞姆布拉诺一案作出的第</w:t>
      </w:r>
      <w:r w:rsidRPr="00EC5325">
        <w:rPr>
          <w:rFonts w:hint="eastAsia"/>
          <w:spacing w:val="2"/>
        </w:rPr>
        <w:t>515/2011</w:t>
      </w:r>
      <w:r w:rsidRPr="00EC5325">
        <w:rPr>
          <w:rFonts w:hint="eastAsia"/>
          <w:spacing w:val="2"/>
        </w:rPr>
        <w:t>号判决。</w:t>
      </w:r>
      <w:r w:rsidRPr="00EC5325">
        <w:rPr>
          <w:rFonts w:hint="eastAsia"/>
          <w:spacing w:val="2"/>
        </w:rPr>
        <w:t>2012</w:t>
      </w:r>
      <w:r w:rsidRPr="00EC5325">
        <w:rPr>
          <w:rFonts w:hint="eastAsia"/>
          <w:spacing w:val="2"/>
        </w:rPr>
        <w:t>年</w:t>
      </w:r>
      <w:r w:rsidRPr="00EC5325">
        <w:rPr>
          <w:rFonts w:hint="eastAsia"/>
          <w:spacing w:val="2"/>
        </w:rPr>
        <w:t>8</w:t>
      </w:r>
      <w:r w:rsidRPr="00EC5325">
        <w:rPr>
          <w:rFonts w:hint="eastAsia"/>
          <w:spacing w:val="2"/>
        </w:rPr>
        <w:t>月</w:t>
      </w:r>
      <w:r w:rsidRPr="00EC5325">
        <w:rPr>
          <w:rFonts w:hint="eastAsia"/>
          <w:spacing w:val="2"/>
        </w:rPr>
        <w:t>11</w:t>
      </w:r>
      <w:r w:rsidRPr="00EC5325">
        <w:rPr>
          <w:rFonts w:hint="eastAsia"/>
          <w:spacing w:val="2"/>
        </w:rPr>
        <w:t>日对迪奥马尔·德拉克鲁斯·</w:t>
      </w:r>
      <w:r>
        <w:rPr>
          <w:rFonts w:hint="eastAsia"/>
          <w:spacing w:val="2"/>
        </w:rPr>
        <w:t>利纳雷斯·</w:t>
      </w:r>
      <w:r w:rsidRPr="00EC5325">
        <w:rPr>
          <w:rFonts w:hint="eastAsia"/>
          <w:spacing w:val="2"/>
        </w:rPr>
        <w:t>罗德里格斯一案作出的第</w:t>
      </w:r>
      <w:r w:rsidRPr="00EC5325">
        <w:rPr>
          <w:rFonts w:hint="eastAsia"/>
          <w:spacing w:val="2"/>
        </w:rPr>
        <w:t>255/2012</w:t>
      </w:r>
      <w:r w:rsidRPr="00EC5325">
        <w:rPr>
          <w:rFonts w:hint="eastAsia"/>
          <w:spacing w:val="2"/>
        </w:rPr>
        <w:t>号判决。</w:t>
      </w:r>
      <w:r w:rsidRPr="00EC5325">
        <w:rPr>
          <w:rFonts w:hint="eastAsia"/>
          <w:spacing w:val="2"/>
        </w:rPr>
        <w:t>2013</w:t>
      </w:r>
      <w:r w:rsidRPr="00EC5325">
        <w:rPr>
          <w:rFonts w:hint="eastAsia"/>
          <w:spacing w:val="2"/>
        </w:rPr>
        <w:t>年</w:t>
      </w:r>
      <w:r w:rsidRPr="00EC5325">
        <w:rPr>
          <w:rFonts w:hint="eastAsia"/>
          <w:spacing w:val="2"/>
        </w:rPr>
        <w:t>8</w:t>
      </w:r>
      <w:r w:rsidRPr="00EC5325">
        <w:rPr>
          <w:rFonts w:hint="eastAsia"/>
          <w:spacing w:val="2"/>
        </w:rPr>
        <w:t>月</w:t>
      </w:r>
      <w:r w:rsidRPr="00EC5325">
        <w:rPr>
          <w:rFonts w:hint="eastAsia"/>
          <w:spacing w:val="2"/>
        </w:rPr>
        <w:t>6</w:t>
      </w:r>
      <w:r w:rsidRPr="00EC5325">
        <w:rPr>
          <w:rFonts w:hint="eastAsia"/>
          <w:spacing w:val="2"/>
        </w:rPr>
        <w:t>日对卡洛斯·爱德华多·曼萨尼利亚·</w:t>
      </w:r>
      <w:r>
        <w:rPr>
          <w:rFonts w:hint="eastAsia"/>
          <w:spacing w:val="2"/>
        </w:rPr>
        <w:t>加西亚和古斯塔沃·</w:t>
      </w:r>
      <w:r w:rsidRPr="00EC5325">
        <w:rPr>
          <w:rFonts w:hint="eastAsia"/>
          <w:spacing w:val="2"/>
        </w:rPr>
        <w:t>亚历杭德罗·佩尼亚·维罗利亚一案作出的第</w:t>
      </w:r>
      <w:r w:rsidRPr="00EC5325">
        <w:rPr>
          <w:rFonts w:hint="eastAsia"/>
          <w:spacing w:val="2"/>
        </w:rPr>
        <w:t>291</w:t>
      </w:r>
      <w:r w:rsidRPr="00EC5325">
        <w:rPr>
          <w:rFonts w:hint="eastAsia"/>
          <w:spacing w:val="2"/>
        </w:rPr>
        <w:t>号判决。</w:t>
      </w:r>
    </w:p>
  </w:footnote>
  <w:footnote w:id="11">
    <w:p w:rsidR="008625CB" w:rsidRDefault="008625CB" w:rsidP="008A181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迭戈·</w:t>
      </w:r>
      <w:r w:rsidRPr="008A1811">
        <w:rPr>
          <w:rFonts w:hint="eastAsia"/>
        </w:rPr>
        <w:t>里斯克斯的作品《解放者曼努埃拉</w:t>
      </w:r>
      <w:r>
        <w:rPr>
          <w:rFonts w:hint="eastAsia"/>
        </w:rPr>
        <w:t>·</w:t>
      </w:r>
      <w:r w:rsidRPr="008A1811">
        <w:rPr>
          <w:rFonts w:hint="eastAsia"/>
        </w:rPr>
        <w:t>萨恩斯》；其他从女性角度讲述阶级斗争的作品有：菲娜</w:t>
      </w:r>
      <w:r>
        <w:rPr>
          <w:rFonts w:hint="eastAsia"/>
        </w:rPr>
        <w:t>·托雷斯的作品《奥里亚娜》；阿纳伊·</w:t>
      </w:r>
      <w:r w:rsidRPr="008A1811">
        <w:rPr>
          <w:rFonts w:hint="eastAsia"/>
        </w:rPr>
        <w:t>贝尔内</w:t>
      </w:r>
      <w:r>
        <w:rPr>
          <w:rFonts w:hint="eastAsia"/>
        </w:rPr>
        <w:t>利的作品《涅槃》；罗曼·查尔沃德的作品《天使的羊群》；安德雷娅·</w:t>
      </w:r>
      <w:r w:rsidRPr="008A1811">
        <w:rPr>
          <w:rFonts w:hint="eastAsia"/>
        </w:rPr>
        <w:t>里奥斯的作品《一个、两个和三个女人》。这些影视作品在</w:t>
      </w:r>
      <w:r w:rsidRPr="008A1811">
        <w:rPr>
          <w:rFonts w:hint="eastAsia"/>
        </w:rPr>
        <w:t>VTV</w:t>
      </w:r>
      <w:r w:rsidRPr="008A1811">
        <w:rPr>
          <w:rFonts w:hint="eastAsia"/>
        </w:rPr>
        <w:t>、</w:t>
      </w:r>
      <w:r w:rsidRPr="008A1811">
        <w:rPr>
          <w:rFonts w:hint="eastAsia"/>
        </w:rPr>
        <w:t>Vive TV</w:t>
      </w:r>
      <w:r w:rsidRPr="008A1811">
        <w:rPr>
          <w:rFonts w:hint="eastAsia"/>
        </w:rPr>
        <w:t>、</w:t>
      </w:r>
      <w:r w:rsidRPr="008A1811">
        <w:rPr>
          <w:rFonts w:hint="eastAsia"/>
        </w:rPr>
        <w:t>Ávila TV</w:t>
      </w:r>
      <w:r w:rsidRPr="008A1811">
        <w:rPr>
          <w:rFonts w:hint="eastAsia"/>
        </w:rPr>
        <w:t>和</w:t>
      </w:r>
      <w:r w:rsidRPr="008A1811">
        <w:rPr>
          <w:rFonts w:hint="eastAsia"/>
        </w:rPr>
        <w:t>Tves</w:t>
      </w:r>
      <w:r w:rsidRPr="008A1811">
        <w:rPr>
          <w:rFonts w:hint="eastAsia"/>
        </w:rPr>
        <w:t>这几个频道播出。其中</w:t>
      </w:r>
      <w:r w:rsidRPr="008A1811">
        <w:rPr>
          <w:rFonts w:hint="eastAsia"/>
        </w:rPr>
        <w:t>Tves</w:t>
      </w:r>
      <w:r w:rsidRPr="008A1811">
        <w:rPr>
          <w:rFonts w:hint="eastAsia"/>
        </w:rPr>
        <w:t>频道还在消除对妇女的暴力行为国际日等特定日期播出女性特别节目，播出了一轮“不再”系列电影，这个系列共包含五部关于妇女权利的电影作品，即：伊西雅尔</w:t>
      </w:r>
      <w:r>
        <w:rPr>
          <w:rFonts w:hint="eastAsia"/>
        </w:rPr>
        <w:t>·</w:t>
      </w:r>
      <w:r w:rsidRPr="008A1811">
        <w:rPr>
          <w:rFonts w:hint="eastAsia"/>
        </w:rPr>
        <w:t>伯莱恩的作品《给你我的眼睛》；伍迪</w:t>
      </w:r>
      <w:r>
        <w:rPr>
          <w:rFonts w:hint="eastAsia"/>
        </w:rPr>
        <w:t>·</w:t>
      </w:r>
      <w:r w:rsidRPr="008A1811">
        <w:rPr>
          <w:rFonts w:hint="eastAsia"/>
        </w:rPr>
        <w:t>艾伦的作品《开罗紫玫瑰》；哈维尔</w:t>
      </w:r>
      <w:r>
        <w:rPr>
          <w:rFonts w:hint="eastAsia"/>
        </w:rPr>
        <w:t>·</w:t>
      </w:r>
      <w:r w:rsidRPr="008A1811">
        <w:rPr>
          <w:rFonts w:hint="eastAsia"/>
        </w:rPr>
        <w:t>巴拉格尔的作品《只有我的》；雷德利•斯科特的作品《末路狂花》；以及罗曼</w:t>
      </w:r>
      <w:r>
        <w:rPr>
          <w:rFonts w:hint="eastAsia"/>
        </w:rPr>
        <w:t>·</w:t>
      </w:r>
      <w:r w:rsidRPr="008A1811">
        <w:rPr>
          <w:rFonts w:hint="eastAsia"/>
        </w:rPr>
        <w:t>查尔沃德的作品《</w:t>
      </w:r>
      <w:r w:rsidRPr="008A1811">
        <w:rPr>
          <w:rFonts w:hint="eastAsia"/>
        </w:rPr>
        <w:t>16</w:t>
      </w:r>
      <w:r w:rsidRPr="008A1811">
        <w:rPr>
          <w:rFonts w:hint="eastAsia"/>
        </w:rPr>
        <w:t>岁的卡门》。</w:t>
      </w:r>
      <w:r w:rsidRPr="008A1811">
        <w:rPr>
          <w:rFonts w:hint="eastAsia"/>
        </w:rPr>
        <w:t>Tves</w:t>
      </w:r>
      <w:r w:rsidRPr="008A1811">
        <w:rPr>
          <w:rFonts w:hint="eastAsia"/>
        </w:rPr>
        <w:t>还为庆祝国际女工日播出了一系列特别节目，包括罗珊娜</w:t>
      </w:r>
      <w:r>
        <w:rPr>
          <w:rFonts w:hint="eastAsia"/>
        </w:rPr>
        <w:t>·</w:t>
      </w:r>
      <w:r w:rsidRPr="008A1811">
        <w:rPr>
          <w:rFonts w:hint="eastAsia"/>
        </w:rPr>
        <w:t>马特科的纪录片《助产士》；劳尔</w:t>
      </w:r>
      <w:r>
        <w:rPr>
          <w:rFonts w:hint="eastAsia"/>
        </w:rPr>
        <w:t>·阿维拉执导和制作的动画短片《三彩英雄约瑟法·</w:t>
      </w:r>
      <w:r w:rsidRPr="008A1811">
        <w:rPr>
          <w:rFonts w:hint="eastAsia"/>
        </w:rPr>
        <w:t>卡梅霍》；西维亚</w:t>
      </w:r>
      <w:r w:rsidRPr="008A1811">
        <w:rPr>
          <w:rFonts w:hint="eastAsia"/>
        </w:rPr>
        <w:t>-</w:t>
      </w:r>
      <w:r w:rsidRPr="008A1811">
        <w:rPr>
          <w:rFonts w:hint="eastAsia"/>
        </w:rPr>
        <w:t>乔迈的作品《美丽三重唱》；大卫•久洛的《曼努埃拉》；贝蒂</w:t>
      </w:r>
      <w:r>
        <w:rPr>
          <w:rFonts w:hint="eastAsia"/>
        </w:rPr>
        <w:t>·</w:t>
      </w:r>
      <w:r w:rsidRPr="008A1811">
        <w:rPr>
          <w:rFonts w:hint="eastAsia"/>
        </w:rPr>
        <w:t>卡普兰的作品《芭芭拉女士》；最后，还播出了一个对特蕾莎</w:t>
      </w:r>
      <w:r>
        <w:rPr>
          <w:rFonts w:hint="eastAsia"/>
        </w:rPr>
        <w:t>·</w:t>
      </w:r>
      <w:r w:rsidRPr="008A1811">
        <w:rPr>
          <w:rFonts w:hint="eastAsia"/>
        </w:rPr>
        <w:t>福卡德斯修女的专访节目，其中谈到了委内瑞拉的女权主义、计划生育和堕胎问题。</w:t>
      </w:r>
    </w:p>
  </w:footnote>
  <w:footnote w:id="12">
    <w:p w:rsidR="008625CB" w:rsidRDefault="008625CB" w:rsidP="008A181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1811">
        <w:rPr>
          <w:rFonts w:hint="eastAsia"/>
        </w:rPr>
        <w:t>特别值得一提的节目有：</w:t>
      </w:r>
      <w:r w:rsidRPr="008A1811">
        <w:rPr>
          <w:rFonts w:hint="eastAsia"/>
        </w:rPr>
        <w:t>VTV</w:t>
      </w:r>
      <w:r w:rsidRPr="008A1811">
        <w:rPr>
          <w:rFonts w:hint="eastAsia"/>
        </w:rPr>
        <w:t>电台播出的《新闻与对抗》节目；委内瑞拉国家电台播出的《多样化也不错》</w:t>
      </w:r>
      <w:r>
        <w:rPr>
          <w:rFonts w:hint="eastAsia"/>
        </w:rPr>
        <w:t>(</w:t>
      </w:r>
      <w:r w:rsidRPr="008A1811">
        <w:rPr>
          <w:rFonts w:hint="eastAsia"/>
        </w:rPr>
        <w:t>关于性多形性的节目</w:t>
      </w:r>
      <w:r>
        <w:rPr>
          <w:rFonts w:hint="eastAsia"/>
        </w:rPr>
        <w:t>)</w:t>
      </w:r>
      <w:r w:rsidRPr="008A1811">
        <w:rPr>
          <w:rFonts w:hint="eastAsia"/>
        </w:rPr>
        <w:t>和《阿雷皮塔</w:t>
      </w:r>
      <w:r>
        <w:rPr>
          <w:rFonts w:hint="eastAsia"/>
        </w:rPr>
        <w:t>·</w:t>
      </w:r>
      <w:r w:rsidRPr="008A1811">
        <w:rPr>
          <w:rFonts w:hint="eastAsia"/>
        </w:rPr>
        <w:t>德</w:t>
      </w:r>
      <w:r>
        <w:rPr>
          <w:rFonts w:hint="eastAsia"/>
        </w:rPr>
        <w:t>·</w:t>
      </w:r>
      <w:r w:rsidRPr="008A1811">
        <w:rPr>
          <w:rFonts w:hint="eastAsia"/>
        </w:rPr>
        <w:t>曼特卡》</w:t>
      </w:r>
      <w:r>
        <w:rPr>
          <w:rFonts w:hint="eastAsia"/>
        </w:rPr>
        <w:t>(</w:t>
      </w:r>
      <w:r w:rsidRPr="008A1811">
        <w:rPr>
          <w:rFonts w:hint="eastAsia"/>
        </w:rPr>
        <w:t>一台关于自由生养子女的节目</w:t>
      </w:r>
      <w:r>
        <w:rPr>
          <w:rFonts w:hint="eastAsia"/>
        </w:rPr>
        <w:t>)</w:t>
      </w:r>
      <w:r w:rsidRPr="008A1811">
        <w:rPr>
          <w:rFonts w:hint="eastAsia"/>
        </w:rPr>
        <w:t>；</w:t>
      </w:r>
      <w:r w:rsidRPr="008A1811">
        <w:rPr>
          <w:rFonts w:hint="eastAsia"/>
        </w:rPr>
        <w:t>Vive TV</w:t>
      </w:r>
      <w:r w:rsidRPr="008A1811">
        <w:rPr>
          <w:rFonts w:hint="eastAsia"/>
        </w:rPr>
        <w:t>播出的《知识堂》、《生活故事》、《家庭秘事》、《地方史》以及《流行资讯》这几台节目；</w:t>
      </w:r>
      <w:r w:rsidRPr="008A1811">
        <w:rPr>
          <w:rFonts w:hint="eastAsia"/>
        </w:rPr>
        <w:t>Ávila TV</w:t>
      </w:r>
      <w:r>
        <w:rPr>
          <w:rFonts w:hint="eastAsia"/>
        </w:rPr>
        <w:t>播出的《恩特罗普·</w:t>
      </w:r>
      <w:r w:rsidRPr="008A1811">
        <w:rPr>
          <w:rFonts w:hint="eastAsia"/>
        </w:rPr>
        <w:t>德</w:t>
      </w:r>
      <w:r>
        <w:rPr>
          <w:rFonts w:hint="eastAsia"/>
        </w:rPr>
        <w:t>·</w:t>
      </w:r>
      <w:r w:rsidRPr="008A1811">
        <w:rPr>
          <w:rFonts w:hint="eastAsia"/>
        </w:rPr>
        <w:t>法拉比奥》</w:t>
      </w:r>
      <w:r>
        <w:rPr>
          <w:rFonts w:hint="eastAsia"/>
        </w:rPr>
        <w:t>(</w:t>
      </w:r>
      <w:r w:rsidRPr="008A1811">
        <w:rPr>
          <w:rFonts w:hint="eastAsia"/>
        </w:rPr>
        <w:t>一台关于青年女权主体团体的节目</w:t>
      </w:r>
      <w:r>
        <w:rPr>
          <w:rFonts w:hint="eastAsia"/>
        </w:rPr>
        <w:t>)</w:t>
      </w:r>
      <w:r w:rsidRPr="008A1811">
        <w:rPr>
          <w:rFonts w:hint="eastAsia"/>
        </w:rPr>
        <w:t>；等等。</w:t>
      </w:r>
    </w:p>
  </w:footnote>
  <w:footnote w:id="13">
    <w:p w:rsidR="008625CB" w:rsidRDefault="008625CB" w:rsidP="008A1811">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57</w:t>
      </w:r>
      <w:r>
        <w:rPr>
          <w:rFonts w:hint="eastAsia"/>
        </w:rPr>
        <w:t>条。杀害妇女罪。由配偶、前任配偶、同居伴侣、前任同居伴侣、与受害人维持着婚姻生活、事实婚姻关系或者情感关系</w:t>
      </w:r>
      <w:r>
        <w:rPr>
          <w:rFonts w:hint="eastAsia"/>
        </w:rPr>
        <w:t>(</w:t>
      </w:r>
      <w:r>
        <w:rPr>
          <w:rFonts w:hint="eastAsia"/>
        </w:rPr>
        <w:t>无论是否同居的</w:t>
      </w:r>
      <w:r>
        <w:rPr>
          <w:rFonts w:hint="eastAsia"/>
        </w:rPr>
        <w:t>)</w:t>
      </w:r>
      <w:r>
        <w:rPr>
          <w:rFonts w:hint="eastAsia"/>
        </w:rPr>
        <w:t>的人员所实施的蓄意杀害妇女的行为，构成杀害妇女罪。在这种情形下，应对犯罪行为人处以二十五年至三十年监禁徒刑。利用工作关系、学术关系、职业关系或其他任何利用受害人的信任、从属关系或优势侵害受害人肉体来满足其性欲，出于主观故意造成受害妇女死亡的，构成非情人杀害妇女罪，犯罪行为人应被处以十五年至二十年监禁徒刑。因卷入人口贩运、非法行业协会而蓄意杀害妇女的行为，构成间接杀害妇女罪，犯罪行为人应被处以二十五年至三十年监禁徒刑”。</w:t>
      </w:r>
    </w:p>
  </w:footnote>
  <w:footnote w:id="14">
    <w:p w:rsidR="008625CB" w:rsidRDefault="008625CB" w:rsidP="008A181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“第</w:t>
      </w:r>
      <w:r>
        <w:rPr>
          <w:rFonts w:hint="eastAsia"/>
        </w:rPr>
        <w:t>58</w:t>
      </w:r>
      <w:r>
        <w:rPr>
          <w:rFonts w:hint="eastAsia"/>
        </w:rPr>
        <w:t>条。教唆杀人或协助杀人。教唆妇女自杀或者协助妇女自杀的，将被处以三至五年监禁徒刑。自杀成功的，实施教唆或者提供协助的犯罪行为人将被处以十年至十五年监禁徒刑。在上述所有情形下，必须要证实：犯罪行为人利用了受害人的某种弱势条件或是身体或心理状况。犯罪行为人利用了不对称的权力关系，将妇女置于从属或者弱势状况，利用了既有的或者现有的关系来实施犯罪”</w:t>
      </w:r>
    </w:p>
  </w:footnote>
  <w:footnote w:id="15">
    <w:p w:rsidR="008625CB" w:rsidRDefault="008625CB" w:rsidP="008A1811">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《妇女享有无暴力生活权利组织法》第</w:t>
      </w:r>
      <w:r>
        <w:rPr>
          <w:rFonts w:hint="eastAsia"/>
        </w:rPr>
        <w:t>19</w:t>
      </w:r>
      <w:r>
        <w:rPr>
          <w:rFonts w:hint="eastAsia"/>
        </w:rPr>
        <w:t>、</w:t>
      </w:r>
      <w:r>
        <w:rPr>
          <w:rFonts w:hint="eastAsia"/>
        </w:rPr>
        <w:t>46</w:t>
      </w:r>
      <w:r>
        <w:rPr>
          <w:rFonts w:hint="eastAsia"/>
        </w:rPr>
        <w:t>、</w:t>
      </w:r>
      <w:r>
        <w:rPr>
          <w:rFonts w:hint="eastAsia"/>
        </w:rPr>
        <w:t>47</w:t>
      </w:r>
      <w:r>
        <w:rPr>
          <w:rFonts w:hint="eastAsia"/>
        </w:rPr>
        <w:t>、</w:t>
      </w:r>
      <w:r>
        <w:rPr>
          <w:rFonts w:hint="eastAsia"/>
        </w:rPr>
        <w:t>55</w:t>
      </w:r>
      <w:r>
        <w:rPr>
          <w:rFonts w:hint="eastAsia"/>
        </w:rPr>
        <w:t>和</w:t>
      </w:r>
      <w:r>
        <w:rPr>
          <w:rFonts w:hint="eastAsia"/>
        </w:rPr>
        <w:t>56</w:t>
      </w:r>
      <w:r>
        <w:rPr>
          <w:rFonts w:hint="eastAsia"/>
        </w:rPr>
        <w:t>条。</w:t>
      </w:r>
    </w:p>
  </w:footnote>
  <w:footnote w:id="16">
    <w:p w:rsidR="008625CB" w:rsidRDefault="008625CB" w:rsidP="008A181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《少年儿童保护组织法》第</w:t>
      </w:r>
      <w:r>
        <w:rPr>
          <w:rFonts w:hint="eastAsia"/>
        </w:rPr>
        <w:t>33</w:t>
      </w:r>
      <w:r>
        <w:rPr>
          <w:rFonts w:hint="eastAsia"/>
        </w:rPr>
        <w:t>、</w:t>
      </w:r>
      <w:r>
        <w:rPr>
          <w:rFonts w:hint="eastAsia"/>
        </w:rPr>
        <w:t>38</w:t>
      </w:r>
      <w:r>
        <w:rPr>
          <w:rFonts w:hint="eastAsia"/>
        </w:rPr>
        <w:t>、</w:t>
      </w:r>
      <w:r>
        <w:rPr>
          <w:rFonts w:hint="eastAsia"/>
        </w:rPr>
        <w:t>40</w:t>
      </w:r>
      <w:r>
        <w:rPr>
          <w:rFonts w:hint="eastAsia"/>
        </w:rPr>
        <w:t>、</w:t>
      </w:r>
      <w:r>
        <w:rPr>
          <w:rFonts w:hint="eastAsia"/>
        </w:rPr>
        <w:t>255</w:t>
      </w:r>
      <w:r>
        <w:rPr>
          <w:rFonts w:hint="eastAsia"/>
        </w:rPr>
        <w:t>、</w:t>
      </w:r>
      <w:r>
        <w:rPr>
          <w:rFonts w:hint="eastAsia"/>
        </w:rPr>
        <w:t>257</w:t>
      </w:r>
      <w:r>
        <w:rPr>
          <w:rFonts w:hint="eastAsia"/>
        </w:rPr>
        <w:t>、</w:t>
      </w:r>
      <w:r>
        <w:rPr>
          <w:rFonts w:hint="eastAsia"/>
        </w:rPr>
        <w:t>258</w:t>
      </w:r>
      <w:r>
        <w:rPr>
          <w:rFonts w:hint="eastAsia"/>
        </w:rPr>
        <w:t>和</w:t>
      </w:r>
      <w:r>
        <w:rPr>
          <w:rFonts w:hint="eastAsia"/>
        </w:rPr>
        <w:t>266</w:t>
      </w:r>
      <w:r>
        <w:rPr>
          <w:rFonts w:hint="eastAsia"/>
        </w:rPr>
        <w:t>条。</w:t>
      </w:r>
    </w:p>
  </w:footnote>
  <w:footnote w:id="17">
    <w:p w:rsidR="008625CB" w:rsidRDefault="008625CB" w:rsidP="008A181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《打击有组织犯罪和恐怖主义融资组织法》第</w:t>
      </w:r>
      <w:r>
        <w:rPr>
          <w:rFonts w:hint="eastAsia"/>
        </w:rPr>
        <w:t>41</w:t>
      </w:r>
      <w:r>
        <w:rPr>
          <w:rFonts w:hint="eastAsia"/>
        </w:rPr>
        <w:t>条。</w:t>
      </w:r>
    </w:p>
  </w:footnote>
  <w:footnote w:id="18">
    <w:p w:rsidR="008625CB" w:rsidRDefault="008625CB" w:rsidP="008A1811">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A1811">
        <w:rPr>
          <w:rFonts w:hint="eastAsia"/>
        </w:rPr>
        <w:t>社区成员，土著人，社会组织和社区组织成员，私营机构成员，基础教育、中学教育、多样化教育和大学教育阶段的学生。</w:t>
      </w:r>
    </w:p>
  </w:footnote>
  <w:footnote w:id="19">
    <w:p w:rsidR="008625CB" w:rsidRDefault="008625CB" w:rsidP="008625CB">
      <w:pPr>
        <w:pStyle w:val="FootnoteText"/>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《劳动与劳工组织法》规定产前假为</w:t>
      </w:r>
      <w:r>
        <w:rPr>
          <w:rFonts w:hint="eastAsia"/>
        </w:rPr>
        <w:t>6</w:t>
      </w:r>
      <w:r>
        <w:rPr>
          <w:rFonts w:hint="eastAsia"/>
        </w:rPr>
        <w:t>周，产后假为</w:t>
      </w:r>
      <w:r>
        <w:rPr>
          <w:rFonts w:hint="eastAsia"/>
        </w:rPr>
        <w:t>20</w:t>
      </w:r>
      <w:r>
        <w:rPr>
          <w:rFonts w:hint="eastAsia"/>
        </w:rPr>
        <w:t>周。</w:t>
      </w:r>
    </w:p>
  </w:footnote>
  <w:footnote w:id="20">
    <w:p w:rsidR="008625CB" w:rsidRDefault="008625CB" w:rsidP="008625C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在妊娠期内，怀孕女工有权享有每月一</w:t>
      </w:r>
      <w:r>
        <w:rPr>
          <w:rFonts w:hint="eastAsia"/>
        </w:rPr>
        <w:t>(1)</w:t>
      </w:r>
      <w:r>
        <w:rPr>
          <w:rFonts w:hint="eastAsia"/>
        </w:rPr>
        <w:t>整天或两个半天的带薪假，用来进行产检。</w:t>
      </w:r>
    </w:p>
  </w:footnote>
  <w:footnote w:id="21">
    <w:p w:rsidR="008625CB" w:rsidRDefault="008625CB" w:rsidP="008625C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对于配有哺乳室或托儿所的工作单位，产妇有权享有每天两次的哺乳假，每次半</w:t>
      </w:r>
      <w:r>
        <w:rPr>
          <w:rFonts w:hint="eastAsia"/>
        </w:rPr>
        <w:t>(0.5)</w:t>
      </w:r>
      <w:r>
        <w:rPr>
          <w:rFonts w:hint="eastAsia"/>
        </w:rPr>
        <w:t>小时，对于工作单位没有配备哺乳室或托儿所的，产妇有权享有每天一个半</w:t>
      </w:r>
      <w:r>
        <w:rPr>
          <w:rFonts w:hint="eastAsia"/>
        </w:rPr>
        <w:t>(1.5)</w:t>
      </w:r>
      <w:r>
        <w:rPr>
          <w:rFonts w:hint="eastAsia"/>
        </w:rPr>
        <w:t>小时的哺乳假。</w:t>
      </w:r>
    </w:p>
  </w:footnote>
  <w:footnote w:id="22">
    <w:p w:rsidR="008625CB" w:rsidRDefault="008625CB" w:rsidP="008625C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Pr>
          <w:rFonts w:hint="eastAsia"/>
        </w:rPr>
        <w:t>为有子女的女工提供工作支持的一项举措，就是配备带有哺乳室的托儿所，以便为员工照看年龄在三月龄至三岁的子女，为此，可以通过雇主自行开办和运行托儿机构，也可以通过报销员工将孩子送到获得教育部批准的托儿所照看所付的注册费和每月的托儿费实现。</w:t>
      </w:r>
    </w:p>
  </w:footnote>
  <w:footnote w:id="23">
    <w:p w:rsidR="008625CB" w:rsidRDefault="008625CB" w:rsidP="008625C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8625CB">
        <w:rPr>
          <w:rFonts w:hint="eastAsia"/>
        </w:rPr>
        <w:t>萨拉</w:t>
      </w:r>
      <w:r>
        <w:rPr>
          <w:rFonts w:hint="eastAsia"/>
        </w:rPr>
        <w:t>斯·</w:t>
      </w:r>
      <w:r w:rsidRPr="008625CB">
        <w:rPr>
          <w:rFonts w:hint="eastAsia"/>
        </w:rPr>
        <w:t>H.</w:t>
      </w:r>
      <w:r w:rsidRPr="008625CB">
        <w:rPr>
          <w:rFonts w:hint="eastAsia"/>
        </w:rPr>
        <w:t>与坎波斯</w:t>
      </w:r>
      <w:r>
        <w:rPr>
          <w:rFonts w:hint="eastAsia"/>
        </w:rPr>
        <w:t>·</w:t>
      </w:r>
      <w:r w:rsidRPr="008625CB">
        <w:rPr>
          <w:rFonts w:hint="eastAsia"/>
        </w:rPr>
        <w:t>J.</w:t>
      </w:r>
      <w:r w:rsidRPr="008625CB">
        <w:rPr>
          <w:rFonts w:hint="eastAsia"/>
        </w:rPr>
        <w:t>合著的《委内瑞拉艾滋病毒</w:t>
      </w:r>
      <w:r w:rsidRPr="008625CB">
        <w:rPr>
          <w:rFonts w:hint="eastAsia"/>
        </w:rPr>
        <w:t>/</w:t>
      </w:r>
      <w:r w:rsidRPr="008625CB">
        <w:rPr>
          <w:rFonts w:hint="eastAsia"/>
        </w:rPr>
        <w:t>艾滋病疫情评估与预测》，</w:t>
      </w:r>
      <w:r w:rsidRPr="008625CB">
        <w:rPr>
          <w:rFonts w:hint="eastAsia"/>
        </w:rPr>
        <w:t>2005</w:t>
      </w:r>
      <w:r w:rsidRPr="008625CB">
        <w:rPr>
          <w:rFonts w:hint="eastAsia"/>
        </w:rPr>
        <w:t>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625CB" w:rsidTr="002E36C3">
      <w:tblPrEx>
        <w:tblCellMar>
          <w:top w:w="0" w:type="dxa"/>
          <w:bottom w:w="0" w:type="dxa"/>
        </w:tblCellMar>
      </w:tblPrEx>
      <w:trPr>
        <w:trHeight w:hRule="exact" w:val="864"/>
      </w:trPr>
      <w:tc>
        <w:tcPr>
          <w:tcW w:w="4838" w:type="dxa"/>
          <w:shd w:val="clear" w:color="auto" w:fill="auto"/>
          <w:vAlign w:val="bottom"/>
        </w:tcPr>
        <w:p w:rsidR="008625CB" w:rsidRPr="002E36C3" w:rsidRDefault="008625CB" w:rsidP="002E36C3">
          <w:pPr>
            <w:pStyle w:val="Header"/>
            <w:spacing w:after="80"/>
            <w:jc w:val="left"/>
            <w:rPr>
              <w:b/>
              <w:sz w:val="17"/>
            </w:rPr>
          </w:pPr>
          <w:fldSimple w:instr=" DOCVARIABLE &quot;sss1&quot; \* MERGEFORMAT ">
            <w:r w:rsidR="00450CEF">
              <w:rPr>
                <w:b/>
                <w:sz w:val="17"/>
              </w:rPr>
              <w:t>CEDAW/C/VEN/Q/7-8/Add.1</w:t>
            </w:r>
          </w:fldSimple>
        </w:p>
      </w:tc>
      <w:tc>
        <w:tcPr>
          <w:tcW w:w="5033" w:type="dxa"/>
          <w:shd w:val="clear" w:color="auto" w:fill="auto"/>
          <w:vAlign w:val="bottom"/>
        </w:tcPr>
        <w:p w:rsidR="008625CB" w:rsidRDefault="008625CB" w:rsidP="002E36C3">
          <w:pPr>
            <w:pStyle w:val="Header"/>
          </w:pPr>
        </w:p>
      </w:tc>
    </w:tr>
  </w:tbl>
  <w:p w:rsidR="008625CB" w:rsidRPr="002E36C3" w:rsidRDefault="008625CB" w:rsidP="002E3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8625CB" w:rsidTr="002E36C3">
      <w:tblPrEx>
        <w:tblCellMar>
          <w:top w:w="0" w:type="dxa"/>
          <w:bottom w:w="0" w:type="dxa"/>
        </w:tblCellMar>
      </w:tblPrEx>
      <w:trPr>
        <w:trHeight w:hRule="exact" w:val="864"/>
      </w:trPr>
      <w:tc>
        <w:tcPr>
          <w:tcW w:w="4838" w:type="dxa"/>
          <w:shd w:val="clear" w:color="auto" w:fill="auto"/>
          <w:vAlign w:val="bottom"/>
        </w:tcPr>
        <w:p w:rsidR="008625CB" w:rsidRDefault="008625CB" w:rsidP="002E36C3">
          <w:pPr>
            <w:pStyle w:val="Header"/>
          </w:pPr>
        </w:p>
      </w:tc>
      <w:tc>
        <w:tcPr>
          <w:tcW w:w="5033" w:type="dxa"/>
          <w:shd w:val="clear" w:color="auto" w:fill="auto"/>
          <w:vAlign w:val="bottom"/>
        </w:tcPr>
        <w:p w:rsidR="008625CB" w:rsidRPr="002E36C3" w:rsidRDefault="008625CB" w:rsidP="002E36C3">
          <w:pPr>
            <w:pStyle w:val="Header"/>
            <w:spacing w:after="80"/>
            <w:jc w:val="right"/>
            <w:rPr>
              <w:b/>
              <w:sz w:val="17"/>
            </w:rPr>
          </w:pPr>
          <w:fldSimple w:instr=" DOCVARIABLE &quot;sss1&quot; \* MERGEFORMAT ">
            <w:r w:rsidR="00450CEF">
              <w:rPr>
                <w:b/>
                <w:sz w:val="17"/>
              </w:rPr>
              <w:t>CEDAW/C/VEN/Q/7-8/Add.1</w:t>
            </w:r>
          </w:fldSimple>
        </w:p>
      </w:tc>
    </w:tr>
  </w:tbl>
  <w:p w:rsidR="008625CB" w:rsidRPr="002E36C3" w:rsidRDefault="008625CB" w:rsidP="002E3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8625CB" w:rsidTr="002E36C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625CB" w:rsidRDefault="008625CB" w:rsidP="002E36C3">
          <w:pPr>
            <w:pStyle w:val="Header"/>
            <w:spacing w:after="120"/>
          </w:pPr>
        </w:p>
      </w:tc>
      <w:tc>
        <w:tcPr>
          <w:tcW w:w="1872" w:type="dxa"/>
          <w:tcBorders>
            <w:bottom w:val="single" w:sz="4" w:space="0" w:color="auto"/>
          </w:tcBorders>
          <w:shd w:val="clear" w:color="auto" w:fill="auto"/>
          <w:vAlign w:val="bottom"/>
        </w:tcPr>
        <w:p w:rsidR="008625CB" w:rsidRPr="002E36C3" w:rsidRDefault="008625CB" w:rsidP="002E36C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625CB" w:rsidRDefault="008625CB" w:rsidP="002E36C3">
          <w:pPr>
            <w:pStyle w:val="Header"/>
            <w:spacing w:after="120"/>
          </w:pPr>
        </w:p>
      </w:tc>
      <w:tc>
        <w:tcPr>
          <w:tcW w:w="6523" w:type="dxa"/>
          <w:gridSpan w:val="3"/>
          <w:tcBorders>
            <w:bottom w:val="single" w:sz="4" w:space="0" w:color="auto"/>
          </w:tcBorders>
          <w:shd w:val="clear" w:color="auto" w:fill="auto"/>
          <w:vAlign w:val="bottom"/>
        </w:tcPr>
        <w:p w:rsidR="008625CB" w:rsidRPr="002E36C3" w:rsidRDefault="008625CB" w:rsidP="002E36C3">
          <w:pPr>
            <w:spacing w:after="80" w:line="240" w:lineRule="auto"/>
            <w:jc w:val="right"/>
            <w:rPr>
              <w:position w:val="-4"/>
            </w:rPr>
          </w:pPr>
          <w:r>
            <w:rPr>
              <w:position w:val="-4"/>
              <w:sz w:val="40"/>
            </w:rPr>
            <w:t>CEDAW</w:t>
          </w:r>
          <w:r>
            <w:rPr>
              <w:position w:val="-4"/>
            </w:rPr>
            <w:t>/C/VEN/Q/7-8/Add.1</w:t>
          </w:r>
        </w:p>
      </w:tc>
    </w:tr>
    <w:tr w:rsidR="008625CB" w:rsidRPr="002E36C3" w:rsidTr="002E36C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625CB" w:rsidRDefault="008625CB" w:rsidP="002E36C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625CB" w:rsidRPr="002E36C3" w:rsidRDefault="008625CB" w:rsidP="002E36C3">
          <w:pPr>
            <w:pStyle w:val="Header"/>
            <w:spacing w:before="109"/>
            <w:ind w:left="-72"/>
          </w:pPr>
        </w:p>
      </w:tc>
      <w:tc>
        <w:tcPr>
          <w:tcW w:w="5227" w:type="dxa"/>
          <w:gridSpan w:val="3"/>
          <w:tcBorders>
            <w:top w:val="single" w:sz="4" w:space="0" w:color="auto"/>
            <w:bottom w:val="single" w:sz="12" w:space="0" w:color="auto"/>
          </w:tcBorders>
          <w:shd w:val="clear" w:color="auto" w:fill="auto"/>
        </w:tcPr>
        <w:p w:rsidR="008625CB" w:rsidRPr="002E36C3" w:rsidRDefault="008625CB" w:rsidP="002E36C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625CB" w:rsidRPr="002E36C3" w:rsidRDefault="008625CB" w:rsidP="002E36C3">
          <w:pPr>
            <w:pStyle w:val="Header"/>
            <w:spacing w:before="109"/>
          </w:pPr>
        </w:p>
      </w:tc>
      <w:tc>
        <w:tcPr>
          <w:tcW w:w="3180" w:type="dxa"/>
          <w:gridSpan w:val="2"/>
          <w:tcBorders>
            <w:top w:val="single" w:sz="4" w:space="0" w:color="auto"/>
            <w:bottom w:val="single" w:sz="12" w:space="0" w:color="auto"/>
          </w:tcBorders>
          <w:shd w:val="clear" w:color="auto" w:fill="auto"/>
        </w:tcPr>
        <w:p w:rsidR="008625CB" w:rsidRDefault="008625CB" w:rsidP="002E36C3">
          <w:pPr>
            <w:pStyle w:val="Distr"/>
          </w:pPr>
          <w:r>
            <w:t>Distr.: General</w:t>
          </w:r>
        </w:p>
        <w:p w:rsidR="008625CB" w:rsidRDefault="008625CB" w:rsidP="002E36C3">
          <w:pPr>
            <w:pStyle w:val="Publication"/>
          </w:pPr>
          <w:r>
            <w:t>2</w:t>
          </w:r>
          <w:r>
            <w:rPr>
              <w:rFonts w:hint="eastAsia"/>
            </w:rPr>
            <w:t>4</w:t>
          </w:r>
          <w:r>
            <w:t xml:space="preserve"> Ju</w:t>
          </w:r>
          <w:r>
            <w:rPr>
              <w:rFonts w:hint="eastAsia"/>
            </w:rPr>
            <w:t>ne</w:t>
          </w:r>
          <w:r>
            <w:t xml:space="preserve"> 2014</w:t>
          </w:r>
        </w:p>
        <w:p w:rsidR="008625CB" w:rsidRDefault="008625CB" w:rsidP="002E36C3">
          <w:pPr>
            <w:spacing w:line="240" w:lineRule="exact"/>
          </w:pPr>
          <w:r>
            <w:t>Chinese</w:t>
          </w:r>
        </w:p>
        <w:p w:rsidR="008625CB" w:rsidRDefault="008625CB" w:rsidP="002E36C3">
          <w:pPr>
            <w:pStyle w:val="Original"/>
          </w:pPr>
          <w:r>
            <w:t>Original: English</w:t>
          </w:r>
        </w:p>
        <w:p w:rsidR="008625CB" w:rsidRPr="002E36C3" w:rsidRDefault="008625CB" w:rsidP="002E36C3"/>
      </w:tc>
    </w:tr>
  </w:tbl>
  <w:p w:rsidR="008625CB" w:rsidRPr="002E36C3" w:rsidRDefault="008625CB" w:rsidP="002E36C3">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6111*"/>
    <w:docVar w:name="CreationDt" w:val="21/07/2014 14:36:03"/>
    <w:docVar w:name="DocCategory" w:val="Doc"/>
    <w:docVar w:name="DocType" w:val="Final"/>
    <w:docVar w:name="FooterJN" w:val="14-56111 (C)"/>
    <w:docVar w:name="jobn" w:val="14-56111 (C)"/>
    <w:docVar w:name="jobnDT" w:val="14-56111 (C)   210714"/>
    <w:docVar w:name="jobnDTDT" w:val="14-56111 (C)   210714   210714"/>
    <w:docVar w:name="JobNo" w:val="1456111C"/>
    <w:docVar w:name="OandT" w:val="yanghua"/>
    <w:docVar w:name="sss1" w:val="CEDAW/C/VEN/Q/7-8/Add.1"/>
    <w:docVar w:name="sss2" w:val="-"/>
    <w:docVar w:name="Symbol1" w:val="CEDAW/C/VEN/Q/7-8/Add.1"/>
    <w:docVar w:name="Symbol2" w:val="-"/>
  </w:docVars>
  <w:rsids>
    <w:rsidRoot w:val="002B19E7"/>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77355"/>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3D3A"/>
    <w:rsid w:val="00207135"/>
    <w:rsid w:val="00212008"/>
    <w:rsid w:val="002145EA"/>
    <w:rsid w:val="00221884"/>
    <w:rsid w:val="00224F75"/>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7AAE"/>
    <w:rsid w:val="00280671"/>
    <w:rsid w:val="002814F9"/>
    <w:rsid w:val="00282D17"/>
    <w:rsid w:val="00290382"/>
    <w:rsid w:val="002A4AEF"/>
    <w:rsid w:val="002A5E53"/>
    <w:rsid w:val="002B19E7"/>
    <w:rsid w:val="002B305F"/>
    <w:rsid w:val="002B564F"/>
    <w:rsid w:val="002B5F5D"/>
    <w:rsid w:val="002B62ED"/>
    <w:rsid w:val="002C2254"/>
    <w:rsid w:val="002C3BC9"/>
    <w:rsid w:val="002C54DB"/>
    <w:rsid w:val="002D039F"/>
    <w:rsid w:val="002D0694"/>
    <w:rsid w:val="002D0B62"/>
    <w:rsid w:val="002D4ACE"/>
    <w:rsid w:val="002D5503"/>
    <w:rsid w:val="002D65A8"/>
    <w:rsid w:val="002E36C3"/>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55B0"/>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0C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F29B8"/>
    <w:rsid w:val="004F3649"/>
    <w:rsid w:val="004F4BB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5D1B"/>
    <w:rsid w:val="00547EC6"/>
    <w:rsid w:val="00552CE5"/>
    <w:rsid w:val="005541E4"/>
    <w:rsid w:val="00554F60"/>
    <w:rsid w:val="00562B21"/>
    <w:rsid w:val="00562FE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21605"/>
    <w:rsid w:val="006328DE"/>
    <w:rsid w:val="006353DE"/>
    <w:rsid w:val="006432CB"/>
    <w:rsid w:val="006479F1"/>
    <w:rsid w:val="0065055D"/>
    <w:rsid w:val="00650BEE"/>
    <w:rsid w:val="006520FA"/>
    <w:rsid w:val="0065377D"/>
    <w:rsid w:val="00661120"/>
    <w:rsid w:val="00666F57"/>
    <w:rsid w:val="006740A7"/>
    <w:rsid w:val="006767D5"/>
    <w:rsid w:val="00691524"/>
    <w:rsid w:val="006926DF"/>
    <w:rsid w:val="006A654B"/>
    <w:rsid w:val="006C4BB3"/>
    <w:rsid w:val="006D4068"/>
    <w:rsid w:val="006E2924"/>
    <w:rsid w:val="006E7A26"/>
    <w:rsid w:val="006F04EF"/>
    <w:rsid w:val="006F2B3D"/>
    <w:rsid w:val="006F6A4F"/>
    <w:rsid w:val="007016DF"/>
    <w:rsid w:val="007038D4"/>
    <w:rsid w:val="007052CC"/>
    <w:rsid w:val="00715C4B"/>
    <w:rsid w:val="007319E0"/>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25CB"/>
    <w:rsid w:val="0086691F"/>
    <w:rsid w:val="00872730"/>
    <w:rsid w:val="00883DB0"/>
    <w:rsid w:val="00884C8F"/>
    <w:rsid w:val="008927AD"/>
    <w:rsid w:val="00896D38"/>
    <w:rsid w:val="008A0216"/>
    <w:rsid w:val="008A0650"/>
    <w:rsid w:val="008A1208"/>
    <w:rsid w:val="008A1811"/>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47621"/>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D42A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114B"/>
    <w:rsid w:val="00AF2A33"/>
    <w:rsid w:val="00AF4C2D"/>
    <w:rsid w:val="00B014C7"/>
    <w:rsid w:val="00B03EFA"/>
    <w:rsid w:val="00B16C8C"/>
    <w:rsid w:val="00B171E7"/>
    <w:rsid w:val="00B309DD"/>
    <w:rsid w:val="00B3574C"/>
    <w:rsid w:val="00B36621"/>
    <w:rsid w:val="00B36D64"/>
    <w:rsid w:val="00B412C8"/>
    <w:rsid w:val="00B41B48"/>
    <w:rsid w:val="00B41FCF"/>
    <w:rsid w:val="00B425CC"/>
    <w:rsid w:val="00B42711"/>
    <w:rsid w:val="00B43CAA"/>
    <w:rsid w:val="00B509DC"/>
    <w:rsid w:val="00B55E1D"/>
    <w:rsid w:val="00B56194"/>
    <w:rsid w:val="00B60F41"/>
    <w:rsid w:val="00B61A34"/>
    <w:rsid w:val="00B62FDC"/>
    <w:rsid w:val="00B64E8E"/>
    <w:rsid w:val="00B6540A"/>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C052A2"/>
    <w:rsid w:val="00C06A4A"/>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2229"/>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5325"/>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6EF"/>
    <w:rsid w:val="00F569BC"/>
    <w:rsid w:val="00F62E3F"/>
    <w:rsid w:val="00F67F90"/>
    <w:rsid w:val="00F77B3E"/>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singl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SingleTxtG">
    <w:name w:val="_ Single Txt_G"/>
    <w:basedOn w:val="Normal"/>
    <w:rsid w:val="008A1811"/>
    <w:pPr>
      <w:suppressAutoHyphens/>
      <w:spacing w:after="120" w:line="240" w:lineRule="atLeast"/>
      <w:ind w:left="1134" w:right="1134"/>
    </w:pPr>
    <w:rPr>
      <w:kern w:val="0"/>
      <w:sz w:val="20"/>
      <w:lang w:val="fr-CH"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23</Pages>
  <Words>3006</Words>
  <Characters>17135</Characters>
  <Application>Microsoft Office Outlook</Application>
  <DocSecurity>4</DocSecurity>
  <Lines>142</Lines>
  <Paragraphs>40</Paragraphs>
  <ScaleCrop>false</ScaleCrop>
  <Company>United Nations</Company>
  <LinksUpToDate>false</LinksUpToDate>
  <CharactersWithSpaces>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 Yang</dc:creator>
  <cp:keywords/>
  <dc:description/>
  <cp:lastModifiedBy>Ctpu1</cp:lastModifiedBy>
  <cp:revision>12</cp:revision>
  <cp:lastPrinted>2014-07-21T13:27:00Z</cp:lastPrinted>
  <dcterms:created xsi:type="dcterms:W3CDTF">2014-07-21T12:35:00Z</dcterms:created>
  <dcterms:modified xsi:type="dcterms:W3CDTF">2014-07-22T12:53:00Z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1456111</vt:lpwstr>
  </property>
  <property fmtid="{D5CDD505-2E9C-101B-9397-08002B2CF9AE}" pid="3" name="ODSRefJobNo">
    <vt:lpwstr>1444038C</vt:lpwstr>
  </property>
  <property fmtid="{D5CDD505-2E9C-101B-9397-08002B2CF9AE}" pid="4" name="Symbol1">
    <vt:lpwstr>CEDAW/C/VEN/Q/7-8/Add.1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July 2014</vt:lpwstr>
  </property>
  <property fmtid="{D5CDD505-2E9C-101B-9397-08002B2CF9AE}" pid="9" name="Original">
    <vt:lpwstr>English</vt:lpwstr>
  </property>
  <property fmtid="{D5CDD505-2E9C-101B-9397-08002B2CF9AE}" pid="10" name="Release Date">
    <vt:lpwstr>210714</vt:lpwstr>
  </property>
  <property fmtid="{D5CDD505-2E9C-101B-9397-08002B2CF9AE}" pid="11" name="Comment">
    <vt:lpwstr/>
  </property>
  <property fmtid="{D5CDD505-2E9C-101B-9397-08002B2CF9AE}" pid="12" name="DraftPages">
    <vt:lpwstr> </vt:lpwstr>
  </property>
  <property fmtid="{D5CDD505-2E9C-101B-9397-08002B2CF9AE}" pid="13" name="Operator">
    <vt:lpwstr>yanghua</vt:lpwstr>
  </property>
</Properties>
</file>