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480BA4" w14:paraId="7D5F205B" w14:textId="77777777" w:rsidTr="006E444F">
        <w:trPr>
          <w:trHeight w:hRule="exact" w:val="851"/>
        </w:trPr>
        <w:tc>
          <w:tcPr>
            <w:tcW w:w="1274" w:type="dxa"/>
            <w:tcBorders>
              <w:bottom w:val="single" w:sz="4" w:space="0" w:color="auto"/>
            </w:tcBorders>
          </w:tcPr>
          <w:p w14:paraId="07A04BEE" w14:textId="77777777" w:rsidR="006B3E27" w:rsidRPr="00983870" w:rsidRDefault="006B3E27" w:rsidP="006E444F">
            <w:pPr>
              <w:bidi w:val="0"/>
              <w:jc w:val="right"/>
            </w:pPr>
          </w:p>
        </w:tc>
        <w:tc>
          <w:tcPr>
            <w:tcW w:w="5104" w:type="dxa"/>
            <w:tcBorders>
              <w:bottom w:val="single" w:sz="4" w:space="0" w:color="auto"/>
            </w:tcBorders>
            <w:vAlign w:val="bottom"/>
          </w:tcPr>
          <w:p w14:paraId="2B8D9EF6" w14:textId="77777777" w:rsidR="006B3E27" w:rsidRPr="00480BA4" w:rsidRDefault="006B3E27" w:rsidP="006E444F">
            <w:pPr>
              <w:spacing w:after="80" w:line="480" w:lineRule="exact"/>
              <w:jc w:val="left"/>
              <w:rPr>
                <w:szCs w:val="40"/>
                <w:rtl/>
              </w:rPr>
            </w:pPr>
            <w:r w:rsidRPr="00480BA4">
              <w:rPr>
                <w:rFonts w:hint="cs"/>
                <w:szCs w:val="40"/>
                <w:rtl/>
              </w:rPr>
              <w:t>الأمم المتحدة</w:t>
            </w:r>
          </w:p>
        </w:tc>
        <w:tc>
          <w:tcPr>
            <w:tcW w:w="3261" w:type="dxa"/>
            <w:tcBorders>
              <w:bottom w:val="single" w:sz="4" w:space="0" w:color="auto"/>
            </w:tcBorders>
            <w:vAlign w:val="bottom"/>
          </w:tcPr>
          <w:p w14:paraId="7318115D" w14:textId="77777777" w:rsidR="006B3E27" w:rsidRPr="00480BA4" w:rsidRDefault="002A4D88" w:rsidP="00887F05">
            <w:pPr>
              <w:bidi w:val="0"/>
              <w:spacing w:after="20"/>
              <w:jc w:val="left"/>
              <w:rPr>
                <w:szCs w:val="20"/>
              </w:rPr>
            </w:pPr>
            <w:r w:rsidRPr="00480BA4">
              <w:rPr>
                <w:sz w:val="40"/>
                <w:szCs w:val="20"/>
              </w:rPr>
              <w:t>CRC</w:t>
            </w:r>
            <w:r w:rsidRPr="00480BA4">
              <w:rPr>
                <w:szCs w:val="20"/>
              </w:rPr>
              <w:t>/C/85/2</w:t>
            </w:r>
          </w:p>
        </w:tc>
      </w:tr>
      <w:tr w:rsidR="006B3E27" w:rsidRPr="00480BA4" w14:paraId="6F36540D" w14:textId="77777777" w:rsidTr="006E444F">
        <w:trPr>
          <w:trHeight w:hRule="exact" w:val="2835"/>
        </w:trPr>
        <w:tc>
          <w:tcPr>
            <w:tcW w:w="1274" w:type="dxa"/>
            <w:tcBorders>
              <w:top w:val="single" w:sz="4" w:space="0" w:color="auto"/>
              <w:bottom w:val="single" w:sz="12" w:space="0" w:color="auto"/>
            </w:tcBorders>
          </w:tcPr>
          <w:p w14:paraId="456941C3" w14:textId="77777777" w:rsidR="006B3E27" w:rsidRPr="00480BA4" w:rsidRDefault="0059622A" w:rsidP="006E444F">
            <w:pPr>
              <w:jc w:val="center"/>
              <w:rPr>
                <w:rtl/>
              </w:rPr>
            </w:pPr>
            <w:r w:rsidRPr="00480BA4">
              <w:rPr>
                <w:noProof/>
              </w:rPr>
              <w:drawing>
                <wp:inline distT="0" distB="0" distL="0" distR="0" wp14:anchorId="3D1183A4" wp14:editId="63F4040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20CB5AC" w14:textId="77777777" w:rsidR="006B3E27" w:rsidRPr="00480BA4" w:rsidRDefault="001E1CAD" w:rsidP="006E444F">
            <w:pPr>
              <w:spacing w:before="240" w:after="40" w:line="640" w:lineRule="exact"/>
              <w:jc w:val="left"/>
              <w:rPr>
                <w:b/>
                <w:bCs/>
                <w:sz w:val="60"/>
                <w:szCs w:val="60"/>
                <w:rtl/>
              </w:rPr>
            </w:pPr>
            <w:r w:rsidRPr="00480BA4">
              <w:rPr>
                <w:rFonts w:hint="cs"/>
                <w:b/>
                <w:bCs/>
                <w:sz w:val="60"/>
                <w:szCs w:val="60"/>
                <w:rtl/>
              </w:rPr>
              <w:t>ا</w:t>
            </w:r>
            <w:r w:rsidR="004A14A6" w:rsidRPr="00480BA4">
              <w:rPr>
                <w:rFonts w:hint="cs"/>
                <w:b/>
                <w:bCs/>
                <w:sz w:val="60"/>
                <w:szCs w:val="60"/>
                <w:rtl/>
              </w:rPr>
              <w:t>تفاقي</w:t>
            </w:r>
            <w:r w:rsidR="00523BAE" w:rsidRPr="00480BA4">
              <w:rPr>
                <w:rFonts w:hint="cs"/>
                <w:b/>
                <w:bCs/>
                <w:sz w:val="60"/>
                <w:szCs w:val="60"/>
                <w:rtl/>
              </w:rPr>
              <w:t>ـ</w:t>
            </w:r>
            <w:r w:rsidR="004A14A6" w:rsidRPr="00480BA4">
              <w:rPr>
                <w:rFonts w:hint="cs"/>
                <w:b/>
                <w:bCs/>
                <w:sz w:val="60"/>
                <w:szCs w:val="60"/>
                <w:rtl/>
              </w:rPr>
              <w:t xml:space="preserve">ة </w:t>
            </w:r>
            <w:r w:rsidR="0045649E" w:rsidRPr="00480BA4">
              <w:rPr>
                <w:rFonts w:hint="cs"/>
                <w:b/>
                <w:bCs/>
                <w:sz w:val="60"/>
                <w:szCs w:val="60"/>
                <w:rtl/>
              </w:rPr>
              <w:t xml:space="preserve">حقوق </w:t>
            </w:r>
            <w:r w:rsidR="00A65558" w:rsidRPr="00480BA4">
              <w:rPr>
                <w:rFonts w:hint="cs"/>
                <w:b/>
                <w:bCs/>
                <w:sz w:val="60"/>
                <w:szCs w:val="60"/>
                <w:rtl/>
              </w:rPr>
              <w:t>الطفل</w:t>
            </w:r>
          </w:p>
        </w:tc>
        <w:tc>
          <w:tcPr>
            <w:tcW w:w="3261" w:type="dxa"/>
            <w:tcBorders>
              <w:top w:val="single" w:sz="4" w:space="0" w:color="auto"/>
              <w:bottom w:val="single" w:sz="12" w:space="0" w:color="auto"/>
            </w:tcBorders>
          </w:tcPr>
          <w:p w14:paraId="1E45F6C7" w14:textId="77777777" w:rsidR="00887F05" w:rsidRPr="00887F05" w:rsidRDefault="00887F05" w:rsidP="00887F05">
            <w:pPr>
              <w:suppressAutoHyphens/>
              <w:bidi w:val="0"/>
              <w:spacing w:before="240"/>
              <w:jc w:val="left"/>
              <w:rPr>
                <w:rFonts w:cs="Times New Roman"/>
                <w:szCs w:val="20"/>
                <w:lang w:val="en-GB"/>
              </w:rPr>
            </w:pPr>
            <w:r w:rsidRPr="00887F05">
              <w:rPr>
                <w:rFonts w:cs="Times New Roman"/>
                <w:szCs w:val="20"/>
                <w:lang w:val="en-GB"/>
              </w:rPr>
              <w:t>Distr.: General</w:t>
            </w:r>
          </w:p>
          <w:p w14:paraId="7D18E710" w14:textId="77777777" w:rsidR="00887F05" w:rsidRPr="00887F05" w:rsidRDefault="00887F05" w:rsidP="00887F05">
            <w:pPr>
              <w:bidi w:val="0"/>
              <w:jc w:val="left"/>
              <w:rPr>
                <w:rFonts w:cs="Times New Roman"/>
                <w:szCs w:val="20"/>
                <w:lang w:val="en-GB"/>
              </w:rPr>
            </w:pPr>
            <w:r w:rsidRPr="00887F05">
              <w:rPr>
                <w:rFonts w:cs="Times New Roman"/>
                <w:szCs w:val="20"/>
                <w:lang w:val="en-GB"/>
              </w:rPr>
              <w:t>29 October 2020</w:t>
            </w:r>
          </w:p>
          <w:p w14:paraId="3F65488C" w14:textId="4991CD81" w:rsidR="00887F05" w:rsidRPr="00887F05" w:rsidRDefault="00887F05" w:rsidP="00887F05">
            <w:pPr>
              <w:bidi w:val="0"/>
              <w:jc w:val="left"/>
              <w:rPr>
                <w:rFonts w:cs="Times New Roman"/>
                <w:szCs w:val="20"/>
                <w:lang w:val="en-GB"/>
              </w:rPr>
            </w:pPr>
            <w:r w:rsidRPr="00480BA4">
              <w:rPr>
                <w:rFonts w:cs="Times New Roman"/>
                <w:szCs w:val="20"/>
                <w:lang w:val="en-GB"/>
              </w:rPr>
              <w:t>Arabic</w:t>
            </w:r>
          </w:p>
          <w:p w14:paraId="62F1BEEC" w14:textId="2B9D06E4" w:rsidR="00887F05" w:rsidRPr="00480BA4" w:rsidRDefault="00887F05" w:rsidP="00887F05">
            <w:pPr>
              <w:bidi w:val="0"/>
              <w:jc w:val="left"/>
              <w:rPr>
                <w:lang w:val="en-GB"/>
              </w:rPr>
            </w:pPr>
            <w:r w:rsidRPr="00480BA4">
              <w:rPr>
                <w:rFonts w:cs="Times New Roman"/>
                <w:szCs w:val="20"/>
                <w:lang w:val="en-GB"/>
              </w:rPr>
              <w:t>Original: English</w:t>
            </w:r>
          </w:p>
        </w:tc>
      </w:tr>
    </w:tbl>
    <w:p w14:paraId="5694A17A" w14:textId="77777777" w:rsidR="00887F05" w:rsidRPr="00480BA4" w:rsidRDefault="00887F05" w:rsidP="00887F05">
      <w:pPr>
        <w:pStyle w:val="SingleTxtGA"/>
        <w:spacing w:before="120" w:after="0"/>
        <w:ind w:left="0"/>
        <w:rPr>
          <w:b/>
          <w:bCs/>
          <w:sz w:val="26"/>
          <w:szCs w:val="36"/>
          <w:rtl/>
        </w:rPr>
      </w:pPr>
      <w:r w:rsidRPr="00480BA4">
        <w:rPr>
          <w:b/>
          <w:bCs/>
          <w:sz w:val="26"/>
          <w:szCs w:val="36"/>
          <w:rtl/>
        </w:rPr>
        <w:t>لجنة حقوق الطفل</w:t>
      </w:r>
    </w:p>
    <w:p w14:paraId="1F03BB09" w14:textId="16742218" w:rsidR="00887F05" w:rsidRPr="00480BA4" w:rsidRDefault="00887F05" w:rsidP="00887F05">
      <w:pPr>
        <w:pStyle w:val="HChGA"/>
        <w:rPr>
          <w:rFonts w:hint="cs"/>
          <w:rtl/>
        </w:rPr>
      </w:pPr>
      <w:r w:rsidRPr="00480BA4">
        <w:rPr>
          <w:rtl/>
        </w:rPr>
        <w:tab/>
      </w:r>
      <w:r w:rsidRPr="00480BA4">
        <w:rPr>
          <w:rtl/>
        </w:rPr>
        <w:tab/>
        <w:t>تقرير مرحلي عن متابعة البلاغات الفردية</w:t>
      </w:r>
      <w:r w:rsidRPr="00480BA4">
        <w:rPr>
          <w:rStyle w:val="FootnoteReference"/>
          <w:sz w:val="28"/>
          <w:szCs w:val="36"/>
          <w:vertAlign w:val="baseline"/>
          <w:rtl/>
        </w:rPr>
        <w:footnoteReference w:customMarkFollows="1" w:id="1"/>
        <w:t>*</w:t>
      </w:r>
    </w:p>
    <w:p w14:paraId="6D2B0974" w14:textId="77777777" w:rsidR="00887F05" w:rsidRPr="00480BA4" w:rsidRDefault="00887F05" w:rsidP="00887F05">
      <w:pPr>
        <w:pStyle w:val="H1GA"/>
        <w:rPr>
          <w:rtl/>
        </w:rPr>
      </w:pPr>
      <w:r w:rsidRPr="00480BA4">
        <w:rPr>
          <w:rtl/>
        </w:rPr>
        <w:tab/>
        <w:t>ألف-</w:t>
      </w:r>
      <w:r w:rsidRPr="00480BA4">
        <w:rPr>
          <w:rtl/>
        </w:rPr>
        <w:tab/>
        <w:t>مقدمة</w:t>
      </w:r>
    </w:p>
    <w:p w14:paraId="47A3FBFC" w14:textId="2716A865" w:rsidR="00887F05" w:rsidRPr="00480BA4" w:rsidRDefault="00887F05" w:rsidP="00887F05">
      <w:pPr>
        <w:pStyle w:val="SingleTxtGA"/>
        <w:spacing w:after="240"/>
        <w:rPr>
          <w:rtl/>
        </w:rPr>
      </w:pPr>
      <w:r w:rsidRPr="00480BA4">
        <w:rPr>
          <w:rtl/>
        </w:rPr>
        <w:tab/>
        <w:t xml:space="preserve">هذا التقرير تجميع للمعلومات الواردة من الدول الأطراف وأصحاب الشكاوى بشأن التدابير المتخذة لتنفيذ الآراء والتوصيات المتعلقة بالبلاغات الفردية المقدمة بموجب البروتوكول الاختياري لاتفاقية حقوق الطفل بشأن إجراء تقديم البلاغات. وقد عولِجت المعلومات في إطار إجراء المتابعة المقرر بموجب المادة </w:t>
      </w:r>
      <w:r w:rsidRPr="00480BA4">
        <w:rPr>
          <w:szCs w:val="20"/>
          <w:rtl/>
        </w:rPr>
        <w:t>11</w:t>
      </w:r>
      <w:r w:rsidRPr="00480BA4">
        <w:rPr>
          <w:rtl/>
        </w:rPr>
        <w:t xml:space="preserve"> من البروتوكول الاختياري والمادة </w:t>
      </w:r>
      <w:r w:rsidRPr="00480BA4">
        <w:rPr>
          <w:szCs w:val="20"/>
          <w:rtl/>
        </w:rPr>
        <w:t>28</w:t>
      </w:r>
      <w:r w:rsidRPr="00480BA4">
        <w:rPr>
          <w:rtl/>
        </w:rPr>
        <w:t xml:space="preserve"> من النظام الداخلي بموجب البروتوكول الاختياري. وكانت معايير التقييم كما يلي:</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9"/>
        <w:gridCol w:w="6801"/>
      </w:tblGrid>
      <w:tr w:rsidR="00887F05" w:rsidRPr="00480BA4" w14:paraId="6EB0BAFA" w14:textId="77777777" w:rsidTr="002117DE">
        <w:trPr>
          <w:cantSplit/>
          <w:tblHeader/>
        </w:trPr>
        <w:tc>
          <w:tcPr>
            <w:tcW w:w="7370" w:type="dxa"/>
            <w:gridSpan w:val="2"/>
            <w:tcBorders>
              <w:top w:val="single" w:sz="4" w:space="0" w:color="auto"/>
              <w:bottom w:val="single" w:sz="12" w:space="0" w:color="auto"/>
            </w:tcBorders>
            <w:shd w:val="clear" w:color="auto" w:fill="auto"/>
            <w:vAlign w:val="bottom"/>
          </w:tcPr>
          <w:p w14:paraId="7CDE13F6" w14:textId="77777777" w:rsidR="00887F05" w:rsidRPr="00480BA4" w:rsidRDefault="00887F05" w:rsidP="00887F05">
            <w:pPr>
              <w:spacing w:before="60" w:after="60" w:line="300" w:lineRule="exact"/>
              <w:ind w:left="57" w:right="113"/>
              <w:textDirection w:val="tbRlV"/>
              <w:rPr>
                <w:rFonts w:eastAsiaTheme="minorEastAsia"/>
                <w:i/>
                <w:szCs w:val="28"/>
                <w:lang w:val="ar-SA" w:eastAsia="zh-TW" w:bidi="en-GB"/>
              </w:rPr>
            </w:pPr>
            <w:r w:rsidRPr="00480BA4">
              <w:rPr>
                <w:i/>
                <w:iCs/>
                <w:szCs w:val="28"/>
                <w:rtl/>
              </w:rPr>
              <w:t>معايير التقييم</w:t>
            </w:r>
          </w:p>
        </w:tc>
      </w:tr>
      <w:tr w:rsidR="00887F05" w:rsidRPr="00480BA4" w14:paraId="3DAA5242" w14:textId="77777777" w:rsidTr="002117DE">
        <w:trPr>
          <w:cantSplit/>
        </w:trPr>
        <w:tc>
          <w:tcPr>
            <w:tcW w:w="569" w:type="dxa"/>
            <w:tcBorders>
              <w:top w:val="single" w:sz="12" w:space="0" w:color="auto"/>
            </w:tcBorders>
            <w:shd w:val="clear" w:color="auto" w:fill="auto"/>
          </w:tcPr>
          <w:p w14:paraId="0D01F758" w14:textId="77777777" w:rsidR="00887F05" w:rsidRPr="00480BA4" w:rsidRDefault="00887F05" w:rsidP="00887F05">
            <w:pPr>
              <w:spacing w:before="60" w:after="60" w:line="300" w:lineRule="exact"/>
              <w:ind w:left="57" w:right="113"/>
              <w:textDirection w:val="tbRlV"/>
              <w:rPr>
                <w:rFonts w:eastAsiaTheme="minorEastAsia"/>
                <w:b/>
                <w:bCs/>
                <w:szCs w:val="28"/>
                <w:lang w:val="ar-SA" w:eastAsia="zh-TW" w:bidi="en-GB"/>
              </w:rPr>
            </w:pPr>
            <w:r w:rsidRPr="00480BA4">
              <w:rPr>
                <w:b/>
                <w:bCs/>
                <w:szCs w:val="28"/>
                <w:rtl/>
              </w:rPr>
              <w:t>ألف</w:t>
            </w:r>
          </w:p>
        </w:tc>
        <w:tc>
          <w:tcPr>
            <w:tcW w:w="6801" w:type="dxa"/>
            <w:tcBorders>
              <w:top w:val="single" w:sz="12" w:space="0" w:color="auto"/>
            </w:tcBorders>
            <w:shd w:val="clear" w:color="auto" w:fill="auto"/>
          </w:tcPr>
          <w:p w14:paraId="1F7A9B73" w14:textId="77777777" w:rsidR="00887F05" w:rsidRPr="00480BA4" w:rsidRDefault="00887F05" w:rsidP="00887F05">
            <w:pPr>
              <w:spacing w:before="60" w:after="60" w:line="300" w:lineRule="exact"/>
              <w:ind w:left="57" w:right="113"/>
              <w:textDirection w:val="tbRlV"/>
              <w:rPr>
                <w:rFonts w:eastAsiaTheme="minorEastAsia"/>
                <w:szCs w:val="28"/>
                <w:lang w:val="ar-SA" w:eastAsia="zh-TW" w:bidi="en-GB"/>
              </w:rPr>
            </w:pPr>
            <w:r w:rsidRPr="00480BA4">
              <w:rPr>
                <w:szCs w:val="28"/>
                <w:rtl/>
              </w:rPr>
              <w:t>الامتثال: التدابير المتخذة مُرضية أو مُرضية إلى حد كبير</w:t>
            </w:r>
          </w:p>
        </w:tc>
      </w:tr>
      <w:tr w:rsidR="00887F05" w:rsidRPr="00480BA4" w14:paraId="574DE102" w14:textId="77777777" w:rsidTr="002117DE">
        <w:trPr>
          <w:cantSplit/>
        </w:trPr>
        <w:tc>
          <w:tcPr>
            <w:tcW w:w="569" w:type="dxa"/>
            <w:shd w:val="clear" w:color="auto" w:fill="auto"/>
          </w:tcPr>
          <w:p w14:paraId="4A2292C1" w14:textId="77777777" w:rsidR="00887F05" w:rsidRPr="00480BA4" w:rsidRDefault="00887F05" w:rsidP="00887F05">
            <w:pPr>
              <w:spacing w:before="60" w:after="60" w:line="300" w:lineRule="exact"/>
              <w:ind w:left="57" w:right="113"/>
              <w:textDirection w:val="tbRlV"/>
              <w:rPr>
                <w:rFonts w:eastAsiaTheme="minorEastAsia"/>
                <w:b/>
                <w:bCs/>
                <w:szCs w:val="28"/>
                <w:lang w:eastAsia="zh-TW" w:bidi="en-GB"/>
              </w:rPr>
            </w:pPr>
            <w:r w:rsidRPr="00480BA4">
              <w:rPr>
                <w:b/>
                <w:bCs/>
                <w:szCs w:val="28"/>
                <w:rtl/>
              </w:rPr>
              <w:t>باء</w:t>
            </w:r>
          </w:p>
        </w:tc>
        <w:tc>
          <w:tcPr>
            <w:tcW w:w="6801" w:type="dxa"/>
            <w:shd w:val="clear" w:color="auto" w:fill="auto"/>
          </w:tcPr>
          <w:p w14:paraId="2B64DBB8" w14:textId="77777777" w:rsidR="00887F05" w:rsidRPr="00480BA4" w:rsidRDefault="00887F05" w:rsidP="00887F05">
            <w:pPr>
              <w:spacing w:before="60" w:after="60" w:line="300" w:lineRule="exact"/>
              <w:ind w:left="57" w:right="113"/>
              <w:textDirection w:val="tbRlV"/>
              <w:rPr>
                <w:rFonts w:eastAsiaTheme="minorEastAsia"/>
                <w:szCs w:val="28"/>
                <w:lang w:val="ar-SA" w:eastAsia="zh-TW" w:bidi="en-GB"/>
              </w:rPr>
            </w:pPr>
            <w:r w:rsidRPr="00480BA4">
              <w:rPr>
                <w:szCs w:val="28"/>
                <w:rtl/>
              </w:rPr>
              <w:t>الامتثال الجزئي: التدابير المتخذة مُرضية جزئياً، ولكن تَلزم معلومات أو إجراءات إضافية</w:t>
            </w:r>
          </w:p>
        </w:tc>
      </w:tr>
      <w:tr w:rsidR="00887F05" w:rsidRPr="00480BA4" w14:paraId="067155D6" w14:textId="77777777" w:rsidTr="002117DE">
        <w:trPr>
          <w:cantSplit/>
        </w:trPr>
        <w:tc>
          <w:tcPr>
            <w:tcW w:w="569" w:type="dxa"/>
            <w:shd w:val="clear" w:color="auto" w:fill="auto"/>
          </w:tcPr>
          <w:p w14:paraId="61BDE849" w14:textId="77777777" w:rsidR="00887F05" w:rsidRPr="00480BA4" w:rsidRDefault="00887F05" w:rsidP="00887F05">
            <w:pPr>
              <w:spacing w:before="60" w:after="60" w:line="300" w:lineRule="exact"/>
              <w:ind w:left="57" w:right="113"/>
              <w:textDirection w:val="tbRlV"/>
              <w:rPr>
                <w:rFonts w:eastAsiaTheme="minorEastAsia"/>
                <w:b/>
                <w:bCs/>
                <w:szCs w:val="28"/>
                <w:rtl/>
                <w:lang w:val="ar-SA" w:eastAsia="zh-TW"/>
              </w:rPr>
            </w:pPr>
            <w:r w:rsidRPr="00480BA4">
              <w:rPr>
                <w:b/>
                <w:bCs/>
                <w:szCs w:val="28"/>
                <w:rtl/>
              </w:rPr>
              <w:t>جيم</w:t>
            </w:r>
          </w:p>
        </w:tc>
        <w:tc>
          <w:tcPr>
            <w:tcW w:w="6801" w:type="dxa"/>
            <w:shd w:val="clear" w:color="auto" w:fill="auto"/>
          </w:tcPr>
          <w:p w14:paraId="4D851B33" w14:textId="77777777" w:rsidR="00887F05" w:rsidRPr="00480BA4" w:rsidRDefault="00887F05" w:rsidP="00887F05">
            <w:pPr>
              <w:spacing w:before="60" w:after="60" w:line="300" w:lineRule="exact"/>
              <w:ind w:left="57" w:right="113"/>
              <w:textDirection w:val="tbRlV"/>
              <w:rPr>
                <w:rFonts w:eastAsiaTheme="minorEastAsia"/>
                <w:szCs w:val="28"/>
                <w:lang w:eastAsia="zh-TW" w:bidi="en-GB"/>
              </w:rPr>
            </w:pPr>
            <w:r w:rsidRPr="00480BA4">
              <w:rPr>
                <w:szCs w:val="28"/>
                <w:rtl/>
              </w:rPr>
              <w:t>عدم الامتثال: وردَ ردّ ولكن التدابير المتخذة ليست مُرضية أو لم تُنفِّذ الآراء أو لا صلة لها بها</w:t>
            </w:r>
          </w:p>
        </w:tc>
      </w:tr>
      <w:tr w:rsidR="00887F05" w:rsidRPr="00480BA4" w14:paraId="1BFE955A" w14:textId="77777777" w:rsidTr="002117DE">
        <w:trPr>
          <w:cantSplit/>
        </w:trPr>
        <w:tc>
          <w:tcPr>
            <w:tcW w:w="569" w:type="dxa"/>
            <w:shd w:val="clear" w:color="auto" w:fill="auto"/>
          </w:tcPr>
          <w:p w14:paraId="44F6B235" w14:textId="77777777" w:rsidR="00887F05" w:rsidRPr="00480BA4" w:rsidRDefault="00887F05" w:rsidP="00887F05">
            <w:pPr>
              <w:spacing w:before="60" w:after="60" w:line="300" w:lineRule="exact"/>
              <w:ind w:left="57" w:right="113"/>
              <w:textDirection w:val="tbRlV"/>
              <w:rPr>
                <w:rFonts w:eastAsiaTheme="minorEastAsia"/>
                <w:b/>
                <w:bCs/>
                <w:szCs w:val="28"/>
                <w:lang w:eastAsia="zh-TW" w:bidi="en-GB"/>
              </w:rPr>
            </w:pPr>
            <w:r w:rsidRPr="00480BA4">
              <w:rPr>
                <w:b/>
                <w:bCs/>
                <w:szCs w:val="28"/>
                <w:rtl/>
              </w:rPr>
              <w:t>دال</w:t>
            </w:r>
          </w:p>
        </w:tc>
        <w:tc>
          <w:tcPr>
            <w:tcW w:w="6801" w:type="dxa"/>
            <w:shd w:val="clear" w:color="auto" w:fill="auto"/>
          </w:tcPr>
          <w:p w14:paraId="471F6F53" w14:textId="77777777" w:rsidR="00887F05" w:rsidRPr="00480BA4" w:rsidRDefault="00887F05" w:rsidP="00887F05">
            <w:pPr>
              <w:spacing w:before="60" w:after="60" w:line="300" w:lineRule="exact"/>
              <w:ind w:left="57" w:right="113"/>
              <w:textDirection w:val="tbRlV"/>
              <w:rPr>
                <w:rFonts w:eastAsiaTheme="minorEastAsia"/>
                <w:szCs w:val="28"/>
                <w:lang w:val="ar-SA" w:eastAsia="zh-TW" w:bidi="en-GB"/>
              </w:rPr>
            </w:pPr>
            <w:r w:rsidRPr="00480BA4">
              <w:rPr>
                <w:szCs w:val="28"/>
                <w:rtl/>
              </w:rPr>
              <w:t>عدم الرد: لم يُبدَ أي تعاون أو لم يرد أي رد</w:t>
            </w:r>
          </w:p>
        </w:tc>
      </w:tr>
    </w:tbl>
    <w:p w14:paraId="13F00E3F" w14:textId="445699B4" w:rsidR="00887F05" w:rsidRPr="00480BA4" w:rsidRDefault="00887F05" w:rsidP="00887F05">
      <w:pPr>
        <w:pStyle w:val="H1GA"/>
        <w:rPr>
          <w:rtl/>
        </w:rPr>
      </w:pPr>
      <w:r w:rsidRPr="00480BA4">
        <w:rPr>
          <w:rtl/>
        </w:rPr>
        <w:tab/>
        <w:t>باء-</w:t>
      </w:r>
      <w:r w:rsidRPr="00480BA4">
        <w:rPr>
          <w:rtl/>
        </w:rPr>
        <w:tab/>
        <w:t>البلاغات</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887F05" w:rsidRPr="00480BA4" w14:paraId="5E1F5BD0" w14:textId="77777777" w:rsidTr="002117DE">
        <w:trPr>
          <w:tblHeader/>
        </w:trPr>
        <w:tc>
          <w:tcPr>
            <w:tcW w:w="7370" w:type="dxa"/>
            <w:gridSpan w:val="2"/>
            <w:tcBorders>
              <w:top w:val="single" w:sz="4" w:space="0" w:color="auto"/>
              <w:bottom w:val="single" w:sz="12" w:space="0" w:color="auto"/>
            </w:tcBorders>
            <w:shd w:val="clear" w:color="auto" w:fill="auto"/>
            <w:vAlign w:val="bottom"/>
          </w:tcPr>
          <w:p w14:paraId="651B29CC" w14:textId="77777777" w:rsidR="00887F05" w:rsidRPr="00480BA4" w:rsidRDefault="00887F05" w:rsidP="00887F05">
            <w:pPr>
              <w:spacing w:before="60" w:after="60" w:line="300" w:lineRule="exact"/>
              <w:ind w:left="57" w:right="113"/>
              <w:textDirection w:val="tbRlV"/>
              <w:rPr>
                <w:rStyle w:val="Hyperlink"/>
                <w:rFonts w:eastAsiaTheme="majorEastAsia"/>
                <w:i/>
                <w:color w:val="auto"/>
                <w:szCs w:val="28"/>
                <w:lang w:val="ar-SA" w:eastAsia="zh-TW" w:bidi="en-GB"/>
              </w:rPr>
            </w:pPr>
            <w:r w:rsidRPr="00480BA4">
              <w:rPr>
                <w:i/>
                <w:iCs/>
                <w:szCs w:val="28"/>
                <w:rtl/>
              </w:rPr>
              <w:t>د. د. ضد إسبانيا</w:t>
            </w:r>
            <w:r w:rsidRPr="00480BA4">
              <w:rPr>
                <w:szCs w:val="28"/>
                <w:rtl/>
              </w:rPr>
              <w:t xml:space="preserve"> </w:t>
            </w:r>
            <w:r w:rsidRPr="00480BA4">
              <w:rPr>
                <w:rFonts w:ascii="Traditional Arabic"/>
                <w:szCs w:val="28"/>
                <w:rtl/>
              </w:rPr>
              <w:t>(</w:t>
            </w:r>
            <w:r w:rsidRPr="00480BA4">
              <w:rPr>
                <w:rFonts w:cs="Times New Roman"/>
                <w:szCs w:val="28"/>
              </w:rPr>
              <w:t>CRC/C/</w:t>
            </w:r>
            <w:r w:rsidRPr="00480BA4">
              <w:rPr>
                <w:rFonts w:cs="Times New Roman"/>
                <w:szCs w:val="20"/>
              </w:rPr>
              <w:t>80</w:t>
            </w:r>
            <w:r w:rsidRPr="00480BA4">
              <w:rPr>
                <w:rFonts w:cs="Times New Roman"/>
                <w:szCs w:val="28"/>
              </w:rPr>
              <w:t>/D/</w:t>
            </w:r>
            <w:r w:rsidRPr="00480BA4">
              <w:rPr>
                <w:rFonts w:cs="Times New Roman"/>
                <w:szCs w:val="20"/>
              </w:rPr>
              <w:t>4</w:t>
            </w:r>
            <w:r w:rsidRPr="00480BA4">
              <w:rPr>
                <w:rFonts w:cs="Times New Roman"/>
                <w:szCs w:val="28"/>
              </w:rPr>
              <w:t>/</w:t>
            </w:r>
            <w:r w:rsidRPr="00480BA4">
              <w:rPr>
                <w:rFonts w:cs="Times New Roman"/>
                <w:szCs w:val="20"/>
              </w:rPr>
              <w:t>2016</w:t>
            </w:r>
            <w:r w:rsidRPr="00480BA4">
              <w:rPr>
                <w:rFonts w:ascii="Traditional Arabic"/>
                <w:szCs w:val="28"/>
                <w:rtl/>
              </w:rPr>
              <w:t>)</w:t>
            </w:r>
          </w:p>
        </w:tc>
      </w:tr>
      <w:tr w:rsidR="00887F05" w:rsidRPr="00480BA4" w14:paraId="1E8A15E6" w14:textId="77777777" w:rsidTr="002117DE">
        <w:trPr>
          <w:trHeight w:hRule="exact" w:val="113"/>
          <w:tblHeader/>
        </w:trPr>
        <w:tc>
          <w:tcPr>
            <w:tcW w:w="2552" w:type="dxa"/>
            <w:tcBorders>
              <w:top w:val="single" w:sz="12" w:space="0" w:color="auto"/>
            </w:tcBorders>
            <w:shd w:val="clear" w:color="auto" w:fill="auto"/>
          </w:tcPr>
          <w:p w14:paraId="74121932"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tcBorders>
              <w:top w:val="single" w:sz="12" w:space="0" w:color="auto"/>
            </w:tcBorders>
            <w:shd w:val="clear" w:color="auto" w:fill="auto"/>
          </w:tcPr>
          <w:p w14:paraId="755D7CCF" w14:textId="77777777" w:rsidR="00887F05" w:rsidRPr="00480BA4" w:rsidRDefault="00887F05" w:rsidP="00887F05">
            <w:pPr>
              <w:spacing w:before="60" w:after="60" w:line="300" w:lineRule="exact"/>
              <w:ind w:left="57" w:right="113"/>
              <w:rPr>
                <w:rStyle w:val="Hyperlink"/>
                <w:rFonts w:eastAsiaTheme="majorEastAsia"/>
                <w:color w:val="auto"/>
                <w:szCs w:val="28"/>
              </w:rPr>
            </w:pPr>
          </w:p>
        </w:tc>
      </w:tr>
      <w:tr w:rsidR="00887F05" w:rsidRPr="00480BA4" w14:paraId="2C8640AC" w14:textId="77777777" w:rsidTr="002117DE">
        <w:tc>
          <w:tcPr>
            <w:tcW w:w="2552" w:type="dxa"/>
            <w:shd w:val="clear" w:color="auto" w:fill="auto"/>
          </w:tcPr>
          <w:p w14:paraId="3276E668"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rtl/>
                <w:lang w:val="ar-SA" w:eastAsia="zh-TW"/>
              </w:rPr>
            </w:pPr>
            <w:r w:rsidRPr="00480BA4">
              <w:rPr>
                <w:szCs w:val="28"/>
                <w:rtl/>
              </w:rPr>
              <w:t>تاريخ اعتماد الآراء:</w:t>
            </w:r>
          </w:p>
        </w:tc>
        <w:tc>
          <w:tcPr>
            <w:tcW w:w="4818" w:type="dxa"/>
            <w:shd w:val="clear" w:color="auto" w:fill="auto"/>
          </w:tcPr>
          <w:p w14:paraId="1671F30F"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rFonts w:ascii="Traditional Arabic"/>
                <w:szCs w:val="20"/>
                <w:rtl/>
              </w:rPr>
              <w:t>1</w:t>
            </w:r>
            <w:r w:rsidRPr="00480BA4">
              <w:rPr>
                <w:szCs w:val="28"/>
                <w:rtl/>
              </w:rPr>
              <w:t xml:space="preserve"> شباط/فبراير </w:t>
            </w:r>
            <w:r w:rsidRPr="00480BA4">
              <w:rPr>
                <w:rFonts w:ascii="Traditional Arabic"/>
                <w:szCs w:val="20"/>
                <w:rtl/>
              </w:rPr>
              <w:t>2019</w:t>
            </w:r>
          </w:p>
        </w:tc>
      </w:tr>
      <w:tr w:rsidR="00887F05" w:rsidRPr="00480BA4" w14:paraId="1538B77B" w14:textId="77777777" w:rsidTr="002117DE">
        <w:tc>
          <w:tcPr>
            <w:tcW w:w="2552" w:type="dxa"/>
            <w:shd w:val="clear" w:color="auto" w:fill="auto"/>
          </w:tcPr>
          <w:p w14:paraId="356BBF22"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eastAsia="zh-TW" w:bidi="en-GB"/>
              </w:rPr>
            </w:pPr>
            <w:r w:rsidRPr="00480BA4">
              <w:rPr>
                <w:szCs w:val="28"/>
                <w:rtl/>
              </w:rPr>
              <w:t>الموضوع:</w:t>
            </w:r>
          </w:p>
        </w:tc>
        <w:tc>
          <w:tcPr>
            <w:tcW w:w="4818" w:type="dxa"/>
            <w:shd w:val="clear" w:color="auto" w:fill="auto"/>
          </w:tcPr>
          <w:p w14:paraId="01903B1F"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طرد طفل مالي غير مصحوب من إسبانيا إلى المغرب. ادعى صاحب البلاغ أنه رُحِّل بموجب إجراءات موجزة إلى المغرب من دون الخضوع لأي شكل من أشكال التحقق من هويته أو تقييم وضعه، وهو ما عرضه لخطر العنف والمعاملة القاسية واللاإنسانية والمهينة في المغرب.</w:t>
            </w:r>
          </w:p>
        </w:tc>
      </w:tr>
      <w:tr w:rsidR="00887F05" w:rsidRPr="00480BA4" w14:paraId="4F250A67" w14:textId="77777777" w:rsidTr="002117DE">
        <w:tc>
          <w:tcPr>
            <w:tcW w:w="2552" w:type="dxa"/>
            <w:shd w:val="clear" w:color="auto" w:fill="auto"/>
          </w:tcPr>
          <w:p w14:paraId="3BE3AB66"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المواد المنتهكة:</w:t>
            </w:r>
          </w:p>
        </w:tc>
        <w:tc>
          <w:tcPr>
            <w:tcW w:w="4818" w:type="dxa"/>
            <w:shd w:val="clear" w:color="auto" w:fill="auto"/>
          </w:tcPr>
          <w:p w14:paraId="2833327F"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rFonts w:ascii="Traditional Arabic"/>
                <w:szCs w:val="20"/>
                <w:rtl/>
              </w:rPr>
              <w:t>3</w:t>
            </w:r>
            <w:r w:rsidRPr="00480BA4">
              <w:rPr>
                <w:szCs w:val="28"/>
                <w:rtl/>
              </w:rPr>
              <w:t xml:space="preserve"> و</w:t>
            </w:r>
            <w:r w:rsidRPr="00480BA4">
              <w:rPr>
                <w:rFonts w:ascii="Traditional Arabic"/>
                <w:szCs w:val="20"/>
                <w:rtl/>
              </w:rPr>
              <w:t>20</w:t>
            </w:r>
            <w:r w:rsidRPr="00480BA4">
              <w:rPr>
                <w:szCs w:val="28"/>
                <w:rtl/>
              </w:rPr>
              <w:t xml:space="preserve"> و</w:t>
            </w:r>
            <w:r w:rsidRPr="00480BA4">
              <w:rPr>
                <w:rFonts w:ascii="Traditional Arabic"/>
                <w:szCs w:val="20"/>
                <w:rtl/>
              </w:rPr>
              <w:t>37</w:t>
            </w:r>
            <w:r w:rsidRPr="00480BA4">
              <w:rPr>
                <w:szCs w:val="28"/>
                <w:rtl/>
              </w:rPr>
              <w:t xml:space="preserve"> من الاتفاقية</w:t>
            </w:r>
          </w:p>
        </w:tc>
      </w:tr>
      <w:tr w:rsidR="00887F05" w:rsidRPr="00480BA4" w14:paraId="250D333A" w14:textId="77777777" w:rsidTr="002117DE">
        <w:tc>
          <w:tcPr>
            <w:tcW w:w="2552" w:type="dxa"/>
            <w:shd w:val="clear" w:color="auto" w:fill="auto"/>
          </w:tcPr>
          <w:p w14:paraId="5B0CEA35" w14:textId="77777777" w:rsidR="00887F05" w:rsidRPr="00480BA4" w:rsidRDefault="00887F05" w:rsidP="00AA4B33">
            <w:pPr>
              <w:spacing w:before="60" w:after="60" w:line="280" w:lineRule="exact"/>
              <w:ind w:left="57" w:right="113"/>
              <w:textDirection w:val="tbRlV"/>
              <w:rPr>
                <w:rStyle w:val="Hyperlink"/>
                <w:rFonts w:eastAsiaTheme="majorEastAsia"/>
                <w:color w:val="auto"/>
                <w:szCs w:val="28"/>
                <w:lang w:val="ar-SA" w:eastAsia="zh-TW" w:bidi="en-GB"/>
              </w:rPr>
            </w:pPr>
            <w:r w:rsidRPr="00480BA4">
              <w:rPr>
                <w:szCs w:val="28"/>
                <w:rtl/>
              </w:rPr>
              <w:lastRenderedPageBreak/>
              <w:t>سبل الانتصاف:</w:t>
            </w:r>
          </w:p>
        </w:tc>
        <w:tc>
          <w:tcPr>
            <w:tcW w:w="4818" w:type="dxa"/>
            <w:shd w:val="clear" w:color="auto" w:fill="auto"/>
          </w:tcPr>
          <w:p w14:paraId="1981D676" w14:textId="4F99FB9E" w:rsidR="00887F05" w:rsidRPr="00480BA4" w:rsidRDefault="00887F05" w:rsidP="00AA4B33">
            <w:pPr>
              <w:spacing w:before="60" w:after="60" w:line="280" w:lineRule="exact"/>
              <w:ind w:left="57" w:right="113"/>
              <w:textDirection w:val="tbRlV"/>
              <w:rPr>
                <w:rStyle w:val="Hyperlink"/>
                <w:rFonts w:eastAsiaTheme="majorEastAsia"/>
                <w:color w:val="auto"/>
                <w:szCs w:val="28"/>
                <w:lang w:val="ar-SA" w:eastAsia="zh-TW" w:bidi="en-GB"/>
              </w:rPr>
            </w:pPr>
            <w:r w:rsidRPr="00480BA4">
              <w:rPr>
                <w:szCs w:val="28"/>
                <w:rtl/>
              </w:rPr>
              <w:t>الدولة الطرف ملزمة بأن توفر لصاحب البلاغ الشكل المناسب من أشكال جبر الضرر، بما في ذلك التعويض المالي وإعادة التأهيل بسبب الضرر الذي تعرض له. والدولة الطرف ملزمة أيضاً باتخاذ جميع التدابير اللازمة لمنع حدوث انتهاكات مماثلة في المستقبل، ولا</w:t>
            </w:r>
            <w:r w:rsidR="00AA4B33" w:rsidRPr="00480BA4">
              <w:rPr>
                <w:rFonts w:hint="cs"/>
                <w:szCs w:val="28"/>
                <w:rtl/>
              </w:rPr>
              <w:t> </w:t>
            </w:r>
            <w:r w:rsidRPr="00480BA4">
              <w:rPr>
                <w:szCs w:val="28"/>
                <w:rtl/>
              </w:rPr>
              <w:t xml:space="preserve">سيما بمراجعة القانون الأساسي رقم </w:t>
            </w:r>
            <w:r w:rsidRPr="00480BA4">
              <w:rPr>
                <w:rFonts w:ascii="Traditional Arabic"/>
                <w:szCs w:val="20"/>
                <w:rtl/>
              </w:rPr>
              <w:t>4</w:t>
            </w:r>
            <w:r w:rsidRPr="00480BA4">
              <w:rPr>
                <w:rFonts w:ascii="Traditional Arabic"/>
                <w:szCs w:val="28"/>
                <w:rtl/>
              </w:rPr>
              <w:t>/</w:t>
            </w:r>
            <w:r w:rsidRPr="00480BA4">
              <w:rPr>
                <w:rFonts w:ascii="Traditional Arabic"/>
                <w:szCs w:val="20"/>
                <w:rtl/>
              </w:rPr>
              <w:t>2015</w:t>
            </w:r>
            <w:r w:rsidRPr="00480BA4">
              <w:rPr>
                <w:szCs w:val="28"/>
                <w:rtl/>
              </w:rPr>
              <w:t xml:space="preserve"> بشأن حماية الأمن العام، المؤرخ </w:t>
            </w:r>
            <w:r w:rsidRPr="00480BA4">
              <w:rPr>
                <w:rFonts w:ascii="Traditional Arabic"/>
                <w:szCs w:val="20"/>
                <w:rtl/>
              </w:rPr>
              <w:t>1</w:t>
            </w:r>
            <w:r w:rsidRPr="00480BA4">
              <w:rPr>
                <w:szCs w:val="28"/>
                <w:rtl/>
              </w:rPr>
              <w:t xml:space="preserve"> نيسان/أبريل </w:t>
            </w:r>
            <w:r w:rsidRPr="00480BA4">
              <w:rPr>
                <w:rFonts w:ascii="Traditional Arabic"/>
                <w:szCs w:val="20"/>
                <w:rtl/>
              </w:rPr>
              <w:t>2015</w:t>
            </w:r>
            <w:r w:rsidRPr="00480BA4">
              <w:rPr>
                <w:rFonts w:ascii="Traditional Arabic"/>
                <w:szCs w:val="28"/>
                <w:rtl/>
              </w:rPr>
              <w:t>.</w:t>
            </w:r>
            <w:r w:rsidRPr="00480BA4">
              <w:rPr>
                <w:szCs w:val="28"/>
                <w:rtl/>
              </w:rPr>
              <w:t xml:space="preserve"> وتطلب اللجنة إلى الدولة الطرف</w:t>
            </w:r>
            <w:r w:rsidRPr="00480BA4">
              <w:rPr>
                <w:spacing w:val="-2"/>
                <w:szCs w:val="28"/>
                <w:rtl/>
              </w:rPr>
              <w:t xml:space="preserve"> أن تراجع الحكم الإضافي العاشر من هذا القانون المتعلق بالنظام الخاص المنطبق في سبتة </w:t>
            </w:r>
            <w:proofErr w:type="spellStart"/>
            <w:r w:rsidRPr="00480BA4">
              <w:rPr>
                <w:spacing w:val="-2"/>
                <w:szCs w:val="28"/>
                <w:rtl/>
              </w:rPr>
              <w:t>ومليلية</w:t>
            </w:r>
            <w:proofErr w:type="spellEnd"/>
            <w:r w:rsidRPr="00480BA4">
              <w:rPr>
                <w:spacing w:val="-2"/>
                <w:szCs w:val="28"/>
                <w:rtl/>
              </w:rPr>
              <w:t>، الذي يجيز لها الترحيل العشوائي والتلقائي للأشخاص على حدودها. وتطلب اللجنة إلى الدولة الطرف أيضاً أن تنشر هذه الآراء وتعممها على نطاق واسع.</w:t>
            </w:r>
          </w:p>
        </w:tc>
      </w:tr>
      <w:tr w:rsidR="00887F05" w:rsidRPr="00480BA4" w14:paraId="25631F88" w14:textId="77777777" w:rsidTr="002117DE">
        <w:tc>
          <w:tcPr>
            <w:tcW w:w="2552" w:type="dxa"/>
            <w:tcBorders>
              <w:bottom w:val="nil"/>
            </w:tcBorders>
            <w:shd w:val="clear" w:color="auto" w:fill="auto"/>
          </w:tcPr>
          <w:p w14:paraId="0673010E" w14:textId="77777777" w:rsidR="00887F05" w:rsidRPr="00480BA4" w:rsidRDefault="00887F05" w:rsidP="00AA4B33">
            <w:pPr>
              <w:spacing w:before="60" w:after="60" w:line="280" w:lineRule="exact"/>
              <w:ind w:left="57" w:right="113"/>
              <w:textDirection w:val="tbRlV"/>
              <w:rPr>
                <w:rStyle w:val="Hyperlink"/>
                <w:rFonts w:eastAsiaTheme="majorEastAsia"/>
                <w:color w:val="auto"/>
                <w:szCs w:val="28"/>
                <w:lang w:val="ar-SA" w:eastAsia="zh-TW" w:bidi="en-GB"/>
              </w:rPr>
            </w:pPr>
            <w:r w:rsidRPr="00480BA4">
              <w:rPr>
                <w:szCs w:val="28"/>
                <w:rtl/>
              </w:rPr>
              <w:t>رد الدولة الطرف:</w:t>
            </w:r>
          </w:p>
        </w:tc>
        <w:tc>
          <w:tcPr>
            <w:tcW w:w="4818" w:type="dxa"/>
            <w:tcBorders>
              <w:bottom w:val="nil"/>
            </w:tcBorders>
            <w:shd w:val="clear" w:color="auto" w:fill="auto"/>
          </w:tcPr>
          <w:p w14:paraId="04FC266B" w14:textId="77777777" w:rsidR="00887F05" w:rsidRPr="00480BA4" w:rsidRDefault="00887F05" w:rsidP="00AA4B33">
            <w:pPr>
              <w:spacing w:before="60" w:after="60" w:line="280" w:lineRule="exact"/>
              <w:ind w:left="57" w:right="113"/>
              <w:textDirection w:val="tbRlV"/>
              <w:rPr>
                <w:szCs w:val="28"/>
                <w:rtl/>
              </w:rPr>
            </w:pPr>
            <w:r w:rsidRPr="00480BA4">
              <w:rPr>
                <w:szCs w:val="28"/>
                <w:rtl/>
              </w:rPr>
              <w:t xml:space="preserve">تلاحظ الدولة الطرف في مذكرتها المؤرخة </w:t>
            </w:r>
            <w:r w:rsidRPr="00480BA4">
              <w:rPr>
                <w:rFonts w:ascii="Traditional Arabic"/>
                <w:szCs w:val="20"/>
                <w:rtl/>
              </w:rPr>
              <w:t>12</w:t>
            </w:r>
            <w:r w:rsidRPr="00480BA4">
              <w:rPr>
                <w:szCs w:val="28"/>
                <w:rtl/>
              </w:rPr>
              <w:t xml:space="preserve"> آب/أغسطس </w:t>
            </w:r>
            <w:r w:rsidRPr="00480BA4">
              <w:rPr>
                <w:rFonts w:ascii="Traditional Arabic"/>
                <w:szCs w:val="20"/>
                <w:rtl/>
              </w:rPr>
              <w:t>2019</w:t>
            </w:r>
            <w:r w:rsidRPr="00480BA4">
              <w:rPr>
                <w:szCs w:val="28"/>
                <w:rtl/>
              </w:rPr>
              <w:t xml:space="preserve"> أن المديرية العامة للتعاون القانوني الدولي والعلاقات بين الأديان </w:t>
            </w:r>
            <w:r w:rsidRPr="00480BA4">
              <w:rPr>
                <w:spacing w:val="-4"/>
                <w:szCs w:val="28"/>
                <w:rtl/>
              </w:rPr>
              <w:t xml:space="preserve">وحقوق الإنسان تولت، في آب/أغسطس </w:t>
            </w:r>
            <w:r w:rsidRPr="00480BA4">
              <w:rPr>
                <w:rFonts w:ascii="Traditional Arabic"/>
                <w:spacing w:val="-4"/>
                <w:szCs w:val="20"/>
                <w:rtl/>
              </w:rPr>
              <w:t>2018</w:t>
            </w:r>
            <w:r w:rsidRPr="00480BA4">
              <w:rPr>
                <w:spacing w:val="-4"/>
                <w:szCs w:val="28"/>
                <w:rtl/>
              </w:rPr>
              <w:t>، مسؤوليات جديدة</w:t>
            </w:r>
            <w:r w:rsidRPr="00480BA4">
              <w:rPr>
                <w:szCs w:val="28"/>
                <w:rtl/>
              </w:rPr>
              <w:t xml:space="preserve"> عن "تعزيز حقوق الإنسان على نحو أفضل بضمان فعاليتها من خلال اقتراح تدابير تأخذ في الاعتبار قرارات الهيئات الدولية المختصة الرامية إلى حماية حقوق الإنسان". وتشمل مهامها المحددة "اقتراح تدابير معيارية أو ممارسات إدارية لمعالجة المسائل التي يتكرر إبرازها في الآراء المقدمة إلى إسبانيا من هيئات معاهدات حقوق </w:t>
            </w:r>
            <w:r w:rsidRPr="00480BA4">
              <w:rPr>
                <w:spacing w:val="-4"/>
                <w:szCs w:val="28"/>
                <w:rtl/>
              </w:rPr>
              <w:t>الإنسان التي قبلت إسبانيا اختصاصها بالنظر في البلاغات الفردية"</w:t>
            </w:r>
            <w:r w:rsidRPr="00480BA4">
              <w:rPr>
                <w:szCs w:val="28"/>
                <w:rtl/>
              </w:rPr>
              <w:t xml:space="preserve"> (المرسوم الملكي رقم </w:t>
            </w:r>
            <w:r w:rsidRPr="00480BA4">
              <w:rPr>
                <w:rFonts w:ascii="Traditional Arabic"/>
                <w:szCs w:val="20"/>
                <w:rtl/>
              </w:rPr>
              <w:t>1044</w:t>
            </w:r>
            <w:r w:rsidRPr="00480BA4">
              <w:rPr>
                <w:rFonts w:ascii="Traditional Arabic"/>
                <w:szCs w:val="28"/>
                <w:rtl/>
              </w:rPr>
              <w:t>/</w:t>
            </w:r>
            <w:r w:rsidRPr="00480BA4">
              <w:rPr>
                <w:rFonts w:ascii="Traditional Arabic"/>
                <w:szCs w:val="20"/>
                <w:rtl/>
              </w:rPr>
              <w:t>2018</w:t>
            </w:r>
            <w:r w:rsidRPr="00480BA4">
              <w:rPr>
                <w:szCs w:val="28"/>
                <w:rtl/>
              </w:rPr>
              <w:t xml:space="preserve"> المؤرخ </w:t>
            </w:r>
            <w:r w:rsidRPr="00480BA4">
              <w:rPr>
                <w:rFonts w:ascii="Traditional Arabic"/>
                <w:szCs w:val="20"/>
                <w:rtl/>
              </w:rPr>
              <w:t>24</w:t>
            </w:r>
            <w:r w:rsidRPr="00480BA4">
              <w:rPr>
                <w:szCs w:val="28"/>
                <w:rtl/>
              </w:rPr>
              <w:t xml:space="preserve"> آب/أغسطس </w:t>
            </w:r>
            <w:r w:rsidRPr="00480BA4">
              <w:rPr>
                <w:rFonts w:ascii="Traditional Arabic"/>
                <w:szCs w:val="20"/>
                <w:rtl/>
              </w:rPr>
              <w:t>2018</w:t>
            </w:r>
            <w:r w:rsidRPr="00480BA4">
              <w:rPr>
                <w:szCs w:val="28"/>
                <w:rtl/>
              </w:rPr>
              <w:t xml:space="preserve"> الذي وضع الهيكل التنظيمي الأساسي لوزارة العدل).</w:t>
            </w:r>
          </w:p>
          <w:p w14:paraId="585A906A" w14:textId="77777777" w:rsidR="00887F05" w:rsidRPr="00480BA4" w:rsidRDefault="00887F05" w:rsidP="00AA4B33">
            <w:pPr>
              <w:spacing w:before="60" w:after="60" w:line="280" w:lineRule="exact"/>
              <w:ind w:left="57" w:right="113"/>
              <w:textDirection w:val="tbRlV"/>
              <w:rPr>
                <w:rStyle w:val="Hyperlink"/>
                <w:rFonts w:eastAsiaTheme="majorEastAsia"/>
                <w:color w:val="auto"/>
                <w:szCs w:val="28"/>
                <w:lang w:val="ar-SA" w:eastAsia="zh-TW" w:bidi="en-GB"/>
              </w:rPr>
            </w:pPr>
            <w:r w:rsidRPr="00480BA4">
              <w:rPr>
                <w:szCs w:val="28"/>
                <w:rtl/>
              </w:rPr>
              <w:t xml:space="preserve">وتشير الدولة الطرف إلى أن المديرية تنظر حالياً في التدابير التي ينبغي اعتمادها لتنفيذ توصيات اللجنة. وتشير أيضاً إلى أن هذه العملية تعرف في الوقت الراهن تأخراً، بسبب الوضع السياسي السائد في البلد، وذلك في انتظار إنشاء إدارات حكومية جديدة على المستويات المركزية والإقليمية والمحلية. وتطلب الدولة الطرف إلى اللجنة أن تمدد، إلى حين إنشاء الإدارات الحكومية الجديدة، الموعد النهائي المحدد لتقديم تقرير عن التدابير المتخذة لتنفيذ قرارها. غير أن الدولة الطرف تتعهد بتقديم تقرير إلى اللجنة عن حالة متابعة الآراء قبل </w:t>
            </w:r>
            <w:r w:rsidRPr="00480BA4">
              <w:rPr>
                <w:rFonts w:ascii="Traditional Arabic"/>
                <w:szCs w:val="20"/>
                <w:rtl/>
              </w:rPr>
              <w:t>31</w:t>
            </w:r>
            <w:r w:rsidRPr="00480BA4">
              <w:rPr>
                <w:szCs w:val="28"/>
                <w:rtl/>
              </w:rPr>
              <w:t xml:space="preserve"> كانون الأول/ديسمبر </w:t>
            </w:r>
            <w:r w:rsidRPr="00480BA4">
              <w:rPr>
                <w:rFonts w:ascii="Traditional Arabic"/>
                <w:szCs w:val="20"/>
                <w:rtl/>
              </w:rPr>
              <w:t>2019</w:t>
            </w:r>
            <w:r w:rsidRPr="00480BA4">
              <w:rPr>
                <w:szCs w:val="28"/>
                <w:rtl/>
              </w:rPr>
              <w:t>.</w:t>
            </w:r>
          </w:p>
        </w:tc>
      </w:tr>
      <w:tr w:rsidR="00887F05" w:rsidRPr="00480BA4" w14:paraId="186D3540" w14:textId="77777777" w:rsidTr="002117DE">
        <w:tc>
          <w:tcPr>
            <w:tcW w:w="2552" w:type="dxa"/>
            <w:tcBorders>
              <w:top w:val="nil"/>
              <w:bottom w:val="nil"/>
            </w:tcBorders>
            <w:shd w:val="clear" w:color="auto" w:fill="auto"/>
          </w:tcPr>
          <w:p w14:paraId="66BD62E5" w14:textId="77777777" w:rsidR="00887F05" w:rsidRPr="00480BA4" w:rsidRDefault="00887F05" w:rsidP="00AA4B33">
            <w:pPr>
              <w:spacing w:before="60" w:after="60" w:line="280" w:lineRule="exact"/>
              <w:ind w:left="57" w:right="113"/>
              <w:textDirection w:val="tbRlV"/>
              <w:rPr>
                <w:rStyle w:val="Hyperlink"/>
                <w:rFonts w:eastAsiaTheme="majorEastAsia"/>
                <w:color w:val="auto"/>
                <w:szCs w:val="28"/>
                <w:lang w:val="ar-SA" w:eastAsia="zh-TW" w:bidi="en-GB"/>
              </w:rPr>
            </w:pPr>
            <w:r w:rsidRPr="00480BA4">
              <w:rPr>
                <w:szCs w:val="28"/>
                <w:rtl/>
              </w:rPr>
              <w:t>تعليقات صاحب البلاغ:</w:t>
            </w:r>
          </w:p>
        </w:tc>
        <w:tc>
          <w:tcPr>
            <w:tcW w:w="4818" w:type="dxa"/>
            <w:tcBorders>
              <w:top w:val="nil"/>
              <w:bottom w:val="nil"/>
            </w:tcBorders>
            <w:shd w:val="clear" w:color="auto" w:fill="auto"/>
          </w:tcPr>
          <w:p w14:paraId="0A87D7C4" w14:textId="77777777" w:rsidR="00887F05" w:rsidRPr="00480BA4" w:rsidRDefault="00887F05" w:rsidP="00AA4B33">
            <w:pPr>
              <w:spacing w:before="60" w:after="60" w:line="280" w:lineRule="exact"/>
              <w:ind w:left="57" w:right="113"/>
              <w:textDirection w:val="tbRlV"/>
              <w:rPr>
                <w:rStyle w:val="Hyperlink"/>
                <w:rFonts w:eastAsiaTheme="majorEastAsia"/>
                <w:color w:val="auto"/>
                <w:szCs w:val="28"/>
                <w:lang w:val="ar-SA" w:eastAsia="zh-TW" w:bidi="en-GB"/>
              </w:rPr>
            </w:pPr>
            <w:r w:rsidRPr="00480BA4">
              <w:rPr>
                <w:szCs w:val="28"/>
                <w:rtl/>
              </w:rPr>
              <w:t xml:space="preserve">يشير صاحب البلاغ في تعليقاته المؤرخة </w:t>
            </w:r>
            <w:r w:rsidRPr="00480BA4">
              <w:rPr>
                <w:rFonts w:ascii="Traditional Arabic"/>
                <w:szCs w:val="20"/>
                <w:rtl/>
              </w:rPr>
              <w:t>11</w:t>
            </w:r>
            <w:r w:rsidRPr="00480BA4">
              <w:rPr>
                <w:szCs w:val="28"/>
                <w:rtl/>
              </w:rPr>
              <w:t xml:space="preserve"> تشرين الثاني/نوفمبر </w:t>
            </w:r>
            <w:r w:rsidRPr="00480BA4">
              <w:rPr>
                <w:rFonts w:ascii="Traditional Arabic"/>
                <w:spacing w:val="2"/>
                <w:szCs w:val="20"/>
                <w:rtl/>
              </w:rPr>
              <w:t>2019</w:t>
            </w:r>
            <w:r w:rsidRPr="00480BA4">
              <w:rPr>
                <w:spacing w:val="2"/>
                <w:szCs w:val="28"/>
                <w:rtl/>
              </w:rPr>
              <w:t xml:space="preserve">، إلى أنه قدَّم بلا جدوى، في </w:t>
            </w:r>
            <w:r w:rsidRPr="00480BA4">
              <w:rPr>
                <w:rFonts w:ascii="Traditional Arabic"/>
                <w:spacing w:val="2"/>
                <w:szCs w:val="20"/>
                <w:rtl/>
              </w:rPr>
              <w:t>31</w:t>
            </w:r>
            <w:r w:rsidRPr="00480BA4">
              <w:rPr>
                <w:spacing w:val="2"/>
                <w:szCs w:val="28"/>
                <w:rtl/>
              </w:rPr>
              <w:t xml:space="preserve"> تموز/يوليه </w:t>
            </w:r>
            <w:r w:rsidRPr="00480BA4">
              <w:rPr>
                <w:rFonts w:ascii="Traditional Arabic"/>
                <w:spacing w:val="2"/>
                <w:szCs w:val="20"/>
                <w:rtl/>
              </w:rPr>
              <w:t>2019</w:t>
            </w:r>
            <w:r w:rsidRPr="00480BA4">
              <w:rPr>
                <w:spacing w:val="2"/>
                <w:szCs w:val="28"/>
                <w:rtl/>
              </w:rPr>
              <w:t xml:space="preserve">، طلباً </w:t>
            </w:r>
            <w:r w:rsidRPr="00480BA4">
              <w:rPr>
                <w:szCs w:val="28"/>
                <w:rtl/>
              </w:rPr>
              <w:t xml:space="preserve">للتعويض إلى المديرية الفرعية للتعاون القانوني الدولي التابعة لوزارة العدل الإسبانية. </w:t>
            </w:r>
          </w:p>
        </w:tc>
      </w:tr>
      <w:tr w:rsidR="00887F05" w:rsidRPr="00480BA4" w14:paraId="3784B47B" w14:textId="77777777" w:rsidTr="002117DE">
        <w:tc>
          <w:tcPr>
            <w:tcW w:w="2552" w:type="dxa"/>
            <w:tcBorders>
              <w:top w:val="nil"/>
              <w:bottom w:val="nil"/>
            </w:tcBorders>
            <w:shd w:val="clear" w:color="auto" w:fill="auto"/>
          </w:tcPr>
          <w:p w14:paraId="30A090D2" w14:textId="77777777" w:rsidR="00887F05" w:rsidRPr="00480BA4" w:rsidRDefault="00887F05" w:rsidP="00AA4B33">
            <w:pPr>
              <w:spacing w:before="60" w:after="60" w:line="280" w:lineRule="exact"/>
              <w:ind w:left="57" w:right="113"/>
              <w:rPr>
                <w:rStyle w:val="Hyperlink"/>
                <w:rFonts w:eastAsiaTheme="majorEastAsia"/>
                <w:color w:val="auto"/>
                <w:szCs w:val="28"/>
              </w:rPr>
            </w:pPr>
          </w:p>
        </w:tc>
        <w:tc>
          <w:tcPr>
            <w:tcW w:w="4818" w:type="dxa"/>
            <w:tcBorders>
              <w:top w:val="nil"/>
              <w:bottom w:val="nil"/>
            </w:tcBorders>
            <w:shd w:val="clear" w:color="auto" w:fill="auto"/>
          </w:tcPr>
          <w:p w14:paraId="1AE0A773" w14:textId="78EECD92" w:rsidR="00887F05" w:rsidRPr="00480BA4" w:rsidRDefault="00887F05" w:rsidP="00AA4B33">
            <w:pPr>
              <w:keepNext/>
              <w:keepLines/>
              <w:spacing w:before="60" w:after="60" w:line="280" w:lineRule="exact"/>
              <w:ind w:left="57" w:right="113"/>
              <w:textDirection w:val="tbRlV"/>
              <w:rPr>
                <w:rStyle w:val="Hyperlink"/>
                <w:rFonts w:eastAsiaTheme="majorEastAsia"/>
                <w:color w:val="auto"/>
                <w:szCs w:val="28"/>
                <w:lang w:val="ar-SA" w:eastAsia="zh-TW" w:bidi="en-GB"/>
              </w:rPr>
            </w:pPr>
            <w:r w:rsidRPr="00480BA4">
              <w:rPr>
                <w:szCs w:val="28"/>
                <w:rtl/>
              </w:rPr>
              <w:t>ويلفت صاحب البلاغ الانتباه أيضاً إلى تقرير موازٍ قدمته بشكل مشترك، في سياق الاستعراض الدوري الشامل لحالة الدولة الطرف، كل من مؤسسة "</w:t>
            </w:r>
            <w:proofErr w:type="spellStart"/>
            <w:r w:rsidRPr="00480BA4">
              <w:rPr>
                <w:rFonts w:cs="Times New Roman"/>
                <w:szCs w:val="20"/>
                <w:rtl/>
              </w:rPr>
              <w:t>Fundación</w:t>
            </w:r>
            <w:proofErr w:type="spellEnd"/>
            <w:r w:rsidRPr="00480BA4">
              <w:rPr>
                <w:rFonts w:cs="Times New Roman"/>
                <w:szCs w:val="20"/>
                <w:rtl/>
              </w:rPr>
              <w:t xml:space="preserve"> </w:t>
            </w:r>
            <w:proofErr w:type="spellStart"/>
            <w:r w:rsidRPr="00480BA4">
              <w:rPr>
                <w:rFonts w:cs="Times New Roman"/>
                <w:szCs w:val="20"/>
                <w:rtl/>
              </w:rPr>
              <w:t>Raíces</w:t>
            </w:r>
            <w:proofErr w:type="spellEnd"/>
            <w:r w:rsidR="00AA4B33" w:rsidRPr="00480BA4">
              <w:rPr>
                <w:rFonts w:hint="cs"/>
                <w:szCs w:val="28"/>
                <w:rtl/>
              </w:rPr>
              <w:t>"</w:t>
            </w:r>
            <w:r w:rsidRPr="00480BA4">
              <w:rPr>
                <w:szCs w:val="28"/>
                <w:rtl/>
              </w:rPr>
              <w:t xml:space="preserve"> والمركز الأوروبي للحقوق </w:t>
            </w:r>
            <w:r w:rsidRPr="00480BA4">
              <w:rPr>
                <w:spacing w:val="-4"/>
                <w:szCs w:val="28"/>
                <w:rtl/>
              </w:rPr>
              <w:t>الدستورية وحقوق الإنسان والمنظمة الإسبانية "</w:t>
            </w:r>
            <w:proofErr w:type="spellStart"/>
            <w:r w:rsidRPr="00480BA4">
              <w:rPr>
                <w:rFonts w:cs="Times New Roman"/>
                <w:spacing w:val="-4"/>
                <w:szCs w:val="20"/>
                <w:rtl/>
              </w:rPr>
              <w:t>Andalucía</w:t>
            </w:r>
            <w:proofErr w:type="spellEnd"/>
            <w:r w:rsidRPr="00480BA4">
              <w:rPr>
                <w:rFonts w:cs="Times New Roman"/>
                <w:spacing w:val="-4"/>
                <w:szCs w:val="20"/>
                <w:rtl/>
              </w:rPr>
              <w:t xml:space="preserve"> </w:t>
            </w:r>
            <w:proofErr w:type="spellStart"/>
            <w:r w:rsidRPr="00480BA4">
              <w:rPr>
                <w:rFonts w:cs="Times New Roman"/>
                <w:spacing w:val="-4"/>
                <w:szCs w:val="20"/>
                <w:rtl/>
              </w:rPr>
              <w:t>Acoge</w:t>
            </w:r>
            <w:proofErr w:type="spellEnd"/>
            <w:r w:rsidR="00AA4B33" w:rsidRPr="00480BA4">
              <w:rPr>
                <w:rFonts w:hint="cs"/>
                <w:spacing w:val="-4"/>
                <w:szCs w:val="28"/>
                <w:rtl/>
              </w:rPr>
              <w:t>"</w:t>
            </w:r>
            <w:r w:rsidRPr="00480BA4">
              <w:rPr>
                <w:spacing w:val="-4"/>
                <w:szCs w:val="28"/>
                <w:rtl/>
              </w:rPr>
              <w:t>،</w:t>
            </w:r>
            <w:r w:rsidRPr="00480BA4">
              <w:rPr>
                <w:szCs w:val="28"/>
                <w:rtl/>
              </w:rPr>
              <w:t xml:space="preserve"> يركز على استمرار ممارسة عمليات الطرد بإجراءات موجزة على حدود سبتة </w:t>
            </w:r>
            <w:proofErr w:type="spellStart"/>
            <w:r w:rsidRPr="00480BA4">
              <w:rPr>
                <w:szCs w:val="28"/>
                <w:rtl/>
              </w:rPr>
              <w:t>ومليلية</w:t>
            </w:r>
            <w:proofErr w:type="spellEnd"/>
            <w:r w:rsidRPr="00480BA4">
              <w:rPr>
                <w:szCs w:val="28"/>
                <w:rtl/>
              </w:rPr>
              <w:t xml:space="preserve"> البرية مع المغرب. ويضيف صاحب البلاغ أنه وقعت، خلال الأشهر الستة الماضية، ثلاث عمليات طرد عشوائي بإجراءات موجزة لجماعات</w:t>
            </w:r>
            <w:bookmarkStart w:id="0" w:name="_GoBack"/>
            <w:bookmarkEnd w:id="0"/>
            <w:r w:rsidRPr="00480BA4">
              <w:rPr>
                <w:szCs w:val="28"/>
                <w:rtl/>
              </w:rPr>
              <w:t xml:space="preserve"> من الأشخاص، من دون إجراء أي </w:t>
            </w:r>
            <w:r w:rsidRPr="00480BA4">
              <w:rPr>
                <w:spacing w:val="-4"/>
                <w:szCs w:val="28"/>
                <w:rtl/>
              </w:rPr>
              <w:t>تقييم لاحتمال وجود قاصرين غير مصحوبين ضمن هذه الجماعات:</w:t>
            </w:r>
            <w:r w:rsidRPr="00480BA4">
              <w:rPr>
                <w:szCs w:val="28"/>
                <w:rtl/>
              </w:rPr>
              <w:t xml:space="preserve"> ففي </w:t>
            </w:r>
            <w:r w:rsidRPr="00480BA4">
              <w:rPr>
                <w:rFonts w:ascii="Traditional Arabic"/>
                <w:szCs w:val="20"/>
                <w:rtl/>
              </w:rPr>
              <w:t>16</w:t>
            </w:r>
            <w:r w:rsidRPr="00480BA4">
              <w:rPr>
                <w:szCs w:val="28"/>
                <w:rtl/>
              </w:rPr>
              <w:t xml:space="preserve"> أيار/مايو </w:t>
            </w:r>
            <w:r w:rsidRPr="00480BA4">
              <w:rPr>
                <w:rFonts w:ascii="Traditional Arabic"/>
                <w:szCs w:val="20"/>
                <w:rtl/>
              </w:rPr>
              <w:t>2019</w:t>
            </w:r>
            <w:r w:rsidRPr="00480BA4">
              <w:rPr>
                <w:szCs w:val="28"/>
                <w:rtl/>
              </w:rPr>
              <w:t xml:space="preserve">، أُبلغ عن إعادة </w:t>
            </w:r>
            <w:r w:rsidRPr="00480BA4">
              <w:rPr>
                <w:rFonts w:ascii="Traditional Arabic"/>
                <w:szCs w:val="20"/>
                <w:rtl/>
              </w:rPr>
              <w:t>15</w:t>
            </w:r>
            <w:r w:rsidRPr="00480BA4">
              <w:rPr>
                <w:szCs w:val="28"/>
                <w:rtl/>
              </w:rPr>
              <w:t xml:space="preserve"> شخصاً مجهولي الهوية </w:t>
            </w:r>
            <w:r w:rsidRPr="00480BA4">
              <w:rPr>
                <w:spacing w:val="-5"/>
                <w:szCs w:val="28"/>
                <w:rtl/>
              </w:rPr>
              <w:t xml:space="preserve">من </w:t>
            </w:r>
            <w:proofErr w:type="spellStart"/>
            <w:r w:rsidRPr="00480BA4">
              <w:rPr>
                <w:spacing w:val="-5"/>
                <w:szCs w:val="28"/>
                <w:rtl/>
              </w:rPr>
              <w:t>مليلية</w:t>
            </w:r>
            <w:proofErr w:type="spellEnd"/>
            <w:r w:rsidRPr="00480BA4">
              <w:rPr>
                <w:spacing w:val="-5"/>
                <w:szCs w:val="28"/>
                <w:rtl/>
              </w:rPr>
              <w:t xml:space="preserve"> إلى المغرب؛ وفي </w:t>
            </w:r>
            <w:r w:rsidRPr="00480BA4">
              <w:rPr>
                <w:rFonts w:ascii="Traditional Arabic"/>
                <w:spacing w:val="-5"/>
                <w:szCs w:val="20"/>
                <w:rtl/>
              </w:rPr>
              <w:t>19</w:t>
            </w:r>
            <w:r w:rsidRPr="00480BA4">
              <w:rPr>
                <w:spacing w:val="-5"/>
                <w:szCs w:val="28"/>
                <w:rtl/>
              </w:rPr>
              <w:t xml:space="preserve"> تموز/يوليه </w:t>
            </w:r>
            <w:r w:rsidRPr="00480BA4">
              <w:rPr>
                <w:rFonts w:ascii="Traditional Arabic"/>
                <w:spacing w:val="-5"/>
                <w:szCs w:val="20"/>
                <w:rtl/>
              </w:rPr>
              <w:t>2019</w:t>
            </w:r>
            <w:r w:rsidRPr="00480BA4">
              <w:rPr>
                <w:spacing w:val="-5"/>
                <w:szCs w:val="28"/>
                <w:rtl/>
              </w:rPr>
              <w:t xml:space="preserve">، أُعيد أيضاً </w:t>
            </w:r>
            <w:r w:rsidRPr="00480BA4">
              <w:rPr>
                <w:rFonts w:ascii="Traditional Arabic"/>
                <w:spacing w:val="-5"/>
                <w:szCs w:val="20"/>
                <w:rtl/>
              </w:rPr>
              <w:t>25</w:t>
            </w:r>
            <w:r w:rsidRPr="00480BA4">
              <w:rPr>
                <w:spacing w:val="-5"/>
                <w:szCs w:val="28"/>
                <w:rtl/>
              </w:rPr>
              <w:t xml:space="preserve"> شخصاً</w:t>
            </w:r>
            <w:r w:rsidRPr="00480BA4">
              <w:rPr>
                <w:szCs w:val="28"/>
                <w:rtl/>
              </w:rPr>
              <w:t xml:space="preserve"> </w:t>
            </w:r>
            <w:r w:rsidRPr="00480BA4">
              <w:rPr>
                <w:spacing w:val="-5"/>
                <w:szCs w:val="28"/>
                <w:rtl/>
              </w:rPr>
              <w:t xml:space="preserve">من </w:t>
            </w:r>
            <w:proofErr w:type="spellStart"/>
            <w:r w:rsidRPr="00480BA4">
              <w:rPr>
                <w:spacing w:val="-5"/>
                <w:szCs w:val="28"/>
                <w:rtl/>
              </w:rPr>
              <w:t>مليلية</w:t>
            </w:r>
            <w:proofErr w:type="spellEnd"/>
            <w:r w:rsidRPr="00480BA4">
              <w:rPr>
                <w:spacing w:val="-5"/>
                <w:szCs w:val="28"/>
                <w:rtl/>
              </w:rPr>
              <w:t xml:space="preserve"> إلى المغرب؛ وفي </w:t>
            </w:r>
            <w:r w:rsidRPr="00480BA4">
              <w:rPr>
                <w:spacing w:val="-5"/>
                <w:szCs w:val="20"/>
                <w:rtl/>
              </w:rPr>
              <w:t>30</w:t>
            </w:r>
            <w:r w:rsidRPr="00480BA4">
              <w:rPr>
                <w:spacing w:val="-5"/>
                <w:szCs w:val="28"/>
                <w:rtl/>
              </w:rPr>
              <w:t xml:space="preserve"> آب/أغسطس </w:t>
            </w:r>
            <w:r w:rsidRPr="00480BA4">
              <w:rPr>
                <w:spacing w:val="-5"/>
                <w:szCs w:val="20"/>
                <w:rtl/>
              </w:rPr>
              <w:t>2019</w:t>
            </w:r>
            <w:r w:rsidRPr="00480BA4">
              <w:rPr>
                <w:spacing w:val="-5"/>
                <w:szCs w:val="28"/>
                <w:rtl/>
              </w:rPr>
              <w:t xml:space="preserve">، أُعيد </w:t>
            </w:r>
            <w:r w:rsidRPr="00480BA4">
              <w:rPr>
                <w:spacing w:val="-5"/>
                <w:szCs w:val="20"/>
                <w:rtl/>
              </w:rPr>
              <w:t>7</w:t>
            </w:r>
            <w:r w:rsidRPr="00480BA4">
              <w:rPr>
                <w:spacing w:val="-5"/>
                <w:szCs w:val="28"/>
                <w:rtl/>
              </w:rPr>
              <w:t xml:space="preserve"> أشخاص</w:t>
            </w:r>
            <w:r w:rsidRPr="00480BA4">
              <w:rPr>
                <w:szCs w:val="28"/>
                <w:rtl/>
              </w:rPr>
              <w:t xml:space="preserve"> من سبتة إلى المغرب. </w:t>
            </w:r>
          </w:p>
        </w:tc>
      </w:tr>
      <w:tr w:rsidR="00887F05" w:rsidRPr="00480BA4" w14:paraId="362FADEA" w14:textId="77777777" w:rsidTr="002117DE">
        <w:tc>
          <w:tcPr>
            <w:tcW w:w="2552" w:type="dxa"/>
            <w:tcBorders>
              <w:top w:val="nil"/>
              <w:bottom w:val="single" w:sz="12" w:space="0" w:color="auto"/>
            </w:tcBorders>
            <w:shd w:val="clear" w:color="auto" w:fill="auto"/>
          </w:tcPr>
          <w:p w14:paraId="790C9405"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lastRenderedPageBreak/>
              <w:t>قرار اللجنة:</w:t>
            </w:r>
          </w:p>
        </w:tc>
        <w:tc>
          <w:tcPr>
            <w:tcW w:w="4818" w:type="dxa"/>
            <w:tcBorders>
              <w:top w:val="nil"/>
              <w:bottom w:val="single" w:sz="12" w:space="0" w:color="auto"/>
            </w:tcBorders>
            <w:shd w:val="clear" w:color="auto" w:fill="auto"/>
          </w:tcPr>
          <w:p w14:paraId="72976CA3"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eastAsia="zh-TW" w:bidi="en-GB"/>
              </w:rPr>
            </w:pPr>
            <w:r w:rsidRPr="00480BA4">
              <w:rPr>
                <w:szCs w:val="28"/>
                <w:rtl/>
              </w:rPr>
              <w:t xml:space="preserve">تقرر اللجنة أن تواصل حوار المتابعة وأن تطلب إلى الدولة الطرف </w:t>
            </w:r>
            <w:r w:rsidRPr="00480BA4">
              <w:rPr>
                <w:spacing w:val="-4"/>
                <w:szCs w:val="28"/>
                <w:rtl/>
              </w:rPr>
              <w:t xml:space="preserve">تقديم معلومات محدثة منتظمة عن حالة تنفيذ آراء اللجنة. وسيجري </w:t>
            </w:r>
            <w:r w:rsidRPr="00480BA4">
              <w:rPr>
                <w:szCs w:val="28"/>
                <w:rtl/>
              </w:rPr>
              <w:t xml:space="preserve">تقييم مدى امتثال الدولة الطرف لهذه الآراء في ضوء المعلومات </w:t>
            </w:r>
            <w:r w:rsidRPr="00480BA4">
              <w:rPr>
                <w:spacing w:val="-2"/>
                <w:szCs w:val="28"/>
                <w:rtl/>
              </w:rPr>
              <w:t>التي ستقدمها في المستقبل وتعليقات صاحب البلاغ في هذا الصدد.</w:t>
            </w:r>
          </w:p>
        </w:tc>
      </w:tr>
    </w:tbl>
    <w:p w14:paraId="6742D6AA" w14:textId="0A32248F" w:rsidR="00887F05" w:rsidRPr="00480BA4" w:rsidRDefault="00887F05" w:rsidP="00887F05">
      <w:pPr>
        <w:pStyle w:val="SingleTxtGA"/>
        <w:rPr>
          <w:rtl/>
        </w:rPr>
      </w:pP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887F05" w:rsidRPr="00480BA4" w14:paraId="0F72CFC6" w14:textId="77777777" w:rsidTr="002117DE">
        <w:trPr>
          <w:tblHeader/>
        </w:trPr>
        <w:tc>
          <w:tcPr>
            <w:tcW w:w="7370" w:type="dxa"/>
            <w:gridSpan w:val="2"/>
            <w:tcBorders>
              <w:top w:val="single" w:sz="4" w:space="0" w:color="auto"/>
              <w:bottom w:val="single" w:sz="12" w:space="0" w:color="auto"/>
            </w:tcBorders>
            <w:shd w:val="clear" w:color="auto" w:fill="auto"/>
            <w:vAlign w:val="bottom"/>
          </w:tcPr>
          <w:p w14:paraId="2CC7FE48" w14:textId="77777777" w:rsidR="00887F05" w:rsidRPr="00480BA4" w:rsidRDefault="00887F05" w:rsidP="00887F05">
            <w:pPr>
              <w:spacing w:before="60" w:after="60" w:line="300" w:lineRule="exact"/>
              <w:ind w:left="57" w:right="113"/>
              <w:textDirection w:val="tbRlV"/>
              <w:rPr>
                <w:rStyle w:val="Hyperlink"/>
                <w:rFonts w:eastAsiaTheme="majorEastAsia"/>
                <w:i/>
                <w:color w:val="auto"/>
                <w:szCs w:val="28"/>
                <w:lang w:val="ar-SA" w:eastAsia="zh-TW" w:bidi="en-GB"/>
              </w:rPr>
            </w:pPr>
            <w:r w:rsidRPr="00480BA4">
              <w:rPr>
                <w:i/>
                <w:iCs/>
                <w:szCs w:val="28"/>
                <w:rtl/>
              </w:rPr>
              <w:t>ن. ب. ف. ضد إسبانيا</w:t>
            </w:r>
            <w:r w:rsidRPr="00480BA4">
              <w:rPr>
                <w:szCs w:val="28"/>
                <w:rtl/>
              </w:rPr>
              <w:t xml:space="preserve"> </w:t>
            </w:r>
            <w:r w:rsidRPr="00480BA4">
              <w:rPr>
                <w:rFonts w:ascii="Traditional Arabic"/>
                <w:szCs w:val="28"/>
                <w:rtl/>
              </w:rPr>
              <w:t>(</w:t>
            </w:r>
            <w:r w:rsidRPr="00480BA4">
              <w:rPr>
                <w:rFonts w:cs="Times New Roman"/>
                <w:szCs w:val="28"/>
              </w:rPr>
              <w:t>CRC/C/</w:t>
            </w:r>
            <w:r w:rsidRPr="00480BA4">
              <w:rPr>
                <w:rFonts w:cs="Times New Roman"/>
                <w:szCs w:val="20"/>
              </w:rPr>
              <w:t>79</w:t>
            </w:r>
            <w:r w:rsidRPr="00480BA4">
              <w:rPr>
                <w:rFonts w:cs="Times New Roman"/>
                <w:szCs w:val="28"/>
              </w:rPr>
              <w:t>/D/</w:t>
            </w:r>
            <w:r w:rsidRPr="00480BA4">
              <w:rPr>
                <w:rFonts w:cs="Times New Roman"/>
                <w:szCs w:val="20"/>
              </w:rPr>
              <w:t>11</w:t>
            </w:r>
            <w:r w:rsidRPr="00480BA4">
              <w:rPr>
                <w:rFonts w:cs="Times New Roman"/>
                <w:szCs w:val="28"/>
              </w:rPr>
              <w:t>/</w:t>
            </w:r>
            <w:r w:rsidRPr="00480BA4">
              <w:rPr>
                <w:rFonts w:cs="Times New Roman"/>
                <w:szCs w:val="20"/>
              </w:rPr>
              <w:t>2017</w:t>
            </w:r>
            <w:r w:rsidRPr="00480BA4">
              <w:rPr>
                <w:rFonts w:ascii="Traditional Arabic"/>
                <w:szCs w:val="28"/>
                <w:rtl/>
              </w:rPr>
              <w:t>)</w:t>
            </w:r>
          </w:p>
        </w:tc>
      </w:tr>
      <w:tr w:rsidR="00887F05" w:rsidRPr="00480BA4" w14:paraId="39125E9D" w14:textId="77777777" w:rsidTr="002117DE">
        <w:trPr>
          <w:trHeight w:hRule="exact" w:val="113"/>
          <w:tblHeader/>
        </w:trPr>
        <w:tc>
          <w:tcPr>
            <w:tcW w:w="2552" w:type="dxa"/>
            <w:tcBorders>
              <w:top w:val="single" w:sz="12" w:space="0" w:color="auto"/>
            </w:tcBorders>
            <w:shd w:val="clear" w:color="auto" w:fill="auto"/>
          </w:tcPr>
          <w:p w14:paraId="42999A93"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tcBorders>
              <w:top w:val="single" w:sz="12" w:space="0" w:color="auto"/>
            </w:tcBorders>
            <w:shd w:val="clear" w:color="auto" w:fill="auto"/>
          </w:tcPr>
          <w:p w14:paraId="19CBC35C" w14:textId="77777777" w:rsidR="00887F05" w:rsidRPr="00480BA4" w:rsidRDefault="00887F05" w:rsidP="00887F05">
            <w:pPr>
              <w:spacing w:before="60" w:after="60" w:line="300" w:lineRule="exact"/>
              <w:ind w:left="57" w:right="113"/>
              <w:rPr>
                <w:rStyle w:val="Hyperlink"/>
                <w:rFonts w:eastAsiaTheme="majorEastAsia"/>
                <w:color w:val="auto"/>
                <w:szCs w:val="28"/>
              </w:rPr>
            </w:pPr>
          </w:p>
        </w:tc>
      </w:tr>
      <w:tr w:rsidR="00887F05" w:rsidRPr="00480BA4" w14:paraId="0B475C17" w14:textId="77777777" w:rsidTr="002117DE">
        <w:tc>
          <w:tcPr>
            <w:tcW w:w="2552" w:type="dxa"/>
            <w:shd w:val="clear" w:color="auto" w:fill="auto"/>
          </w:tcPr>
          <w:p w14:paraId="10C47DBC"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تاريخ اعتماد الآراء:</w:t>
            </w:r>
          </w:p>
        </w:tc>
        <w:tc>
          <w:tcPr>
            <w:tcW w:w="4818" w:type="dxa"/>
            <w:shd w:val="clear" w:color="auto" w:fill="auto"/>
          </w:tcPr>
          <w:p w14:paraId="5D1860D3"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rtl/>
                <w:lang w:val="ar-SA" w:eastAsia="zh-TW"/>
              </w:rPr>
            </w:pPr>
            <w:r w:rsidRPr="00480BA4">
              <w:rPr>
                <w:rFonts w:ascii="Traditional Arabic"/>
                <w:szCs w:val="20"/>
                <w:rtl/>
              </w:rPr>
              <w:t>27</w:t>
            </w:r>
            <w:r w:rsidRPr="00480BA4">
              <w:rPr>
                <w:szCs w:val="28"/>
                <w:rtl/>
              </w:rPr>
              <w:t xml:space="preserve"> أيلول/سبتمبر </w:t>
            </w:r>
            <w:r w:rsidRPr="00480BA4">
              <w:rPr>
                <w:rFonts w:ascii="Traditional Arabic"/>
                <w:szCs w:val="20"/>
                <w:rtl/>
              </w:rPr>
              <w:t>2018</w:t>
            </w:r>
          </w:p>
        </w:tc>
      </w:tr>
      <w:tr w:rsidR="00887F05" w:rsidRPr="00480BA4" w14:paraId="41DD6FCB" w14:textId="77777777" w:rsidTr="002117DE">
        <w:tc>
          <w:tcPr>
            <w:tcW w:w="2552" w:type="dxa"/>
            <w:shd w:val="clear" w:color="auto" w:fill="auto"/>
          </w:tcPr>
          <w:p w14:paraId="4BA4A53D"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الموضوع:</w:t>
            </w:r>
          </w:p>
        </w:tc>
        <w:tc>
          <w:tcPr>
            <w:tcW w:w="4818" w:type="dxa"/>
            <w:shd w:val="clear" w:color="auto" w:fill="auto"/>
          </w:tcPr>
          <w:p w14:paraId="0663E88F"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وصل صاحب البلاغ إلى إسبانيا على متن قارب، وادعى أنه طفل مهاجر غير مصحوب. وبما أنه لم يكن حائزاً للوثائق اللازمة، فقد </w:t>
            </w:r>
            <w:r w:rsidRPr="00480BA4">
              <w:rPr>
                <w:spacing w:val="-4"/>
                <w:szCs w:val="28"/>
                <w:rtl/>
              </w:rPr>
              <w:t>أُخضع لاختبار يتمثل في تصوير معصم يد اليسرى بالأشعة السينية</w:t>
            </w:r>
            <w:r w:rsidRPr="00480BA4">
              <w:rPr>
                <w:szCs w:val="28"/>
                <w:rtl/>
              </w:rPr>
              <w:t xml:space="preserve"> لتحديد سنه باستخدام طريقة </w:t>
            </w:r>
            <w:proofErr w:type="spellStart"/>
            <w:r w:rsidRPr="00480BA4">
              <w:rPr>
                <w:szCs w:val="28"/>
                <w:rtl/>
              </w:rPr>
              <w:t>غروليتش</w:t>
            </w:r>
            <w:proofErr w:type="spellEnd"/>
            <w:r w:rsidRPr="00480BA4">
              <w:rPr>
                <w:szCs w:val="28"/>
                <w:rtl/>
              </w:rPr>
              <w:t xml:space="preserve"> </w:t>
            </w:r>
            <w:proofErr w:type="spellStart"/>
            <w:r w:rsidRPr="00480BA4">
              <w:rPr>
                <w:szCs w:val="28"/>
                <w:rtl/>
              </w:rPr>
              <w:t>وبايل</w:t>
            </w:r>
            <w:proofErr w:type="spellEnd"/>
            <w:r w:rsidRPr="00480BA4">
              <w:rPr>
                <w:szCs w:val="28"/>
                <w:rtl/>
              </w:rPr>
              <w:t>. وأظهرت نتيجة الاختبار</w:t>
            </w:r>
            <w:r w:rsidRPr="00480BA4">
              <w:rPr>
                <w:spacing w:val="-4"/>
                <w:szCs w:val="28"/>
                <w:rtl/>
              </w:rPr>
              <w:t xml:space="preserve"> أن عمره تجاوز </w:t>
            </w:r>
            <w:r w:rsidRPr="00480BA4">
              <w:rPr>
                <w:spacing w:val="-4"/>
                <w:szCs w:val="20"/>
                <w:rtl/>
              </w:rPr>
              <w:t>19</w:t>
            </w:r>
            <w:r w:rsidRPr="00480BA4">
              <w:rPr>
                <w:spacing w:val="-4"/>
                <w:szCs w:val="28"/>
                <w:rtl/>
              </w:rPr>
              <w:t xml:space="preserve"> سنة. وادعى أن الاختبار غير دقيق وغير</w:t>
            </w:r>
            <w:r w:rsidRPr="00480BA4">
              <w:rPr>
                <w:szCs w:val="28"/>
                <w:rtl/>
              </w:rPr>
              <w:t xml:space="preserve"> مناسب وأنه لم يعيَّن له أي ممثل قانوني أثناء عملية تحديد السن.</w:t>
            </w:r>
          </w:p>
        </w:tc>
      </w:tr>
      <w:tr w:rsidR="00887F05" w:rsidRPr="00480BA4" w14:paraId="330B13F7" w14:textId="77777777" w:rsidTr="002117DE">
        <w:tc>
          <w:tcPr>
            <w:tcW w:w="2552" w:type="dxa"/>
            <w:shd w:val="clear" w:color="auto" w:fill="auto"/>
          </w:tcPr>
          <w:p w14:paraId="6716A146"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المواد المنتهكة:</w:t>
            </w:r>
          </w:p>
        </w:tc>
        <w:tc>
          <w:tcPr>
            <w:tcW w:w="4818" w:type="dxa"/>
            <w:shd w:val="clear" w:color="auto" w:fill="auto"/>
          </w:tcPr>
          <w:p w14:paraId="6A35F529"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rFonts w:ascii="Traditional Arabic"/>
                <w:szCs w:val="20"/>
                <w:rtl/>
              </w:rPr>
              <w:t>3</w:t>
            </w:r>
            <w:r w:rsidRPr="00480BA4">
              <w:rPr>
                <w:szCs w:val="28"/>
                <w:rtl/>
              </w:rPr>
              <w:t xml:space="preserve"> و</w:t>
            </w:r>
            <w:r w:rsidRPr="00480BA4">
              <w:rPr>
                <w:rFonts w:ascii="Traditional Arabic"/>
                <w:szCs w:val="20"/>
                <w:rtl/>
              </w:rPr>
              <w:t>12</w:t>
            </w:r>
            <w:r w:rsidRPr="00480BA4">
              <w:rPr>
                <w:szCs w:val="28"/>
                <w:rtl/>
              </w:rPr>
              <w:t xml:space="preserve"> من الاتفاقية و</w:t>
            </w:r>
            <w:r w:rsidRPr="00480BA4">
              <w:rPr>
                <w:rFonts w:ascii="Traditional Arabic"/>
                <w:szCs w:val="20"/>
                <w:rtl/>
              </w:rPr>
              <w:t>6</w:t>
            </w:r>
            <w:r w:rsidRPr="00480BA4">
              <w:rPr>
                <w:szCs w:val="28"/>
                <w:rtl/>
              </w:rPr>
              <w:t xml:space="preserve"> من البروتوكول الاختياري</w:t>
            </w:r>
          </w:p>
        </w:tc>
      </w:tr>
      <w:tr w:rsidR="00887F05" w:rsidRPr="00480BA4" w14:paraId="7F9FB104" w14:textId="77777777" w:rsidTr="002117DE">
        <w:tc>
          <w:tcPr>
            <w:tcW w:w="2552" w:type="dxa"/>
            <w:tcBorders>
              <w:bottom w:val="nil"/>
            </w:tcBorders>
            <w:shd w:val="clear" w:color="auto" w:fill="auto"/>
          </w:tcPr>
          <w:p w14:paraId="4B09BE0D"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سبل الانتصاف:</w:t>
            </w:r>
          </w:p>
        </w:tc>
        <w:tc>
          <w:tcPr>
            <w:tcW w:w="4818" w:type="dxa"/>
            <w:tcBorders>
              <w:bottom w:val="nil"/>
            </w:tcBorders>
            <w:shd w:val="clear" w:color="auto" w:fill="auto"/>
          </w:tcPr>
          <w:p w14:paraId="4FCCD1F6" w14:textId="0330ED9E" w:rsidR="00887F05" w:rsidRPr="00480BA4" w:rsidRDefault="00887F05" w:rsidP="00887F05">
            <w:pPr>
              <w:spacing w:before="60" w:after="60" w:line="300" w:lineRule="exact"/>
              <w:ind w:left="57" w:right="113"/>
              <w:textDirection w:val="tbRlV"/>
              <w:rPr>
                <w:rStyle w:val="Hyperlink"/>
                <w:rFonts w:eastAsiaTheme="majorEastAsia"/>
                <w:color w:val="auto"/>
                <w:spacing w:val="-4"/>
                <w:szCs w:val="28"/>
                <w:lang w:val="ar-SA" w:eastAsia="zh-TW" w:bidi="en-GB"/>
              </w:rPr>
            </w:pPr>
            <w:r w:rsidRPr="00480BA4">
              <w:rPr>
                <w:spacing w:val="-4"/>
                <w:szCs w:val="28"/>
                <w:rtl/>
              </w:rPr>
              <w:t xml:space="preserve">الدولة الطرف ملزمة بمنع حدوث انتهاكات مماثلة في المستقبل، </w:t>
            </w:r>
            <w:r w:rsidRPr="00480BA4">
              <w:rPr>
                <w:spacing w:val="-6"/>
                <w:szCs w:val="28"/>
                <w:rtl/>
              </w:rPr>
              <w:t>ولا</w:t>
            </w:r>
            <w:r w:rsidR="00AA4B33" w:rsidRPr="00480BA4">
              <w:rPr>
                <w:rFonts w:hint="cs"/>
                <w:spacing w:val="-6"/>
                <w:szCs w:val="28"/>
                <w:rtl/>
              </w:rPr>
              <w:t> </w:t>
            </w:r>
            <w:r w:rsidRPr="00480BA4">
              <w:rPr>
                <w:spacing w:val="-6"/>
                <w:szCs w:val="28"/>
                <w:rtl/>
              </w:rPr>
              <w:t>سيما بضمان أن تُنفَّذ جميع إجراءات تحديد سن الأطفال المحتملين</w:t>
            </w:r>
            <w:r w:rsidRPr="00480BA4">
              <w:rPr>
                <w:spacing w:val="-4"/>
                <w:szCs w:val="28"/>
                <w:rtl/>
              </w:rPr>
              <w:t xml:space="preserve"> غير المصحوبين على نحو يتوافق مع الاتفاقية، وأن يُعيَّن لهم خلالها ممثل قانوني مؤهل بالمجان وعلى وجه السرعة. وتطلب اللجنة إلى الدولة الطرف أيضاً أن تنشر هذه الآراء وتعممها على نطاق واسع. </w:t>
            </w:r>
          </w:p>
        </w:tc>
      </w:tr>
      <w:tr w:rsidR="00887F05" w:rsidRPr="00480BA4" w14:paraId="14404B2F" w14:textId="77777777" w:rsidTr="002117DE">
        <w:tc>
          <w:tcPr>
            <w:tcW w:w="2552" w:type="dxa"/>
            <w:tcBorders>
              <w:top w:val="nil"/>
              <w:bottom w:val="nil"/>
            </w:tcBorders>
            <w:shd w:val="clear" w:color="auto" w:fill="auto"/>
          </w:tcPr>
          <w:p w14:paraId="2C56E0D0"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رد الدولة الطرف:</w:t>
            </w:r>
          </w:p>
        </w:tc>
        <w:tc>
          <w:tcPr>
            <w:tcW w:w="4818" w:type="dxa"/>
            <w:tcBorders>
              <w:top w:val="nil"/>
              <w:bottom w:val="nil"/>
            </w:tcBorders>
            <w:shd w:val="clear" w:color="auto" w:fill="auto"/>
          </w:tcPr>
          <w:p w14:paraId="1BFB56DE" w14:textId="61EB8B38"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تشير الدولة الطرف في مذكرتها المتعلقة بالمتابعة، المؤرخة </w:t>
            </w:r>
            <w:r w:rsidRPr="00480BA4">
              <w:rPr>
                <w:rFonts w:ascii="Traditional Arabic"/>
                <w:szCs w:val="20"/>
                <w:rtl/>
              </w:rPr>
              <w:t>20</w:t>
            </w:r>
            <w:r w:rsidRPr="00480BA4">
              <w:rPr>
                <w:szCs w:val="28"/>
                <w:rtl/>
              </w:rPr>
              <w:t xml:space="preserve"> أيار/</w:t>
            </w:r>
            <w:r w:rsidR="0005571E" w:rsidRPr="00480BA4">
              <w:rPr>
                <w:rFonts w:hint="cs"/>
                <w:szCs w:val="28"/>
                <w:rtl/>
              </w:rPr>
              <w:t xml:space="preserve"> </w:t>
            </w:r>
            <w:r w:rsidRPr="00480BA4">
              <w:rPr>
                <w:spacing w:val="-4"/>
                <w:szCs w:val="28"/>
                <w:rtl/>
              </w:rPr>
              <w:t xml:space="preserve">مايو </w:t>
            </w:r>
            <w:r w:rsidRPr="00480BA4">
              <w:rPr>
                <w:rFonts w:ascii="Traditional Arabic"/>
                <w:spacing w:val="-4"/>
                <w:szCs w:val="20"/>
                <w:rtl/>
              </w:rPr>
              <w:t>2019</w:t>
            </w:r>
            <w:r w:rsidRPr="00480BA4">
              <w:rPr>
                <w:spacing w:val="-4"/>
                <w:szCs w:val="28"/>
                <w:rtl/>
              </w:rPr>
              <w:t xml:space="preserve">، إلى أن مكتب المدعي العام أصدر في </w:t>
            </w:r>
            <w:r w:rsidRPr="00480BA4">
              <w:rPr>
                <w:rFonts w:ascii="Traditional Arabic"/>
                <w:spacing w:val="-4"/>
                <w:szCs w:val="20"/>
                <w:rtl/>
              </w:rPr>
              <w:t>18</w:t>
            </w:r>
            <w:r w:rsidRPr="00480BA4">
              <w:rPr>
                <w:spacing w:val="-4"/>
                <w:szCs w:val="28"/>
                <w:rtl/>
              </w:rPr>
              <w:t xml:space="preserve"> كانون الأول/</w:t>
            </w:r>
            <w:r w:rsidR="0005571E" w:rsidRPr="00480BA4">
              <w:rPr>
                <w:rFonts w:hint="cs"/>
                <w:spacing w:val="-4"/>
                <w:szCs w:val="28"/>
                <w:rtl/>
              </w:rPr>
              <w:t xml:space="preserve"> </w:t>
            </w:r>
            <w:r w:rsidRPr="00480BA4">
              <w:rPr>
                <w:spacing w:val="-4"/>
                <w:szCs w:val="28"/>
                <w:rtl/>
              </w:rPr>
              <w:t xml:space="preserve">ديسمبر </w:t>
            </w:r>
            <w:r w:rsidRPr="00480BA4">
              <w:rPr>
                <w:rFonts w:ascii="Traditional Arabic"/>
                <w:spacing w:val="-4"/>
                <w:szCs w:val="20"/>
                <w:rtl/>
              </w:rPr>
              <w:t>2018</w:t>
            </w:r>
            <w:r w:rsidRPr="00480BA4">
              <w:rPr>
                <w:spacing w:val="-4"/>
                <w:szCs w:val="28"/>
                <w:rtl/>
              </w:rPr>
              <w:t xml:space="preserve"> تقريراً مفصلاً عن القواعد والممارسات الإدارية المتبعة حالياً فيما يتعلق بالمسائل التي أشارت إليها اللجنة، مع التركيز على الجوانب التي طلبت اللجنة اتخاذ تدابير فعالة بشأنها لمنع حدوث انتهاكات مماثلة في المستقبل. وأُرسل التقرير إلى المديرية العامة للتعاون القانوني الدولي والعلاقات بين الأديان وحقوق الإنسان التابعة لوزارة العدل، التي اتخذت الإجراءات التالية:</w:t>
            </w:r>
          </w:p>
        </w:tc>
      </w:tr>
      <w:tr w:rsidR="00887F05" w:rsidRPr="00480BA4" w14:paraId="20DB5335" w14:textId="77777777" w:rsidTr="002117DE">
        <w:tc>
          <w:tcPr>
            <w:tcW w:w="2552" w:type="dxa"/>
            <w:tcBorders>
              <w:top w:val="nil"/>
            </w:tcBorders>
            <w:shd w:val="clear" w:color="auto" w:fill="auto"/>
          </w:tcPr>
          <w:p w14:paraId="0190F6F6"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tcBorders>
              <w:top w:val="nil"/>
            </w:tcBorders>
            <w:shd w:val="clear" w:color="auto" w:fill="auto"/>
          </w:tcPr>
          <w:p w14:paraId="315EE747"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ab/>
              <w:t>(أ)</w:t>
            </w:r>
            <w:r w:rsidRPr="00480BA4">
              <w:rPr>
                <w:szCs w:val="28"/>
                <w:rtl/>
              </w:rPr>
              <w:tab/>
            </w:r>
            <w:r w:rsidRPr="00480BA4">
              <w:rPr>
                <w:spacing w:val="-4"/>
                <w:szCs w:val="28"/>
                <w:rtl/>
              </w:rPr>
              <w:t xml:space="preserve">نشر وتعميم مضمون هذه الآراء على الموقع الشبكي </w:t>
            </w:r>
            <w:r w:rsidRPr="00480BA4">
              <w:rPr>
                <w:szCs w:val="28"/>
                <w:rtl/>
              </w:rPr>
              <w:t>لوزارة العدل؛</w:t>
            </w:r>
          </w:p>
        </w:tc>
      </w:tr>
      <w:tr w:rsidR="00887F05" w:rsidRPr="00480BA4" w14:paraId="29B1BAFE" w14:textId="77777777" w:rsidTr="002117DE">
        <w:tc>
          <w:tcPr>
            <w:tcW w:w="2552" w:type="dxa"/>
            <w:shd w:val="clear" w:color="auto" w:fill="auto"/>
          </w:tcPr>
          <w:p w14:paraId="1913D104"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shd w:val="clear" w:color="auto" w:fill="auto"/>
          </w:tcPr>
          <w:p w14:paraId="28463D7D"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eastAsia="zh-TW" w:bidi="en-GB"/>
              </w:rPr>
            </w:pPr>
            <w:r w:rsidRPr="00480BA4">
              <w:rPr>
                <w:szCs w:val="28"/>
                <w:rtl/>
              </w:rPr>
              <w:tab/>
              <w:t>(ب)</w:t>
            </w:r>
            <w:r w:rsidRPr="00480BA4">
              <w:rPr>
                <w:szCs w:val="28"/>
                <w:rtl/>
              </w:rPr>
              <w:tab/>
              <w:t>إنشاء شبكة دائمة لمراكز الاتصال داخل مختلف المؤسسات بغية دراسة الجوانب المعقدة التي يتطلبها الامتثال، وذلك بالنظر إلى أن تنفيذ الآراء مسؤولية تقع على مختلف أجهزة الإدارة العامة؛</w:t>
            </w:r>
          </w:p>
        </w:tc>
      </w:tr>
      <w:tr w:rsidR="00887F05" w:rsidRPr="00480BA4" w14:paraId="02905209" w14:textId="77777777" w:rsidTr="002117DE">
        <w:tc>
          <w:tcPr>
            <w:tcW w:w="2552" w:type="dxa"/>
            <w:shd w:val="clear" w:color="auto" w:fill="auto"/>
          </w:tcPr>
          <w:p w14:paraId="225F648D"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shd w:val="clear" w:color="auto" w:fill="auto"/>
          </w:tcPr>
          <w:p w14:paraId="40A12EE1" w14:textId="7B9A9191"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ab/>
              <w:t>(ج)</w:t>
            </w:r>
            <w:r w:rsidRPr="00480BA4">
              <w:rPr>
                <w:szCs w:val="28"/>
                <w:rtl/>
              </w:rPr>
              <w:tab/>
              <w:t xml:space="preserve">الدعوة إلى عقد اجتماع، في </w:t>
            </w:r>
            <w:r w:rsidRPr="00480BA4">
              <w:rPr>
                <w:rFonts w:ascii="Traditional Arabic"/>
                <w:szCs w:val="20"/>
                <w:rtl/>
              </w:rPr>
              <w:t>21</w:t>
            </w:r>
            <w:r w:rsidRPr="00480BA4">
              <w:rPr>
                <w:szCs w:val="28"/>
                <w:rtl/>
              </w:rPr>
              <w:t xml:space="preserve"> كانون الثاني/</w:t>
            </w:r>
            <w:r w:rsidR="0005571E" w:rsidRPr="00480BA4">
              <w:rPr>
                <w:rFonts w:hint="cs"/>
                <w:szCs w:val="28"/>
                <w:rtl/>
              </w:rPr>
              <w:t xml:space="preserve">   </w:t>
            </w:r>
            <w:r w:rsidRPr="00480BA4">
              <w:rPr>
                <w:szCs w:val="28"/>
                <w:rtl/>
              </w:rPr>
              <w:t xml:space="preserve">يناير </w:t>
            </w:r>
            <w:r w:rsidRPr="00480BA4">
              <w:rPr>
                <w:rFonts w:ascii="Traditional Arabic"/>
                <w:szCs w:val="20"/>
                <w:rtl/>
              </w:rPr>
              <w:t>2019</w:t>
            </w:r>
            <w:r w:rsidRPr="00480BA4">
              <w:rPr>
                <w:spacing w:val="-4"/>
                <w:szCs w:val="28"/>
                <w:rtl/>
              </w:rPr>
              <w:t>، مع الخبراء ووزارات الدولة لتقييم الآراء والتدابير المحتملة اللازمة لتنفيذها، بما في ذلك ما يلي</w:t>
            </w:r>
            <w:r w:rsidR="00AA4B33" w:rsidRPr="00480BA4">
              <w:rPr>
                <w:rFonts w:hint="cs"/>
                <w:spacing w:val="-4"/>
                <w:szCs w:val="28"/>
                <w:rtl/>
              </w:rPr>
              <w:t xml:space="preserve">: </w:t>
            </w:r>
            <w:r w:rsidRPr="00480BA4">
              <w:rPr>
                <w:rFonts w:ascii="Traditional Arabic"/>
                <w:spacing w:val="-4"/>
                <w:szCs w:val="28"/>
                <w:rtl/>
              </w:rPr>
              <w:t>(</w:t>
            </w:r>
            <w:r w:rsidRPr="00480BA4">
              <w:rPr>
                <w:rFonts w:ascii="Traditional Arabic"/>
                <w:spacing w:val="-4"/>
                <w:szCs w:val="20"/>
                <w:rtl/>
              </w:rPr>
              <w:t>1</w:t>
            </w:r>
            <w:r w:rsidRPr="00480BA4">
              <w:rPr>
                <w:rFonts w:ascii="Traditional Arabic"/>
                <w:spacing w:val="-4"/>
                <w:szCs w:val="28"/>
                <w:rtl/>
              </w:rPr>
              <w:t>)</w:t>
            </w:r>
            <w:r w:rsidRPr="00480BA4">
              <w:rPr>
                <w:spacing w:val="-4"/>
                <w:szCs w:val="28"/>
                <w:rtl/>
              </w:rPr>
              <w:t xml:space="preserve"> استعراض مختلف المشاكل </w:t>
            </w:r>
            <w:r w:rsidRPr="00480BA4">
              <w:rPr>
                <w:szCs w:val="28"/>
                <w:rtl/>
              </w:rPr>
              <w:t xml:space="preserve">التي </w:t>
            </w:r>
            <w:r w:rsidRPr="00480BA4">
              <w:rPr>
                <w:spacing w:val="-4"/>
                <w:szCs w:val="28"/>
                <w:rtl/>
              </w:rPr>
              <w:t>تواجهها كل وحدةٍ مشاركةٍ، بالنظر إلى تزايد عدد القاصرين الأجانب</w:t>
            </w:r>
            <w:r w:rsidRPr="00480BA4">
              <w:rPr>
                <w:szCs w:val="28"/>
                <w:rtl/>
              </w:rPr>
              <w:t xml:space="preserve"> </w:t>
            </w:r>
            <w:r w:rsidRPr="00480BA4">
              <w:rPr>
                <w:spacing w:val="-4"/>
                <w:szCs w:val="28"/>
                <w:rtl/>
              </w:rPr>
              <w:t>غير المصحوبين الذين يعبرون الحدود بطريقة غير قانونية؛ و</w:t>
            </w:r>
            <w:r w:rsidRPr="00480BA4">
              <w:rPr>
                <w:rFonts w:ascii="Traditional Arabic"/>
                <w:spacing w:val="-4"/>
                <w:szCs w:val="28"/>
                <w:rtl/>
              </w:rPr>
              <w:t>(</w:t>
            </w:r>
            <w:r w:rsidRPr="00480BA4">
              <w:rPr>
                <w:rFonts w:ascii="Traditional Arabic"/>
                <w:spacing w:val="-4"/>
                <w:szCs w:val="20"/>
                <w:rtl/>
              </w:rPr>
              <w:t>2</w:t>
            </w:r>
            <w:r w:rsidRPr="00480BA4">
              <w:rPr>
                <w:rFonts w:ascii="Traditional Arabic"/>
                <w:spacing w:val="-4"/>
                <w:szCs w:val="28"/>
                <w:rtl/>
              </w:rPr>
              <w:t>)</w:t>
            </w:r>
            <w:r w:rsidRPr="00480BA4">
              <w:rPr>
                <w:spacing w:val="-4"/>
                <w:szCs w:val="28"/>
                <w:rtl/>
              </w:rPr>
              <w:t xml:space="preserve"> مراجعة</w:t>
            </w:r>
            <w:r w:rsidRPr="00480BA4">
              <w:rPr>
                <w:szCs w:val="28"/>
                <w:rtl/>
              </w:rPr>
              <w:t xml:space="preserve"> طريقة معاملة هؤلاء المهاجرين، ولا سيما إجراءات تحديد السن، وتعيين ممثل قانوني، والإحالة إلى مراكز حماية الطفل.</w:t>
            </w:r>
          </w:p>
        </w:tc>
      </w:tr>
      <w:tr w:rsidR="00887F05" w:rsidRPr="00480BA4" w14:paraId="4D1F41B9" w14:textId="77777777" w:rsidTr="002117DE">
        <w:tc>
          <w:tcPr>
            <w:tcW w:w="2552" w:type="dxa"/>
            <w:shd w:val="clear" w:color="auto" w:fill="auto"/>
          </w:tcPr>
          <w:p w14:paraId="75A7C86E"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shd w:val="clear" w:color="auto" w:fill="auto"/>
          </w:tcPr>
          <w:p w14:paraId="40C127C3" w14:textId="52C0F0C3"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وفي </w:t>
            </w:r>
            <w:r w:rsidRPr="00480BA4">
              <w:rPr>
                <w:rFonts w:ascii="Traditional Arabic"/>
                <w:szCs w:val="20"/>
                <w:rtl/>
              </w:rPr>
              <w:t>5</w:t>
            </w:r>
            <w:r w:rsidRPr="00480BA4">
              <w:rPr>
                <w:szCs w:val="28"/>
                <w:rtl/>
              </w:rPr>
              <w:t xml:space="preserve"> آذار/مارس </w:t>
            </w:r>
            <w:r w:rsidRPr="00480BA4">
              <w:rPr>
                <w:rFonts w:ascii="Traditional Arabic"/>
                <w:szCs w:val="20"/>
                <w:rtl/>
              </w:rPr>
              <w:t>2019</w:t>
            </w:r>
            <w:r w:rsidRPr="00480BA4">
              <w:rPr>
                <w:szCs w:val="28"/>
                <w:rtl/>
              </w:rPr>
              <w:t xml:space="preserve">، جرى حل البرلمان الإسباني. ووضعت الدولة الطرف خطة عمل لتنفيذ الآراء بعد الانتخابات العامة التي كان من المقرر إجراؤها في نيسان/أبريل وأيار/مايو </w:t>
            </w:r>
            <w:r w:rsidRPr="00480BA4">
              <w:rPr>
                <w:rFonts w:ascii="Traditional Arabic"/>
                <w:szCs w:val="20"/>
                <w:rtl/>
              </w:rPr>
              <w:t>2019</w:t>
            </w:r>
            <w:r w:rsidRPr="00480BA4">
              <w:rPr>
                <w:rFonts w:ascii="Traditional Arabic"/>
                <w:szCs w:val="28"/>
                <w:rtl/>
              </w:rPr>
              <w:t>.</w:t>
            </w:r>
            <w:r w:rsidRPr="00480BA4">
              <w:rPr>
                <w:szCs w:val="28"/>
                <w:rtl/>
              </w:rPr>
              <w:t xml:space="preserve"> وتعتزم الدولة الطرف عقد مؤتمر قطاعي بين حكومات الأقاليم المتمتعة بالحكم الذاتي لكفالة التنسيق بشأن المبادرات التنظيمية والتدابير الإدارية. وبالإضافة إلى ذلك، وقبل اعتماد أي ممارسة معيارية أو</w:t>
            </w:r>
            <w:r w:rsidR="00AA4B33" w:rsidRPr="00480BA4">
              <w:rPr>
                <w:rFonts w:hint="cs"/>
                <w:szCs w:val="28"/>
                <w:rtl/>
              </w:rPr>
              <w:t> </w:t>
            </w:r>
            <w:r w:rsidRPr="00480BA4">
              <w:rPr>
                <w:szCs w:val="28"/>
                <w:rtl/>
              </w:rPr>
              <w:t xml:space="preserve">إدارية وتقييم أثرها المعياري، تعتزم الحكومة أن تتشاور مع جميع الأقاليم المتمتعة بالحكم الذاتي التي لديها اختصاصات واسعة في مناطق نفوذها، وأن تراعي موقفها. وتعتزم أيضاً أن تنظر في تعزيز التدابير التشريعية واللوائح التنظيمية وتعديلات بروتوكولات العمل على الصعيد الوطني، بالموازاة مع التدابير المعتمدة على مستوى الأقاليم المتمتعة بالحكم الذاتي. وتخطط الدولة الطرف لإجراء تحليل </w:t>
            </w:r>
            <w:r w:rsidRPr="00480BA4">
              <w:rPr>
                <w:spacing w:val="-4"/>
                <w:szCs w:val="28"/>
                <w:rtl/>
              </w:rPr>
              <w:t>لأثر التدابير المطلوبة والإجراءات اللوجستية والإدارية اللازمة لتنفيذها</w:t>
            </w:r>
            <w:r w:rsidRPr="00480BA4">
              <w:rPr>
                <w:szCs w:val="28"/>
                <w:rtl/>
              </w:rPr>
              <w:t xml:space="preserve"> على الميزانية والموارد المالية.</w:t>
            </w:r>
          </w:p>
        </w:tc>
      </w:tr>
      <w:tr w:rsidR="00887F05" w:rsidRPr="00480BA4" w14:paraId="707C4AF2" w14:textId="77777777" w:rsidTr="002117DE">
        <w:tc>
          <w:tcPr>
            <w:tcW w:w="2552" w:type="dxa"/>
            <w:tcBorders>
              <w:bottom w:val="nil"/>
            </w:tcBorders>
            <w:shd w:val="clear" w:color="auto" w:fill="auto"/>
          </w:tcPr>
          <w:p w14:paraId="432946E6"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تعليقات صاحب البلاغ:</w:t>
            </w:r>
          </w:p>
        </w:tc>
        <w:tc>
          <w:tcPr>
            <w:tcW w:w="4818" w:type="dxa"/>
            <w:tcBorders>
              <w:bottom w:val="nil"/>
            </w:tcBorders>
            <w:shd w:val="clear" w:color="auto" w:fill="auto"/>
          </w:tcPr>
          <w:p w14:paraId="2191C697"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pacing w:val="-2"/>
                <w:szCs w:val="28"/>
                <w:rtl/>
              </w:rPr>
              <w:t xml:space="preserve">يدعي صاحب البلاغ، في تعليقاته المؤرخة </w:t>
            </w:r>
            <w:r w:rsidRPr="00480BA4">
              <w:rPr>
                <w:rFonts w:ascii="Traditional Arabic"/>
                <w:spacing w:val="-2"/>
                <w:szCs w:val="20"/>
                <w:rtl/>
              </w:rPr>
              <w:t>7</w:t>
            </w:r>
            <w:r w:rsidRPr="00480BA4">
              <w:rPr>
                <w:spacing w:val="-2"/>
                <w:szCs w:val="28"/>
                <w:rtl/>
              </w:rPr>
              <w:t xml:space="preserve"> آب/أغسطس </w:t>
            </w:r>
            <w:r w:rsidRPr="00480BA4">
              <w:rPr>
                <w:rFonts w:ascii="Traditional Arabic"/>
                <w:spacing w:val="-2"/>
                <w:szCs w:val="20"/>
                <w:rtl/>
              </w:rPr>
              <w:t>2019</w:t>
            </w:r>
            <w:r w:rsidRPr="00480BA4">
              <w:rPr>
                <w:spacing w:val="-2"/>
                <w:szCs w:val="28"/>
                <w:rtl/>
              </w:rPr>
              <w:t>،</w:t>
            </w:r>
            <w:r w:rsidRPr="00480BA4">
              <w:rPr>
                <w:szCs w:val="28"/>
                <w:rtl/>
              </w:rPr>
              <w:t xml:space="preserve"> أنه لم تطرأ أي تغييرات قضائية أو إدارية بعد اعتماد آراء اللجنة. ويعترض على إفادة الدولة الطرف بأن الآراء نُشِرت على نطاق </w:t>
            </w:r>
            <w:r w:rsidRPr="00480BA4">
              <w:rPr>
                <w:spacing w:val="-2"/>
                <w:szCs w:val="28"/>
                <w:rtl/>
              </w:rPr>
              <w:t>واسع، ويشير إلى أنه كان على الدولة الطرف، رغم وجود رابط دائم</w:t>
            </w:r>
            <w:r w:rsidRPr="00480BA4">
              <w:rPr>
                <w:szCs w:val="28"/>
                <w:rtl/>
              </w:rPr>
              <w:t xml:space="preserve"> لموقع الأمم المتحدة الشبكي على موقع الحكومة الشبكي، أن تخبر </w:t>
            </w:r>
            <w:r w:rsidRPr="00480BA4">
              <w:rPr>
                <w:spacing w:val="-4"/>
                <w:szCs w:val="28"/>
                <w:rtl/>
              </w:rPr>
              <w:t>صراحةً جميع الوكالات المعنية بآراء اللجنة، بما في ذلك مكتب المدعي</w:t>
            </w:r>
            <w:r w:rsidRPr="00480BA4">
              <w:rPr>
                <w:szCs w:val="28"/>
                <w:rtl/>
              </w:rPr>
              <w:t xml:space="preserve"> </w:t>
            </w:r>
            <w:r w:rsidRPr="00480BA4">
              <w:rPr>
                <w:spacing w:val="-4"/>
                <w:szCs w:val="28"/>
                <w:rtl/>
              </w:rPr>
              <w:t xml:space="preserve">العام، والسلطات الإقليمية المعنية بحماية الطفل، وهيئات إنفاذ </w:t>
            </w:r>
            <w:r w:rsidRPr="00480BA4">
              <w:rPr>
                <w:spacing w:val="-6"/>
                <w:szCs w:val="28"/>
                <w:rtl/>
              </w:rPr>
              <w:t>القانون، وكيانات إقامة العدل، ومدرسة المربين الاجتماعيين، والكيانات</w:t>
            </w:r>
            <w:r w:rsidRPr="00480BA4">
              <w:rPr>
                <w:szCs w:val="28"/>
                <w:rtl/>
              </w:rPr>
              <w:t xml:space="preserve"> الاجتماعية، وهيئات الأطباء الشرعيين، ونقابات المحامين في جميع </w:t>
            </w:r>
            <w:r w:rsidRPr="00480BA4">
              <w:rPr>
                <w:spacing w:val="-6"/>
                <w:szCs w:val="28"/>
                <w:rtl/>
              </w:rPr>
              <w:t>أنحاء البلد. ويضيف أن رد الدولة الطرف لا يتضمن سوى معلومات</w:t>
            </w:r>
            <w:r w:rsidRPr="00480BA4">
              <w:rPr>
                <w:szCs w:val="28"/>
                <w:rtl/>
              </w:rPr>
              <w:t xml:space="preserve"> عن اجتماعات لم تفض إلى أي نتيجة ملموسة أو تغيير عملي.</w:t>
            </w:r>
          </w:p>
        </w:tc>
      </w:tr>
      <w:tr w:rsidR="00887F05" w:rsidRPr="00480BA4" w14:paraId="3FC6D686" w14:textId="77777777" w:rsidTr="002117DE">
        <w:tc>
          <w:tcPr>
            <w:tcW w:w="2552" w:type="dxa"/>
            <w:tcBorders>
              <w:top w:val="nil"/>
              <w:bottom w:val="nil"/>
            </w:tcBorders>
            <w:shd w:val="clear" w:color="auto" w:fill="auto"/>
          </w:tcPr>
          <w:p w14:paraId="6B5419AD" w14:textId="77777777" w:rsidR="00887F05" w:rsidRPr="00480BA4" w:rsidRDefault="00887F05" w:rsidP="00AA4B33">
            <w:pPr>
              <w:spacing w:before="60" w:after="60" w:line="300" w:lineRule="exact"/>
              <w:ind w:left="57" w:right="113"/>
              <w:jc w:val="left"/>
              <w:textDirection w:val="tbRlV"/>
              <w:rPr>
                <w:rStyle w:val="Hyperlink"/>
                <w:rFonts w:eastAsiaTheme="majorEastAsia"/>
                <w:color w:val="auto"/>
                <w:szCs w:val="28"/>
                <w:lang w:val="ar-SA" w:eastAsia="zh-TW" w:bidi="en-GB"/>
              </w:rPr>
            </w:pPr>
            <w:r w:rsidRPr="00480BA4">
              <w:rPr>
                <w:szCs w:val="28"/>
                <w:rtl/>
              </w:rPr>
              <w:t>قرار اللجنة في دورتها الثانية والثمانين:</w:t>
            </w:r>
          </w:p>
        </w:tc>
        <w:tc>
          <w:tcPr>
            <w:tcW w:w="4818" w:type="dxa"/>
            <w:tcBorders>
              <w:top w:val="nil"/>
              <w:bottom w:val="nil"/>
            </w:tcBorders>
            <w:shd w:val="clear" w:color="auto" w:fill="auto"/>
          </w:tcPr>
          <w:p w14:paraId="1469F41E"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تعترف اللجنة بالجهود الإيجابية التي بذلتها الدولة الطرف بعد تلقي آراءها. وبالنظر إلى طابع هذه المسألة المعقد وعدد القضايا الواردة ضد إسبانيا، فإن اللجنة تقرر أن تواصل حوار المتابعة وتطلب إلى الدولة الطرف تقديم معلومات محدثة منتظمة عن حالة تنفيذ آراء اللجنة. وسيجري تقييم مدى امتثال الدولة الطرف لهذه الآراء في ضوء المعلومات التي ستقدمها في المستقبل وتعليقات صاحب البلاغ في هذا الصدد.</w:t>
            </w:r>
          </w:p>
        </w:tc>
      </w:tr>
      <w:tr w:rsidR="00887F05" w:rsidRPr="00480BA4" w14:paraId="1786BD21" w14:textId="77777777" w:rsidTr="002117DE">
        <w:tc>
          <w:tcPr>
            <w:tcW w:w="2552" w:type="dxa"/>
            <w:tcBorders>
              <w:top w:val="nil"/>
              <w:bottom w:val="nil"/>
            </w:tcBorders>
            <w:shd w:val="clear" w:color="auto" w:fill="auto"/>
          </w:tcPr>
          <w:p w14:paraId="4A20B24A"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الرد الثاني للدولة الطرف:</w:t>
            </w:r>
          </w:p>
        </w:tc>
        <w:tc>
          <w:tcPr>
            <w:tcW w:w="4818" w:type="dxa"/>
            <w:tcBorders>
              <w:top w:val="nil"/>
              <w:bottom w:val="nil"/>
            </w:tcBorders>
            <w:shd w:val="clear" w:color="auto" w:fill="auto"/>
          </w:tcPr>
          <w:p w14:paraId="63649207" w14:textId="587EDAAD"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تبلغ الدولة الطرف اللجنة، في مذكرتها المؤرخة </w:t>
            </w:r>
            <w:r w:rsidRPr="00480BA4">
              <w:rPr>
                <w:rFonts w:ascii="Traditional Arabic"/>
                <w:szCs w:val="20"/>
                <w:rtl/>
              </w:rPr>
              <w:t>23</w:t>
            </w:r>
            <w:r w:rsidRPr="00480BA4">
              <w:rPr>
                <w:szCs w:val="28"/>
                <w:rtl/>
              </w:rPr>
              <w:t xml:space="preserve"> كانون الأول</w:t>
            </w:r>
            <w:proofErr w:type="gramStart"/>
            <w:r w:rsidRPr="00480BA4">
              <w:rPr>
                <w:szCs w:val="28"/>
                <w:rtl/>
              </w:rPr>
              <w:t>/</w:t>
            </w:r>
            <w:r w:rsidR="00A733D8" w:rsidRPr="00480BA4">
              <w:rPr>
                <w:rFonts w:hint="cs"/>
                <w:szCs w:val="28"/>
                <w:rtl/>
              </w:rPr>
              <w:t xml:space="preserve">  </w:t>
            </w:r>
            <w:r w:rsidRPr="00480BA4">
              <w:rPr>
                <w:szCs w:val="28"/>
                <w:rtl/>
              </w:rPr>
              <w:t>ديسمبر</w:t>
            </w:r>
            <w:proofErr w:type="gramEnd"/>
            <w:r w:rsidRPr="00480BA4">
              <w:rPr>
                <w:szCs w:val="28"/>
                <w:rtl/>
              </w:rPr>
              <w:t xml:space="preserve"> </w:t>
            </w:r>
            <w:r w:rsidRPr="00480BA4">
              <w:rPr>
                <w:rFonts w:ascii="Traditional Arabic"/>
                <w:szCs w:val="20"/>
                <w:rtl/>
              </w:rPr>
              <w:t>2019</w:t>
            </w:r>
            <w:r w:rsidRPr="00480BA4">
              <w:rPr>
                <w:szCs w:val="28"/>
                <w:rtl/>
              </w:rPr>
              <w:t xml:space="preserve">، أنه يجري اتخاذ عدة تدابير لتحديث البروتوكول الذي ينظم إجراءات الدولة بخصوص القاصرين الأجانب غير </w:t>
            </w:r>
            <w:r w:rsidRPr="00480BA4">
              <w:rPr>
                <w:spacing w:val="-4"/>
                <w:szCs w:val="28"/>
                <w:rtl/>
              </w:rPr>
              <w:t>المصحوبين. ولهذا الغرض، أنشئ مجلس تنسيق دولي يقَيم في الوقت</w:t>
            </w:r>
            <w:r w:rsidRPr="00480BA4">
              <w:rPr>
                <w:szCs w:val="28"/>
                <w:rtl/>
              </w:rPr>
              <w:t xml:space="preserve"> الراهن المقترحات الواردة من الإدارات المركزية والإقليمية. وأنشئ أيضاً داخل وزارة الصحة فريق عامل رفيع المستوى معني بالقاصرين </w:t>
            </w:r>
            <w:r w:rsidRPr="00480BA4">
              <w:rPr>
                <w:spacing w:val="-4"/>
                <w:szCs w:val="28"/>
                <w:rtl/>
              </w:rPr>
              <w:t>الأجانب غير المصحوبين. وعقد هذا الفريق العامل عدة اجتماعات</w:t>
            </w:r>
            <w:r w:rsidRPr="00480BA4">
              <w:rPr>
                <w:szCs w:val="28"/>
                <w:rtl/>
              </w:rPr>
              <w:t xml:space="preserve"> مع ممثلي المجتمع المدني.</w:t>
            </w:r>
          </w:p>
          <w:p w14:paraId="24430BE2"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ويقيّم مكتب المدعي العام إمكانية التحقق من وثائق الهوية لدى السلطات القنصلية الموجودة في الدولة الطرف. ولا يعتد مكتب </w:t>
            </w:r>
            <w:r w:rsidRPr="00480BA4">
              <w:rPr>
                <w:spacing w:val="-4"/>
                <w:szCs w:val="28"/>
                <w:rtl/>
              </w:rPr>
              <w:t>المدعي العام سوى بالنسخ المصورة من جوازات السفر أو ما يعادلها</w:t>
            </w:r>
            <w:r w:rsidRPr="00480BA4">
              <w:rPr>
                <w:szCs w:val="28"/>
                <w:rtl/>
              </w:rPr>
              <w:t xml:space="preserve"> من وثائق الهوية.</w:t>
            </w:r>
          </w:p>
          <w:p w14:paraId="3B2BA1D0" w14:textId="1271895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lastRenderedPageBreak/>
              <w:t xml:space="preserve">وتشير الدولة الطرف إلى أن قرارات تحديد السن الصادرة عن مكتب المدعي العام ليست إجراءات إدارية. غير أن المحكمة العليا قررت، في </w:t>
            </w:r>
            <w:r w:rsidRPr="00480BA4">
              <w:rPr>
                <w:rFonts w:ascii="Traditional Arabic"/>
                <w:szCs w:val="20"/>
                <w:rtl/>
              </w:rPr>
              <w:t>24</w:t>
            </w:r>
            <w:r w:rsidRPr="00480BA4">
              <w:rPr>
                <w:szCs w:val="28"/>
                <w:rtl/>
              </w:rPr>
              <w:t xml:space="preserve"> حزيران/</w:t>
            </w:r>
            <w:proofErr w:type="gramStart"/>
            <w:r w:rsidRPr="00480BA4">
              <w:rPr>
                <w:szCs w:val="28"/>
                <w:rtl/>
              </w:rPr>
              <w:t>يونيه</w:t>
            </w:r>
            <w:proofErr w:type="gramEnd"/>
            <w:r w:rsidRPr="00480BA4">
              <w:rPr>
                <w:szCs w:val="28"/>
                <w:rtl/>
              </w:rPr>
              <w:t xml:space="preserve"> </w:t>
            </w:r>
            <w:r w:rsidRPr="00480BA4">
              <w:rPr>
                <w:rFonts w:ascii="Traditional Arabic"/>
                <w:szCs w:val="20"/>
                <w:rtl/>
              </w:rPr>
              <w:t>2019</w:t>
            </w:r>
            <w:r w:rsidRPr="00480BA4">
              <w:rPr>
                <w:szCs w:val="28"/>
                <w:rtl/>
              </w:rPr>
              <w:t>، قبول شكوى بشأن تحديد ما</w:t>
            </w:r>
            <w:r w:rsidR="00C14F6B" w:rsidRPr="00480BA4">
              <w:rPr>
                <w:rFonts w:hint="cs"/>
                <w:szCs w:val="28"/>
                <w:rtl/>
              </w:rPr>
              <w:t> </w:t>
            </w:r>
            <w:r w:rsidRPr="00480BA4">
              <w:rPr>
                <w:szCs w:val="28"/>
                <w:rtl/>
              </w:rPr>
              <w:t xml:space="preserve">إذا كانت المحاكم الإدارية مختصة بالنظر في الطعون في هذه القرارات. وأحالت المحكمة العليا في قرارها إلى آراء اللجنة في قضية </w:t>
            </w:r>
            <w:r w:rsidRPr="00480BA4">
              <w:rPr>
                <w:i/>
                <w:iCs/>
                <w:szCs w:val="28"/>
                <w:rtl/>
              </w:rPr>
              <w:t>ن. ب. ف. ضد إسبانيا</w:t>
            </w:r>
            <w:r w:rsidRPr="00480BA4">
              <w:rPr>
                <w:szCs w:val="28"/>
                <w:rtl/>
              </w:rPr>
              <w:t>.</w:t>
            </w:r>
          </w:p>
          <w:p w14:paraId="13EB71B2"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وتفيد الدولة الطرف بأن مركز الدراسات القانونية، داخل وزارة العدل، نظَّم في عام </w:t>
            </w:r>
            <w:r w:rsidRPr="00480BA4">
              <w:rPr>
                <w:rFonts w:ascii="Traditional Arabic"/>
                <w:szCs w:val="20"/>
                <w:rtl/>
              </w:rPr>
              <w:t>2019</w:t>
            </w:r>
            <w:r w:rsidRPr="00480BA4">
              <w:rPr>
                <w:szCs w:val="28"/>
                <w:rtl/>
              </w:rPr>
              <w:t xml:space="preserve"> سبعة أنشطة تدريبية بشأن الهجرة والاتجار بالبشر لفائدة أعضاء الجهاز القضائي. وتلقت الهيئة </w:t>
            </w:r>
            <w:r w:rsidRPr="00480BA4">
              <w:rPr>
                <w:spacing w:val="-4"/>
                <w:szCs w:val="28"/>
                <w:rtl/>
              </w:rPr>
              <w:t>المسؤولة عن دراسات الطب الشرعي أيضاً التدريب فيما يتعلق بعلم</w:t>
            </w:r>
            <w:r w:rsidRPr="00480BA4">
              <w:rPr>
                <w:szCs w:val="28"/>
                <w:rtl/>
              </w:rPr>
              <w:t xml:space="preserve"> </w:t>
            </w:r>
            <w:r w:rsidRPr="00480BA4">
              <w:rPr>
                <w:spacing w:val="-4"/>
                <w:szCs w:val="28"/>
                <w:rtl/>
              </w:rPr>
              <w:t>الطب الشرعي وحقوق الإنسان وتحديد السن. ونظمت وزارة الداخلية</w:t>
            </w:r>
            <w:r w:rsidRPr="00480BA4">
              <w:rPr>
                <w:szCs w:val="28"/>
                <w:rtl/>
              </w:rPr>
              <w:t xml:space="preserve"> </w:t>
            </w:r>
            <w:r w:rsidRPr="00480BA4">
              <w:rPr>
                <w:spacing w:val="-4"/>
                <w:szCs w:val="28"/>
                <w:rtl/>
              </w:rPr>
              <w:t>خمسة أنشطة تدريبية لفائدة أفراد قوات الأمن بشأن مسألة الأطفال</w:t>
            </w:r>
            <w:r w:rsidRPr="00480BA4">
              <w:rPr>
                <w:szCs w:val="28"/>
                <w:rtl/>
              </w:rPr>
              <w:t xml:space="preserve"> المهاجرين غير المصحوبين.</w:t>
            </w:r>
          </w:p>
          <w:p w14:paraId="4A7577EE" w14:textId="1B1EFA93"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وتقر الدولة الطرف بأن الحكومة المؤقتة متأخرة في اتخاذ التدابير الإدارية والسياسية اللازمة لتنفيذ آراء اللجنة. وفي </w:t>
            </w:r>
            <w:r w:rsidRPr="00480BA4">
              <w:rPr>
                <w:rFonts w:ascii="Traditional Arabic"/>
                <w:szCs w:val="20"/>
                <w:rtl/>
              </w:rPr>
              <w:t>3</w:t>
            </w:r>
            <w:r w:rsidRPr="00480BA4">
              <w:rPr>
                <w:szCs w:val="28"/>
                <w:rtl/>
              </w:rPr>
              <w:t xml:space="preserve"> كانون الأول/</w:t>
            </w:r>
            <w:r w:rsidR="00AA4B33" w:rsidRPr="00480BA4">
              <w:rPr>
                <w:rFonts w:hint="cs"/>
                <w:szCs w:val="28"/>
                <w:rtl/>
              </w:rPr>
              <w:t xml:space="preserve"> </w:t>
            </w:r>
            <w:r w:rsidRPr="00480BA4">
              <w:rPr>
                <w:spacing w:val="-6"/>
                <w:szCs w:val="28"/>
                <w:rtl/>
              </w:rPr>
              <w:t xml:space="preserve">ديسمبر </w:t>
            </w:r>
            <w:r w:rsidRPr="00480BA4">
              <w:rPr>
                <w:rFonts w:ascii="Traditional Arabic"/>
                <w:spacing w:val="-6"/>
                <w:szCs w:val="20"/>
                <w:rtl/>
              </w:rPr>
              <w:t>2019</w:t>
            </w:r>
            <w:r w:rsidRPr="00480BA4">
              <w:rPr>
                <w:spacing w:val="-6"/>
                <w:szCs w:val="28"/>
                <w:rtl/>
              </w:rPr>
              <w:t xml:space="preserve">، أنشئ برلمان جديد؛ وفي </w:t>
            </w:r>
            <w:r w:rsidRPr="00480BA4">
              <w:rPr>
                <w:rFonts w:ascii="Traditional Arabic"/>
                <w:spacing w:val="-6"/>
                <w:szCs w:val="20"/>
                <w:rtl/>
              </w:rPr>
              <w:t>3</w:t>
            </w:r>
            <w:r w:rsidRPr="00480BA4">
              <w:rPr>
                <w:spacing w:val="-6"/>
                <w:szCs w:val="28"/>
                <w:rtl/>
              </w:rPr>
              <w:t xml:space="preserve"> أيار/مايو، أُجريت انتخابات</w:t>
            </w:r>
            <w:r w:rsidRPr="00480BA4">
              <w:rPr>
                <w:szCs w:val="28"/>
                <w:rtl/>
              </w:rPr>
              <w:t xml:space="preserve"> إقليمية وبلدية. وبمجرد تشكيل الحكومة على جميع المستويات: (أ)</w:t>
            </w:r>
            <w:r w:rsidR="00AA4B33" w:rsidRPr="00480BA4">
              <w:rPr>
                <w:rFonts w:hint="cs"/>
                <w:szCs w:val="28"/>
                <w:rtl/>
              </w:rPr>
              <w:t> </w:t>
            </w:r>
            <w:r w:rsidRPr="00480BA4">
              <w:rPr>
                <w:szCs w:val="28"/>
                <w:rtl/>
              </w:rPr>
              <w:t xml:space="preserve">ستنسق الدولة الطرف التدابير المعيارية والإدارية ذات الصلة؛ و(ب) سيواصل الفريق العامل الرفيع المستوى ومجلس التنسيق عملهما من أجل تحديث وتحسين البروتوكول الذي ينظم إجراءات الدولة بشأن القاصرين الأجانب غير المصحوبين؛ و(ج) سيواصل مكتب المدعي العام مبادرة استشارة السلطات القنصلية للتحقق من صحة وثائق الهوية؛ و(د) سيتواصل بناء قدرات جميع الجهات الفاعلة المعنية التابعة للدولة؛ و(ه) سيجري استكشاف إمكانية اعتماد زيادة في تمويل المساعدة القانونية المجانية، بغرض إدراجها في الميزانية العامة لعام </w:t>
            </w:r>
            <w:r w:rsidRPr="00480BA4">
              <w:rPr>
                <w:rFonts w:ascii="Traditional Arabic"/>
                <w:szCs w:val="20"/>
                <w:rtl/>
              </w:rPr>
              <w:t>2020</w:t>
            </w:r>
            <w:r w:rsidRPr="00480BA4">
              <w:rPr>
                <w:rFonts w:ascii="Traditional Arabic"/>
                <w:szCs w:val="28"/>
                <w:rtl/>
              </w:rPr>
              <w:t>.</w:t>
            </w:r>
            <w:r w:rsidRPr="00480BA4">
              <w:rPr>
                <w:szCs w:val="28"/>
                <w:rtl/>
              </w:rPr>
              <w:t xml:space="preserve"> </w:t>
            </w:r>
          </w:p>
        </w:tc>
      </w:tr>
      <w:tr w:rsidR="00887F05" w:rsidRPr="00480BA4" w14:paraId="7A150A38" w14:textId="77777777" w:rsidTr="002117DE">
        <w:tc>
          <w:tcPr>
            <w:tcW w:w="2552" w:type="dxa"/>
            <w:tcBorders>
              <w:top w:val="nil"/>
            </w:tcBorders>
            <w:shd w:val="clear" w:color="auto" w:fill="auto"/>
          </w:tcPr>
          <w:p w14:paraId="27126266"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lastRenderedPageBreak/>
              <w:t>قرار اللجنة:</w:t>
            </w:r>
          </w:p>
        </w:tc>
        <w:tc>
          <w:tcPr>
            <w:tcW w:w="4818" w:type="dxa"/>
            <w:tcBorders>
              <w:top w:val="nil"/>
            </w:tcBorders>
            <w:shd w:val="clear" w:color="auto" w:fill="auto"/>
          </w:tcPr>
          <w:p w14:paraId="07559A81"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تقرر اللجنة أن تواصل حوار المتابعة وتطلب عقد اجتماع مع الدولة الطرف لمناقشة التنفيذ الفوري لآراء اللجنة.</w:t>
            </w:r>
          </w:p>
        </w:tc>
      </w:tr>
    </w:tbl>
    <w:p w14:paraId="40B12B89" w14:textId="2030BEEF" w:rsidR="00887F05" w:rsidRPr="00480BA4" w:rsidRDefault="00887F05" w:rsidP="00887F05">
      <w:pPr>
        <w:pStyle w:val="SingleTxtGA"/>
        <w:rPr>
          <w:rtl/>
        </w:rPr>
      </w:pP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887F05" w:rsidRPr="00480BA4" w14:paraId="0F951955" w14:textId="77777777" w:rsidTr="002117DE">
        <w:trPr>
          <w:tblHeader/>
        </w:trPr>
        <w:tc>
          <w:tcPr>
            <w:tcW w:w="7370" w:type="dxa"/>
            <w:gridSpan w:val="2"/>
            <w:tcBorders>
              <w:top w:val="single" w:sz="4" w:space="0" w:color="auto"/>
              <w:bottom w:val="single" w:sz="12" w:space="0" w:color="auto"/>
            </w:tcBorders>
            <w:shd w:val="clear" w:color="auto" w:fill="auto"/>
            <w:vAlign w:val="bottom"/>
          </w:tcPr>
          <w:p w14:paraId="38116D26" w14:textId="77777777" w:rsidR="00887F05" w:rsidRPr="00480BA4" w:rsidRDefault="00887F05" w:rsidP="00887F05">
            <w:pPr>
              <w:spacing w:before="60" w:after="60" w:line="300" w:lineRule="exact"/>
              <w:ind w:left="57" w:right="113"/>
              <w:textDirection w:val="tbRlV"/>
              <w:rPr>
                <w:rStyle w:val="Hyperlink"/>
                <w:rFonts w:eastAsiaTheme="majorEastAsia"/>
                <w:i/>
                <w:color w:val="auto"/>
                <w:szCs w:val="28"/>
                <w:lang w:val="ar-SA" w:eastAsia="zh-TW" w:bidi="en-GB"/>
              </w:rPr>
            </w:pPr>
            <w:r w:rsidRPr="00480BA4">
              <w:rPr>
                <w:i/>
                <w:iCs/>
                <w:szCs w:val="28"/>
                <w:rtl/>
              </w:rPr>
              <w:t>أ. ل. ضد إسبانيا</w:t>
            </w:r>
            <w:r w:rsidRPr="00480BA4">
              <w:rPr>
                <w:szCs w:val="28"/>
                <w:rtl/>
              </w:rPr>
              <w:t xml:space="preserve"> </w:t>
            </w:r>
            <w:r w:rsidRPr="00480BA4">
              <w:rPr>
                <w:rFonts w:ascii="Traditional Arabic"/>
                <w:szCs w:val="28"/>
                <w:rtl/>
              </w:rPr>
              <w:t>(</w:t>
            </w:r>
            <w:r w:rsidRPr="00480BA4">
              <w:rPr>
                <w:rFonts w:cs="Times New Roman"/>
                <w:szCs w:val="28"/>
              </w:rPr>
              <w:t>CRC/C/</w:t>
            </w:r>
            <w:r w:rsidRPr="00480BA4">
              <w:rPr>
                <w:rFonts w:cs="Times New Roman"/>
                <w:szCs w:val="20"/>
              </w:rPr>
              <w:t>81</w:t>
            </w:r>
            <w:r w:rsidRPr="00480BA4">
              <w:rPr>
                <w:rFonts w:cs="Times New Roman"/>
                <w:szCs w:val="28"/>
              </w:rPr>
              <w:t>/D/</w:t>
            </w:r>
            <w:r w:rsidRPr="00480BA4">
              <w:rPr>
                <w:rFonts w:cs="Times New Roman"/>
                <w:szCs w:val="20"/>
              </w:rPr>
              <w:t>16</w:t>
            </w:r>
            <w:r w:rsidRPr="00480BA4">
              <w:rPr>
                <w:rFonts w:cs="Times New Roman"/>
                <w:szCs w:val="28"/>
              </w:rPr>
              <w:t>/</w:t>
            </w:r>
            <w:r w:rsidRPr="00480BA4">
              <w:rPr>
                <w:rFonts w:cs="Times New Roman"/>
                <w:szCs w:val="20"/>
              </w:rPr>
              <w:t>2017</w:t>
            </w:r>
            <w:r w:rsidRPr="00480BA4">
              <w:rPr>
                <w:rFonts w:ascii="Traditional Arabic"/>
                <w:szCs w:val="28"/>
                <w:rtl/>
              </w:rPr>
              <w:t>)</w:t>
            </w:r>
          </w:p>
        </w:tc>
      </w:tr>
      <w:tr w:rsidR="00887F05" w:rsidRPr="00480BA4" w14:paraId="26B38C35" w14:textId="77777777" w:rsidTr="002117DE">
        <w:trPr>
          <w:trHeight w:hRule="exact" w:val="113"/>
          <w:tblHeader/>
        </w:trPr>
        <w:tc>
          <w:tcPr>
            <w:tcW w:w="2552" w:type="dxa"/>
            <w:tcBorders>
              <w:top w:val="single" w:sz="12" w:space="0" w:color="auto"/>
            </w:tcBorders>
            <w:shd w:val="clear" w:color="auto" w:fill="auto"/>
          </w:tcPr>
          <w:p w14:paraId="65F99324"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tcBorders>
              <w:top w:val="single" w:sz="12" w:space="0" w:color="auto"/>
            </w:tcBorders>
            <w:shd w:val="clear" w:color="auto" w:fill="auto"/>
          </w:tcPr>
          <w:p w14:paraId="328EADF0" w14:textId="77777777" w:rsidR="00887F05" w:rsidRPr="00480BA4" w:rsidRDefault="00887F05" w:rsidP="00887F05">
            <w:pPr>
              <w:spacing w:before="60" w:after="60" w:line="300" w:lineRule="exact"/>
              <w:ind w:left="57" w:right="113"/>
              <w:rPr>
                <w:rStyle w:val="Hyperlink"/>
                <w:rFonts w:eastAsiaTheme="majorEastAsia"/>
                <w:color w:val="auto"/>
                <w:szCs w:val="28"/>
              </w:rPr>
            </w:pPr>
          </w:p>
        </w:tc>
      </w:tr>
      <w:tr w:rsidR="00887F05" w:rsidRPr="00480BA4" w14:paraId="4BA55509" w14:textId="77777777" w:rsidTr="002117DE">
        <w:tc>
          <w:tcPr>
            <w:tcW w:w="2552" w:type="dxa"/>
            <w:shd w:val="clear" w:color="auto" w:fill="auto"/>
          </w:tcPr>
          <w:p w14:paraId="511693B0"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تاريخ اعتماد الآراء:</w:t>
            </w:r>
          </w:p>
        </w:tc>
        <w:tc>
          <w:tcPr>
            <w:tcW w:w="4818" w:type="dxa"/>
            <w:shd w:val="clear" w:color="auto" w:fill="auto"/>
          </w:tcPr>
          <w:p w14:paraId="6A2C96E2"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rFonts w:ascii="Traditional Arabic"/>
                <w:szCs w:val="20"/>
                <w:rtl/>
              </w:rPr>
              <w:t>31</w:t>
            </w:r>
            <w:r w:rsidRPr="00480BA4">
              <w:rPr>
                <w:szCs w:val="28"/>
                <w:rtl/>
              </w:rPr>
              <w:t xml:space="preserve"> أيار/مايو </w:t>
            </w:r>
            <w:r w:rsidRPr="00480BA4">
              <w:rPr>
                <w:rFonts w:ascii="Traditional Arabic"/>
                <w:szCs w:val="20"/>
                <w:rtl/>
              </w:rPr>
              <w:t>2019</w:t>
            </w:r>
          </w:p>
        </w:tc>
      </w:tr>
      <w:tr w:rsidR="00887F05" w:rsidRPr="00480BA4" w14:paraId="7CE49574" w14:textId="77777777" w:rsidTr="002117DE">
        <w:tc>
          <w:tcPr>
            <w:tcW w:w="2552" w:type="dxa"/>
            <w:shd w:val="clear" w:color="auto" w:fill="auto"/>
          </w:tcPr>
          <w:p w14:paraId="20BC1A8E"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eastAsia="zh-TW" w:bidi="en-GB"/>
              </w:rPr>
            </w:pPr>
            <w:r w:rsidRPr="00480BA4">
              <w:rPr>
                <w:szCs w:val="28"/>
                <w:rtl/>
              </w:rPr>
              <w:t>الموضوع:</w:t>
            </w:r>
          </w:p>
        </w:tc>
        <w:tc>
          <w:tcPr>
            <w:tcW w:w="4818" w:type="dxa"/>
            <w:shd w:val="clear" w:color="auto" w:fill="auto"/>
          </w:tcPr>
          <w:p w14:paraId="6B537CB8"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تحديد سن طفل مهاجر غير مصحوب باستخدام طريقة </w:t>
            </w:r>
            <w:proofErr w:type="spellStart"/>
            <w:r w:rsidRPr="00480BA4">
              <w:rPr>
                <w:szCs w:val="28"/>
                <w:rtl/>
              </w:rPr>
              <w:t>غروليتش</w:t>
            </w:r>
            <w:proofErr w:type="spellEnd"/>
            <w:r w:rsidRPr="00480BA4">
              <w:rPr>
                <w:szCs w:val="28"/>
                <w:rtl/>
              </w:rPr>
              <w:t xml:space="preserve"> </w:t>
            </w:r>
            <w:proofErr w:type="spellStart"/>
            <w:r w:rsidRPr="00480BA4">
              <w:rPr>
                <w:szCs w:val="28"/>
                <w:rtl/>
              </w:rPr>
              <w:t>وبايل</w:t>
            </w:r>
            <w:proofErr w:type="spellEnd"/>
            <w:r w:rsidRPr="00480BA4">
              <w:rPr>
                <w:szCs w:val="28"/>
                <w:rtl/>
              </w:rPr>
              <w:t xml:space="preserve">. </w:t>
            </w:r>
          </w:p>
        </w:tc>
      </w:tr>
      <w:tr w:rsidR="00887F05" w:rsidRPr="00480BA4" w14:paraId="51EAE6A4" w14:textId="77777777" w:rsidTr="002117DE">
        <w:tc>
          <w:tcPr>
            <w:tcW w:w="2552" w:type="dxa"/>
            <w:shd w:val="clear" w:color="auto" w:fill="auto"/>
          </w:tcPr>
          <w:p w14:paraId="684671A8"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المواد المنتهكة:</w:t>
            </w:r>
          </w:p>
        </w:tc>
        <w:tc>
          <w:tcPr>
            <w:tcW w:w="4818" w:type="dxa"/>
            <w:shd w:val="clear" w:color="auto" w:fill="auto"/>
          </w:tcPr>
          <w:p w14:paraId="7183373C"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rFonts w:ascii="Traditional Arabic"/>
                <w:szCs w:val="20"/>
                <w:rtl/>
              </w:rPr>
              <w:t>3</w:t>
            </w:r>
            <w:r w:rsidRPr="00480BA4">
              <w:rPr>
                <w:szCs w:val="28"/>
                <w:rtl/>
              </w:rPr>
              <w:t>، و</w:t>
            </w:r>
            <w:r w:rsidRPr="00480BA4">
              <w:rPr>
                <w:rFonts w:ascii="Traditional Arabic"/>
                <w:szCs w:val="20"/>
                <w:rtl/>
              </w:rPr>
              <w:t>8</w:t>
            </w:r>
            <w:r w:rsidRPr="00480BA4">
              <w:rPr>
                <w:szCs w:val="28"/>
                <w:rtl/>
              </w:rPr>
              <w:t>، و</w:t>
            </w:r>
            <w:r w:rsidRPr="00480BA4">
              <w:rPr>
                <w:rFonts w:ascii="Traditional Arabic"/>
                <w:szCs w:val="20"/>
                <w:rtl/>
              </w:rPr>
              <w:t>12</w:t>
            </w:r>
            <w:r w:rsidRPr="00480BA4">
              <w:rPr>
                <w:szCs w:val="28"/>
                <w:rtl/>
              </w:rPr>
              <w:t>، و</w:t>
            </w:r>
            <w:r w:rsidRPr="00480BA4">
              <w:rPr>
                <w:rFonts w:ascii="Traditional Arabic"/>
                <w:szCs w:val="20"/>
                <w:rtl/>
              </w:rPr>
              <w:t>18</w:t>
            </w:r>
            <w:r w:rsidRPr="00480BA4">
              <w:rPr>
                <w:rFonts w:ascii="Traditional Arabic"/>
                <w:szCs w:val="28"/>
                <w:rtl/>
              </w:rPr>
              <w:t>(</w:t>
            </w:r>
            <w:r w:rsidRPr="00480BA4">
              <w:rPr>
                <w:rFonts w:ascii="Traditional Arabic"/>
                <w:szCs w:val="20"/>
                <w:rtl/>
              </w:rPr>
              <w:t>2</w:t>
            </w:r>
            <w:r w:rsidRPr="00480BA4">
              <w:rPr>
                <w:rFonts w:ascii="Traditional Arabic"/>
                <w:szCs w:val="28"/>
                <w:rtl/>
              </w:rPr>
              <w:t>)</w:t>
            </w:r>
            <w:r w:rsidRPr="00480BA4">
              <w:rPr>
                <w:szCs w:val="28"/>
                <w:rtl/>
              </w:rPr>
              <w:t>، و</w:t>
            </w:r>
            <w:r w:rsidRPr="00480BA4">
              <w:rPr>
                <w:rFonts w:ascii="Traditional Arabic"/>
                <w:szCs w:val="20"/>
                <w:rtl/>
              </w:rPr>
              <w:t>20</w:t>
            </w:r>
            <w:r w:rsidRPr="00480BA4">
              <w:rPr>
                <w:szCs w:val="28"/>
                <w:rtl/>
              </w:rPr>
              <w:t>، و</w:t>
            </w:r>
            <w:r w:rsidRPr="00480BA4">
              <w:rPr>
                <w:rFonts w:ascii="Traditional Arabic"/>
                <w:szCs w:val="20"/>
                <w:rtl/>
              </w:rPr>
              <w:t>27</w:t>
            </w:r>
            <w:r w:rsidRPr="00480BA4">
              <w:rPr>
                <w:szCs w:val="28"/>
                <w:rtl/>
              </w:rPr>
              <w:t>، و</w:t>
            </w:r>
            <w:r w:rsidRPr="00480BA4">
              <w:rPr>
                <w:rFonts w:ascii="Traditional Arabic"/>
                <w:szCs w:val="20"/>
                <w:rtl/>
              </w:rPr>
              <w:t>29</w:t>
            </w:r>
            <w:r w:rsidRPr="00480BA4">
              <w:rPr>
                <w:szCs w:val="28"/>
                <w:rtl/>
              </w:rPr>
              <w:t xml:space="preserve"> من الاتفاقية</w:t>
            </w:r>
          </w:p>
        </w:tc>
      </w:tr>
      <w:tr w:rsidR="00887F05" w:rsidRPr="00480BA4" w14:paraId="71D02AB3" w14:textId="77777777" w:rsidTr="002117DE">
        <w:tc>
          <w:tcPr>
            <w:tcW w:w="2552" w:type="dxa"/>
            <w:shd w:val="clear" w:color="auto" w:fill="auto"/>
          </w:tcPr>
          <w:p w14:paraId="3B9F0682"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سبل الانتصاف:</w:t>
            </w:r>
          </w:p>
        </w:tc>
        <w:tc>
          <w:tcPr>
            <w:tcW w:w="4818" w:type="dxa"/>
            <w:shd w:val="clear" w:color="auto" w:fill="auto"/>
          </w:tcPr>
          <w:p w14:paraId="5EC97667"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 xml:space="preserve">ينبغي للدولة الطرف أن تقدم لصاحب البلاغ تعويضاً ملائماً. </w:t>
            </w:r>
            <w:r w:rsidRPr="00480BA4">
              <w:rPr>
                <w:spacing w:val="-4"/>
                <w:szCs w:val="28"/>
                <w:rtl/>
              </w:rPr>
              <w:t>والدولة الطرف ملزمة أيضاً بمنع حدوث انتهاكات مماثلة في المستقبل، بكفالة تنفيذ جميع إجراءات تحديد سن الأطفال المحتملين</w:t>
            </w:r>
            <w:r w:rsidRPr="00480BA4">
              <w:rPr>
                <w:szCs w:val="28"/>
                <w:rtl/>
              </w:rPr>
              <w:t xml:space="preserve"> غير المصحوبين على نحو يتوافق مع الاتفاقية، ولا سيما منحهم إمكانية الاستعانة خلالها بممثل قانوني مؤهل، بالمجان وعلى وجه السرعة. </w:t>
            </w:r>
            <w:r w:rsidRPr="00480BA4">
              <w:rPr>
                <w:spacing w:val="-4"/>
                <w:szCs w:val="28"/>
                <w:rtl/>
              </w:rPr>
              <w:t>وتطلب اللجنة إلى الدولة الطرف أن تنشر هذه الآراء وتعممها على</w:t>
            </w:r>
            <w:r w:rsidRPr="00480BA4">
              <w:rPr>
                <w:szCs w:val="28"/>
                <w:rtl/>
              </w:rPr>
              <w:t xml:space="preserve"> نطاق واسع.</w:t>
            </w:r>
          </w:p>
        </w:tc>
      </w:tr>
      <w:tr w:rsidR="00887F05" w:rsidRPr="00480BA4" w14:paraId="3905F938" w14:textId="77777777" w:rsidTr="002117DE">
        <w:tc>
          <w:tcPr>
            <w:tcW w:w="2552" w:type="dxa"/>
            <w:tcBorders>
              <w:bottom w:val="nil"/>
            </w:tcBorders>
            <w:shd w:val="clear" w:color="auto" w:fill="auto"/>
          </w:tcPr>
          <w:p w14:paraId="5A031AB3"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lastRenderedPageBreak/>
              <w:t>رد الدولة الطرف:</w:t>
            </w:r>
          </w:p>
        </w:tc>
        <w:tc>
          <w:tcPr>
            <w:tcW w:w="4818" w:type="dxa"/>
            <w:tcBorders>
              <w:bottom w:val="nil"/>
            </w:tcBorders>
            <w:shd w:val="clear" w:color="auto" w:fill="auto"/>
          </w:tcPr>
          <w:p w14:paraId="442420AA"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rtl/>
                <w:lang w:eastAsia="zh-TW"/>
              </w:rPr>
            </w:pPr>
            <w:r w:rsidRPr="00480BA4">
              <w:rPr>
                <w:szCs w:val="28"/>
                <w:rtl/>
              </w:rPr>
              <w:t xml:space="preserve">انظر رد الدولة الطرف المؤرخ </w:t>
            </w:r>
            <w:r w:rsidRPr="00480BA4">
              <w:rPr>
                <w:rFonts w:ascii="Traditional Arabic"/>
                <w:szCs w:val="20"/>
                <w:rtl/>
              </w:rPr>
              <w:t>23</w:t>
            </w:r>
            <w:r w:rsidRPr="00480BA4">
              <w:rPr>
                <w:szCs w:val="28"/>
                <w:rtl/>
              </w:rPr>
              <w:t xml:space="preserve"> كانون الأول/ديسمبر </w:t>
            </w:r>
            <w:r w:rsidRPr="00480BA4">
              <w:rPr>
                <w:rFonts w:ascii="Traditional Arabic"/>
                <w:szCs w:val="20"/>
                <w:rtl/>
              </w:rPr>
              <w:t>2019</w:t>
            </w:r>
            <w:r w:rsidRPr="00480BA4">
              <w:rPr>
                <w:szCs w:val="28"/>
                <w:rtl/>
              </w:rPr>
              <w:t xml:space="preserve"> الوارد أعلاه بشأن قضية </w:t>
            </w:r>
            <w:r w:rsidRPr="00480BA4">
              <w:rPr>
                <w:i/>
                <w:iCs/>
                <w:szCs w:val="28"/>
                <w:rtl/>
              </w:rPr>
              <w:t>ن. ب. ف. ضد إسبانيا.</w:t>
            </w:r>
          </w:p>
        </w:tc>
      </w:tr>
      <w:tr w:rsidR="00887F05" w:rsidRPr="00480BA4" w14:paraId="1BF1D649" w14:textId="77777777" w:rsidTr="002117DE">
        <w:tc>
          <w:tcPr>
            <w:tcW w:w="2552" w:type="dxa"/>
            <w:tcBorders>
              <w:top w:val="nil"/>
              <w:bottom w:val="nil"/>
            </w:tcBorders>
            <w:shd w:val="clear" w:color="auto" w:fill="auto"/>
          </w:tcPr>
          <w:p w14:paraId="35369C8E"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تعليقات صاحب البلاغ:</w:t>
            </w:r>
          </w:p>
        </w:tc>
        <w:tc>
          <w:tcPr>
            <w:tcW w:w="4818" w:type="dxa"/>
            <w:tcBorders>
              <w:top w:val="nil"/>
              <w:bottom w:val="nil"/>
            </w:tcBorders>
            <w:shd w:val="clear" w:color="auto" w:fill="auto"/>
          </w:tcPr>
          <w:p w14:paraId="0B20CACE" w14:textId="77777777" w:rsidR="00887F05" w:rsidRPr="00480BA4" w:rsidRDefault="00887F05" w:rsidP="0057045D">
            <w:pPr>
              <w:spacing w:before="60" w:after="60" w:line="320" w:lineRule="exact"/>
              <w:ind w:left="57" w:right="113"/>
              <w:textDirection w:val="tbRlV"/>
              <w:rPr>
                <w:spacing w:val="4"/>
                <w:szCs w:val="28"/>
                <w:rtl/>
              </w:rPr>
            </w:pPr>
            <w:r w:rsidRPr="00480BA4">
              <w:rPr>
                <w:spacing w:val="4"/>
                <w:szCs w:val="28"/>
                <w:rtl/>
              </w:rPr>
              <w:t xml:space="preserve">يشير صاحب البلاغ، في تعليقاته المؤرخة </w:t>
            </w:r>
            <w:r w:rsidRPr="00480BA4">
              <w:rPr>
                <w:rFonts w:ascii="Traditional Arabic"/>
                <w:spacing w:val="4"/>
                <w:szCs w:val="20"/>
                <w:rtl/>
              </w:rPr>
              <w:t>6</w:t>
            </w:r>
            <w:r w:rsidRPr="00480BA4">
              <w:rPr>
                <w:spacing w:val="4"/>
                <w:szCs w:val="28"/>
                <w:rtl/>
              </w:rPr>
              <w:t xml:space="preserve"> آذار/مارس </w:t>
            </w:r>
            <w:r w:rsidRPr="00480BA4">
              <w:rPr>
                <w:rFonts w:ascii="Traditional Arabic"/>
                <w:spacing w:val="4"/>
                <w:szCs w:val="20"/>
                <w:rtl/>
              </w:rPr>
              <w:t>2020</w:t>
            </w:r>
            <w:r w:rsidRPr="00480BA4">
              <w:rPr>
                <w:spacing w:val="4"/>
                <w:szCs w:val="28"/>
                <w:rtl/>
              </w:rPr>
              <w:t xml:space="preserve">، إلى أنه طلب إلى المديرية الفرعية للتعاون القانوني الدولي، في </w:t>
            </w:r>
            <w:r w:rsidRPr="00480BA4">
              <w:rPr>
                <w:rFonts w:ascii="Traditional Arabic"/>
                <w:spacing w:val="4"/>
                <w:szCs w:val="20"/>
                <w:rtl/>
              </w:rPr>
              <w:t>3</w:t>
            </w:r>
            <w:r w:rsidRPr="00480BA4">
              <w:rPr>
                <w:spacing w:val="4"/>
                <w:szCs w:val="28"/>
                <w:rtl/>
              </w:rPr>
              <w:t xml:space="preserve"> كانون الأول/ديسمبر </w:t>
            </w:r>
            <w:r w:rsidRPr="00480BA4">
              <w:rPr>
                <w:rFonts w:ascii="Traditional Arabic"/>
                <w:spacing w:val="4"/>
                <w:szCs w:val="20"/>
                <w:rtl/>
              </w:rPr>
              <w:t>2019</w:t>
            </w:r>
            <w:r w:rsidRPr="00480BA4">
              <w:rPr>
                <w:spacing w:val="4"/>
                <w:szCs w:val="28"/>
                <w:rtl/>
              </w:rPr>
              <w:t xml:space="preserve">، أن تفتح ملفاً لدراسة آراء اللجنة </w:t>
            </w:r>
            <w:r w:rsidRPr="00480BA4">
              <w:rPr>
                <w:spacing w:val="-2"/>
                <w:szCs w:val="28"/>
                <w:rtl/>
              </w:rPr>
              <w:t>وتنفيذها. ويشير صاحب البلاغ إلى أن تقرير المدعي العام للدولة</w:t>
            </w:r>
            <w:r w:rsidRPr="00480BA4">
              <w:rPr>
                <w:spacing w:val="4"/>
                <w:szCs w:val="28"/>
                <w:rtl/>
              </w:rPr>
              <w:t xml:space="preserve"> المؤرخ </w:t>
            </w:r>
            <w:r w:rsidRPr="00480BA4">
              <w:rPr>
                <w:rFonts w:ascii="Traditional Arabic"/>
                <w:spacing w:val="4"/>
                <w:szCs w:val="20"/>
                <w:rtl/>
              </w:rPr>
              <w:t>28</w:t>
            </w:r>
            <w:r w:rsidRPr="00480BA4">
              <w:rPr>
                <w:spacing w:val="4"/>
                <w:szCs w:val="28"/>
                <w:rtl/>
              </w:rPr>
              <w:t xml:space="preserve"> حزيران/</w:t>
            </w:r>
            <w:proofErr w:type="gramStart"/>
            <w:r w:rsidRPr="00480BA4">
              <w:rPr>
                <w:spacing w:val="4"/>
                <w:szCs w:val="28"/>
                <w:rtl/>
              </w:rPr>
              <w:t>يونيه</w:t>
            </w:r>
            <w:proofErr w:type="gramEnd"/>
            <w:r w:rsidRPr="00480BA4">
              <w:rPr>
                <w:spacing w:val="4"/>
                <w:szCs w:val="28"/>
                <w:rtl/>
              </w:rPr>
              <w:t xml:space="preserve"> </w:t>
            </w:r>
            <w:r w:rsidRPr="00480BA4">
              <w:rPr>
                <w:rFonts w:ascii="Traditional Arabic"/>
                <w:spacing w:val="4"/>
                <w:szCs w:val="20"/>
                <w:rtl/>
              </w:rPr>
              <w:t>2019</w:t>
            </w:r>
            <w:r w:rsidRPr="00480BA4">
              <w:rPr>
                <w:spacing w:val="4"/>
                <w:szCs w:val="28"/>
                <w:rtl/>
              </w:rPr>
              <w:t xml:space="preserve"> لم يُعمم، ولا يعرف بالتالي كيف تدعي الدولة الطرف تنفيذ الآراء. ويضيف أن رد الدولة </w:t>
            </w:r>
            <w:r w:rsidRPr="00480BA4">
              <w:rPr>
                <w:spacing w:val="-2"/>
                <w:szCs w:val="28"/>
                <w:rtl/>
              </w:rPr>
              <w:t>الطرف يشير إلى تدابير عامة ولكنه لا يتضمن أي معلومات عن</w:t>
            </w:r>
            <w:r w:rsidRPr="00480BA4">
              <w:rPr>
                <w:spacing w:val="4"/>
                <w:szCs w:val="28"/>
                <w:rtl/>
              </w:rPr>
              <w:t xml:space="preserve"> </w:t>
            </w:r>
            <w:r w:rsidRPr="00480BA4">
              <w:rPr>
                <w:spacing w:val="-2"/>
                <w:szCs w:val="28"/>
                <w:rtl/>
              </w:rPr>
              <w:t xml:space="preserve">التدابير المتخذة لمنحه تعويضات محددة. وقد علم </w:t>
            </w:r>
            <w:r w:rsidRPr="00480BA4">
              <w:rPr>
                <w:szCs w:val="28"/>
                <w:rtl/>
              </w:rPr>
              <w:t>صاحب البلاغ أن</w:t>
            </w:r>
            <w:r w:rsidRPr="00480BA4">
              <w:rPr>
                <w:spacing w:val="-2"/>
                <w:szCs w:val="28"/>
                <w:rtl/>
              </w:rPr>
              <w:t xml:space="preserve"> وزارة الصحة تعمل على وضع نموذج جديد لمساعدة الأطفال</w:t>
            </w:r>
            <w:r w:rsidRPr="00480BA4">
              <w:rPr>
                <w:spacing w:val="4"/>
                <w:szCs w:val="28"/>
                <w:rtl/>
              </w:rPr>
              <w:t xml:space="preserve"> المهاجرين غير المصحوبين، ولكنه لم ينفذ بعد.</w:t>
            </w:r>
          </w:p>
          <w:p w14:paraId="041104CD" w14:textId="77777777" w:rsidR="00887F05" w:rsidRPr="00480BA4" w:rsidRDefault="00887F05" w:rsidP="0057045D">
            <w:pPr>
              <w:spacing w:before="60" w:after="60" w:line="320" w:lineRule="exact"/>
              <w:ind w:left="57" w:right="113"/>
              <w:textDirection w:val="tbRlV"/>
              <w:rPr>
                <w:rStyle w:val="Hyperlink"/>
                <w:rFonts w:eastAsiaTheme="majorEastAsia"/>
                <w:color w:val="auto"/>
                <w:spacing w:val="4"/>
                <w:szCs w:val="28"/>
                <w:lang w:val="ar-SA" w:eastAsia="zh-TW" w:bidi="en-GB"/>
              </w:rPr>
            </w:pPr>
            <w:r w:rsidRPr="00480BA4">
              <w:rPr>
                <w:spacing w:val="4"/>
                <w:szCs w:val="28"/>
                <w:rtl/>
              </w:rPr>
              <w:t>ويفيد صاحب البلاغ بأن مكتب المدعي العام لا يزال يتجاهل الوثائق التي يقدمها الأطفال غير المصحوبين، مثل شواهد الميلاد، وفي بعض الحالات، حتى جوازات السفر التي يعتبرها غير موثوقة من دون استشارة القنصليات أو السفارات المعنية. وتُجرى الاختبارات الطبية ذاتها، من دون أي اختبار نفسي ومن دون تضمين النتائج هامش الخطأ في السن. ويقبل مكتب المدعي العام هذه التقارير من دون التشكيك في صحتها. وباختصار، لا تزال السلطات الوطنية تعمل من دون تفسير الشك لصالح الأطفال المعنيين، أو افتراض أنهم قاصرون أو مراعاة مصالحهم الفضلى. وعندما يقدِّم طفل دعوى قضائية لطلب تدابير الحماية المؤقتة، يعارضها مكتب المدعي العام، وترفضها المحاكم.</w:t>
            </w:r>
          </w:p>
        </w:tc>
      </w:tr>
      <w:tr w:rsidR="00887F05" w:rsidRPr="00480BA4" w14:paraId="28B10931" w14:textId="77777777" w:rsidTr="002117DE">
        <w:tc>
          <w:tcPr>
            <w:tcW w:w="2552" w:type="dxa"/>
            <w:tcBorders>
              <w:top w:val="nil"/>
              <w:bottom w:val="nil"/>
            </w:tcBorders>
            <w:shd w:val="clear" w:color="auto" w:fill="auto"/>
          </w:tcPr>
          <w:p w14:paraId="27B66FA2"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tcBorders>
              <w:top w:val="nil"/>
              <w:bottom w:val="nil"/>
            </w:tcBorders>
            <w:shd w:val="clear" w:color="auto" w:fill="auto"/>
          </w:tcPr>
          <w:p w14:paraId="1CE56DC6" w14:textId="44473D54" w:rsidR="00887F05" w:rsidRPr="00480BA4" w:rsidRDefault="00887F05" w:rsidP="0057045D">
            <w:pPr>
              <w:spacing w:before="60" w:after="60" w:line="320" w:lineRule="exact"/>
              <w:ind w:left="57" w:right="113"/>
              <w:textDirection w:val="tbRlV"/>
              <w:rPr>
                <w:rStyle w:val="Hyperlink"/>
                <w:rFonts w:eastAsiaTheme="majorEastAsia"/>
                <w:color w:val="auto"/>
                <w:spacing w:val="4"/>
                <w:szCs w:val="28"/>
                <w:lang w:val="ar-SA" w:eastAsia="zh-TW" w:bidi="en-GB"/>
              </w:rPr>
            </w:pPr>
            <w:r w:rsidRPr="00480BA4">
              <w:rPr>
                <w:spacing w:val="4"/>
                <w:szCs w:val="28"/>
                <w:rtl/>
              </w:rPr>
              <w:t>وفيما يتعلق بإمكانية الطعن في قرارات تحديد السن، اعترفت الدولة الطرف مراراً بأن هذه القرارات غير قابلة للطعن، ولا</w:t>
            </w:r>
            <w:r w:rsidR="0057045D" w:rsidRPr="00480BA4">
              <w:rPr>
                <w:rFonts w:hint="cs"/>
                <w:spacing w:val="4"/>
                <w:szCs w:val="28"/>
                <w:rtl/>
              </w:rPr>
              <w:t> </w:t>
            </w:r>
            <w:r w:rsidRPr="00480BA4">
              <w:rPr>
                <w:spacing w:val="4"/>
                <w:szCs w:val="28"/>
                <w:rtl/>
              </w:rPr>
              <w:t>تزال هذه الممارسة ساريةً. وقد رفضت المحكمة الدستورية الإسبانية مؤخراً عدة طلبات للحماية الدستورية، ادعى فيها الضحايا انتهاك حقهم في اللجوء إلى القضاء بسبب عدم جواز الطعن قضائياً في قرارات تحديد السن. ولم تبت المحكمة العليا بعد فيما إذا كان يجوز الطعن في هذه القرارات، ولم تحدد الهيئة القضائية المختصة، إن كان الأمر كذلك.</w:t>
            </w:r>
          </w:p>
        </w:tc>
      </w:tr>
      <w:tr w:rsidR="00887F05" w:rsidRPr="00480BA4" w14:paraId="6431830D" w14:textId="77777777" w:rsidTr="002117DE">
        <w:tc>
          <w:tcPr>
            <w:tcW w:w="2552" w:type="dxa"/>
            <w:tcBorders>
              <w:top w:val="nil"/>
            </w:tcBorders>
            <w:shd w:val="clear" w:color="auto" w:fill="auto"/>
          </w:tcPr>
          <w:p w14:paraId="2ABA627C"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قرار اللجنة:</w:t>
            </w:r>
          </w:p>
        </w:tc>
        <w:tc>
          <w:tcPr>
            <w:tcW w:w="4818" w:type="dxa"/>
            <w:tcBorders>
              <w:top w:val="nil"/>
            </w:tcBorders>
            <w:shd w:val="clear" w:color="auto" w:fill="auto"/>
          </w:tcPr>
          <w:p w14:paraId="4B61060A" w14:textId="77777777" w:rsidR="00887F05" w:rsidRPr="00480BA4" w:rsidRDefault="00887F05" w:rsidP="0057045D">
            <w:pPr>
              <w:spacing w:before="60" w:after="60" w:line="320" w:lineRule="exact"/>
              <w:ind w:left="57" w:right="113"/>
              <w:textDirection w:val="tbRlV"/>
              <w:rPr>
                <w:rStyle w:val="Hyperlink"/>
                <w:rFonts w:eastAsiaTheme="majorEastAsia"/>
                <w:color w:val="auto"/>
                <w:szCs w:val="28"/>
                <w:lang w:val="ar-SA" w:eastAsia="zh-TW" w:bidi="en-GB"/>
              </w:rPr>
            </w:pPr>
            <w:r w:rsidRPr="00480BA4">
              <w:rPr>
                <w:szCs w:val="28"/>
                <w:rtl/>
              </w:rPr>
              <w:t>تقرر اللجنة أن تواصل حوار المتابعة وأن تطلب عقد اجتماع مع الدولة الطرف لمناقشة التنفيذ الفوري لآراء اللجنة.</w:t>
            </w:r>
          </w:p>
        </w:tc>
      </w:tr>
    </w:tbl>
    <w:p w14:paraId="0919A667" w14:textId="5D095AC9" w:rsidR="0057045D" w:rsidRPr="00480BA4" w:rsidRDefault="0057045D" w:rsidP="00887F05">
      <w:pPr>
        <w:pStyle w:val="SingleTxtGA"/>
        <w:rPr>
          <w:rtl/>
        </w:rPr>
      </w:pPr>
    </w:p>
    <w:p w14:paraId="452950B0" w14:textId="77777777" w:rsidR="00887F05" w:rsidRPr="00480BA4" w:rsidRDefault="0057045D" w:rsidP="0057045D">
      <w:pPr>
        <w:pStyle w:val="SingleTxtGA"/>
        <w:spacing w:after="0" w:line="140" w:lineRule="exact"/>
        <w:rPr>
          <w:rFonts w:hint="cs"/>
          <w:rtl/>
        </w:rPr>
      </w:pPr>
      <w:r w:rsidRPr="00480BA4">
        <w:rPr>
          <w:rtl/>
        </w:rPr>
        <w:br w:type="page"/>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887F05" w:rsidRPr="00480BA4" w14:paraId="56D3F4B6" w14:textId="77777777" w:rsidTr="002117DE">
        <w:trPr>
          <w:tblHeader/>
        </w:trPr>
        <w:tc>
          <w:tcPr>
            <w:tcW w:w="7370" w:type="dxa"/>
            <w:gridSpan w:val="2"/>
            <w:tcBorders>
              <w:top w:val="single" w:sz="4" w:space="0" w:color="auto"/>
              <w:bottom w:val="single" w:sz="12" w:space="0" w:color="auto"/>
            </w:tcBorders>
            <w:shd w:val="clear" w:color="auto" w:fill="auto"/>
            <w:vAlign w:val="bottom"/>
          </w:tcPr>
          <w:p w14:paraId="0F1FED01" w14:textId="77777777" w:rsidR="00887F05" w:rsidRPr="00480BA4" w:rsidRDefault="00887F05" w:rsidP="00887F05">
            <w:pPr>
              <w:spacing w:before="60" w:after="60" w:line="300" w:lineRule="exact"/>
              <w:ind w:left="57" w:right="113"/>
              <w:textDirection w:val="tbRlV"/>
              <w:rPr>
                <w:rStyle w:val="Hyperlink"/>
                <w:rFonts w:eastAsiaTheme="majorEastAsia"/>
                <w:i/>
                <w:color w:val="auto"/>
                <w:szCs w:val="28"/>
                <w:lang w:val="ar-SA" w:eastAsia="zh-TW" w:bidi="en-GB"/>
              </w:rPr>
            </w:pPr>
            <w:r w:rsidRPr="00480BA4">
              <w:rPr>
                <w:i/>
                <w:iCs/>
                <w:szCs w:val="28"/>
                <w:rtl/>
              </w:rPr>
              <w:t>أ. ل. ضد إسبانيا</w:t>
            </w:r>
            <w:r w:rsidRPr="00480BA4">
              <w:rPr>
                <w:szCs w:val="28"/>
                <w:rtl/>
              </w:rPr>
              <w:t xml:space="preserve"> </w:t>
            </w:r>
            <w:r w:rsidRPr="00480BA4">
              <w:rPr>
                <w:rFonts w:ascii="Traditional Arabic"/>
                <w:szCs w:val="28"/>
                <w:rtl/>
              </w:rPr>
              <w:t>(</w:t>
            </w:r>
            <w:r w:rsidRPr="00480BA4">
              <w:rPr>
                <w:rFonts w:cs="Times New Roman"/>
                <w:szCs w:val="28"/>
              </w:rPr>
              <w:t>CRC/C/</w:t>
            </w:r>
            <w:r w:rsidRPr="00480BA4">
              <w:rPr>
                <w:rFonts w:cs="Times New Roman"/>
                <w:szCs w:val="20"/>
              </w:rPr>
              <w:t>81</w:t>
            </w:r>
            <w:r w:rsidRPr="00480BA4">
              <w:rPr>
                <w:rFonts w:cs="Times New Roman"/>
                <w:szCs w:val="28"/>
              </w:rPr>
              <w:t>/D/</w:t>
            </w:r>
            <w:r w:rsidRPr="00480BA4">
              <w:rPr>
                <w:rFonts w:cs="Times New Roman"/>
                <w:szCs w:val="20"/>
              </w:rPr>
              <w:t>16</w:t>
            </w:r>
            <w:r w:rsidRPr="00480BA4">
              <w:rPr>
                <w:rFonts w:cs="Times New Roman"/>
                <w:szCs w:val="28"/>
              </w:rPr>
              <w:t>/</w:t>
            </w:r>
            <w:r w:rsidRPr="00480BA4">
              <w:rPr>
                <w:rFonts w:cs="Times New Roman"/>
                <w:szCs w:val="20"/>
              </w:rPr>
              <w:t>2017</w:t>
            </w:r>
            <w:r w:rsidRPr="00480BA4">
              <w:rPr>
                <w:rFonts w:ascii="Traditional Arabic"/>
                <w:szCs w:val="28"/>
                <w:rtl/>
              </w:rPr>
              <w:t>)</w:t>
            </w:r>
          </w:p>
        </w:tc>
      </w:tr>
      <w:tr w:rsidR="00887F05" w:rsidRPr="00480BA4" w14:paraId="2BB1C6DF" w14:textId="77777777" w:rsidTr="002117DE">
        <w:trPr>
          <w:trHeight w:hRule="exact" w:val="113"/>
          <w:tblHeader/>
        </w:trPr>
        <w:tc>
          <w:tcPr>
            <w:tcW w:w="2552" w:type="dxa"/>
            <w:tcBorders>
              <w:top w:val="single" w:sz="12" w:space="0" w:color="auto"/>
            </w:tcBorders>
            <w:shd w:val="clear" w:color="auto" w:fill="auto"/>
          </w:tcPr>
          <w:p w14:paraId="1C5FD08C" w14:textId="77777777" w:rsidR="00887F05" w:rsidRPr="00480BA4" w:rsidRDefault="00887F05" w:rsidP="00887F05">
            <w:pPr>
              <w:spacing w:before="60" w:after="60" w:line="300" w:lineRule="exact"/>
              <w:ind w:left="57" w:right="113"/>
              <w:rPr>
                <w:rStyle w:val="Hyperlink"/>
                <w:rFonts w:eastAsiaTheme="majorEastAsia"/>
                <w:color w:val="auto"/>
                <w:szCs w:val="28"/>
              </w:rPr>
            </w:pPr>
          </w:p>
        </w:tc>
        <w:tc>
          <w:tcPr>
            <w:tcW w:w="4818" w:type="dxa"/>
            <w:tcBorders>
              <w:top w:val="single" w:sz="12" w:space="0" w:color="auto"/>
            </w:tcBorders>
            <w:shd w:val="clear" w:color="auto" w:fill="auto"/>
          </w:tcPr>
          <w:p w14:paraId="22D049F3" w14:textId="77777777" w:rsidR="00887F05" w:rsidRPr="00480BA4" w:rsidRDefault="00887F05" w:rsidP="00887F05">
            <w:pPr>
              <w:spacing w:before="60" w:after="60" w:line="300" w:lineRule="exact"/>
              <w:ind w:left="57" w:right="113"/>
              <w:rPr>
                <w:rStyle w:val="Hyperlink"/>
                <w:rFonts w:eastAsiaTheme="majorEastAsia"/>
                <w:color w:val="auto"/>
                <w:szCs w:val="28"/>
              </w:rPr>
            </w:pPr>
          </w:p>
        </w:tc>
      </w:tr>
      <w:tr w:rsidR="00887F05" w:rsidRPr="00480BA4" w14:paraId="5E8E331A" w14:textId="77777777" w:rsidTr="002117DE">
        <w:tc>
          <w:tcPr>
            <w:tcW w:w="2552" w:type="dxa"/>
            <w:shd w:val="clear" w:color="auto" w:fill="auto"/>
          </w:tcPr>
          <w:p w14:paraId="5E271973"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szCs w:val="28"/>
                <w:rtl/>
              </w:rPr>
              <w:t>تاريخ اعتماد الآراء:</w:t>
            </w:r>
          </w:p>
        </w:tc>
        <w:tc>
          <w:tcPr>
            <w:tcW w:w="4818" w:type="dxa"/>
            <w:shd w:val="clear" w:color="auto" w:fill="auto"/>
          </w:tcPr>
          <w:p w14:paraId="1D0832B6"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rFonts w:ascii="Traditional Arabic"/>
                <w:szCs w:val="20"/>
                <w:rtl/>
              </w:rPr>
              <w:t>31</w:t>
            </w:r>
            <w:r w:rsidRPr="00480BA4">
              <w:rPr>
                <w:szCs w:val="28"/>
                <w:rtl/>
              </w:rPr>
              <w:t xml:space="preserve"> أيار/مايو </w:t>
            </w:r>
            <w:r w:rsidRPr="00480BA4">
              <w:rPr>
                <w:rFonts w:ascii="Traditional Arabic"/>
                <w:szCs w:val="20"/>
                <w:rtl/>
              </w:rPr>
              <w:t>2019</w:t>
            </w:r>
          </w:p>
        </w:tc>
      </w:tr>
      <w:tr w:rsidR="00887F05" w:rsidRPr="00480BA4" w14:paraId="5BBF878A" w14:textId="77777777" w:rsidTr="002117DE">
        <w:tc>
          <w:tcPr>
            <w:tcW w:w="2552" w:type="dxa"/>
            <w:shd w:val="clear" w:color="auto" w:fill="auto"/>
          </w:tcPr>
          <w:p w14:paraId="104B5520"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eastAsia="zh-TW" w:bidi="en-GB"/>
              </w:rPr>
            </w:pPr>
            <w:r w:rsidRPr="00480BA4">
              <w:rPr>
                <w:szCs w:val="28"/>
                <w:rtl/>
              </w:rPr>
              <w:t>الموضوع:</w:t>
            </w:r>
          </w:p>
        </w:tc>
        <w:tc>
          <w:tcPr>
            <w:tcW w:w="4818" w:type="dxa"/>
            <w:shd w:val="clear" w:color="auto" w:fill="auto"/>
          </w:tcPr>
          <w:p w14:paraId="350D5696"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szCs w:val="28"/>
                <w:rtl/>
              </w:rPr>
              <w:t xml:space="preserve">تحديد سن طفل مهاجر غير مصحوب باستخدام طريقة </w:t>
            </w:r>
            <w:proofErr w:type="spellStart"/>
            <w:r w:rsidRPr="00480BA4">
              <w:rPr>
                <w:szCs w:val="28"/>
                <w:rtl/>
              </w:rPr>
              <w:t>غروليتش</w:t>
            </w:r>
            <w:proofErr w:type="spellEnd"/>
            <w:r w:rsidRPr="00480BA4">
              <w:rPr>
                <w:szCs w:val="28"/>
                <w:rtl/>
              </w:rPr>
              <w:t xml:space="preserve"> </w:t>
            </w:r>
            <w:proofErr w:type="spellStart"/>
            <w:r w:rsidRPr="00480BA4">
              <w:rPr>
                <w:szCs w:val="28"/>
                <w:rtl/>
              </w:rPr>
              <w:t>وبايل</w:t>
            </w:r>
            <w:proofErr w:type="spellEnd"/>
            <w:r w:rsidRPr="00480BA4">
              <w:rPr>
                <w:szCs w:val="28"/>
                <w:rtl/>
              </w:rPr>
              <w:t xml:space="preserve">. </w:t>
            </w:r>
          </w:p>
        </w:tc>
      </w:tr>
      <w:tr w:rsidR="00887F05" w:rsidRPr="00480BA4" w14:paraId="085F6211" w14:textId="77777777" w:rsidTr="002117DE">
        <w:tc>
          <w:tcPr>
            <w:tcW w:w="2552" w:type="dxa"/>
            <w:shd w:val="clear" w:color="auto" w:fill="auto"/>
          </w:tcPr>
          <w:p w14:paraId="5DBFAB2C"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szCs w:val="28"/>
                <w:rtl/>
              </w:rPr>
              <w:t>المواد المنتهكة:</w:t>
            </w:r>
          </w:p>
        </w:tc>
        <w:tc>
          <w:tcPr>
            <w:tcW w:w="4818" w:type="dxa"/>
            <w:shd w:val="clear" w:color="auto" w:fill="auto"/>
          </w:tcPr>
          <w:p w14:paraId="1D16A25C"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rFonts w:ascii="Traditional Arabic"/>
                <w:szCs w:val="20"/>
                <w:rtl/>
              </w:rPr>
              <w:t>3</w:t>
            </w:r>
            <w:r w:rsidRPr="00480BA4">
              <w:rPr>
                <w:szCs w:val="28"/>
                <w:rtl/>
              </w:rPr>
              <w:t>، و</w:t>
            </w:r>
            <w:r w:rsidRPr="00480BA4">
              <w:rPr>
                <w:rFonts w:ascii="Traditional Arabic"/>
                <w:szCs w:val="20"/>
                <w:rtl/>
              </w:rPr>
              <w:t>8</w:t>
            </w:r>
            <w:r w:rsidRPr="00480BA4">
              <w:rPr>
                <w:szCs w:val="28"/>
                <w:rtl/>
              </w:rPr>
              <w:t>، و</w:t>
            </w:r>
            <w:r w:rsidRPr="00480BA4">
              <w:rPr>
                <w:rFonts w:ascii="Traditional Arabic"/>
                <w:szCs w:val="20"/>
                <w:rtl/>
              </w:rPr>
              <w:t>12</w:t>
            </w:r>
            <w:r w:rsidRPr="00480BA4">
              <w:rPr>
                <w:szCs w:val="28"/>
                <w:rtl/>
              </w:rPr>
              <w:t>، و</w:t>
            </w:r>
            <w:r w:rsidRPr="00480BA4">
              <w:rPr>
                <w:rFonts w:ascii="Traditional Arabic"/>
                <w:szCs w:val="20"/>
                <w:rtl/>
              </w:rPr>
              <w:t>18</w:t>
            </w:r>
            <w:r w:rsidRPr="00480BA4">
              <w:rPr>
                <w:rFonts w:ascii="Traditional Arabic"/>
                <w:szCs w:val="28"/>
                <w:rtl/>
              </w:rPr>
              <w:t>(</w:t>
            </w:r>
            <w:r w:rsidRPr="00480BA4">
              <w:rPr>
                <w:rFonts w:ascii="Traditional Arabic"/>
                <w:szCs w:val="20"/>
                <w:rtl/>
              </w:rPr>
              <w:t>2</w:t>
            </w:r>
            <w:r w:rsidRPr="00480BA4">
              <w:rPr>
                <w:rFonts w:ascii="Traditional Arabic"/>
                <w:szCs w:val="28"/>
                <w:rtl/>
              </w:rPr>
              <w:t>)</w:t>
            </w:r>
            <w:r w:rsidRPr="00480BA4">
              <w:rPr>
                <w:szCs w:val="28"/>
                <w:rtl/>
              </w:rPr>
              <w:t>، و</w:t>
            </w:r>
            <w:r w:rsidRPr="00480BA4">
              <w:rPr>
                <w:rFonts w:ascii="Traditional Arabic"/>
                <w:szCs w:val="20"/>
                <w:rtl/>
              </w:rPr>
              <w:t>20</w:t>
            </w:r>
            <w:r w:rsidRPr="00480BA4">
              <w:rPr>
                <w:szCs w:val="28"/>
                <w:rtl/>
              </w:rPr>
              <w:t>، و</w:t>
            </w:r>
            <w:r w:rsidRPr="00480BA4">
              <w:rPr>
                <w:rFonts w:ascii="Traditional Arabic"/>
                <w:szCs w:val="20"/>
                <w:rtl/>
              </w:rPr>
              <w:t>27</w:t>
            </w:r>
            <w:r w:rsidRPr="00480BA4">
              <w:rPr>
                <w:szCs w:val="28"/>
                <w:rtl/>
              </w:rPr>
              <w:t>، و</w:t>
            </w:r>
            <w:r w:rsidRPr="00480BA4">
              <w:rPr>
                <w:rFonts w:ascii="Traditional Arabic"/>
                <w:szCs w:val="20"/>
                <w:rtl/>
              </w:rPr>
              <w:t>29</w:t>
            </w:r>
            <w:r w:rsidRPr="00480BA4">
              <w:rPr>
                <w:szCs w:val="28"/>
                <w:rtl/>
              </w:rPr>
              <w:t xml:space="preserve"> من الاتفاقية</w:t>
            </w:r>
          </w:p>
        </w:tc>
      </w:tr>
      <w:tr w:rsidR="00887F05" w:rsidRPr="00480BA4" w14:paraId="4EEA4C4E" w14:textId="77777777" w:rsidTr="002117DE">
        <w:tc>
          <w:tcPr>
            <w:tcW w:w="2552" w:type="dxa"/>
            <w:shd w:val="clear" w:color="auto" w:fill="auto"/>
          </w:tcPr>
          <w:p w14:paraId="4E41D3F5"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szCs w:val="28"/>
                <w:rtl/>
              </w:rPr>
              <w:t>سبل الانتصاف:</w:t>
            </w:r>
          </w:p>
        </w:tc>
        <w:tc>
          <w:tcPr>
            <w:tcW w:w="4818" w:type="dxa"/>
            <w:shd w:val="clear" w:color="auto" w:fill="auto"/>
          </w:tcPr>
          <w:p w14:paraId="4E6D372B"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szCs w:val="28"/>
                <w:rtl/>
              </w:rPr>
              <w:t xml:space="preserve">ينبغي للدولة الطرف أن تقدم لصاحب البلاغ تعويضاً ملائماً. </w:t>
            </w:r>
            <w:r w:rsidRPr="00480BA4">
              <w:rPr>
                <w:spacing w:val="-4"/>
                <w:szCs w:val="28"/>
                <w:rtl/>
              </w:rPr>
              <w:t>والدولة الطرف ملزمة أيضاً بمنع حدوث انتهاكات مماثلة في المستقبل، بكفالة تنفيذ جميع إجراءات تحديد سن الأطفال المحتملين</w:t>
            </w:r>
            <w:r w:rsidRPr="00480BA4">
              <w:rPr>
                <w:szCs w:val="28"/>
                <w:rtl/>
              </w:rPr>
              <w:t xml:space="preserve"> غير المصحوبين على نحو يتوافق مع الاتفاقية، ولا سيما منحهم إمكانية الاستعانة خلالها بممثل قانوني مؤهل، بالمجان وعلى وجه السرعة. وتطلب اللجنة إلى الدولة الطرف أن تنشر هذه الآراء وتعممها على نطاق واسع.</w:t>
            </w:r>
          </w:p>
        </w:tc>
      </w:tr>
      <w:tr w:rsidR="00887F05" w:rsidRPr="00480BA4" w14:paraId="044F3BB9" w14:textId="77777777" w:rsidTr="002117DE">
        <w:tc>
          <w:tcPr>
            <w:tcW w:w="2552" w:type="dxa"/>
            <w:tcBorders>
              <w:bottom w:val="nil"/>
            </w:tcBorders>
            <w:shd w:val="clear" w:color="auto" w:fill="auto"/>
          </w:tcPr>
          <w:p w14:paraId="0D7E2474"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szCs w:val="28"/>
                <w:rtl/>
              </w:rPr>
              <w:t>رد الدولة الطرف:</w:t>
            </w:r>
          </w:p>
        </w:tc>
        <w:tc>
          <w:tcPr>
            <w:tcW w:w="4818" w:type="dxa"/>
            <w:tcBorders>
              <w:bottom w:val="nil"/>
            </w:tcBorders>
            <w:shd w:val="clear" w:color="auto" w:fill="auto"/>
          </w:tcPr>
          <w:p w14:paraId="3B4940FF"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rtl/>
                <w:lang w:eastAsia="zh-TW"/>
              </w:rPr>
            </w:pPr>
            <w:r w:rsidRPr="00480BA4">
              <w:rPr>
                <w:szCs w:val="28"/>
                <w:rtl/>
              </w:rPr>
              <w:t xml:space="preserve">انظر رد الدولة الطرف المؤرخ </w:t>
            </w:r>
            <w:r w:rsidRPr="00480BA4">
              <w:rPr>
                <w:rFonts w:ascii="Traditional Arabic"/>
                <w:szCs w:val="20"/>
                <w:rtl/>
              </w:rPr>
              <w:t>23</w:t>
            </w:r>
            <w:r w:rsidRPr="00480BA4">
              <w:rPr>
                <w:szCs w:val="28"/>
                <w:rtl/>
              </w:rPr>
              <w:t xml:space="preserve"> كانون الأول/ديسمبر </w:t>
            </w:r>
            <w:r w:rsidRPr="00480BA4">
              <w:rPr>
                <w:rFonts w:ascii="Traditional Arabic"/>
                <w:szCs w:val="20"/>
                <w:rtl/>
              </w:rPr>
              <w:t>2019</w:t>
            </w:r>
            <w:r w:rsidRPr="00480BA4">
              <w:rPr>
                <w:szCs w:val="28"/>
                <w:rtl/>
              </w:rPr>
              <w:t xml:space="preserve"> الوارد أعلاه بشأن قضية </w:t>
            </w:r>
            <w:r w:rsidRPr="00480BA4">
              <w:rPr>
                <w:i/>
                <w:iCs/>
                <w:szCs w:val="28"/>
                <w:rtl/>
              </w:rPr>
              <w:t>ن. ب. ف. ضد إسبانيا.</w:t>
            </w:r>
          </w:p>
        </w:tc>
      </w:tr>
      <w:tr w:rsidR="00887F05" w:rsidRPr="00480BA4" w14:paraId="1EAD0F17" w14:textId="77777777" w:rsidTr="002117DE">
        <w:tc>
          <w:tcPr>
            <w:tcW w:w="2552" w:type="dxa"/>
            <w:tcBorders>
              <w:top w:val="nil"/>
              <w:bottom w:val="nil"/>
            </w:tcBorders>
            <w:shd w:val="clear" w:color="auto" w:fill="auto"/>
          </w:tcPr>
          <w:p w14:paraId="6EB2EDD0" w14:textId="77777777" w:rsidR="00887F05" w:rsidRPr="00480BA4" w:rsidRDefault="00887F05" w:rsidP="0057045D">
            <w:pPr>
              <w:spacing w:before="60" w:after="60" w:line="290" w:lineRule="exact"/>
              <w:ind w:left="57" w:right="113"/>
              <w:textDirection w:val="tbRlV"/>
              <w:rPr>
                <w:rStyle w:val="Hyperlink"/>
                <w:rFonts w:eastAsiaTheme="majorEastAsia"/>
                <w:color w:val="auto"/>
                <w:szCs w:val="28"/>
                <w:lang w:val="ar-SA" w:eastAsia="zh-TW" w:bidi="en-GB"/>
              </w:rPr>
            </w:pPr>
            <w:r w:rsidRPr="00480BA4">
              <w:rPr>
                <w:szCs w:val="28"/>
                <w:rtl/>
              </w:rPr>
              <w:t>تعليقات صاحب البلاغ:</w:t>
            </w:r>
          </w:p>
        </w:tc>
        <w:tc>
          <w:tcPr>
            <w:tcW w:w="4818" w:type="dxa"/>
            <w:tcBorders>
              <w:top w:val="nil"/>
              <w:bottom w:val="nil"/>
            </w:tcBorders>
            <w:shd w:val="clear" w:color="auto" w:fill="auto"/>
          </w:tcPr>
          <w:p w14:paraId="615A3AF3" w14:textId="0D7C3D3E" w:rsidR="00887F05" w:rsidRPr="00480BA4" w:rsidRDefault="00887F05" w:rsidP="0057045D">
            <w:pPr>
              <w:spacing w:before="60" w:after="60" w:line="290" w:lineRule="exact"/>
              <w:ind w:left="57" w:right="113"/>
              <w:textDirection w:val="tbRlV"/>
              <w:rPr>
                <w:spacing w:val="-5"/>
                <w:szCs w:val="28"/>
                <w:rtl/>
              </w:rPr>
            </w:pPr>
            <w:r w:rsidRPr="00480BA4">
              <w:rPr>
                <w:spacing w:val="-5"/>
                <w:szCs w:val="28"/>
                <w:rtl/>
              </w:rPr>
              <w:t xml:space="preserve">يشير صاحب البلاغ، في تعليقاته المؤرخة </w:t>
            </w:r>
            <w:r w:rsidRPr="00480BA4">
              <w:rPr>
                <w:rFonts w:ascii="Traditional Arabic"/>
                <w:spacing w:val="-5"/>
                <w:szCs w:val="20"/>
                <w:rtl/>
              </w:rPr>
              <w:t>6</w:t>
            </w:r>
            <w:r w:rsidRPr="00480BA4">
              <w:rPr>
                <w:spacing w:val="-5"/>
                <w:szCs w:val="28"/>
                <w:rtl/>
              </w:rPr>
              <w:t xml:space="preserve"> آذار/مارس </w:t>
            </w:r>
            <w:r w:rsidRPr="00480BA4">
              <w:rPr>
                <w:rFonts w:ascii="Traditional Arabic"/>
                <w:spacing w:val="-5"/>
                <w:szCs w:val="20"/>
                <w:rtl/>
              </w:rPr>
              <w:t>2020</w:t>
            </w:r>
            <w:r w:rsidRPr="00480BA4">
              <w:rPr>
                <w:spacing w:val="-5"/>
                <w:szCs w:val="28"/>
                <w:rtl/>
              </w:rPr>
              <w:t xml:space="preserve">، إلى أنه طلب إلى المديرية الفرعية للتعاون القانوني الدولي، في </w:t>
            </w:r>
            <w:r w:rsidRPr="00480BA4">
              <w:rPr>
                <w:rFonts w:ascii="Traditional Arabic"/>
                <w:spacing w:val="-5"/>
                <w:szCs w:val="20"/>
                <w:rtl/>
              </w:rPr>
              <w:t>3</w:t>
            </w:r>
            <w:r w:rsidRPr="00480BA4">
              <w:rPr>
                <w:spacing w:val="-5"/>
                <w:szCs w:val="28"/>
                <w:rtl/>
              </w:rPr>
              <w:t xml:space="preserve"> كانون الأول/</w:t>
            </w:r>
            <w:r w:rsidR="0057045D" w:rsidRPr="00480BA4">
              <w:rPr>
                <w:rFonts w:hint="cs"/>
                <w:spacing w:val="-5"/>
                <w:szCs w:val="28"/>
                <w:rtl/>
              </w:rPr>
              <w:t xml:space="preserve"> </w:t>
            </w:r>
            <w:r w:rsidRPr="00480BA4">
              <w:rPr>
                <w:spacing w:val="-5"/>
                <w:szCs w:val="28"/>
                <w:rtl/>
              </w:rPr>
              <w:t xml:space="preserve">ديسمبر </w:t>
            </w:r>
            <w:r w:rsidRPr="00480BA4">
              <w:rPr>
                <w:rFonts w:ascii="Traditional Arabic"/>
                <w:spacing w:val="-5"/>
                <w:szCs w:val="20"/>
                <w:rtl/>
              </w:rPr>
              <w:t>2019</w:t>
            </w:r>
            <w:r w:rsidRPr="00480BA4">
              <w:rPr>
                <w:spacing w:val="-5"/>
                <w:szCs w:val="28"/>
                <w:rtl/>
              </w:rPr>
              <w:t xml:space="preserve">، أن تفتح ملفاً لدراسة آراء اللجنة وتنفيذها. ويشير صاحب البلاغ إلى أن تقرير المدعي العام للدولة المؤرخ </w:t>
            </w:r>
            <w:r w:rsidRPr="00480BA4">
              <w:rPr>
                <w:rFonts w:ascii="Traditional Arabic"/>
                <w:spacing w:val="-5"/>
                <w:szCs w:val="20"/>
                <w:rtl/>
              </w:rPr>
              <w:t>28</w:t>
            </w:r>
            <w:r w:rsidRPr="00480BA4">
              <w:rPr>
                <w:spacing w:val="-5"/>
                <w:szCs w:val="28"/>
                <w:rtl/>
              </w:rPr>
              <w:t xml:space="preserve"> حزيران</w:t>
            </w:r>
            <w:proofErr w:type="gramStart"/>
            <w:r w:rsidRPr="00480BA4">
              <w:rPr>
                <w:spacing w:val="-5"/>
                <w:szCs w:val="28"/>
                <w:rtl/>
              </w:rPr>
              <w:t>/</w:t>
            </w:r>
            <w:r w:rsidR="0057045D" w:rsidRPr="00480BA4">
              <w:rPr>
                <w:rFonts w:hint="cs"/>
                <w:spacing w:val="-5"/>
                <w:szCs w:val="28"/>
                <w:rtl/>
              </w:rPr>
              <w:t xml:space="preserve">  </w:t>
            </w:r>
            <w:r w:rsidRPr="00480BA4">
              <w:rPr>
                <w:spacing w:val="-5"/>
                <w:szCs w:val="28"/>
                <w:rtl/>
              </w:rPr>
              <w:t>يونيه</w:t>
            </w:r>
            <w:proofErr w:type="gramEnd"/>
            <w:r w:rsidRPr="00480BA4">
              <w:rPr>
                <w:spacing w:val="-5"/>
                <w:szCs w:val="28"/>
                <w:rtl/>
              </w:rPr>
              <w:t xml:space="preserve"> </w:t>
            </w:r>
            <w:r w:rsidRPr="00480BA4">
              <w:rPr>
                <w:rFonts w:ascii="Traditional Arabic"/>
                <w:spacing w:val="-5"/>
                <w:szCs w:val="20"/>
                <w:rtl/>
              </w:rPr>
              <w:t>2019</w:t>
            </w:r>
            <w:r w:rsidRPr="00480BA4">
              <w:rPr>
                <w:spacing w:val="-5"/>
                <w:szCs w:val="28"/>
                <w:rtl/>
              </w:rPr>
              <w:t xml:space="preserve"> لم يُعمم، ولا يعرف بالتالي كيف تدعي الدولة الطرف تنفيذ الآراء. ويضيف أن رد الدولة الطرف يشير إلى تدابير عامة ولكنه لا</w:t>
            </w:r>
            <w:r w:rsidR="0057045D" w:rsidRPr="00480BA4">
              <w:rPr>
                <w:rFonts w:hint="cs"/>
                <w:spacing w:val="-5"/>
                <w:szCs w:val="28"/>
                <w:rtl/>
              </w:rPr>
              <w:t> </w:t>
            </w:r>
            <w:r w:rsidRPr="00480BA4">
              <w:rPr>
                <w:spacing w:val="-5"/>
                <w:szCs w:val="28"/>
                <w:rtl/>
              </w:rPr>
              <w:t>يتضمن أي معلومات عن التدابير المتخذة لمنحه تعويضات محددة. وقد علم صاحب البلاغ أن وزارة الصحة تعمل على وضع نموذج جديد لمساعدة الأطفال المهاجرين غير المصحوبين، ولكنه لم ينفذ بعد.</w:t>
            </w:r>
          </w:p>
          <w:p w14:paraId="5D9455D1" w14:textId="7B37D8F5" w:rsidR="00887F05" w:rsidRPr="00480BA4" w:rsidRDefault="00887F05" w:rsidP="0057045D">
            <w:pPr>
              <w:spacing w:before="60" w:after="60" w:line="290" w:lineRule="exact"/>
              <w:ind w:left="57" w:right="113"/>
              <w:textDirection w:val="tbRlV"/>
              <w:rPr>
                <w:rStyle w:val="Hyperlink"/>
                <w:rFonts w:eastAsiaTheme="majorEastAsia"/>
                <w:color w:val="auto"/>
                <w:spacing w:val="-5"/>
                <w:szCs w:val="28"/>
                <w:lang w:val="ar-SA" w:eastAsia="zh-TW" w:bidi="en-GB"/>
              </w:rPr>
            </w:pPr>
            <w:r w:rsidRPr="00480BA4">
              <w:rPr>
                <w:spacing w:val="-5"/>
                <w:szCs w:val="28"/>
                <w:rtl/>
              </w:rPr>
              <w:t>ويفيد صاحب البلاغ بأن مكتب المدعي العام لا يزال يتجاهل الوثائق التي يقدمها الأطفال غير المصحوبين، مثل شواهد الميلاد، وفي بعض الحالات، حتى جوازات السفر التي يعتبرها غير موثوقة من دون استشارة القنصليات أو السفارات المعنية. وتُجرى الاختبارات الطبية ذاتها، من دون أي اختبار نفسي ومن دون تضمين النتائج هامش الخطأ في السن. ويقبل مكتب المدعي العام هذه التقارير من دون التشكيك في صحتها. وباختصار، لا تزال السلطات الوطنية تعمل من دون تفسير الشك لصالح الأطفال المعنيين، أو افتراض أنهم قاصرون أو</w:t>
            </w:r>
            <w:r w:rsidR="00D07166" w:rsidRPr="00480BA4">
              <w:rPr>
                <w:rFonts w:hint="cs"/>
                <w:spacing w:val="-5"/>
                <w:szCs w:val="28"/>
                <w:rtl/>
              </w:rPr>
              <w:t> </w:t>
            </w:r>
            <w:r w:rsidRPr="00480BA4">
              <w:rPr>
                <w:spacing w:val="-5"/>
                <w:szCs w:val="28"/>
                <w:rtl/>
              </w:rPr>
              <w:t>مراعاة مصالحهم الفضلى. وعندما يقدِّم طفل دعوى قضائية لطلب تدابير الحماية المؤقتة، يعارضها مكتب المدعي العام، وترفضها المحاكم.</w:t>
            </w:r>
          </w:p>
        </w:tc>
      </w:tr>
      <w:tr w:rsidR="00887F05" w:rsidRPr="00480BA4" w14:paraId="3D5151B7" w14:textId="77777777" w:rsidTr="002117DE">
        <w:tc>
          <w:tcPr>
            <w:tcW w:w="2552" w:type="dxa"/>
            <w:tcBorders>
              <w:top w:val="nil"/>
              <w:bottom w:val="nil"/>
            </w:tcBorders>
            <w:shd w:val="clear" w:color="auto" w:fill="auto"/>
          </w:tcPr>
          <w:p w14:paraId="7028A8DD" w14:textId="77777777" w:rsidR="00887F05" w:rsidRPr="00480BA4" w:rsidRDefault="00887F05" w:rsidP="0057045D">
            <w:pPr>
              <w:spacing w:before="60" w:after="60" w:line="290" w:lineRule="exact"/>
              <w:ind w:left="57" w:right="113"/>
              <w:rPr>
                <w:rStyle w:val="Hyperlink"/>
                <w:rFonts w:eastAsiaTheme="majorEastAsia"/>
                <w:color w:val="auto"/>
                <w:szCs w:val="28"/>
              </w:rPr>
            </w:pPr>
          </w:p>
        </w:tc>
        <w:tc>
          <w:tcPr>
            <w:tcW w:w="4818" w:type="dxa"/>
            <w:tcBorders>
              <w:top w:val="nil"/>
              <w:bottom w:val="nil"/>
            </w:tcBorders>
            <w:shd w:val="clear" w:color="auto" w:fill="auto"/>
          </w:tcPr>
          <w:p w14:paraId="62E31960" w14:textId="77777777" w:rsidR="00887F05" w:rsidRPr="00480BA4" w:rsidRDefault="00887F05" w:rsidP="0057045D">
            <w:pPr>
              <w:spacing w:before="60" w:after="60" w:line="290" w:lineRule="exact"/>
              <w:ind w:left="57" w:right="113"/>
              <w:textDirection w:val="tbRlV"/>
              <w:rPr>
                <w:rStyle w:val="Hyperlink"/>
                <w:rFonts w:eastAsiaTheme="majorEastAsia"/>
                <w:color w:val="auto"/>
                <w:spacing w:val="-4"/>
                <w:szCs w:val="28"/>
                <w:lang w:val="ar-SA" w:eastAsia="zh-TW" w:bidi="en-GB"/>
              </w:rPr>
            </w:pPr>
            <w:r w:rsidRPr="00480BA4">
              <w:rPr>
                <w:spacing w:val="-4"/>
                <w:szCs w:val="28"/>
                <w:rtl/>
              </w:rPr>
              <w:t>وفيما يتعلق بإمكانية الطعن في قرارات تحديد السن، اعترفت الدولة الطرف مراراً بأن هذه القرارات غير قابلة للطعن، ولا تزال هذه الممارسة ساريةً. وقد رفضت المحكمة الدستورية الإسبانية مؤخراً عدة طلبات للحماية الدستورية، ادعى فيها الضحايا انتهاك حقهم في اللجوء إلى القضاء بسبب عدم جواز الطعن قضائياً في قرارات تحديد السن. ولم تبت المحكمة العليا بعد فيما إذا كان يجوز الطعن في هذه القرارات، ولم تحدد الهيئة القضائية المختصة، إن كان الأمر كذلك.</w:t>
            </w:r>
          </w:p>
        </w:tc>
      </w:tr>
      <w:tr w:rsidR="00887F05" w:rsidRPr="0053557D" w14:paraId="7E6FCC3F" w14:textId="77777777" w:rsidTr="002117DE">
        <w:tc>
          <w:tcPr>
            <w:tcW w:w="2552" w:type="dxa"/>
            <w:tcBorders>
              <w:top w:val="nil"/>
            </w:tcBorders>
            <w:shd w:val="clear" w:color="auto" w:fill="auto"/>
          </w:tcPr>
          <w:p w14:paraId="73B8AB26" w14:textId="77777777" w:rsidR="00887F05" w:rsidRPr="00480BA4"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قرار اللجنة:</w:t>
            </w:r>
          </w:p>
        </w:tc>
        <w:tc>
          <w:tcPr>
            <w:tcW w:w="4818" w:type="dxa"/>
            <w:tcBorders>
              <w:top w:val="nil"/>
            </w:tcBorders>
            <w:shd w:val="clear" w:color="auto" w:fill="auto"/>
          </w:tcPr>
          <w:p w14:paraId="0E8AD090" w14:textId="77777777" w:rsidR="00887F05" w:rsidRPr="00887F05" w:rsidRDefault="00887F05" w:rsidP="00887F05">
            <w:pPr>
              <w:spacing w:before="60" w:after="60" w:line="300" w:lineRule="exact"/>
              <w:ind w:left="57" w:right="113"/>
              <w:textDirection w:val="tbRlV"/>
              <w:rPr>
                <w:rStyle w:val="Hyperlink"/>
                <w:rFonts w:eastAsiaTheme="majorEastAsia"/>
                <w:color w:val="auto"/>
                <w:szCs w:val="28"/>
                <w:lang w:val="ar-SA" w:eastAsia="zh-TW" w:bidi="en-GB"/>
              </w:rPr>
            </w:pPr>
            <w:r w:rsidRPr="00480BA4">
              <w:rPr>
                <w:szCs w:val="28"/>
                <w:rtl/>
              </w:rPr>
              <w:t>تقرر اللجنة أن تواصل حوار المتابعة وأن تطلب عقد اجتماع مع الدولة الطرف لمناقشة التنفيذ الفوري لآراء اللجنة.</w:t>
            </w:r>
          </w:p>
        </w:tc>
      </w:tr>
    </w:tbl>
    <w:p w14:paraId="166D5EE4" w14:textId="06880353" w:rsidR="00887F05" w:rsidRPr="00887F05" w:rsidRDefault="00887F05" w:rsidP="00887F05">
      <w:pPr>
        <w:spacing w:before="120"/>
        <w:jc w:val="center"/>
        <w:rPr>
          <w:rFonts w:hint="cs"/>
          <w:u w:val="single"/>
          <w:rtl/>
        </w:rPr>
      </w:pPr>
      <w:r>
        <w:rPr>
          <w:u w:val="single"/>
          <w:rtl/>
        </w:rPr>
        <w:tab/>
      </w:r>
      <w:r>
        <w:rPr>
          <w:u w:val="single"/>
          <w:rtl/>
        </w:rPr>
        <w:tab/>
      </w:r>
      <w:r>
        <w:rPr>
          <w:u w:val="single"/>
          <w:rtl/>
        </w:rPr>
        <w:tab/>
      </w:r>
    </w:p>
    <w:sectPr w:rsidR="00887F05" w:rsidRPr="00887F05" w:rsidSect="002A4D8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ED1B" w14:textId="77777777" w:rsidR="00383F3D" w:rsidRPr="002901D9" w:rsidRDefault="00383F3D" w:rsidP="002901D9">
      <w:pPr>
        <w:spacing w:after="60" w:line="240" w:lineRule="auto"/>
        <w:rPr>
          <w:i/>
          <w:iCs/>
        </w:rPr>
      </w:pPr>
      <w:r>
        <w:rPr>
          <w:rFonts w:hint="cs"/>
          <w:i/>
          <w:iCs/>
          <w:rtl/>
        </w:rPr>
        <w:t>الحواشي</w:t>
      </w:r>
    </w:p>
  </w:endnote>
  <w:endnote w:type="continuationSeparator" w:id="0">
    <w:p w14:paraId="2C55A95D" w14:textId="77777777" w:rsidR="00383F3D" w:rsidRDefault="00383F3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3E55" w14:textId="77777777" w:rsidR="002A4D88" w:rsidRPr="00887F05" w:rsidRDefault="00887F05" w:rsidP="00887F05">
    <w:pPr>
      <w:pStyle w:val="Footer"/>
      <w:tabs>
        <w:tab w:val="right" w:pos="9598"/>
      </w:tabs>
      <w:rPr>
        <w:sz w:val="17"/>
      </w:rPr>
    </w:pPr>
    <w:r>
      <w:rPr>
        <w:sz w:val="17"/>
      </w:rPr>
      <w:t>GE.20-14310</w:t>
    </w:r>
    <w:r>
      <w:rPr>
        <w:sz w:val="17"/>
      </w:rPr>
      <w:tab/>
    </w:r>
    <w:r w:rsidRPr="00887F05">
      <w:rPr>
        <w:b/>
        <w:sz w:val="18"/>
      </w:rPr>
      <w:fldChar w:fldCharType="begin"/>
    </w:r>
    <w:r w:rsidRPr="00887F05">
      <w:rPr>
        <w:b/>
        <w:sz w:val="18"/>
      </w:rPr>
      <w:instrText xml:space="preserve"> PAGE  \* MERGEFORMAT </w:instrText>
    </w:r>
    <w:r w:rsidRPr="00887F05">
      <w:rPr>
        <w:b/>
        <w:sz w:val="18"/>
      </w:rPr>
      <w:fldChar w:fldCharType="separate"/>
    </w:r>
    <w:r>
      <w:rPr>
        <w:b/>
        <w:sz w:val="18"/>
      </w:rPr>
      <w:t>2</w:t>
    </w:r>
    <w:r w:rsidRPr="00887F0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2196" w14:textId="77777777" w:rsidR="006959B0" w:rsidRPr="00887F05" w:rsidRDefault="00887F05" w:rsidP="006959B0">
    <w:pPr>
      <w:pStyle w:val="Footer"/>
      <w:tabs>
        <w:tab w:val="right" w:pos="9599"/>
      </w:tabs>
      <w:jc w:val="left"/>
      <w:rPr>
        <w:b/>
        <w:sz w:val="18"/>
        <w:lang w:val="en-US"/>
      </w:rPr>
    </w:pPr>
    <w:r w:rsidRPr="00887F05">
      <w:rPr>
        <w:b/>
        <w:sz w:val="18"/>
        <w:lang w:val="en-US"/>
      </w:rPr>
      <w:fldChar w:fldCharType="begin"/>
    </w:r>
    <w:r w:rsidRPr="00887F05">
      <w:rPr>
        <w:b/>
        <w:sz w:val="18"/>
        <w:lang w:val="en-US"/>
      </w:rPr>
      <w:instrText xml:space="preserve"> PAGE  \* MERGEFORMAT </w:instrText>
    </w:r>
    <w:r w:rsidRPr="00887F05">
      <w:rPr>
        <w:b/>
        <w:sz w:val="18"/>
        <w:lang w:val="en-US"/>
      </w:rPr>
      <w:fldChar w:fldCharType="separate"/>
    </w:r>
    <w:r w:rsidRPr="00887F05">
      <w:rPr>
        <w:b/>
        <w:noProof/>
        <w:sz w:val="18"/>
        <w:lang w:val="en-US"/>
      </w:rPr>
      <w:t>3</w:t>
    </w:r>
    <w:r w:rsidRPr="00887F05">
      <w:rPr>
        <w:b/>
        <w:sz w:val="18"/>
        <w:lang w:val="en-US"/>
      </w:rPr>
      <w:fldChar w:fldCharType="end"/>
    </w:r>
    <w:r>
      <w:rPr>
        <w:b/>
        <w:sz w:val="18"/>
        <w:lang w:val="en-US"/>
      </w:rPr>
      <w:tab/>
    </w:r>
    <w:r>
      <w:rPr>
        <w:sz w:val="17"/>
        <w:lang w:val="en-US"/>
      </w:rPr>
      <w:t>GE.20-14310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306F" w14:textId="77777777" w:rsidR="001D5AC0" w:rsidRDefault="002A4D88" w:rsidP="006E444F">
    <w:pPr>
      <w:pStyle w:val="Footer"/>
      <w:spacing w:before="360"/>
      <w:jc w:val="right"/>
      <w:rPr>
        <w:sz w:val="20"/>
        <w:szCs w:val="20"/>
      </w:rPr>
    </w:pPr>
    <w:r>
      <w:rPr>
        <w:sz w:val="20"/>
        <w:szCs w:val="20"/>
      </w:rPr>
      <w:t>GE.20-14310</w:t>
    </w:r>
    <w:r w:rsidR="001D5AC0">
      <w:rPr>
        <w:noProof/>
        <w:lang w:val="en-US"/>
      </w:rPr>
      <w:drawing>
        <wp:anchor distT="0" distB="0" distL="114300" distR="114300" simplePos="0" relativeHeight="251665408" behindDoc="1" locked="1" layoutInCell="0" allowOverlap="1" wp14:anchorId="1048AF60" wp14:editId="4F7CA14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536FBC35" w14:textId="77777777" w:rsidR="002A4D88" w:rsidRPr="002A4D88" w:rsidRDefault="002A4D88" w:rsidP="002A4D88">
    <w:pPr>
      <w:pStyle w:val="Footer"/>
      <w:jc w:val="right"/>
      <w:rPr>
        <w:rFonts w:ascii="C39T30Lfz" w:hAnsi="C39T30Lfz"/>
        <w:sz w:val="56"/>
        <w:szCs w:val="20"/>
      </w:rPr>
    </w:pPr>
    <w:r>
      <w:rPr>
        <w:rFonts w:ascii="C39T30Lfz" w:hAnsi="C39T30Lfz"/>
        <w:sz w:val="56"/>
        <w:szCs w:val="20"/>
      </w:rPr>
      <w:t>*2014310*</w:t>
    </w:r>
    <w:r>
      <w:rPr>
        <w:rFonts w:ascii="C39T30Lfz" w:hAnsi="C39T30Lfz"/>
        <w:noProof/>
        <w:sz w:val="56"/>
        <w:szCs w:val="20"/>
      </w:rPr>
      <w:drawing>
        <wp:anchor distT="0" distB="0" distL="114300" distR="114300" simplePos="0" relativeHeight="251660288" behindDoc="0" locked="0" layoutInCell="1" allowOverlap="1" wp14:anchorId="76A0E700" wp14:editId="15CAD63A">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93DE" w14:textId="77777777" w:rsidR="00383F3D" w:rsidRDefault="00383F3D" w:rsidP="00CB28F9">
      <w:pPr>
        <w:pStyle w:val="Footer"/>
        <w:bidi/>
        <w:spacing w:after="80" w:line="200" w:lineRule="exact"/>
        <w:ind w:left="680"/>
        <w:rPr>
          <w:rFonts w:hint="cs"/>
          <w:rtl/>
        </w:rPr>
      </w:pPr>
      <w:r>
        <w:rPr>
          <w:rtl/>
        </w:rPr>
        <w:t>__________</w:t>
      </w:r>
    </w:p>
  </w:footnote>
  <w:footnote w:type="continuationSeparator" w:id="0">
    <w:p w14:paraId="5E65CC41" w14:textId="77777777" w:rsidR="00383F3D" w:rsidRDefault="00383F3D" w:rsidP="00656392">
      <w:pPr>
        <w:spacing w:line="240" w:lineRule="auto"/>
      </w:pPr>
      <w:r>
        <w:continuationSeparator/>
      </w:r>
    </w:p>
  </w:footnote>
  <w:footnote w:id="1">
    <w:p w14:paraId="004CA573" w14:textId="5345DA3E" w:rsidR="00887F05" w:rsidRPr="00887F05" w:rsidRDefault="00887F05" w:rsidP="00887F05">
      <w:pPr>
        <w:pStyle w:val="FootnoteText1"/>
        <w:rPr>
          <w:rFonts w:hint="cs"/>
          <w:rtl/>
        </w:rPr>
      </w:pPr>
      <w:r>
        <w:rPr>
          <w:rtl/>
        </w:rPr>
        <w:t>*</w:t>
      </w:r>
      <w:r>
        <w:rPr>
          <w:rtl/>
        </w:rPr>
        <w:tab/>
      </w:r>
      <w:r w:rsidRPr="00887F05">
        <w:rPr>
          <w:rtl/>
        </w:rPr>
        <w:t>اعتمدته اللجنة في دورتها الخامسة والثمانين (</w:t>
      </w:r>
      <w:r w:rsidRPr="00887F05">
        <w:rPr>
          <w:szCs w:val="18"/>
          <w:rtl/>
        </w:rPr>
        <w:t>14</w:t>
      </w:r>
      <w:r w:rsidRPr="00887F05">
        <w:rPr>
          <w:rtl/>
        </w:rPr>
        <w:t xml:space="preserve"> أيلول/سبتمبر - </w:t>
      </w:r>
      <w:r w:rsidRPr="00887F05">
        <w:rPr>
          <w:szCs w:val="18"/>
          <w:rtl/>
        </w:rPr>
        <w:t>1</w:t>
      </w:r>
      <w:r w:rsidRPr="00887F05">
        <w:rPr>
          <w:rtl/>
        </w:rPr>
        <w:t xml:space="preserve"> تشرين الأول/أكتوبر </w:t>
      </w:r>
      <w:r w:rsidRPr="00887F05">
        <w:rPr>
          <w:szCs w:val="18"/>
          <w:rtl/>
        </w:rPr>
        <w:t>2020</w:t>
      </w:r>
      <w:r w:rsidRPr="00887F05">
        <w:rPr>
          <w:rtl/>
        </w:rPr>
        <w:t>).</w:t>
      </w:r>
      <w:r w:rsidR="00EB67DA">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F7EA" w14:textId="77777777" w:rsidR="002A4D88" w:rsidRPr="00887F05" w:rsidRDefault="00887F05" w:rsidP="00887F05">
    <w:pPr>
      <w:pStyle w:val="Header"/>
      <w:jc w:val="right"/>
    </w:pPr>
    <w:r w:rsidRPr="00887F05">
      <w:t>CRC/C/85/2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71ED" w14:textId="77777777" w:rsidR="002A4D88" w:rsidRPr="00887F05" w:rsidRDefault="00887F05" w:rsidP="00887F05">
    <w:pPr>
      <w:pStyle w:val="Header"/>
      <w:jc w:val="left"/>
    </w:pPr>
    <w:r w:rsidRPr="00887F05">
      <w:t>CRC/C/85/2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83F3D"/>
    <w:rsid w:val="000076D5"/>
    <w:rsid w:val="00043663"/>
    <w:rsid w:val="000505CF"/>
    <w:rsid w:val="0005571E"/>
    <w:rsid w:val="000D701C"/>
    <w:rsid w:val="000E2A71"/>
    <w:rsid w:val="00160263"/>
    <w:rsid w:val="00181F96"/>
    <w:rsid w:val="001A1371"/>
    <w:rsid w:val="001B346A"/>
    <w:rsid w:val="001D5AC0"/>
    <w:rsid w:val="001E1CAD"/>
    <w:rsid w:val="001E290D"/>
    <w:rsid w:val="002144FA"/>
    <w:rsid w:val="0023469A"/>
    <w:rsid w:val="00243C8A"/>
    <w:rsid w:val="00261B18"/>
    <w:rsid w:val="00267A0E"/>
    <w:rsid w:val="002901D9"/>
    <w:rsid w:val="002976C2"/>
    <w:rsid w:val="002A4D88"/>
    <w:rsid w:val="002D2D42"/>
    <w:rsid w:val="003260FF"/>
    <w:rsid w:val="00343D95"/>
    <w:rsid w:val="00374341"/>
    <w:rsid w:val="00383F3D"/>
    <w:rsid w:val="003C50EA"/>
    <w:rsid w:val="003D1062"/>
    <w:rsid w:val="00420D7B"/>
    <w:rsid w:val="00450B21"/>
    <w:rsid w:val="00453B63"/>
    <w:rsid w:val="00455780"/>
    <w:rsid w:val="0045649E"/>
    <w:rsid w:val="00480BA4"/>
    <w:rsid w:val="004A14A6"/>
    <w:rsid w:val="004B0A1C"/>
    <w:rsid w:val="004D298E"/>
    <w:rsid w:val="00523BAE"/>
    <w:rsid w:val="0054472E"/>
    <w:rsid w:val="005662A9"/>
    <w:rsid w:val="0057045D"/>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852A9A"/>
    <w:rsid w:val="00887F05"/>
    <w:rsid w:val="008F49E1"/>
    <w:rsid w:val="0090370F"/>
    <w:rsid w:val="009269D2"/>
    <w:rsid w:val="00942135"/>
    <w:rsid w:val="009521B0"/>
    <w:rsid w:val="00994130"/>
    <w:rsid w:val="009A7E9F"/>
    <w:rsid w:val="009E5018"/>
    <w:rsid w:val="00A12B37"/>
    <w:rsid w:val="00A65558"/>
    <w:rsid w:val="00A733D8"/>
    <w:rsid w:val="00AA4B33"/>
    <w:rsid w:val="00AB6758"/>
    <w:rsid w:val="00B13763"/>
    <w:rsid w:val="00B477A4"/>
    <w:rsid w:val="00B54045"/>
    <w:rsid w:val="00BF633D"/>
    <w:rsid w:val="00C14F6B"/>
    <w:rsid w:val="00C438D7"/>
    <w:rsid w:val="00C81B50"/>
    <w:rsid w:val="00CB28F9"/>
    <w:rsid w:val="00CD1801"/>
    <w:rsid w:val="00D07166"/>
    <w:rsid w:val="00D10EF1"/>
    <w:rsid w:val="00D42810"/>
    <w:rsid w:val="00D914A7"/>
    <w:rsid w:val="00DD13C3"/>
    <w:rsid w:val="00DD596E"/>
    <w:rsid w:val="00DD621E"/>
    <w:rsid w:val="00DF0575"/>
    <w:rsid w:val="00E70E04"/>
    <w:rsid w:val="00E76499"/>
    <w:rsid w:val="00EB67DA"/>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34155"/>
  <w15:docId w15:val="{7D264D4B-FB6F-43B4-B979-B26922B6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887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6CD0-3D69-4EB2-8724-352DE924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CRC/C/85/2</vt:lpstr>
    </vt:vector>
  </TitlesOfParts>
  <Company>DCM</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CRC/C/85/2</dc:title>
  <dc:subject>GE: 2014310</dc:subject>
  <dc:creator>Gamal MAHMOUD-M. BOULHAJ</dc:creator>
  <cp:keywords>ODS NO: 2027482</cp:keywords>
  <dc:description>Distr.: General_x000d_
29 October 2020_x000d_
Original: English</dc:description>
  <cp:lastModifiedBy>Gamal Mohamed Abdelhamid Mahmoud</cp:lastModifiedBy>
  <cp:revision>2</cp:revision>
  <dcterms:created xsi:type="dcterms:W3CDTF">2020-11-03T15:01:00Z</dcterms:created>
  <dcterms:modified xsi:type="dcterms:W3CDTF">2020-11-03T15:01:00Z</dcterms:modified>
</cp:coreProperties>
</file>