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9A363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6A069D" w:rsidRDefault="006A069D" w:rsidP="006A069D">
            <w:pPr>
              <w:jc w:val="right"/>
            </w:pPr>
            <w:r w:rsidRPr="006A069D">
              <w:rPr>
                <w:sz w:val="40"/>
              </w:rPr>
              <w:t>CRC</w:t>
            </w:r>
            <w:r>
              <w:t>/C/85/D/34/2017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val="en-GB" w:eastAsia="en-GB"/>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9A3634" w:rsidP="008F3CA0">
            <w:pPr>
              <w:spacing w:before="240"/>
            </w:pPr>
            <w:r>
              <w:t>Distr. générale</w:t>
            </w:r>
          </w:p>
          <w:p w:rsidR="009A3634" w:rsidRDefault="008A05F1" w:rsidP="009A3634">
            <w:pPr>
              <w:spacing w:line="240" w:lineRule="exact"/>
            </w:pPr>
            <w:r>
              <w:t>21 octobre 2020</w:t>
            </w:r>
          </w:p>
          <w:p w:rsidR="009A3634" w:rsidRDefault="009A3634" w:rsidP="009A3634">
            <w:pPr>
              <w:spacing w:line="240" w:lineRule="exact"/>
            </w:pPr>
          </w:p>
          <w:p w:rsidR="009A3634" w:rsidRPr="00DB58B5" w:rsidRDefault="009A3634" w:rsidP="009A3634">
            <w:pPr>
              <w:spacing w:line="240" w:lineRule="exact"/>
            </w:pPr>
            <w:r>
              <w:t xml:space="preserve">Original : </w:t>
            </w:r>
            <w:r w:rsidR="008A05F1">
              <w:t>français</w:t>
            </w:r>
          </w:p>
        </w:tc>
      </w:tr>
    </w:tbl>
    <w:p w:rsidR="002D14A3" w:rsidRDefault="002D14A3" w:rsidP="002D14A3">
      <w:pPr>
        <w:spacing w:before="120"/>
        <w:rPr>
          <w:b/>
          <w:sz w:val="24"/>
          <w:szCs w:val="24"/>
        </w:rPr>
      </w:pPr>
      <w:r w:rsidRPr="00DA3BE9">
        <w:rPr>
          <w:b/>
          <w:sz w:val="24"/>
          <w:szCs w:val="24"/>
        </w:rPr>
        <w:t>Comité des droits de l’enfant</w:t>
      </w:r>
    </w:p>
    <w:p w:rsidR="009A3634" w:rsidRDefault="009A3634" w:rsidP="009A3634">
      <w:pPr>
        <w:pStyle w:val="HChG"/>
        <w:rPr>
          <w:bCs/>
          <w:sz w:val="20"/>
          <w:shd w:val="clear" w:color="auto" w:fill="FFFFFF"/>
          <w:lang w:val="fr-FR"/>
        </w:rPr>
      </w:pPr>
      <w:r w:rsidRPr="00711EE7">
        <w:rPr>
          <w:lang w:val="fr-FR"/>
        </w:rPr>
        <w:tab/>
      </w:r>
      <w:r w:rsidRPr="00711EE7">
        <w:rPr>
          <w:lang w:val="fr-FR"/>
        </w:rPr>
        <w:tab/>
      </w:r>
      <w:r w:rsidRPr="00711EE7">
        <w:rPr>
          <w:lang w:val="fr-FR"/>
        </w:rPr>
        <w:tab/>
      </w:r>
      <w:r w:rsidRPr="0083289E">
        <w:rPr>
          <w:lang w:val="fr-FR"/>
        </w:rPr>
        <w:t xml:space="preserve">Décision adoptée par le Comité </w:t>
      </w:r>
      <w:r>
        <w:rPr>
          <w:lang w:val="fr-FR"/>
        </w:rPr>
        <w:t>au titre</w:t>
      </w:r>
      <w:r w:rsidRPr="0083289E">
        <w:rPr>
          <w:lang w:val="fr-FR"/>
        </w:rPr>
        <w:t xml:space="preserve"> du Protocole facultatif à la Convention relative aux droits </w:t>
      </w:r>
      <w:r w:rsidR="008A05F1">
        <w:rPr>
          <w:lang w:val="fr-FR"/>
        </w:rPr>
        <w:br/>
      </w:r>
      <w:r w:rsidRPr="0083289E">
        <w:rPr>
          <w:lang w:val="fr-FR"/>
        </w:rPr>
        <w:t>de l</w:t>
      </w:r>
      <w:r>
        <w:rPr>
          <w:lang w:val="fr-FR"/>
        </w:rPr>
        <w:t>’</w:t>
      </w:r>
      <w:r w:rsidRPr="0083289E">
        <w:rPr>
          <w:lang w:val="fr-FR"/>
        </w:rPr>
        <w:t xml:space="preserve">enfant établissant une procédure </w:t>
      </w:r>
      <w:r w:rsidR="008A05F1">
        <w:rPr>
          <w:lang w:val="fr-FR"/>
        </w:rPr>
        <w:br/>
      </w:r>
      <w:r w:rsidRPr="0083289E">
        <w:rPr>
          <w:lang w:val="fr-FR"/>
        </w:rPr>
        <w:t xml:space="preserve">de présentation de communications, </w:t>
      </w:r>
      <w:r w:rsidR="008A05F1">
        <w:rPr>
          <w:lang w:val="fr-FR"/>
        </w:rPr>
        <w:br/>
      </w:r>
      <w:r w:rsidRPr="0083289E">
        <w:rPr>
          <w:lang w:val="fr-FR"/>
        </w:rPr>
        <w:t xml:space="preserve">concernant la communication </w:t>
      </w:r>
      <w:r w:rsidRPr="0083289E">
        <w:rPr>
          <w:rFonts w:eastAsia="MS Mincho"/>
          <w:lang w:val="fr-FR"/>
        </w:rPr>
        <w:t>n</w:t>
      </w:r>
      <w:r w:rsidRPr="0083289E">
        <w:rPr>
          <w:rFonts w:eastAsia="MS Mincho"/>
          <w:vertAlign w:val="superscript"/>
          <w:lang w:val="fr-FR"/>
        </w:rPr>
        <w:t>o</w:t>
      </w:r>
      <w:r>
        <w:rPr>
          <w:lang w:val="fr-FR"/>
        </w:rPr>
        <w:t> 34</w:t>
      </w:r>
      <w:r w:rsidRPr="00BA4D4F">
        <w:rPr>
          <w:lang w:val="fr-FR"/>
        </w:rPr>
        <w:t>/2017</w:t>
      </w:r>
      <w:r w:rsidRPr="00CF50EC">
        <w:rPr>
          <w:rStyle w:val="Appelnotedebasdep"/>
          <w:b w:val="0"/>
          <w:sz w:val="20"/>
          <w:vertAlign w:val="baseline"/>
        </w:rPr>
        <w:footnoteReference w:customMarkFollows="1" w:id="2"/>
        <w:t>*</w:t>
      </w:r>
      <w:r w:rsidRPr="009579D9">
        <w:rPr>
          <w:position w:val="6"/>
          <w:sz w:val="18"/>
        </w:rPr>
        <w:t>,</w:t>
      </w:r>
      <w:r w:rsidRPr="009579D9">
        <w:rPr>
          <w:bCs/>
          <w:sz w:val="20"/>
          <w:shd w:val="clear" w:color="auto" w:fill="FFFFFF"/>
          <w:lang w:val="fr-FR"/>
        </w:rPr>
        <w:t xml:space="preserve"> </w:t>
      </w:r>
      <w:r w:rsidRPr="00CF50EC">
        <w:rPr>
          <w:b w:val="0"/>
          <w:sz w:val="20"/>
          <w:shd w:val="clear" w:color="auto" w:fill="FFFFFF"/>
          <w:lang w:val="fr-FR"/>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9A3634" w:rsidRPr="00797A16" w:rsidTr="00CF50EC">
        <w:tc>
          <w:tcPr>
            <w:tcW w:w="2835" w:type="dxa"/>
          </w:tcPr>
          <w:p w:rsidR="009A3634" w:rsidRPr="00797A16" w:rsidRDefault="009A3634" w:rsidP="008A05F1">
            <w:pPr>
              <w:pStyle w:val="SingleTxtG"/>
              <w:ind w:left="0" w:right="0"/>
              <w:jc w:val="left"/>
              <w:rPr>
                <w:i/>
              </w:rPr>
            </w:pPr>
            <w:r w:rsidRPr="00797A16">
              <w:rPr>
                <w:i/>
              </w:rPr>
              <w:t>Communication présentée par</w:t>
            </w:r>
            <w:r>
              <w:t> :</w:t>
            </w:r>
          </w:p>
        </w:tc>
        <w:tc>
          <w:tcPr>
            <w:tcW w:w="3969" w:type="dxa"/>
          </w:tcPr>
          <w:p w:rsidR="009A3634" w:rsidRPr="00797A16" w:rsidRDefault="00FA1801" w:rsidP="008A05F1">
            <w:pPr>
              <w:pStyle w:val="SingleTxtG"/>
              <w:ind w:left="57" w:right="0"/>
              <w:jc w:val="left"/>
            </w:pPr>
            <w:r>
              <w:rPr>
                <w:iCs/>
                <w:lang w:val="fr-FR"/>
              </w:rPr>
              <w:t>U. G.</w:t>
            </w:r>
            <w:r w:rsidR="009A3634" w:rsidRPr="00711EE7">
              <w:rPr>
                <w:iCs/>
                <w:lang w:val="fr-FR"/>
              </w:rPr>
              <w:t xml:space="preserve"> (</w:t>
            </w:r>
            <w:r w:rsidR="009A3634">
              <w:rPr>
                <w:iCs/>
                <w:lang w:val="fr-FR"/>
              </w:rPr>
              <w:t>tuteur d’</w:t>
            </w:r>
            <w:r>
              <w:rPr>
                <w:iCs/>
                <w:lang w:val="fr-FR"/>
              </w:rPr>
              <w:t>E. S.</w:t>
            </w:r>
            <w:r w:rsidR="009A3634">
              <w:rPr>
                <w:iCs/>
                <w:lang w:val="fr-FR"/>
              </w:rPr>
              <w:t xml:space="preserve">, </w:t>
            </w:r>
            <w:r w:rsidR="009A3634" w:rsidRPr="00711EE7">
              <w:rPr>
                <w:iCs/>
                <w:lang w:val="fr-FR"/>
              </w:rPr>
              <w:t>représenté</w:t>
            </w:r>
            <w:r w:rsidR="009A3634">
              <w:rPr>
                <w:iCs/>
                <w:lang w:val="fr-FR"/>
              </w:rPr>
              <w:t xml:space="preserve"> par des </w:t>
            </w:r>
            <w:r w:rsidR="009A3634" w:rsidRPr="00711EE7">
              <w:rPr>
                <w:iCs/>
                <w:lang w:val="fr-FR"/>
              </w:rPr>
              <w:t>conseil</w:t>
            </w:r>
            <w:r w:rsidR="009A3634">
              <w:rPr>
                <w:iCs/>
                <w:lang w:val="fr-FR"/>
              </w:rPr>
              <w:t>s</w:t>
            </w:r>
            <w:r w:rsidR="009A3634" w:rsidRPr="00711EE7">
              <w:rPr>
                <w:iCs/>
                <w:lang w:val="fr-FR"/>
              </w:rPr>
              <w:t xml:space="preserve">, </w:t>
            </w:r>
            <w:r w:rsidR="009A3634" w:rsidRPr="00463988">
              <w:rPr>
                <w:iCs/>
                <w:lang w:val="fr-FR"/>
              </w:rPr>
              <w:t xml:space="preserve">Jacques </w:t>
            </w:r>
            <w:r w:rsidR="009A3634">
              <w:rPr>
                <w:iCs/>
                <w:lang w:val="fr-FR"/>
              </w:rPr>
              <w:t xml:space="preserve">Fierens et </w:t>
            </w:r>
            <w:r w:rsidR="009A3634" w:rsidRPr="00463988">
              <w:rPr>
                <w:iCs/>
                <w:lang w:val="fr-FR"/>
              </w:rPr>
              <w:t xml:space="preserve">Thierry </w:t>
            </w:r>
            <w:r w:rsidR="009A3634">
              <w:rPr>
                <w:iCs/>
                <w:lang w:val="fr-FR"/>
              </w:rPr>
              <w:t>Moreau</w:t>
            </w:r>
            <w:r w:rsidR="009A3634" w:rsidRPr="00711EE7">
              <w:rPr>
                <w:iCs/>
                <w:lang w:val="fr-FR"/>
              </w:rPr>
              <w:t>)</w:t>
            </w:r>
          </w:p>
        </w:tc>
      </w:tr>
      <w:tr w:rsidR="009A3634" w:rsidRPr="00797A16" w:rsidTr="00CF50EC">
        <w:tc>
          <w:tcPr>
            <w:tcW w:w="2835" w:type="dxa"/>
          </w:tcPr>
          <w:p w:rsidR="009A3634" w:rsidRPr="00797A16" w:rsidRDefault="009A3634" w:rsidP="008A05F1">
            <w:pPr>
              <w:pStyle w:val="SingleTxtG"/>
              <w:ind w:left="0" w:right="0"/>
              <w:jc w:val="left"/>
              <w:rPr>
                <w:i/>
              </w:rPr>
            </w:pPr>
            <w:r>
              <w:rPr>
                <w:i/>
                <w:iCs/>
                <w:lang w:val="fr-FR"/>
              </w:rPr>
              <w:t>Victime(s) présumée(s)</w:t>
            </w:r>
            <w:r>
              <w:t> :</w:t>
            </w:r>
          </w:p>
        </w:tc>
        <w:tc>
          <w:tcPr>
            <w:tcW w:w="3969" w:type="dxa"/>
          </w:tcPr>
          <w:p w:rsidR="009A3634" w:rsidRPr="00797A16" w:rsidRDefault="00FA1801" w:rsidP="008A05F1">
            <w:pPr>
              <w:pStyle w:val="SingleTxtG"/>
              <w:ind w:left="57" w:right="0"/>
              <w:jc w:val="left"/>
            </w:pPr>
            <w:r>
              <w:rPr>
                <w:lang w:val="fr-FR"/>
              </w:rPr>
              <w:t>E. S.</w:t>
            </w:r>
            <w:r w:rsidR="009A3634" w:rsidRPr="00B76955">
              <w:rPr>
                <w:lang w:val="fr-FR"/>
              </w:rPr>
              <w:t xml:space="preserve"> et sa fille, B. M.</w:t>
            </w:r>
          </w:p>
        </w:tc>
      </w:tr>
      <w:tr w:rsidR="009A3634" w:rsidRPr="00797A16" w:rsidTr="00CF50EC">
        <w:tc>
          <w:tcPr>
            <w:tcW w:w="2835" w:type="dxa"/>
          </w:tcPr>
          <w:p w:rsidR="009A3634" w:rsidRPr="00797A16" w:rsidRDefault="009A3634" w:rsidP="008A05F1">
            <w:pPr>
              <w:pStyle w:val="SingleTxtG"/>
              <w:ind w:left="0" w:right="0"/>
              <w:jc w:val="left"/>
              <w:rPr>
                <w:i/>
              </w:rPr>
            </w:pPr>
            <w:r w:rsidRPr="00797A16">
              <w:rPr>
                <w:i/>
              </w:rPr>
              <w:t>État partie</w:t>
            </w:r>
            <w:r>
              <w:t> :</w:t>
            </w:r>
          </w:p>
        </w:tc>
        <w:tc>
          <w:tcPr>
            <w:tcW w:w="3969" w:type="dxa"/>
          </w:tcPr>
          <w:p w:rsidR="009A3634" w:rsidRPr="00797A16" w:rsidRDefault="009A3634" w:rsidP="008A05F1">
            <w:pPr>
              <w:pStyle w:val="SingleTxtG"/>
              <w:ind w:left="57" w:right="0"/>
              <w:jc w:val="left"/>
            </w:pPr>
            <w:r>
              <w:rPr>
                <w:lang w:val="fr-FR"/>
              </w:rPr>
              <w:t>Belgique</w:t>
            </w:r>
          </w:p>
        </w:tc>
      </w:tr>
      <w:tr w:rsidR="009A3634" w:rsidRPr="00797A16" w:rsidTr="00CF50EC">
        <w:tc>
          <w:tcPr>
            <w:tcW w:w="2835" w:type="dxa"/>
          </w:tcPr>
          <w:p w:rsidR="009A3634" w:rsidRPr="00797A16" w:rsidRDefault="009A3634" w:rsidP="008A05F1">
            <w:pPr>
              <w:pStyle w:val="SingleTxtG"/>
              <w:ind w:left="0" w:right="0"/>
              <w:jc w:val="left"/>
              <w:rPr>
                <w:i/>
              </w:rPr>
            </w:pPr>
            <w:r w:rsidRPr="00797A16">
              <w:rPr>
                <w:i/>
              </w:rPr>
              <w:t>Date de la communication</w:t>
            </w:r>
            <w:r>
              <w:t> :</w:t>
            </w:r>
          </w:p>
        </w:tc>
        <w:tc>
          <w:tcPr>
            <w:tcW w:w="3969" w:type="dxa"/>
          </w:tcPr>
          <w:p w:rsidR="009A3634" w:rsidRPr="00797A16" w:rsidRDefault="009A3634" w:rsidP="008A05F1">
            <w:pPr>
              <w:pStyle w:val="SingleTxtG"/>
              <w:ind w:left="57" w:right="0"/>
              <w:jc w:val="left"/>
            </w:pPr>
            <w:r>
              <w:rPr>
                <w:lang w:val="fr-FR"/>
              </w:rPr>
              <w:t>24</w:t>
            </w:r>
            <w:r w:rsidRPr="00711EE7">
              <w:rPr>
                <w:lang w:val="fr-FR"/>
              </w:rPr>
              <w:t xml:space="preserve"> </w:t>
            </w:r>
            <w:r>
              <w:rPr>
                <w:lang w:val="fr-FR"/>
              </w:rPr>
              <w:t>juin</w:t>
            </w:r>
            <w:r w:rsidRPr="00711EE7">
              <w:rPr>
                <w:lang w:val="fr-FR"/>
              </w:rPr>
              <w:t xml:space="preserve"> 2017</w:t>
            </w:r>
            <w:r>
              <w:rPr>
                <w:lang w:val="fr-FR"/>
              </w:rPr>
              <w:t xml:space="preserve"> (date de la lettre initiale)</w:t>
            </w:r>
          </w:p>
        </w:tc>
      </w:tr>
      <w:tr w:rsidR="009A3634" w:rsidRPr="00797A16" w:rsidTr="00CF50EC">
        <w:tc>
          <w:tcPr>
            <w:tcW w:w="2835" w:type="dxa"/>
          </w:tcPr>
          <w:p w:rsidR="009A3634" w:rsidRPr="00797A16" w:rsidRDefault="009A3634" w:rsidP="008A05F1">
            <w:pPr>
              <w:pStyle w:val="SingleTxtG"/>
              <w:ind w:left="0" w:right="0"/>
              <w:jc w:val="left"/>
              <w:rPr>
                <w:i/>
              </w:rPr>
            </w:pPr>
            <w:r w:rsidRPr="00797A16">
              <w:rPr>
                <w:i/>
              </w:rPr>
              <w:t>Date de la décision</w:t>
            </w:r>
            <w:r>
              <w:t> :</w:t>
            </w:r>
          </w:p>
        </w:tc>
        <w:tc>
          <w:tcPr>
            <w:tcW w:w="3969" w:type="dxa"/>
            <w:vAlign w:val="bottom"/>
          </w:tcPr>
          <w:p w:rsidR="009A3634" w:rsidRPr="00797A16" w:rsidRDefault="009A3634" w:rsidP="008A05F1">
            <w:pPr>
              <w:pStyle w:val="SingleTxtG"/>
              <w:ind w:left="57" w:right="0"/>
              <w:jc w:val="left"/>
            </w:pPr>
            <w:r>
              <w:rPr>
                <w:lang w:val="fr-FR"/>
              </w:rPr>
              <w:t xml:space="preserve">28 septembre </w:t>
            </w:r>
            <w:r w:rsidRPr="00711EE7">
              <w:rPr>
                <w:lang w:val="fr-FR"/>
              </w:rPr>
              <w:t>2020</w:t>
            </w:r>
          </w:p>
        </w:tc>
      </w:tr>
      <w:tr w:rsidR="009A3634" w:rsidRPr="00797A16" w:rsidTr="00CF50EC">
        <w:tc>
          <w:tcPr>
            <w:tcW w:w="2835" w:type="dxa"/>
          </w:tcPr>
          <w:p w:rsidR="009A3634" w:rsidRPr="00797A16" w:rsidRDefault="009A3634" w:rsidP="008A05F1">
            <w:pPr>
              <w:pStyle w:val="SingleTxtG"/>
              <w:ind w:left="0" w:right="0"/>
              <w:jc w:val="left"/>
            </w:pPr>
            <w:r w:rsidRPr="00797A16">
              <w:rPr>
                <w:i/>
              </w:rPr>
              <w:t>Objet</w:t>
            </w:r>
            <w:r>
              <w:t> :</w:t>
            </w:r>
          </w:p>
        </w:tc>
        <w:tc>
          <w:tcPr>
            <w:tcW w:w="3969" w:type="dxa"/>
            <w:vAlign w:val="bottom"/>
          </w:tcPr>
          <w:p w:rsidR="009A3634" w:rsidRPr="00797A16" w:rsidRDefault="009A3634" w:rsidP="008A05F1">
            <w:pPr>
              <w:pStyle w:val="SingleTxtG"/>
              <w:ind w:left="57" w:right="0"/>
              <w:jc w:val="left"/>
            </w:pPr>
            <w:r>
              <w:t>Condamnation d’une adolescente ; privation de liberté ; séparation de l’enfant</w:t>
            </w:r>
          </w:p>
        </w:tc>
      </w:tr>
      <w:tr w:rsidR="009A3634" w:rsidRPr="00797A16" w:rsidTr="00CF50EC">
        <w:tc>
          <w:tcPr>
            <w:tcW w:w="2835" w:type="dxa"/>
          </w:tcPr>
          <w:p w:rsidR="009A3634" w:rsidRPr="00797A16" w:rsidRDefault="009A3634" w:rsidP="008A05F1">
            <w:pPr>
              <w:pStyle w:val="SingleTxtG"/>
              <w:ind w:left="0" w:right="0"/>
              <w:jc w:val="left"/>
            </w:pPr>
            <w:r w:rsidRPr="00797A16">
              <w:rPr>
                <w:i/>
              </w:rPr>
              <w:t>Question(s) de procédure</w:t>
            </w:r>
            <w:r>
              <w:t> :</w:t>
            </w:r>
          </w:p>
        </w:tc>
        <w:tc>
          <w:tcPr>
            <w:tcW w:w="3969" w:type="dxa"/>
            <w:vAlign w:val="bottom"/>
          </w:tcPr>
          <w:p w:rsidR="009A3634" w:rsidRPr="00797A16" w:rsidRDefault="009A3634" w:rsidP="008A05F1">
            <w:pPr>
              <w:pStyle w:val="SingleTxtG"/>
              <w:ind w:left="57" w:right="0"/>
              <w:jc w:val="left"/>
            </w:pPr>
            <w:r>
              <w:rPr>
                <w:lang w:val="fr-FR"/>
              </w:rPr>
              <w:t>G</w:t>
            </w:r>
            <w:r w:rsidRPr="00711EE7">
              <w:rPr>
                <w:lang w:val="fr-FR"/>
              </w:rPr>
              <w:t>riefs insuffisamment étayés</w:t>
            </w:r>
          </w:p>
        </w:tc>
      </w:tr>
      <w:tr w:rsidR="009A3634" w:rsidRPr="00797A16" w:rsidTr="00CF50EC">
        <w:tc>
          <w:tcPr>
            <w:tcW w:w="2835" w:type="dxa"/>
          </w:tcPr>
          <w:p w:rsidR="009A3634" w:rsidRPr="00797A16" w:rsidRDefault="009A3634" w:rsidP="008A05F1">
            <w:pPr>
              <w:pStyle w:val="SingleTxtG"/>
              <w:ind w:left="0" w:right="0"/>
              <w:jc w:val="left"/>
              <w:rPr>
                <w:i/>
              </w:rPr>
            </w:pPr>
            <w:r w:rsidRPr="00797A16">
              <w:rPr>
                <w:i/>
              </w:rPr>
              <w:t>Question(s) de</w:t>
            </w:r>
            <w:r>
              <w:rPr>
                <w:i/>
              </w:rPr>
              <w:t xml:space="preserve"> fond </w:t>
            </w:r>
            <w:r w:rsidRPr="0080310A">
              <w:rPr>
                <w:iCs/>
              </w:rPr>
              <w:t>:</w:t>
            </w:r>
          </w:p>
        </w:tc>
        <w:tc>
          <w:tcPr>
            <w:tcW w:w="3969" w:type="dxa"/>
            <w:vAlign w:val="bottom"/>
          </w:tcPr>
          <w:p w:rsidR="009A3634" w:rsidRDefault="009A3634" w:rsidP="008A05F1">
            <w:pPr>
              <w:pStyle w:val="SingleTxtG"/>
              <w:ind w:left="57" w:right="0"/>
              <w:jc w:val="left"/>
              <w:rPr>
                <w:lang w:val="fr-FR"/>
              </w:rPr>
            </w:pPr>
            <w:r>
              <w:t>Développement de l’enfant ; intérêt supérieur de l’enfant ; discrimination ; droit à l’identité ; immixtions arbitraires ou illégales dans la vie privée ; protection de l’enfant contre toute forme de violence, abandon ou négligence ; protection de l’enfant contre toute autre forme d’exploitation préjudiciable à tout aspect de son bien-être ; protection de l’enfant privé de son milieu familial ; privation de liberté ; droit de tout enfant suspecté, accusé ou convaincu d’infraction à la loi pénale à un traitement qui soit de nature à favoriser son sens de la dignité et de la valeur personnelle</w:t>
            </w:r>
          </w:p>
        </w:tc>
      </w:tr>
      <w:tr w:rsidR="009A3634" w:rsidRPr="00797A16" w:rsidTr="00CF50EC">
        <w:tc>
          <w:tcPr>
            <w:tcW w:w="2835" w:type="dxa"/>
          </w:tcPr>
          <w:p w:rsidR="009A3634" w:rsidRPr="00797A16" w:rsidRDefault="009A3634" w:rsidP="008A05F1">
            <w:pPr>
              <w:pStyle w:val="SingleTxtG"/>
              <w:ind w:left="0" w:right="0"/>
              <w:jc w:val="left"/>
            </w:pPr>
            <w:r w:rsidRPr="00797A16">
              <w:rPr>
                <w:i/>
              </w:rPr>
              <w:t>Article(s) de la Convention</w:t>
            </w:r>
            <w:r>
              <w:t> :</w:t>
            </w:r>
          </w:p>
        </w:tc>
        <w:tc>
          <w:tcPr>
            <w:tcW w:w="3969" w:type="dxa"/>
            <w:vAlign w:val="bottom"/>
          </w:tcPr>
          <w:p w:rsidR="009A3634" w:rsidRPr="00797A16" w:rsidRDefault="009A3634" w:rsidP="008A05F1">
            <w:pPr>
              <w:pStyle w:val="SingleTxtG"/>
              <w:ind w:left="57" w:right="0"/>
              <w:jc w:val="left"/>
            </w:pPr>
            <w:r w:rsidRPr="00A058E0">
              <w:rPr>
                <w:szCs w:val="24"/>
                <w:lang w:val="fr-FR"/>
              </w:rPr>
              <w:t>2, 3 (</w:t>
            </w:r>
            <w:r>
              <w:rPr>
                <w:szCs w:val="24"/>
                <w:lang w:val="fr-FR"/>
              </w:rPr>
              <w:t>par. </w:t>
            </w:r>
            <w:r w:rsidRPr="00A058E0">
              <w:rPr>
                <w:szCs w:val="24"/>
                <w:lang w:val="fr-FR"/>
              </w:rPr>
              <w:t>1), 7 (</w:t>
            </w:r>
            <w:r>
              <w:rPr>
                <w:szCs w:val="24"/>
                <w:lang w:val="fr-FR"/>
              </w:rPr>
              <w:t>par. </w:t>
            </w:r>
            <w:r w:rsidRPr="00A058E0">
              <w:rPr>
                <w:szCs w:val="24"/>
                <w:lang w:val="fr-FR"/>
              </w:rPr>
              <w:t>1), 9 (</w:t>
            </w:r>
            <w:r>
              <w:rPr>
                <w:szCs w:val="24"/>
                <w:lang w:val="fr-FR"/>
              </w:rPr>
              <w:t>par. </w:t>
            </w:r>
            <w:r w:rsidRPr="00A058E0">
              <w:rPr>
                <w:szCs w:val="24"/>
                <w:lang w:val="fr-FR"/>
              </w:rPr>
              <w:t>1</w:t>
            </w:r>
            <w:r>
              <w:rPr>
                <w:szCs w:val="24"/>
                <w:lang w:val="fr-FR"/>
              </w:rPr>
              <w:t xml:space="preserve"> à </w:t>
            </w:r>
            <w:r w:rsidRPr="00A058E0">
              <w:rPr>
                <w:szCs w:val="24"/>
                <w:lang w:val="fr-FR"/>
              </w:rPr>
              <w:t>3), 16, 19</w:t>
            </w:r>
            <w:r w:rsidR="008A05F1">
              <w:rPr>
                <w:szCs w:val="24"/>
                <w:lang w:val="fr-FR"/>
              </w:rPr>
              <w:t> </w:t>
            </w:r>
            <w:r w:rsidRPr="00A058E0">
              <w:rPr>
                <w:szCs w:val="24"/>
                <w:lang w:val="fr-FR"/>
              </w:rPr>
              <w:t>(</w:t>
            </w:r>
            <w:r>
              <w:rPr>
                <w:szCs w:val="24"/>
                <w:lang w:val="fr-FR"/>
              </w:rPr>
              <w:t>par. </w:t>
            </w:r>
            <w:r w:rsidRPr="00A058E0">
              <w:rPr>
                <w:szCs w:val="24"/>
                <w:lang w:val="fr-FR"/>
              </w:rPr>
              <w:t>1), 36, 37</w:t>
            </w:r>
            <w:r w:rsidR="008A05F1">
              <w:rPr>
                <w:szCs w:val="24"/>
                <w:lang w:val="fr-FR"/>
              </w:rPr>
              <w:t> </w:t>
            </w:r>
            <w:r w:rsidRPr="00A058E0">
              <w:rPr>
                <w:szCs w:val="24"/>
                <w:lang w:val="fr-FR"/>
              </w:rPr>
              <w:t xml:space="preserve">b) </w:t>
            </w:r>
            <w:r>
              <w:rPr>
                <w:szCs w:val="24"/>
                <w:lang w:val="fr-FR"/>
              </w:rPr>
              <w:t>à</w:t>
            </w:r>
            <w:r w:rsidRPr="00A058E0">
              <w:rPr>
                <w:szCs w:val="24"/>
                <w:lang w:val="fr-FR"/>
              </w:rPr>
              <w:t xml:space="preserve"> d)</w:t>
            </w:r>
            <w:r>
              <w:rPr>
                <w:szCs w:val="24"/>
                <w:lang w:val="fr-FR"/>
              </w:rPr>
              <w:t xml:space="preserve"> et</w:t>
            </w:r>
            <w:r w:rsidRPr="00A058E0">
              <w:rPr>
                <w:szCs w:val="24"/>
                <w:lang w:val="fr-FR"/>
              </w:rPr>
              <w:t xml:space="preserve"> </w:t>
            </w:r>
            <w:r>
              <w:rPr>
                <w:szCs w:val="24"/>
                <w:lang w:val="fr-FR"/>
              </w:rPr>
              <w:t>40 (par. 1, 2</w:t>
            </w:r>
            <w:r w:rsidR="008A05F1">
              <w:rPr>
                <w:szCs w:val="24"/>
                <w:lang w:val="fr-FR"/>
              </w:rPr>
              <w:t> </w:t>
            </w:r>
            <w:r>
              <w:rPr>
                <w:szCs w:val="24"/>
                <w:lang w:val="fr-FR"/>
              </w:rPr>
              <w:t>b) [al. ii],</w:t>
            </w:r>
            <w:r w:rsidRPr="00A058E0">
              <w:rPr>
                <w:szCs w:val="24"/>
                <w:lang w:val="fr-FR"/>
              </w:rPr>
              <w:t xml:space="preserve"> 3</w:t>
            </w:r>
            <w:r>
              <w:rPr>
                <w:szCs w:val="24"/>
                <w:lang w:val="fr-FR"/>
              </w:rPr>
              <w:t xml:space="preserve"> et</w:t>
            </w:r>
            <w:r w:rsidRPr="00A058E0">
              <w:rPr>
                <w:szCs w:val="24"/>
                <w:lang w:val="fr-FR"/>
              </w:rPr>
              <w:t xml:space="preserve"> 4)</w:t>
            </w:r>
          </w:p>
        </w:tc>
      </w:tr>
      <w:tr w:rsidR="009A3634" w:rsidRPr="00797A16" w:rsidTr="00CF50EC">
        <w:tc>
          <w:tcPr>
            <w:tcW w:w="2835" w:type="dxa"/>
          </w:tcPr>
          <w:p w:rsidR="009A3634" w:rsidRPr="005B20B4" w:rsidRDefault="009A3634" w:rsidP="008A05F1">
            <w:pPr>
              <w:pStyle w:val="SingleTxtG"/>
              <w:ind w:left="0" w:right="0"/>
              <w:jc w:val="left"/>
            </w:pPr>
            <w:r w:rsidRPr="005B20B4">
              <w:rPr>
                <w:i/>
              </w:rPr>
              <w:lastRenderedPageBreak/>
              <w:t>Article(s) du Protocole facultatif</w:t>
            </w:r>
            <w:r w:rsidRPr="005B20B4">
              <w:t> :</w:t>
            </w:r>
          </w:p>
        </w:tc>
        <w:tc>
          <w:tcPr>
            <w:tcW w:w="3969" w:type="dxa"/>
          </w:tcPr>
          <w:p w:rsidR="009A3634" w:rsidRPr="005B20B4" w:rsidRDefault="009A3634" w:rsidP="008A05F1">
            <w:pPr>
              <w:pStyle w:val="SingleTxtG"/>
              <w:ind w:left="57" w:right="0"/>
              <w:jc w:val="left"/>
            </w:pPr>
            <w:r>
              <w:rPr>
                <w:lang w:val="fr-FR"/>
              </w:rPr>
              <w:t>5 (</w:t>
            </w:r>
            <w:r>
              <w:rPr>
                <w:szCs w:val="24"/>
                <w:lang w:val="fr-FR"/>
              </w:rPr>
              <w:t>par. </w:t>
            </w:r>
            <w:r>
              <w:rPr>
                <w:lang w:val="fr-FR"/>
              </w:rPr>
              <w:t xml:space="preserve">2), et </w:t>
            </w:r>
            <w:r w:rsidRPr="005B20B4">
              <w:rPr>
                <w:lang w:val="fr-FR"/>
              </w:rPr>
              <w:t xml:space="preserve">7 </w:t>
            </w:r>
            <w:r>
              <w:rPr>
                <w:iCs/>
                <w:lang w:val="fr-FR"/>
              </w:rPr>
              <w:t>e</w:t>
            </w:r>
            <w:r w:rsidRPr="005B20B4">
              <w:rPr>
                <w:iCs/>
                <w:lang w:val="fr-FR"/>
              </w:rPr>
              <w:t xml:space="preserve">) </w:t>
            </w:r>
            <w:r>
              <w:rPr>
                <w:iCs/>
                <w:lang w:val="fr-FR"/>
              </w:rPr>
              <w:t>et f</w:t>
            </w:r>
            <w:r w:rsidRPr="005B20B4">
              <w:rPr>
                <w:iCs/>
                <w:lang w:val="fr-FR"/>
              </w:rPr>
              <w:t>)</w:t>
            </w:r>
          </w:p>
        </w:tc>
      </w:tr>
    </w:tbl>
    <w:p w:rsidR="009A3634" w:rsidRPr="00711EE7" w:rsidRDefault="009A3634" w:rsidP="009A3634">
      <w:pPr>
        <w:pStyle w:val="SingleTxtG"/>
        <w:rPr>
          <w:spacing w:val="-2"/>
          <w:lang w:val="fr-FR"/>
        </w:rPr>
      </w:pPr>
      <w:r w:rsidRPr="00711EE7">
        <w:rPr>
          <w:lang w:val="fr-FR"/>
        </w:rPr>
        <w:t>1.</w:t>
      </w:r>
      <w:r w:rsidRPr="00711EE7">
        <w:rPr>
          <w:lang w:val="fr-FR"/>
        </w:rPr>
        <w:tab/>
        <w:t>L</w:t>
      </w:r>
      <w:r>
        <w:rPr>
          <w:lang w:val="fr-FR"/>
        </w:rPr>
        <w:t>’</w:t>
      </w:r>
      <w:r w:rsidRPr="00711EE7">
        <w:rPr>
          <w:lang w:val="fr-FR"/>
        </w:rPr>
        <w:t>auteur de la communication est</w:t>
      </w:r>
      <w:r w:rsidRPr="00661ECD">
        <w:t xml:space="preserve"> </w:t>
      </w:r>
      <w:r>
        <w:t>U.</w:t>
      </w:r>
      <w:r w:rsidR="00FA1801">
        <w:t> </w:t>
      </w:r>
      <w:r>
        <w:t>G., tuteur d’</w:t>
      </w:r>
      <w:r w:rsidR="00FA1801">
        <w:rPr>
          <w:lang w:val="fr-FR"/>
        </w:rPr>
        <w:t>E. S.</w:t>
      </w:r>
      <w:r>
        <w:rPr>
          <w:lang w:val="fr-FR"/>
        </w:rPr>
        <w:t>, jeune fille</w:t>
      </w:r>
      <w:r w:rsidRPr="00711EE7">
        <w:rPr>
          <w:lang w:val="fr-FR"/>
        </w:rPr>
        <w:t xml:space="preserve"> de nationalité </w:t>
      </w:r>
      <w:r>
        <w:rPr>
          <w:lang w:val="fr-FR"/>
        </w:rPr>
        <w:t xml:space="preserve">roumaine </w:t>
      </w:r>
      <w:r w:rsidRPr="00711EE7">
        <w:rPr>
          <w:lang w:val="fr-FR"/>
        </w:rPr>
        <w:t>né</w:t>
      </w:r>
      <w:r>
        <w:rPr>
          <w:lang w:val="fr-FR"/>
        </w:rPr>
        <w:t>e le 26 juin 1999</w:t>
      </w:r>
      <w:r w:rsidRPr="00711EE7">
        <w:rPr>
          <w:lang w:val="fr-FR"/>
        </w:rPr>
        <w:t xml:space="preserve">. </w:t>
      </w:r>
      <w:r>
        <w:rPr>
          <w:lang w:val="fr-FR"/>
        </w:rPr>
        <w:t>Il</w:t>
      </w:r>
      <w:r w:rsidRPr="00711EE7">
        <w:rPr>
          <w:lang w:val="fr-FR"/>
        </w:rPr>
        <w:t xml:space="preserve"> présente la communication </w:t>
      </w:r>
      <w:r w:rsidRPr="00B76955">
        <w:rPr>
          <w:lang w:val="fr-FR"/>
        </w:rPr>
        <w:t xml:space="preserve">au nom </w:t>
      </w:r>
      <w:r>
        <w:rPr>
          <w:lang w:val="fr-FR"/>
        </w:rPr>
        <w:t>d’</w:t>
      </w:r>
      <w:r w:rsidR="00FA1801">
        <w:rPr>
          <w:lang w:val="fr-FR"/>
        </w:rPr>
        <w:t>E. S.</w:t>
      </w:r>
      <w:r>
        <w:rPr>
          <w:lang w:val="fr-FR"/>
        </w:rPr>
        <w:t xml:space="preserve"> et </w:t>
      </w:r>
      <w:r w:rsidRPr="00B76955">
        <w:rPr>
          <w:lang w:val="fr-FR"/>
        </w:rPr>
        <w:t xml:space="preserve">de </w:t>
      </w:r>
      <w:r>
        <w:rPr>
          <w:lang w:val="fr-FR"/>
        </w:rPr>
        <w:t>l</w:t>
      </w:r>
      <w:r w:rsidRPr="00B76955">
        <w:rPr>
          <w:lang w:val="fr-FR"/>
        </w:rPr>
        <w:t>a fille</w:t>
      </w:r>
      <w:r>
        <w:rPr>
          <w:lang w:val="fr-FR"/>
        </w:rPr>
        <w:t xml:space="preserve"> de cette dernière</w:t>
      </w:r>
      <w:r w:rsidRPr="00B76955">
        <w:rPr>
          <w:lang w:val="fr-FR"/>
        </w:rPr>
        <w:t>, B</w:t>
      </w:r>
      <w:r w:rsidR="00FA1801" w:rsidRPr="00B76955">
        <w:rPr>
          <w:lang w:val="fr-FR"/>
        </w:rPr>
        <w:t>.</w:t>
      </w:r>
      <w:r w:rsidR="00FA1801">
        <w:rPr>
          <w:lang w:val="fr-FR"/>
        </w:rPr>
        <w:t> </w:t>
      </w:r>
      <w:r w:rsidRPr="00B76955">
        <w:rPr>
          <w:lang w:val="fr-FR"/>
        </w:rPr>
        <w:t xml:space="preserve">M., née le 6 avril </w:t>
      </w:r>
      <w:r w:rsidRPr="0017453B">
        <w:rPr>
          <w:lang w:val="fr-FR"/>
        </w:rPr>
        <w:t xml:space="preserve">2015. </w:t>
      </w:r>
      <w:r>
        <w:rPr>
          <w:lang w:val="fr-FR"/>
        </w:rPr>
        <w:t>L’auteur soutient qu’</w:t>
      </w:r>
      <w:r w:rsidR="00FA1801">
        <w:rPr>
          <w:lang w:val="fr-FR"/>
        </w:rPr>
        <w:t>E. S.</w:t>
      </w:r>
      <w:r>
        <w:rPr>
          <w:lang w:val="fr-FR"/>
        </w:rPr>
        <w:t xml:space="preserve"> </w:t>
      </w:r>
      <w:r w:rsidRPr="0017453B">
        <w:rPr>
          <w:lang w:val="fr-FR"/>
        </w:rPr>
        <w:t>est victime</w:t>
      </w:r>
      <w:r w:rsidRPr="00711EE7">
        <w:rPr>
          <w:lang w:val="fr-FR"/>
        </w:rPr>
        <w:t xml:space="preserve"> de la violation par l</w:t>
      </w:r>
      <w:r>
        <w:rPr>
          <w:lang w:val="fr-FR"/>
        </w:rPr>
        <w:t>’</w:t>
      </w:r>
      <w:r w:rsidRPr="00711EE7">
        <w:rPr>
          <w:lang w:val="fr-FR"/>
        </w:rPr>
        <w:t>État partie des articles</w:t>
      </w:r>
      <w:r>
        <w:rPr>
          <w:lang w:val="fr-FR"/>
        </w:rPr>
        <w:t xml:space="preserve"> 3 (par. 1) et 40 (par. 1, 2</w:t>
      </w:r>
      <w:r w:rsidR="00FA1801">
        <w:rPr>
          <w:lang w:val="fr-FR"/>
        </w:rPr>
        <w:t> </w:t>
      </w:r>
      <w:r>
        <w:rPr>
          <w:lang w:val="fr-FR"/>
        </w:rPr>
        <w:t>b) [al. i</w:t>
      </w:r>
      <w:r w:rsidRPr="00A058E0">
        <w:rPr>
          <w:lang w:val="fr-FR"/>
        </w:rPr>
        <w:t>i</w:t>
      </w:r>
      <w:r>
        <w:rPr>
          <w:lang w:val="fr-FR"/>
        </w:rPr>
        <w:t>],</w:t>
      </w:r>
      <w:r w:rsidRPr="00A058E0">
        <w:rPr>
          <w:lang w:val="fr-FR"/>
        </w:rPr>
        <w:t xml:space="preserve"> 3</w:t>
      </w:r>
      <w:r>
        <w:rPr>
          <w:lang w:val="fr-FR"/>
        </w:rPr>
        <w:t xml:space="preserve"> et</w:t>
      </w:r>
      <w:r w:rsidRPr="00A058E0">
        <w:rPr>
          <w:lang w:val="fr-FR"/>
        </w:rPr>
        <w:t xml:space="preserve"> 4)</w:t>
      </w:r>
      <w:r>
        <w:rPr>
          <w:lang w:val="fr-FR"/>
        </w:rPr>
        <w:t xml:space="preserve"> de</w:t>
      </w:r>
      <w:r w:rsidRPr="00711EE7">
        <w:rPr>
          <w:lang w:val="fr-FR"/>
        </w:rPr>
        <w:t xml:space="preserve"> la Convention</w:t>
      </w:r>
      <w:r>
        <w:rPr>
          <w:lang w:val="fr-FR"/>
        </w:rPr>
        <w:t xml:space="preserve"> lus conjointement avec les </w:t>
      </w:r>
      <w:r w:rsidRPr="0017453B">
        <w:rPr>
          <w:lang w:val="fr-FR"/>
        </w:rPr>
        <w:t>articles</w:t>
      </w:r>
      <w:r w:rsidR="00FA1801">
        <w:rPr>
          <w:lang w:val="fr-FR"/>
        </w:rPr>
        <w:t> </w:t>
      </w:r>
      <w:r w:rsidRPr="0017453B">
        <w:rPr>
          <w:lang w:val="fr-FR"/>
        </w:rPr>
        <w:t>2 et 37</w:t>
      </w:r>
      <w:r w:rsidR="00FA1801">
        <w:rPr>
          <w:lang w:val="fr-FR"/>
        </w:rPr>
        <w:t> </w:t>
      </w:r>
      <w:r w:rsidRPr="0017453B">
        <w:rPr>
          <w:lang w:val="fr-FR"/>
        </w:rPr>
        <w:t xml:space="preserve">b) </w:t>
      </w:r>
      <w:r>
        <w:rPr>
          <w:lang w:val="fr-FR"/>
        </w:rPr>
        <w:t>à</w:t>
      </w:r>
      <w:r w:rsidRPr="0017453B">
        <w:rPr>
          <w:lang w:val="fr-FR"/>
        </w:rPr>
        <w:t xml:space="preserve"> d)</w:t>
      </w:r>
      <w:r>
        <w:rPr>
          <w:lang w:val="fr-FR"/>
        </w:rPr>
        <w:t xml:space="preserve">, et qu’elle est aussi victime de violation des </w:t>
      </w:r>
      <w:r w:rsidRPr="00471F4B">
        <w:rPr>
          <w:lang w:val="fr-FR"/>
        </w:rPr>
        <w:t>articles 19 (</w:t>
      </w:r>
      <w:r>
        <w:rPr>
          <w:lang w:val="fr-FR"/>
        </w:rPr>
        <w:t>par. </w:t>
      </w:r>
      <w:r w:rsidRPr="00471F4B">
        <w:rPr>
          <w:lang w:val="fr-FR"/>
        </w:rPr>
        <w:t xml:space="preserve">1) et 36 de la Convention. </w:t>
      </w:r>
      <w:r w:rsidRPr="0017453B">
        <w:rPr>
          <w:lang w:val="fr-FR"/>
        </w:rPr>
        <w:t xml:space="preserve">De </w:t>
      </w:r>
      <w:r>
        <w:rPr>
          <w:lang w:val="fr-FR"/>
        </w:rPr>
        <w:t>plus, il soutient qu’</w:t>
      </w:r>
      <w:r w:rsidR="00FA1801">
        <w:rPr>
          <w:lang w:val="fr-FR"/>
        </w:rPr>
        <w:t>E. S.</w:t>
      </w:r>
      <w:r>
        <w:rPr>
          <w:lang w:val="fr-FR"/>
        </w:rPr>
        <w:t xml:space="preserve"> et sa fille sont toutes deux victimes </w:t>
      </w:r>
      <w:r w:rsidRPr="00A058E0">
        <w:rPr>
          <w:lang w:val="fr-FR"/>
        </w:rPr>
        <w:t>de la violation par l</w:t>
      </w:r>
      <w:r>
        <w:rPr>
          <w:lang w:val="fr-FR"/>
        </w:rPr>
        <w:t>’</w:t>
      </w:r>
      <w:r w:rsidRPr="00A058E0">
        <w:rPr>
          <w:lang w:val="fr-FR"/>
        </w:rPr>
        <w:t>État partie des articles</w:t>
      </w:r>
      <w:r w:rsidR="00FA1801">
        <w:rPr>
          <w:lang w:val="fr-FR"/>
        </w:rPr>
        <w:t> </w:t>
      </w:r>
      <w:r>
        <w:rPr>
          <w:lang w:val="fr-FR"/>
        </w:rPr>
        <w:t>7 (par. 1), 9</w:t>
      </w:r>
      <w:r w:rsidR="00FA1801">
        <w:rPr>
          <w:lang w:val="fr-FR"/>
        </w:rPr>
        <w:t> </w:t>
      </w:r>
      <w:r>
        <w:rPr>
          <w:lang w:val="fr-FR"/>
        </w:rPr>
        <w:t>(par. 1 à 3) et 16</w:t>
      </w:r>
      <w:r w:rsidRPr="00A058E0">
        <w:rPr>
          <w:lang w:val="fr-FR"/>
        </w:rPr>
        <w:t xml:space="preserve"> de la Convention</w:t>
      </w:r>
      <w:r>
        <w:rPr>
          <w:lang w:val="fr-FR"/>
        </w:rPr>
        <w:t>.</w:t>
      </w:r>
      <w:r w:rsidRPr="00A058E0">
        <w:rPr>
          <w:lang w:val="fr-FR"/>
        </w:rPr>
        <w:t xml:space="preserve"> </w:t>
      </w:r>
      <w:r w:rsidRPr="00711EE7">
        <w:rPr>
          <w:lang w:val="fr-FR"/>
        </w:rPr>
        <w:t>Le Protocole facultatif est entré en vigueur pour l</w:t>
      </w:r>
      <w:r>
        <w:rPr>
          <w:lang w:val="fr-FR"/>
        </w:rPr>
        <w:t>’</w:t>
      </w:r>
      <w:r w:rsidRPr="00711EE7">
        <w:rPr>
          <w:lang w:val="fr-FR"/>
        </w:rPr>
        <w:t xml:space="preserve">État partie le </w:t>
      </w:r>
      <w:r>
        <w:rPr>
          <w:spacing w:val="-2"/>
          <w:lang w:val="fr-FR"/>
        </w:rPr>
        <w:t>3</w:t>
      </w:r>
      <w:r w:rsidRPr="00711EE7">
        <w:rPr>
          <w:spacing w:val="-2"/>
          <w:lang w:val="fr-FR"/>
        </w:rPr>
        <w:t>0 </w:t>
      </w:r>
      <w:r>
        <w:rPr>
          <w:spacing w:val="-2"/>
          <w:lang w:val="fr-FR"/>
        </w:rPr>
        <w:t>août 2014.</w:t>
      </w:r>
    </w:p>
    <w:p w:rsidR="009A3634" w:rsidRPr="00711EE7" w:rsidRDefault="009A3634" w:rsidP="009A3634">
      <w:pPr>
        <w:pStyle w:val="H23G"/>
        <w:rPr>
          <w:lang w:val="fr-FR"/>
        </w:rPr>
      </w:pPr>
      <w:r w:rsidRPr="00711EE7">
        <w:rPr>
          <w:lang w:val="fr-FR"/>
        </w:rPr>
        <w:tab/>
      </w:r>
      <w:r w:rsidRPr="00711EE7">
        <w:rPr>
          <w:lang w:val="fr-FR"/>
        </w:rPr>
        <w:tab/>
        <w:t>Rappel des faits présentés par l</w:t>
      </w:r>
      <w:r>
        <w:rPr>
          <w:lang w:val="fr-FR"/>
        </w:rPr>
        <w:t>’</w:t>
      </w:r>
      <w:r w:rsidRPr="00711EE7">
        <w:rPr>
          <w:lang w:val="fr-FR"/>
        </w:rPr>
        <w:t>auteur</w:t>
      </w:r>
    </w:p>
    <w:p w:rsidR="009A3634" w:rsidRDefault="009A3634" w:rsidP="00CF50EC">
      <w:pPr>
        <w:pStyle w:val="SingleTxtG"/>
        <w:rPr>
          <w:lang w:val="fr-FR"/>
        </w:rPr>
      </w:pPr>
      <w:r w:rsidRPr="00711EE7">
        <w:rPr>
          <w:lang w:val="fr-FR"/>
        </w:rPr>
        <w:t>2.1</w:t>
      </w:r>
      <w:r w:rsidRPr="00711EE7">
        <w:rPr>
          <w:lang w:val="fr-FR"/>
        </w:rPr>
        <w:tab/>
      </w:r>
      <w:r w:rsidR="00FA1801">
        <w:rPr>
          <w:lang w:val="fr-FR"/>
        </w:rPr>
        <w:t>E. S.</w:t>
      </w:r>
      <w:r>
        <w:rPr>
          <w:lang w:val="fr-FR"/>
        </w:rPr>
        <w:t xml:space="preserve"> a été mariée en Roumanie à l’âge de 13</w:t>
      </w:r>
      <w:r w:rsidR="00FA1801">
        <w:rPr>
          <w:lang w:val="fr-FR"/>
        </w:rPr>
        <w:t> </w:t>
      </w:r>
      <w:r>
        <w:rPr>
          <w:lang w:val="fr-FR"/>
        </w:rPr>
        <w:t>ans. Elle est arrivée en Belgique en 2013, à l’âge de 14</w:t>
      </w:r>
      <w:r w:rsidR="00FA1801">
        <w:rPr>
          <w:lang w:val="fr-FR"/>
        </w:rPr>
        <w:t> </w:t>
      </w:r>
      <w:r>
        <w:rPr>
          <w:lang w:val="fr-FR"/>
        </w:rPr>
        <w:t xml:space="preserve">ans. Depuis son arrivée en Belgique, </w:t>
      </w:r>
      <w:r w:rsidR="00FA1801">
        <w:rPr>
          <w:lang w:val="fr-FR"/>
        </w:rPr>
        <w:t>E. S.</w:t>
      </w:r>
      <w:r w:rsidRPr="00B8425E">
        <w:rPr>
          <w:lang w:val="fr-FR"/>
        </w:rPr>
        <w:t xml:space="preserve"> </w:t>
      </w:r>
      <w:r>
        <w:rPr>
          <w:lang w:val="fr-FR"/>
        </w:rPr>
        <w:t>a commis</w:t>
      </w:r>
      <w:r w:rsidRPr="00B8425E">
        <w:rPr>
          <w:lang w:val="fr-FR"/>
        </w:rPr>
        <w:t xml:space="preserve"> </w:t>
      </w:r>
      <w:r>
        <w:rPr>
          <w:lang w:val="fr-FR"/>
        </w:rPr>
        <w:t xml:space="preserve">plusieurs </w:t>
      </w:r>
      <w:r w:rsidRPr="00B8425E">
        <w:rPr>
          <w:lang w:val="fr-FR"/>
        </w:rPr>
        <w:t>vols</w:t>
      </w:r>
      <w:r>
        <w:rPr>
          <w:lang w:val="fr-FR"/>
        </w:rPr>
        <w:t xml:space="preserve"> </w:t>
      </w:r>
      <w:r w:rsidRPr="00B8425E">
        <w:rPr>
          <w:lang w:val="fr-FR"/>
        </w:rPr>
        <w:t>sur</w:t>
      </w:r>
      <w:r>
        <w:rPr>
          <w:lang w:val="fr-FR"/>
        </w:rPr>
        <w:t xml:space="preserve"> </w:t>
      </w:r>
      <w:r w:rsidRPr="00B8425E">
        <w:rPr>
          <w:lang w:val="fr-FR"/>
        </w:rPr>
        <w:t>instruc</w:t>
      </w:r>
      <w:r>
        <w:rPr>
          <w:lang w:val="fr-FR"/>
        </w:rPr>
        <w:t xml:space="preserve">tions de sa belle-famille. Elle volait notamment des bijoux, du maquillage, des vêtements, des articles de parfumerie, des produits pour bébés, de l’argent et des cartes bancaires. </w:t>
      </w:r>
    </w:p>
    <w:p w:rsidR="009A3634" w:rsidRDefault="009A3634" w:rsidP="009A3634">
      <w:pPr>
        <w:pStyle w:val="SingleTxtG"/>
        <w:spacing w:line="238" w:lineRule="atLeast"/>
        <w:rPr>
          <w:lang w:val="fr-FR"/>
        </w:rPr>
      </w:pPr>
      <w:r>
        <w:rPr>
          <w:lang w:val="fr-FR"/>
        </w:rPr>
        <w:t>2.2</w:t>
      </w:r>
      <w:r>
        <w:rPr>
          <w:lang w:val="fr-FR"/>
        </w:rPr>
        <w:tab/>
        <w:t>L</w:t>
      </w:r>
      <w:r w:rsidRPr="003331B2">
        <w:rPr>
          <w:lang w:val="fr-FR"/>
        </w:rPr>
        <w:t>e 6</w:t>
      </w:r>
      <w:r w:rsidR="00FA1801">
        <w:rPr>
          <w:lang w:val="fr-FR"/>
        </w:rPr>
        <w:t> </w:t>
      </w:r>
      <w:r w:rsidRPr="003331B2">
        <w:rPr>
          <w:lang w:val="fr-FR"/>
        </w:rPr>
        <w:t>avril 2015</w:t>
      </w:r>
      <w:r>
        <w:rPr>
          <w:lang w:val="fr-FR"/>
        </w:rPr>
        <w:t xml:space="preserve">, </w:t>
      </w:r>
      <w:r w:rsidR="00FA1801">
        <w:rPr>
          <w:lang w:val="fr-FR"/>
        </w:rPr>
        <w:t>E. S.</w:t>
      </w:r>
      <w:r>
        <w:rPr>
          <w:lang w:val="fr-FR"/>
        </w:rPr>
        <w:t xml:space="preserve"> a</w:t>
      </w:r>
      <w:r w:rsidRPr="003331B2">
        <w:rPr>
          <w:lang w:val="fr-FR"/>
        </w:rPr>
        <w:t xml:space="preserve"> donné </w:t>
      </w:r>
      <w:r>
        <w:rPr>
          <w:lang w:val="fr-FR"/>
        </w:rPr>
        <w:t>naissance à B.</w:t>
      </w:r>
      <w:r w:rsidR="00FA1801">
        <w:rPr>
          <w:lang w:val="fr-FR"/>
        </w:rPr>
        <w:t> </w:t>
      </w:r>
      <w:r>
        <w:rPr>
          <w:lang w:val="fr-FR"/>
        </w:rPr>
        <w:t>M.</w:t>
      </w:r>
    </w:p>
    <w:p w:rsidR="009A3634" w:rsidRDefault="009A3634" w:rsidP="009A3634">
      <w:pPr>
        <w:pStyle w:val="SingleTxtG"/>
        <w:spacing w:line="238" w:lineRule="atLeast"/>
        <w:rPr>
          <w:lang w:val="fr-FR"/>
        </w:rPr>
      </w:pPr>
      <w:r>
        <w:rPr>
          <w:lang w:val="fr-FR"/>
        </w:rPr>
        <w:t>2.3</w:t>
      </w:r>
      <w:r>
        <w:rPr>
          <w:lang w:val="fr-FR"/>
        </w:rPr>
        <w:tab/>
        <w:t xml:space="preserve">En septembre 2015, en tant que </w:t>
      </w:r>
      <w:r w:rsidRPr="00663AD3">
        <w:rPr>
          <w:lang w:val="fr-FR"/>
        </w:rPr>
        <w:t>mineure étrangère non accompagnée</w:t>
      </w:r>
      <w:r>
        <w:rPr>
          <w:lang w:val="fr-FR"/>
        </w:rPr>
        <w:t>,</w:t>
      </w:r>
      <w:r w:rsidRPr="00663AD3">
        <w:rPr>
          <w:lang w:val="fr-FR"/>
        </w:rPr>
        <w:t xml:space="preserve"> </w:t>
      </w:r>
      <w:r w:rsidR="00FA1801">
        <w:rPr>
          <w:lang w:val="fr-FR"/>
        </w:rPr>
        <w:t>E. S.</w:t>
      </w:r>
      <w:r>
        <w:rPr>
          <w:lang w:val="fr-FR"/>
        </w:rPr>
        <w:t xml:space="preserve"> a été placée sous la tutelle de l’auteur.</w:t>
      </w:r>
      <w:r w:rsidRPr="00663AD3">
        <w:rPr>
          <w:lang w:val="fr-FR"/>
        </w:rPr>
        <w:t xml:space="preserve"> </w:t>
      </w:r>
    </w:p>
    <w:p w:rsidR="009A3634" w:rsidRPr="00770DE7" w:rsidRDefault="009A3634" w:rsidP="009A3634">
      <w:pPr>
        <w:pStyle w:val="SingleTxtG"/>
        <w:spacing w:line="238" w:lineRule="atLeast"/>
        <w:rPr>
          <w:lang w:val="fr-FR"/>
        </w:rPr>
      </w:pPr>
      <w:r>
        <w:rPr>
          <w:lang w:val="fr-FR"/>
        </w:rPr>
        <w:t>2.4</w:t>
      </w:r>
      <w:r>
        <w:rPr>
          <w:lang w:val="fr-FR"/>
        </w:rPr>
        <w:tab/>
        <w:t xml:space="preserve">En mars 2016, </w:t>
      </w:r>
      <w:r w:rsidR="00FA1801">
        <w:rPr>
          <w:lang w:val="fr-FR"/>
        </w:rPr>
        <w:t>E. S.</w:t>
      </w:r>
      <w:r w:rsidRPr="00035675">
        <w:rPr>
          <w:lang w:val="fr-FR"/>
        </w:rPr>
        <w:t xml:space="preserve"> </w:t>
      </w:r>
      <w:r>
        <w:rPr>
          <w:lang w:val="fr-FR"/>
        </w:rPr>
        <w:t>a été confiée</w:t>
      </w:r>
      <w:r w:rsidRPr="00035675">
        <w:rPr>
          <w:lang w:val="fr-FR"/>
        </w:rPr>
        <w:t xml:space="preserve"> à l</w:t>
      </w:r>
      <w:r>
        <w:rPr>
          <w:lang w:val="fr-FR"/>
        </w:rPr>
        <w:t>’</w:t>
      </w:r>
      <w:r w:rsidRPr="00035675">
        <w:rPr>
          <w:lang w:val="fr-FR"/>
        </w:rPr>
        <w:t>Institution publique de p</w:t>
      </w:r>
      <w:r>
        <w:rPr>
          <w:lang w:val="fr-FR"/>
        </w:rPr>
        <w:t>rotection de la jeunesse</w:t>
      </w:r>
      <w:r w:rsidRPr="00035675">
        <w:rPr>
          <w:lang w:val="fr-FR"/>
        </w:rPr>
        <w:t xml:space="preserve"> de Saint-Servais, en régime fermé</w:t>
      </w:r>
      <w:r>
        <w:rPr>
          <w:lang w:val="fr-FR"/>
        </w:rPr>
        <w:t>,</w:t>
      </w:r>
      <w:r w:rsidRPr="009D016D">
        <w:rPr>
          <w:lang w:val="fr-FR"/>
        </w:rPr>
        <w:t xml:space="preserve"> </w:t>
      </w:r>
      <w:r>
        <w:rPr>
          <w:lang w:val="fr-FR"/>
        </w:rPr>
        <w:t xml:space="preserve">à titre de mesure provisoire. Elle a alors été </w:t>
      </w:r>
      <w:r w:rsidRPr="00770DE7">
        <w:rPr>
          <w:lang w:val="fr-FR"/>
        </w:rPr>
        <w:t xml:space="preserve">séparée de </w:t>
      </w:r>
      <w:r>
        <w:rPr>
          <w:lang w:val="fr-FR"/>
        </w:rPr>
        <w:t>sa</w:t>
      </w:r>
      <w:r w:rsidRPr="00770DE7">
        <w:rPr>
          <w:lang w:val="fr-FR"/>
        </w:rPr>
        <w:t xml:space="preserve"> fille</w:t>
      </w:r>
      <w:r>
        <w:rPr>
          <w:lang w:val="fr-FR"/>
        </w:rPr>
        <w:t>.</w:t>
      </w:r>
    </w:p>
    <w:p w:rsidR="009A3634" w:rsidRDefault="009A3634" w:rsidP="009A3634">
      <w:pPr>
        <w:pStyle w:val="SingleTxtG"/>
        <w:spacing w:line="238" w:lineRule="atLeast"/>
        <w:rPr>
          <w:lang w:val="fr-FR"/>
        </w:rPr>
      </w:pPr>
      <w:r>
        <w:rPr>
          <w:lang w:val="fr-FR"/>
        </w:rPr>
        <w:t>2.5</w:t>
      </w:r>
      <w:r>
        <w:rPr>
          <w:lang w:val="fr-FR"/>
        </w:rPr>
        <w:tab/>
        <w:t>Le</w:t>
      </w:r>
      <w:r w:rsidRPr="00035675">
        <w:rPr>
          <w:lang w:val="fr-FR"/>
        </w:rPr>
        <w:t xml:space="preserve"> 9</w:t>
      </w:r>
      <w:r w:rsidR="00FA1801">
        <w:rPr>
          <w:lang w:val="fr-FR"/>
        </w:rPr>
        <w:t> </w:t>
      </w:r>
      <w:r w:rsidRPr="00035675">
        <w:rPr>
          <w:lang w:val="fr-FR"/>
        </w:rPr>
        <w:t>mars 2016</w:t>
      </w:r>
      <w:r>
        <w:rPr>
          <w:lang w:val="fr-FR"/>
        </w:rPr>
        <w:t xml:space="preserve">, </w:t>
      </w:r>
      <w:r w:rsidR="00FA1801">
        <w:rPr>
          <w:lang w:val="fr-FR"/>
        </w:rPr>
        <w:t>E. S.</w:t>
      </w:r>
      <w:r>
        <w:rPr>
          <w:lang w:val="fr-FR"/>
        </w:rPr>
        <w:t>, ses parents et son tuteur ont été cités à une</w:t>
      </w:r>
      <w:r w:rsidRPr="00035675">
        <w:rPr>
          <w:lang w:val="fr-FR"/>
        </w:rPr>
        <w:t xml:space="preserve"> audience </w:t>
      </w:r>
      <w:r>
        <w:rPr>
          <w:lang w:val="fr-FR"/>
        </w:rPr>
        <w:t xml:space="preserve">devant la huitième </w:t>
      </w:r>
      <w:r w:rsidRPr="00E00959">
        <w:rPr>
          <w:lang w:val="fr-FR"/>
        </w:rPr>
        <w:t xml:space="preserve">chambre du </w:t>
      </w:r>
      <w:r>
        <w:rPr>
          <w:lang w:val="fr-FR"/>
        </w:rPr>
        <w:t>t</w:t>
      </w:r>
      <w:r w:rsidRPr="00E00959">
        <w:rPr>
          <w:lang w:val="fr-FR"/>
        </w:rPr>
        <w:t>ribunal de la jeunesse de Bruxell</w:t>
      </w:r>
      <w:r>
        <w:rPr>
          <w:lang w:val="fr-FR"/>
        </w:rPr>
        <w:t>es, dans le cadre d’une</w:t>
      </w:r>
      <w:r w:rsidRPr="00035675">
        <w:rPr>
          <w:lang w:val="fr-FR"/>
        </w:rPr>
        <w:t xml:space="preserve"> procédure ouverte par le parquet de Bruxelles</w:t>
      </w:r>
      <w:r>
        <w:rPr>
          <w:lang w:val="fr-FR"/>
        </w:rPr>
        <w:t xml:space="preserve"> pour infractions. Le 16</w:t>
      </w:r>
      <w:r w:rsidR="00FA1801">
        <w:rPr>
          <w:lang w:val="fr-FR"/>
        </w:rPr>
        <w:t> </w:t>
      </w:r>
      <w:r>
        <w:rPr>
          <w:lang w:val="fr-FR"/>
        </w:rPr>
        <w:t>mars 2016, une étude sociale d’un délégué du Service de protection judiciaire a été déposée au greffe du</w:t>
      </w:r>
      <w:r w:rsidRPr="00A116E1">
        <w:t xml:space="preserve"> </w:t>
      </w:r>
      <w:r>
        <w:rPr>
          <w:lang w:val="fr-FR"/>
        </w:rPr>
        <w:t>t</w:t>
      </w:r>
      <w:r w:rsidRPr="00A116E1">
        <w:rPr>
          <w:lang w:val="fr-FR"/>
        </w:rPr>
        <w:t>ribunal de la jeunesse</w:t>
      </w:r>
      <w:r>
        <w:rPr>
          <w:lang w:val="fr-FR"/>
        </w:rPr>
        <w:t>, de même qu’un examen médico-psychologique.</w:t>
      </w:r>
    </w:p>
    <w:p w:rsidR="009A3634" w:rsidRPr="00A611F6" w:rsidRDefault="009A3634" w:rsidP="009A3634">
      <w:pPr>
        <w:pStyle w:val="SingleTxtG"/>
        <w:spacing w:line="238" w:lineRule="atLeast"/>
        <w:rPr>
          <w:lang w:val="fr-FR"/>
        </w:rPr>
      </w:pPr>
      <w:r>
        <w:rPr>
          <w:lang w:val="fr-FR"/>
        </w:rPr>
        <w:t>2.6</w:t>
      </w:r>
      <w:r>
        <w:rPr>
          <w:lang w:val="fr-FR"/>
        </w:rPr>
        <w:tab/>
        <w:t>Le 1</w:t>
      </w:r>
      <w:r w:rsidRPr="00BE4CAD">
        <w:rPr>
          <w:vertAlign w:val="superscript"/>
          <w:lang w:val="fr-FR"/>
        </w:rPr>
        <w:t>er</w:t>
      </w:r>
      <w:r w:rsidR="00FA1801">
        <w:rPr>
          <w:lang w:val="fr-FR"/>
        </w:rPr>
        <w:t> </w:t>
      </w:r>
      <w:r w:rsidRPr="00E00959">
        <w:rPr>
          <w:lang w:val="fr-FR"/>
        </w:rPr>
        <w:t>avril 2016</w:t>
      </w:r>
      <w:r>
        <w:rPr>
          <w:lang w:val="fr-FR"/>
        </w:rPr>
        <w:t>,</w:t>
      </w:r>
      <w:r w:rsidRPr="00E00959">
        <w:rPr>
          <w:lang w:val="fr-FR"/>
        </w:rPr>
        <w:t xml:space="preserve"> </w:t>
      </w:r>
      <w:r>
        <w:rPr>
          <w:lang w:val="fr-FR"/>
        </w:rPr>
        <w:t xml:space="preserve">le tribunal de la jeunesse </w:t>
      </w:r>
      <w:r w:rsidRPr="004C762E">
        <w:rPr>
          <w:lang w:val="fr-FR"/>
        </w:rPr>
        <w:t>s</w:t>
      </w:r>
      <w:r>
        <w:rPr>
          <w:lang w:val="fr-FR"/>
        </w:rPr>
        <w:t>’</w:t>
      </w:r>
      <w:r w:rsidRPr="004C762E">
        <w:rPr>
          <w:lang w:val="fr-FR"/>
        </w:rPr>
        <w:t>est dessaisi de l</w:t>
      </w:r>
      <w:r>
        <w:rPr>
          <w:lang w:val="fr-FR"/>
        </w:rPr>
        <w:t>’</w:t>
      </w:r>
      <w:r w:rsidRPr="004C762E">
        <w:rPr>
          <w:lang w:val="fr-FR"/>
        </w:rPr>
        <w:t>affaire</w:t>
      </w:r>
      <w:r>
        <w:rPr>
          <w:lang w:val="fr-FR"/>
        </w:rPr>
        <w:t>,</w:t>
      </w:r>
      <w:r w:rsidRPr="004C762E">
        <w:rPr>
          <w:lang w:val="fr-FR"/>
        </w:rPr>
        <w:t xml:space="preserve"> </w:t>
      </w:r>
      <w:r>
        <w:rPr>
          <w:lang w:val="fr-FR"/>
        </w:rPr>
        <w:t>car</w:t>
      </w:r>
      <w:r w:rsidRPr="004C762E">
        <w:rPr>
          <w:lang w:val="fr-FR"/>
        </w:rPr>
        <w:t xml:space="preserve"> </w:t>
      </w:r>
      <w:r w:rsidR="00FA1801">
        <w:rPr>
          <w:lang w:val="fr-FR"/>
        </w:rPr>
        <w:t>E. S.</w:t>
      </w:r>
      <w:r>
        <w:rPr>
          <w:lang w:val="fr-FR"/>
        </w:rPr>
        <w:t xml:space="preserve"> </w:t>
      </w:r>
      <w:r w:rsidRPr="004C762E">
        <w:rPr>
          <w:lang w:val="fr-FR"/>
        </w:rPr>
        <w:t>était âgée de 16</w:t>
      </w:r>
      <w:r w:rsidR="00FA1801">
        <w:rPr>
          <w:lang w:val="fr-FR"/>
        </w:rPr>
        <w:t> </w:t>
      </w:r>
      <w:r w:rsidRPr="004C762E">
        <w:rPr>
          <w:lang w:val="fr-FR"/>
        </w:rPr>
        <w:t>ans accomplis au mo</w:t>
      </w:r>
      <w:r>
        <w:rPr>
          <w:lang w:val="fr-FR"/>
        </w:rPr>
        <w:t>ment de la commission des faits. L’affaire a donc été</w:t>
      </w:r>
      <w:r w:rsidRPr="004C762E">
        <w:rPr>
          <w:lang w:val="fr-FR"/>
        </w:rPr>
        <w:t xml:space="preserve"> </w:t>
      </w:r>
      <w:r w:rsidRPr="00E00959">
        <w:rPr>
          <w:lang w:val="fr-FR"/>
        </w:rPr>
        <w:t xml:space="preserve">renvoyée au ministère public aux fins de poursuites </w:t>
      </w:r>
      <w:r>
        <w:rPr>
          <w:lang w:val="fr-FR"/>
        </w:rPr>
        <w:t xml:space="preserve">devant la juridiction compétente. Le jugement notait que, dans le rapport </w:t>
      </w:r>
      <w:r w:rsidRPr="00394329">
        <w:rPr>
          <w:lang w:val="fr-FR"/>
        </w:rPr>
        <w:t>médico-psychologique</w:t>
      </w:r>
      <w:r>
        <w:rPr>
          <w:lang w:val="fr-FR"/>
        </w:rPr>
        <w:t xml:space="preserve">, le médecin se demandait s’il ne fallait pas obliger </w:t>
      </w:r>
      <w:r w:rsidR="00FA1801">
        <w:rPr>
          <w:lang w:val="fr-FR"/>
        </w:rPr>
        <w:t>E. S.</w:t>
      </w:r>
      <w:r>
        <w:rPr>
          <w:lang w:val="fr-FR"/>
        </w:rPr>
        <w:t xml:space="preserve"> à prendre un contraceptif ; l’auteur avance que ce sont</w:t>
      </w:r>
      <w:r w:rsidRPr="00A20617">
        <w:rPr>
          <w:lang w:val="fr-FR"/>
        </w:rPr>
        <w:t xml:space="preserve"> des considérations tot</w:t>
      </w:r>
      <w:r>
        <w:rPr>
          <w:lang w:val="fr-FR"/>
        </w:rPr>
        <w:t>alement étrangères à la mission du médecin</w:t>
      </w:r>
      <w:r w:rsidRPr="009579D9">
        <w:rPr>
          <w:rStyle w:val="Appelnotedebasdep"/>
        </w:rPr>
        <w:footnoteReference w:id="4"/>
      </w:r>
      <w:r>
        <w:rPr>
          <w:lang w:val="fr-FR"/>
        </w:rPr>
        <w:t>.</w:t>
      </w:r>
    </w:p>
    <w:p w:rsidR="009A3634" w:rsidRDefault="009A3634" w:rsidP="009A3634">
      <w:pPr>
        <w:pStyle w:val="SingleTxtG"/>
        <w:spacing w:line="238" w:lineRule="atLeast"/>
        <w:rPr>
          <w:lang w:val="fr-FR"/>
        </w:rPr>
      </w:pPr>
      <w:r>
        <w:rPr>
          <w:lang w:val="fr-FR"/>
        </w:rPr>
        <w:t>2.7</w:t>
      </w:r>
      <w:r w:rsidRPr="00A611F6">
        <w:rPr>
          <w:lang w:val="fr-FR"/>
        </w:rPr>
        <w:tab/>
      </w:r>
      <w:r>
        <w:rPr>
          <w:lang w:val="fr-FR"/>
        </w:rPr>
        <w:t>Le</w:t>
      </w:r>
      <w:r w:rsidRPr="00A611F6">
        <w:rPr>
          <w:lang w:val="fr-FR"/>
        </w:rPr>
        <w:t xml:space="preserve"> même jour, </w:t>
      </w:r>
      <w:r w:rsidR="00FA1801">
        <w:rPr>
          <w:lang w:val="fr-FR"/>
        </w:rPr>
        <w:t>E. S.</w:t>
      </w:r>
      <w:r w:rsidRPr="00A611F6">
        <w:rPr>
          <w:lang w:val="fr-FR"/>
        </w:rPr>
        <w:t xml:space="preserve"> a été déférée devant un juge d</w:t>
      </w:r>
      <w:r>
        <w:rPr>
          <w:lang w:val="fr-FR"/>
        </w:rPr>
        <w:t>’</w:t>
      </w:r>
      <w:r w:rsidRPr="00A611F6">
        <w:rPr>
          <w:lang w:val="fr-FR"/>
        </w:rPr>
        <w:t>instruction et maintenue en détention préventive</w:t>
      </w:r>
      <w:r>
        <w:rPr>
          <w:lang w:val="fr-FR"/>
        </w:rPr>
        <w:t xml:space="preserve"> au sein de l’</w:t>
      </w:r>
      <w:r w:rsidRPr="00035675">
        <w:rPr>
          <w:lang w:val="fr-FR"/>
        </w:rPr>
        <w:t>Institution publique de p</w:t>
      </w:r>
      <w:r>
        <w:rPr>
          <w:lang w:val="fr-FR"/>
        </w:rPr>
        <w:t>rotection de la jeunesse de Saint</w:t>
      </w:r>
      <w:r w:rsidR="00FA1801">
        <w:rPr>
          <w:lang w:val="fr-FR"/>
        </w:rPr>
        <w:noBreakHyphen/>
      </w:r>
      <w:r>
        <w:rPr>
          <w:lang w:val="fr-FR"/>
        </w:rPr>
        <w:t>Servais</w:t>
      </w:r>
      <w:r w:rsidRPr="00A611F6">
        <w:rPr>
          <w:lang w:val="fr-FR"/>
        </w:rPr>
        <w:t>.</w:t>
      </w:r>
    </w:p>
    <w:p w:rsidR="009A3634" w:rsidRPr="004E30E4" w:rsidRDefault="009A3634" w:rsidP="009A3634">
      <w:pPr>
        <w:pStyle w:val="SingleTxtG"/>
        <w:spacing w:line="238" w:lineRule="atLeast"/>
        <w:rPr>
          <w:lang w:val="fr-FR"/>
        </w:rPr>
      </w:pPr>
      <w:r>
        <w:rPr>
          <w:lang w:val="fr-FR"/>
        </w:rPr>
        <w:t>2.8</w:t>
      </w:r>
      <w:r>
        <w:rPr>
          <w:lang w:val="fr-FR"/>
        </w:rPr>
        <w:tab/>
      </w:r>
      <w:r w:rsidRPr="00A611F6">
        <w:rPr>
          <w:lang w:val="fr-FR"/>
        </w:rPr>
        <w:t>Le 4</w:t>
      </w:r>
      <w:r w:rsidR="00FA1801">
        <w:rPr>
          <w:lang w:val="fr-FR"/>
        </w:rPr>
        <w:t> </w:t>
      </w:r>
      <w:r w:rsidRPr="00A611F6">
        <w:rPr>
          <w:lang w:val="fr-FR"/>
        </w:rPr>
        <w:t xml:space="preserve">mai </w:t>
      </w:r>
      <w:r w:rsidRPr="00A6692E">
        <w:rPr>
          <w:lang w:val="fr-FR"/>
        </w:rPr>
        <w:t>2016</w:t>
      </w:r>
      <w:r>
        <w:rPr>
          <w:lang w:val="fr-FR"/>
        </w:rPr>
        <w:t xml:space="preserve">, </w:t>
      </w:r>
      <w:r w:rsidR="00FA1801">
        <w:rPr>
          <w:lang w:val="fr-FR"/>
        </w:rPr>
        <w:t>E. S.</w:t>
      </w:r>
      <w:r>
        <w:rPr>
          <w:lang w:val="fr-FR"/>
        </w:rPr>
        <w:t xml:space="preserve"> a été renvoyée devant le t</w:t>
      </w:r>
      <w:r w:rsidRPr="00A6692E">
        <w:rPr>
          <w:lang w:val="fr-FR"/>
        </w:rPr>
        <w:t>ribunal correctionnel de Bruxelles</w:t>
      </w:r>
      <w:r>
        <w:rPr>
          <w:lang w:val="fr-FR"/>
        </w:rPr>
        <w:t>.</w:t>
      </w:r>
    </w:p>
    <w:p w:rsidR="009A3634" w:rsidRPr="00F34212" w:rsidRDefault="009A3634" w:rsidP="009A3634">
      <w:pPr>
        <w:pStyle w:val="SingleTxtG"/>
        <w:spacing w:line="238" w:lineRule="atLeast"/>
        <w:rPr>
          <w:lang w:val="fr-FR"/>
        </w:rPr>
      </w:pPr>
      <w:r w:rsidRPr="004E30E4">
        <w:rPr>
          <w:lang w:val="fr-FR"/>
        </w:rPr>
        <w:t>2.9</w:t>
      </w:r>
      <w:r w:rsidRPr="004E30E4">
        <w:rPr>
          <w:lang w:val="fr-FR"/>
        </w:rPr>
        <w:tab/>
        <w:t>Le 22</w:t>
      </w:r>
      <w:r w:rsidR="00FA1801">
        <w:rPr>
          <w:lang w:val="fr-FR"/>
        </w:rPr>
        <w:t> </w:t>
      </w:r>
      <w:r w:rsidRPr="004E30E4">
        <w:rPr>
          <w:lang w:val="fr-FR"/>
        </w:rPr>
        <w:t xml:space="preserve">juin 2016, le </w:t>
      </w:r>
      <w:r>
        <w:rPr>
          <w:lang w:val="fr-FR"/>
        </w:rPr>
        <w:t>t</w:t>
      </w:r>
      <w:r w:rsidRPr="004E30E4">
        <w:rPr>
          <w:lang w:val="fr-FR"/>
        </w:rPr>
        <w:t xml:space="preserve">ribunal correctionnel a condamné </w:t>
      </w:r>
      <w:r w:rsidR="00FA1801">
        <w:rPr>
          <w:lang w:val="fr-FR"/>
        </w:rPr>
        <w:t>E. S.</w:t>
      </w:r>
      <w:r w:rsidRPr="004E30E4">
        <w:rPr>
          <w:lang w:val="fr-FR"/>
        </w:rPr>
        <w:t xml:space="preserve"> à une peine d</w:t>
      </w:r>
      <w:r>
        <w:rPr>
          <w:lang w:val="fr-FR"/>
        </w:rPr>
        <w:t>’</w:t>
      </w:r>
      <w:r w:rsidRPr="004E30E4">
        <w:rPr>
          <w:lang w:val="fr-FR"/>
        </w:rPr>
        <w:t xml:space="preserve">emprisonnement de trente-six mois, dont </w:t>
      </w:r>
      <w:r>
        <w:rPr>
          <w:lang w:val="fr-FR"/>
        </w:rPr>
        <w:t>dix-huit</w:t>
      </w:r>
      <w:r w:rsidRPr="004E30E4">
        <w:rPr>
          <w:lang w:val="fr-FR"/>
        </w:rPr>
        <w:t xml:space="preserve"> mois ferme. </w:t>
      </w:r>
      <w:r>
        <w:rPr>
          <w:lang w:val="fr-FR"/>
        </w:rPr>
        <w:t>L’avocate</w:t>
      </w:r>
      <w:r w:rsidRPr="004E30E4">
        <w:rPr>
          <w:lang w:val="fr-FR"/>
        </w:rPr>
        <w:t xml:space="preserve"> désigné</w:t>
      </w:r>
      <w:r>
        <w:rPr>
          <w:lang w:val="fr-FR"/>
        </w:rPr>
        <w:t>e</w:t>
      </w:r>
      <w:r w:rsidRPr="004E30E4">
        <w:rPr>
          <w:lang w:val="fr-FR"/>
        </w:rPr>
        <w:t xml:space="preserve"> pour défendre </w:t>
      </w:r>
      <w:r w:rsidR="00FA1801">
        <w:rPr>
          <w:lang w:val="fr-FR"/>
        </w:rPr>
        <w:t>E. S.</w:t>
      </w:r>
      <w:r w:rsidRPr="004E30E4">
        <w:rPr>
          <w:lang w:val="fr-FR"/>
        </w:rPr>
        <w:t xml:space="preserve"> a estimé ne pas devoir interjeter appel de cette décision. </w:t>
      </w:r>
      <w:r>
        <w:rPr>
          <w:lang w:val="fr-FR"/>
        </w:rPr>
        <w:t>À la suite de</w:t>
      </w:r>
      <w:r w:rsidRPr="004E30E4">
        <w:rPr>
          <w:lang w:val="fr-FR"/>
        </w:rPr>
        <w:t xml:space="preserve"> cette condamnation, </w:t>
      </w:r>
      <w:r w:rsidR="00FA1801">
        <w:rPr>
          <w:lang w:val="fr-FR"/>
        </w:rPr>
        <w:t>E. S.</w:t>
      </w:r>
      <w:r>
        <w:rPr>
          <w:lang w:val="fr-FR"/>
        </w:rPr>
        <w:t xml:space="preserve"> a été détenue au sein de la même i</w:t>
      </w:r>
      <w:r w:rsidRPr="00035675">
        <w:rPr>
          <w:lang w:val="fr-FR"/>
        </w:rPr>
        <w:t>nstitution publique de p</w:t>
      </w:r>
      <w:r>
        <w:rPr>
          <w:lang w:val="fr-FR"/>
        </w:rPr>
        <w:t>rotection de la jeunesse.</w:t>
      </w:r>
    </w:p>
    <w:p w:rsidR="009A3634" w:rsidRPr="00943B4E" w:rsidRDefault="009A3634" w:rsidP="009A3634">
      <w:pPr>
        <w:pStyle w:val="SingleTxtG"/>
        <w:spacing w:line="238" w:lineRule="atLeast"/>
        <w:rPr>
          <w:lang w:val="fr-FR"/>
        </w:rPr>
      </w:pPr>
      <w:r>
        <w:rPr>
          <w:lang w:val="fr-FR"/>
        </w:rPr>
        <w:t>2.10</w:t>
      </w:r>
      <w:r>
        <w:rPr>
          <w:lang w:val="fr-FR"/>
        </w:rPr>
        <w:tab/>
        <w:t>L</w:t>
      </w:r>
      <w:r w:rsidRPr="00802C93">
        <w:rPr>
          <w:lang w:val="fr-FR"/>
        </w:rPr>
        <w:t>e 4</w:t>
      </w:r>
      <w:r w:rsidR="00FA1801">
        <w:t> </w:t>
      </w:r>
      <w:r w:rsidRPr="00802C93">
        <w:rPr>
          <w:lang w:val="fr-FR"/>
        </w:rPr>
        <w:t>octobre 2016</w:t>
      </w:r>
      <w:r>
        <w:rPr>
          <w:lang w:val="fr-FR"/>
        </w:rPr>
        <w:t xml:space="preserve">, </w:t>
      </w:r>
      <w:r w:rsidR="00FA1801">
        <w:rPr>
          <w:lang w:val="fr-FR"/>
        </w:rPr>
        <w:t>E. S.</w:t>
      </w:r>
      <w:r>
        <w:rPr>
          <w:lang w:val="fr-FR"/>
        </w:rPr>
        <w:t xml:space="preserve"> a été libérée. U</w:t>
      </w:r>
      <w:r w:rsidRPr="005315A3">
        <w:rPr>
          <w:lang w:val="fr-FR"/>
        </w:rPr>
        <w:t>n</w:t>
      </w:r>
      <w:r>
        <w:rPr>
          <w:lang w:val="fr-FR"/>
        </w:rPr>
        <w:t xml:space="preserve"> ordre de quitter le territoire lui ayant été notifié, elle</w:t>
      </w:r>
      <w:r w:rsidRPr="00423D52">
        <w:t xml:space="preserve"> </w:t>
      </w:r>
      <w:r w:rsidRPr="00A13034">
        <w:rPr>
          <w:lang w:val="fr-FR"/>
        </w:rPr>
        <w:t xml:space="preserve">a </w:t>
      </w:r>
      <w:r>
        <w:rPr>
          <w:lang w:val="fr-FR"/>
        </w:rPr>
        <w:t>rejoint</w:t>
      </w:r>
      <w:r w:rsidRPr="00A13034">
        <w:rPr>
          <w:lang w:val="fr-FR"/>
        </w:rPr>
        <w:t xml:space="preserve"> la Roumanie</w:t>
      </w:r>
      <w:r>
        <w:rPr>
          <w:lang w:val="fr-FR"/>
        </w:rPr>
        <w:t xml:space="preserve"> pour retrouver</w:t>
      </w:r>
      <w:r w:rsidRPr="00A13034">
        <w:rPr>
          <w:lang w:val="fr-FR"/>
        </w:rPr>
        <w:t xml:space="preserve"> sa fille</w:t>
      </w:r>
      <w:r>
        <w:rPr>
          <w:lang w:val="fr-FR"/>
        </w:rPr>
        <w:t>.</w:t>
      </w:r>
    </w:p>
    <w:p w:rsidR="009A3634" w:rsidRDefault="009A3634" w:rsidP="009A3634">
      <w:pPr>
        <w:pStyle w:val="SingleTxtG"/>
        <w:spacing w:line="238" w:lineRule="atLeast"/>
        <w:rPr>
          <w:lang w:val="fr-FR"/>
        </w:rPr>
      </w:pPr>
      <w:r>
        <w:rPr>
          <w:lang w:val="fr-FR"/>
        </w:rPr>
        <w:t>2.11</w:t>
      </w:r>
      <w:r>
        <w:rPr>
          <w:lang w:val="fr-FR"/>
        </w:rPr>
        <w:tab/>
        <w:t>Le même jour, le nouveau conseil d’</w:t>
      </w:r>
      <w:r w:rsidR="00FA1801">
        <w:rPr>
          <w:lang w:val="fr-FR"/>
        </w:rPr>
        <w:t>E. S.</w:t>
      </w:r>
      <w:r w:rsidRPr="00423D52">
        <w:rPr>
          <w:lang w:val="fr-FR"/>
        </w:rPr>
        <w:t xml:space="preserve"> </w:t>
      </w:r>
      <w:r>
        <w:rPr>
          <w:lang w:val="fr-FR"/>
        </w:rPr>
        <w:t>et l’auteur ont interjeté appel des jugements du 1</w:t>
      </w:r>
      <w:r w:rsidRPr="004971D7">
        <w:rPr>
          <w:vertAlign w:val="superscript"/>
          <w:lang w:val="fr-FR"/>
        </w:rPr>
        <w:t>er</w:t>
      </w:r>
      <w:r w:rsidR="00C90560">
        <w:rPr>
          <w:lang w:val="fr-FR"/>
        </w:rPr>
        <w:t> </w:t>
      </w:r>
      <w:r>
        <w:rPr>
          <w:lang w:val="fr-FR"/>
        </w:rPr>
        <w:t>avril 2016 (dessaisissement) et du 22</w:t>
      </w:r>
      <w:r w:rsidR="00C90560">
        <w:rPr>
          <w:lang w:val="fr-FR"/>
        </w:rPr>
        <w:t> </w:t>
      </w:r>
      <w:r>
        <w:rPr>
          <w:lang w:val="fr-FR"/>
        </w:rPr>
        <w:t>juin 2016 (condamnation).</w:t>
      </w:r>
    </w:p>
    <w:p w:rsidR="009A3634" w:rsidRDefault="009A3634" w:rsidP="009A3634">
      <w:pPr>
        <w:pStyle w:val="SingleTxtG"/>
        <w:spacing w:line="238" w:lineRule="atLeast"/>
        <w:rPr>
          <w:lang w:val="fr-FR"/>
        </w:rPr>
      </w:pPr>
      <w:r>
        <w:rPr>
          <w:lang w:val="fr-FR"/>
        </w:rPr>
        <w:lastRenderedPageBreak/>
        <w:t>2.12</w:t>
      </w:r>
      <w:r>
        <w:rPr>
          <w:lang w:val="fr-FR"/>
        </w:rPr>
        <w:tab/>
      </w:r>
      <w:r>
        <w:t xml:space="preserve">Le </w:t>
      </w:r>
      <w:r w:rsidRPr="00D91926">
        <w:rPr>
          <w:lang w:val="fr-FR"/>
        </w:rPr>
        <w:t>19</w:t>
      </w:r>
      <w:r w:rsidR="00C90560">
        <w:rPr>
          <w:lang w:val="fr-FR"/>
        </w:rPr>
        <w:t> </w:t>
      </w:r>
      <w:r w:rsidRPr="00D91926">
        <w:rPr>
          <w:lang w:val="fr-FR"/>
        </w:rPr>
        <w:t>décembre 2016</w:t>
      </w:r>
      <w:r>
        <w:rPr>
          <w:lang w:val="fr-FR"/>
        </w:rPr>
        <w:t>,</w:t>
      </w:r>
      <w:r w:rsidRPr="00D91926">
        <w:rPr>
          <w:lang w:val="fr-FR"/>
        </w:rPr>
        <w:t xml:space="preserve"> la </w:t>
      </w:r>
      <w:r>
        <w:rPr>
          <w:lang w:val="fr-FR"/>
        </w:rPr>
        <w:t>c</w:t>
      </w:r>
      <w:r w:rsidRPr="00D91926">
        <w:rPr>
          <w:lang w:val="fr-FR"/>
        </w:rPr>
        <w:t xml:space="preserve">hambre de la jeunesse de la </w:t>
      </w:r>
      <w:r>
        <w:rPr>
          <w:lang w:val="fr-FR"/>
        </w:rPr>
        <w:t>c</w:t>
      </w:r>
      <w:r w:rsidRPr="00D91926">
        <w:rPr>
          <w:lang w:val="fr-FR"/>
        </w:rPr>
        <w:t>our d</w:t>
      </w:r>
      <w:r>
        <w:rPr>
          <w:lang w:val="fr-FR"/>
        </w:rPr>
        <w:t>’</w:t>
      </w:r>
      <w:r w:rsidRPr="00D91926">
        <w:rPr>
          <w:lang w:val="fr-FR"/>
        </w:rPr>
        <w:t xml:space="preserve">appel de Bruxelles </w:t>
      </w:r>
      <w:r>
        <w:rPr>
          <w:lang w:val="fr-FR"/>
        </w:rPr>
        <w:t xml:space="preserve">a rejeté </w:t>
      </w:r>
      <w:r w:rsidRPr="00D91926">
        <w:rPr>
          <w:lang w:val="fr-FR"/>
        </w:rPr>
        <w:t>les appels</w:t>
      </w:r>
      <w:r>
        <w:rPr>
          <w:lang w:val="fr-FR"/>
        </w:rPr>
        <w:t>, car ceux-ci avaient été présentés</w:t>
      </w:r>
      <w:r w:rsidRPr="00D91926">
        <w:rPr>
          <w:lang w:val="fr-FR"/>
        </w:rPr>
        <w:t xml:space="preserve"> en</w:t>
      </w:r>
      <w:r>
        <w:rPr>
          <w:lang w:val="fr-FR"/>
        </w:rPr>
        <w:t xml:space="preserve"> </w:t>
      </w:r>
      <w:r w:rsidRPr="00D91926">
        <w:rPr>
          <w:lang w:val="fr-FR"/>
        </w:rPr>
        <w:t xml:space="preserve">dehors </w:t>
      </w:r>
      <w:r>
        <w:rPr>
          <w:lang w:val="fr-FR"/>
        </w:rPr>
        <w:t>du</w:t>
      </w:r>
      <w:r w:rsidRPr="00D91926">
        <w:rPr>
          <w:lang w:val="fr-FR"/>
        </w:rPr>
        <w:t xml:space="preserve"> délai </w:t>
      </w:r>
      <w:r>
        <w:rPr>
          <w:lang w:val="fr-FR"/>
        </w:rPr>
        <w:t>légal d’un mois.</w:t>
      </w:r>
    </w:p>
    <w:p w:rsidR="009A3634" w:rsidRDefault="009A3634" w:rsidP="009A3634">
      <w:pPr>
        <w:pStyle w:val="SingleTxtG"/>
        <w:spacing w:line="238" w:lineRule="atLeast"/>
        <w:rPr>
          <w:lang w:val="fr-FR"/>
        </w:rPr>
      </w:pPr>
      <w:r>
        <w:rPr>
          <w:lang w:val="fr-FR"/>
        </w:rPr>
        <w:t>2.13</w:t>
      </w:r>
      <w:r>
        <w:rPr>
          <w:lang w:val="fr-FR"/>
        </w:rPr>
        <w:tab/>
        <w:t xml:space="preserve">Le </w:t>
      </w:r>
      <w:r w:rsidRPr="004533B1">
        <w:rPr>
          <w:lang w:val="fr-FR"/>
        </w:rPr>
        <w:t>17</w:t>
      </w:r>
      <w:r w:rsidR="00C90560">
        <w:rPr>
          <w:lang w:val="fr-FR"/>
        </w:rPr>
        <w:t> </w:t>
      </w:r>
      <w:r w:rsidRPr="004533B1">
        <w:rPr>
          <w:lang w:val="fr-FR"/>
        </w:rPr>
        <w:t xml:space="preserve">mai 2017, la Cour de cassation a déclaré irrecevables les pourvois </w:t>
      </w:r>
      <w:r>
        <w:rPr>
          <w:lang w:val="fr-FR"/>
        </w:rPr>
        <w:t>en cassation à l’encontre de la décision de la c</w:t>
      </w:r>
      <w:r w:rsidRPr="00E74BA1">
        <w:rPr>
          <w:lang w:val="fr-FR"/>
        </w:rPr>
        <w:t>our d</w:t>
      </w:r>
      <w:r>
        <w:rPr>
          <w:lang w:val="fr-FR"/>
        </w:rPr>
        <w:t>’</w:t>
      </w:r>
      <w:r w:rsidRPr="00E74BA1">
        <w:rPr>
          <w:lang w:val="fr-FR"/>
        </w:rPr>
        <w:t xml:space="preserve">appel, </w:t>
      </w:r>
      <w:r>
        <w:rPr>
          <w:lang w:val="fr-FR"/>
        </w:rPr>
        <w:t>au motif qu’ils étaient</w:t>
      </w:r>
      <w:r w:rsidRPr="00E74BA1">
        <w:rPr>
          <w:lang w:val="fr-FR"/>
        </w:rPr>
        <w:t xml:space="preserve"> prématurés</w:t>
      </w:r>
      <w:r>
        <w:rPr>
          <w:lang w:val="fr-FR"/>
        </w:rPr>
        <w:t>. En ce sens, selon la Cour de cassation,</w:t>
      </w:r>
      <w:r w:rsidRPr="00E74BA1">
        <w:rPr>
          <w:lang w:val="fr-FR"/>
        </w:rPr>
        <w:t xml:space="preserve"> l</w:t>
      </w:r>
      <w:r>
        <w:rPr>
          <w:lang w:val="fr-FR"/>
        </w:rPr>
        <w:t>’arrêt de dessaisissement n’est</w:t>
      </w:r>
      <w:r w:rsidRPr="00E74BA1">
        <w:rPr>
          <w:lang w:val="fr-FR"/>
        </w:rPr>
        <w:t xml:space="preserve"> pas une décision définitive</w:t>
      </w:r>
      <w:r w:rsidRPr="00E74BA1">
        <w:t xml:space="preserve"> </w:t>
      </w:r>
      <w:r w:rsidRPr="00E74BA1">
        <w:rPr>
          <w:lang w:val="fr-FR"/>
        </w:rPr>
        <w:t>au sens de l</w:t>
      </w:r>
      <w:r>
        <w:rPr>
          <w:lang w:val="fr-FR"/>
        </w:rPr>
        <w:t>’</w:t>
      </w:r>
      <w:r w:rsidRPr="00E74BA1">
        <w:rPr>
          <w:lang w:val="fr-FR"/>
        </w:rPr>
        <w:t>article 420 du Code d</w:t>
      </w:r>
      <w:r>
        <w:rPr>
          <w:lang w:val="fr-FR"/>
        </w:rPr>
        <w:t>’</w:t>
      </w:r>
      <w:r w:rsidRPr="00E74BA1">
        <w:rPr>
          <w:lang w:val="fr-FR"/>
        </w:rPr>
        <w:t>instruction criminelle, puisqu</w:t>
      </w:r>
      <w:r>
        <w:rPr>
          <w:lang w:val="fr-FR"/>
        </w:rPr>
        <w:t>’</w:t>
      </w:r>
      <w:r w:rsidRPr="00E74BA1">
        <w:rPr>
          <w:lang w:val="fr-FR"/>
        </w:rPr>
        <w:t xml:space="preserve">en </w:t>
      </w:r>
      <w:r>
        <w:rPr>
          <w:lang w:val="fr-FR"/>
        </w:rPr>
        <w:t>lui</w:t>
      </w:r>
      <w:r w:rsidRPr="00E74BA1">
        <w:rPr>
          <w:lang w:val="fr-FR"/>
        </w:rPr>
        <w:t>-même</w:t>
      </w:r>
      <w:r>
        <w:rPr>
          <w:lang w:val="fr-FR"/>
        </w:rPr>
        <w:t>,</w:t>
      </w:r>
      <w:r w:rsidRPr="00E74BA1">
        <w:rPr>
          <w:lang w:val="fr-FR"/>
        </w:rPr>
        <w:t xml:space="preserve"> </w:t>
      </w:r>
      <w:r>
        <w:rPr>
          <w:lang w:val="fr-FR"/>
        </w:rPr>
        <w:t>il</w:t>
      </w:r>
      <w:r w:rsidRPr="00E74BA1">
        <w:rPr>
          <w:lang w:val="fr-FR"/>
        </w:rPr>
        <w:t xml:space="preserve"> ne met pas fin </w:t>
      </w:r>
      <w:r>
        <w:rPr>
          <w:lang w:val="fr-FR"/>
        </w:rPr>
        <w:t>à la procédure</w:t>
      </w:r>
      <w:r w:rsidRPr="00E74BA1">
        <w:rPr>
          <w:lang w:val="fr-FR"/>
        </w:rPr>
        <w:t>.</w:t>
      </w:r>
      <w:r>
        <w:rPr>
          <w:lang w:val="fr-FR"/>
        </w:rPr>
        <w:t xml:space="preserve"> Selon l’auteur, il est absurde de devoir attendre une éventuelle condamnation définitive pour introduire le recours contre la décision de dessaisissement.</w:t>
      </w:r>
    </w:p>
    <w:p w:rsidR="009A3634" w:rsidRPr="00711EE7" w:rsidRDefault="009A3634" w:rsidP="009A3634">
      <w:pPr>
        <w:pStyle w:val="H23G"/>
        <w:spacing w:before="200"/>
        <w:rPr>
          <w:lang w:val="fr-FR"/>
        </w:rPr>
      </w:pPr>
      <w:r w:rsidRPr="00711EE7">
        <w:rPr>
          <w:lang w:val="fr-FR"/>
        </w:rPr>
        <w:tab/>
      </w:r>
      <w:r w:rsidRPr="00711EE7">
        <w:rPr>
          <w:lang w:val="fr-FR"/>
        </w:rPr>
        <w:tab/>
        <w:t>Teneur de la plainte</w:t>
      </w:r>
    </w:p>
    <w:p w:rsidR="009A3634" w:rsidRDefault="009A3634" w:rsidP="009A3634">
      <w:pPr>
        <w:pStyle w:val="SingleTxtG"/>
        <w:spacing w:line="238" w:lineRule="atLeast"/>
        <w:rPr>
          <w:lang w:val="fr-FR"/>
        </w:rPr>
      </w:pPr>
      <w:r w:rsidRPr="0031721B">
        <w:rPr>
          <w:lang w:val="fr-FR"/>
        </w:rPr>
        <w:t>3.1</w:t>
      </w:r>
      <w:r w:rsidRPr="0031721B">
        <w:rPr>
          <w:lang w:val="fr-FR"/>
        </w:rPr>
        <w:tab/>
        <w:t>L</w:t>
      </w:r>
      <w:r>
        <w:rPr>
          <w:lang w:val="fr-FR"/>
        </w:rPr>
        <w:t>’</w:t>
      </w:r>
      <w:r w:rsidRPr="0031721B">
        <w:rPr>
          <w:lang w:val="fr-FR"/>
        </w:rPr>
        <w:t xml:space="preserve">auteur soutient </w:t>
      </w:r>
      <w:r>
        <w:rPr>
          <w:lang w:val="fr-FR"/>
        </w:rPr>
        <w:t>qu’</w:t>
      </w:r>
      <w:r w:rsidR="00FA1801">
        <w:rPr>
          <w:lang w:val="fr-FR"/>
        </w:rPr>
        <w:t>E. S.</w:t>
      </w:r>
      <w:r w:rsidRPr="0031721B">
        <w:rPr>
          <w:lang w:val="fr-FR"/>
        </w:rPr>
        <w:t xml:space="preserve"> est probablement victime de traite des êtres humains, qu</w:t>
      </w:r>
      <w:r>
        <w:rPr>
          <w:lang w:val="fr-FR"/>
        </w:rPr>
        <w:t>’</w:t>
      </w:r>
      <w:r w:rsidRPr="0031721B">
        <w:rPr>
          <w:lang w:val="fr-FR"/>
        </w:rPr>
        <w:t>elle a été condamnée comme une adulte à une peine de prison, qu</w:t>
      </w:r>
      <w:r>
        <w:rPr>
          <w:lang w:val="fr-FR"/>
        </w:rPr>
        <w:t>’</w:t>
      </w:r>
      <w:r w:rsidRPr="0031721B">
        <w:rPr>
          <w:lang w:val="fr-FR"/>
        </w:rPr>
        <w:t>elle a été séparée de sa fille pendant huit mois et qu</w:t>
      </w:r>
      <w:r>
        <w:rPr>
          <w:lang w:val="fr-FR"/>
        </w:rPr>
        <w:t>’</w:t>
      </w:r>
      <w:r w:rsidRPr="0031721B">
        <w:rPr>
          <w:lang w:val="fr-FR"/>
        </w:rPr>
        <w:t>elle a été forcée de quitter la Belgique.</w:t>
      </w:r>
    </w:p>
    <w:p w:rsidR="009A3634" w:rsidRPr="00CA604A" w:rsidRDefault="009A3634" w:rsidP="009A3634">
      <w:pPr>
        <w:pStyle w:val="SingleTxtG"/>
        <w:spacing w:line="238" w:lineRule="atLeast"/>
        <w:rPr>
          <w:lang w:val="fr-FR"/>
        </w:rPr>
      </w:pPr>
      <w:r w:rsidRPr="00CA604A">
        <w:rPr>
          <w:lang w:val="fr-FR"/>
        </w:rPr>
        <w:t>3.2</w:t>
      </w:r>
      <w:r w:rsidRPr="00CA604A">
        <w:rPr>
          <w:lang w:val="fr-FR"/>
        </w:rPr>
        <w:tab/>
        <w:t>Plus précisément, l</w:t>
      </w:r>
      <w:r>
        <w:rPr>
          <w:lang w:val="fr-FR"/>
        </w:rPr>
        <w:t>’</w:t>
      </w:r>
      <w:r w:rsidRPr="00CA604A">
        <w:rPr>
          <w:lang w:val="fr-FR"/>
        </w:rPr>
        <w:t xml:space="preserve">auteur soutient en premier lieu </w:t>
      </w:r>
      <w:r>
        <w:rPr>
          <w:lang w:val="fr-FR"/>
        </w:rPr>
        <w:t>qu’</w:t>
      </w:r>
      <w:r w:rsidR="00FA1801">
        <w:rPr>
          <w:lang w:val="fr-FR"/>
        </w:rPr>
        <w:t>E. S.</w:t>
      </w:r>
      <w:r w:rsidRPr="00CA604A">
        <w:rPr>
          <w:lang w:val="fr-FR"/>
        </w:rPr>
        <w:t xml:space="preserve"> est victime de la violation par l</w:t>
      </w:r>
      <w:r>
        <w:rPr>
          <w:lang w:val="fr-FR"/>
        </w:rPr>
        <w:t>’</w:t>
      </w:r>
      <w:r w:rsidRPr="00CA604A">
        <w:rPr>
          <w:lang w:val="fr-FR"/>
        </w:rPr>
        <w:t>État partie des articles</w:t>
      </w:r>
      <w:r w:rsidR="00C90560">
        <w:rPr>
          <w:lang w:val="fr-FR"/>
        </w:rPr>
        <w:t> </w:t>
      </w:r>
      <w:r w:rsidRPr="00CA604A">
        <w:rPr>
          <w:lang w:val="fr-FR"/>
        </w:rPr>
        <w:t>3 (</w:t>
      </w:r>
      <w:r>
        <w:rPr>
          <w:lang w:val="fr-FR"/>
        </w:rPr>
        <w:t>par. </w:t>
      </w:r>
      <w:r w:rsidRPr="00CA604A">
        <w:rPr>
          <w:lang w:val="fr-FR"/>
        </w:rPr>
        <w:t>1) et 40 (</w:t>
      </w:r>
      <w:r>
        <w:rPr>
          <w:lang w:val="fr-FR"/>
        </w:rPr>
        <w:t>par. </w:t>
      </w:r>
      <w:r w:rsidRPr="00CA604A">
        <w:rPr>
          <w:lang w:val="fr-FR"/>
        </w:rPr>
        <w:t>1</w:t>
      </w:r>
      <w:r>
        <w:rPr>
          <w:lang w:val="fr-FR"/>
        </w:rPr>
        <w:t>,</w:t>
      </w:r>
      <w:r w:rsidRPr="00CA604A">
        <w:rPr>
          <w:lang w:val="fr-FR"/>
        </w:rPr>
        <w:t xml:space="preserve"> 2</w:t>
      </w:r>
      <w:r w:rsidR="00C90560">
        <w:rPr>
          <w:lang w:val="fr-FR"/>
        </w:rPr>
        <w:t> </w:t>
      </w:r>
      <w:r w:rsidRPr="00CA604A">
        <w:rPr>
          <w:lang w:val="fr-FR"/>
        </w:rPr>
        <w:t xml:space="preserve">b) </w:t>
      </w:r>
      <w:r>
        <w:rPr>
          <w:lang w:val="fr-FR"/>
        </w:rPr>
        <w:t>[al. </w:t>
      </w:r>
      <w:r w:rsidRPr="00CA604A">
        <w:rPr>
          <w:lang w:val="fr-FR"/>
        </w:rPr>
        <w:t>ii</w:t>
      </w:r>
      <w:r>
        <w:rPr>
          <w:lang w:val="fr-FR"/>
        </w:rPr>
        <w:t>],</w:t>
      </w:r>
      <w:r w:rsidRPr="00CA604A">
        <w:rPr>
          <w:lang w:val="fr-FR"/>
        </w:rPr>
        <w:t xml:space="preserve"> 3</w:t>
      </w:r>
      <w:r>
        <w:rPr>
          <w:lang w:val="fr-FR"/>
        </w:rPr>
        <w:t xml:space="preserve"> et</w:t>
      </w:r>
      <w:r w:rsidRPr="00CA604A">
        <w:rPr>
          <w:lang w:val="fr-FR"/>
        </w:rPr>
        <w:t xml:space="preserve"> 4) de la Convention, </w:t>
      </w:r>
      <w:r>
        <w:rPr>
          <w:lang w:val="fr-FR"/>
        </w:rPr>
        <w:t>lus conjointement</w:t>
      </w:r>
      <w:r w:rsidRPr="00CA604A">
        <w:rPr>
          <w:lang w:val="fr-FR"/>
        </w:rPr>
        <w:t xml:space="preserve"> avec les articles</w:t>
      </w:r>
      <w:r w:rsidR="00C90560">
        <w:rPr>
          <w:lang w:val="fr-FR"/>
        </w:rPr>
        <w:t> </w:t>
      </w:r>
      <w:r w:rsidRPr="00CA604A">
        <w:rPr>
          <w:lang w:val="fr-FR"/>
        </w:rPr>
        <w:t>2 et 37</w:t>
      </w:r>
      <w:r w:rsidR="00C90560">
        <w:rPr>
          <w:lang w:val="fr-FR"/>
        </w:rPr>
        <w:t> </w:t>
      </w:r>
      <w:r w:rsidRPr="00CA604A">
        <w:rPr>
          <w:lang w:val="fr-FR"/>
        </w:rPr>
        <w:t xml:space="preserve">b) </w:t>
      </w:r>
      <w:r>
        <w:rPr>
          <w:lang w:val="fr-FR"/>
        </w:rPr>
        <w:t>à</w:t>
      </w:r>
      <w:r w:rsidRPr="00CA604A">
        <w:rPr>
          <w:lang w:val="fr-FR"/>
        </w:rPr>
        <w:t xml:space="preserve"> d). En ce sens, les décisions des tribunaux, des autorités administratives décidant de son expulsion</w:t>
      </w:r>
      <w:r>
        <w:rPr>
          <w:lang w:val="fr-FR"/>
        </w:rPr>
        <w:t xml:space="preserve"> ainsi que</w:t>
      </w:r>
      <w:r w:rsidRPr="00CA604A">
        <w:rPr>
          <w:lang w:val="fr-FR"/>
        </w:rPr>
        <w:t xml:space="preserve"> des organes législatifs permett</w:t>
      </w:r>
      <w:r>
        <w:rPr>
          <w:lang w:val="fr-FR"/>
        </w:rPr>
        <w:t>a</w:t>
      </w:r>
      <w:r w:rsidRPr="00CA604A">
        <w:rPr>
          <w:lang w:val="fr-FR"/>
        </w:rPr>
        <w:t xml:space="preserve">nt </w:t>
      </w:r>
      <w:r>
        <w:rPr>
          <w:lang w:val="fr-FR"/>
        </w:rPr>
        <w:t>aux</w:t>
      </w:r>
      <w:r w:rsidRPr="00CA604A">
        <w:rPr>
          <w:lang w:val="fr-FR"/>
        </w:rPr>
        <w:t xml:space="preserve"> juridictions de la jeunesse </w:t>
      </w:r>
      <w:r>
        <w:rPr>
          <w:lang w:val="fr-FR"/>
        </w:rPr>
        <w:t>de décider</w:t>
      </w:r>
      <w:r w:rsidRPr="00CA604A">
        <w:rPr>
          <w:lang w:val="fr-FR"/>
        </w:rPr>
        <w:t xml:space="preserve"> de leur dessaisissement ne tiennent pas compte de l</w:t>
      </w:r>
      <w:r>
        <w:rPr>
          <w:lang w:val="fr-FR"/>
        </w:rPr>
        <w:t>’</w:t>
      </w:r>
      <w:r w:rsidRPr="00CA604A">
        <w:rPr>
          <w:lang w:val="fr-FR"/>
        </w:rPr>
        <w:t>intérêt supérieur de l</w:t>
      </w:r>
      <w:r>
        <w:rPr>
          <w:lang w:val="fr-FR"/>
        </w:rPr>
        <w:t>’</w:t>
      </w:r>
      <w:r w:rsidRPr="00CA604A">
        <w:rPr>
          <w:lang w:val="fr-FR"/>
        </w:rPr>
        <w:t>enfant. En particulier, la loi de l</w:t>
      </w:r>
      <w:r>
        <w:rPr>
          <w:lang w:val="fr-FR"/>
        </w:rPr>
        <w:t>’</w:t>
      </w:r>
      <w:r w:rsidRPr="00CA604A">
        <w:rPr>
          <w:lang w:val="fr-FR"/>
        </w:rPr>
        <w:t>État partie permet qu</w:t>
      </w:r>
      <w:r>
        <w:rPr>
          <w:lang w:val="fr-FR"/>
        </w:rPr>
        <w:t>’</w:t>
      </w:r>
      <w:r w:rsidRPr="00CA604A">
        <w:rPr>
          <w:lang w:val="fr-FR"/>
        </w:rPr>
        <w:t>un enfant soit jugé selon le droit pénal commun applicable aux majeurs, alors que le Comité a affirmé que cette procédure de dessaisissement viol</w:t>
      </w:r>
      <w:r>
        <w:rPr>
          <w:lang w:val="fr-FR"/>
        </w:rPr>
        <w:t>ait</w:t>
      </w:r>
      <w:r w:rsidRPr="00CA604A">
        <w:rPr>
          <w:lang w:val="fr-FR"/>
        </w:rPr>
        <w:t xml:space="preserve"> </w:t>
      </w:r>
      <w:r>
        <w:rPr>
          <w:lang w:val="fr-FR"/>
        </w:rPr>
        <w:t xml:space="preserve">le paragraphe 2 de </w:t>
      </w:r>
      <w:r w:rsidRPr="00CA604A">
        <w:rPr>
          <w:lang w:val="fr-FR"/>
        </w:rPr>
        <w:t>l</w:t>
      </w:r>
      <w:r>
        <w:rPr>
          <w:lang w:val="fr-FR"/>
        </w:rPr>
        <w:t>’</w:t>
      </w:r>
      <w:r w:rsidRPr="00CA604A">
        <w:rPr>
          <w:lang w:val="fr-FR"/>
        </w:rPr>
        <w:t>article</w:t>
      </w:r>
      <w:r w:rsidR="00C90560">
        <w:rPr>
          <w:lang w:val="fr-FR"/>
        </w:rPr>
        <w:t> </w:t>
      </w:r>
      <w:r w:rsidRPr="00CA604A">
        <w:rPr>
          <w:lang w:val="fr-FR"/>
        </w:rPr>
        <w:t>40 de la Convention</w:t>
      </w:r>
      <w:r w:rsidRPr="009579D9">
        <w:rPr>
          <w:rStyle w:val="Appelnotedebasdep"/>
        </w:rPr>
        <w:footnoteReference w:id="5"/>
      </w:r>
      <w:r w:rsidRPr="00CA604A">
        <w:t xml:space="preserve"> et que cela </w:t>
      </w:r>
      <w:r>
        <w:t>était</w:t>
      </w:r>
      <w:r w:rsidRPr="00CA604A">
        <w:t xml:space="preserve"> contraire </w:t>
      </w:r>
      <w:r w:rsidRPr="00CA604A">
        <w:rPr>
          <w:lang w:val="fr-FR"/>
        </w:rPr>
        <w:t xml:space="preserve">à </w:t>
      </w:r>
      <w:r>
        <w:rPr>
          <w:lang w:val="fr-FR"/>
        </w:rPr>
        <w:t>son o</w:t>
      </w:r>
      <w:r w:rsidRPr="00CA604A">
        <w:rPr>
          <w:lang w:val="fr-FR"/>
        </w:rPr>
        <w:t xml:space="preserve">bservation générale </w:t>
      </w:r>
      <w:r w:rsidR="00C90560" w:rsidRPr="00C90560">
        <w:rPr>
          <w:rFonts w:eastAsia="MS Mincho"/>
          <w:lang w:val="fr-FR"/>
        </w:rPr>
        <w:t>n</w:t>
      </w:r>
      <w:r w:rsidR="00C90560" w:rsidRPr="00C90560">
        <w:rPr>
          <w:rFonts w:eastAsia="MS Mincho"/>
          <w:vertAlign w:val="superscript"/>
          <w:lang w:val="fr-FR"/>
        </w:rPr>
        <w:t>o</w:t>
      </w:r>
      <w:r w:rsidR="00C90560">
        <w:rPr>
          <w:lang w:val="fr-FR"/>
        </w:rPr>
        <w:t> </w:t>
      </w:r>
      <w:r w:rsidRPr="00CA604A">
        <w:rPr>
          <w:lang w:val="fr-FR"/>
        </w:rPr>
        <w:t xml:space="preserve">14 </w:t>
      </w:r>
      <w:r>
        <w:rPr>
          <w:lang w:val="fr-FR"/>
        </w:rPr>
        <w:t>(2013)</w:t>
      </w:r>
      <w:r w:rsidRPr="00CA604A">
        <w:rPr>
          <w:lang w:val="fr-FR"/>
        </w:rPr>
        <w:t>. L</w:t>
      </w:r>
      <w:r>
        <w:rPr>
          <w:lang w:val="fr-FR"/>
        </w:rPr>
        <w:t>’É</w:t>
      </w:r>
      <w:r w:rsidRPr="00CA604A">
        <w:rPr>
          <w:lang w:val="fr-FR"/>
        </w:rPr>
        <w:t>tat partie ne s</w:t>
      </w:r>
      <w:r>
        <w:rPr>
          <w:lang w:val="fr-FR"/>
        </w:rPr>
        <w:t>’</w:t>
      </w:r>
      <w:r w:rsidRPr="00CA604A">
        <w:rPr>
          <w:lang w:val="fr-FR"/>
        </w:rPr>
        <w:t>est pas efforcé de promouvoir l</w:t>
      </w:r>
      <w:r>
        <w:rPr>
          <w:lang w:val="fr-FR"/>
        </w:rPr>
        <w:t>’</w:t>
      </w:r>
      <w:r w:rsidRPr="00CA604A">
        <w:rPr>
          <w:lang w:val="fr-FR"/>
        </w:rPr>
        <w:t>adoption de lois et de procédures spécialement conçues pour les enfants suspectés, accusés ou convaincus d</w:t>
      </w:r>
      <w:r>
        <w:rPr>
          <w:lang w:val="fr-FR"/>
        </w:rPr>
        <w:t>’</w:t>
      </w:r>
      <w:r w:rsidRPr="00CA604A">
        <w:rPr>
          <w:lang w:val="fr-FR"/>
        </w:rPr>
        <w:t>infraction à la loi pénale. Par ailleurs, le droit à l</w:t>
      </w:r>
      <w:r>
        <w:rPr>
          <w:lang w:val="fr-FR"/>
        </w:rPr>
        <w:t>’</w:t>
      </w:r>
      <w:r w:rsidRPr="00CA604A">
        <w:rPr>
          <w:lang w:val="fr-FR"/>
        </w:rPr>
        <w:t>assistance juridique implique la présence d</w:t>
      </w:r>
      <w:r>
        <w:rPr>
          <w:lang w:val="fr-FR"/>
        </w:rPr>
        <w:t>’</w:t>
      </w:r>
      <w:r w:rsidRPr="00CA604A">
        <w:rPr>
          <w:lang w:val="fr-FR"/>
        </w:rPr>
        <w:t>un conseil efficace ; or, l</w:t>
      </w:r>
      <w:r>
        <w:rPr>
          <w:lang w:val="fr-FR"/>
        </w:rPr>
        <w:t>’</w:t>
      </w:r>
      <w:r w:rsidRPr="00CA604A">
        <w:rPr>
          <w:lang w:val="fr-FR"/>
        </w:rPr>
        <w:t>avocate n</w:t>
      </w:r>
      <w:r>
        <w:rPr>
          <w:lang w:val="fr-FR"/>
        </w:rPr>
        <w:t>’</w:t>
      </w:r>
      <w:r w:rsidRPr="00CA604A">
        <w:rPr>
          <w:lang w:val="fr-FR"/>
        </w:rPr>
        <w:t>a pas fourni une assistance appropriée au sens de l</w:t>
      </w:r>
      <w:r>
        <w:rPr>
          <w:lang w:val="fr-FR"/>
        </w:rPr>
        <w:t>’</w:t>
      </w:r>
      <w:r w:rsidRPr="00CA604A">
        <w:rPr>
          <w:lang w:val="fr-FR"/>
        </w:rPr>
        <w:t>article</w:t>
      </w:r>
      <w:r w:rsidR="00C90560">
        <w:rPr>
          <w:lang w:val="fr-FR"/>
        </w:rPr>
        <w:t> </w:t>
      </w:r>
      <w:r w:rsidRPr="00CA604A">
        <w:rPr>
          <w:lang w:val="fr-FR"/>
        </w:rPr>
        <w:t>37 de la Convention et n</w:t>
      </w:r>
      <w:r>
        <w:rPr>
          <w:lang w:val="fr-FR"/>
        </w:rPr>
        <w:t>’</w:t>
      </w:r>
      <w:r w:rsidRPr="00CA604A">
        <w:rPr>
          <w:lang w:val="fr-FR"/>
        </w:rPr>
        <w:t>a pas été un conseil juridique au sens de l</w:t>
      </w:r>
      <w:r>
        <w:rPr>
          <w:lang w:val="fr-FR"/>
        </w:rPr>
        <w:t>’</w:t>
      </w:r>
      <w:r w:rsidRPr="00CA604A">
        <w:rPr>
          <w:lang w:val="fr-FR"/>
        </w:rPr>
        <w:t>article</w:t>
      </w:r>
      <w:r w:rsidR="00C90560">
        <w:rPr>
          <w:lang w:val="fr-FR"/>
        </w:rPr>
        <w:t> </w:t>
      </w:r>
      <w:r w:rsidRPr="00CA604A">
        <w:rPr>
          <w:lang w:val="fr-FR"/>
        </w:rPr>
        <w:t>40, n</w:t>
      </w:r>
      <w:r>
        <w:rPr>
          <w:lang w:val="fr-FR"/>
        </w:rPr>
        <w:t>’</w:t>
      </w:r>
      <w:r w:rsidRPr="00CA604A">
        <w:rPr>
          <w:lang w:val="fr-FR"/>
        </w:rPr>
        <w:t xml:space="preserve">ayant pas interjeté appel contre le jugement de dessaisissement. De même, </w:t>
      </w:r>
      <w:r w:rsidR="00FA1801">
        <w:rPr>
          <w:lang w:val="fr-FR"/>
        </w:rPr>
        <w:t>E. S.</w:t>
      </w:r>
      <w:r w:rsidRPr="00CA604A">
        <w:rPr>
          <w:lang w:val="fr-FR"/>
        </w:rPr>
        <w:t xml:space="preserve"> </w:t>
      </w:r>
      <w:r>
        <w:rPr>
          <w:lang w:val="fr-FR"/>
        </w:rPr>
        <w:t>n’a pas bénéficié</w:t>
      </w:r>
      <w:r w:rsidRPr="00CA604A">
        <w:rPr>
          <w:lang w:val="fr-FR"/>
        </w:rPr>
        <w:t xml:space="preserve"> de la possibilité d</w:t>
      </w:r>
      <w:r>
        <w:rPr>
          <w:lang w:val="fr-FR"/>
        </w:rPr>
        <w:t>’</w:t>
      </w:r>
      <w:r w:rsidRPr="00CA604A">
        <w:rPr>
          <w:lang w:val="fr-FR"/>
        </w:rPr>
        <w:t xml:space="preserve">être libérée </w:t>
      </w:r>
      <w:r>
        <w:rPr>
          <w:lang w:val="fr-FR"/>
        </w:rPr>
        <w:t>dès que le permettait la réglementation.</w:t>
      </w:r>
    </w:p>
    <w:p w:rsidR="009A3634" w:rsidRDefault="009A3634" w:rsidP="009A3634">
      <w:pPr>
        <w:pStyle w:val="SingleTxtG"/>
        <w:spacing w:line="238" w:lineRule="atLeast"/>
        <w:rPr>
          <w:lang w:val="fr-FR"/>
        </w:rPr>
      </w:pPr>
      <w:r w:rsidRPr="00413A18">
        <w:rPr>
          <w:lang w:val="fr-FR"/>
        </w:rPr>
        <w:t>3.3</w:t>
      </w:r>
      <w:r w:rsidRPr="00413A18">
        <w:rPr>
          <w:lang w:val="fr-FR"/>
        </w:rPr>
        <w:tab/>
        <w:t xml:space="preserve">En </w:t>
      </w:r>
      <w:r>
        <w:rPr>
          <w:lang w:val="fr-FR"/>
        </w:rPr>
        <w:t>deuxième</w:t>
      </w:r>
      <w:r w:rsidRPr="00413A18">
        <w:rPr>
          <w:lang w:val="fr-FR"/>
        </w:rPr>
        <w:t xml:space="preserve"> lieu, l</w:t>
      </w:r>
      <w:r>
        <w:rPr>
          <w:lang w:val="fr-FR"/>
        </w:rPr>
        <w:t>’</w:t>
      </w:r>
      <w:r w:rsidRPr="00413A18">
        <w:rPr>
          <w:lang w:val="fr-FR"/>
        </w:rPr>
        <w:t xml:space="preserve">auteur soutient </w:t>
      </w:r>
      <w:r>
        <w:rPr>
          <w:lang w:val="fr-FR"/>
        </w:rPr>
        <w:t>qu’</w:t>
      </w:r>
      <w:r w:rsidR="00FA1801">
        <w:rPr>
          <w:lang w:val="fr-FR"/>
        </w:rPr>
        <w:t>E. S.</w:t>
      </w:r>
      <w:r w:rsidRPr="00413A18">
        <w:rPr>
          <w:lang w:val="fr-FR"/>
        </w:rPr>
        <w:t xml:space="preserve"> est victime de la violation par l</w:t>
      </w:r>
      <w:r>
        <w:rPr>
          <w:lang w:val="fr-FR"/>
        </w:rPr>
        <w:t>’</w:t>
      </w:r>
      <w:r w:rsidRPr="00413A18">
        <w:rPr>
          <w:lang w:val="fr-FR"/>
        </w:rPr>
        <w:t>État partie des articles</w:t>
      </w:r>
      <w:r w:rsidR="00C90560">
        <w:rPr>
          <w:lang w:val="fr-FR"/>
        </w:rPr>
        <w:t> </w:t>
      </w:r>
      <w:r w:rsidRPr="00413A18">
        <w:rPr>
          <w:lang w:val="fr-FR"/>
        </w:rPr>
        <w:t>19 (</w:t>
      </w:r>
      <w:r>
        <w:rPr>
          <w:lang w:val="fr-FR"/>
        </w:rPr>
        <w:t>par. </w:t>
      </w:r>
      <w:r w:rsidRPr="00413A18">
        <w:rPr>
          <w:lang w:val="fr-FR"/>
        </w:rPr>
        <w:t>1) et 36 de la Convention, qui incluent des obligations d</w:t>
      </w:r>
      <w:r>
        <w:rPr>
          <w:lang w:val="fr-FR"/>
        </w:rPr>
        <w:t>’</w:t>
      </w:r>
      <w:r w:rsidRPr="00413A18">
        <w:rPr>
          <w:lang w:val="fr-FR"/>
        </w:rPr>
        <w:t>enquêter dès que des indices d</w:t>
      </w:r>
      <w:r>
        <w:rPr>
          <w:lang w:val="fr-FR"/>
        </w:rPr>
        <w:t>’</w:t>
      </w:r>
      <w:r w:rsidRPr="00413A18">
        <w:rPr>
          <w:lang w:val="fr-FR"/>
        </w:rPr>
        <w:t>exploitation d</w:t>
      </w:r>
      <w:r>
        <w:rPr>
          <w:lang w:val="fr-FR"/>
        </w:rPr>
        <w:t>’</w:t>
      </w:r>
      <w:r w:rsidRPr="00413A18">
        <w:rPr>
          <w:lang w:val="fr-FR"/>
        </w:rPr>
        <w:t xml:space="preserve">un enfant existent. </w:t>
      </w:r>
      <w:r>
        <w:rPr>
          <w:lang w:val="fr-FR"/>
        </w:rPr>
        <w:t>Bien</w:t>
      </w:r>
      <w:r w:rsidRPr="00413A18">
        <w:rPr>
          <w:lang w:val="fr-FR"/>
        </w:rPr>
        <w:t xml:space="preserve"> que le </w:t>
      </w:r>
      <w:r>
        <w:rPr>
          <w:lang w:val="fr-FR"/>
        </w:rPr>
        <w:t>t</w:t>
      </w:r>
      <w:r w:rsidRPr="00413A18">
        <w:rPr>
          <w:lang w:val="fr-FR"/>
        </w:rPr>
        <w:t>ribunal corr</w:t>
      </w:r>
      <w:r>
        <w:rPr>
          <w:lang w:val="fr-FR"/>
        </w:rPr>
        <w:t>ectionnel de Bruxelles observe</w:t>
      </w:r>
      <w:r w:rsidRPr="00413A18">
        <w:rPr>
          <w:lang w:val="fr-FR"/>
        </w:rPr>
        <w:t xml:space="preserve"> que «</w:t>
      </w:r>
      <w:r w:rsidR="00C90560">
        <w:rPr>
          <w:lang w:val="fr-FR"/>
        </w:rPr>
        <w:t> </w:t>
      </w:r>
      <w:r w:rsidRPr="00413A18">
        <w:rPr>
          <w:lang w:val="fr-FR"/>
        </w:rPr>
        <w:t xml:space="preserve">la prévenue ne semble guère profiter de ses larcins et vole souvent des objets qui peuvent faire penser à des </w:t>
      </w:r>
      <w:r>
        <w:rPr>
          <w:lang w:val="fr-FR"/>
        </w:rPr>
        <w:t>“</w:t>
      </w:r>
      <w:r w:rsidRPr="00413A18">
        <w:rPr>
          <w:lang w:val="fr-FR"/>
        </w:rPr>
        <w:t>commandes</w:t>
      </w:r>
      <w:r>
        <w:rPr>
          <w:lang w:val="fr-FR"/>
        </w:rPr>
        <w:t>”</w:t>
      </w:r>
      <w:r w:rsidRPr="00413A18">
        <w:rPr>
          <w:lang w:val="fr-FR"/>
        </w:rPr>
        <w:t> », aucune mesure d</w:t>
      </w:r>
      <w:r>
        <w:rPr>
          <w:lang w:val="fr-FR"/>
        </w:rPr>
        <w:t>’</w:t>
      </w:r>
      <w:r w:rsidRPr="00413A18">
        <w:rPr>
          <w:lang w:val="fr-FR"/>
        </w:rPr>
        <w:t>investigation n</w:t>
      </w:r>
      <w:r>
        <w:rPr>
          <w:lang w:val="fr-FR"/>
        </w:rPr>
        <w:t>’</w:t>
      </w:r>
      <w:r w:rsidRPr="00413A18">
        <w:rPr>
          <w:lang w:val="fr-FR"/>
        </w:rPr>
        <w:t xml:space="preserve">a jamais été </w:t>
      </w:r>
      <w:r>
        <w:rPr>
          <w:lang w:val="fr-FR"/>
        </w:rPr>
        <w:t>prise</w:t>
      </w:r>
      <w:r w:rsidRPr="00413A18">
        <w:rPr>
          <w:lang w:val="fr-FR"/>
        </w:rPr>
        <w:t xml:space="preserve"> pour savoir si elle agissait librement ou était victime de traite </w:t>
      </w:r>
      <w:r>
        <w:rPr>
          <w:lang w:val="fr-FR"/>
        </w:rPr>
        <w:t xml:space="preserve">des </w:t>
      </w:r>
      <w:r w:rsidRPr="00413A18">
        <w:rPr>
          <w:lang w:val="fr-FR"/>
        </w:rPr>
        <w:t xml:space="preserve">êtres humains. </w:t>
      </w:r>
      <w:r w:rsidR="00FA1801">
        <w:rPr>
          <w:lang w:val="fr-FR"/>
        </w:rPr>
        <w:t>E. S.</w:t>
      </w:r>
      <w:r w:rsidRPr="00413A18">
        <w:rPr>
          <w:lang w:val="fr-FR"/>
        </w:rPr>
        <w:t xml:space="preserve"> </w:t>
      </w:r>
      <w:r>
        <w:rPr>
          <w:lang w:val="fr-FR"/>
        </w:rPr>
        <w:t>aurait dû</w:t>
      </w:r>
      <w:r w:rsidRPr="00413A18">
        <w:rPr>
          <w:lang w:val="fr-FR"/>
        </w:rPr>
        <w:t xml:space="preserve"> être protégée</w:t>
      </w:r>
      <w:r>
        <w:rPr>
          <w:lang w:val="fr-FR"/>
        </w:rPr>
        <w:t>,</w:t>
      </w:r>
      <w:r w:rsidRPr="00413A18">
        <w:rPr>
          <w:lang w:val="fr-FR"/>
        </w:rPr>
        <w:t xml:space="preserve"> plutôt</w:t>
      </w:r>
      <w:r>
        <w:rPr>
          <w:lang w:val="fr-FR"/>
        </w:rPr>
        <w:t xml:space="preserve"> que condamnée comme une adulte,</w:t>
      </w:r>
      <w:r w:rsidRPr="00413A18">
        <w:rPr>
          <w:lang w:val="fr-FR"/>
        </w:rPr>
        <w:t xml:space="preserve"> et se voir octroyer un titre de séjour.</w:t>
      </w:r>
    </w:p>
    <w:p w:rsidR="009A3634" w:rsidRDefault="009A3634" w:rsidP="009A3634">
      <w:pPr>
        <w:pStyle w:val="SingleTxtG"/>
        <w:spacing w:line="238" w:lineRule="atLeast"/>
        <w:rPr>
          <w:lang w:val="fr-FR"/>
        </w:rPr>
      </w:pPr>
      <w:r w:rsidRPr="00026DF0">
        <w:rPr>
          <w:lang w:val="fr-FR"/>
        </w:rPr>
        <w:t>3.4</w:t>
      </w:r>
      <w:r w:rsidRPr="00026DF0">
        <w:rPr>
          <w:lang w:val="fr-FR"/>
        </w:rPr>
        <w:tab/>
      </w:r>
      <w:r>
        <w:rPr>
          <w:lang w:val="fr-FR"/>
        </w:rPr>
        <w:t>En troisième lieu</w:t>
      </w:r>
      <w:r w:rsidRPr="00026DF0">
        <w:rPr>
          <w:lang w:val="fr-FR"/>
        </w:rPr>
        <w:t>, l</w:t>
      </w:r>
      <w:r>
        <w:rPr>
          <w:lang w:val="fr-FR"/>
        </w:rPr>
        <w:t>’</w:t>
      </w:r>
      <w:r w:rsidRPr="00026DF0">
        <w:rPr>
          <w:lang w:val="fr-FR"/>
        </w:rPr>
        <w:t xml:space="preserve">auteur soutient </w:t>
      </w:r>
      <w:r>
        <w:rPr>
          <w:lang w:val="fr-FR"/>
        </w:rPr>
        <w:t>qu’</w:t>
      </w:r>
      <w:r w:rsidR="00FA1801">
        <w:rPr>
          <w:lang w:val="fr-FR"/>
        </w:rPr>
        <w:t>E. S.</w:t>
      </w:r>
      <w:r w:rsidRPr="00026DF0">
        <w:rPr>
          <w:lang w:val="fr-FR"/>
        </w:rPr>
        <w:t xml:space="preserve"> et sa fille sont toutes deux victimes de la violation par l</w:t>
      </w:r>
      <w:r>
        <w:rPr>
          <w:lang w:val="fr-FR"/>
        </w:rPr>
        <w:t>’</w:t>
      </w:r>
      <w:r w:rsidRPr="00026DF0">
        <w:rPr>
          <w:lang w:val="fr-FR"/>
        </w:rPr>
        <w:t>État partie des articles 7 (</w:t>
      </w:r>
      <w:r>
        <w:rPr>
          <w:lang w:val="fr-FR"/>
        </w:rPr>
        <w:t>par. </w:t>
      </w:r>
      <w:r w:rsidRPr="00026DF0">
        <w:rPr>
          <w:lang w:val="fr-FR"/>
        </w:rPr>
        <w:t>1), 9 (</w:t>
      </w:r>
      <w:r>
        <w:rPr>
          <w:lang w:val="fr-FR"/>
        </w:rPr>
        <w:t>par. </w:t>
      </w:r>
      <w:r w:rsidRPr="00026DF0">
        <w:rPr>
          <w:lang w:val="fr-FR"/>
        </w:rPr>
        <w:t>1</w:t>
      </w:r>
      <w:r>
        <w:rPr>
          <w:lang w:val="fr-FR"/>
        </w:rPr>
        <w:t xml:space="preserve"> à</w:t>
      </w:r>
      <w:r w:rsidRPr="00026DF0">
        <w:rPr>
          <w:lang w:val="fr-FR"/>
        </w:rPr>
        <w:t xml:space="preserve"> 3) et 16 de la Convention.</w:t>
      </w:r>
      <w:r>
        <w:rPr>
          <w:lang w:val="fr-FR"/>
        </w:rPr>
        <w:t xml:space="preserve"> En ce sens, l</w:t>
      </w:r>
      <w:r w:rsidRPr="004408F0">
        <w:rPr>
          <w:lang w:val="fr-FR"/>
        </w:rPr>
        <w:t>e dessaisissement, la peine d</w:t>
      </w:r>
      <w:r>
        <w:rPr>
          <w:lang w:val="fr-FR"/>
        </w:rPr>
        <w:t>’</w:t>
      </w:r>
      <w:r w:rsidRPr="004408F0">
        <w:rPr>
          <w:lang w:val="fr-FR"/>
        </w:rPr>
        <w:t>emprisonnement et l</w:t>
      </w:r>
      <w:r>
        <w:rPr>
          <w:lang w:val="fr-FR"/>
        </w:rPr>
        <w:t>’</w:t>
      </w:r>
      <w:r w:rsidRPr="004408F0">
        <w:rPr>
          <w:lang w:val="fr-FR"/>
        </w:rPr>
        <w:t xml:space="preserve">enfermement sans </w:t>
      </w:r>
      <w:r>
        <w:rPr>
          <w:lang w:val="fr-FR"/>
        </w:rPr>
        <w:t>sa fille</w:t>
      </w:r>
      <w:r w:rsidRPr="004408F0">
        <w:rPr>
          <w:lang w:val="fr-FR"/>
        </w:rPr>
        <w:t xml:space="preserve"> sont totalement disproportionnés</w:t>
      </w:r>
      <w:r>
        <w:rPr>
          <w:lang w:val="fr-FR"/>
        </w:rPr>
        <w:t>. De même, la suggestion du médecin</w:t>
      </w:r>
      <w:r w:rsidRPr="00194171">
        <w:rPr>
          <w:lang w:val="fr-FR"/>
        </w:rPr>
        <w:t xml:space="preserve"> </w:t>
      </w:r>
      <w:r>
        <w:rPr>
          <w:lang w:val="fr-FR"/>
        </w:rPr>
        <w:t>d’envisager d’</w:t>
      </w:r>
      <w:r w:rsidRPr="00194171">
        <w:rPr>
          <w:lang w:val="fr-FR"/>
        </w:rPr>
        <w:t>oblige</w:t>
      </w:r>
      <w:r>
        <w:rPr>
          <w:lang w:val="fr-FR"/>
        </w:rPr>
        <w:t>r</w:t>
      </w:r>
      <w:r w:rsidRPr="00194171">
        <w:rPr>
          <w:lang w:val="fr-FR"/>
        </w:rPr>
        <w:t xml:space="preserve"> </w:t>
      </w:r>
      <w:r w:rsidR="00FA1801">
        <w:rPr>
          <w:lang w:val="fr-FR"/>
        </w:rPr>
        <w:t>E. S.</w:t>
      </w:r>
      <w:r>
        <w:rPr>
          <w:lang w:val="fr-FR"/>
        </w:rPr>
        <w:t xml:space="preserve"> à prendre un contraceptif, </w:t>
      </w:r>
      <w:r w:rsidRPr="00194171">
        <w:rPr>
          <w:lang w:val="fr-FR"/>
        </w:rPr>
        <w:t>même si elle n</w:t>
      </w:r>
      <w:r>
        <w:rPr>
          <w:lang w:val="fr-FR"/>
        </w:rPr>
        <w:t>’</w:t>
      </w:r>
      <w:r w:rsidRPr="00194171">
        <w:rPr>
          <w:lang w:val="fr-FR"/>
        </w:rPr>
        <w:t>a pas été suivie d</w:t>
      </w:r>
      <w:r>
        <w:rPr>
          <w:lang w:val="fr-FR"/>
        </w:rPr>
        <w:t>’</w:t>
      </w:r>
      <w:r w:rsidRPr="00194171">
        <w:rPr>
          <w:lang w:val="fr-FR"/>
        </w:rPr>
        <w:t>effets, constitu</w:t>
      </w:r>
      <w:r>
        <w:rPr>
          <w:lang w:val="fr-FR"/>
        </w:rPr>
        <w:t>ait</w:t>
      </w:r>
      <w:r w:rsidRPr="00194171">
        <w:rPr>
          <w:lang w:val="fr-FR"/>
        </w:rPr>
        <w:t xml:space="preserve"> </w:t>
      </w:r>
      <w:r>
        <w:rPr>
          <w:lang w:val="fr-FR"/>
        </w:rPr>
        <w:t xml:space="preserve">une immixtion </w:t>
      </w:r>
      <w:r w:rsidRPr="00194171">
        <w:rPr>
          <w:lang w:val="fr-FR"/>
        </w:rPr>
        <w:t xml:space="preserve">dans sa vie privée et sa </w:t>
      </w:r>
      <w:r>
        <w:rPr>
          <w:lang w:val="fr-FR"/>
        </w:rPr>
        <w:t xml:space="preserve">vie de </w:t>
      </w:r>
      <w:r w:rsidRPr="00194171">
        <w:rPr>
          <w:lang w:val="fr-FR"/>
        </w:rPr>
        <w:t xml:space="preserve">famille </w:t>
      </w:r>
      <w:r>
        <w:rPr>
          <w:lang w:val="fr-FR"/>
        </w:rPr>
        <w:t>contraire à la Convention.</w:t>
      </w:r>
    </w:p>
    <w:p w:rsidR="009A3634" w:rsidRDefault="009A3634" w:rsidP="009A3634">
      <w:pPr>
        <w:pStyle w:val="SingleTxtG"/>
        <w:spacing w:line="238" w:lineRule="atLeast"/>
        <w:rPr>
          <w:lang w:val="fr-FR"/>
        </w:rPr>
      </w:pPr>
      <w:r>
        <w:rPr>
          <w:lang w:val="fr-FR"/>
        </w:rPr>
        <w:t>3.5</w:t>
      </w:r>
      <w:r>
        <w:rPr>
          <w:lang w:val="fr-FR"/>
        </w:rPr>
        <w:tab/>
        <w:t xml:space="preserve">Comme mesures de réparation, </w:t>
      </w:r>
      <w:r w:rsidRPr="00315914">
        <w:rPr>
          <w:lang w:val="fr-FR"/>
        </w:rPr>
        <w:t>l</w:t>
      </w:r>
      <w:r>
        <w:rPr>
          <w:lang w:val="fr-FR"/>
        </w:rPr>
        <w:t>’</w:t>
      </w:r>
      <w:r w:rsidRPr="00315914">
        <w:rPr>
          <w:lang w:val="fr-FR"/>
        </w:rPr>
        <w:t xml:space="preserve">État partie </w:t>
      </w:r>
      <w:r w:rsidRPr="006C3417">
        <w:rPr>
          <w:lang w:val="fr-FR"/>
        </w:rPr>
        <w:t>devrait</w:t>
      </w:r>
      <w:r>
        <w:rPr>
          <w:lang w:val="fr-FR"/>
        </w:rPr>
        <w:t xml:space="preserve"> annuler</w:t>
      </w:r>
      <w:r w:rsidRPr="006C3417">
        <w:rPr>
          <w:lang w:val="fr-FR"/>
        </w:rPr>
        <w:t xml:space="preserve"> l</w:t>
      </w:r>
      <w:r>
        <w:rPr>
          <w:lang w:val="fr-FR"/>
        </w:rPr>
        <w:t>’</w:t>
      </w:r>
      <w:r w:rsidRPr="006C3417">
        <w:rPr>
          <w:lang w:val="fr-FR"/>
        </w:rPr>
        <w:t>ordre de quitter le territoire, accorder un titre de séjour à durée indéterminée</w:t>
      </w:r>
      <w:r>
        <w:rPr>
          <w:lang w:val="fr-FR"/>
        </w:rPr>
        <w:t xml:space="preserve"> à </w:t>
      </w:r>
      <w:r w:rsidR="00FA1801">
        <w:rPr>
          <w:lang w:val="fr-FR"/>
        </w:rPr>
        <w:t>E. S.</w:t>
      </w:r>
      <w:r w:rsidRPr="006C3417">
        <w:rPr>
          <w:lang w:val="fr-FR"/>
        </w:rPr>
        <w:t xml:space="preserve"> ainsi qu</w:t>
      </w:r>
      <w:r>
        <w:rPr>
          <w:lang w:val="fr-FR"/>
        </w:rPr>
        <w:t>’</w:t>
      </w:r>
      <w:r w:rsidRPr="006C3417">
        <w:rPr>
          <w:lang w:val="fr-FR"/>
        </w:rPr>
        <w:t xml:space="preserve">à son mari et à sa fille, et effacer </w:t>
      </w:r>
      <w:r>
        <w:rPr>
          <w:lang w:val="fr-FR"/>
        </w:rPr>
        <w:t>du</w:t>
      </w:r>
      <w:r w:rsidRPr="006C3417">
        <w:rPr>
          <w:lang w:val="fr-FR"/>
        </w:rPr>
        <w:t xml:space="preserve"> casier judiciaire</w:t>
      </w:r>
      <w:r>
        <w:rPr>
          <w:lang w:val="fr-FR"/>
        </w:rPr>
        <w:t xml:space="preserve"> d’</w:t>
      </w:r>
      <w:r w:rsidR="00FA1801">
        <w:rPr>
          <w:lang w:val="fr-FR"/>
        </w:rPr>
        <w:t>E. S.</w:t>
      </w:r>
      <w:r w:rsidRPr="006C3417">
        <w:rPr>
          <w:lang w:val="fr-FR"/>
        </w:rPr>
        <w:t xml:space="preserve"> les condamnations pénales encourues</w:t>
      </w:r>
      <w:r>
        <w:rPr>
          <w:lang w:val="fr-FR"/>
        </w:rPr>
        <w:t>.</w:t>
      </w:r>
    </w:p>
    <w:p w:rsidR="009A3634" w:rsidRDefault="009A3634" w:rsidP="009A3634">
      <w:pPr>
        <w:pStyle w:val="SingleTxtG"/>
        <w:spacing w:line="238" w:lineRule="atLeast"/>
        <w:rPr>
          <w:lang w:val="fr-FR"/>
        </w:rPr>
      </w:pPr>
      <w:r w:rsidRPr="003408AB">
        <w:rPr>
          <w:lang w:val="fr-FR"/>
        </w:rPr>
        <w:t>3.6</w:t>
      </w:r>
      <w:r w:rsidRPr="003408AB">
        <w:rPr>
          <w:lang w:val="fr-FR"/>
        </w:rPr>
        <w:tab/>
        <w:t>Finalement, l</w:t>
      </w:r>
      <w:r>
        <w:rPr>
          <w:lang w:val="fr-FR"/>
        </w:rPr>
        <w:t>’</w:t>
      </w:r>
      <w:r w:rsidRPr="003408AB">
        <w:rPr>
          <w:lang w:val="fr-FR"/>
        </w:rPr>
        <w:t>auteur indique qu</w:t>
      </w:r>
      <w:r>
        <w:rPr>
          <w:lang w:val="fr-FR"/>
        </w:rPr>
        <w:t>’</w:t>
      </w:r>
      <w:r w:rsidRPr="003408AB">
        <w:rPr>
          <w:lang w:val="fr-FR"/>
        </w:rPr>
        <w:t>il n</w:t>
      </w:r>
      <w:r>
        <w:rPr>
          <w:lang w:val="fr-FR"/>
        </w:rPr>
        <w:t>’</w:t>
      </w:r>
      <w:r w:rsidRPr="003408AB">
        <w:rPr>
          <w:lang w:val="fr-FR"/>
        </w:rPr>
        <w:t xml:space="preserve">a plus été en contact avec </w:t>
      </w:r>
      <w:r w:rsidR="00FA1801">
        <w:rPr>
          <w:lang w:val="fr-FR"/>
        </w:rPr>
        <w:t>E. S.</w:t>
      </w:r>
      <w:r w:rsidRPr="003408AB">
        <w:rPr>
          <w:lang w:val="fr-FR"/>
        </w:rPr>
        <w:t xml:space="preserve"> depuis son expulsion, et que les pressions vraisemblablement encore exercées sur elle par la famille de son mari excluent qu</w:t>
      </w:r>
      <w:r>
        <w:rPr>
          <w:lang w:val="fr-FR"/>
        </w:rPr>
        <w:t>’</w:t>
      </w:r>
      <w:r w:rsidRPr="003408AB">
        <w:rPr>
          <w:lang w:val="fr-FR"/>
        </w:rPr>
        <w:t xml:space="preserve">elle puisse prétendre communiquer avec son tuteur. Cependant, </w:t>
      </w:r>
      <w:r>
        <w:rPr>
          <w:lang w:val="fr-FR"/>
        </w:rPr>
        <w:t>l’auteur</w:t>
      </w:r>
      <w:r w:rsidRPr="003408AB">
        <w:rPr>
          <w:lang w:val="fr-FR"/>
        </w:rPr>
        <w:t xml:space="preserve"> s</w:t>
      </w:r>
      <w:r>
        <w:rPr>
          <w:lang w:val="fr-FR"/>
        </w:rPr>
        <w:t>’</w:t>
      </w:r>
      <w:r w:rsidRPr="003408AB">
        <w:rPr>
          <w:lang w:val="fr-FR"/>
        </w:rPr>
        <w:t xml:space="preserve">estime autorisé </w:t>
      </w:r>
      <w:r>
        <w:rPr>
          <w:lang w:val="fr-FR"/>
        </w:rPr>
        <w:t>à</w:t>
      </w:r>
      <w:r w:rsidRPr="003408AB">
        <w:rPr>
          <w:lang w:val="fr-FR"/>
        </w:rPr>
        <w:t xml:space="preserve"> transmettre au Comité la présente communication</w:t>
      </w:r>
      <w:r>
        <w:rPr>
          <w:lang w:val="fr-FR"/>
        </w:rPr>
        <w:t xml:space="preserve"> et obligé de le faire,</w:t>
      </w:r>
      <w:r w:rsidRPr="003408AB">
        <w:rPr>
          <w:lang w:val="fr-FR"/>
        </w:rPr>
        <w:t xml:space="preserve"> étant donné que la loi prévoit que le tuteur représente légalement l</w:t>
      </w:r>
      <w:r>
        <w:rPr>
          <w:lang w:val="fr-FR"/>
        </w:rPr>
        <w:t>’</w:t>
      </w:r>
      <w:r w:rsidRPr="003408AB">
        <w:rPr>
          <w:lang w:val="fr-FR"/>
        </w:rPr>
        <w:t>enfant.</w:t>
      </w:r>
      <w:r w:rsidRPr="003408AB">
        <w:t xml:space="preserve"> </w:t>
      </w:r>
      <w:r w:rsidR="00FA1801">
        <w:t>E. S.</w:t>
      </w:r>
      <w:r w:rsidRPr="003408AB">
        <w:t xml:space="preserve"> </w:t>
      </w:r>
      <w:r w:rsidRPr="003408AB">
        <w:rPr>
          <w:lang w:val="fr-FR"/>
        </w:rPr>
        <w:t>s</w:t>
      </w:r>
      <w:r>
        <w:rPr>
          <w:lang w:val="fr-FR"/>
        </w:rPr>
        <w:t>’</w:t>
      </w:r>
      <w:r w:rsidRPr="003408AB">
        <w:rPr>
          <w:lang w:val="fr-FR"/>
        </w:rPr>
        <w:t>est constamment plainte de la séparation imposée avec sa fille et</w:t>
      </w:r>
      <w:r w:rsidRPr="003408AB">
        <w:t xml:space="preserve"> </w:t>
      </w:r>
      <w:r w:rsidRPr="003408AB">
        <w:rPr>
          <w:lang w:val="fr-FR"/>
        </w:rPr>
        <w:t>serait pleinement d</w:t>
      </w:r>
      <w:r>
        <w:rPr>
          <w:lang w:val="fr-FR"/>
        </w:rPr>
        <w:t>’</w:t>
      </w:r>
      <w:r w:rsidRPr="003408AB">
        <w:rPr>
          <w:lang w:val="fr-FR"/>
        </w:rPr>
        <w:t>accord avec l</w:t>
      </w:r>
      <w:r>
        <w:rPr>
          <w:lang w:val="fr-FR"/>
        </w:rPr>
        <w:t>’</w:t>
      </w:r>
      <w:r w:rsidRPr="003408AB">
        <w:rPr>
          <w:lang w:val="fr-FR"/>
        </w:rPr>
        <w:t>introduction de la présente communication.</w:t>
      </w:r>
    </w:p>
    <w:p w:rsidR="009A3634" w:rsidRPr="006624F6" w:rsidRDefault="009A3634" w:rsidP="009A3634">
      <w:pPr>
        <w:pStyle w:val="H23G"/>
        <w:rPr>
          <w:lang w:val="fr-FR"/>
        </w:rPr>
      </w:pPr>
      <w:r w:rsidRPr="00711EE7">
        <w:rPr>
          <w:lang w:val="fr-FR"/>
        </w:rPr>
        <w:lastRenderedPageBreak/>
        <w:tab/>
      </w:r>
      <w:r w:rsidRPr="00711EE7">
        <w:rPr>
          <w:lang w:val="fr-FR"/>
        </w:rPr>
        <w:tab/>
        <w:t>Observations de l</w:t>
      </w:r>
      <w:r>
        <w:rPr>
          <w:lang w:val="fr-FR"/>
        </w:rPr>
        <w:t>’</w:t>
      </w:r>
      <w:r w:rsidRPr="00711EE7">
        <w:rPr>
          <w:lang w:val="fr-FR"/>
        </w:rPr>
        <w:t>État partie sur la recevabilité et le fond</w:t>
      </w:r>
    </w:p>
    <w:p w:rsidR="009A3634" w:rsidRDefault="009A3634" w:rsidP="009A3634">
      <w:pPr>
        <w:pStyle w:val="SingleTxtG"/>
        <w:rPr>
          <w:lang w:val="fr-FR"/>
        </w:rPr>
      </w:pPr>
      <w:r w:rsidRPr="00711EE7">
        <w:rPr>
          <w:lang w:val="fr-FR"/>
        </w:rPr>
        <w:t>4.1</w:t>
      </w:r>
      <w:r w:rsidRPr="00711EE7">
        <w:rPr>
          <w:lang w:val="fr-FR"/>
        </w:rPr>
        <w:tab/>
        <w:t xml:space="preserve">Dans ses observations </w:t>
      </w:r>
      <w:r>
        <w:rPr>
          <w:lang w:val="fr-FR"/>
        </w:rPr>
        <w:t xml:space="preserve">datées </w:t>
      </w:r>
      <w:r w:rsidRPr="00711EE7">
        <w:rPr>
          <w:lang w:val="fr-FR"/>
        </w:rPr>
        <w:t xml:space="preserve">du </w:t>
      </w:r>
      <w:r>
        <w:rPr>
          <w:lang w:val="fr-FR"/>
        </w:rPr>
        <w:t>22</w:t>
      </w:r>
      <w:r w:rsidR="00116988">
        <w:rPr>
          <w:lang w:val="fr-FR"/>
        </w:rPr>
        <w:t> </w:t>
      </w:r>
      <w:r>
        <w:rPr>
          <w:lang w:val="fr-FR"/>
        </w:rPr>
        <w:t>mai 2018</w:t>
      </w:r>
      <w:r w:rsidRPr="00711EE7">
        <w:rPr>
          <w:lang w:val="fr-FR"/>
        </w:rPr>
        <w:t>, l</w:t>
      </w:r>
      <w:r>
        <w:rPr>
          <w:lang w:val="fr-FR"/>
        </w:rPr>
        <w:t>’</w:t>
      </w:r>
      <w:r w:rsidRPr="00711EE7">
        <w:rPr>
          <w:lang w:val="fr-FR"/>
        </w:rPr>
        <w:t>État partie soutient que la communication</w:t>
      </w:r>
      <w:r>
        <w:rPr>
          <w:lang w:val="fr-FR"/>
        </w:rPr>
        <w:t xml:space="preserve"> doit être déclarée irrecevable, car elle est non fondée.</w:t>
      </w:r>
    </w:p>
    <w:p w:rsidR="009A3634" w:rsidRDefault="009A3634" w:rsidP="009A3634">
      <w:pPr>
        <w:pStyle w:val="SingleTxtG"/>
        <w:rPr>
          <w:lang w:val="fr-FR"/>
        </w:rPr>
      </w:pPr>
      <w:r>
        <w:rPr>
          <w:lang w:val="fr-FR"/>
        </w:rPr>
        <w:t>4.2</w:t>
      </w:r>
      <w:r>
        <w:rPr>
          <w:lang w:val="fr-FR"/>
        </w:rPr>
        <w:tab/>
        <w:t>L’</w:t>
      </w:r>
      <w:r w:rsidRPr="00BE4EF8">
        <w:rPr>
          <w:lang w:val="fr-FR"/>
        </w:rPr>
        <w:t>État partie</w:t>
      </w:r>
      <w:r>
        <w:rPr>
          <w:lang w:val="fr-FR"/>
        </w:rPr>
        <w:t xml:space="preserve"> indique qu’</w:t>
      </w:r>
      <w:r w:rsidR="00FA1801">
        <w:rPr>
          <w:lang w:val="fr-FR"/>
        </w:rPr>
        <w:t>E. S.</w:t>
      </w:r>
      <w:r>
        <w:rPr>
          <w:lang w:val="fr-FR"/>
        </w:rPr>
        <w:t xml:space="preserve"> est majeure depuis le 26</w:t>
      </w:r>
      <w:r w:rsidR="00116988">
        <w:rPr>
          <w:lang w:val="fr-FR"/>
        </w:rPr>
        <w:t> </w:t>
      </w:r>
      <w:r>
        <w:rPr>
          <w:lang w:val="fr-FR"/>
        </w:rPr>
        <w:t>juin 2017</w:t>
      </w:r>
      <w:r w:rsidRPr="000C7AAF">
        <w:rPr>
          <w:lang w:val="fr-FR"/>
        </w:rPr>
        <w:t xml:space="preserve"> </w:t>
      </w:r>
      <w:r w:rsidR="00116988">
        <w:rPr>
          <w:lang w:val="fr-FR"/>
        </w:rPr>
        <w:t>−</w:t>
      </w:r>
      <w:r>
        <w:rPr>
          <w:lang w:val="fr-FR"/>
        </w:rPr>
        <w:t xml:space="preserve"> soit deux jours après la présentation de la communication </w:t>
      </w:r>
      <w:r w:rsidR="00116988">
        <w:rPr>
          <w:lang w:val="fr-FR"/>
        </w:rPr>
        <w:t>−</w:t>
      </w:r>
      <w:r>
        <w:rPr>
          <w:lang w:val="fr-FR"/>
        </w:rPr>
        <w:t>, date à laquelle la mission de son</w:t>
      </w:r>
      <w:r w:rsidRPr="00BE4EF8">
        <w:rPr>
          <w:lang w:val="fr-FR"/>
        </w:rPr>
        <w:t xml:space="preserve"> tuteur s</w:t>
      </w:r>
      <w:r>
        <w:rPr>
          <w:lang w:val="fr-FR"/>
        </w:rPr>
        <w:t>’</w:t>
      </w:r>
      <w:r w:rsidRPr="00BE4EF8">
        <w:rPr>
          <w:lang w:val="fr-FR"/>
        </w:rPr>
        <w:t>est achevé</w:t>
      </w:r>
      <w:r>
        <w:rPr>
          <w:lang w:val="fr-FR"/>
        </w:rPr>
        <w:t xml:space="preserve">e. </w:t>
      </w:r>
      <w:r w:rsidRPr="008F20C1">
        <w:rPr>
          <w:lang w:val="fr-FR"/>
        </w:rPr>
        <w:t>L</w:t>
      </w:r>
      <w:r>
        <w:rPr>
          <w:lang w:val="fr-FR"/>
        </w:rPr>
        <w:t>’</w:t>
      </w:r>
      <w:r w:rsidRPr="008F20C1">
        <w:rPr>
          <w:lang w:val="fr-FR"/>
        </w:rPr>
        <w:t xml:space="preserve">État partie </w:t>
      </w:r>
      <w:r>
        <w:rPr>
          <w:lang w:val="fr-FR"/>
        </w:rPr>
        <w:t>précise</w:t>
      </w:r>
      <w:r w:rsidRPr="008F20C1">
        <w:rPr>
          <w:lang w:val="fr-FR"/>
        </w:rPr>
        <w:t xml:space="preserve"> aussi </w:t>
      </w:r>
      <w:r>
        <w:rPr>
          <w:lang w:val="fr-FR"/>
        </w:rPr>
        <w:t>que d</w:t>
      </w:r>
      <w:r w:rsidRPr="00384242">
        <w:rPr>
          <w:lang w:val="fr-FR"/>
        </w:rPr>
        <w:t>epuis son départ</w:t>
      </w:r>
      <w:r>
        <w:rPr>
          <w:lang w:val="fr-FR"/>
        </w:rPr>
        <w:t xml:space="preserve"> de Belgique</w:t>
      </w:r>
      <w:r w:rsidRPr="00384242">
        <w:rPr>
          <w:lang w:val="fr-FR"/>
        </w:rPr>
        <w:t xml:space="preserve">, </w:t>
      </w:r>
      <w:r w:rsidR="00FA1801">
        <w:rPr>
          <w:lang w:val="fr-FR"/>
        </w:rPr>
        <w:t>E. S.</w:t>
      </w:r>
      <w:r w:rsidRPr="00384242">
        <w:rPr>
          <w:lang w:val="fr-FR"/>
        </w:rPr>
        <w:t xml:space="preserve"> ne s</w:t>
      </w:r>
      <w:r>
        <w:rPr>
          <w:lang w:val="fr-FR"/>
        </w:rPr>
        <w:t>’</w:t>
      </w:r>
      <w:r w:rsidRPr="00384242">
        <w:rPr>
          <w:lang w:val="fr-FR"/>
        </w:rPr>
        <w:t>est plus manifesté</w:t>
      </w:r>
      <w:r>
        <w:rPr>
          <w:lang w:val="fr-FR"/>
        </w:rPr>
        <w:t>e</w:t>
      </w:r>
      <w:r w:rsidRPr="00384242">
        <w:rPr>
          <w:lang w:val="fr-FR"/>
        </w:rPr>
        <w:t xml:space="preserve"> auprès de son tuteur </w:t>
      </w:r>
      <w:r>
        <w:rPr>
          <w:lang w:val="fr-FR"/>
        </w:rPr>
        <w:t>ou</w:t>
      </w:r>
      <w:r w:rsidRPr="00384242">
        <w:rPr>
          <w:lang w:val="fr-FR"/>
        </w:rPr>
        <w:t xml:space="preserve"> de ses conseils.</w:t>
      </w:r>
    </w:p>
    <w:p w:rsidR="009A3634" w:rsidRDefault="009A3634" w:rsidP="009A3634">
      <w:pPr>
        <w:pStyle w:val="SingleTxtG"/>
        <w:rPr>
          <w:lang w:val="fr-FR"/>
        </w:rPr>
      </w:pPr>
      <w:r>
        <w:rPr>
          <w:lang w:val="fr-FR"/>
        </w:rPr>
        <w:t>4.3</w:t>
      </w:r>
      <w:r>
        <w:rPr>
          <w:lang w:val="fr-FR"/>
        </w:rPr>
        <w:tab/>
      </w:r>
      <w:r w:rsidRPr="008F1CD5">
        <w:rPr>
          <w:lang w:val="fr-FR"/>
        </w:rPr>
        <w:t>L</w:t>
      </w:r>
      <w:r>
        <w:rPr>
          <w:lang w:val="fr-FR"/>
        </w:rPr>
        <w:t>’</w:t>
      </w:r>
      <w:r w:rsidRPr="008F1CD5">
        <w:rPr>
          <w:lang w:val="fr-FR"/>
        </w:rPr>
        <w:t>État partie</w:t>
      </w:r>
      <w:r>
        <w:rPr>
          <w:lang w:val="fr-FR"/>
        </w:rPr>
        <w:t xml:space="preserve"> soulève également que le 7</w:t>
      </w:r>
      <w:r w:rsidR="00116988">
        <w:rPr>
          <w:lang w:val="fr-FR"/>
        </w:rPr>
        <w:t> </w:t>
      </w:r>
      <w:r>
        <w:rPr>
          <w:lang w:val="fr-FR"/>
        </w:rPr>
        <w:t xml:space="preserve">mars 2018, la </w:t>
      </w:r>
      <w:r w:rsidR="00116988">
        <w:rPr>
          <w:lang w:val="fr-FR"/>
        </w:rPr>
        <w:t>35</w:t>
      </w:r>
      <w:r w:rsidR="00116988" w:rsidRPr="00CF50EC">
        <w:rPr>
          <w:vertAlign w:val="superscript"/>
          <w:lang w:val="fr-FR"/>
        </w:rPr>
        <w:t>e</w:t>
      </w:r>
      <w:r w:rsidR="00116988">
        <w:rPr>
          <w:lang w:val="fr-FR"/>
        </w:rPr>
        <w:t> </w:t>
      </w:r>
      <w:r w:rsidRPr="008F1CD5">
        <w:rPr>
          <w:lang w:val="fr-FR"/>
        </w:rPr>
        <w:t xml:space="preserve">chambre spécifique de la jeunesse de la </w:t>
      </w:r>
      <w:r>
        <w:rPr>
          <w:lang w:val="fr-FR"/>
        </w:rPr>
        <w:t>c</w:t>
      </w:r>
      <w:r w:rsidRPr="008F1CD5">
        <w:rPr>
          <w:lang w:val="fr-FR"/>
        </w:rPr>
        <w:t>our d</w:t>
      </w:r>
      <w:r>
        <w:rPr>
          <w:lang w:val="fr-FR"/>
        </w:rPr>
        <w:t>’</w:t>
      </w:r>
      <w:r w:rsidRPr="008F1CD5">
        <w:rPr>
          <w:lang w:val="fr-FR"/>
        </w:rPr>
        <w:t>appel de Bruxelles a déclaré recevable l</w:t>
      </w:r>
      <w:r>
        <w:rPr>
          <w:lang w:val="fr-FR"/>
        </w:rPr>
        <w:t>’</w:t>
      </w:r>
      <w:r w:rsidRPr="008F1CD5">
        <w:rPr>
          <w:lang w:val="fr-FR"/>
        </w:rPr>
        <w:t>appel du tuteur contre le jugement du 22</w:t>
      </w:r>
      <w:r w:rsidR="00116988">
        <w:rPr>
          <w:lang w:val="fr-FR"/>
        </w:rPr>
        <w:t> </w:t>
      </w:r>
      <w:r w:rsidRPr="008F1CD5">
        <w:rPr>
          <w:lang w:val="fr-FR"/>
        </w:rPr>
        <w:t>juin 2016 car, en l</w:t>
      </w:r>
      <w:r>
        <w:rPr>
          <w:lang w:val="fr-FR"/>
        </w:rPr>
        <w:t>’</w:t>
      </w:r>
      <w:r w:rsidRPr="008F1CD5">
        <w:rPr>
          <w:lang w:val="fr-FR"/>
        </w:rPr>
        <w:t>absence de notification du jugement à son égard, le recours exercé par lui le 10</w:t>
      </w:r>
      <w:r w:rsidR="00116988">
        <w:rPr>
          <w:lang w:val="fr-FR"/>
        </w:rPr>
        <w:t> </w:t>
      </w:r>
      <w:r w:rsidRPr="008F1CD5">
        <w:rPr>
          <w:lang w:val="fr-FR"/>
        </w:rPr>
        <w:t xml:space="preserve">octobre 2016 </w:t>
      </w:r>
      <w:r>
        <w:rPr>
          <w:lang w:val="fr-FR"/>
        </w:rPr>
        <w:t>devait être considéré comme recevable. Ainsi, l’</w:t>
      </w:r>
      <w:r w:rsidRPr="00151C07">
        <w:rPr>
          <w:lang w:val="fr-FR"/>
        </w:rPr>
        <w:t xml:space="preserve">État partie </w:t>
      </w:r>
      <w:r>
        <w:rPr>
          <w:lang w:val="fr-FR"/>
        </w:rPr>
        <w:t xml:space="preserve">soutient que </w:t>
      </w:r>
      <w:r w:rsidRPr="008F1CD5">
        <w:rPr>
          <w:lang w:val="fr-FR"/>
        </w:rPr>
        <w:t>la cause est encore en cours.</w:t>
      </w:r>
    </w:p>
    <w:p w:rsidR="009A3634" w:rsidRDefault="009A3634" w:rsidP="009A3634">
      <w:pPr>
        <w:pStyle w:val="SingleTxtG"/>
        <w:rPr>
          <w:lang w:val="fr-FR"/>
        </w:rPr>
      </w:pPr>
      <w:r>
        <w:rPr>
          <w:lang w:val="fr-FR"/>
        </w:rPr>
        <w:t>4.4</w:t>
      </w:r>
      <w:r>
        <w:rPr>
          <w:lang w:val="fr-FR"/>
        </w:rPr>
        <w:tab/>
        <w:t>L’</w:t>
      </w:r>
      <w:r w:rsidRPr="000C7AAF">
        <w:rPr>
          <w:lang w:val="fr-FR"/>
        </w:rPr>
        <w:t xml:space="preserve">État partie </w:t>
      </w:r>
      <w:r>
        <w:rPr>
          <w:lang w:val="fr-FR"/>
        </w:rPr>
        <w:t>précise aussi qu’</w:t>
      </w:r>
      <w:r w:rsidR="00FA1801">
        <w:rPr>
          <w:lang w:val="fr-FR"/>
        </w:rPr>
        <w:t>E. S.</w:t>
      </w:r>
      <w:r>
        <w:rPr>
          <w:lang w:val="fr-FR"/>
        </w:rPr>
        <w:t xml:space="preserve"> est arrivée en Belgique en 2013 et qu’elle a commis, depuis son arrivée, de nombreuses infractions, dont des vols avec violence en bande contre des personnes vulnérables. </w:t>
      </w:r>
      <w:r w:rsidR="00FA1801">
        <w:rPr>
          <w:lang w:val="fr-FR"/>
        </w:rPr>
        <w:t>E. S.</w:t>
      </w:r>
      <w:r>
        <w:rPr>
          <w:lang w:val="fr-FR"/>
        </w:rPr>
        <w:t xml:space="preserve"> initiait notamment des filles plus jeunes qu’elle. Pour tout cela, </w:t>
      </w:r>
      <w:r w:rsidR="00FA1801">
        <w:rPr>
          <w:lang w:val="fr-FR"/>
        </w:rPr>
        <w:t>E. S.</w:t>
      </w:r>
      <w:r>
        <w:rPr>
          <w:lang w:val="fr-FR"/>
        </w:rPr>
        <w:t xml:space="preserve"> a fait l’objet de 73</w:t>
      </w:r>
      <w:r w:rsidR="00116988">
        <w:rPr>
          <w:lang w:val="fr-FR"/>
        </w:rPr>
        <w:t> </w:t>
      </w:r>
      <w:r>
        <w:rPr>
          <w:lang w:val="fr-FR"/>
        </w:rPr>
        <w:t>interpellations avec prise d’empreintes, et plusieurs placements en i</w:t>
      </w:r>
      <w:r w:rsidRPr="00035675">
        <w:rPr>
          <w:lang w:val="fr-FR"/>
        </w:rPr>
        <w:t>nstitution publique de p</w:t>
      </w:r>
      <w:r>
        <w:rPr>
          <w:lang w:val="fr-FR"/>
        </w:rPr>
        <w:t>rotection de la jeunesse ont été prononcés par le juge de la jeunesse. En ce sens, entre la saisie par le parquet de Bruxelles du juge de la jeunesse en août 2014 et son dessaisissement le 1</w:t>
      </w:r>
      <w:r w:rsidRPr="00E22B92">
        <w:rPr>
          <w:vertAlign w:val="superscript"/>
          <w:lang w:val="fr-FR"/>
        </w:rPr>
        <w:t>er</w:t>
      </w:r>
      <w:r w:rsidR="00116988">
        <w:rPr>
          <w:lang w:val="fr-FR"/>
        </w:rPr>
        <w:t> </w:t>
      </w:r>
      <w:r>
        <w:rPr>
          <w:lang w:val="fr-FR"/>
        </w:rPr>
        <w:t xml:space="preserve">avril 2016, </w:t>
      </w:r>
      <w:r w:rsidR="00FA1801">
        <w:rPr>
          <w:lang w:val="fr-FR"/>
        </w:rPr>
        <w:t>E. S.</w:t>
      </w:r>
      <w:r>
        <w:rPr>
          <w:lang w:val="fr-FR"/>
        </w:rPr>
        <w:t xml:space="preserve"> a été sous la surveillance du Service de protection judiciaire et a fait l’objet de six décisions de placement en i</w:t>
      </w:r>
      <w:r w:rsidRPr="00035675">
        <w:rPr>
          <w:lang w:val="fr-FR"/>
        </w:rPr>
        <w:t>nstitution publique de p</w:t>
      </w:r>
      <w:r>
        <w:rPr>
          <w:lang w:val="fr-FR"/>
        </w:rPr>
        <w:t>rotection de la jeunesse, cinq en milieu ouvert et le dernier en milieu fermé.</w:t>
      </w:r>
      <w:r w:rsidRPr="00FC6627">
        <w:rPr>
          <w:lang w:val="fr-FR"/>
        </w:rPr>
        <w:t xml:space="preserve"> </w:t>
      </w:r>
      <w:r>
        <w:rPr>
          <w:lang w:val="fr-FR"/>
        </w:rPr>
        <w:t>En</w:t>
      </w:r>
      <w:r w:rsidRPr="00AA27F8">
        <w:rPr>
          <w:lang w:val="fr-FR"/>
        </w:rPr>
        <w:t xml:space="preserve"> mars 2016,</w:t>
      </w:r>
      <w:r>
        <w:rPr>
          <w:lang w:val="fr-FR"/>
        </w:rPr>
        <w:t xml:space="preserve"> la citation</w:t>
      </w:r>
      <w:r w:rsidRPr="00AA27F8">
        <w:rPr>
          <w:lang w:val="fr-FR"/>
        </w:rPr>
        <w:t xml:space="preserve"> </w:t>
      </w:r>
      <w:r>
        <w:rPr>
          <w:lang w:val="fr-FR"/>
        </w:rPr>
        <w:t xml:space="preserve">ne reprenait qu’une petite partie des faits, et seulement ceux commis par </w:t>
      </w:r>
      <w:r w:rsidR="00FA1801">
        <w:rPr>
          <w:lang w:val="fr-FR"/>
        </w:rPr>
        <w:t>E. S.</w:t>
      </w:r>
      <w:r>
        <w:rPr>
          <w:lang w:val="fr-FR"/>
        </w:rPr>
        <w:t xml:space="preserve"> après ses 16</w:t>
      </w:r>
      <w:r w:rsidR="00116988">
        <w:rPr>
          <w:lang w:val="fr-FR"/>
        </w:rPr>
        <w:t> </w:t>
      </w:r>
      <w:r>
        <w:rPr>
          <w:lang w:val="fr-FR"/>
        </w:rPr>
        <w:t>ans.</w:t>
      </w:r>
      <w:r w:rsidRPr="00654FDE">
        <w:rPr>
          <w:lang w:val="fr-FR"/>
        </w:rPr>
        <w:t xml:space="preserve"> </w:t>
      </w:r>
    </w:p>
    <w:p w:rsidR="009A3634" w:rsidRDefault="009A3634" w:rsidP="009A3634">
      <w:pPr>
        <w:pStyle w:val="SingleTxtG"/>
        <w:rPr>
          <w:lang w:val="fr-FR"/>
        </w:rPr>
      </w:pPr>
      <w:r>
        <w:rPr>
          <w:lang w:val="fr-FR"/>
        </w:rPr>
        <w:t>4.5</w:t>
      </w:r>
      <w:r>
        <w:rPr>
          <w:lang w:val="fr-FR"/>
        </w:rPr>
        <w:tab/>
        <w:t>En particulier, s</w:t>
      </w:r>
      <w:r w:rsidRPr="00185C3B">
        <w:rPr>
          <w:lang w:val="fr-FR"/>
        </w:rPr>
        <w:t>ur la question du dessaisissement et de la privation de liberté</w:t>
      </w:r>
      <w:r>
        <w:rPr>
          <w:lang w:val="fr-FR"/>
        </w:rPr>
        <w:t>,</w:t>
      </w:r>
      <w:r w:rsidRPr="00185C3B">
        <w:rPr>
          <w:lang w:val="fr-FR"/>
        </w:rPr>
        <w:t xml:space="preserve"> </w:t>
      </w:r>
      <w:r>
        <w:rPr>
          <w:lang w:val="fr-FR"/>
        </w:rPr>
        <w:t>l’</w:t>
      </w:r>
      <w:r w:rsidRPr="00185C3B">
        <w:rPr>
          <w:lang w:val="fr-FR"/>
        </w:rPr>
        <w:t xml:space="preserve">État partie </w:t>
      </w:r>
      <w:r>
        <w:rPr>
          <w:lang w:val="fr-FR"/>
        </w:rPr>
        <w:t>indique que, lorsqu’</w:t>
      </w:r>
      <w:r w:rsidR="00FA1801">
        <w:rPr>
          <w:lang w:val="fr-FR"/>
        </w:rPr>
        <w:t>E. S.</w:t>
      </w:r>
      <w:r>
        <w:rPr>
          <w:lang w:val="fr-FR"/>
        </w:rPr>
        <w:t xml:space="preserve"> avait 16</w:t>
      </w:r>
      <w:r w:rsidR="00BD6C12">
        <w:rPr>
          <w:lang w:val="fr-FR"/>
        </w:rPr>
        <w:t> </w:t>
      </w:r>
      <w:r>
        <w:rPr>
          <w:lang w:val="fr-FR"/>
        </w:rPr>
        <w:t>ans et 8</w:t>
      </w:r>
      <w:r w:rsidR="00BD6C12">
        <w:rPr>
          <w:lang w:val="fr-FR"/>
        </w:rPr>
        <w:t> </w:t>
      </w:r>
      <w:r>
        <w:rPr>
          <w:lang w:val="fr-FR"/>
        </w:rPr>
        <w:t>mois, le juge de la jeunesse a estimé qu’aucune mesure d’éducation et de protection n’était adéquate, étant donné non seulement l’absence d’effet des mesures de protection, mais aussi la gravité croissante et la multiplicité des faits, de même que l’absence de collaboration d’</w:t>
      </w:r>
      <w:r w:rsidR="00FA1801">
        <w:rPr>
          <w:lang w:val="fr-FR"/>
        </w:rPr>
        <w:t>E. S.</w:t>
      </w:r>
      <w:r>
        <w:rPr>
          <w:lang w:val="fr-FR"/>
        </w:rPr>
        <w:t xml:space="preserve"> avec son tuteur. En conséquence, le juge de la jeunesse a décidé de se dessaisir, étant donné que les conditions légales du dessaisissement étaient remplies. En ce sens, </w:t>
      </w:r>
      <w:r w:rsidR="00FA1801">
        <w:rPr>
          <w:lang w:val="fr-FR"/>
        </w:rPr>
        <w:t>E. S.</w:t>
      </w:r>
      <w:r>
        <w:rPr>
          <w:lang w:val="fr-FR"/>
        </w:rPr>
        <w:t xml:space="preserve"> avait 16</w:t>
      </w:r>
      <w:r w:rsidR="00BD6C12">
        <w:rPr>
          <w:lang w:val="fr-FR"/>
        </w:rPr>
        <w:t> </w:t>
      </w:r>
      <w:r>
        <w:rPr>
          <w:lang w:val="fr-FR"/>
        </w:rPr>
        <w:t>ans révolus lors de la commission des faits, elle avait déjà fait l’objet de plusieurs mesures de protection, et une étude sociale ainsi qu’un examen médico-psychologique avaient été réalisés. L’</w:t>
      </w:r>
      <w:r w:rsidRPr="00781C1D">
        <w:rPr>
          <w:lang w:val="fr-FR"/>
        </w:rPr>
        <w:t xml:space="preserve">État partie </w:t>
      </w:r>
      <w:r>
        <w:rPr>
          <w:lang w:val="fr-FR"/>
        </w:rPr>
        <w:t>affirme que l’intérêt supérieur de l’enfant</w:t>
      </w:r>
      <w:r w:rsidR="00BD6C12">
        <w:rPr>
          <w:lang w:val="fr-FR"/>
        </w:rPr>
        <w:t xml:space="preserve"> </w:t>
      </w:r>
      <w:r>
        <w:rPr>
          <w:lang w:val="fr-FR"/>
        </w:rPr>
        <w:t xml:space="preserve">a été pris en compte, et que l’objectif du dessaisissement est d’offrir une solution de substitution adaptée à la maturité précoce de certains mineurs pour lesquels les mesures de protection de la jeunesse ne sont pas suffisantes. L’avis du ministère public est que les mesures éducatives s’avèrent inadéquates lorsque le jeune s’y soustrait, ne collabore pas, ou lorsqu’elles n’ont pas d’impact sur son comportement. En l’espèce, le tribunal a montré à maintes reprises sa volonté d’aider </w:t>
      </w:r>
      <w:r w:rsidR="00FA1801">
        <w:rPr>
          <w:lang w:val="fr-FR"/>
        </w:rPr>
        <w:t>E. S.</w:t>
      </w:r>
      <w:r>
        <w:rPr>
          <w:lang w:val="fr-FR"/>
        </w:rPr>
        <w:t xml:space="preserve"> en mettant en place de nombreuses mesures pour tenter de la sortir de la délinquance, mais cela n’a pas porté ses fruits, </w:t>
      </w:r>
      <w:r w:rsidR="00FA1801">
        <w:rPr>
          <w:lang w:val="fr-FR"/>
        </w:rPr>
        <w:t>E. S.</w:t>
      </w:r>
      <w:r>
        <w:rPr>
          <w:lang w:val="fr-FR"/>
        </w:rPr>
        <w:t xml:space="preserve"> récidivant dès qu’elle recouvrait la liberté. </w:t>
      </w:r>
      <w:r w:rsidR="00FA1801">
        <w:rPr>
          <w:lang w:val="fr-FR"/>
        </w:rPr>
        <w:t>E. S.</w:t>
      </w:r>
      <w:r>
        <w:rPr>
          <w:lang w:val="fr-FR"/>
        </w:rPr>
        <w:t xml:space="preserve"> a certes été jugée telle une adulte, mais par une chambre spécifique du tribunal de la jeunesse composée de deux juges de la jeunesse et d’un juge correctionnel (la </w:t>
      </w:r>
      <w:r w:rsidR="00BD6C12">
        <w:rPr>
          <w:lang w:val="fr-FR"/>
        </w:rPr>
        <w:t>22</w:t>
      </w:r>
      <w:r w:rsidR="00BD6C12" w:rsidRPr="00CF50EC">
        <w:rPr>
          <w:vertAlign w:val="superscript"/>
          <w:lang w:val="fr-FR"/>
        </w:rPr>
        <w:t>e</w:t>
      </w:r>
      <w:r w:rsidR="00BD6C12">
        <w:rPr>
          <w:lang w:val="fr-FR"/>
        </w:rPr>
        <w:t> </w:t>
      </w:r>
      <w:r w:rsidRPr="002C65C3">
        <w:rPr>
          <w:lang w:val="fr-FR"/>
        </w:rPr>
        <w:t>chambre spécifique du tribunal de la jeunesse de Bruxelles)</w:t>
      </w:r>
      <w:r>
        <w:rPr>
          <w:lang w:val="fr-FR"/>
        </w:rPr>
        <w:t xml:space="preserve">. </w:t>
      </w:r>
      <w:r w:rsidRPr="002C65C3">
        <w:rPr>
          <w:lang w:val="fr-FR"/>
        </w:rPr>
        <w:t>Le jugement</w:t>
      </w:r>
      <w:r>
        <w:rPr>
          <w:lang w:val="fr-FR"/>
        </w:rPr>
        <w:t>,</w:t>
      </w:r>
      <w:r w:rsidRPr="002C65C3">
        <w:rPr>
          <w:lang w:val="fr-FR"/>
        </w:rPr>
        <w:t xml:space="preserve"> </w:t>
      </w:r>
      <w:r>
        <w:rPr>
          <w:lang w:val="fr-FR"/>
        </w:rPr>
        <w:t>prononcé en présence d’</w:t>
      </w:r>
      <w:r w:rsidR="00FA1801">
        <w:rPr>
          <w:lang w:val="fr-FR"/>
        </w:rPr>
        <w:t>E. S.</w:t>
      </w:r>
      <w:r>
        <w:rPr>
          <w:lang w:val="fr-FR"/>
        </w:rPr>
        <w:t xml:space="preserve"> et de son tuteur,</w:t>
      </w:r>
      <w:r w:rsidRPr="002C65C3">
        <w:rPr>
          <w:lang w:val="fr-FR"/>
        </w:rPr>
        <w:t xml:space="preserve"> se basait sur le fait qu</w:t>
      </w:r>
      <w:r>
        <w:rPr>
          <w:lang w:val="fr-FR"/>
        </w:rPr>
        <w:t>’</w:t>
      </w:r>
      <w:r w:rsidRPr="002C65C3">
        <w:rPr>
          <w:lang w:val="fr-FR"/>
        </w:rPr>
        <w:t xml:space="preserve">à presque chaque interpellation, </w:t>
      </w:r>
      <w:r w:rsidR="00FA1801">
        <w:rPr>
          <w:lang w:val="fr-FR"/>
        </w:rPr>
        <w:t>E. S.</w:t>
      </w:r>
      <w:r w:rsidRPr="002C65C3">
        <w:rPr>
          <w:lang w:val="fr-FR"/>
        </w:rPr>
        <w:t xml:space="preserve"> «</w:t>
      </w:r>
      <w:r>
        <w:rPr>
          <w:lang w:val="fr-FR"/>
        </w:rPr>
        <w:t> </w:t>
      </w:r>
      <w:r w:rsidRPr="002C65C3">
        <w:rPr>
          <w:lang w:val="fr-FR"/>
        </w:rPr>
        <w:t>commence par nier, puis acculée par les images de vidéosurveillance, par les témoignages, par les observations des policiers</w:t>
      </w:r>
      <w:r>
        <w:rPr>
          <w:lang w:val="fr-FR"/>
        </w:rPr>
        <w:t xml:space="preserve"> ou</w:t>
      </w:r>
      <w:r w:rsidRPr="002C65C3">
        <w:rPr>
          <w:lang w:val="fr-FR"/>
        </w:rPr>
        <w:t xml:space="preserve"> par la reconnaissance de ses empreintes digitales déjà connues, elle finit par reconnaître les faits, s</w:t>
      </w:r>
      <w:r>
        <w:rPr>
          <w:lang w:val="fr-FR"/>
        </w:rPr>
        <w:t>’</w:t>
      </w:r>
      <w:r w:rsidRPr="002C65C3">
        <w:rPr>
          <w:lang w:val="fr-FR"/>
        </w:rPr>
        <w:t>excuse et déclare qu</w:t>
      </w:r>
      <w:r>
        <w:rPr>
          <w:lang w:val="fr-FR"/>
        </w:rPr>
        <w:t>’</w:t>
      </w:r>
      <w:r w:rsidRPr="002C65C3">
        <w:rPr>
          <w:lang w:val="fr-FR"/>
        </w:rPr>
        <w:t>elle se hait</w:t>
      </w:r>
      <w:r>
        <w:rPr>
          <w:lang w:val="fr-FR"/>
        </w:rPr>
        <w:t> </w:t>
      </w:r>
      <w:r w:rsidRPr="002C65C3">
        <w:rPr>
          <w:lang w:val="fr-FR"/>
        </w:rPr>
        <w:t>». Ainsi, selon le jugement, une peine sévère s</w:t>
      </w:r>
      <w:r>
        <w:rPr>
          <w:lang w:val="fr-FR"/>
        </w:rPr>
        <w:t>’</w:t>
      </w:r>
      <w:r w:rsidRPr="002C65C3">
        <w:rPr>
          <w:lang w:val="fr-FR"/>
        </w:rPr>
        <w:t>impose «</w:t>
      </w:r>
      <w:r>
        <w:rPr>
          <w:lang w:val="fr-FR"/>
        </w:rPr>
        <w:t> </w:t>
      </w:r>
      <w:r w:rsidRPr="002C65C3">
        <w:rPr>
          <w:lang w:val="fr-FR"/>
        </w:rPr>
        <w:t>non seulement pour inculquer à la prévenue le respect de la personne et du bien d</w:t>
      </w:r>
      <w:r>
        <w:rPr>
          <w:lang w:val="fr-FR"/>
        </w:rPr>
        <w:t>’</w:t>
      </w:r>
      <w:r w:rsidRPr="002C65C3">
        <w:rPr>
          <w:lang w:val="fr-FR"/>
        </w:rPr>
        <w:t>autrui, tout en assurant la finalité des poursuites, mais aussi pour éviter tout risque de récidive</w:t>
      </w:r>
      <w:r>
        <w:rPr>
          <w:lang w:val="fr-FR"/>
        </w:rPr>
        <w:t> </w:t>
      </w:r>
      <w:r w:rsidRPr="002C65C3">
        <w:rPr>
          <w:lang w:val="fr-FR"/>
        </w:rPr>
        <w:t>».</w:t>
      </w:r>
    </w:p>
    <w:p w:rsidR="009A3634" w:rsidRDefault="009A3634" w:rsidP="009A3634">
      <w:pPr>
        <w:pStyle w:val="SingleTxtG"/>
        <w:rPr>
          <w:lang w:val="fr-FR"/>
        </w:rPr>
      </w:pPr>
      <w:r>
        <w:rPr>
          <w:lang w:val="fr-FR"/>
        </w:rPr>
        <w:t>4.6</w:t>
      </w:r>
      <w:r>
        <w:rPr>
          <w:lang w:val="fr-FR"/>
        </w:rPr>
        <w:tab/>
        <w:t>En outre, l’</w:t>
      </w:r>
      <w:r w:rsidRPr="00644D37">
        <w:rPr>
          <w:lang w:val="fr-FR"/>
        </w:rPr>
        <w:t xml:space="preserve">État partie précise </w:t>
      </w:r>
      <w:r>
        <w:rPr>
          <w:lang w:val="fr-FR"/>
        </w:rPr>
        <w:t xml:space="preserve">que le centre communautaire fermé pour jeunes dessaisis ne pouvant accueillir que des garçons, et en l’absence de centre équivalent pour filles ayant fait l’objet d’un dessaisissement, </w:t>
      </w:r>
      <w:r w:rsidR="00FA1801">
        <w:rPr>
          <w:lang w:val="fr-FR"/>
        </w:rPr>
        <w:t>E. S.</w:t>
      </w:r>
      <w:r>
        <w:rPr>
          <w:lang w:val="fr-FR"/>
        </w:rPr>
        <w:t xml:space="preserve"> a effectué sa détention en milieu fermé dans la même i</w:t>
      </w:r>
      <w:r w:rsidRPr="00035675">
        <w:rPr>
          <w:lang w:val="fr-FR"/>
        </w:rPr>
        <w:t>nstitution publique de p</w:t>
      </w:r>
      <w:r>
        <w:rPr>
          <w:lang w:val="fr-FR"/>
        </w:rPr>
        <w:t xml:space="preserve">rotection de la jeunesse, ce qui représente dans les faits un avantage pour elle, puisqu’elle n’a pas été privée de liberté avec des adultes. </w:t>
      </w:r>
    </w:p>
    <w:p w:rsidR="009A3634" w:rsidRDefault="009A3634" w:rsidP="00CF50EC">
      <w:pPr>
        <w:pStyle w:val="SingleTxtG"/>
        <w:keepLines/>
        <w:rPr>
          <w:lang w:val="fr-FR"/>
        </w:rPr>
      </w:pPr>
      <w:r>
        <w:rPr>
          <w:lang w:val="fr-FR"/>
        </w:rPr>
        <w:lastRenderedPageBreak/>
        <w:t>4.7</w:t>
      </w:r>
      <w:r>
        <w:rPr>
          <w:lang w:val="fr-FR"/>
        </w:rPr>
        <w:tab/>
      </w:r>
      <w:r w:rsidR="00FA1801">
        <w:rPr>
          <w:lang w:val="fr-FR"/>
        </w:rPr>
        <w:t>E. S.</w:t>
      </w:r>
      <w:r>
        <w:rPr>
          <w:lang w:val="fr-FR"/>
        </w:rPr>
        <w:t xml:space="preserve"> a atteint le tiers de sa peine ferme le 3</w:t>
      </w:r>
      <w:r w:rsidR="00F070DD">
        <w:rPr>
          <w:lang w:val="fr-FR"/>
        </w:rPr>
        <w:t> </w:t>
      </w:r>
      <w:r>
        <w:rPr>
          <w:lang w:val="fr-FR"/>
        </w:rPr>
        <w:t>septembre 2016, six mois après le début de son placement en détention préventive du 3</w:t>
      </w:r>
      <w:r w:rsidR="00F070DD">
        <w:rPr>
          <w:lang w:val="fr-FR"/>
        </w:rPr>
        <w:t> </w:t>
      </w:r>
      <w:r>
        <w:rPr>
          <w:lang w:val="fr-FR"/>
        </w:rPr>
        <w:t>mars 2016, déductible de sa peine. Les institutions ont appliqué de manière diligente la réglementation en vigueur sur la libération provisoire, décision devenue effective le 4</w:t>
      </w:r>
      <w:r w:rsidR="00F070DD">
        <w:rPr>
          <w:lang w:val="fr-FR"/>
        </w:rPr>
        <w:t> </w:t>
      </w:r>
      <w:r>
        <w:rPr>
          <w:lang w:val="fr-FR"/>
        </w:rPr>
        <w:t>octobre 2016.</w:t>
      </w:r>
    </w:p>
    <w:p w:rsidR="009A3634" w:rsidRDefault="009A3634" w:rsidP="009A3634">
      <w:pPr>
        <w:pStyle w:val="SingleTxtG"/>
        <w:rPr>
          <w:lang w:val="fr-FR"/>
        </w:rPr>
      </w:pPr>
      <w:r>
        <w:rPr>
          <w:lang w:val="fr-FR"/>
        </w:rPr>
        <w:t>4.8</w:t>
      </w:r>
      <w:r>
        <w:rPr>
          <w:lang w:val="fr-FR"/>
        </w:rPr>
        <w:tab/>
        <w:t>L’ordre de quitter le territoire</w:t>
      </w:r>
      <w:r w:rsidRPr="008748ED">
        <w:rPr>
          <w:lang w:val="fr-FR"/>
        </w:rPr>
        <w:t xml:space="preserve"> tenait compte du fait que les membres de </w:t>
      </w:r>
      <w:r>
        <w:rPr>
          <w:lang w:val="fr-FR"/>
        </w:rPr>
        <w:t>la</w:t>
      </w:r>
      <w:r w:rsidRPr="008748ED">
        <w:rPr>
          <w:lang w:val="fr-FR"/>
        </w:rPr>
        <w:t xml:space="preserve"> famille</w:t>
      </w:r>
      <w:r>
        <w:rPr>
          <w:lang w:val="fr-FR"/>
        </w:rPr>
        <w:t xml:space="preserve"> d’</w:t>
      </w:r>
      <w:r w:rsidR="00FA1801">
        <w:rPr>
          <w:lang w:val="fr-FR"/>
        </w:rPr>
        <w:t>E. S.</w:t>
      </w:r>
      <w:r w:rsidRPr="008748ED">
        <w:rPr>
          <w:lang w:val="fr-FR"/>
        </w:rPr>
        <w:t xml:space="preserve"> ne séjournent pas en Belgique </w:t>
      </w:r>
      <w:r w:rsidR="00F070DD">
        <w:rPr>
          <w:lang w:val="fr-FR"/>
        </w:rPr>
        <w:t>−</w:t>
      </w:r>
      <w:r>
        <w:rPr>
          <w:lang w:val="fr-FR"/>
        </w:rPr>
        <w:t xml:space="preserve"> </w:t>
      </w:r>
      <w:r w:rsidRPr="008748ED">
        <w:rPr>
          <w:lang w:val="fr-FR"/>
        </w:rPr>
        <w:t>ils séjournent en Espagne et ne font que de courts séjours dans l</w:t>
      </w:r>
      <w:r>
        <w:rPr>
          <w:lang w:val="fr-FR"/>
        </w:rPr>
        <w:t>’</w:t>
      </w:r>
      <w:r w:rsidRPr="008748ED">
        <w:rPr>
          <w:lang w:val="fr-FR"/>
        </w:rPr>
        <w:t>État partie</w:t>
      </w:r>
      <w:r>
        <w:rPr>
          <w:lang w:val="fr-FR"/>
        </w:rPr>
        <w:t xml:space="preserve"> </w:t>
      </w:r>
      <w:r w:rsidR="00F070DD">
        <w:rPr>
          <w:lang w:val="fr-FR"/>
        </w:rPr>
        <w:t>−</w:t>
      </w:r>
      <w:r>
        <w:rPr>
          <w:lang w:val="fr-FR"/>
        </w:rPr>
        <w:t>,</w:t>
      </w:r>
      <w:r w:rsidRPr="008748ED">
        <w:rPr>
          <w:lang w:val="fr-FR"/>
        </w:rPr>
        <w:t xml:space="preserve"> et considérait que la gravité des faits et leur répétition pouvaient causer du tort à la tranquillité des citoyens ainsi qu</w:t>
      </w:r>
      <w:r>
        <w:rPr>
          <w:lang w:val="fr-FR"/>
        </w:rPr>
        <w:t>’</w:t>
      </w:r>
      <w:r w:rsidRPr="008748ED">
        <w:rPr>
          <w:lang w:val="fr-FR"/>
        </w:rPr>
        <w:t>au maintien de l</w:t>
      </w:r>
      <w:r>
        <w:rPr>
          <w:lang w:val="fr-FR"/>
        </w:rPr>
        <w:t>’</w:t>
      </w:r>
      <w:r w:rsidRPr="008748ED">
        <w:rPr>
          <w:lang w:val="fr-FR"/>
        </w:rPr>
        <w:t>ordre.</w:t>
      </w:r>
      <w:r w:rsidRPr="004E3721">
        <w:t xml:space="preserve"> </w:t>
      </w:r>
      <w:r>
        <w:rPr>
          <w:lang w:val="fr-FR"/>
        </w:rPr>
        <w:t xml:space="preserve">En outre, </w:t>
      </w:r>
      <w:r w:rsidRPr="004E3721">
        <w:rPr>
          <w:lang w:val="fr-FR"/>
        </w:rPr>
        <w:t>aucune démarche n</w:t>
      </w:r>
      <w:r>
        <w:rPr>
          <w:lang w:val="fr-FR"/>
        </w:rPr>
        <w:t>’</w:t>
      </w:r>
      <w:r w:rsidRPr="004E3721">
        <w:rPr>
          <w:lang w:val="fr-FR"/>
        </w:rPr>
        <w:t>avait été entamée</w:t>
      </w:r>
      <w:r>
        <w:rPr>
          <w:lang w:val="fr-FR"/>
        </w:rPr>
        <w:t xml:space="preserve"> par </w:t>
      </w:r>
      <w:r w:rsidR="00FA1801">
        <w:rPr>
          <w:lang w:val="fr-FR"/>
        </w:rPr>
        <w:t>E. S.</w:t>
      </w:r>
      <w:r>
        <w:rPr>
          <w:lang w:val="fr-FR"/>
        </w:rPr>
        <w:t xml:space="preserve"> ou par sa famille</w:t>
      </w:r>
      <w:r w:rsidRPr="004E3721">
        <w:rPr>
          <w:lang w:val="fr-FR"/>
        </w:rPr>
        <w:t xml:space="preserve"> pour obtenir une autorisation de séjour, </w:t>
      </w:r>
      <w:r>
        <w:rPr>
          <w:lang w:val="fr-FR"/>
        </w:rPr>
        <w:t>ce qui dé</w:t>
      </w:r>
      <w:r w:rsidRPr="004E3721">
        <w:rPr>
          <w:lang w:val="fr-FR"/>
        </w:rPr>
        <w:t>montre qu</w:t>
      </w:r>
      <w:r>
        <w:rPr>
          <w:lang w:val="fr-FR"/>
        </w:rPr>
        <w:t>’</w:t>
      </w:r>
      <w:r w:rsidRPr="004E3721">
        <w:rPr>
          <w:lang w:val="fr-FR"/>
        </w:rPr>
        <w:t>elle a très peu d</w:t>
      </w:r>
      <w:r>
        <w:rPr>
          <w:lang w:val="fr-FR"/>
        </w:rPr>
        <w:t>’</w:t>
      </w:r>
      <w:r w:rsidRPr="004E3721">
        <w:rPr>
          <w:lang w:val="fr-FR"/>
        </w:rPr>
        <w:t xml:space="preserve">attaches et ne souhaite pas vivre </w:t>
      </w:r>
      <w:r>
        <w:rPr>
          <w:lang w:val="fr-FR"/>
        </w:rPr>
        <w:t>dans l’État partie à</w:t>
      </w:r>
      <w:r w:rsidRPr="004E3721">
        <w:rPr>
          <w:lang w:val="fr-FR"/>
        </w:rPr>
        <w:t xml:space="preserve"> long terme.</w:t>
      </w:r>
    </w:p>
    <w:p w:rsidR="009A3634" w:rsidRDefault="009A3634" w:rsidP="009A3634">
      <w:pPr>
        <w:pStyle w:val="SingleTxtG"/>
        <w:rPr>
          <w:lang w:val="fr-FR"/>
        </w:rPr>
      </w:pPr>
      <w:r w:rsidRPr="00941B1D">
        <w:rPr>
          <w:lang w:val="fr-FR"/>
        </w:rPr>
        <w:t>4.9</w:t>
      </w:r>
      <w:r w:rsidRPr="00941B1D">
        <w:rPr>
          <w:lang w:val="fr-FR"/>
        </w:rPr>
        <w:tab/>
        <w:t>Sur la question de l</w:t>
      </w:r>
      <w:r>
        <w:rPr>
          <w:lang w:val="fr-FR"/>
        </w:rPr>
        <w:t>’</w:t>
      </w:r>
      <w:r w:rsidRPr="00941B1D">
        <w:rPr>
          <w:lang w:val="fr-FR"/>
        </w:rPr>
        <w:t>assistance juridique supposément non appropriée,</w:t>
      </w:r>
      <w:r w:rsidRPr="00C81A0F">
        <w:t xml:space="preserve"> </w:t>
      </w:r>
      <w:r w:rsidRPr="00C81A0F">
        <w:rPr>
          <w:lang w:val="fr-FR"/>
        </w:rPr>
        <w:t>l</w:t>
      </w:r>
      <w:r>
        <w:rPr>
          <w:lang w:val="fr-FR"/>
        </w:rPr>
        <w:t>’</w:t>
      </w:r>
      <w:r w:rsidRPr="00C81A0F">
        <w:rPr>
          <w:lang w:val="fr-FR"/>
        </w:rPr>
        <w:t>État partie</w:t>
      </w:r>
      <w:r>
        <w:rPr>
          <w:lang w:val="fr-FR"/>
        </w:rPr>
        <w:t xml:space="preserve"> soutient </w:t>
      </w:r>
      <w:r w:rsidRPr="000E5F8C">
        <w:rPr>
          <w:lang w:val="fr-FR"/>
        </w:rPr>
        <w:t>qu</w:t>
      </w:r>
      <w:r>
        <w:rPr>
          <w:lang w:val="fr-FR"/>
        </w:rPr>
        <w:t>’</w:t>
      </w:r>
      <w:r w:rsidR="00FA1801">
        <w:rPr>
          <w:lang w:val="fr-FR"/>
        </w:rPr>
        <w:t>E. S.</w:t>
      </w:r>
      <w:r>
        <w:rPr>
          <w:lang w:val="fr-FR"/>
        </w:rPr>
        <w:t xml:space="preserve"> a bien été assistée d’une avocate spécialisée en la matière lors de toutes les mises à disposition du parquet et de sa comparution devant le juge. L’</w:t>
      </w:r>
      <w:r w:rsidRPr="007958D6">
        <w:rPr>
          <w:lang w:val="fr-FR"/>
        </w:rPr>
        <w:t xml:space="preserve">État partie </w:t>
      </w:r>
      <w:r>
        <w:rPr>
          <w:lang w:val="fr-FR"/>
        </w:rPr>
        <w:t xml:space="preserve">précise que l’avocate en question est reconnue pour son professionnalisme et son engagement, et que l’auteur jette injustement sur elle le discrédit par des allégations non vérifiables et potentiellement diffamatoires. </w:t>
      </w:r>
      <w:r w:rsidRPr="007958D6">
        <w:rPr>
          <w:lang w:val="fr-FR"/>
        </w:rPr>
        <w:t>L</w:t>
      </w:r>
      <w:r>
        <w:rPr>
          <w:lang w:val="fr-FR"/>
        </w:rPr>
        <w:t>’</w:t>
      </w:r>
      <w:r w:rsidRPr="007958D6">
        <w:rPr>
          <w:lang w:val="fr-FR"/>
        </w:rPr>
        <w:t xml:space="preserve">État partie </w:t>
      </w:r>
      <w:r>
        <w:rPr>
          <w:lang w:val="fr-FR"/>
        </w:rPr>
        <w:t>estime</w:t>
      </w:r>
      <w:r w:rsidRPr="007958D6">
        <w:rPr>
          <w:lang w:val="fr-FR"/>
        </w:rPr>
        <w:t xml:space="preserve"> </w:t>
      </w:r>
      <w:r>
        <w:rPr>
          <w:lang w:val="fr-FR"/>
        </w:rPr>
        <w:t>que si l’avocate n’a pas interjeté appel contre le jugement de dessaisissement, il est raisonnable de penser qu’au vu du lourd passé d’</w:t>
      </w:r>
      <w:r w:rsidR="00FA1801">
        <w:rPr>
          <w:lang w:val="fr-FR"/>
        </w:rPr>
        <w:t>E. S.</w:t>
      </w:r>
      <w:r>
        <w:rPr>
          <w:lang w:val="fr-FR"/>
        </w:rPr>
        <w:t xml:space="preserve"> et des nombreuses mesures de protection, elle a estimé qu’il y avait peu de chances qu’il y ait une réformation du jugement. Ainsi, la divergence d’appréciation par l’auteur ne suffit pas à établir que l’avocate avait tort.</w:t>
      </w:r>
    </w:p>
    <w:p w:rsidR="009A3634" w:rsidRDefault="009A3634" w:rsidP="009A3634">
      <w:pPr>
        <w:pStyle w:val="SingleTxtG"/>
        <w:rPr>
          <w:lang w:val="fr-FR"/>
        </w:rPr>
      </w:pPr>
      <w:r>
        <w:rPr>
          <w:lang w:val="fr-FR"/>
        </w:rPr>
        <w:t>4.10</w:t>
      </w:r>
      <w:r>
        <w:rPr>
          <w:lang w:val="fr-FR"/>
        </w:rPr>
        <w:tab/>
        <w:t>En ce qui concerne les soupçons de traite</w:t>
      </w:r>
      <w:r w:rsidRPr="009C0266">
        <w:rPr>
          <w:lang w:val="fr-FR"/>
        </w:rPr>
        <w:t xml:space="preserve"> </w:t>
      </w:r>
      <w:r>
        <w:rPr>
          <w:lang w:val="fr-FR"/>
        </w:rPr>
        <w:t>des êtres humains,</w:t>
      </w:r>
      <w:r w:rsidRPr="00E3786C">
        <w:t xml:space="preserve"> </w:t>
      </w:r>
      <w:r>
        <w:rPr>
          <w:lang w:val="fr-FR"/>
        </w:rPr>
        <w:t>l’</w:t>
      </w:r>
      <w:r w:rsidRPr="00E3786C">
        <w:rPr>
          <w:lang w:val="fr-FR"/>
        </w:rPr>
        <w:t xml:space="preserve">État partie </w:t>
      </w:r>
      <w:r>
        <w:rPr>
          <w:lang w:val="fr-FR"/>
        </w:rPr>
        <w:t>indique que la précédente tutrice d’</w:t>
      </w:r>
      <w:r w:rsidR="00FA1801">
        <w:rPr>
          <w:lang w:val="fr-FR"/>
        </w:rPr>
        <w:t>E. S.</w:t>
      </w:r>
      <w:r>
        <w:rPr>
          <w:lang w:val="fr-FR"/>
        </w:rPr>
        <w:t xml:space="preserve"> avait envoyé en juillet 2015 un courrier à la section jeunesse du parquet de Bruxelles indiquant qu’elle s’inquiétait de la situation, raison pour laquelle une information avait été ouverte par le parquet, laquelle n’a cependant pas permis de réunir les charges nécessaires pour entamer des poursuites. En outre, </w:t>
      </w:r>
      <w:r w:rsidRPr="00944847">
        <w:rPr>
          <w:lang w:val="fr-FR"/>
        </w:rPr>
        <w:t>l</w:t>
      </w:r>
      <w:r>
        <w:rPr>
          <w:lang w:val="fr-FR"/>
        </w:rPr>
        <w:t>’</w:t>
      </w:r>
      <w:r w:rsidRPr="00944847">
        <w:rPr>
          <w:lang w:val="fr-FR"/>
        </w:rPr>
        <w:t xml:space="preserve">État partie </w:t>
      </w:r>
      <w:r>
        <w:rPr>
          <w:lang w:val="fr-FR"/>
        </w:rPr>
        <w:t>précise qu’</w:t>
      </w:r>
      <w:r w:rsidR="00FA1801">
        <w:rPr>
          <w:lang w:val="fr-FR"/>
        </w:rPr>
        <w:t>E. S.</w:t>
      </w:r>
      <w:r>
        <w:rPr>
          <w:lang w:val="fr-FR"/>
        </w:rPr>
        <w:t xml:space="preserve"> a déclaré que c’était sans la moindre contrainte qu’elle volait depuis plusieurs années. Par ailleurs, les autorités judiciaires ont favorisé l’action de protection en tentant de conscientiser </w:t>
      </w:r>
      <w:r w:rsidR="00FA1801">
        <w:rPr>
          <w:lang w:val="fr-FR"/>
        </w:rPr>
        <w:t>E. S.</w:t>
      </w:r>
      <w:r>
        <w:rPr>
          <w:lang w:val="fr-FR"/>
        </w:rPr>
        <w:t xml:space="preserve"> sur sa situation, de la protéger et de lui offrir des outils de développement personnel ; cependant, elle n’a pas désiré collaborer. En ce sens, la protection spécifique liée au statut de victime de traite des êtres humains nécessite un minimum de collaboration, qu’</w:t>
      </w:r>
      <w:r w:rsidR="00FA1801">
        <w:rPr>
          <w:lang w:val="fr-FR"/>
        </w:rPr>
        <w:t>E. S.</w:t>
      </w:r>
      <w:r>
        <w:rPr>
          <w:lang w:val="fr-FR"/>
        </w:rPr>
        <w:t xml:space="preserve"> n’offrait pas.</w:t>
      </w:r>
    </w:p>
    <w:p w:rsidR="009A3634" w:rsidRPr="0039099A" w:rsidRDefault="009A3634" w:rsidP="009A3634">
      <w:pPr>
        <w:pStyle w:val="SingleTxtG"/>
        <w:rPr>
          <w:lang w:val="fr-FR"/>
        </w:rPr>
      </w:pPr>
      <w:r>
        <w:rPr>
          <w:lang w:val="fr-FR"/>
        </w:rPr>
        <w:t>4.11</w:t>
      </w:r>
      <w:r>
        <w:rPr>
          <w:lang w:val="fr-FR"/>
        </w:rPr>
        <w:tab/>
        <w:t xml:space="preserve">Concernant les mesures de réparation sollicitées, </w:t>
      </w:r>
      <w:r w:rsidRPr="00661345">
        <w:rPr>
          <w:lang w:val="fr-FR"/>
        </w:rPr>
        <w:t>l</w:t>
      </w:r>
      <w:r>
        <w:rPr>
          <w:lang w:val="fr-FR"/>
        </w:rPr>
        <w:t>’</w:t>
      </w:r>
      <w:r w:rsidRPr="00661345">
        <w:rPr>
          <w:lang w:val="fr-FR"/>
        </w:rPr>
        <w:t xml:space="preserve">État partie indique </w:t>
      </w:r>
      <w:r>
        <w:rPr>
          <w:lang w:val="fr-FR"/>
        </w:rPr>
        <w:t xml:space="preserve">qu’un ordre de quitter le territoire devient sans objet, à partir du moment où il a été suivi. Ainsi, l’ordre en question n’a actuellement plus de valeur, et </w:t>
      </w:r>
      <w:r w:rsidR="00FA1801">
        <w:rPr>
          <w:lang w:val="fr-FR"/>
        </w:rPr>
        <w:t>E. S.</w:t>
      </w:r>
      <w:r>
        <w:rPr>
          <w:lang w:val="fr-FR"/>
        </w:rPr>
        <w:t xml:space="preserve"> est libre de revenir.</w:t>
      </w:r>
    </w:p>
    <w:p w:rsidR="009A3634" w:rsidRPr="00711EE7" w:rsidRDefault="009A3634" w:rsidP="009A3634">
      <w:pPr>
        <w:pStyle w:val="H23G"/>
        <w:rPr>
          <w:lang w:val="fr-FR"/>
        </w:rPr>
      </w:pPr>
      <w:r w:rsidRPr="00711EE7">
        <w:rPr>
          <w:lang w:val="fr-FR"/>
        </w:rPr>
        <w:tab/>
      </w:r>
      <w:r w:rsidRPr="00711EE7">
        <w:rPr>
          <w:lang w:val="fr-FR"/>
        </w:rPr>
        <w:tab/>
        <w:t>Commentaires de l</w:t>
      </w:r>
      <w:r>
        <w:rPr>
          <w:lang w:val="fr-FR"/>
        </w:rPr>
        <w:t>’</w:t>
      </w:r>
      <w:r w:rsidRPr="00711EE7">
        <w:rPr>
          <w:lang w:val="fr-FR"/>
        </w:rPr>
        <w:t>auteur sur les observations de l</w:t>
      </w:r>
      <w:r>
        <w:rPr>
          <w:lang w:val="fr-FR"/>
        </w:rPr>
        <w:t>’</w:t>
      </w:r>
      <w:r w:rsidRPr="00711EE7">
        <w:rPr>
          <w:lang w:val="fr-FR"/>
        </w:rPr>
        <w:t>État partie</w:t>
      </w:r>
    </w:p>
    <w:p w:rsidR="009A3634" w:rsidRDefault="009A3634" w:rsidP="009A3634">
      <w:pPr>
        <w:pStyle w:val="SingleTxtG"/>
        <w:rPr>
          <w:lang w:val="fr-FR"/>
        </w:rPr>
      </w:pPr>
      <w:r w:rsidRPr="00711EE7">
        <w:rPr>
          <w:lang w:val="fr-FR"/>
        </w:rPr>
        <w:t>5.1</w:t>
      </w:r>
      <w:r w:rsidRPr="00711EE7">
        <w:rPr>
          <w:lang w:val="fr-FR"/>
        </w:rPr>
        <w:tab/>
        <w:t xml:space="preserve">Dans ses commentaires </w:t>
      </w:r>
      <w:r>
        <w:rPr>
          <w:lang w:val="fr-FR"/>
        </w:rPr>
        <w:t xml:space="preserve">datés </w:t>
      </w:r>
      <w:r w:rsidRPr="00711EE7">
        <w:rPr>
          <w:lang w:val="fr-FR"/>
        </w:rPr>
        <w:t xml:space="preserve">du </w:t>
      </w:r>
      <w:r>
        <w:rPr>
          <w:lang w:val="fr-FR"/>
        </w:rPr>
        <w:t>2</w:t>
      </w:r>
      <w:r w:rsidRPr="00711EE7">
        <w:rPr>
          <w:lang w:val="fr-FR"/>
        </w:rPr>
        <w:t> janvier 2019, l</w:t>
      </w:r>
      <w:r>
        <w:rPr>
          <w:lang w:val="fr-FR"/>
        </w:rPr>
        <w:t>’</w:t>
      </w:r>
      <w:r w:rsidRPr="00711EE7">
        <w:rPr>
          <w:lang w:val="fr-FR"/>
        </w:rPr>
        <w:t>auteur prie le Comité de rejeter les observations de l</w:t>
      </w:r>
      <w:r>
        <w:rPr>
          <w:lang w:val="fr-FR"/>
        </w:rPr>
        <w:t>’État partie, signalant que l</w:t>
      </w:r>
      <w:r w:rsidRPr="008D47FD">
        <w:rPr>
          <w:lang w:val="fr-FR"/>
        </w:rPr>
        <w:t xml:space="preserve">a </w:t>
      </w:r>
      <w:r>
        <w:rPr>
          <w:lang w:val="fr-FR"/>
        </w:rPr>
        <w:t>question n’est pas de savoir si</w:t>
      </w:r>
      <w:r w:rsidRPr="008D47FD">
        <w:rPr>
          <w:lang w:val="fr-FR"/>
        </w:rPr>
        <w:t xml:space="preserve"> le dessaisissement était</w:t>
      </w:r>
      <w:r>
        <w:rPr>
          <w:lang w:val="fr-FR"/>
        </w:rPr>
        <w:t xml:space="preserve"> en l’espèce</w:t>
      </w:r>
      <w:r w:rsidRPr="008D47FD">
        <w:rPr>
          <w:lang w:val="fr-FR"/>
        </w:rPr>
        <w:t xml:space="preserve"> justifié ou non, </w:t>
      </w:r>
      <w:r>
        <w:rPr>
          <w:lang w:val="fr-FR"/>
        </w:rPr>
        <w:t>ou</w:t>
      </w:r>
      <w:r w:rsidRPr="008D47FD">
        <w:rPr>
          <w:lang w:val="fr-FR"/>
        </w:rPr>
        <w:t xml:space="preserve"> si les conditions légales étaient remplies, mais de </w:t>
      </w:r>
      <w:r>
        <w:rPr>
          <w:lang w:val="fr-FR"/>
        </w:rPr>
        <w:t>déterminer</w:t>
      </w:r>
      <w:r w:rsidRPr="008D47FD">
        <w:rPr>
          <w:lang w:val="fr-FR"/>
        </w:rPr>
        <w:t xml:space="preserve"> si le dessaisissement n</w:t>
      </w:r>
      <w:r>
        <w:rPr>
          <w:lang w:val="fr-FR"/>
        </w:rPr>
        <w:t>’</w:t>
      </w:r>
      <w:r w:rsidRPr="008D47FD">
        <w:rPr>
          <w:lang w:val="fr-FR"/>
        </w:rPr>
        <w:t xml:space="preserve">est pas </w:t>
      </w:r>
      <w:r w:rsidRPr="009579D9">
        <w:rPr>
          <w:iCs/>
          <w:lang w:val="fr-FR"/>
        </w:rPr>
        <w:t>en lui-même</w:t>
      </w:r>
      <w:r w:rsidRPr="008D47FD">
        <w:rPr>
          <w:lang w:val="fr-FR"/>
        </w:rPr>
        <w:t xml:space="preserve"> contraire à la Convention</w:t>
      </w:r>
      <w:r>
        <w:rPr>
          <w:lang w:val="fr-FR"/>
        </w:rPr>
        <w:t>.</w:t>
      </w:r>
    </w:p>
    <w:p w:rsidR="009A3634" w:rsidRPr="00711EE7" w:rsidRDefault="009A3634" w:rsidP="009A3634">
      <w:pPr>
        <w:pStyle w:val="SingleTxtG"/>
        <w:rPr>
          <w:lang w:val="fr-FR"/>
        </w:rPr>
      </w:pPr>
      <w:r>
        <w:rPr>
          <w:lang w:val="fr-FR"/>
        </w:rPr>
        <w:t>5.2</w:t>
      </w:r>
      <w:r w:rsidRPr="00711EE7">
        <w:rPr>
          <w:lang w:val="fr-FR"/>
        </w:rPr>
        <w:tab/>
      </w:r>
      <w:r>
        <w:rPr>
          <w:lang w:val="fr-FR"/>
        </w:rPr>
        <w:t>L’</w:t>
      </w:r>
      <w:r w:rsidRPr="00711EE7">
        <w:rPr>
          <w:lang w:val="fr-FR"/>
        </w:rPr>
        <w:t xml:space="preserve">auteur fait </w:t>
      </w:r>
      <w:r>
        <w:rPr>
          <w:lang w:val="fr-FR"/>
        </w:rPr>
        <w:t xml:space="preserve">également </w:t>
      </w:r>
      <w:r w:rsidRPr="00711EE7">
        <w:rPr>
          <w:lang w:val="fr-FR"/>
        </w:rPr>
        <w:t xml:space="preserve">observer que </w:t>
      </w:r>
      <w:r w:rsidRPr="00D6536A">
        <w:t>l</w:t>
      </w:r>
      <w:r>
        <w:t>’</w:t>
      </w:r>
      <w:r w:rsidRPr="00D6536A">
        <w:t>État</w:t>
      </w:r>
      <w:r>
        <w:rPr>
          <w:lang w:val="fr-FR"/>
        </w:rPr>
        <w:t xml:space="preserve"> partie</w:t>
      </w:r>
      <w:r w:rsidRPr="004B73F1">
        <w:rPr>
          <w:lang w:val="fr-FR"/>
        </w:rPr>
        <w:t xml:space="preserve"> perd de vue que la communication concerne aussi la violation de la Convention </w:t>
      </w:r>
      <w:r>
        <w:rPr>
          <w:lang w:val="fr-FR"/>
        </w:rPr>
        <w:t>à l’égard de</w:t>
      </w:r>
      <w:r w:rsidRPr="004B73F1">
        <w:rPr>
          <w:lang w:val="fr-FR"/>
        </w:rPr>
        <w:t xml:space="preserve"> </w:t>
      </w:r>
      <w:r>
        <w:rPr>
          <w:lang w:val="fr-FR"/>
        </w:rPr>
        <w:t>B.</w:t>
      </w:r>
      <w:r w:rsidR="00F070DD">
        <w:t> </w:t>
      </w:r>
      <w:r>
        <w:rPr>
          <w:lang w:val="fr-FR"/>
        </w:rPr>
        <w:t>M.</w:t>
      </w:r>
    </w:p>
    <w:p w:rsidR="009A3634" w:rsidRDefault="009A3634" w:rsidP="009A3634">
      <w:pPr>
        <w:pStyle w:val="SingleTxtG"/>
        <w:rPr>
          <w:lang w:val="fr-FR"/>
        </w:rPr>
      </w:pPr>
      <w:r>
        <w:rPr>
          <w:lang w:val="fr-FR"/>
        </w:rPr>
        <w:t>5.3</w:t>
      </w:r>
      <w:r>
        <w:rPr>
          <w:lang w:val="fr-FR"/>
        </w:rPr>
        <w:tab/>
        <w:t>Par ailleurs, l’</w:t>
      </w:r>
      <w:r w:rsidRPr="00711EE7">
        <w:rPr>
          <w:lang w:val="fr-FR"/>
        </w:rPr>
        <w:t>auteur</w:t>
      </w:r>
      <w:r>
        <w:rPr>
          <w:lang w:val="fr-FR"/>
        </w:rPr>
        <w:t xml:space="preserve"> maintient que </w:t>
      </w:r>
      <w:r w:rsidRPr="002969B1">
        <w:rPr>
          <w:lang w:val="fr-FR"/>
        </w:rPr>
        <w:t>l</w:t>
      </w:r>
      <w:r>
        <w:rPr>
          <w:lang w:val="fr-FR"/>
        </w:rPr>
        <w:t>’</w:t>
      </w:r>
      <w:r w:rsidRPr="002969B1">
        <w:rPr>
          <w:lang w:val="fr-FR"/>
        </w:rPr>
        <w:t>État partie refus</w:t>
      </w:r>
      <w:r>
        <w:rPr>
          <w:lang w:val="fr-FR"/>
        </w:rPr>
        <w:t>e</w:t>
      </w:r>
      <w:r w:rsidRPr="002969B1">
        <w:rPr>
          <w:lang w:val="fr-FR"/>
        </w:rPr>
        <w:t xml:space="preserve"> de prendre en considération le réseau criminel dont </w:t>
      </w:r>
      <w:r w:rsidR="00FA1801">
        <w:rPr>
          <w:lang w:val="fr-FR"/>
        </w:rPr>
        <w:t>E. S.</w:t>
      </w:r>
      <w:r w:rsidRPr="002969B1">
        <w:rPr>
          <w:lang w:val="fr-FR"/>
        </w:rPr>
        <w:t xml:space="preserve"> était la victime</w:t>
      </w:r>
      <w:r>
        <w:rPr>
          <w:lang w:val="fr-FR"/>
        </w:rPr>
        <w:t xml:space="preserve">, estimant que </w:t>
      </w:r>
      <w:r w:rsidRPr="009A1FF6">
        <w:rPr>
          <w:lang w:val="fr-FR"/>
        </w:rPr>
        <w:t xml:space="preserve">les autorités </w:t>
      </w:r>
      <w:r>
        <w:rPr>
          <w:lang w:val="fr-FR"/>
        </w:rPr>
        <w:t xml:space="preserve">auraient dû </w:t>
      </w:r>
      <w:r w:rsidRPr="009A1FF6">
        <w:rPr>
          <w:lang w:val="fr-FR"/>
        </w:rPr>
        <w:t>prendre en compt</w:t>
      </w:r>
      <w:r>
        <w:rPr>
          <w:lang w:val="fr-FR"/>
        </w:rPr>
        <w:t>e le fait même qu’elle</w:t>
      </w:r>
      <w:r w:rsidRPr="009A1FF6">
        <w:rPr>
          <w:lang w:val="fr-FR"/>
        </w:rPr>
        <w:t xml:space="preserve"> agissait plu</w:t>
      </w:r>
      <w:r>
        <w:rPr>
          <w:lang w:val="fr-FR"/>
        </w:rPr>
        <w:t xml:space="preserve">s que vraisemblablement sous la </w:t>
      </w:r>
      <w:r w:rsidRPr="009A1FF6">
        <w:rPr>
          <w:lang w:val="fr-FR"/>
        </w:rPr>
        <w:t>contrainte</w:t>
      </w:r>
      <w:r>
        <w:rPr>
          <w:lang w:val="fr-FR"/>
        </w:rPr>
        <w:t>,</w:t>
      </w:r>
      <w:r w:rsidRPr="009A1FF6">
        <w:rPr>
          <w:lang w:val="fr-FR"/>
        </w:rPr>
        <w:t xml:space="preserve"> et la protéger contre </w:t>
      </w:r>
      <w:r>
        <w:rPr>
          <w:lang w:val="fr-FR"/>
        </w:rPr>
        <w:t>ce</w:t>
      </w:r>
      <w:r w:rsidRPr="009A1FF6">
        <w:rPr>
          <w:lang w:val="fr-FR"/>
        </w:rPr>
        <w:t xml:space="preserve"> réseau criminel</w:t>
      </w:r>
      <w:r>
        <w:rPr>
          <w:lang w:val="fr-FR"/>
        </w:rPr>
        <w:t>.</w:t>
      </w:r>
    </w:p>
    <w:p w:rsidR="009A3634" w:rsidRDefault="009A3634" w:rsidP="009A3634">
      <w:pPr>
        <w:pStyle w:val="SingleTxtG"/>
        <w:rPr>
          <w:lang w:val="fr-FR"/>
        </w:rPr>
      </w:pPr>
      <w:r>
        <w:rPr>
          <w:lang w:val="fr-FR"/>
        </w:rPr>
        <w:t>5.4</w:t>
      </w:r>
      <w:r>
        <w:rPr>
          <w:lang w:val="fr-FR"/>
        </w:rPr>
        <w:tab/>
        <w:t>L’auteur réitère que l’avocate d’</w:t>
      </w:r>
      <w:r w:rsidR="00FA1801">
        <w:rPr>
          <w:lang w:val="fr-FR"/>
        </w:rPr>
        <w:t>E. S.</w:t>
      </w:r>
      <w:r>
        <w:rPr>
          <w:lang w:val="fr-FR"/>
        </w:rPr>
        <w:t xml:space="preserve"> n’était pas compétente, car </w:t>
      </w:r>
      <w:r w:rsidRPr="00695F82">
        <w:rPr>
          <w:lang w:val="fr-FR"/>
        </w:rPr>
        <w:t xml:space="preserve">les rapports successifs du Comité </w:t>
      </w:r>
      <w:r>
        <w:rPr>
          <w:lang w:val="fr-FR"/>
        </w:rPr>
        <w:t>sur</w:t>
      </w:r>
      <w:r w:rsidRPr="00695F82">
        <w:rPr>
          <w:lang w:val="fr-FR"/>
        </w:rPr>
        <w:t xml:space="preserve"> l</w:t>
      </w:r>
      <w:r>
        <w:rPr>
          <w:lang w:val="fr-FR"/>
        </w:rPr>
        <w:t>’</w:t>
      </w:r>
      <w:r w:rsidRPr="00695F82">
        <w:rPr>
          <w:lang w:val="fr-FR"/>
        </w:rPr>
        <w:t xml:space="preserve">État partie </w:t>
      </w:r>
      <w:r>
        <w:rPr>
          <w:lang w:val="fr-FR"/>
        </w:rPr>
        <w:t xml:space="preserve">ont mis en </w:t>
      </w:r>
      <w:r w:rsidRPr="00695F82">
        <w:rPr>
          <w:lang w:val="fr-FR"/>
        </w:rPr>
        <w:t>évidence que le dessaisis</w:t>
      </w:r>
      <w:r>
        <w:rPr>
          <w:lang w:val="fr-FR"/>
        </w:rPr>
        <w:t>sement prévu par la loi belge n’était</w:t>
      </w:r>
      <w:r w:rsidRPr="00695F82">
        <w:rPr>
          <w:lang w:val="fr-FR"/>
        </w:rPr>
        <w:t xml:space="preserve"> pa</w:t>
      </w:r>
      <w:r>
        <w:rPr>
          <w:lang w:val="fr-FR"/>
        </w:rPr>
        <w:t>s compatible avec la Convention, raison pour laquelle</w:t>
      </w:r>
      <w:r w:rsidRPr="00695F82">
        <w:rPr>
          <w:lang w:val="fr-FR"/>
        </w:rPr>
        <w:t xml:space="preserve"> cette incompatibilité était un</w:t>
      </w:r>
      <w:r>
        <w:rPr>
          <w:lang w:val="fr-FR"/>
        </w:rPr>
        <w:t xml:space="preserve"> moyen à faire valoir en appel.</w:t>
      </w:r>
    </w:p>
    <w:p w:rsidR="009A3634" w:rsidRPr="005D5AC6" w:rsidRDefault="009A3634" w:rsidP="009A3634">
      <w:pPr>
        <w:pStyle w:val="SingleTxtG"/>
      </w:pPr>
      <w:r>
        <w:rPr>
          <w:lang w:val="fr-FR"/>
        </w:rPr>
        <w:t>5.5</w:t>
      </w:r>
      <w:r>
        <w:rPr>
          <w:lang w:val="fr-FR"/>
        </w:rPr>
        <w:tab/>
        <w:t>L’auteur indique aussi que</w:t>
      </w:r>
      <w:r w:rsidRPr="008F0493">
        <w:rPr>
          <w:lang w:val="fr-FR"/>
        </w:rPr>
        <w:t xml:space="preserve"> </w:t>
      </w:r>
      <w:r>
        <w:rPr>
          <w:lang w:val="fr-FR"/>
        </w:rPr>
        <w:t>le 29</w:t>
      </w:r>
      <w:r w:rsidR="00F070DD">
        <w:rPr>
          <w:lang w:val="fr-FR"/>
        </w:rPr>
        <w:t> </w:t>
      </w:r>
      <w:r>
        <w:rPr>
          <w:lang w:val="fr-FR"/>
        </w:rPr>
        <w:t xml:space="preserve">mai 2018, </w:t>
      </w:r>
      <w:r w:rsidRPr="002724A4">
        <w:rPr>
          <w:lang w:val="fr-FR"/>
        </w:rPr>
        <w:t xml:space="preserve">la </w:t>
      </w:r>
      <w:r>
        <w:rPr>
          <w:lang w:val="fr-FR"/>
        </w:rPr>
        <w:t>c</w:t>
      </w:r>
      <w:r w:rsidRPr="002724A4">
        <w:rPr>
          <w:lang w:val="fr-FR"/>
        </w:rPr>
        <w:t>our d</w:t>
      </w:r>
      <w:r>
        <w:rPr>
          <w:lang w:val="fr-FR"/>
        </w:rPr>
        <w:t>’</w:t>
      </w:r>
      <w:r w:rsidRPr="002724A4">
        <w:rPr>
          <w:lang w:val="fr-FR"/>
        </w:rPr>
        <w:t xml:space="preserve">appel de Bruxelles </w:t>
      </w:r>
      <w:r>
        <w:rPr>
          <w:lang w:val="fr-FR"/>
        </w:rPr>
        <w:t>lui a donné raison en déclarant</w:t>
      </w:r>
      <w:r w:rsidRPr="002724A4">
        <w:rPr>
          <w:lang w:val="fr-FR"/>
        </w:rPr>
        <w:t xml:space="preserve"> irrégulière la saisine de la chambre spécifique du </w:t>
      </w:r>
      <w:r>
        <w:rPr>
          <w:lang w:val="fr-FR"/>
        </w:rPr>
        <w:t>t</w:t>
      </w:r>
      <w:r w:rsidRPr="002724A4">
        <w:rPr>
          <w:lang w:val="fr-FR"/>
        </w:rPr>
        <w:t>ribunal de la jeunesse</w:t>
      </w:r>
      <w:r>
        <w:rPr>
          <w:lang w:val="fr-FR"/>
        </w:rPr>
        <w:t>, car l</w:t>
      </w:r>
      <w:r w:rsidRPr="002C413C">
        <w:rPr>
          <w:lang w:val="fr-FR"/>
        </w:rPr>
        <w:t>e</w:t>
      </w:r>
      <w:r>
        <w:rPr>
          <w:lang w:val="fr-FR"/>
        </w:rPr>
        <w:t xml:space="preserve"> ministère public n’avait pas veillé à ce qu’</w:t>
      </w:r>
      <w:r w:rsidR="00FA1801">
        <w:rPr>
          <w:lang w:val="fr-FR"/>
        </w:rPr>
        <w:t>E. S.</w:t>
      </w:r>
      <w:r>
        <w:rPr>
          <w:lang w:val="fr-FR"/>
        </w:rPr>
        <w:t xml:space="preserve"> soit valablement représentée en </w:t>
      </w:r>
      <w:r>
        <w:rPr>
          <w:lang w:val="fr-FR"/>
        </w:rPr>
        <w:lastRenderedPageBreak/>
        <w:t>justice par la mise à la cause de son tuteur. Cependant,</w:t>
      </w:r>
      <w:r w:rsidRPr="00BE74F6">
        <w:t xml:space="preserve"> </w:t>
      </w:r>
      <w:r>
        <w:rPr>
          <w:lang w:val="fr-FR"/>
        </w:rPr>
        <w:t>le</w:t>
      </w:r>
      <w:r w:rsidRPr="00BE74F6">
        <w:rPr>
          <w:lang w:val="fr-FR"/>
        </w:rPr>
        <w:t xml:space="preserve"> 10</w:t>
      </w:r>
      <w:r w:rsidR="00F070DD">
        <w:rPr>
          <w:lang w:val="fr-FR"/>
        </w:rPr>
        <w:t> </w:t>
      </w:r>
      <w:r w:rsidRPr="00BE74F6">
        <w:rPr>
          <w:lang w:val="fr-FR"/>
        </w:rPr>
        <w:t>octobre 2018</w:t>
      </w:r>
      <w:r>
        <w:rPr>
          <w:lang w:val="fr-FR"/>
        </w:rPr>
        <w:t xml:space="preserve">, </w:t>
      </w:r>
      <w:r w:rsidRPr="00BE74F6">
        <w:rPr>
          <w:lang w:val="fr-FR"/>
        </w:rPr>
        <w:t xml:space="preserve">la Cour de cassation </w:t>
      </w:r>
      <w:r>
        <w:rPr>
          <w:lang w:val="fr-FR"/>
        </w:rPr>
        <w:t>a cassé cet arrêt au motif suivant : «</w:t>
      </w:r>
      <w:r w:rsidR="00F070DD">
        <w:rPr>
          <w:lang w:val="fr-FR"/>
        </w:rPr>
        <w:t> </w:t>
      </w:r>
      <w:r>
        <w:rPr>
          <w:lang w:val="fr-FR"/>
        </w:rPr>
        <w:t>Lorsque</w:t>
      </w:r>
      <w:r w:rsidRPr="00BE74F6">
        <w:rPr>
          <w:lang w:val="fr-FR"/>
        </w:rPr>
        <w:t xml:space="preserve"> </w:t>
      </w:r>
      <w:r>
        <w:rPr>
          <w:lang w:val="fr-FR"/>
        </w:rPr>
        <w:t xml:space="preserve">[…] </w:t>
      </w:r>
      <w:r w:rsidRPr="00BE74F6">
        <w:rPr>
          <w:lang w:val="fr-FR"/>
        </w:rPr>
        <w:t xml:space="preserve">le mineur </w:t>
      </w:r>
      <w:r>
        <w:rPr>
          <w:lang w:val="fr-FR"/>
        </w:rPr>
        <w:t xml:space="preserve">d’âge </w:t>
      </w:r>
      <w:r w:rsidRPr="00BE74F6">
        <w:rPr>
          <w:lang w:val="fr-FR"/>
        </w:rPr>
        <w:t>est une personne qui était âgée de 16</w:t>
      </w:r>
      <w:r w:rsidR="00F070DD">
        <w:rPr>
          <w:lang w:val="fr-FR"/>
        </w:rPr>
        <w:t> </w:t>
      </w:r>
      <w:r w:rsidRPr="00BE74F6">
        <w:rPr>
          <w:lang w:val="fr-FR"/>
        </w:rPr>
        <w:t>ans ou plus au moment du fait qualifié infraction et qui a fait l</w:t>
      </w:r>
      <w:r>
        <w:rPr>
          <w:lang w:val="fr-FR"/>
        </w:rPr>
        <w:t>’</w:t>
      </w:r>
      <w:r w:rsidRPr="00BE74F6">
        <w:rPr>
          <w:lang w:val="fr-FR"/>
        </w:rPr>
        <w:t>objet d</w:t>
      </w:r>
      <w:r>
        <w:rPr>
          <w:lang w:val="fr-FR"/>
        </w:rPr>
        <w:t>’</w:t>
      </w:r>
      <w:r w:rsidRPr="00BE74F6">
        <w:rPr>
          <w:lang w:val="fr-FR"/>
        </w:rPr>
        <w:t xml:space="preserve">une décision de dessaisissement </w:t>
      </w:r>
      <w:r>
        <w:rPr>
          <w:lang w:val="fr-FR"/>
        </w:rPr>
        <w:t>[…]</w:t>
      </w:r>
      <w:r w:rsidRPr="00BE74F6">
        <w:rPr>
          <w:lang w:val="fr-FR"/>
        </w:rPr>
        <w:t>, ce mineur exerce personnellement, le cas échéant à l</w:t>
      </w:r>
      <w:r>
        <w:rPr>
          <w:lang w:val="fr-FR"/>
        </w:rPr>
        <w:t>’</w:t>
      </w:r>
      <w:r w:rsidRPr="00BE74F6">
        <w:rPr>
          <w:lang w:val="fr-FR"/>
        </w:rPr>
        <w:t xml:space="preserve">intervention de son avocat, les voies de recours prévues par la loi </w:t>
      </w:r>
      <w:r>
        <w:rPr>
          <w:lang w:val="fr-FR"/>
        </w:rPr>
        <w:t>[…]</w:t>
      </w:r>
      <w:r w:rsidRPr="00BE74F6">
        <w:rPr>
          <w:lang w:val="fr-FR"/>
        </w:rPr>
        <w:t>. Ses parents ou son tuteur n</w:t>
      </w:r>
      <w:r>
        <w:rPr>
          <w:lang w:val="fr-FR"/>
        </w:rPr>
        <w:t>’</w:t>
      </w:r>
      <w:r w:rsidRPr="00BE74F6">
        <w:rPr>
          <w:lang w:val="fr-FR"/>
        </w:rPr>
        <w:t>ont pas le pouvoir d</w:t>
      </w:r>
      <w:r>
        <w:rPr>
          <w:lang w:val="fr-FR"/>
        </w:rPr>
        <w:t>e former ces recours en son nom</w:t>
      </w:r>
      <w:r w:rsidRPr="009579D9">
        <w:rPr>
          <w:rStyle w:val="Appelnotedebasdep"/>
        </w:rPr>
        <w:footnoteReference w:id="6"/>
      </w:r>
      <w:r>
        <w:rPr>
          <w:lang w:val="fr-FR"/>
        </w:rPr>
        <w:t>.</w:t>
      </w:r>
      <w:r w:rsidR="00F070DD">
        <w:rPr>
          <w:lang w:val="fr-FR"/>
        </w:rPr>
        <w:t> </w:t>
      </w:r>
      <w:r w:rsidRPr="00BE74F6">
        <w:rPr>
          <w:lang w:val="fr-FR"/>
        </w:rPr>
        <w:t>»</w:t>
      </w:r>
      <w:r w:rsidR="00A06DE9">
        <w:rPr>
          <w:lang w:val="fr-FR"/>
        </w:rPr>
        <w:t>.</w:t>
      </w:r>
      <w:r w:rsidRPr="00E67C02">
        <w:t xml:space="preserve"> </w:t>
      </w:r>
      <w:r>
        <w:t>Ainsi, la Cour de cassation estime que le tuteur n’était pas habilité à interjeter appel pour le compte d’</w:t>
      </w:r>
      <w:r w:rsidR="00FA1801">
        <w:t>E. S.</w:t>
      </w:r>
      <w:r>
        <w:t xml:space="preserve"> La Cour de cassation a </w:t>
      </w:r>
      <w:r w:rsidRPr="00E67C02">
        <w:rPr>
          <w:lang w:val="fr-FR"/>
        </w:rPr>
        <w:t xml:space="preserve">en outre </w:t>
      </w:r>
      <w:r>
        <w:rPr>
          <w:lang w:val="fr-FR"/>
        </w:rPr>
        <w:t xml:space="preserve">constaté </w:t>
      </w:r>
      <w:r w:rsidRPr="00E67C02">
        <w:rPr>
          <w:lang w:val="fr-FR"/>
        </w:rPr>
        <w:t>que l</w:t>
      </w:r>
      <w:r>
        <w:rPr>
          <w:lang w:val="fr-FR"/>
        </w:rPr>
        <w:t>’</w:t>
      </w:r>
      <w:r w:rsidRPr="00E67C02">
        <w:rPr>
          <w:lang w:val="fr-FR"/>
        </w:rPr>
        <w:t>appel interjeté le 4</w:t>
      </w:r>
      <w:r w:rsidR="00F070DD">
        <w:rPr>
          <w:lang w:val="fr-FR"/>
        </w:rPr>
        <w:t> </w:t>
      </w:r>
      <w:r w:rsidRPr="00E67C02">
        <w:rPr>
          <w:lang w:val="fr-FR"/>
        </w:rPr>
        <w:t xml:space="preserve">octobre 2016 par </w:t>
      </w:r>
      <w:r w:rsidR="00FA1801">
        <w:rPr>
          <w:lang w:val="fr-FR"/>
        </w:rPr>
        <w:t>E. S.</w:t>
      </w:r>
      <w:r w:rsidRPr="00E67C02">
        <w:rPr>
          <w:lang w:val="fr-FR"/>
        </w:rPr>
        <w:t xml:space="preserve"> contre le jugement correctionnel du 22</w:t>
      </w:r>
      <w:r w:rsidR="00F070DD">
        <w:rPr>
          <w:lang w:val="fr-FR"/>
        </w:rPr>
        <w:t> </w:t>
      </w:r>
      <w:r w:rsidRPr="00E67C02">
        <w:rPr>
          <w:lang w:val="fr-FR"/>
        </w:rPr>
        <w:t>juin 2016 était tardif et, partant, irrecevable</w:t>
      </w:r>
      <w:r>
        <w:rPr>
          <w:lang w:val="fr-FR"/>
        </w:rPr>
        <w:t>.</w:t>
      </w:r>
    </w:p>
    <w:p w:rsidR="009A3634" w:rsidRPr="00711EE7" w:rsidRDefault="009A3634" w:rsidP="009A3634">
      <w:pPr>
        <w:pStyle w:val="SingleTxtG"/>
        <w:rPr>
          <w:lang w:val="fr-FR"/>
        </w:rPr>
      </w:pPr>
      <w:r>
        <w:rPr>
          <w:lang w:val="fr-FR"/>
        </w:rPr>
        <w:t>5.6</w:t>
      </w:r>
      <w:r w:rsidRPr="00711EE7">
        <w:rPr>
          <w:lang w:val="fr-FR"/>
        </w:rPr>
        <w:tab/>
        <w:t>L</w:t>
      </w:r>
      <w:r>
        <w:rPr>
          <w:lang w:val="fr-FR"/>
        </w:rPr>
        <w:t>’</w:t>
      </w:r>
      <w:r w:rsidRPr="00711EE7">
        <w:rPr>
          <w:lang w:val="fr-FR"/>
        </w:rPr>
        <w:t>auteur demande que l</w:t>
      </w:r>
      <w:r>
        <w:rPr>
          <w:lang w:val="fr-FR"/>
        </w:rPr>
        <w:t>’</w:t>
      </w:r>
      <w:r w:rsidRPr="00711EE7">
        <w:rPr>
          <w:lang w:val="fr-FR"/>
        </w:rPr>
        <w:t xml:space="preserve">État partie </w:t>
      </w:r>
      <w:r>
        <w:rPr>
          <w:lang w:val="fr-FR"/>
        </w:rPr>
        <w:t>annule</w:t>
      </w:r>
      <w:r w:rsidRPr="00946514">
        <w:rPr>
          <w:lang w:val="fr-FR"/>
        </w:rPr>
        <w:t xml:space="preserve"> </w:t>
      </w:r>
      <w:r w:rsidRPr="00946514">
        <w:rPr>
          <w:i/>
          <w:lang w:val="fr-FR"/>
        </w:rPr>
        <w:t>ex post</w:t>
      </w:r>
      <w:r>
        <w:rPr>
          <w:i/>
          <w:lang w:val="fr-FR"/>
        </w:rPr>
        <w:t xml:space="preserve"> facto</w:t>
      </w:r>
      <w:r w:rsidRPr="00946514">
        <w:rPr>
          <w:lang w:val="fr-FR"/>
        </w:rPr>
        <w:t xml:space="preserve"> l</w:t>
      </w:r>
      <w:r>
        <w:rPr>
          <w:lang w:val="fr-FR"/>
        </w:rPr>
        <w:t>’ordre de quitter le territoire</w:t>
      </w:r>
      <w:r w:rsidRPr="00946514">
        <w:rPr>
          <w:lang w:val="fr-FR"/>
        </w:rPr>
        <w:t xml:space="preserve"> à titre de réparation morale</w:t>
      </w:r>
      <w:r>
        <w:rPr>
          <w:lang w:val="fr-FR"/>
        </w:rPr>
        <w:t>.</w:t>
      </w:r>
      <w:r w:rsidRPr="00B65FCE">
        <w:t xml:space="preserve"> </w:t>
      </w:r>
      <w:r>
        <w:rPr>
          <w:lang w:val="fr-FR"/>
        </w:rPr>
        <w:t>L</w:t>
      </w:r>
      <w:r w:rsidRPr="00B65FCE">
        <w:rPr>
          <w:lang w:val="fr-FR"/>
        </w:rPr>
        <w:t xml:space="preserve">es mesures correctives </w:t>
      </w:r>
      <w:r>
        <w:rPr>
          <w:lang w:val="fr-FR"/>
        </w:rPr>
        <w:t>devraient être</w:t>
      </w:r>
      <w:r w:rsidRPr="00B65FCE">
        <w:rPr>
          <w:lang w:val="fr-FR"/>
        </w:rPr>
        <w:t xml:space="preserve"> assorties d</w:t>
      </w:r>
      <w:r>
        <w:rPr>
          <w:lang w:val="fr-FR"/>
        </w:rPr>
        <w:t>’</w:t>
      </w:r>
      <w:r w:rsidRPr="00B65FCE">
        <w:rPr>
          <w:lang w:val="fr-FR"/>
        </w:rPr>
        <w:t>une injonction faite à l</w:t>
      </w:r>
      <w:r>
        <w:rPr>
          <w:lang w:val="fr-FR"/>
        </w:rPr>
        <w:t>’</w:t>
      </w:r>
      <w:r w:rsidRPr="00B65FCE">
        <w:rPr>
          <w:lang w:val="fr-FR"/>
        </w:rPr>
        <w:t xml:space="preserve">État partie de prendre contact avec les États étrangers où </w:t>
      </w:r>
      <w:r w:rsidR="00FA1801">
        <w:rPr>
          <w:lang w:val="fr-FR"/>
        </w:rPr>
        <w:t>E. S.</w:t>
      </w:r>
      <w:r>
        <w:rPr>
          <w:lang w:val="fr-FR"/>
        </w:rPr>
        <w:t xml:space="preserve"> </w:t>
      </w:r>
      <w:r w:rsidRPr="00B65FCE">
        <w:rPr>
          <w:lang w:val="fr-FR"/>
        </w:rPr>
        <w:t>et sa fille peuvent se trouver, afin de lui faire connaître la décision du Comité et les mesures correctives qui l</w:t>
      </w:r>
      <w:r>
        <w:rPr>
          <w:lang w:val="fr-FR"/>
        </w:rPr>
        <w:t>’</w:t>
      </w:r>
      <w:r w:rsidRPr="00B65FCE">
        <w:rPr>
          <w:lang w:val="fr-FR"/>
        </w:rPr>
        <w:t>accompagneront</w:t>
      </w:r>
      <w:r>
        <w:rPr>
          <w:lang w:val="fr-FR"/>
        </w:rPr>
        <w:t>.</w:t>
      </w:r>
    </w:p>
    <w:p w:rsidR="009A3634" w:rsidRPr="00711EE7" w:rsidRDefault="009A3634" w:rsidP="009A3634">
      <w:pPr>
        <w:pStyle w:val="H23G"/>
        <w:rPr>
          <w:lang w:val="fr-FR"/>
        </w:rPr>
      </w:pPr>
      <w:r>
        <w:rPr>
          <w:lang w:val="fr-FR"/>
        </w:rPr>
        <w:tab/>
      </w:r>
      <w:r>
        <w:rPr>
          <w:lang w:val="fr-FR"/>
        </w:rPr>
        <w:tab/>
      </w:r>
      <w:r w:rsidRPr="00711EE7">
        <w:rPr>
          <w:lang w:val="fr-FR"/>
        </w:rPr>
        <w:t>Délibérations du Comité</w:t>
      </w:r>
    </w:p>
    <w:p w:rsidR="009A3634" w:rsidRDefault="009A3634" w:rsidP="009A3634">
      <w:pPr>
        <w:pStyle w:val="H4G"/>
        <w:rPr>
          <w:lang w:val="fr-FR"/>
        </w:rPr>
      </w:pPr>
      <w:r w:rsidRPr="00711EE7">
        <w:rPr>
          <w:lang w:val="fr-FR"/>
        </w:rPr>
        <w:tab/>
      </w:r>
      <w:r w:rsidRPr="00711EE7">
        <w:rPr>
          <w:lang w:val="fr-FR"/>
        </w:rPr>
        <w:tab/>
        <w:t>Examen de la recevabilité</w:t>
      </w:r>
    </w:p>
    <w:p w:rsidR="009A3634" w:rsidRPr="00310C1E" w:rsidRDefault="009A3634" w:rsidP="009A3634">
      <w:pPr>
        <w:pStyle w:val="SingleTxtG"/>
        <w:rPr>
          <w:lang w:val="fr-FR"/>
        </w:rPr>
      </w:pPr>
      <w:r w:rsidRPr="004E054C">
        <w:rPr>
          <w:lang w:val="fr-FR"/>
        </w:rPr>
        <w:t>6.1</w:t>
      </w:r>
      <w:r w:rsidRPr="004E054C">
        <w:rPr>
          <w:lang w:val="fr-FR"/>
        </w:rPr>
        <w:tab/>
      </w:r>
      <w:r w:rsidRPr="004E054C">
        <w:rPr>
          <w:shd w:val="clear" w:color="auto" w:fill="FFFFFF"/>
          <w:lang w:val="fr-FR"/>
        </w:rPr>
        <w:t>Avant d</w:t>
      </w:r>
      <w:r>
        <w:rPr>
          <w:shd w:val="clear" w:color="auto" w:fill="FFFFFF"/>
          <w:lang w:val="fr-FR"/>
        </w:rPr>
        <w:t>’</w:t>
      </w:r>
      <w:r w:rsidRPr="004E054C">
        <w:rPr>
          <w:shd w:val="clear" w:color="auto" w:fill="FFFFFF"/>
          <w:lang w:val="fr-FR"/>
        </w:rPr>
        <w:t>examiner toute plainte soumise dans une communication, le Comité doit, conformément à l</w:t>
      </w:r>
      <w:r>
        <w:rPr>
          <w:shd w:val="clear" w:color="auto" w:fill="FFFFFF"/>
          <w:lang w:val="fr-FR"/>
        </w:rPr>
        <w:t>’</w:t>
      </w:r>
      <w:r w:rsidRPr="004E054C">
        <w:rPr>
          <w:shd w:val="clear" w:color="auto" w:fill="FFFFFF"/>
          <w:lang w:val="fr-FR"/>
        </w:rPr>
        <w:t>article 20 de son règlement intérieur</w:t>
      </w:r>
      <w:r>
        <w:rPr>
          <w:shd w:val="clear" w:color="auto" w:fill="FFFFFF"/>
          <w:lang w:val="fr-FR"/>
        </w:rPr>
        <w:t xml:space="preserve"> au titre du Protocole facultatif</w:t>
      </w:r>
      <w:r w:rsidRPr="004E054C">
        <w:rPr>
          <w:shd w:val="clear" w:color="auto" w:fill="FFFFFF"/>
          <w:lang w:val="fr-FR"/>
        </w:rPr>
        <w:t>, déterminer si la communication est recevable au regard du Protocole facultatif.</w:t>
      </w:r>
      <w:r w:rsidRPr="004E054C">
        <w:rPr>
          <w:lang w:val="fr-FR"/>
        </w:rPr>
        <w:t xml:space="preserve"> </w:t>
      </w:r>
    </w:p>
    <w:p w:rsidR="009A3634" w:rsidRPr="009A1B2B" w:rsidRDefault="009A3634" w:rsidP="009A3634">
      <w:pPr>
        <w:pStyle w:val="SingleTxtG"/>
      </w:pPr>
      <w:r>
        <w:rPr>
          <w:lang w:val="fr-FR"/>
        </w:rPr>
        <w:t>6.2</w:t>
      </w:r>
      <w:r>
        <w:rPr>
          <w:lang w:val="fr-FR"/>
        </w:rPr>
        <w:tab/>
        <w:t xml:space="preserve">Le Comité prend note de l’affirmation de </w:t>
      </w:r>
      <w:r w:rsidRPr="003408AB">
        <w:rPr>
          <w:lang w:val="fr-FR"/>
        </w:rPr>
        <w:t>l</w:t>
      </w:r>
      <w:r>
        <w:rPr>
          <w:lang w:val="fr-FR"/>
        </w:rPr>
        <w:t>’</w:t>
      </w:r>
      <w:r w:rsidRPr="003408AB">
        <w:rPr>
          <w:lang w:val="fr-FR"/>
        </w:rPr>
        <w:t xml:space="preserve">auteur </w:t>
      </w:r>
      <w:r>
        <w:rPr>
          <w:lang w:val="fr-FR"/>
        </w:rPr>
        <w:t>selon laquelle il</w:t>
      </w:r>
      <w:r w:rsidRPr="003408AB">
        <w:rPr>
          <w:lang w:val="fr-FR"/>
        </w:rPr>
        <w:t xml:space="preserve"> s</w:t>
      </w:r>
      <w:r>
        <w:rPr>
          <w:lang w:val="fr-FR"/>
        </w:rPr>
        <w:t>’</w:t>
      </w:r>
      <w:r w:rsidRPr="003408AB">
        <w:rPr>
          <w:lang w:val="fr-FR"/>
        </w:rPr>
        <w:t xml:space="preserve">estime obligé de </w:t>
      </w:r>
      <w:r>
        <w:rPr>
          <w:lang w:val="fr-FR"/>
        </w:rPr>
        <w:t>présenter</w:t>
      </w:r>
      <w:r w:rsidRPr="003408AB">
        <w:rPr>
          <w:lang w:val="fr-FR"/>
        </w:rPr>
        <w:t xml:space="preserve"> la communication </w:t>
      </w:r>
      <w:r>
        <w:rPr>
          <w:lang w:val="fr-FR"/>
        </w:rPr>
        <w:t>malgré l’absence de consentement d’</w:t>
      </w:r>
      <w:r w:rsidR="00FA1801">
        <w:rPr>
          <w:lang w:val="fr-FR"/>
        </w:rPr>
        <w:t>E. S.</w:t>
      </w:r>
      <w:r>
        <w:rPr>
          <w:lang w:val="fr-FR"/>
        </w:rPr>
        <w:t>, ainsi que de ses explications selon lesquelles : a)</w:t>
      </w:r>
      <w:r w:rsidR="00F070DD">
        <w:rPr>
          <w:lang w:val="fr-FR"/>
        </w:rPr>
        <w:t> </w:t>
      </w:r>
      <w:r w:rsidRPr="003408AB">
        <w:rPr>
          <w:lang w:val="fr-FR"/>
        </w:rPr>
        <w:t>il n</w:t>
      </w:r>
      <w:r>
        <w:rPr>
          <w:lang w:val="fr-FR"/>
        </w:rPr>
        <w:t>’</w:t>
      </w:r>
      <w:r w:rsidRPr="003408AB">
        <w:rPr>
          <w:lang w:val="fr-FR"/>
        </w:rPr>
        <w:t xml:space="preserve">a plus été en contact avec </w:t>
      </w:r>
      <w:r w:rsidR="00FA1801">
        <w:rPr>
          <w:lang w:val="fr-FR"/>
        </w:rPr>
        <w:t>E. S.</w:t>
      </w:r>
      <w:r>
        <w:rPr>
          <w:lang w:val="fr-FR"/>
        </w:rPr>
        <w:t xml:space="preserve"> depuis son expulsion ;</w:t>
      </w:r>
      <w:r w:rsidRPr="003408AB">
        <w:rPr>
          <w:lang w:val="fr-FR"/>
        </w:rPr>
        <w:t xml:space="preserve"> </w:t>
      </w:r>
      <w:r>
        <w:rPr>
          <w:lang w:val="fr-FR"/>
        </w:rPr>
        <w:t>b)</w:t>
      </w:r>
      <w:r w:rsidR="00F070DD">
        <w:rPr>
          <w:lang w:val="fr-FR"/>
        </w:rPr>
        <w:t> </w:t>
      </w:r>
      <w:r>
        <w:rPr>
          <w:lang w:val="fr-FR"/>
        </w:rPr>
        <w:t>d</w:t>
      </w:r>
      <w:r w:rsidRPr="003408AB">
        <w:rPr>
          <w:lang w:val="fr-FR"/>
        </w:rPr>
        <w:t>es pressions vraisemblablement encore exercées sur elle par la famille de son mari exclu</w:t>
      </w:r>
      <w:r>
        <w:rPr>
          <w:lang w:val="fr-FR"/>
        </w:rPr>
        <w:t>rai</w:t>
      </w:r>
      <w:r w:rsidRPr="003408AB">
        <w:rPr>
          <w:lang w:val="fr-FR"/>
        </w:rPr>
        <w:t>ent qu</w:t>
      </w:r>
      <w:r>
        <w:rPr>
          <w:lang w:val="fr-FR"/>
        </w:rPr>
        <w:t>’</w:t>
      </w:r>
      <w:r w:rsidR="00FA1801">
        <w:rPr>
          <w:lang w:val="fr-FR"/>
        </w:rPr>
        <w:t>E. S.</w:t>
      </w:r>
      <w:r w:rsidRPr="003408AB">
        <w:rPr>
          <w:lang w:val="fr-FR"/>
        </w:rPr>
        <w:t xml:space="preserve"> puisse </w:t>
      </w:r>
      <w:r>
        <w:rPr>
          <w:lang w:val="fr-FR"/>
        </w:rPr>
        <w:t>communiquer avec l’auteur ; et c)</w:t>
      </w:r>
      <w:r w:rsidR="00F070DD">
        <w:rPr>
          <w:lang w:val="fr-FR"/>
        </w:rPr>
        <w:t> </w:t>
      </w:r>
      <w:r w:rsidR="00FA1801">
        <w:t>E. S.</w:t>
      </w:r>
      <w:r>
        <w:t xml:space="preserve"> </w:t>
      </w:r>
      <w:r w:rsidRPr="00BB6352">
        <w:rPr>
          <w:lang w:val="fr-FR"/>
        </w:rPr>
        <w:t>serait pleinement d</w:t>
      </w:r>
      <w:r>
        <w:rPr>
          <w:lang w:val="fr-FR"/>
        </w:rPr>
        <w:t>’</w:t>
      </w:r>
      <w:r w:rsidRPr="00BB6352">
        <w:rPr>
          <w:lang w:val="fr-FR"/>
        </w:rPr>
        <w:t>accord avec l</w:t>
      </w:r>
      <w:r>
        <w:rPr>
          <w:lang w:val="fr-FR"/>
        </w:rPr>
        <w:t>’</w:t>
      </w:r>
      <w:r w:rsidRPr="00BB6352">
        <w:rPr>
          <w:lang w:val="fr-FR"/>
        </w:rPr>
        <w:t>introduction de la présente communication</w:t>
      </w:r>
      <w:r>
        <w:rPr>
          <w:lang w:val="fr-FR"/>
        </w:rPr>
        <w:t>. Notant que l’auteur était le tuteur d’</w:t>
      </w:r>
      <w:r w:rsidR="00FA1801">
        <w:rPr>
          <w:lang w:val="fr-FR"/>
        </w:rPr>
        <w:t>E. S.</w:t>
      </w:r>
      <w:r>
        <w:rPr>
          <w:lang w:val="fr-FR"/>
        </w:rPr>
        <w:t xml:space="preserve"> désigné par la loi de </w:t>
      </w:r>
      <w:r w:rsidRPr="00675753">
        <w:rPr>
          <w:lang w:val="fr-FR"/>
        </w:rPr>
        <w:t>l</w:t>
      </w:r>
      <w:r>
        <w:rPr>
          <w:lang w:val="fr-FR"/>
        </w:rPr>
        <w:t>’</w:t>
      </w:r>
      <w:r w:rsidRPr="00675753">
        <w:rPr>
          <w:lang w:val="fr-FR"/>
        </w:rPr>
        <w:t xml:space="preserve">État </w:t>
      </w:r>
      <w:r>
        <w:rPr>
          <w:lang w:val="fr-FR"/>
        </w:rPr>
        <w:t>partie, le Comité observe toutefois qu’</w:t>
      </w:r>
      <w:r w:rsidR="00FA1801">
        <w:rPr>
          <w:lang w:val="fr-FR"/>
        </w:rPr>
        <w:t>E. S.</w:t>
      </w:r>
      <w:r>
        <w:rPr>
          <w:lang w:val="fr-FR"/>
        </w:rPr>
        <w:t xml:space="preserve"> avait déjà quitté le territoire de </w:t>
      </w:r>
      <w:r w:rsidRPr="00792BF1">
        <w:rPr>
          <w:lang w:val="fr-FR"/>
        </w:rPr>
        <w:t>l</w:t>
      </w:r>
      <w:r>
        <w:rPr>
          <w:lang w:val="fr-FR"/>
        </w:rPr>
        <w:t>’</w:t>
      </w:r>
      <w:r w:rsidRPr="00792BF1">
        <w:rPr>
          <w:lang w:val="fr-FR"/>
        </w:rPr>
        <w:t>État partie</w:t>
      </w:r>
      <w:r>
        <w:rPr>
          <w:lang w:val="fr-FR"/>
        </w:rPr>
        <w:t xml:space="preserve"> au moment de la présentation de la communication et qu’elle a atteint l’âge de 18</w:t>
      </w:r>
      <w:r w:rsidR="00F070DD">
        <w:rPr>
          <w:lang w:val="fr-FR"/>
        </w:rPr>
        <w:t> </w:t>
      </w:r>
      <w:r>
        <w:rPr>
          <w:lang w:val="fr-FR"/>
        </w:rPr>
        <w:t xml:space="preserve">ans deux jours après, raison pour laquelle l’auteur aurait dû chercher à obtenir son autorisation pour agir en son nom. Ainsi, en l’absence de justification par l’auteur de l’impossibilité de communiquer avec </w:t>
      </w:r>
      <w:r w:rsidR="00FA1801">
        <w:rPr>
          <w:lang w:val="fr-FR"/>
        </w:rPr>
        <w:t>E. S.</w:t>
      </w:r>
      <w:r>
        <w:rPr>
          <w:lang w:val="fr-FR"/>
        </w:rPr>
        <w:t xml:space="preserve"> afin d’obtenir son consentement, le Comité </w:t>
      </w:r>
      <w:r w:rsidRPr="00E02ABA">
        <w:rPr>
          <w:lang w:val="fr-FR"/>
        </w:rPr>
        <w:t xml:space="preserve">conclut en vertu </w:t>
      </w:r>
      <w:r>
        <w:rPr>
          <w:lang w:val="fr-FR"/>
        </w:rPr>
        <w:t xml:space="preserve">du paragraphe 2 </w:t>
      </w:r>
      <w:r w:rsidRPr="00E02ABA">
        <w:rPr>
          <w:lang w:val="fr-FR"/>
        </w:rPr>
        <w:t>de l</w:t>
      </w:r>
      <w:r>
        <w:rPr>
          <w:lang w:val="fr-FR"/>
        </w:rPr>
        <w:t>’</w:t>
      </w:r>
      <w:r w:rsidRPr="00E02ABA">
        <w:rPr>
          <w:lang w:val="fr-FR"/>
        </w:rPr>
        <w:t>article</w:t>
      </w:r>
      <w:r w:rsidR="00F070DD">
        <w:rPr>
          <w:lang w:val="fr-FR"/>
        </w:rPr>
        <w:t> </w:t>
      </w:r>
      <w:r>
        <w:rPr>
          <w:lang w:val="fr-FR"/>
        </w:rPr>
        <w:t xml:space="preserve">5 </w:t>
      </w:r>
      <w:r w:rsidRPr="00E02ABA">
        <w:rPr>
          <w:lang w:val="fr-FR"/>
        </w:rPr>
        <w:t>du Protocole facultatif</w:t>
      </w:r>
      <w:r>
        <w:t xml:space="preserve"> </w:t>
      </w:r>
      <w:r w:rsidRPr="00E02ABA">
        <w:rPr>
          <w:lang w:val="fr-FR"/>
        </w:rPr>
        <w:t xml:space="preserve">que </w:t>
      </w:r>
      <w:r>
        <w:rPr>
          <w:lang w:val="fr-FR"/>
        </w:rPr>
        <w:t xml:space="preserve">l’auteur n’a pas qualité pour agir, </w:t>
      </w:r>
      <w:r>
        <w:t>ni au nom d’</w:t>
      </w:r>
      <w:r w:rsidR="00FA1801">
        <w:t>E. S.</w:t>
      </w:r>
      <w:r>
        <w:t xml:space="preserve"> ni au nom de B.</w:t>
      </w:r>
      <w:r w:rsidR="00F070DD">
        <w:t> </w:t>
      </w:r>
      <w:r>
        <w:t>M.</w:t>
      </w:r>
    </w:p>
    <w:p w:rsidR="009A3634" w:rsidRPr="0088075C" w:rsidRDefault="009A3634" w:rsidP="00CF50EC">
      <w:pPr>
        <w:pStyle w:val="SingleTxtG"/>
        <w:keepNext/>
      </w:pPr>
      <w:r>
        <w:rPr>
          <w:lang w:val="fr-FR"/>
        </w:rPr>
        <w:t>7.</w:t>
      </w:r>
      <w:r>
        <w:rPr>
          <w:lang w:val="fr-FR"/>
        </w:rPr>
        <w:tab/>
        <w:t>En conséquence, l</w:t>
      </w:r>
      <w:r w:rsidRPr="0088075C">
        <w:t>e Comité décide :</w:t>
      </w:r>
    </w:p>
    <w:p w:rsidR="009A3634" w:rsidRDefault="009A3634" w:rsidP="009A3634">
      <w:pPr>
        <w:pStyle w:val="SingleTxtG"/>
        <w:ind w:firstLine="567"/>
      </w:pPr>
      <w:r w:rsidRPr="0088075C">
        <w:t>a)</w:t>
      </w:r>
      <w:r w:rsidRPr="0088075C">
        <w:tab/>
        <w:t xml:space="preserve">Que la communication est irrecevable conformément </w:t>
      </w:r>
      <w:r>
        <w:t xml:space="preserve">au paragraphe 2 de </w:t>
      </w:r>
      <w:r w:rsidRPr="0088075C">
        <w:t>l</w:t>
      </w:r>
      <w:r>
        <w:t>’</w:t>
      </w:r>
      <w:r w:rsidRPr="0088075C">
        <w:t>article</w:t>
      </w:r>
      <w:r>
        <w:t xml:space="preserve"> 5 </w:t>
      </w:r>
      <w:r w:rsidRPr="0088075C">
        <w:t>du Protocole facultatif ;</w:t>
      </w:r>
    </w:p>
    <w:p w:rsidR="007341B7" w:rsidRDefault="009A3634" w:rsidP="009A3634">
      <w:pPr>
        <w:pStyle w:val="SingleTxtG"/>
        <w:ind w:firstLine="567"/>
      </w:pPr>
      <w:r w:rsidRPr="0088075C">
        <w:t>b)</w:t>
      </w:r>
      <w:r w:rsidRPr="0088075C">
        <w:tab/>
        <w:t>Que la présente décision sera communiquée à l</w:t>
      </w:r>
      <w:r>
        <w:t>’</w:t>
      </w:r>
      <w:r w:rsidRPr="0088075C">
        <w:t>auteur de la communication ainsi qu</w:t>
      </w:r>
      <w:r>
        <w:t>’</w:t>
      </w:r>
      <w:r w:rsidRPr="0088075C">
        <w:t>à l</w:t>
      </w:r>
      <w:r>
        <w:t>’</w:t>
      </w:r>
      <w:r w:rsidRPr="0088075C">
        <w:t>État partie pour information.</w:t>
      </w:r>
    </w:p>
    <w:p w:rsidR="009A3634" w:rsidRPr="009A3634" w:rsidRDefault="009A3634" w:rsidP="009A3634">
      <w:pPr>
        <w:pStyle w:val="SingleTxtG"/>
        <w:spacing w:before="240" w:after="0"/>
        <w:jc w:val="center"/>
        <w:rPr>
          <w:u w:val="single"/>
        </w:rPr>
      </w:pPr>
      <w:r>
        <w:rPr>
          <w:u w:val="single"/>
        </w:rPr>
        <w:tab/>
      </w:r>
      <w:r>
        <w:rPr>
          <w:u w:val="single"/>
        </w:rPr>
        <w:tab/>
      </w:r>
      <w:r>
        <w:rPr>
          <w:u w:val="single"/>
        </w:rPr>
        <w:tab/>
      </w:r>
    </w:p>
    <w:sectPr w:rsidR="009A3634" w:rsidRPr="009A3634" w:rsidSect="009A36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045" w:rsidRDefault="00404045" w:rsidP="00F95C08">
      <w:pPr>
        <w:spacing w:line="240" w:lineRule="auto"/>
      </w:pPr>
    </w:p>
  </w:endnote>
  <w:endnote w:type="continuationSeparator" w:id="0">
    <w:p w:rsidR="00404045" w:rsidRPr="00AC3823" w:rsidRDefault="00404045" w:rsidP="00AC3823">
      <w:pPr>
        <w:pStyle w:val="Pieddepage"/>
      </w:pPr>
    </w:p>
  </w:endnote>
  <w:endnote w:type="continuationNotice" w:id="1">
    <w:p w:rsidR="00404045" w:rsidRDefault="004040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F1" w:rsidRPr="009A3634" w:rsidRDefault="008A05F1" w:rsidP="009A3634">
    <w:pPr>
      <w:pStyle w:val="Pieddepage"/>
      <w:tabs>
        <w:tab w:val="right" w:pos="9638"/>
      </w:tabs>
    </w:pPr>
    <w:r w:rsidRPr="009A3634">
      <w:rPr>
        <w:b/>
        <w:sz w:val="18"/>
      </w:rPr>
      <w:fldChar w:fldCharType="begin"/>
    </w:r>
    <w:r w:rsidRPr="009A3634">
      <w:rPr>
        <w:b/>
        <w:sz w:val="18"/>
      </w:rPr>
      <w:instrText xml:space="preserve"> PAGE  \* MERGEFORMAT </w:instrText>
    </w:r>
    <w:r w:rsidRPr="009A3634">
      <w:rPr>
        <w:b/>
        <w:sz w:val="18"/>
      </w:rPr>
      <w:fldChar w:fldCharType="separate"/>
    </w:r>
    <w:r w:rsidR="00BB7F10">
      <w:rPr>
        <w:b/>
        <w:noProof/>
        <w:sz w:val="18"/>
      </w:rPr>
      <w:t>4</w:t>
    </w:r>
    <w:r w:rsidRPr="009A363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F1" w:rsidRPr="009A3634" w:rsidRDefault="008A05F1" w:rsidP="009A3634">
    <w:pPr>
      <w:pStyle w:val="Pieddepage"/>
      <w:tabs>
        <w:tab w:val="right" w:pos="9638"/>
      </w:tabs>
      <w:rPr>
        <w:b/>
        <w:sz w:val="18"/>
      </w:rPr>
    </w:pPr>
    <w:r>
      <w:tab/>
    </w:r>
    <w:r w:rsidRPr="009A3634">
      <w:rPr>
        <w:b/>
        <w:sz w:val="18"/>
      </w:rPr>
      <w:fldChar w:fldCharType="begin"/>
    </w:r>
    <w:r w:rsidRPr="009A3634">
      <w:rPr>
        <w:b/>
        <w:sz w:val="18"/>
      </w:rPr>
      <w:instrText xml:space="preserve"> PAGE  \* MERGEFORMAT </w:instrText>
    </w:r>
    <w:r w:rsidRPr="009A3634">
      <w:rPr>
        <w:b/>
        <w:sz w:val="18"/>
      </w:rPr>
      <w:fldChar w:fldCharType="separate"/>
    </w:r>
    <w:r w:rsidR="00BB7F10">
      <w:rPr>
        <w:b/>
        <w:noProof/>
        <w:sz w:val="18"/>
      </w:rPr>
      <w:t>3</w:t>
    </w:r>
    <w:r w:rsidRPr="009A36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F1" w:rsidRPr="006A069D" w:rsidRDefault="006A069D" w:rsidP="006A069D">
    <w:pPr>
      <w:pStyle w:val="Pieddepage"/>
      <w:spacing w:before="120"/>
      <w:rPr>
        <w:sz w:val="20"/>
      </w:rPr>
    </w:pPr>
    <w:r w:rsidRPr="006A069D">
      <w:rPr>
        <w:rFonts w:ascii="C39T30Lfz" w:hAnsi="C39T30Lfz"/>
        <w:noProof/>
        <w:sz w:val="56"/>
        <w:lang w:eastAsia="fr-CH"/>
      </w:rPr>
      <w:drawing>
        <wp:anchor distT="0" distB="0" distL="114300" distR="114300" simplePos="0" relativeHeight="251660288" behindDoc="0" locked="0" layoutInCell="1" allowOverlap="0">
          <wp:simplePos x="0" y="0"/>
          <wp:positionH relativeFrom="margin">
            <wp:posOffset>4320540</wp:posOffset>
          </wp:positionH>
          <wp:positionV relativeFrom="margin">
            <wp:posOffset>9058606</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GE.20-13908  (F)</w:t>
    </w:r>
    <w:r>
      <w:rPr>
        <w:sz w:val="20"/>
      </w:rPr>
      <w:br/>
    </w:r>
    <w:r w:rsidRPr="006A069D">
      <w:rPr>
        <w:rFonts w:ascii="C39T30Lfz" w:hAnsi="C39T30Lfz"/>
        <w:sz w:val="56"/>
      </w:rPr>
      <w:t>*2013908*</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045" w:rsidRPr="00AC3823" w:rsidRDefault="00404045" w:rsidP="00AC3823">
      <w:pPr>
        <w:pStyle w:val="Pieddepage"/>
        <w:tabs>
          <w:tab w:val="right" w:pos="2155"/>
        </w:tabs>
        <w:spacing w:after="80" w:line="240" w:lineRule="atLeast"/>
        <w:ind w:left="680"/>
        <w:rPr>
          <w:u w:val="single"/>
        </w:rPr>
      </w:pPr>
      <w:r>
        <w:rPr>
          <w:u w:val="single"/>
        </w:rPr>
        <w:tab/>
      </w:r>
    </w:p>
  </w:footnote>
  <w:footnote w:type="continuationSeparator" w:id="0">
    <w:p w:rsidR="00404045" w:rsidRPr="00AC3823" w:rsidRDefault="00404045" w:rsidP="00AC3823">
      <w:pPr>
        <w:pStyle w:val="Pieddepage"/>
        <w:tabs>
          <w:tab w:val="right" w:pos="2155"/>
        </w:tabs>
        <w:spacing w:after="80" w:line="240" w:lineRule="atLeast"/>
        <w:ind w:left="680"/>
        <w:rPr>
          <w:u w:val="single"/>
        </w:rPr>
      </w:pPr>
      <w:r>
        <w:rPr>
          <w:u w:val="single"/>
        </w:rPr>
        <w:tab/>
      </w:r>
    </w:p>
  </w:footnote>
  <w:footnote w:type="continuationNotice" w:id="1">
    <w:p w:rsidR="00404045" w:rsidRPr="00AC3823" w:rsidRDefault="00404045">
      <w:pPr>
        <w:spacing w:line="240" w:lineRule="auto"/>
        <w:rPr>
          <w:sz w:val="2"/>
          <w:szCs w:val="2"/>
        </w:rPr>
      </w:pPr>
    </w:p>
  </w:footnote>
  <w:footnote w:id="2">
    <w:p w:rsidR="008A05F1" w:rsidRPr="005255A6" w:rsidRDefault="008A05F1" w:rsidP="009A3634">
      <w:pPr>
        <w:pStyle w:val="Notedebasdepage"/>
      </w:pPr>
      <w:r>
        <w:rPr>
          <w:rStyle w:val="Appelnotedebasdep"/>
        </w:rPr>
        <w:tab/>
      </w:r>
      <w:r w:rsidRPr="00CF50EC">
        <w:rPr>
          <w:rStyle w:val="Appelnotedebasdep"/>
          <w:sz w:val="20"/>
          <w:vertAlign w:val="baseline"/>
        </w:rPr>
        <w:t>*</w:t>
      </w:r>
      <w:r>
        <w:rPr>
          <w:rStyle w:val="Appelnotedebasdep"/>
        </w:rPr>
        <w:tab/>
      </w:r>
      <w:r w:rsidRPr="00180A06">
        <w:t>Adoptée par le Comité à sa quatre-vingt-</w:t>
      </w:r>
      <w:r>
        <w:t>cinquième session (</w:t>
      </w:r>
      <w:r>
        <w:rPr>
          <w:lang w:val="fr-FR"/>
        </w:rPr>
        <w:t>14 septembre-1</w:t>
      </w:r>
      <w:r w:rsidRPr="009579D9">
        <w:rPr>
          <w:vertAlign w:val="superscript"/>
          <w:lang w:val="fr-FR"/>
        </w:rPr>
        <w:t>er</w:t>
      </w:r>
      <w:r w:rsidR="00FA1801">
        <w:rPr>
          <w:lang w:val="fr-FR"/>
        </w:rPr>
        <w:t> </w:t>
      </w:r>
      <w:r>
        <w:rPr>
          <w:lang w:val="fr-FR"/>
        </w:rPr>
        <w:t>octobre 2020</w:t>
      </w:r>
      <w:r w:rsidRPr="00180A06">
        <w:t>)</w:t>
      </w:r>
      <w:r>
        <w:t>.</w:t>
      </w:r>
    </w:p>
  </w:footnote>
  <w:footnote w:id="3">
    <w:p w:rsidR="008A05F1" w:rsidRPr="002B2CD7" w:rsidRDefault="008A05F1" w:rsidP="009A3634">
      <w:pPr>
        <w:pStyle w:val="Notedebasdepage"/>
        <w:rPr>
          <w:lang w:val="fr-FR"/>
        </w:rPr>
      </w:pPr>
      <w:r w:rsidRPr="005255A6">
        <w:rPr>
          <w:rStyle w:val="Appelnotedebasdep"/>
          <w:lang w:val="fr-FR"/>
        </w:rPr>
        <w:tab/>
      </w:r>
      <w:r w:rsidRPr="00CF50EC">
        <w:rPr>
          <w:rStyle w:val="Appelnotedebasdep"/>
          <w:sz w:val="20"/>
          <w:vertAlign w:val="baseline"/>
          <w:lang w:val="fr-FR"/>
        </w:rPr>
        <w:t>**</w:t>
      </w:r>
      <w:r w:rsidRPr="002B2CD7">
        <w:rPr>
          <w:rStyle w:val="Appelnotedebasdep"/>
          <w:lang w:val="fr-FR"/>
        </w:rPr>
        <w:tab/>
      </w:r>
      <w:r w:rsidRPr="00AF7210">
        <w:rPr>
          <w:lang w:val="fr-FR"/>
        </w:rPr>
        <w:t>Les membres du Comité d</w:t>
      </w:r>
      <w:bookmarkStart w:id="0" w:name="_GoBack"/>
      <w:bookmarkEnd w:id="0"/>
      <w:r w:rsidRPr="00AF7210">
        <w:rPr>
          <w:lang w:val="fr-FR"/>
        </w:rPr>
        <w:t xml:space="preserve">ont le nom suit ont participé </w:t>
      </w:r>
      <w:r>
        <w:rPr>
          <w:lang w:val="fr-FR"/>
        </w:rPr>
        <w:t>à</w:t>
      </w:r>
      <w:r w:rsidRPr="00AF7210">
        <w:rPr>
          <w:lang w:val="fr-FR"/>
        </w:rPr>
        <w:t xml:space="preserve"> l’exam</w:t>
      </w:r>
      <w:r>
        <w:rPr>
          <w:lang w:val="fr-FR"/>
        </w:rPr>
        <w:t>en de la communication </w:t>
      </w:r>
      <w:r w:rsidRPr="00AF7210">
        <w:rPr>
          <w:lang w:val="fr-FR"/>
        </w:rPr>
        <w:t>:</w:t>
      </w:r>
      <w:r w:rsidRPr="00AF7210">
        <w:t xml:space="preserve"> </w:t>
      </w:r>
      <w:r w:rsidRPr="00AF7210">
        <w:rPr>
          <w:lang w:val="fr-FR"/>
        </w:rPr>
        <w:t xml:space="preserve">Suzanne Aho Assouma, Hynd Ayoubi Idrissi, Bragi Gudbrandsson, Olga A. Khazova, Gehad Madi, Philip Jaffé, Benyam Dawit Mezmur, </w:t>
      </w:r>
      <w:r>
        <w:rPr>
          <w:lang w:val="fr-FR"/>
        </w:rPr>
        <w:t xml:space="preserve">Otani </w:t>
      </w:r>
      <w:r w:rsidRPr="00AF7210">
        <w:rPr>
          <w:lang w:val="fr-FR"/>
        </w:rPr>
        <w:t xml:space="preserve">Mikiko, Luis Ernesto Pedernera Reyna, José Ángel Rodríguez Reyes, Ann Marie Skelton, Velina Todorova </w:t>
      </w:r>
      <w:r>
        <w:rPr>
          <w:lang w:val="fr-FR"/>
        </w:rPr>
        <w:t>et</w:t>
      </w:r>
      <w:r w:rsidRPr="00AF7210">
        <w:rPr>
          <w:lang w:val="fr-FR"/>
        </w:rPr>
        <w:t xml:space="preserve"> Renate Winter</w:t>
      </w:r>
      <w:r>
        <w:rPr>
          <w:lang w:val="fr-FR"/>
        </w:rPr>
        <w:t>.</w:t>
      </w:r>
    </w:p>
  </w:footnote>
  <w:footnote w:id="4">
    <w:p w:rsidR="008A05F1" w:rsidRPr="007E206A" w:rsidRDefault="008A05F1" w:rsidP="009A3634">
      <w:pPr>
        <w:pStyle w:val="Notedebasdepage"/>
        <w:rPr>
          <w:lang w:val="fr-FR"/>
        </w:rPr>
      </w:pPr>
      <w:r>
        <w:tab/>
      </w:r>
      <w:r w:rsidRPr="009579D9">
        <w:rPr>
          <w:rStyle w:val="Appelnotedebasdep"/>
        </w:rPr>
        <w:footnoteRef/>
      </w:r>
      <w:r>
        <w:tab/>
        <w:t xml:space="preserve">Dans ce même rapport, le médecin notait également qu’il pourrait être bien de </w:t>
      </w:r>
      <w:r w:rsidRPr="007E206A">
        <w:t xml:space="preserve">faire </w:t>
      </w:r>
      <w:r>
        <w:t xml:space="preserve">faire à </w:t>
      </w:r>
      <w:r w:rsidR="00FA1801">
        <w:t>E. S.</w:t>
      </w:r>
      <w:r>
        <w:t xml:space="preserve"> </w:t>
      </w:r>
      <w:r w:rsidRPr="007E206A">
        <w:t>une formation</w:t>
      </w:r>
      <w:r>
        <w:t>,</w:t>
      </w:r>
      <w:r w:rsidRPr="007E206A">
        <w:t xml:space="preserve"> étant donné qu’elle n’a</w:t>
      </w:r>
      <w:r>
        <w:t>vait</w:t>
      </w:r>
      <w:r w:rsidRPr="007E206A">
        <w:t xml:space="preserve"> jamais travaillé et n’a</w:t>
      </w:r>
      <w:r>
        <w:t>vait</w:t>
      </w:r>
      <w:r w:rsidRPr="007E206A">
        <w:t xml:space="preserve"> aucun </w:t>
      </w:r>
      <w:r>
        <w:t>projet pour garantir sa survie, et se demandait s’il fallait</w:t>
      </w:r>
      <w:r w:rsidRPr="007E206A">
        <w:t xml:space="preserve"> la traiter comme une adulte responsable étant donné que son discours ne correspond</w:t>
      </w:r>
      <w:r>
        <w:t>ait</w:t>
      </w:r>
      <w:r w:rsidRPr="007E206A">
        <w:t xml:space="preserve"> pas à l’âge qu’elle </w:t>
      </w:r>
      <w:r>
        <w:t>déclarait</w:t>
      </w:r>
      <w:r w:rsidRPr="007E206A">
        <w:t xml:space="preserve"> avoir.</w:t>
      </w:r>
    </w:p>
  </w:footnote>
  <w:footnote w:id="5">
    <w:p w:rsidR="008A05F1" w:rsidRPr="005C16BE" w:rsidRDefault="008A05F1" w:rsidP="009A3634">
      <w:pPr>
        <w:pStyle w:val="Notedebasdepage"/>
        <w:rPr>
          <w:lang w:val="fr-FR"/>
        </w:rPr>
      </w:pPr>
      <w:r>
        <w:rPr>
          <w:lang w:val="fr-FR"/>
        </w:rPr>
        <w:tab/>
      </w:r>
      <w:r w:rsidRPr="009579D9">
        <w:rPr>
          <w:rStyle w:val="Appelnotedebasdep"/>
        </w:rPr>
        <w:footnoteRef/>
      </w:r>
      <w:r w:rsidRPr="00CF50EC">
        <w:tab/>
        <w:t>CRC/C/BEL/CO/3-4, par.</w:t>
      </w:r>
      <w:r w:rsidR="00116988" w:rsidRPr="00CF50EC">
        <w:t> </w:t>
      </w:r>
      <w:r w:rsidRPr="005C16BE">
        <w:t>82 et 83</w:t>
      </w:r>
      <w:r>
        <w:t>.</w:t>
      </w:r>
    </w:p>
  </w:footnote>
  <w:footnote w:id="6">
    <w:p w:rsidR="008A05F1" w:rsidRPr="000F7AC7" w:rsidRDefault="008A05F1" w:rsidP="009A3634">
      <w:pPr>
        <w:pStyle w:val="Notedebasdepage"/>
        <w:rPr>
          <w:lang w:val="fr-CA"/>
        </w:rPr>
      </w:pPr>
      <w:r>
        <w:tab/>
      </w:r>
      <w:r w:rsidRPr="009579D9">
        <w:rPr>
          <w:rStyle w:val="Appelnotedebasdep"/>
        </w:rPr>
        <w:footnoteRef/>
      </w:r>
      <w:r>
        <w:tab/>
        <w:t xml:space="preserve">Cour de cassation de Belgique, arrêt P.18.0660.F du 10 octobre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F1" w:rsidRPr="009A3634" w:rsidRDefault="00BB7F10">
    <w:pPr>
      <w:pStyle w:val="En-tte"/>
    </w:pPr>
    <w:fldSimple w:instr=" TITLE  \* MERGEFORMAT ">
      <w:r w:rsidR="006A069D">
        <w:t>CRC/C/85/D/34/2017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F1" w:rsidRPr="009A3634" w:rsidRDefault="00BB7F10" w:rsidP="009A3634">
    <w:pPr>
      <w:pStyle w:val="En-tte"/>
      <w:jc w:val="right"/>
    </w:pPr>
    <w:fldSimple w:instr=" TITLE  \* MERGEFORMAT ">
      <w:r w:rsidR="006A069D">
        <w:t>CRC/C/85/D/34/2017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23C75"/>
    <w:multiLevelType w:val="hybridMultilevel"/>
    <w:tmpl w:val="6F2C7A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A06B0A"/>
    <w:multiLevelType w:val="hybridMultilevel"/>
    <w:tmpl w:val="D10E8382"/>
    <w:lvl w:ilvl="0" w:tplc="E224088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FD356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A51463"/>
    <w:multiLevelType w:val="hybridMultilevel"/>
    <w:tmpl w:val="E7B6E490"/>
    <w:lvl w:ilvl="0" w:tplc="48C2CA34">
      <w:start w:val="4"/>
      <w:numFmt w:val="bullet"/>
      <w:lvlText w:val="-"/>
      <w:lvlJc w:val="left"/>
      <w:pPr>
        <w:ind w:left="1494" w:hanging="360"/>
      </w:pPr>
      <w:rPr>
        <w:rFonts w:ascii="Times New Roman" w:eastAsiaTheme="minorHAnsi" w:hAnsi="Times New Roman" w:cs="Times New Roman" w:hint="default"/>
        <w:i/>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F780CD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B928C9"/>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92C19"/>
    <w:multiLevelType w:val="hybridMultilevel"/>
    <w:tmpl w:val="74822892"/>
    <w:lvl w:ilvl="0" w:tplc="0809000F">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20"/>
  </w:num>
  <w:num w:numId="21">
    <w:abstractNumId w:val="15"/>
  </w:num>
  <w:num w:numId="22">
    <w:abstractNumId w:val="17"/>
  </w:num>
  <w:num w:numId="23">
    <w:abstractNumId w:val="13"/>
  </w:num>
  <w:num w:numId="24">
    <w:abstractNumId w:val="18"/>
  </w:num>
  <w:num w:numId="25">
    <w:abstractNumId w:val="12"/>
  </w:num>
  <w:num w:numId="26">
    <w:abstractNumId w:val="2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00"/>
    <w:rsid w:val="00017F94"/>
    <w:rsid w:val="00023842"/>
    <w:rsid w:val="000334F9"/>
    <w:rsid w:val="000354E9"/>
    <w:rsid w:val="00063352"/>
    <w:rsid w:val="0007796D"/>
    <w:rsid w:val="000B7790"/>
    <w:rsid w:val="00111F2F"/>
    <w:rsid w:val="00116988"/>
    <w:rsid w:val="0014365E"/>
    <w:rsid w:val="00176178"/>
    <w:rsid w:val="001F525A"/>
    <w:rsid w:val="00223272"/>
    <w:rsid w:val="0024779E"/>
    <w:rsid w:val="002D14A3"/>
    <w:rsid w:val="00311E81"/>
    <w:rsid w:val="00340ED0"/>
    <w:rsid w:val="00404045"/>
    <w:rsid w:val="00446FE5"/>
    <w:rsid w:val="00452396"/>
    <w:rsid w:val="00485B35"/>
    <w:rsid w:val="004D7A2C"/>
    <w:rsid w:val="005505B7"/>
    <w:rsid w:val="00573BE5"/>
    <w:rsid w:val="00585D04"/>
    <w:rsid w:val="00586ED3"/>
    <w:rsid w:val="00596AA9"/>
    <w:rsid w:val="005D7CCB"/>
    <w:rsid w:val="006A069D"/>
    <w:rsid w:val="0071601D"/>
    <w:rsid w:val="00716300"/>
    <w:rsid w:val="007341B7"/>
    <w:rsid w:val="00760CBC"/>
    <w:rsid w:val="007A62E6"/>
    <w:rsid w:val="0080684C"/>
    <w:rsid w:val="00840413"/>
    <w:rsid w:val="00871C75"/>
    <w:rsid w:val="008776DC"/>
    <w:rsid w:val="008A05F1"/>
    <w:rsid w:val="008C54BD"/>
    <w:rsid w:val="008F3CA0"/>
    <w:rsid w:val="009705C8"/>
    <w:rsid w:val="009A3634"/>
    <w:rsid w:val="00A06DE9"/>
    <w:rsid w:val="00A30353"/>
    <w:rsid w:val="00AC3823"/>
    <w:rsid w:val="00AE323C"/>
    <w:rsid w:val="00B00181"/>
    <w:rsid w:val="00B24A9B"/>
    <w:rsid w:val="00B765F7"/>
    <w:rsid w:val="00BA0CA9"/>
    <w:rsid w:val="00BB7F10"/>
    <w:rsid w:val="00BD6C12"/>
    <w:rsid w:val="00C02897"/>
    <w:rsid w:val="00C90560"/>
    <w:rsid w:val="00CF50EC"/>
    <w:rsid w:val="00D3439C"/>
    <w:rsid w:val="00DB1831"/>
    <w:rsid w:val="00DD3BFD"/>
    <w:rsid w:val="00DF6678"/>
    <w:rsid w:val="00F070DD"/>
    <w:rsid w:val="00F660DF"/>
    <w:rsid w:val="00F95C08"/>
    <w:rsid w:val="00FA18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C409BFA-8808-43EB-8C02-0FC546C3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FA180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FA180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A180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9A3634"/>
    <w:rPr>
      <w:rFonts w:ascii="Times New Roman" w:eastAsiaTheme="minorHAnsi" w:hAnsi="Times New Roman" w:cs="Times New Roman"/>
      <w:sz w:val="20"/>
      <w:szCs w:val="20"/>
      <w:lang w:eastAsia="en-US"/>
    </w:rPr>
  </w:style>
  <w:style w:type="paragraph" w:styleId="Titredenote">
    <w:name w:val="Note Heading"/>
    <w:basedOn w:val="Normal"/>
    <w:next w:val="Normal"/>
    <w:link w:val="TitredenoteCar"/>
    <w:semiHidden/>
    <w:rsid w:val="009A3634"/>
  </w:style>
  <w:style w:type="character" w:customStyle="1" w:styleId="TitredenoteCar">
    <w:name w:val="Titre de note Car"/>
    <w:basedOn w:val="Policepardfaut"/>
    <w:link w:val="Titredenote"/>
    <w:semiHidden/>
    <w:rsid w:val="009A3634"/>
    <w:rPr>
      <w:rFonts w:ascii="Times New Roman" w:eastAsiaTheme="minorHAnsi" w:hAnsi="Times New Roman" w:cs="Times New Roman"/>
      <w:sz w:val="20"/>
      <w:szCs w:val="20"/>
      <w:lang w:eastAsia="en-US"/>
    </w:rPr>
  </w:style>
  <w:style w:type="paragraph" w:styleId="Signature">
    <w:name w:val="Signature"/>
    <w:basedOn w:val="Normal"/>
    <w:link w:val="SignatureCar"/>
    <w:semiHidden/>
    <w:rsid w:val="009A3634"/>
    <w:pPr>
      <w:ind w:left="4252"/>
    </w:pPr>
  </w:style>
  <w:style w:type="character" w:customStyle="1" w:styleId="SignatureCar">
    <w:name w:val="Signature Car"/>
    <w:basedOn w:val="Policepardfaut"/>
    <w:link w:val="Signature"/>
    <w:semiHidden/>
    <w:rsid w:val="009A3634"/>
    <w:rPr>
      <w:rFonts w:ascii="Times New Roman" w:eastAsiaTheme="minorHAnsi" w:hAnsi="Times New Roman" w:cs="Times New Roman"/>
      <w:sz w:val="20"/>
      <w:szCs w:val="20"/>
      <w:lang w:eastAsia="en-US"/>
    </w:rPr>
  </w:style>
  <w:style w:type="paragraph" w:styleId="Signaturelectronique">
    <w:name w:val="E-mail Signature"/>
    <w:basedOn w:val="Normal"/>
    <w:link w:val="SignaturelectroniqueCar"/>
    <w:semiHidden/>
    <w:rsid w:val="009A3634"/>
  </w:style>
  <w:style w:type="character" w:customStyle="1" w:styleId="SignaturelectroniqueCar">
    <w:name w:val="Signature électronique Car"/>
    <w:basedOn w:val="Policepardfaut"/>
    <w:link w:val="Signaturelectronique"/>
    <w:semiHidden/>
    <w:rsid w:val="009A3634"/>
    <w:rPr>
      <w:rFonts w:ascii="Times New Roman" w:eastAsiaTheme="minorHAnsi" w:hAnsi="Times New Roman" w:cs="Times New Roman"/>
      <w:sz w:val="20"/>
      <w:szCs w:val="20"/>
      <w:lang w:eastAsia="en-US"/>
    </w:rPr>
  </w:style>
  <w:style w:type="paragraph" w:styleId="PrformatHTML">
    <w:name w:val="HTML Preformatted"/>
    <w:basedOn w:val="Normal"/>
    <w:link w:val="PrformatHTMLCar"/>
    <w:semiHidden/>
    <w:rsid w:val="009A3634"/>
    <w:rPr>
      <w:rFonts w:ascii="Courier New" w:hAnsi="Courier New" w:cs="Courier New"/>
    </w:rPr>
  </w:style>
  <w:style w:type="character" w:customStyle="1" w:styleId="PrformatHTMLCar">
    <w:name w:val="Préformaté HTML Car"/>
    <w:basedOn w:val="Policepardfaut"/>
    <w:link w:val="PrformatHTML"/>
    <w:semiHidden/>
    <w:rsid w:val="009A3634"/>
    <w:rPr>
      <w:rFonts w:ascii="Courier New" w:eastAsiaTheme="minorHAnsi" w:hAnsi="Courier New" w:cs="Courier New"/>
      <w:sz w:val="20"/>
      <w:szCs w:val="20"/>
      <w:lang w:eastAsia="en-US"/>
    </w:rPr>
  </w:style>
  <w:style w:type="character" w:styleId="Numrodeligne">
    <w:name w:val="line number"/>
    <w:basedOn w:val="Policepardfaut"/>
    <w:semiHidden/>
    <w:rsid w:val="009A3634"/>
  </w:style>
  <w:style w:type="paragraph" w:styleId="Salutations">
    <w:name w:val="Salutation"/>
    <w:basedOn w:val="Normal"/>
    <w:next w:val="Normal"/>
    <w:link w:val="SalutationsCar"/>
    <w:semiHidden/>
    <w:rsid w:val="009A3634"/>
  </w:style>
  <w:style w:type="character" w:customStyle="1" w:styleId="SalutationsCar">
    <w:name w:val="Salutations Car"/>
    <w:basedOn w:val="Policepardfaut"/>
    <w:link w:val="Salutations"/>
    <w:semiHidden/>
    <w:rsid w:val="009A3634"/>
    <w:rPr>
      <w:rFonts w:ascii="Times New Roman" w:eastAsiaTheme="minorHAnsi" w:hAnsi="Times New Roman" w:cs="Times New Roman"/>
      <w:sz w:val="20"/>
      <w:szCs w:val="20"/>
      <w:lang w:eastAsia="en-US"/>
    </w:rPr>
  </w:style>
  <w:style w:type="paragraph" w:styleId="Retraitcorpsdetexte2">
    <w:name w:val="Body Text Indent 2"/>
    <w:basedOn w:val="Normal"/>
    <w:link w:val="Retraitcorpsdetexte2Car"/>
    <w:semiHidden/>
    <w:rsid w:val="009A3634"/>
    <w:pPr>
      <w:spacing w:after="120" w:line="480" w:lineRule="auto"/>
      <w:ind w:left="283"/>
    </w:pPr>
  </w:style>
  <w:style w:type="character" w:customStyle="1" w:styleId="Retraitcorpsdetexte2Car">
    <w:name w:val="Retrait corps de texte 2 Car"/>
    <w:basedOn w:val="Policepardfaut"/>
    <w:link w:val="Retraitcorpsdetexte2"/>
    <w:semiHidden/>
    <w:rsid w:val="009A3634"/>
    <w:rPr>
      <w:rFonts w:ascii="Times New Roman" w:eastAsiaTheme="minorHAnsi" w:hAnsi="Times New Roman" w:cs="Times New Roman"/>
      <w:sz w:val="20"/>
      <w:szCs w:val="20"/>
      <w:lang w:eastAsia="en-US"/>
    </w:rPr>
  </w:style>
  <w:style w:type="paragraph" w:styleId="Retraitcorpsdetexte3">
    <w:name w:val="Body Text Indent 3"/>
    <w:basedOn w:val="Normal"/>
    <w:link w:val="Retraitcorpsdetexte3Car"/>
    <w:semiHidden/>
    <w:rsid w:val="009A3634"/>
    <w:pPr>
      <w:spacing w:after="120"/>
      <w:ind w:left="283"/>
    </w:pPr>
    <w:rPr>
      <w:sz w:val="16"/>
      <w:szCs w:val="16"/>
    </w:rPr>
  </w:style>
  <w:style w:type="character" w:customStyle="1" w:styleId="Retraitcorpsdetexte3Car">
    <w:name w:val="Retrait corps de texte 3 Car"/>
    <w:basedOn w:val="Policepardfaut"/>
    <w:link w:val="Retraitcorpsdetexte3"/>
    <w:semiHidden/>
    <w:rsid w:val="009A3634"/>
    <w:rPr>
      <w:rFonts w:ascii="Times New Roman" w:eastAsiaTheme="minorHAnsi" w:hAnsi="Times New Roman" w:cs="Times New Roman"/>
      <w:sz w:val="16"/>
      <w:szCs w:val="16"/>
      <w:lang w:eastAsia="en-US"/>
    </w:rPr>
  </w:style>
  <w:style w:type="paragraph" w:styleId="Retraitcorpsdetexte">
    <w:name w:val="Body Text Indent"/>
    <w:basedOn w:val="Normal"/>
    <w:link w:val="RetraitcorpsdetexteCar"/>
    <w:semiHidden/>
    <w:rsid w:val="009A3634"/>
    <w:pPr>
      <w:spacing w:after="120"/>
      <w:ind w:left="283"/>
    </w:pPr>
  </w:style>
  <w:style w:type="character" w:customStyle="1" w:styleId="RetraitcorpsdetexteCar">
    <w:name w:val="Retrait corps de texte Car"/>
    <w:basedOn w:val="Policepardfaut"/>
    <w:link w:val="Retraitcorpsdetexte"/>
    <w:semiHidden/>
    <w:rsid w:val="009A3634"/>
    <w:rPr>
      <w:rFonts w:ascii="Times New Roman" w:eastAsiaTheme="minorHAnsi" w:hAnsi="Times New Roman" w:cs="Times New Roman"/>
      <w:sz w:val="20"/>
      <w:szCs w:val="20"/>
      <w:lang w:eastAsia="en-US"/>
    </w:rPr>
  </w:style>
  <w:style w:type="paragraph" w:styleId="Retraitnormal">
    <w:name w:val="Normal Indent"/>
    <w:basedOn w:val="Normal"/>
    <w:semiHidden/>
    <w:rsid w:val="009A3634"/>
    <w:pPr>
      <w:ind w:left="567"/>
    </w:pPr>
  </w:style>
  <w:style w:type="paragraph" w:styleId="Sous-titre">
    <w:name w:val="Subtitle"/>
    <w:basedOn w:val="Normal"/>
    <w:link w:val="Sous-titreCar"/>
    <w:qFormat/>
    <w:rsid w:val="009A3634"/>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9A3634"/>
    <w:rPr>
      <w:rFonts w:ascii="Arial" w:eastAsiaTheme="minorHAnsi" w:hAnsi="Arial" w:cs="Arial"/>
      <w:sz w:val="24"/>
      <w:szCs w:val="24"/>
      <w:lang w:eastAsia="en-US"/>
    </w:rPr>
  </w:style>
  <w:style w:type="table" w:styleId="Tableausimple1">
    <w:name w:val="Table Simple 1"/>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A3634"/>
    <w:pPr>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A3634"/>
    <w:pPr>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A3634"/>
    <w:pPr>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A3634"/>
    <w:pPr>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A3634"/>
    <w:pPr>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A3634"/>
    <w:pPr>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A3634"/>
    <w:pPr>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A3634"/>
    <w:pPr>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A3634"/>
    <w:pPr>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A3634"/>
    <w:pPr>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9A3634"/>
    <w:pPr>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A3634"/>
    <w:pPr>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A3634"/>
    <w:pPr>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9A3634"/>
    <w:pPr>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A3634"/>
    <w:pPr>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A3634"/>
    <w:pPr>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A3634"/>
    <w:pPr>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A3634"/>
    <w:pPr>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9A3634"/>
    <w:pPr>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9A3634"/>
    <w:pPr>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A3634"/>
    <w:pPr>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A3634"/>
    <w:pPr>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9A3634"/>
    <w:pPr>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A3634"/>
    <w:pPr>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A3634"/>
    <w:pPr>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9A3634"/>
    <w:pPr>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A3634"/>
    <w:pPr>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A3634"/>
    <w:pPr>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sdetexte">
    <w:name w:val="Body Text"/>
    <w:basedOn w:val="Normal"/>
    <w:link w:val="CorpsdetexteCar"/>
    <w:uiPriority w:val="99"/>
    <w:semiHidden/>
    <w:unhideWhenUsed/>
    <w:rsid w:val="009A3634"/>
    <w:pPr>
      <w:spacing w:after="120"/>
    </w:pPr>
  </w:style>
  <w:style w:type="character" w:customStyle="1" w:styleId="CorpsdetexteCar">
    <w:name w:val="Corps de texte Car"/>
    <w:basedOn w:val="Policepardfaut"/>
    <w:link w:val="Corpsdetexte"/>
    <w:uiPriority w:val="99"/>
    <w:semiHidden/>
    <w:rsid w:val="009A3634"/>
    <w:rPr>
      <w:rFonts w:ascii="Times New Roman" w:eastAsiaTheme="minorHAnsi" w:hAnsi="Times New Roman" w:cs="Times New Roman"/>
      <w:sz w:val="20"/>
      <w:szCs w:val="20"/>
      <w:lang w:eastAsia="en-US"/>
    </w:rPr>
  </w:style>
  <w:style w:type="paragraph" w:styleId="Retrait1religne">
    <w:name w:val="Body Text First Indent"/>
    <w:basedOn w:val="Normal"/>
    <w:link w:val="Retrait1religneCar"/>
    <w:semiHidden/>
    <w:rsid w:val="009A3634"/>
    <w:pPr>
      <w:spacing w:after="120"/>
      <w:ind w:firstLine="210"/>
    </w:pPr>
  </w:style>
  <w:style w:type="character" w:customStyle="1" w:styleId="Retrait1religneCar">
    <w:name w:val="Retrait 1re ligne Car"/>
    <w:basedOn w:val="CorpsdetexteCar"/>
    <w:link w:val="Retrait1religne"/>
    <w:semiHidden/>
    <w:rsid w:val="009A3634"/>
    <w:rPr>
      <w:rFonts w:ascii="Times New Roman" w:eastAsiaTheme="minorHAnsi" w:hAnsi="Times New Roman" w:cs="Times New Roman"/>
      <w:sz w:val="20"/>
      <w:szCs w:val="20"/>
      <w:lang w:eastAsia="en-US"/>
    </w:rPr>
  </w:style>
  <w:style w:type="paragraph" w:styleId="Retraitcorpset1relig">
    <w:name w:val="Body Text First Indent 2"/>
    <w:basedOn w:val="Retraitcorpsdetexte"/>
    <w:link w:val="Retraitcorpset1religCar"/>
    <w:semiHidden/>
    <w:rsid w:val="009A3634"/>
    <w:pPr>
      <w:ind w:firstLine="210"/>
    </w:pPr>
  </w:style>
  <w:style w:type="character" w:customStyle="1" w:styleId="Retraitcorpset1religCar">
    <w:name w:val="Retrait corps et 1re lig. Car"/>
    <w:basedOn w:val="RetraitcorpsdetexteCar"/>
    <w:link w:val="Retraitcorpset1relig"/>
    <w:semiHidden/>
    <w:rsid w:val="009A3634"/>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9A3634"/>
    <w:rPr>
      <w:rFonts w:ascii="Courier New" w:hAnsi="Courier New" w:cs="Courier New"/>
    </w:rPr>
  </w:style>
  <w:style w:type="character" w:customStyle="1" w:styleId="TextebrutCar">
    <w:name w:val="Texte brut Car"/>
    <w:basedOn w:val="Policepardfaut"/>
    <w:link w:val="Textebrut"/>
    <w:semiHidden/>
    <w:rsid w:val="009A3634"/>
    <w:rPr>
      <w:rFonts w:ascii="Courier New" w:eastAsiaTheme="minorHAnsi" w:hAnsi="Courier New" w:cs="Courier New"/>
      <w:sz w:val="20"/>
      <w:szCs w:val="20"/>
      <w:lang w:eastAsia="en-US"/>
    </w:rPr>
  </w:style>
  <w:style w:type="paragraph" w:styleId="Titre">
    <w:name w:val="Title"/>
    <w:basedOn w:val="Normal"/>
    <w:link w:val="TitreCar"/>
    <w:qFormat/>
    <w:rsid w:val="009A3634"/>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9A3634"/>
    <w:rPr>
      <w:rFonts w:ascii="Arial" w:eastAsiaTheme="minorHAnsi" w:hAnsi="Arial" w:cs="Arial"/>
      <w:b/>
      <w:bCs/>
      <w:kern w:val="28"/>
      <w:sz w:val="32"/>
      <w:szCs w:val="32"/>
      <w:lang w:eastAsia="en-US"/>
    </w:rPr>
  </w:style>
  <w:style w:type="character" w:styleId="VariableHTML">
    <w:name w:val="HTML Variable"/>
    <w:basedOn w:val="Policepardfaut"/>
    <w:semiHidden/>
    <w:rsid w:val="009A3634"/>
    <w:rPr>
      <w:i/>
      <w:iCs/>
    </w:rPr>
  </w:style>
  <w:style w:type="paragraph" w:styleId="Commentaire">
    <w:name w:val="annotation text"/>
    <w:basedOn w:val="Normal"/>
    <w:link w:val="CommentaireCar"/>
    <w:uiPriority w:val="99"/>
    <w:semiHidden/>
    <w:unhideWhenUsed/>
    <w:rsid w:val="009A3634"/>
    <w:pPr>
      <w:spacing w:line="240" w:lineRule="auto"/>
    </w:pPr>
  </w:style>
  <w:style w:type="character" w:customStyle="1" w:styleId="CommentaireCar">
    <w:name w:val="Commentaire Car"/>
    <w:basedOn w:val="Policepardfaut"/>
    <w:link w:val="Commentaire"/>
    <w:uiPriority w:val="99"/>
    <w:semiHidden/>
    <w:rsid w:val="009A3634"/>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semiHidden/>
    <w:unhideWhenUsed/>
    <w:rsid w:val="009A3634"/>
    <w:pPr>
      <w:spacing w:line="240" w:lineRule="auto"/>
    </w:pPr>
    <w:rPr>
      <w:b/>
      <w:bCs/>
    </w:rPr>
  </w:style>
  <w:style w:type="character" w:customStyle="1" w:styleId="ObjetducommentaireCar">
    <w:name w:val="Objet du commentaire Car"/>
    <w:basedOn w:val="CommentaireCar"/>
    <w:link w:val="Objetducommentaire"/>
    <w:semiHidden/>
    <w:rsid w:val="009A3634"/>
    <w:rPr>
      <w:rFonts w:ascii="Times New Roman" w:eastAsiaTheme="minorHAnsi" w:hAnsi="Times New Roman" w:cs="Times New Roman"/>
      <w:b/>
      <w:bCs/>
      <w:sz w:val="20"/>
      <w:szCs w:val="20"/>
      <w:lang w:eastAsia="en-US"/>
    </w:rPr>
  </w:style>
  <w:style w:type="paragraph" w:styleId="Rvision">
    <w:name w:val="Revision"/>
    <w:hidden/>
    <w:uiPriority w:val="99"/>
    <w:semiHidden/>
    <w:rsid w:val="009A3634"/>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6</Pages>
  <Words>3649</Words>
  <Characters>18100</Characters>
  <Application>Microsoft Office Word</Application>
  <DocSecurity>0</DocSecurity>
  <Lines>301</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CRC/C/85/D/34/2017</vt:lpstr>
      <vt:lpstr>CRC/C/85/D/34/2017</vt:lpstr>
    </vt:vector>
  </TitlesOfParts>
  <Company>DCM</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CRC/C/85/D/34/2017</dc:title>
  <dc:subject/>
  <dc:creator>Nathalie VITTOZ</dc:creator>
  <cp:keywords/>
  <cp:lastModifiedBy>Marie DESCHAMPS</cp:lastModifiedBy>
  <cp:revision>2</cp:revision>
  <cp:lastPrinted>2014-05-14T10:59:00Z</cp:lastPrinted>
  <dcterms:created xsi:type="dcterms:W3CDTF">2020-10-21T10:16:00Z</dcterms:created>
  <dcterms:modified xsi:type="dcterms:W3CDTF">2020-10-21T10:16:00Z</dcterms:modified>
</cp:coreProperties>
</file>