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354E9" w:rsidRPr="00DB58B5" w:rsidTr="008F3CA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354E9" w:rsidRPr="00DB58B5" w:rsidRDefault="000354E9" w:rsidP="00683A4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354E9" w:rsidRPr="00DB58B5" w:rsidRDefault="000354E9" w:rsidP="008F3CA0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354E9" w:rsidRPr="00DB58B5" w:rsidRDefault="00683A42" w:rsidP="00683A42">
            <w:pPr>
              <w:jc w:val="right"/>
            </w:pPr>
            <w:r w:rsidRPr="00683A42">
              <w:rPr>
                <w:sz w:val="40"/>
              </w:rPr>
              <w:t>CRC</w:t>
            </w:r>
            <w:r>
              <w:t>/C/85/D/92/2019</w:t>
            </w:r>
          </w:p>
        </w:tc>
      </w:tr>
      <w:tr w:rsidR="000354E9" w:rsidRPr="00DB58B5" w:rsidTr="008F3CA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354E9" w:rsidRPr="00DB58B5" w:rsidRDefault="000354E9" w:rsidP="008F3CA0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6F9FC98" wp14:editId="1F5C4F3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354E9" w:rsidRPr="00740562" w:rsidRDefault="000354E9" w:rsidP="008F3CA0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262665">
              <w:rPr>
                <w:b/>
                <w:sz w:val="40"/>
                <w:szCs w:val="40"/>
              </w:rPr>
              <w:t>Convention relative</w:t>
            </w:r>
            <w:r w:rsidRPr="00262665">
              <w:rPr>
                <w:b/>
                <w:sz w:val="40"/>
                <w:szCs w:val="40"/>
              </w:rPr>
              <w:br/>
              <w:t>aux droits de l’enfant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354E9" w:rsidRDefault="00683A42" w:rsidP="008F3CA0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683A42" w:rsidRDefault="00683A42" w:rsidP="00683A42">
            <w:pPr>
              <w:spacing w:line="240" w:lineRule="exact"/>
            </w:pPr>
            <w:r>
              <w:t>2 novembre 2020</w:t>
            </w:r>
          </w:p>
          <w:p w:rsidR="00683A42" w:rsidRDefault="00683A42" w:rsidP="00683A42">
            <w:pPr>
              <w:spacing w:line="240" w:lineRule="exact"/>
            </w:pPr>
            <w:r>
              <w:t>Français</w:t>
            </w:r>
          </w:p>
          <w:p w:rsidR="00683A42" w:rsidRPr="00DB58B5" w:rsidRDefault="00683A42" w:rsidP="00683A42">
            <w:pPr>
              <w:spacing w:line="240" w:lineRule="exact"/>
            </w:pPr>
            <w:r>
              <w:t>Original : espagnol</w:t>
            </w:r>
          </w:p>
        </w:tc>
      </w:tr>
    </w:tbl>
    <w:p w:rsidR="002D14A3" w:rsidRDefault="002D14A3" w:rsidP="002D14A3">
      <w:pPr>
        <w:spacing w:before="120"/>
        <w:rPr>
          <w:b/>
          <w:sz w:val="24"/>
          <w:szCs w:val="24"/>
        </w:rPr>
      </w:pPr>
      <w:r w:rsidRPr="00DA3BE9">
        <w:rPr>
          <w:b/>
          <w:sz w:val="24"/>
          <w:szCs w:val="24"/>
        </w:rPr>
        <w:t>Comité des droits de l’enfant</w:t>
      </w:r>
    </w:p>
    <w:p w:rsidR="001239BB" w:rsidRPr="00097056" w:rsidRDefault="001239BB" w:rsidP="00B44ED6">
      <w:pPr>
        <w:pStyle w:val="HChG"/>
        <w:spacing w:before="320"/>
        <w:rPr>
          <w:lang w:val="fr-FR"/>
        </w:rPr>
      </w:pPr>
      <w:r w:rsidRPr="00097056">
        <w:rPr>
          <w:lang w:val="fr-FR"/>
        </w:rPr>
        <w:tab/>
      </w:r>
      <w:r w:rsidRPr="00097056">
        <w:rPr>
          <w:lang w:val="fr-FR"/>
        </w:rPr>
        <w:tab/>
      </w:r>
      <w:r w:rsidRPr="006843A0">
        <w:rPr>
          <w:spacing w:val="-2"/>
          <w:lang w:val="fr-FR"/>
        </w:rPr>
        <w:t xml:space="preserve">Décision adoptée par le Comité au titre du Protocole facultatif à la Convention relative aux droits de l’enfant établissant </w:t>
      </w:r>
      <w:r w:rsidR="006843A0">
        <w:rPr>
          <w:spacing w:val="-2"/>
          <w:lang w:val="fr-FR"/>
        </w:rPr>
        <w:br/>
      </w:r>
      <w:r w:rsidRPr="006843A0">
        <w:rPr>
          <w:spacing w:val="-2"/>
          <w:lang w:val="fr-FR"/>
        </w:rPr>
        <w:t>une procédure de présentation de communications, concernant la communication n</w:t>
      </w:r>
      <w:r w:rsidRPr="006843A0">
        <w:rPr>
          <w:spacing w:val="-2"/>
          <w:vertAlign w:val="superscript"/>
          <w:lang w:val="fr-FR"/>
        </w:rPr>
        <w:t>o</w:t>
      </w:r>
      <w:r w:rsidRPr="006843A0">
        <w:rPr>
          <w:spacing w:val="-2"/>
          <w:lang w:val="fr-FR"/>
        </w:rPr>
        <w:t> 92/2019</w:t>
      </w:r>
      <w:r w:rsidRPr="006843A0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BE1EAD">
        <w:rPr>
          <w:sz w:val="20"/>
          <w:vertAlign w:val="superscript"/>
        </w:rPr>
        <w:t>,</w:t>
      </w:r>
      <w:r w:rsidRPr="006843A0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Style w:val="Grilledutableau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69"/>
      </w:tblGrid>
      <w:tr w:rsidR="001239BB" w:rsidTr="00134A1B">
        <w:tc>
          <w:tcPr>
            <w:tcW w:w="2835" w:type="dxa"/>
          </w:tcPr>
          <w:p w:rsidR="001239BB" w:rsidRDefault="001239BB" w:rsidP="00B44ED6">
            <w:pPr>
              <w:pStyle w:val="SingleTxtG"/>
              <w:spacing w:after="100"/>
              <w:ind w:left="0" w:right="0"/>
              <w:jc w:val="left"/>
              <w:rPr>
                <w:i/>
              </w:rPr>
            </w:pPr>
            <w:r>
              <w:rPr>
                <w:i/>
                <w:lang w:val="fr-FR"/>
              </w:rPr>
              <w:t>Communication p</w:t>
            </w:r>
            <w:r w:rsidRPr="00FF75A1">
              <w:rPr>
                <w:i/>
                <w:lang w:val="fr-FR"/>
              </w:rPr>
              <w:t>résentée par</w:t>
            </w:r>
            <w:r>
              <w:t> :</w:t>
            </w:r>
          </w:p>
        </w:tc>
        <w:tc>
          <w:tcPr>
            <w:tcW w:w="3969" w:type="dxa"/>
          </w:tcPr>
          <w:p w:rsidR="001239BB" w:rsidRDefault="001239BB" w:rsidP="00B44ED6">
            <w:pPr>
              <w:pStyle w:val="SingleTxtG"/>
              <w:spacing w:after="100"/>
              <w:ind w:left="57" w:right="0"/>
              <w:jc w:val="left"/>
            </w:pPr>
            <w:r w:rsidRPr="00FF75A1">
              <w:rPr>
                <w:lang w:val="fr-FR"/>
              </w:rPr>
              <w:t>K</w:t>
            </w:r>
            <w:r>
              <w:rPr>
                <w:lang w:val="fr-FR"/>
              </w:rPr>
              <w:t>.</w:t>
            </w:r>
            <w:r w:rsidRPr="00FF75A1">
              <w:rPr>
                <w:lang w:val="fr-FR"/>
              </w:rPr>
              <w:t xml:space="preserve"> S</w:t>
            </w:r>
            <w:r>
              <w:rPr>
                <w:lang w:val="fr-FR"/>
              </w:rPr>
              <w:t>.</w:t>
            </w:r>
            <w:r w:rsidRPr="00FF75A1">
              <w:rPr>
                <w:lang w:val="fr-FR"/>
              </w:rPr>
              <w:t xml:space="preserve"> G</w:t>
            </w:r>
            <w:r>
              <w:rPr>
                <w:lang w:val="fr-FR"/>
              </w:rPr>
              <w:t>.</w:t>
            </w:r>
          </w:p>
        </w:tc>
      </w:tr>
      <w:tr w:rsidR="001239BB" w:rsidTr="00134A1B">
        <w:tc>
          <w:tcPr>
            <w:tcW w:w="2835" w:type="dxa"/>
          </w:tcPr>
          <w:p w:rsidR="001239BB" w:rsidRDefault="001239BB" w:rsidP="00B44ED6">
            <w:pPr>
              <w:pStyle w:val="SingleTxtG"/>
              <w:spacing w:after="100"/>
              <w:ind w:left="0" w:right="0"/>
              <w:jc w:val="left"/>
              <w:rPr>
                <w:i/>
              </w:rPr>
            </w:pPr>
            <w:r>
              <w:rPr>
                <w:i/>
              </w:rPr>
              <w:t>Victime(s) présumée(s)</w:t>
            </w:r>
            <w:r>
              <w:t> :</w:t>
            </w:r>
          </w:p>
        </w:tc>
        <w:tc>
          <w:tcPr>
            <w:tcW w:w="3969" w:type="dxa"/>
          </w:tcPr>
          <w:p w:rsidR="001239BB" w:rsidRDefault="001239BB" w:rsidP="00B44ED6">
            <w:pPr>
              <w:pStyle w:val="SingleTxtG"/>
              <w:spacing w:after="100"/>
              <w:ind w:left="57" w:right="0"/>
              <w:jc w:val="left"/>
            </w:pPr>
            <w:r w:rsidRPr="00FF75A1">
              <w:rPr>
                <w:lang w:val="fr-FR"/>
              </w:rPr>
              <w:t>A.</w:t>
            </w:r>
            <w:r>
              <w:rPr>
                <w:lang w:val="fr-FR"/>
              </w:rPr>
              <w:t xml:space="preserve"> </w:t>
            </w:r>
            <w:r w:rsidRPr="00FF75A1">
              <w:rPr>
                <w:lang w:val="fr-FR"/>
              </w:rPr>
              <w:t>R.</w:t>
            </w:r>
            <w:r>
              <w:rPr>
                <w:lang w:val="fr-FR"/>
              </w:rPr>
              <w:t xml:space="preserve"> </w:t>
            </w:r>
            <w:r w:rsidRPr="00FF75A1">
              <w:rPr>
                <w:lang w:val="fr-FR"/>
              </w:rPr>
              <w:t>G.</w:t>
            </w:r>
          </w:p>
        </w:tc>
      </w:tr>
      <w:tr w:rsidR="001239BB" w:rsidTr="00134A1B">
        <w:tc>
          <w:tcPr>
            <w:tcW w:w="2835" w:type="dxa"/>
          </w:tcPr>
          <w:p w:rsidR="001239BB" w:rsidRDefault="001239BB" w:rsidP="00B44ED6">
            <w:pPr>
              <w:pStyle w:val="SingleTxtG"/>
              <w:spacing w:after="100"/>
              <w:ind w:left="0" w:right="0"/>
              <w:jc w:val="left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3969" w:type="dxa"/>
          </w:tcPr>
          <w:p w:rsidR="001239BB" w:rsidRDefault="001239BB" w:rsidP="00B44ED6">
            <w:pPr>
              <w:pStyle w:val="SingleTxtG"/>
              <w:spacing w:after="100"/>
              <w:ind w:left="57" w:right="0"/>
              <w:jc w:val="left"/>
            </w:pPr>
            <w:r w:rsidRPr="00FF75A1">
              <w:rPr>
                <w:lang w:val="fr-FR"/>
              </w:rPr>
              <w:t>Espagne</w:t>
            </w:r>
          </w:p>
        </w:tc>
      </w:tr>
      <w:tr w:rsidR="001239BB" w:rsidTr="00134A1B">
        <w:tc>
          <w:tcPr>
            <w:tcW w:w="2835" w:type="dxa"/>
          </w:tcPr>
          <w:p w:rsidR="001239BB" w:rsidRDefault="001239BB" w:rsidP="00B44ED6">
            <w:pPr>
              <w:pStyle w:val="SingleTxtG"/>
              <w:spacing w:after="100"/>
              <w:ind w:left="0" w:right="0"/>
              <w:jc w:val="left"/>
              <w:rPr>
                <w:i/>
              </w:rPr>
            </w:pPr>
            <w:r w:rsidRPr="00FF75A1">
              <w:rPr>
                <w:i/>
                <w:iCs/>
                <w:lang w:val="fr-FR"/>
              </w:rPr>
              <w:t>Date de la communication</w:t>
            </w:r>
            <w:r>
              <w:t> :</w:t>
            </w:r>
          </w:p>
        </w:tc>
        <w:tc>
          <w:tcPr>
            <w:tcW w:w="3969" w:type="dxa"/>
          </w:tcPr>
          <w:p w:rsidR="001239BB" w:rsidRDefault="001239BB" w:rsidP="00B44ED6">
            <w:pPr>
              <w:pStyle w:val="SingleTxtG"/>
              <w:spacing w:after="100"/>
              <w:ind w:left="57" w:right="0"/>
              <w:jc w:val="left"/>
            </w:pPr>
            <w:r w:rsidRPr="00FF75A1">
              <w:rPr>
                <w:lang w:val="fr-FR"/>
              </w:rPr>
              <w:t>21 juin 2019</w:t>
            </w:r>
          </w:p>
        </w:tc>
      </w:tr>
      <w:tr w:rsidR="001239BB" w:rsidTr="00134A1B">
        <w:tc>
          <w:tcPr>
            <w:tcW w:w="2835" w:type="dxa"/>
          </w:tcPr>
          <w:p w:rsidR="001239BB" w:rsidRDefault="001239BB" w:rsidP="00B44ED6">
            <w:pPr>
              <w:pStyle w:val="SingleTxtG"/>
              <w:spacing w:after="100"/>
              <w:ind w:left="0" w:right="0"/>
              <w:jc w:val="left"/>
              <w:rPr>
                <w:i/>
              </w:rPr>
            </w:pPr>
            <w:r>
              <w:rPr>
                <w:i/>
              </w:rPr>
              <w:t>Date de la présente décision</w:t>
            </w:r>
            <w:r>
              <w:t> :</w:t>
            </w:r>
          </w:p>
        </w:tc>
        <w:tc>
          <w:tcPr>
            <w:tcW w:w="3969" w:type="dxa"/>
            <w:vAlign w:val="bottom"/>
          </w:tcPr>
          <w:p w:rsidR="001239BB" w:rsidRDefault="001239BB" w:rsidP="00B44ED6">
            <w:pPr>
              <w:pStyle w:val="SingleTxtG"/>
              <w:spacing w:after="100"/>
              <w:ind w:left="57" w:right="0"/>
              <w:jc w:val="left"/>
            </w:pPr>
            <w:r>
              <w:rPr>
                <w:lang w:val="fr-FR"/>
              </w:rPr>
              <w:t>28</w:t>
            </w:r>
            <w:r w:rsidRPr="00FF75A1">
              <w:rPr>
                <w:lang w:val="fr-FR"/>
              </w:rPr>
              <w:t xml:space="preserve"> septembre 2020</w:t>
            </w:r>
          </w:p>
        </w:tc>
      </w:tr>
      <w:tr w:rsidR="001239BB" w:rsidTr="00134A1B">
        <w:tc>
          <w:tcPr>
            <w:tcW w:w="2835" w:type="dxa"/>
          </w:tcPr>
          <w:p w:rsidR="001239BB" w:rsidRDefault="001239BB" w:rsidP="00B44ED6">
            <w:pPr>
              <w:pStyle w:val="SingleTxtG"/>
              <w:spacing w:after="100"/>
              <w:ind w:left="0" w:right="0"/>
              <w:jc w:val="left"/>
              <w:rPr>
                <w:i/>
              </w:rPr>
            </w:pPr>
            <w:r w:rsidRPr="00FF75A1">
              <w:rPr>
                <w:i/>
                <w:lang w:val="fr-FR"/>
              </w:rPr>
              <w:t>Objet </w:t>
            </w:r>
            <w:r w:rsidRPr="00FF75A1">
              <w:rPr>
                <w:lang w:val="fr-FR"/>
              </w:rPr>
              <w:t>:</w:t>
            </w:r>
          </w:p>
        </w:tc>
        <w:tc>
          <w:tcPr>
            <w:tcW w:w="3969" w:type="dxa"/>
            <w:vAlign w:val="bottom"/>
          </w:tcPr>
          <w:p w:rsidR="001239BB" w:rsidRPr="00FF75A1" w:rsidRDefault="001239BB" w:rsidP="00B44ED6">
            <w:pPr>
              <w:pStyle w:val="SingleTxtG"/>
              <w:spacing w:after="100"/>
              <w:ind w:left="57" w:right="0"/>
              <w:jc w:val="left"/>
              <w:rPr>
                <w:lang w:val="fr-FR"/>
              </w:rPr>
            </w:pPr>
            <w:r w:rsidRPr="00FF75A1">
              <w:rPr>
                <w:lang w:val="fr-FR"/>
              </w:rPr>
              <w:t>Intérêt supérieur de l</w:t>
            </w:r>
            <w:r>
              <w:rPr>
                <w:lang w:val="fr-FR"/>
              </w:rPr>
              <w:t>’</w:t>
            </w:r>
            <w:r w:rsidRPr="00FF75A1">
              <w:rPr>
                <w:lang w:val="fr-FR"/>
              </w:rPr>
              <w:t>enfant, violences sexuelles, séparation d</w:t>
            </w:r>
            <w:r>
              <w:rPr>
                <w:lang w:val="fr-FR"/>
              </w:rPr>
              <w:t>’</w:t>
            </w:r>
            <w:r w:rsidRPr="00FF75A1">
              <w:rPr>
                <w:lang w:val="fr-FR"/>
              </w:rPr>
              <w:t>avec les parents</w:t>
            </w:r>
          </w:p>
        </w:tc>
      </w:tr>
      <w:tr w:rsidR="001239BB" w:rsidTr="00134A1B">
        <w:tc>
          <w:tcPr>
            <w:tcW w:w="2835" w:type="dxa"/>
          </w:tcPr>
          <w:p w:rsidR="001239BB" w:rsidRPr="00FF75A1" w:rsidRDefault="001239BB" w:rsidP="00B44ED6">
            <w:pPr>
              <w:pStyle w:val="SingleTxtG"/>
              <w:spacing w:after="100"/>
              <w:ind w:left="0" w:right="0"/>
              <w:jc w:val="left"/>
              <w:rPr>
                <w:i/>
                <w:lang w:val="fr-FR"/>
              </w:rPr>
            </w:pPr>
            <w:r w:rsidRPr="00FF75A1">
              <w:rPr>
                <w:i/>
                <w:lang w:val="fr-FR"/>
              </w:rPr>
              <w:t>Question(s) de procédure</w:t>
            </w:r>
            <w:r>
              <w:rPr>
                <w:i/>
                <w:lang w:val="fr-FR"/>
              </w:rPr>
              <w:t> </w:t>
            </w:r>
            <w:r w:rsidRPr="00FF75A1">
              <w:rPr>
                <w:lang w:val="fr-FR"/>
              </w:rPr>
              <w:t>:</w:t>
            </w:r>
          </w:p>
        </w:tc>
        <w:tc>
          <w:tcPr>
            <w:tcW w:w="3969" w:type="dxa"/>
            <w:vAlign w:val="bottom"/>
          </w:tcPr>
          <w:p w:rsidR="001239BB" w:rsidRPr="00FF75A1" w:rsidRDefault="001239BB" w:rsidP="00B44ED6">
            <w:pPr>
              <w:pStyle w:val="SingleTxtG"/>
              <w:spacing w:after="100"/>
              <w:ind w:left="57" w:right="0"/>
              <w:jc w:val="left"/>
              <w:rPr>
                <w:lang w:val="fr-FR"/>
              </w:rPr>
            </w:pPr>
            <w:r w:rsidRPr="00FF75A1">
              <w:rPr>
                <w:lang w:val="fr-FR"/>
              </w:rPr>
              <w:t>Griefs insuffisamment étayés</w:t>
            </w:r>
          </w:p>
        </w:tc>
      </w:tr>
      <w:tr w:rsidR="001239BB" w:rsidTr="00134A1B">
        <w:tc>
          <w:tcPr>
            <w:tcW w:w="2835" w:type="dxa"/>
          </w:tcPr>
          <w:p w:rsidR="001239BB" w:rsidRPr="00FF75A1" w:rsidRDefault="001239BB" w:rsidP="00B44ED6">
            <w:pPr>
              <w:pStyle w:val="SingleTxtG"/>
              <w:spacing w:after="100"/>
              <w:ind w:left="0" w:right="0"/>
              <w:jc w:val="left"/>
              <w:rPr>
                <w:i/>
                <w:lang w:val="fr-FR"/>
              </w:rPr>
            </w:pPr>
            <w:r w:rsidRPr="00FF75A1">
              <w:rPr>
                <w:i/>
                <w:lang w:val="fr-FR"/>
              </w:rPr>
              <w:t>Article(s) de la Convention</w:t>
            </w:r>
            <w:r>
              <w:rPr>
                <w:i/>
                <w:lang w:val="fr-FR"/>
              </w:rPr>
              <w:t> </w:t>
            </w:r>
            <w:r w:rsidRPr="00FF75A1">
              <w:rPr>
                <w:lang w:val="fr-FR"/>
              </w:rPr>
              <w:t>:</w:t>
            </w:r>
          </w:p>
        </w:tc>
        <w:tc>
          <w:tcPr>
            <w:tcW w:w="3969" w:type="dxa"/>
            <w:vAlign w:val="bottom"/>
          </w:tcPr>
          <w:p w:rsidR="001239BB" w:rsidRPr="00FF75A1" w:rsidRDefault="001239BB" w:rsidP="00B44ED6">
            <w:pPr>
              <w:pStyle w:val="SingleTxtG"/>
              <w:spacing w:after="100"/>
              <w:ind w:left="57" w:right="0"/>
              <w:jc w:val="left"/>
              <w:rPr>
                <w:lang w:val="fr-FR"/>
              </w:rPr>
            </w:pPr>
            <w:r w:rsidRPr="00FF75A1">
              <w:rPr>
                <w:lang w:val="fr-FR"/>
              </w:rPr>
              <w:t>3, 6, 9, 12, 19 et 34</w:t>
            </w:r>
          </w:p>
        </w:tc>
      </w:tr>
      <w:tr w:rsidR="001239BB" w:rsidTr="00134A1B">
        <w:tc>
          <w:tcPr>
            <w:tcW w:w="2835" w:type="dxa"/>
          </w:tcPr>
          <w:p w:rsidR="001239BB" w:rsidRPr="00FF75A1" w:rsidRDefault="001239BB" w:rsidP="00B44ED6">
            <w:pPr>
              <w:pStyle w:val="SingleTxtG"/>
              <w:spacing w:after="100"/>
              <w:ind w:left="0" w:right="0"/>
              <w:jc w:val="left"/>
              <w:rPr>
                <w:i/>
                <w:lang w:val="fr-FR"/>
              </w:rPr>
            </w:pPr>
            <w:r w:rsidRPr="00FF75A1">
              <w:rPr>
                <w:i/>
                <w:iCs/>
                <w:lang w:val="fr-FR"/>
              </w:rPr>
              <w:t>Article(s) du Protocole facultatif</w:t>
            </w:r>
            <w:r>
              <w:rPr>
                <w:i/>
                <w:iCs/>
                <w:lang w:val="fr-FR"/>
              </w:rPr>
              <w:t> </w:t>
            </w:r>
            <w:r w:rsidRPr="00FF75A1">
              <w:rPr>
                <w:lang w:val="fr-FR"/>
              </w:rPr>
              <w:t>:</w:t>
            </w:r>
          </w:p>
        </w:tc>
        <w:tc>
          <w:tcPr>
            <w:tcW w:w="3969" w:type="dxa"/>
            <w:vAlign w:val="bottom"/>
          </w:tcPr>
          <w:p w:rsidR="001239BB" w:rsidRPr="00FF75A1" w:rsidRDefault="001239BB" w:rsidP="00B44ED6">
            <w:pPr>
              <w:pStyle w:val="SingleTxtG"/>
              <w:spacing w:after="100"/>
              <w:ind w:left="57" w:right="0"/>
              <w:jc w:val="left"/>
              <w:rPr>
                <w:lang w:val="fr-FR"/>
              </w:rPr>
            </w:pPr>
            <w:r w:rsidRPr="00FF75A1">
              <w:rPr>
                <w:iCs/>
                <w:lang w:val="fr-FR"/>
              </w:rPr>
              <w:t xml:space="preserve">7 </w:t>
            </w:r>
            <w:r>
              <w:rPr>
                <w:iCs/>
                <w:lang w:val="fr-FR"/>
              </w:rPr>
              <w:t xml:space="preserve">(al. </w:t>
            </w:r>
            <w:r w:rsidRPr="00FF75A1">
              <w:rPr>
                <w:iCs/>
                <w:lang w:val="fr-FR"/>
              </w:rPr>
              <w:t>f)</w:t>
            </w:r>
            <w:r>
              <w:rPr>
                <w:iCs/>
                <w:lang w:val="fr-FR"/>
              </w:rPr>
              <w:t>)</w:t>
            </w:r>
          </w:p>
        </w:tc>
      </w:tr>
    </w:tbl>
    <w:p w:rsidR="001239BB" w:rsidRPr="00FF75A1" w:rsidRDefault="001239BB" w:rsidP="00134A1B">
      <w:pPr>
        <w:pStyle w:val="SingleTxtG"/>
        <w:spacing w:before="120"/>
        <w:rPr>
          <w:lang w:val="fr-FR"/>
        </w:rPr>
      </w:pPr>
      <w:r w:rsidRPr="00FF75A1">
        <w:rPr>
          <w:lang w:val="fr-FR"/>
        </w:rPr>
        <w:t>1.1</w:t>
      </w:r>
      <w:r w:rsidRPr="00FF75A1">
        <w:rPr>
          <w:lang w:val="fr-FR"/>
        </w:rPr>
        <w:tab/>
        <w:t>L</w:t>
      </w:r>
      <w:r>
        <w:rPr>
          <w:lang w:val="fr-FR"/>
        </w:rPr>
        <w:t>’</w:t>
      </w:r>
      <w:r w:rsidRPr="00FF75A1">
        <w:rPr>
          <w:lang w:val="fr-FR"/>
        </w:rPr>
        <w:t>auteure de la communication est K</w:t>
      </w:r>
      <w:r>
        <w:rPr>
          <w:lang w:val="fr-FR"/>
        </w:rPr>
        <w:t>.</w:t>
      </w:r>
      <w:r w:rsidR="0043732E">
        <w:rPr>
          <w:lang w:val="fr-FR"/>
        </w:rPr>
        <w:t> </w:t>
      </w:r>
      <w:r w:rsidRPr="00FF75A1">
        <w:rPr>
          <w:lang w:val="fr-FR"/>
        </w:rPr>
        <w:t>S</w:t>
      </w:r>
      <w:r>
        <w:rPr>
          <w:lang w:val="fr-FR"/>
        </w:rPr>
        <w:t>.</w:t>
      </w:r>
      <w:r w:rsidR="0043732E">
        <w:rPr>
          <w:lang w:val="fr-FR"/>
        </w:rPr>
        <w:t> </w:t>
      </w:r>
      <w:r w:rsidRPr="00FF75A1">
        <w:rPr>
          <w:lang w:val="fr-FR"/>
        </w:rPr>
        <w:t>G</w:t>
      </w:r>
      <w:r>
        <w:rPr>
          <w:lang w:val="fr-FR"/>
        </w:rPr>
        <w:t>.</w:t>
      </w:r>
      <w:r w:rsidRPr="00FF75A1">
        <w:rPr>
          <w:lang w:val="fr-FR"/>
        </w:rPr>
        <w:t>, de nationalité britannique, née en 1989. Elle soumet la communication au nom de son fils, A.</w:t>
      </w:r>
      <w:r>
        <w:rPr>
          <w:lang w:val="fr-FR"/>
        </w:rPr>
        <w:t> </w:t>
      </w:r>
      <w:r w:rsidRPr="00FF75A1">
        <w:rPr>
          <w:lang w:val="fr-FR"/>
        </w:rPr>
        <w:t>R.</w:t>
      </w:r>
      <w:r>
        <w:rPr>
          <w:lang w:val="fr-FR"/>
        </w:rPr>
        <w:t> </w:t>
      </w:r>
      <w:r w:rsidRPr="00FF75A1">
        <w:rPr>
          <w:lang w:val="fr-FR"/>
        </w:rPr>
        <w:t>G., né le 29</w:t>
      </w:r>
      <w:r>
        <w:rPr>
          <w:lang w:val="fr-FR"/>
        </w:rPr>
        <w:t> </w:t>
      </w:r>
      <w:r w:rsidRPr="00FF75A1">
        <w:rPr>
          <w:lang w:val="fr-FR"/>
        </w:rPr>
        <w:t>août 2014. Elle est représentée par un conseil. Le Protocole facultatif est entré en vigueur pour l</w:t>
      </w:r>
      <w:r>
        <w:rPr>
          <w:lang w:val="fr-FR"/>
        </w:rPr>
        <w:t>’</w:t>
      </w:r>
      <w:r w:rsidRPr="00FF75A1">
        <w:rPr>
          <w:lang w:val="fr-FR"/>
        </w:rPr>
        <w:t>État partie le 14</w:t>
      </w:r>
      <w:r>
        <w:rPr>
          <w:lang w:val="fr-FR"/>
        </w:rPr>
        <w:t> </w:t>
      </w:r>
      <w:r w:rsidRPr="00FF75A1">
        <w:rPr>
          <w:lang w:val="fr-FR"/>
        </w:rPr>
        <w:t xml:space="preserve">avril 2014. </w:t>
      </w:r>
    </w:p>
    <w:p w:rsidR="001239BB" w:rsidRPr="00FF75A1" w:rsidRDefault="001239BB" w:rsidP="001239BB">
      <w:pPr>
        <w:pStyle w:val="SingleTxtG"/>
        <w:rPr>
          <w:lang w:val="fr-FR"/>
        </w:rPr>
      </w:pPr>
      <w:r w:rsidRPr="00FF75A1">
        <w:rPr>
          <w:lang w:val="fr-FR"/>
        </w:rPr>
        <w:t>1.2</w:t>
      </w:r>
      <w:r w:rsidRPr="00FF75A1">
        <w:rPr>
          <w:lang w:val="fr-FR"/>
        </w:rPr>
        <w:tab/>
        <w:t>Le 4</w:t>
      </w:r>
      <w:r>
        <w:rPr>
          <w:lang w:val="fr-FR"/>
        </w:rPr>
        <w:t> </w:t>
      </w:r>
      <w:r w:rsidRPr="00FF75A1">
        <w:rPr>
          <w:lang w:val="fr-FR"/>
        </w:rPr>
        <w:t>septembre 2019, le Comité, se fondant sur l</w:t>
      </w:r>
      <w:r>
        <w:rPr>
          <w:lang w:val="fr-FR"/>
        </w:rPr>
        <w:t>’</w:t>
      </w:r>
      <w:r w:rsidRPr="00FF75A1">
        <w:rPr>
          <w:lang w:val="fr-FR"/>
        </w:rPr>
        <w:t>article 6 du Protocole facultatif et agissant par l</w:t>
      </w:r>
      <w:r>
        <w:rPr>
          <w:lang w:val="fr-FR"/>
        </w:rPr>
        <w:t>’</w:t>
      </w:r>
      <w:r w:rsidRPr="00FF75A1">
        <w:rPr>
          <w:lang w:val="fr-FR"/>
        </w:rPr>
        <w:t>intermédiaire de son groupe de travail des communications, a rejeté la demande de mesures provisoires présentée par l</w:t>
      </w:r>
      <w:r>
        <w:rPr>
          <w:lang w:val="fr-FR"/>
        </w:rPr>
        <w:t>’</w:t>
      </w:r>
      <w:r w:rsidRPr="00FF75A1">
        <w:rPr>
          <w:lang w:val="fr-FR"/>
        </w:rPr>
        <w:t>auteure et tendant à ce que le droit de visite accordé au père d</w:t>
      </w:r>
      <w:r>
        <w:rPr>
          <w:lang w:val="fr-FR"/>
        </w:rPr>
        <w:t>’</w:t>
      </w:r>
      <w:r w:rsidRPr="00FF75A1">
        <w:rPr>
          <w:lang w:val="fr-FR"/>
        </w:rPr>
        <w:t>A.</w:t>
      </w:r>
      <w:r>
        <w:rPr>
          <w:lang w:val="fr-FR"/>
        </w:rPr>
        <w:t> </w:t>
      </w:r>
      <w:r w:rsidRPr="00FF75A1">
        <w:rPr>
          <w:lang w:val="fr-FR"/>
        </w:rPr>
        <w:t>R.</w:t>
      </w:r>
      <w:r>
        <w:rPr>
          <w:lang w:val="fr-FR"/>
        </w:rPr>
        <w:t> </w:t>
      </w:r>
      <w:r w:rsidRPr="00FF75A1">
        <w:rPr>
          <w:lang w:val="fr-FR"/>
        </w:rPr>
        <w:t>G. soit suspendu tant que les procédures pénales engagées contre lui pour violences sexuelles présumées sur la personne de son fils ser</w:t>
      </w:r>
      <w:r>
        <w:rPr>
          <w:lang w:val="fr-FR"/>
        </w:rPr>
        <w:t>aien</w:t>
      </w:r>
      <w:r w:rsidRPr="00FF75A1">
        <w:rPr>
          <w:lang w:val="fr-FR"/>
        </w:rPr>
        <w:t>t en instance. Le</w:t>
      </w:r>
      <w:r w:rsidR="0043732E">
        <w:rPr>
          <w:lang w:val="fr-FR"/>
        </w:rPr>
        <w:t> </w:t>
      </w:r>
      <w:r w:rsidRPr="00FF75A1">
        <w:rPr>
          <w:lang w:val="fr-FR"/>
        </w:rPr>
        <w:t xml:space="preserve">même jour, le Comité a considéré, conformément </w:t>
      </w:r>
      <w:r>
        <w:rPr>
          <w:lang w:val="fr-FR"/>
        </w:rPr>
        <w:t xml:space="preserve">à </w:t>
      </w:r>
      <w:r w:rsidRPr="00FF75A1">
        <w:rPr>
          <w:lang w:val="fr-FR"/>
        </w:rPr>
        <w:t>l</w:t>
      </w:r>
      <w:r>
        <w:rPr>
          <w:lang w:val="fr-FR"/>
        </w:rPr>
        <w:t>’</w:t>
      </w:r>
      <w:r w:rsidRPr="00FF75A1">
        <w:rPr>
          <w:lang w:val="fr-FR"/>
        </w:rPr>
        <w:t>article</w:t>
      </w:r>
      <w:r>
        <w:rPr>
          <w:lang w:val="fr-FR"/>
        </w:rPr>
        <w:t> </w:t>
      </w:r>
      <w:r w:rsidRPr="00FF75A1">
        <w:rPr>
          <w:lang w:val="fr-FR"/>
        </w:rPr>
        <w:t xml:space="preserve">18 </w:t>
      </w:r>
      <w:r>
        <w:rPr>
          <w:lang w:val="fr-FR"/>
        </w:rPr>
        <w:t>(</w:t>
      </w:r>
      <w:r w:rsidRPr="00FF75A1">
        <w:rPr>
          <w:lang w:val="fr-FR"/>
        </w:rPr>
        <w:t>par</w:t>
      </w:r>
      <w:r>
        <w:rPr>
          <w:lang w:val="fr-FR"/>
        </w:rPr>
        <w:t>. </w:t>
      </w:r>
      <w:r w:rsidRPr="00FF75A1">
        <w:rPr>
          <w:lang w:val="fr-FR"/>
        </w:rPr>
        <w:t>1</w:t>
      </w:r>
      <w:r>
        <w:rPr>
          <w:lang w:val="fr-FR"/>
        </w:rPr>
        <w:t xml:space="preserve">) </w:t>
      </w:r>
      <w:r w:rsidRPr="00FF75A1">
        <w:rPr>
          <w:lang w:val="fr-FR"/>
        </w:rPr>
        <w:t>de son règlement intérieur, qu</w:t>
      </w:r>
      <w:r>
        <w:rPr>
          <w:lang w:val="fr-FR"/>
        </w:rPr>
        <w:t>’</w:t>
      </w:r>
      <w:r w:rsidRPr="00FF75A1">
        <w:rPr>
          <w:lang w:val="fr-FR"/>
        </w:rPr>
        <w:t>il n</w:t>
      </w:r>
      <w:r>
        <w:rPr>
          <w:lang w:val="fr-FR"/>
        </w:rPr>
        <w:t>’</w:t>
      </w:r>
      <w:r w:rsidRPr="00FF75A1">
        <w:rPr>
          <w:lang w:val="fr-FR"/>
        </w:rPr>
        <w:t>était pas nécessaire de transmettre la communication à l</w:t>
      </w:r>
      <w:r>
        <w:rPr>
          <w:lang w:val="fr-FR"/>
        </w:rPr>
        <w:t>’</w:t>
      </w:r>
      <w:r w:rsidRPr="00FF75A1">
        <w:rPr>
          <w:lang w:val="fr-FR"/>
        </w:rPr>
        <w:t>État partie pour qu</w:t>
      </w:r>
      <w:r>
        <w:rPr>
          <w:lang w:val="fr-FR"/>
        </w:rPr>
        <w:t>’</w:t>
      </w:r>
      <w:r w:rsidRPr="00FF75A1">
        <w:rPr>
          <w:lang w:val="fr-FR"/>
        </w:rPr>
        <w:t>il communique ses observations avant l</w:t>
      </w:r>
      <w:r>
        <w:rPr>
          <w:lang w:val="fr-FR"/>
        </w:rPr>
        <w:t>’</w:t>
      </w:r>
      <w:r w:rsidRPr="00FF75A1">
        <w:rPr>
          <w:lang w:val="fr-FR"/>
        </w:rPr>
        <w:t xml:space="preserve">examen de la recevabilité. </w:t>
      </w:r>
    </w:p>
    <w:p w:rsidR="001239BB" w:rsidRPr="00FF75A1" w:rsidRDefault="001239BB" w:rsidP="001239BB">
      <w:pPr>
        <w:pStyle w:val="H23G"/>
        <w:rPr>
          <w:lang w:val="fr-FR"/>
        </w:rPr>
      </w:pPr>
      <w:r w:rsidRPr="00FF75A1">
        <w:rPr>
          <w:lang w:val="fr-FR"/>
        </w:rPr>
        <w:tab/>
      </w:r>
      <w:r w:rsidRPr="00FF75A1">
        <w:rPr>
          <w:lang w:val="fr-FR"/>
        </w:rPr>
        <w:tab/>
        <w:t>Rappel des faits présentés par l</w:t>
      </w:r>
      <w:r>
        <w:rPr>
          <w:lang w:val="fr-FR"/>
        </w:rPr>
        <w:t>’</w:t>
      </w:r>
      <w:r w:rsidRPr="00FF75A1">
        <w:rPr>
          <w:lang w:val="fr-FR"/>
        </w:rPr>
        <w:t>auteure</w:t>
      </w:r>
    </w:p>
    <w:p w:rsidR="001239BB" w:rsidRPr="00FF75A1" w:rsidRDefault="001239BB" w:rsidP="001239BB">
      <w:pPr>
        <w:pStyle w:val="SingleTxtG"/>
        <w:rPr>
          <w:lang w:val="fr-FR"/>
        </w:rPr>
      </w:pPr>
      <w:r w:rsidRPr="00FF75A1">
        <w:rPr>
          <w:lang w:val="fr-FR"/>
        </w:rPr>
        <w:t>2.1</w:t>
      </w:r>
      <w:r w:rsidRPr="00FF75A1">
        <w:rPr>
          <w:lang w:val="fr-FR"/>
        </w:rPr>
        <w:tab/>
        <w:t>L</w:t>
      </w:r>
      <w:r>
        <w:rPr>
          <w:lang w:val="fr-FR"/>
        </w:rPr>
        <w:t>’</w:t>
      </w:r>
      <w:r w:rsidRPr="00FF75A1">
        <w:rPr>
          <w:lang w:val="fr-FR"/>
        </w:rPr>
        <w:t>auteure affirme que le père d</w:t>
      </w:r>
      <w:r>
        <w:rPr>
          <w:lang w:val="fr-FR"/>
        </w:rPr>
        <w:t>’</w:t>
      </w:r>
      <w:r w:rsidRPr="00FF75A1">
        <w:rPr>
          <w:lang w:val="fr-FR"/>
        </w:rPr>
        <w:t>A.</w:t>
      </w:r>
      <w:r>
        <w:rPr>
          <w:lang w:val="fr-FR"/>
        </w:rPr>
        <w:t> </w:t>
      </w:r>
      <w:r w:rsidRPr="00FF75A1">
        <w:rPr>
          <w:lang w:val="fr-FR"/>
        </w:rPr>
        <w:t>R.</w:t>
      </w:r>
      <w:r>
        <w:rPr>
          <w:lang w:val="fr-FR"/>
        </w:rPr>
        <w:t> </w:t>
      </w:r>
      <w:r w:rsidRPr="00FF75A1">
        <w:rPr>
          <w:lang w:val="fr-FR"/>
        </w:rPr>
        <w:t xml:space="preserve">G. a agressé sexuellement son fils à plusieurs reprises, quand celui-ci avait entre </w:t>
      </w:r>
      <w:r>
        <w:rPr>
          <w:lang w:val="fr-FR"/>
        </w:rPr>
        <w:t>2</w:t>
      </w:r>
      <w:r w:rsidRPr="00FF75A1">
        <w:rPr>
          <w:lang w:val="fr-FR"/>
        </w:rPr>
        <w:t xml:space="preserve"> et </w:t>
      </w:r>
      <w:r>
        <w:rPr>
          <w:lang w:val="fr-FR"/>
        </w:rPr>
        <w:t>3 </w:t>
      </w:r>
      <w:r w:rsidRPr="00FF75A1">
        <w:rPr>
          <w:lang w:val="fr-FR"/>
        </w:rPr>
        <w:t xml:space="preserve">ans. Trois procédures judiciaires </w:t>
      </w:r>
      <w:r>
        <w:rPr>
          <w:lang w:val="fr-FR"/>
        </w:rPr>
        <w:t>− </w:t>
      </w:r>
      <w:r w:rsidRPr="00FF75A1">
        <w:rPr>
          <w:lang w:val="fr-FR"/>
        </w:rPr>
        <w:t>deux de nature pénale et une de nature civile</w:t>
      </w:r>
      <w:r>
        <w:rPr>
          <w:lang w:val="fr-FR"/>
        </w:rPr>
        <w:t> −</w:t>
      </w:r>
      <w:r w:rsidRPr="00FF75A1">
        <w:rPr>
          <w:lang w:val="fr-FR"/>
        </w:rPr>
        <w:t xml:space="preserve"> ont été engagées contre lui pour ces faits. Dans le cadre de </w:t>
      </w:r>
      <w:r w:rsidRPr="00FF75A1">
        <w:rPr>
          <w:lang w:val="fr-FR"/>
        </w:rPr>
        <w:lastRenderedPageBreak/>
        <w:t>la première procédure pénale, le père fait l</w:t>
      </w:r>
      <w:r>
        <w:rPr>
          <w:lang w:val="fr-FR"/>
        </w:rPr>
        <w:t>’</w:t>
      </w:r>
      <w:r w:rsidRPr="00FF75A1">
        <w:rPr>
          <w:lang w:val="fr-FR"/>
        </w:rPr>
        <w:t>objet d</w:t>
      </w:r>
      <w:r>
        <w:rPr>
          <w:lang w:val="fr-FR"/>
        </w:rPr>
        <w:t>’</w:t>
      </w:r>
      <w:r w:rsidRPr="00FF75A1">
        <w:rPr>
          <w:lang w:val="fr-FR"/>
        </w:rPr>
        <w:t>une enquête pour des agressions et des violences sexuelles qu</w:t>
      </w:r>
      <w:r>
        <w:rPr>
          <w:lang w:val="fr-FR"/>
        </w:rPr>
        <w:t>’</w:t>
      </w:r>
      <w:r w:rsidRPr="00FF75A1">
        <w:rPr>
          <w:lang w:val="fr-FR"/>
        </w:rPr>
        <w:t>il aurait commises sur la personne de son fils entre mars 2017 et mai 2018. Après l</w:t>
      </w:r>
      <w:r>
        <w:rPr>
          <w:lang w:val="fr-FR"/>
        </w:rPr>
        <w:t>’</w:t>
      </w:r>
      <w:r w:rsidRPr="00FF75A1">
        <w:rPr>
          <w:lang w:val="fr-FR"/>
        </w:rPr>
        <w:t>ouverture de cette procédure pénale, le père d</w:t>
      </w:r>
      <w:r>
        <w:rPr>
          <w:lang w:val="fr-FR"/>
        </w:rPr>
        <w:t>’</w:t>
      </w:r>
      <w:r w:rsidRPr="00FF75A1">
        <w:rPr>
          <w:lang w:val="fr-FR"/>
        </w:rPr>
        <w:t>A.</w:t>
      </w:r>
      <w:r>
        <w:rPr>
          <w:lang w:val="fr-FR"/>
        </w:rPr>
        <w:t> </w:t>
      </w:r>
      <w:r w:rsidRPr="00FF75A1">
        <w:rPr>
          <w:lang w:val="fr-FR"/>
        </w:rPr>
        <w:t>R.</w:t>
      </w:r>
      <w:r>
        <w:rPr>
          <w:lang w:val="fr-FR"/>
        </w:rPr>
        <w:t> </w:t>
      </w:r>
      <w:r w:rsidRPr="00FF75A1">
        <w:rPr>
          <w:lang w:val="fr-FR"/>
        </w:rPr>
        <w:t>G. a présenté devant une juridiction civile une demande de mesures provisoires afin d</w:t>
      </w:r>
      <w:r>
        <w:rPr>
          <w:lang w:val="fr-FR"/>
        </w:rPr>
        <w:t>’</w:t>
      </w:r>
      <w:r w:rsidRPr="00FF75A1">
        <w:rPr>
          <w:lang w:val="fr-FR"/>
        </w:rPr>
        <w:t>obtenir la garde partagée de l</w:t>
      </w:r>
      <w:r>
        <w:rPr>
          <w:lang w:val="fr-FR"/>
        </w:rPr>
        <w:t>’</w:t>
      </w:r>
      <w:r w:rsidRPr="00FF75A1">
        <w:rPr>
          <w:lang w:val="fr-FR"/>
        </w:rPr>
        <w:t>enfant. Le 18</w:t>
      </w:r>
      <w:r>
        <w:rPr>
          <w:lang w:val="fr-FR"/>
        </w:rPr>
        <w:t> </w:t>
      </w:r>
      <w:r w:rsidRPr="00FF75A1">
        <w:rPr>
          <w:lang w:val="fr-FR"/>
        </w:rPr>
        <w:t>septembre 2017, le juge a accordé la garde d</w:t>
      </w:r>
      <w:r>
        <w:rPr>
          <w:lang w:val="fr-FR"/>
        </w:rPr>
        <w:t>’</w:t>
      </w:r>
      <w:r w:rsidRPr="00FF75A1">
        <w:rPr>
          <w:lang w:val="fr-FR"/>
        </w:rPr>
        <w:t>A.</w:t>
      </w:r>
      <w:r>
        <w:rPr>
          <w:lang w:val="fr-FR"/>
        </w:rPr>
        <w:t> </w:t>
      </w:r>
      <w:r w:rsidRPr="00FF75A1">
        <w:rPr>
          <w:lang w:val="fr-FR"/>
        </w:rPr>
        <w:t>R.</w:t>
      </w:r>
      <w:r>
        <w:rPr>
          <w:lang w:val="fr-FR"/>
        </w:rPr>
        <w:t> </w:t>
      </w:r>
      <w:r w:rsidRPr="00FF75A1">
        <w:rPr>
          <w:lang w:val="fr-FR"/>
        </w:rPr>
        <w:t>G. à la mère et un droit de visite au père. Dans la troisième procédure en cours (la seconde procédure pénale), le père fait l</w:t>
      </w:r>
      <w:r>
        <w:rPr>
          <w:lang w:val="fr-FR"/>
        </w:rPr>
        <w:t>’</w:t>
      </w:r>
      <w:r w:rsidRPr="00FF75A1">
        <w:rPr>
          <w:lang w:val="fr-FR"/>
        </w:rPr>
        <w:t>objet d</w:t>
      </w:r>
      <w:r>
        <w:rPr>
          <w:lang w:val="fr-FR"/>
        </w:rPr>
        <w:t>’</w:t>
      </w:r>
      <w:r w:rsidRPr="00FF75A1">
        <w:rPr>
          <w:lang w:val="fr-FR"/>
        </w:rPr>
        <w:t>une enquête pour des blessures qu</w:t>
      </w:r>
      <w:r>
        <w:rPr>
          <w:lang w:val="fr-FR"/>
        </w:rPr>
        <w:t>’</w:t>
      </w:r>
      <w:r w:rsidRPr="00FF75A1">
        <w:rPr>
          <w:lang w:val="fr-FR"/>
        </w:rPr>
        <w:t xml:space="preserve">il aurait infligées à son fils en mars 2018. </w:t>
      </w:r>
    </w:p>
    <w:p w:rsidR="001239BB" w:rsidRPr="00FF75A1" w:rsidRDefault="001239BB" w:rsidP="001239BB">
      <w:pPr>
        <w:pStyle w:val="SingleTxtG"/>
        <w:rPr>
          <w:lang w:val="fr-FR"/>
        </w:rPr>
      </w:pPr>
      <w:r w:rsidRPr="00FF75A1">
        <w:rPr>
          <w:lang w:val="fr-FR"/>
        </w:rPr>
        <w:t>2.2</w:t>
      </w:r>
      <w:r w:rsidRPr="00FF75A1">
        <w:rPr>
          <w:lang w:val="fr-FR"/>
        </w:rPr>
        <w:tab/>
        <w:t>Depuis qu</w:t>
      </w:r>
      <w:r>
        <w:rPr>
          <w:lang w:val="fr-FR"/>
        </w:rPr>
        <w:t>’</w:t>
      </w:r>
      <w:r w:rsidRPr="00FF75A1">
        <w:rPr>
          <w:lang w:val="fr-FR"/>
        </w:rPr>
        <w:t>elle a déposé la plainte qui a donné lieu à la seconde procédure pénale, l</w:t>
      </w:r>
      <w:r>
        <w:rPr>
          <w:lang w:val="fr-FR"/>
        </w:rPr>
        <w:t>’</w:t>
      </w:r>
      <w:r w:rsidRPr="00FF75A1">
        <w:rPr>
          <w:lang w:val="fr-FR"/>
        </w:rPr>
        <w:t>auteure ne respecte pas le régime des visites afin de protéger A.</w:t>
      </w:r>
      <w:r>
        <w:rPr>
          <w:lang w:val="fr-FR"/>
        </w:rPr>
        <w:t> </w:t>
      </w:r>
      <w:r w:rsidRPr="00FF75A1">
        <w:rPr>
          <w:lang w:val="fr-FR"/>
        </w:rPr>
        <w:t>R.</w:t>
      </w:r>
      <w:r>
        <w:rPr>
          <w:lang w:val="fr-FR"/>
        </w:rPr>
        <w:t> </w:t>
      </w:r>
      <w:r w:rsidRPr="00FF75A1">
        <w:rPr>
          <w:lang w:val="fr-FR"/>
        </w:rPr>
        <w:t>G. de son père. Dans le même but, le 19</w:t>
      </w:r>
      <w:r>
        <w:rPr>
          <w:lang w:val="fr-FR"/>
        </w:rPr>
        <w:t> </w:t>
      </w:r>
      <w:r w:rsidRPr="00FF75A1">
        <w:rPr>
          <w:lang w:val="fr-FR"/>
        </w:rPr>
        <w:t>mars 2018, elle a demandé des mesures de protection, à savoir l</w:t>
      </w:r>
      <w:r>
        <w:rPr>
          <w:lang w:val="fr-FR"/>
        </w:rPr>
        <w:t>’</w:t>
      </w:r>
      <w:r w:rsidRPr="00FF75A1">
        <w:rPr>
          <w:lang w:val="fr-FR"/>
        </w:rPr>
        <w:t>adoption d</w:t>
      </w:r>
      <w:r>
        <w:rPr>
          <w:lang w:val="fr-FR"/>
        </w:rPr>
        <w:t>’</w:t>
      </w:r>
      <w:r w:rsidRPr="00FF75A1">
        <w:rPr>
          <w:lang w:val="fr-FR"/>
        </w:rPr>
        <w:t>une mesure d</w:t>
      </w:r>
      <w:r>
        <w:rPr>
          <w:lang w:val="fr-FR"/>
        </w:rPr>
        <w:t>’</w:t>
      </w:r>
      <w:r w:rsidRPr="00FF75A1">
        <w:rPr>
          <w:lang w:val="fr-FR"/>
        </w:rPr>
        <w:t>éloignement visant à ce que le père ne puisse pas s</w:t>
      </w:r>
      <w:r>
        <w:rPr>
          <w:lang w:val="fr-FR"/>
        </w:rPr>
        <w:t>’</w:t>
      </w:r>
      <w:r w:rsidRPr="00FF75A1">
        <w:rPr>
          <w:lang w:val="fr-FR"/>
        </w:rPr>
        <w:t>approcher d</w:t>
      </w:r>
      <w:r>
        <w:rPr>
          <w:lang w:val="fr-FR"/>
        </w:rPr>
        <w:t>’</w:t>
      </w:r>
      <w:r w:rsidRPr="00FF75A1">
        <w:rPr>
          <w:lang w:val="fr-FR"/>
        </w:rPr>
        <w:t>A.</w:t>
      </w:r>
      <w:r>
        <w:rPr>
          <w:lang w:val="fr-FR"/>
        </w:rPr>
        <w:t> </w:t>
      </w:r>
      <w:r w:rsidRPr="00FF75A1">
        <w:rPr>
          <w:lang w:val="fr-FR"/>
        </w:rPr>
        <w:t>R.</w:t>
      </w:r>
      <w:r>
        <w:rPr>
          <w:lang w:val="fr-FR"/>
        </w:rPr>
        <w:t> </w:t>
      </w:r>
      <w:r w:rsidRPr="00FF75A1">
        <w:rPr>
          <w:lang w:val="fr-FR"/>
        </w:rPr>
        <w:t>G. ou communiquer avec lui, et la suspension de son droit de visite.</w:t>
      </w:r>
    </w:p>
    <w:p w:rsidR="001239BB" w:rsidRPr="00FF75A1" w:rsidRDefault="001239BB" w:rsidP="001239BB">
      <w:pPr>
        <w:pStyle w:val="SingleTxtG"/>
        <w:rPr>
          <w:lang w:val="fr-FR"/>
        </w:rPr>
      </w:pPr>
      <w:r w:rsidRPr="00FF75A1">
        <w:rPr>
          <w:lang w:val="fr-FR"/>
        </w:rPr>
        <w:t>2.3</w:t>
      </w:r>
      <w:r w:rsidRPr="00FF75A1">
        <w:rPr>
          <w:lang w:val="fr-FR"/>
        </w:rPr>
        <w:tab/>
        <w:t>Le 9</w:t>
      </w:r>
      <w:r>
        <w:rPr>
          <w:lang w:val="fr-FR"/>
        </w:rPr>
        <w:t> </w:t>
      </w:r>
      <w:r w:rsidRPr="00FF75A1">
        <w:rPr>
          <w:lang w:val="fr-FR"/>
        </w:rPr>
        <w:t>juillet 2018, le tribunal d</w:t>
      </w:r>
      <w:r>
        <w:rPr>
          <w:lang w:val="fr-FR"/>
        </w:rPr>
        <w:t>’</w:t>
      </w:r>
      <w:r w:rsidRPr="00FF75A1">
        <w:rPr>
          <w:lang w:val="fr-FR"/>
        </w:rPr>
        <w:t>instruction n</w:t>
      </w:r>
      <w:r w:rsidRPr="00FF75A1">
        <w:rPr>
          <w:vertAlign w:val="superscript"/>
          <w:lang w:val="fr-FR"/>
        </w:rPr>
        <w:t>o</w:t>
      </w:r>
      <w:r w:rsidRPr="00FF75A1">
        <w:rPr>
          <w:lang w:val="fr-FR"/>
        </w:rPr>
        <w:t> 1 de Blanes a refusé les mesures de protection demandées par l</w:t>
      </w:r>
      <w:r>
        <w:rPr>
          <w:lang w:val="fr-FR"/>
        </w:rPr>
        <w:t>’</w:t>
      </w:r>
      <w:r w:rsidRPr="00FF75A1">
        <w:rPr>
          <w:lang w:val="fr-FR"/>
        </w:rPr>
        <w:t>auteure, sans préjudice de l</w:t>
      </w:r>
      <w:r>
        <w:rPr>
          <w:lang w:val="fr-FR"/>
        </w:rPr>
        <w:t>’</w:t>
      </w:r>
      <w:r w:rsidRPr="00FF75A1">
        <w:rPr>
          <w:lang w:val="fr-FR"/>
        </w:rPr>
        <w:t>adoption ultérieure de telles mesures au cas où de nouvelles enquêtes démontreraient leur nécessité. Le 30</w:t>
      </w:r>
      <w:r>
        <w:rPr>
          <w:lang w:val="fr-FR"/>
        </w:rPr>
        <w:t> </w:t>
      </w:r>
      <w:r w:rsidRPr="00FF75A1">
        <w:rPr>
          <w:lang w:val="fr-FR"/>
        </w:rPr>
        <w:t>janvier 2019, l</w:t>
      </w:r>
      <w:r>
        <w:rPr>
          <w:lang w:val="fr-FR"/>
        </w:rPr>
        <w:t>’</w:t>
      </w:r>
      <w:r w:rsidRPr="00FF75A1">
        <w:rPr>
          <w:lang w:val="fr-FR"/>
        </w:rPr>
        <w:t>auteure a saisi le même tribunal d</w:t>
      </w:r>
      <w:r>
        <w:rPr>
          <w:lang w:val="fr-FR"/>
        </w:rPr>
        <w:t>’</w:t>
      </w:r>
      <w:r w:rsidRPr="00FF75A1">
        <w:rPr>
          <w:lang w:val="fr-FR"/>
        </w:rPr>
        <w:t>instruction d</w:t>
      </w:r>
      <w:r>
        <w:rPr>
          <w:lang w:val="fr-FR"/>
        </w:rPr>
        <w:t>’</w:t>
      </w:r>
      <w:r w:rsidRPr="00FF75A1">
        <w:rPr>
          <w:lang w:val="fr-FR"/>
        </w:rPr>
        <w:t>une nouvelle demande de mesures de protection mais elle a été déboutée le 27</w:t>
      </w:r>
      <w:r>
        <w:rPr>
          <w:lang w:val="fr-FR"/>
        </w:rPr>
        <w:t> </w:t>
      </w:r>
      <w:r w:rsidRPr="00FF75A1">
        <w:rPr>
          <w:lang w:val="fr-FR"/>
        </w:rPr>
        <w:t>février 2019. Elle a fait appel de cette décision le 5</w:t>
      </w:r>
      <w:r>
        <w:rPr>
          <w:lang w:val="fr-FR"/>
        </w:rPr>
        <w:t> </w:t>
      </w:r>
      <w:r w:rsidRPr="00FF75A1">
        <w:rPr>
          <w:lang w:val="fr-FR"/>
        </w:rPr>
        <w:t>mars 2019 devant l</w:t>
      </w:r>
      <w:r>
        <w:rPr>
          <w:lang w:val="fr-FR"/>
        </w:rPr>
        <w:t>’</w:t>
      </w:r>
      <w:r w:rsidRPr="00FF75A1">
        <w:rPr>
          <w:lang w:val="fr-FR"/>
        </w:rPr>
        <w:t>Audiencia provincial de Gérone. Le 7</w:t>
      </w:r>
      <w:r>
        <w:rPr>
          <w:lang w:val="fr-FR"/>
        </w:rPr>
        <w:t> </w:t>
      </w:r>
      <w:r w:rsidRPr="00FF75A1">
        <w:rPr>
          <w:lang w:val="fr-FR"/>
        </w:rPr>
        <w:t>mai 2019, l</w:t>
      </w:r>
      <w:r>
        <w:rPr>
          <w:lang w:val="fr-FR"/>
        </w:rPr>
        <w:t>’</w:t>
      </w:r>
      <w:r w:rsidRPr="00FF75A1">
        <w:rPr>
          <w:lang w:val="fr-FR"/>
        </w:rPr>
        <w:t xml:space="preserve">Audiencia provincial a confirmé le refus des mesures de protection mais a modifié le droit de visite en limitant les visites à un week-end sur deux, sans possibilité de passer la nuit chez le père, et en </w:t>
      </w:r>
      <w:r>
        <w:rPr>
          <w:lang w:val="fr-FR"/>
        </w:rPr>
        <w:t>ordonnant</w:t>
      </w:r>
      <w:r w:rsidRPr="00FF75A1">
        <w:rPr>
          <w:lang w:val="fr-FR"/>
        </w:rPr>
        <w:t xml:space="preserve"> qu</w:t>
      </w:r>
      <w:r>
        <w:rPr>
          <w:lang w:val="fr-FR"/>
        </w:rPr>
        <w:t>’</w:t>
      </w:r>
      <w:r w:rsidRPr="00FF75A1">
        <w:rPr>
          <w:lang w:val="fr-FR"/>
        </w:rPr>
        <w:t>elles aient lieu en présence d</w:t>
      </w:r>
      <w:r>
        <w:rPr>
          <w:lang w:val="fr-FR"/>
        </w:rPr>
        <w:t>’</w:t>
      </w:r>
      <w:r w:rsidRPr="00FF75A1">
        <w:rPr>
          <w:lang w:val="fr-FR"/>
        </w:rPr>
        <w:t>un tiers désigné par le père et connu d</w:t>
      </w:r>
      <w:r>
        <w:rPr>
          <w:lang w:val="fr-FR"/>
        </w:rPr>
        <w:t>’</w:t>
      </w:r>
      <w:r w:rsidRPr="00FF75A1">
        <w:rPr>
          <w:lang w:val="fr-FR"/>
        </w:rPr>
        <w:t>A.</w:t>
      </w:r>
      <w:r>
        <w:rPr>
          <w:lang w:val="fr-FR"/>
        </w:rPr>
        <w:t> </w:t>
      </w:r>
      <w:r w:rsidRPr="00FF75A1">
        <w:rPr>
          <w:lang w:val="fr-FR"/>
        </w:rPr>
        <w:t>R.</w:t>
      </w:r>
      <w:r>
        <w:rPr>
          <w:lang w:val="fr-FR"/>
        </w:rPr>
        <w:t> </w:t>
      </w:r>
      <w:r w:rsidRPr="00FF75A1">
        <w:rPr>
          <w:lang w:val="fr-FR"/>
        </w:rPr>
        <w:t>G. ou, à défaut, dans un lieu choisi par les services sociaux et en présence de travailleurs sociaux.</w:t>
      </w:r>
    </w:p>
    <w:p w:rsidR="001239BB" w:rsidRPr="00FF75A1" w:rsidRDefault="001239BB" w:rsidP="001239BB">
      <w:pPr>
        <w:pStyle w:val="H23G"/>
        <w:rPr>
          <w:lang w:val="fr-FR"/>
        </w:rPr>
      </w:pPr>
      <w:r w:rsidRPr="00FF75A1">
        <w:rPr>
          <w:lang w:val="fr-FR"/>
        </w:rPr>
        <w:tab/>
      </w:r>
      <w:r w:rsidRPr="00FF75A1">
        <w:rPr>
          <w:lang w:val="fr-FR"/>
        </w:rPr>
        <w:tab/>
        <w:t>Teneur de la plainte</w:t>
      </w:r>
    </w:p>
    <w:p w:rsidR="001239BB" w:rsidRPr="00FF75A1" w:rsidRDefault="001239BB" w:rsidP="001239BB">
      <w:pPr>
        <w:pStyle w:val="SingleTxtG"/>
        <w:rPr>
          <w:lang w:val="fr-FR"/>
        </w:rPr>
      </w:pPr>
      <w:r w:rsidRPr="00FF75A1">
        <w:rPr>
          <w:lang w:val="fr-FR"/>
        </w:rPr>
        <w:t>3.1</w:t>
      </w:r>
      <w:r w:rsidRPr="00FF75A1">
        <w:rPr>
          <w:lang w:val="fr-FR"/>
        </w:rPr>
        <w:tab/>
        <w:t>L</w:t>
      </w:r>
      <w:r>
        <w:rPr>
          <w:lang w:val="fr-FR"/>
        </w:rPr>
        <w:t>’</w:t>
      </w:r>
      <w:r w:rsidRPr="00FF75A1">
        <w:rPr>
          <w:lang w:val="fr-FR"/>
        </w:rPr>
        <w:t>auteure affirme que l</w:t>
      </w:r>
      <w:r>
        <w:rPr>
          <w:lang w:val="fr-FR"/>
        </w:rPr>
        <w:t>’</w:t>
      </w:r>
      <w:r w:rsidRPr="00FF75A1">
        <w:rPr>
          <w:lang w:val="fr-FR"/>
        </w:rPr>
        <w:t>affaire met au jour un conflit entre les droits d</w:t>
      </w:r>
      <w:r>
        <w:rPr>
          <w:lang w:val="fr-FR"/>
        </w:rPr>
        <w:t>’</w:t>
      </w:r>
      <w:r w:rsidRPr="00FF75A1">
        <w:rPr>
          <w:lang w:val="fr-FR"/>
        </w:rPr>
        <w:t>A.</w:t>
      </w:r>
      <w:r>
        <w:rPr>
          <w:lang w:val="fr-FR"/>
        </w:rPr>
        <w:t> </w:t>
      </w:r>
      <w:r w:rsidRPr="00FF75A1">
        <w:rPr>
          <w:lang w:val="fr-FR"/>
        </w:rPr>
        <w:t>R.</w:t>
      </w:r>
      <w:r>
        <w:rPr>
          <w:lang w:val="fr-FR"/>
        </w:rPr>
        <w:t> </w:t>
      </w:r>
      <w:r w:rsidRPr="00FF75A1">
        <w:rPr>
          <w:lang w:val="fr-FR"/>
        </w:rPr>
        <w:t>G. (son intérêt supérieur et son droit à la sécurité, à la vie, à l</w:t>
      </w:r>
      <w:r>
        <w:rPr>
          <w:lang w:val="fr-FR"/>
        </w:rPr>
        <w:t>’</w:t>
      </w:r>
      <w:r w:rsidRPr="00FF75A1">
        <w:rPr>
          <w:lang w:val="fr-FR"/>
        </w:rPr>
        <w:t>intégrité physique et psychologique, et à la protection contre toute forme de violence) et le droit du père d</w:t>
      </w:r>
      <w:r>
        <w:rPr>
          <w:lang w:val="fr-FR"/>
        </w:rPr>
        <w:t>’</w:t>
      </w:r>
      <w:r w:rsidRPr="00FF75A1">
        <w:rPr>
          <w:lang w:val="fr-FR"/>
        </w:rPr>
        <w:t>être présumé innocent. Les tribunaux espagnols ont toutefois fait passer les droits du père avant ceux d</w:t>
      </w:r>
      <w:r>
        <w:rPr>
          <w:lang w:val="fr-FR"/>
        </w:rPr>
        <w:t>’</w:t>
      </w:r>
      <w:r w:rsidRPr="00FF75A1">
        <w:rPr>
          <w:lang w:val="fr-FR"/>
        </w:rPr>
        <w:t>A.</w:t>
      </w:r>
      <w:r>
        <w:rPr>
          <w:lang w:val="fr-FR"/>
        </w:rPr>
        <w:t> </w:t>
      </w:r>
      <w:r w:rsidRPr="00FF75A1">
        <w:rPr>
          <w:lang w:val="fr-FR"/>
        </w:rPr>
        <w:t>R.</w:t>
      </w:r>
      <w:r>
        <w:rPr>
          <w:lang w:val="fr-FR"/>
        </w:rPr>
        <w:t> </w:t>
      </w:r>
      <w:r w:rsidRPr="00FF75A1">
        <w:rPr>
          <w:lang w:val="fr-FR"/>
        </w:rPr>
        <w:t>G., sans tenir compte de l</w:t>
      </w:r>
      <w:r>
        <w:rPr>
          <w:lang w:val="fr-FR"/>
        </w:rPr>
        <w:t>’</w:t>
      </w:r>
      <w:r w:rsidRPr="00FF75A1">
        <w:rPr>
          <w:lang w:val="fr-FR"/>
        </w:rPr>
        <w:t>intérêt supérieur de l</w:t>
      </w:r>
      <w:r>
        <w:rPr>
          <w:lang w:val="fr-FR"/>
        </w:rPr>
        <w:t>’</w:t>
      </w:r>
      <w:r w:rsidRPr="00FF75A1">
        <w:rPr>
          <w:lang w:val="fr-FR"/>
        </w:rPr>
        <w:t>enfant, qui doit prévaloir sur tout autre intérêt en jeu.</w:t>
      </w:r>
    </w:p>
    <w:p w:rsidR="001239BB" w:rsidRPr="00FF75A1" w:rsidRDefault="001239BB" w:rsidP="001239BB">
      <w:pPr>
        <w:pStyle w:val="SingleTxtG"/>
        <w:rPr>
          <w:lang w:val="fr-FR"/>
        </w:rPr>
      </w:pPr>
      <w:r w:rsidRPr="00FF75A1">
        <w:rPr>
          <w:lang w:val="fr-FR"/>
        </w:rPr>
        <w:t>3.2</w:t>
      </w:r>
      <w:r w:rsidRPr="00FF75A1">
        <w:rPr>
          <w:lang w:val="fr-FR"/>
        </w:rPr>
        <w:tab/>
        <w:t>L</w:t>
      </w:r>
      <w:r>
        <w:rPr>
          <w:lang w:val="fr-FR"/>
        </w:rPr>
        <w:t>’</w:t>
      </w:r>
      <w:r w:rsidRPr="00FF75A1">
        <w:rPr>
          <w:lang w:val="fr-FR"/>
        </w:rPr>
        <w:t>auteure affirme que les nouvelles conditions de visite adoptées par l</w:t>
      </w:r>
      <w:r>
        <w:rPr>
          <w:lang w:val="fr-FR"/>
        </w:rPr>
        <w:t>’</w:t>
      </w:r>
      <w:r w:rsidRPr="00FF75A1">
        <w:rPr>
          <w:lang w:val="fr-FR"/>
        </w:rPr>
        <w:t>Audiencia provincial ne protègent pas A.</w:t>
      </w:r>
      <w:r>
        <w:rPr>
          <w:lang w:val="fr-FR"/>
        </w:rPr>
        <w:t> </w:t>
      </w:r>
      <w:r w:rsidRPr="00FF75A1">
        <w:rPr>
          <w:lang w:val="fr-FR"/>
        </w:rPr>
        <w:t>R.</w:t>
      </w:r>
      <w:r>
        <w:rPr>
          <w:lang w:val="fr-FR"/>
        </w:rPr>
        <w:t> </w:t>
      </w:r>
      <w:r w:rsidRPr="00FF75A1">
        <w:rPr>
          <w:lang w:val="fr-FR"/>
        </w:rPr>
        <w:t>G. de son père et l</w:t>
      </w:r>
      <w:r>
        <w:rPr>
          <w:lang w:val="fr-FR"/>
        </w:rPr>
        <w:t>’</w:t>
      </w:r>
      <w:r w:rsidRPr="00FF75A1">
        <w:rPr>
          <w:lang w:val="fr-FR"/>
        </w:rPr>
        <w:t>obligent, en tant que victime, à voir son agresseur. Elle soutient notamment que le fait qu</w:t>
      </w:r>
      <w:r>
        <w:rPr>
          <w:lang w:val="fr-FR"/>
        </w:rPr>
        <w:t>’</w:t>
      </w:r>
      <w:r w:rsidRPr="00FF75A1">
        <w:rPr>
          <w:lang w:val="fr-FR"/>
        </w:rPr>
        <w:t>A.</w:t>
      </w:r>
      <w:r>
        <w:rPr>
          <w:lang w:val="fr-FR"/>
        </w:rPr>
        <w:t> </w:t>
      </w:r>
      <w:r w:rsidRPr="00FF75A1">
        <w:rPr>
          <w:lang w:val="fr-FR"/>
        </w:rPr>
        <w:t>R.</w:t>
      </w:r>
      <w:r>
        <w:rPr>
          <w:lang w:val="fr-FR"/>
        </w:rPr>
        <w:t> </w:t>
      </w:r>
      <w:r w:rsidRPr="00FF75A1">
        <w:rPr>
          <w:lang w:val="fr-FR"/>
        </w:rPr>
        <w:t>G. ne passe pas la nuit chez son père ne le protège en rien contre de nouvelles violences, car rien ne garantit qu</w:t>
      </w:r>
      <w:r>
        <w:rPr>
          <w:lang w:val="fr-FR"/>
        </w:rPr>
        <w:t>’</w:t>
      </w:r>
      <w:r w:rsidRPr="00FF75A1">
        <w:rPr>
          <w:lang w:val="fr-FR"/>
        </w:rPr>
        <w:t>il ne se retrouve pas seul avec lui. Elle soutient en outre qu</w:t>
      </w:r>
      <w:r>
        <w:rPr>
          <w:lang w:val="fr-FR"/>
        </w:rPr>
        <w:t>’</w:t>
      </w:r>
      <w:r w:rsidRPr="00FF75A1">
        <w:rPr>
          <w:lang w:val="fr-FR"/>
        </w:rPr>
        <w:t>obliger l</w:t>
      </w:r>
      <w:r>
        <w:rPr>
          <w:lang w:val="fr-FR"/>
        </w:rPr>
        <w:t>’</w:t>
      </w:r>
      <w:r w:rsidRPr="00FF75A1">
        <w:rPr>
          <w:lang w:val="fr-FR"/>
        </w:rPr>
        <w:t>enfant à voir son père aura des répercussions sur son développement.</w:t>
      </w:r>
    </w:p>
    <w:p w:rsidR="001239BB" w:rsidRPr="00FF75A1" w:rsidRDefault="001239BB" w:rsidP="001239BB">
      <w:pPr>
        <w:pStyle w:val="SingleTxtG"/>
        <w:rPr>
          <w:lang w:val="fr-FR"/>
        </w:rPr>
      </w:pPr>
      <w:r w:rsidRPr="00FF75A1">
        <w:rPr>
          <w:lang w:val="fr-FR"/>
        </w:rPr>
        <w:t>3.3</w:t>
      </w:r>
      <w:r w:rsidRPr="00FF75A1">
        <w:rPr>
          <w:lang w:val="fr-FR"/>
        </w:rPr>
        <w:tab/>
        <w:t>L</w:t>
      </w:r>
      <w:r>
        <w:rPr>
          <w:lang w:val="fr-FR"/>
        </w:rPr>
        <w:t>’</w:t>
      </w:r>
      <w:r w:rsidRPr="00FF75A1">
        <w:rPr>
          <w:lang w:val="fr-FR"/>
        </w:rPr>
        <w:t>auteure affirme que son fils est victime d</w:t>
      </w:r>
      <w:r>
        <w:rPr>
          <w:lang w:val="fr-FR"/>
        </w:rPr>
        <w:t>’</w:t>
      </w:r>
      <w:r w:rsidRPr="00FF75A1">
        <w:rPr>
          <w:lang w:val="fr-FR"/>
        </w:rPr>
        <w:t>une violation de l</w:t>
      </w:r>
      <w:r>
        <w:rPr>
          <w:lang w:val="fr-FR"/>
        </w:rPr>
        <w:t>’</w:t>
      </w:r>
      <w:r w:rsidRPr="00FF75A1">
        <w:rPr>
          <w:lang w:val="fr-FR"/>
        </w:rPr>
        <w:t>article</w:t>
      </w:r>
      <w:r>
        <w:rPr>
          <w:lang w:val="fr-FR"/>
        </w:rPr>
        <w:t> </w:t>
      </w:r>
      <w:r w:rsidRPr="00FF75A1">
        <w:rPr>
          <w:lang w:val="fr-FR"/>
        </w:rPr>
        <w:t>3 de la Convention, étant donné que l</w:t>
      </w:r>
      <w:r>
        <w:rPr>
          <w:lang w:val="fr-FR"/>
        </w:rPr>
        <w:t>’</w:t>
      </w:r>
      <w:r w:rsidRPr="00FF75A1">
        <w:rPr>
          <w:lang w:val="fr-FR"/>
        </w:rPr>
        <w:t>intérêt supérieur de l</w:t>
      </w:r>
      <w:r>
        <w:rPr>
          <w:lang w:val="fr-FR"/>
        </w:rPr>
        <w:t>’</w:t>
      </w:r>
      <w:r w:rsidRPr="00FF75A1">
        <w:rPr>
          <w:lang w:val="fr-FR"/>
        </w:rPr>
        <w:t>enfant n</w:t>
      </w:r>
      <w:r>
        <w:rPr>
          <w:lang w:val="fr-FR"/>
        </w:rPr>
        <w:t>’</w:t>
      </w:r>
      <w:r w:rsidRPr="00FF75A1">
        <w:rPr>
          <w:lang w:val="fr-FR"/>
        </w:rPr>
        <w:t>a pas été pris en compte, alors même que celui-ci doit primer les autres intérêts en jeu. Elle ajoute que le droit à la vie d</w:t>
      </w:r>
      <w:r>
        <w:rPr>
          <w:lang w:val="fr-FR"/>
        </w:rPr>
        <w:t>’</w:t>
      </w:r>
      <w:r w:rsidRPr="00FF75A1">
        <w:rPr>
          <w:lang w:val="fr-FR"/>
        </w:rPr>
        <w:t>A.</w:t>
      </w:r>
      <w:r>
        <w:rPr>
          <w:lang w:val="fr-FR"/>
        </w:rPr>
        <w:t> </w:t>
      </w:r>
      <w:r w:rsidRPr="00FF75A1">
        <w:rPr>
          <w:lang w:val="fr-FR"/>
        </w:rPr>
        <w:t>R.</w:t>
      </w:r>
      <w:r>
        <w:rPr>
          <w:lang w:val="fr-FR"/>
        </w:rPr>
        <w:t> </w:t>
      </w:r>
      <w:r w:rsidRPr="00FF75A1">
        <w:rPr>
          <w:lang w:val="fr-FR"/>
        </w:rPr>
        <w:t xml:space="preserve">G., </w:t>
      </w:r>
      <w:r>
        <w:rPr>
          <w:lang w:val="fr-FR"/>
        </w:rPr>
        <w:t xml:space="preserve">qui est </w:t>
      </w:r>
      <w:r w:rsidRPr="00FF75A1">
        <w:rPr>
          <w:lang w:val="fr-FR"/>
        </w:rPr>
        <w:t>protégé par l</w:t>
      </w:r>
      <w:r>
        <w:rPr>
          <w:lang w:val="fr-FR"/>
        </w:rPr>
        <w:t>’</w:t>
      </w:r>
      <w:r w:rsidRPr="00FF75A1">
        <w:rPr>
          <w:lang w:val="fr-FR"/>
        </w:rPr>
        <w:t>article</w:t>
      </w:r>
      <w:r>
        <w:rPr>
          <w:lang w:val="fr-FR"/>
        </w:rPr>
        <w:t> </w:t>
      </w:r>
      <w:r w:rsidRPr="00FF75A1">
        <w:rPr>
          <w:lang w:val="fr-FR"/>
        </w:rPr>
        <w:t>6 et recouvre le droit de vivre dans la dignité et la liberté, a aussi été bafoué, puisque son fils est obligé d</w:t>
      </w:r>
      <w:r>
        <w:rPr>
          <w:lang w:val="fr-FR"/>
        </w:rPr>
        <w:t>’</w:t>
      </w:r>
      <w:r w:rsidRPr="00FF75A1">
        <w:rPr>
          <w:lang w:val="fr-FR"/>
        </w:rPr>
        <w:t>avoir des contacts avec son agresseur. L</w:t>
      </w:r>
      <w:r>
        <w:rPr>
          <w:lang w:val="fr-FR"/>
        </w:rPr>
        <w:t>’</w:t>
      </w:r>
      <w:r w:rsidRPr="00FF75A1">
        <w:rPr>
          <w:lang w:val="fr-FR"/>
        </w:rPr>
        <w:t>État partie ne respecte pas non plus l</w:t>
      </w:r>
      <w:r>
        <w:rPr>
          <w:lang w:val="fr-FR"/>
        </w:rPr>
        <w:t>’</w:t>
      </w:r>
      <w:r w:rsidRPr="00FF75A1">
        <w:rPr>
          <w:lang w:val="fr-FR"/>
        </w:rPr>
        <w:t>article</w:t>
      </w:r>
      <w:r>
        <w:rPr>
          <w:lang w:val="fr-FR"/>
        </w:rPr>
        <w:t> </w:t>
      </w:r>
      <w:r w:rsidRPr="00FF75A1">
        <w:rPr>
          <w:lang w:val="fr-FR"/>
        </w:rPr>
        <w:t>9 de la Convention, car A.</w:t>
      </w:r>
      <w:r>
        <w:rPr>
          <w:lang w:val="fr-FR"/>
        </w:rPr>
        <w:t> </w:t>
      </w:r>
      <w:r w:rsidRPr="00FF75A1">
        <w:rPr>
          <w:lang w:val="fr-FR"/>
        </w:rPr>
        <w:t>R.</w:t>
      </w:r>
      <w:r>
        <w:rPr>
          <w:lang w:val="fr-FR"/>
        </w:rPr>
        <w:t> </w:t>
      </w:r>
      <w:r w:rsidRPr="00FF75A1">
        <w:rPr>
          <w:lang w:val="fr-FR"/>
        </w:rPr>
        <w:t>G. a le droit d</w:t>
      </w:r>
      <w:r>
        <w:rPr>
          <w:lang w:val="fr-FR"/>
        </w:rPr>
        <w:t>’</w:t>
      </w:r>
      <w:r w:rsidRPr="00FF75A1">
        <w:rPr>
          <w:lang w:val="fr-FR"/>
        </w:rPr>
        <w:t>être séparé de son père. L</w:t>
      </w:r>
      <w:r>
        <w:rPr>
          <w:lang w:val="fr-FR"/>
        </w:rPr>
        <w:t>’</w:t>
      </w:r>
      <w:r w:rsidRPr="00FF75A1">
        <w:rPr>
          <w:lang w:val="fr-FR"/>
        </w:rPr>
        <w:t>auteure affirme également que le droit d</w:t>
      </w:r>
      <w:r>
        <w:rPr>
          <w:lang w:val="fr-FR"/>
        </w:rPr>
        <w:t>’</w:t>
      </w:r>
      <w:r w:rsidRPr="00FF75A1">
        <w:rPr>
          <w:lang w:val="fr-FR"/>
        </w:rPr>
        <w:t>A.</w:t>
      </w:r>
      <w:r>
        <w:rPr>
          <w:lang w:val="fr-FR"/>
        </w:rPr>
        <w:t> </w:t>
      </w:r>
      <w:r w:rsidRPr="00FF75A1">
        <w:rPr>
          <w:lang w:val="fr-FR"/>
        </w:rPr>
        <w:t>R.</w:t>
      </w:r>
      <w:r>
        <w:rPr>
          <w:lang w:val="fr-FR"/>
        </w:rPr>
        <w:t> </w:t>
      </w:r>
      <w:r w:rsidRPr="00FF75A1">
        <w:rPr>
          <w:lang w:val="fr-FR"/>
        </w:rPr>
        <w:t>G. d</w:t>
      </w:r>
      <w:r>
        <w:rPr>
          <w:lang w:val="fr-FR"/>
        </w:rPr>
        <w:t>’</w:t>
      </w:r>
      <w:r w:rsidRPr="00FF75A1">
        <w:rPr>
          <w:lang w:val="fr-FR"/>
        </w:rPr>
        <w:t>être entendu dans le cadre des procédures judiciaires n</w:t>
      </w:r>
      <w:r>
        <w:rPr>
          <w:lang w:val="fr-FR"/>
        </w:rPr>
        <w:t>’</w:t>
      </w:r>
      <w:r w:rsidRPr="00FF75A1">
        <w:rPr>
          <w:lang w:val="fr-FR"/>
        </w:rPr>
        <w:t>a pas été respecté, en violation de l</w:t>
      </w:r>
      <w:r>
        <w:rPr>
          <w:lang w:val="fr-FR"/>
        </w:rPr>
        <w:t>’</w:t>
      </w:r>
      <w:r w:rsidRPr="00FF75A1">
        <w:rPr>
          <w:lang w:val="fr-FR"/>
        </w:rPr>
        <w:t>article</w:t>
      </w:r>
      <w:r>
        <w:rPr>
          <w:lang w:val="fr-FR"/>
        </w:rPr>
        <w:t> </w:t>
      </w:r>
      <w:r w:rsidRPr="00FF75A1">
        <w:rPr>
          <w:lang w:val="fr-FR"/>
        </w:rPr>
        <w:t>12 de la Convention. Enfin, elle soutient que les mesures nécessaires pour protéger A.</w:t>
      </w:r>
      <w:r>
        <w:rPr>
          <w:lang w:val="fr-FR"/>
        </w:rPr>
        <w:t> </w:t>
      </w:r>
      <w:r w:rsidRPr="00FF75A1">
        <w:rPr>
          <w:lang w:val="fr-FR"/>
        </w:rPr>
        <w:t>R.</w:t>
      </w:r>
      <w:r>
        <w:rPr>
          <w:lang w:val="fr-FR"/>
        </w:rPr>
        <w:t> </w:t>
      </w:r>
      <w:r w:rsidRPr="00FF75A1">
        <w:rPr>
          <w:lang w:val="fr-FR"/>
        </w:rPr>
        <w:t>G. contre toute forme de violence, y compris les violences sexuelles, n</w:t>
      </w:r>
      <w:r>
        <w:rPr>
          <w:lang w:val="fr-FR"/>
        </w:rPr>
        <w:t>’</w:t>
      </w:r>
      <w:r w:rsidRPr="00FF75A1">
        <w:rPr>
          <w:lang w:val="fr-FR"/>
        </w:rPr>
        <w:t>ont pas été prises, en violation des articles 19 et 34 de la Convention</w:t>
      </w:r>
      <w:r w:rsidRPr="00BE1EAD">
        <w:rPr>
          <w:rStyle w:val="Appelnotedebasdep"/>
        </w:rPr>
        <w:footnoteReference w:id="4"/>
      </w:r>
      <w:r w:rsidRPr="00FF75A1">
        <w:rPr>
          <w:lang w:val="fr-FR"/>
        </w:rPr>
        <w:t>.</w:t>
      </w:r>
    </w:p>
    <w:p w:rsidR="001239BB" w:rsidRPr="00FF75A1" w:rsidRDefault="001239BB" w:rsidP="001239BB">
      <w:pPr>
        <w:pStyle w:val="H23G"/>
        <w:rPr>
          <w:lang w:val="fr-FR"/>
        </w:rPr>
      </w:pPr>
      <w:r w:rsidRPr="00FF75A1">
        <w:rPr>
          <w:lang w:val="fr-FR"/>
        </w:rPr>
        <w:lastRenderedPageBreak/>
        <w:tab/>
      </w:r>
      <w:r w:rsidRPr="00FF75A1">
        <w:rPr>
          <w:lang w:val="fr-FR"/>
        </w:rPr>
        <w:tab/>
        <w:t>Délibérations du Comité</w:t>
      </w:r>
    </w:p>
    <w:p w:rsidR="001239BB" w:rsidRPr="00FF75A1" w:rsidRDefault="001239BB" w:rsidP="001239BB">
      <w:pPr>
        <w:pStyle w:val="H4G"/>
        <w:rPr>
          <w:lang w:val="fr-FR"/>
        </w:rPr>
      </w:pPr>
      <w:r w:rsidRPr="00FF75A1">
        <w:rPr>
          <w:lang w:val="fr-FR"/>
        </w:rPr>
        <w:tab/>
      </w:r>
      <w:r w:rsidRPr="00FF75A1">
        <w:rPr>
          <w:lang w:val="fr-FR"/>
        </w:rPr>
        <w:tab/>
        <w:t>Examen de la recevabilité</w:t>
      </w:r>
    </w:p>
    <w:p w:rsidR="001239BB" w:rsidRPr="00FF75A1" w:rsidRDefault="001239BB" w:rsidP="001239BB">
      <w:pPr>
        <w:pStyle w:val="SingleTxtG"/>
        <w:rPr>
          <w:lang w:val="fr-FR"/>
        </w:rPr>
      </w:pPr>
      <w:r w:rsidRPr="00FF75A1">
        <w:rPr>
          <w:lang w:val="fr-FR"/>
        </w:rPr>
        <w:t>4.1</w:t>
      </w:r>
      <w:r w:rsidRPr="00FF75A1">
        <w:rPr>
          <w:lang w:val="fr-FR"/>
        </w:rPr>
        <w:tab/>
        <w:t>Avant d</w:t>
      </w:r>
      <w:r>
        <w:rPr>
          <w:lang w:val="fr-FR"/>
        </w:rPr>
        <w:t>’</w:t>
      </w:r>
      <w:r w:rsidRPr="00FF75A1">
        <w:rPr>
          <w:lang w:val="fr-FR"/>
        </w:rPr>
        <w:t>examiner toute plainte soumise dans une communication, le Comité doit, conformément à l</w:t>
      </w:r>
      <w:r>
        <w:rPr>
          <w:lang w:val="fr-FR"/>
        </w:rPr>
        <w:t>’</w:t>
      </w:r>
      <w:r w:rsidRPr="00FF75A1">
        <w:rPr>
          <w:lang w:val="fr-FR"/>
        </w:rPr>
        <w:t xml:space="preserve">article 20 de son règlement intérieur, déterminer si la communication est recevable. </w:t>
      </w:r>
    </w:p>
    <w:p w:rsidR="001239BB" w:rsidRPr="00FF75A1" w:rsidRDefault="001239BB" w:rsidP="001239BB">
      <w:pPr>
        <w:pStyle w:val="SingleTxtG"/>
        <w:rPr>
          <w:lang w:val="fr-FR"/>
        </w:rPr>
      </w:pPr>
      <w:r w:rsidRPr="00FF75A1">
        <w:rPr>
          <w:lang w:val="fr-FR"/>
        </w:rPr>
        <w:t>4.2</w:t>
      </w:r>
      <w:r w:rsidRPr="00FF75A1">
        <w:rPr>
          <w:lang w:val="fr-FR"/>
        </w:rPr>
        <w:tab/>
        <w:t>Le Comité prend note des allégations de l</w:t>
      </w:r>
      <w:r>
        <w:rPr>
          <w:lang w:val="fr-FR"/>
        </w:rPr>
        <w:t>’</w:t>
      </w:r>
      <w:r w:rsidRPr="00FF75A1">
        <w:rPr>
          <w:lang w:val="fr-FR"/>
        </w:rPr>
        <w:t>auteure selon lesquelles les tribunaux nationaux, en refusant d</w:t>
      </w:r>
      <w:r>
        <w:rPr>
          <w:lang w:val="fr-FR"/>
        </w:rPr>
        <w:t>’</w:t>
      </w:r>
      <w:r w:rsidRPr="00FF75A1">
        <w:rPr>
          <w:lang w:val="fr-FR"/>
        </w:rPr>
        <w:t>ordonner des mesures de protection tendant à suspendre totalement le droit de visite du père, n</w:t>
      </w:r>
      <w:r>
        <w:rPr>
          <w:lang w:val="fr-FR"/>
        </w:rPr>
        <w:t>’</w:t>
      </w:r>
      <w:r w:rsidRPr="00FF75A1">
        <w:rPr>
          <w:lang w:val="fr-FR"/>
        </w:rPr>
        <w:t>ont pas dûment pris en considération l</w:t>
      </w:r>
      <w:r>
        <w:rPr>
          <w:lang w:val="fr-FR"/>
        </w:rPr>
        <w:t>’</w:t>
      </w:r>
      <w:r w:rsidRPr="00FF75A1">
        <w:rPr>
          <w:lang w:val="fr-FR"/>
        </w:rPr>
        <w:t>intérêt supérieur d</w:t>
      </w:r>
      <w:r>
        <w:rPr>
          <w:lang w:val="fr-FR"/>
        </w:rPr>
        <w:t>’</w:t>
      </w:r>
      <w:r w:rsidRPr="00FF75A1">
        <w:rPr>
          <w:lang w:val="fr-FR"/>
        </w:rPr>
        <w:t>A.</w:t>
      </w:r>
      <w:r>
        <w:rPr>
          <w:lang w:val="fr-FR"/>
        </w:rPr>
        <w:t> </w:t>
      </w:r>
      <w:r w:rsidRPr="00FF75A1">
        <w:rPr>
          <w:lang w:val="fr-FR"/>
        </w:rPr>
        <w:t>R.</w:t>
      </w:r>
      <w:r>
        <w:rPr>
          <w:lang w:val="fr-FR"/>
        </w:rPr>
        <w:t> </w:t>
      </w:r>
      <w:r w:rsidRPr="00FF75A1">
        <w:rPr>
          <w:lang w:val="fr-FR"/>
        </w:rPr>
        <w:t>G., en violation du droit que celui-ci tient de l</w:t>
      </w:r>
      <w:r>
        <w:rPr>
          <w:lang w:val="fr-FR"/>
        </w:rPr>
        <w:t>’</w:t>
      </w:r>
      <w:r w:rsidRPr="00FF75A1">
        <w:rPr>
          <w:lang w:val="fr-FR"/>
        </w:rPr>
        <w:t>article</w:t>
      </w:r>
      <w:r>
        <w:rPr>
          <w:lang w:val="fr-FR"/>
        </w:rPr>
        <w:t> </w:t>
      </w:r>
      <w:r w:rsidRPr="00FF75A1">
        <w:rPr>
          <w:lang w:val="fr-FR"/>
        </w:rPr>
        <w:t>3 de la Convention. Il rappelle qu</w:t>
      </w:r>
      <w:r>
        <w:rPr>
          <w:lang w:val="fr-FR"/>
        </w:rPr>
        <w:t>’</w:t>
      </w:r>
      <w:r w:rsidRPr="00FF75A1">
        <w:rPr>
          <w:lang w:val="fr-FR"/>
        </w:rPr>
        <w:t>il appartient généralement aux juridictions nationales d</w:t>
      </w:r>
      <w:r>
        <w:rPr>
          <w:lang w:val="fr-FR"/>
        </w:rPr>
        <w:t>’</w:t>
      </w:r>
      <w:r w:rsidRPr="00FF75A1">
        <w:rPr>
          <w:lang w:val="fr-FR"/>
        </w:rPr>
        <w:t>examiner les faits et les éléments de preuve et d</w:t>
      </w:r>
      <w:r>
        <w:rPr>
          <w:lang w:val="fr-FR"/>
        </w:rPr>
        <w:t>’</w:t>
      </w:r>
      <w:r w:rsidRPr="00FF75A1">
        <w:rPr>
          <w:lang w:val="fr-FR"/>
        </w:rPr>
        <w:t>interpréter la législation, à moins que l</w:t>
      </w:r>
      <w:r>
        <w:rPr>
          <w:lang w:val="fr-FR"/>
        </w:rPr>
        <w:t>’</w:t>
      </w:r>
      <w:r w:rsidRPr="00FF75A1">
        <w:rPr>
          <w:lang w:val="fr-FR"/>
        </w:rPr>
        <w:t>appréciation ou l</w:t>
      </w:r>
      <w:r>
        <w:rPr>
          <w:lang w:val="fr-FR"/>
        </w:rPr>
        <w:t>’</w:t>
      </w:r>
      <w:r w:rsidRPr="00FF75A1">
        <w:rPr>
          <w:lang w:val="fr-FR"/>
        </w:rPr>
        <w:t>interprétation faite par celles-ci ait été manifestement arbitraire ou ait constitué un déni de justice</w:t>
      </w:r>
      <w:r w:rsidRPr="00BE1EAD">
        <w:rPr>
          <w:rStyle w:val="Appelnotedebasdep"/>
        </w:rPr>
        <w:footnoteReference w:id="5"/>
      </w:r>
      <w:r w:rsidRPr="00FF75A1">
        <w:rPr>
          <w:lang w:val="fr-FR"/>
        </w:rPr>
        <w:t>. Il fait observer que tant le tribunal d</w:t>
      </w:r>
      <w:r>
        <w:rPr>
          <w:lang w:val="fr-FR"/>
        </w:rPr>
        <w:t>’</w:t>
      </w:r>
      <w:r w:rsidRPr="00FF75A1">
        <w:rPr>
          <w:lang w:val="fr-FR"/>
        </w:rPr>
        <w:t>instruction n</w:t>
      </w:r>
      <w:r w:rsidRPr="00FF75A1">
        <w:rPr>
          <w:vertAlign w:val="superscript"/>
          <w:lang w:val="fr-FR"/>
        </w:rPr>
        <w:t>o</w:t>
      </w:r>
      <w:r w:rsidRPr="00FF75A1">
        <w:rPr>
          <w:lang w:val="fr-FR"/>
        </w:rPr>
        <w:t> 1 de Blanes que l</w:t>
      </w:r>
      <w:r>
        <w:rPr>
          <w:lang w:val="fr-FR"/>
        </w:rPr>
        <w:t>’</w:t>
      </w:r>
      <w:r w:rsidRPr="00FF75A1">
        <w:rPr>
          <w:lang w:val="fr-FR"/>
        </w:rPr>
        <w:t>Audiencia provincial de Gérone ont évalué les risques que courait A.</w:t>
      </w:r>
      <w:r>
        <w:rPr>
          <w:lang w:val="fr-FR"/>
        </w:rPr>
        <w:t> </w:t>
      </w:r>
      <w:r w:rsidRPr="00FF75A1">
        <w:rPr>
          <w:lang w:val="fr-FR"/>
        </w:rPr>
        <w:t>R.</w:t>
      </w:r>
      <w:r>
        <w:rPr>
          <w:lang w:val="fr-FR"/>
        </w:rPr>
        <w:t> </w:t>
      </w:r>
      <w:r w:rsidRPr="00FF75A1">
        <w:rPr>
          <w:lang w:val="fr-FR"/>
        </w:rPr>
        <w:t>G. et jugé qu</w:t>
      </w:r>
      <w:r>
        <w:rPr>
          <w:lang w:val="fr-FR"/>
        </w:rPr>
        <w:t>’</w:t>
      </w:r>
      <w:r w:rsidRPr="00FF75A1">
        <w:rPr>
          <w:lang w:val="fr-FR"/>
        </w:rPr>
        <w:t>il n</w:t>
      </w:r>
      <w:r>
        <w:rPr>
          <w:lang w:val="fr-FR"/>
        </w:rPr>
        <w:t>’</w:t>
      </w:r>
      <w:r w:rsidRPr="00FF75A1">
        <w:rPr>
          <w:lang w:val="fr-FR"/>
        </w:rPr>
        <w:t>était pas utile de prendre des mesures de protection. L</w:t>
      </w:r>
      <w:r>
        <w:rPr>
          <w:lang w:val="fr-FR"/>
        </w:rPr>
        <w:t>’</w:t>
      </w:r>
      <w:r w:rsidRPr="00FF75A1">
        <w:rPr>
          <w:lang w:val="fr-FR"/>
        </w:rPr>
        <w:t>Audiencia provincial, invoquant la nécessité de respecter le principe de la protection de l</w:t>
      </w:r>
      <w:r>
        <w:rPr>
          <w:lang w:val="fr-FR"/>
        </w:rPr>
        <w:t>’</w:t>
      </w:r>
      <w:r w:rsidRPr="00FF75A1">
        <w:rPr>
          <w:lang w:val="fr-FR"/>
        </w:rPr>
        <w:t>intérêt de l</w:t>
      </w:r>
      <w:r>
        <w:rPr>
          <w:lang w:val="fr-FR"/>
        </w:rPr>
        <w:t>’</w:t>
      </w:r>
      <w:r w:rsidRPr="00FF75A1">
        <w:rPr>
          <w:lang w:val="fr-FR"/>
        </w:rPr>
        <w:t>enfant, a néanmoins modifié les conditions du droit de visite pour éviter que le père et le fils se retrouvent seuls tous les deux. Le Comité estime que, si elle n</w:t>
      </w:r>
      <w:r>
        <w:rPr>
          <w:lang w:val="fr-FR"/>
        </w:rPr>
        <w:t>’</w:t>
      </w:r>
      <w:r w:rsidRPr="00FF75A1">
        <w:rPr>
          <w:lang w:val="fr-FR"/>
        </w:rPr>
        <w:t>est pas satisfaite des décisions rendues par les autorités nationales, l</w:t>
      </w:r>
      <w:r>
        <w:rPr>
          <w:lang w:val="fr-FR"/>
        </w:rPr>
        <w:t>’</w:t>
      </w:r>
      <w:r w:rsidRPr="00FF75A1">
        <w:rPr>
          <w:lang w:val="fr-FR"/>
        </w:rPr>
        <w:t>auteure n</w:t>
      </w:r>
      <w:r>
        <w:rPr>
          <w:lang w:val="fr-FR"/>
        </w:rPr>
        <w:t>’</w:t>
      </w:r>
      <w:r w:rsidRPr="00FF75A1">
        <w:rPr>
          <w:lang w:val="fr-FR"/>
        </w:rPr>
        <w:t>a pas démontré que l</w:t>
      </w:r>
      <w:r>
        <w:rPr>
          <w:lang w:val="fr-FR"/>
        </w:rPr>
        <w:t>’</w:t>
      </w:r>
      <w:r w:rsidRPr="00FF75A1">
        <w:rPr>
          <w:lang w:val="fr-FR"/>
        </w:rPr>
        <w:t>examen des faits et éléments de preuve soumis à ces autorités avait été manifestement arbitraire ou avait constitué un déni de justice. Par conséquent, il estime que ce grief n</w:t>
      </w:r>
      <w:r>
        <w:rPr>
          <w:lang w:val="fr-FR"/>
        </w:rPr>
        <w:t>’</w:t>
      </w:r>
      <w:r w:rsidRPr="00FF75A1">
        <w:rPr>
          <w:lang w:val="fr-FR"/>
        </w:rPr>
        <w:t>a pas été suffisamment étayé et le déclare irrecevable au regard de l</w:t>
      </w:r>
      <w:r>
        <w:rPr>
          <w:lang w:val="fr-FR"/>
        </w:rPr>
        <w:t>’</w:t>
      </w:r>
      <w:r w:rsidRPr="00FF75A1">
        <w:rPr>
          <w:lang w:val="fr-FR"/>
        </w:rPr>
        <w:t>article</w:t>
      </w:r>
      <w:r>
        <w:rPr>
          <w:lang w:val="fr-FR"/>
        </w:rPr>
        <w:t> </w:t>
      </w:r>
      <w:r w:rsidRPr="00FF75A1">
        <w:rPr>
          <w:lang w:val="fr-FR"/>
        </w:rPr>
        <w:t>7</w:t>
      </w:r>
      <w:r>
        <w:rPr>
          <w:lang w:val="fr-FR"/>
        </w:rPr>
        <w:t> (al.</w:t>
      </w:r>
      <w:r w:rsidR="00BE35F1">
        <w:rPr>
          <w:lang w:val="fr-FR"/>
        </w:rPr>
        <w:t> </w:t>
      </w:r>
      <w:r w:rsidRPr="00FF75A1">
        <w:rPr>
          <w:lang w:val="fr-FR"/>
        </w:rPr>
        <w:t>f)</w:t>
      </w:r>
      <w:r>
        <w:rPr>
          <w:lang w:val="fr-FR"/>
        </w:rPr>
        <w:t>)</w:t>
      </w:r>
      <w:r w:rsidRPr="00FF75A1">
        <w:rPr>
          <w:lang w:val="fr-FR"/>
        </w:rPr>
        <w:t xml:space="preserve"> du Protocole facultatif. </w:t>
      </w:r>
    </w:p>
    <w:p w:rsidR="001239BB" w:rsidRPr="00FF75A1" w:rsidRDefault="001239BB" w:rsidP="001239BB">
      <w:pPr>
        <w:pStyle w:val="SingleTxtG"/>
        <w:rPr>
          <w:lang w:val="fr-FR"/>
        </w:rPr>
      </w:pPr>
      <w:r w:rsidRPr="00FF75A1">
        <w:rPr>
          <w:lang w:val="fr-FR"/>
        </w:rPr>
        <w:t>4.3</w:t>
      </w:r>
      <w:r w:rsidRPr="00FF75A1">
        <w:rPr>
          <w:lang w:val="fr-FR"/>
        </w:rPr>
        <w:tab/>
        <w:t>Concernant les griefs que l</w:t>
      </w:r>
      <w:r>
        <w:rPr>
          <w:lang w:val="fr-FR"/>
        </w:rPr>
        <w:t>’</w:t>
      </w:r>
      <w:r w:rsidRPr="00FF75A1">
        <w:rPr>
          <w:lang w:val="fr-FR"/>
        </w:rPr>
        <w:t>auteure tire des articles</w:t>
      </w:r>
      <w:r>
        <w:rPr>
          <w:lang w:val="fr-FR"/>
        </w:rPr>
        <w:t> </w:t>
      </w:r>
      <w:r w:rsidRPr="00FF75A1">
        <w:rPr>
          <w:lang w:val="fr-FR"/>
        </w:rPr>
        <w:t>6, 9, 12, 19 et 34 de la Convention, le Comité estime que l</w:t>
      </w:r>
      <w:r>
        <w:rPr>
          <w:lang w:val="fr-FR"/>
        </w:rPr>
        <w:t>’</w:t>
      </w:r>
      <w:r w:rsidRPr="00FF75A1">
        <w:rPr>
          <w:lang w:val="fr-FR"/>
        </w:rPr>
        <w:t>intéressée n</w:t>
      </w:r>
      <w:r>
        <w:rPr>
          <w:lang w:val="fr-FR"/>
        </w:rPr>
        <w:t>’</w:t>
      </w:r>
      <w:r w:rsidRPr="00FF75A1">
        <w:rPr>
          <w:lang w:val="fr-FR"/>
        </w:rPr>
        <w:t xml:space="preserve">a pas suffisamment étayé ses allégations </w:t>
      </w:r>
      <w:bookmarkStart w:id="0" w:name="_GoBack"/>
      <w:bookmarkEnd w:id="0"/>
      <w:r w:rsidRPr="00FF75A1">
        <w:rPr>
          <w:lang w:val="fr-FR"/>
        </w:rPr>
        <w:t>selon lesquelles les droits qu</w:t>
      </w:r>
      <w:r>
        <w:rPr>
          <w:lang w:val="fr-FR"/>
        </w:rPr>
        <w:t>’</w:t>
      </w:r>
      <w:r w:rsidRPr="00FF75A1">
        <w:rPr>
          <w:lang w:val="fr-FR"/>
        </w:rPr>
        <w:t>A.</w:t>
      </w:r>
      <w:r>
        <w:rPr>
          <w:lang w:val="fr-FR"/>
        </w:rPr>
        <w:t> </w:t>
      </w:r>
      <w:r w:rsidRPr="00FF75A1">
        <w:rPr>
          <w:lang w:val="fr-FR"/>
        </w:rPr>
        <w:t>R.</w:t>
      </w:r>
      <w:r>
        <w:rPr>
          <w:lang w:val="fr-FR"/>
        </w:rPr>
        <w:t> </w:t>
      </w:r>
      <w:r w:rsidRPr="00FF75A1">
        <w:rPr>
          <w:lang w:val="fr-FR"/>
        </w:rPr>
        <w:t>G. tient de ces articles ont été violés parce que le droit de visite du père, dont les conditions ont été modifiées par l</w:t>
      </w:r>
      <w:r>
        <w:rPr>
          <w:lang w:val="fr-FR"/>
        </w:rPr>
        <w:t>’</w:t>
      </w:r>
      <w:r w:rsidRPr="00FF75A1">
        <w:rPr>
          <w:lang w:val="fr-FR"/>
        </w:rPr>
        <w:t>Audiencia provincial, n</w:t>
      </w:r>
      <w:r>
        <w:rPr>
          <w:lang w:val="fr-FR"/>
        </w:rPr>
        <w:t>’</w:t>
      </w:r>
      <w:r w:rsidRPr="00FF75A1">
        <w:rPr>
          <w:lang w:val="fr-FR"/>
        </w:rPr>
        <w:t>a pas été totalement suspendu. Par conséquent, le Comité conclut que ces griefs sont manifestement infondés et les déclare irrecevables au regard de l</w:t>
      </w:r>
      <w:r>
        <w:rPr>
          <w:lang w:val="fr-FR"/>
        </w:rPr>
        <w:t>’</w:t>
      </w:r>
      <w:r w:rsidRPr="00FF75A1">
        <w:rPr>
          <w:lang w:val="fr-FR"/>
        </w:rPr>
        <w:t>article</w:t>
      </w:r>
      <w:r>
        <w:rPr>
          <w:lang w:val="fr-FR"/>
        </w:rPr>
        <w:t> </w:t>
      </w:r>
      <w:r w:rsidRPr="00FF75A1">
        <w:rPr>
          <w:lang w:val="fr-FR"/>
        </w:rPr>
        <w:t>7</w:t>
      </w:r>
      <w:r w:rsidR="006C1FA2">
        <w:rPr>
          <w:lang w:val="fr-FR"/>
        </w:rPr>
        <w:t> </w:t>
      </w:r>
      <w:r>
        <w:rPr>
          <w:lang w:val="fr-FR"/>
        </w:rPr>
        <w:t>(al. </w:t>
      </w:r>
      <w:r w:rsidRPr="00FF75A1">
        <w:rPr>
          <w:lang w:val="fr-FR"/>
        </w:rPr>
        <w:t>f)</w:t>
      </w:r>
      <w:r>
        <w:rPr>
          <w:lang w:val="fr-FR"/>
        </w:rPr>
        <w:t>)</w:t>
      </w:r>
      <w:r w:rsidRPr="00FF75A1">
        <w:rPr>
          <w:lang w:val="fr-FR"/>
        </w:rPr>
        <w:t xml:space="preserve"> du Protocole facultatif.</w:t>
      </w:r>
    </w:p>
    <w:p w:rsidR="001239BB" w:rsidRPr="00FF75A1" w:rsidRDefault="001239BB" w:rsidP="006C1FA2">
      <w:pPr>
        <w:pStyle w:val="SingleTxtG"/>
        <w:keepNext/>
        <w:rPr>
          <w:lang w:val="fr-FR"/>
        </w:rPr>
      </w:pPr>
      <w:r w:rsidRPr="00FF75A1">
        <w:rPr>
          <w:lang w:val="fr-FR"/>
        </w:rPr>
        <w:t>5.</w:t>
      </w:r>
      <w:r w:rsidRPr="00FF75A1">
        <w:rPr>
          <w:lang w:val="fr-FR"/>
        </w:rPr>
        <w:tab/>
        <w:t>Le Comité des droits de l</w:t>
      </w:r>
      <w:r>
        <w:rPr>
          <w:lang w:val="fr-FR"/>
        </w:rPr>
        <w:t>’</w:t>
      </w:r>
      <w:r w:rsidRPr="00FF75A1">
        <w:rPr>
          <w:lang w:val="fr-FR"/>
        </w:rPr>
        <w:t>enfant décide</w:t>
      </w:r>
      <w:r>
        <w:rPr>
          <w:lang w:val="fr-FR"/>
        </w:rPr>
        <w:t> </w:t>
      </w:r>
      <w:r w:rsidRPr="00FF75A1">
        <w:rPr>
          <w:lang w:val="fr-FR"/>
        </w:rPr>
        <w:t>:</w:t>
      </w:r>
    </w:p>
    <w:p w:rsidR="001239BB" w:rsidRPr="00FF75A1" w:rsidRDefault="001239BB" w:rsidP="006C1FA2">
      <w:pPr>
        <w:pStyle w:val="SingleTxtG"/>
        <w:ind w:firstLine="567"/>
        <w:rPr>
          <w:lang w:val="fr-FR"/>
        </w:rPr>
      </w:pPr>
      <w:r w:rsidRPr="00FF75A1">
        <w:rPr>
          <w:lang w:val="fr-FR"/>
        </w:rPr>
        <w:t>a)</w:t>
      </w:r>
      <w:r w:rsidRPr="00FF75A1">
        <w:rPr>
          <w:lang w:val="fr-FR"/>
        </w:rPr>
        <w:tab/>
        <w:t>Que la communication est irrecevable au regard de l</w:t>
      </w:r>
      <w:r>
        <w:rPr>
          <w:lang w:val="fr-FR"/>
        </w:rPr>
        <w:t>’</w:t>
      </w:r>
      <w:r w:rsidRPr="00FF75A1">
        <w:rPr>
          <w:lang w:val="fr-FR"/>
        </w:rPr>
        <w:t>article</w:t>
      </w:r>
      <w:r>
        <w:rPr>
          <w:lang w:val="fr-FR"/>
        </w:rPr>
        <w:t> </w:t>
      </w:r>
      <w:r w:rsidRPr="00FF75A1">
        <w:rPr>
          <w:lang w:val="fr-FR"/>
        </w:rPr>
        <w:t>7</w:t>
      </w:r>
      <w:r>
        <w:rPr>
          <w:lang w:val="fr-FR"/>
        </w:rPr>
        <w:t> (al. </w:t>
      </w:r>
      <w:r w:rsidRPr="00FF75A1">
        <w:rPr>
          <w:lang w:val="fr-FR"/>
        </w:rPr>
        <w:t>f)</w:t>
      </w:r>
      <w:r>
        <w:rPr>
          <w:lang w:val="fr-FR"/>
        </w:rPr>
        <w:t>)</w:t>
      </w:r>
      <w:r w:rsidRPr="00FF75A1">
        <w:rPr>
          <w:lang w:val="fr-FR"/>
        </w:rPr>
        <w:t xml:space="preserve"> du Protocole facultatif ; </w:t>
      </w:r>
    </w:p>
    <w:p w:rsidR="007341B7" w:rsidRDefault="001239BB" w:rsidP="006C1FA2">
      <w:pPr>
        <w:pStyle w:val="SingleTxtG"/>
        <w:ind w:firstLine="567"/>
        <w:rPr>
          <w:lang w:val="fr-FR"/>
        </w:rPr>
      </w:pPr>
      <w:r w:rsidRPr="00FF75A1">
        <w:rPr>
          <w:lang w:val="fr-FR"/>
        </w:rPr>
        <w:t>b)</w:t>
      </w:r>
      <w:r w:rsidRPr="00FF75A1">
        <w:rPr>
          <w:lang w:val="fr-FR"/>
        </w:rPr>
        <w:tab/>
        <w:t>Que la présente décision sera communiquée à l</w:t>
      </w:r>
      <w:r>
        <w:rPr>
          <w:lang w:val="fr-FR"/>
        </w:rPr>
        <w:t>’</w:t>
      </w:r>
      <w:r w:rsidRPr="00FF75A1">
        <w:rPr>
          <w:lang w:val="fr-FR"/>
        </w:rPr>
        <w:t>auteure de la communication et, pour information, à l</w:t>
      </w:r>
      <w:r>
        <w:rPr>
          <w:lang w:val="fr-FR"/>
        </w:rPr>
        <w:t>’</w:t>
      </w:r>
      <w:r w:rsidRPr="00FF75A1">
        <w:rPr>
          <w:lang w:val="fr-FR"/>
        </w:rPr>
        <w:t>État partie.</w:t>
      </w:r>
    </w:p>
    <w:p w:rsidR="001239BB" w:rsidRPr="001239BB" w:rsidRDefault="001239BB" w:rsidP="001239B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239BB" w:rsidRPr="001239BB" w:rsidSect="00683A4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1D2" w:rsidRDefault="004951D2" w:rsidP="00F95C08">
      <w:pPr>
        <w:spacing w:line="240" w:lineRule="auto"/>
      </w:pPr>
    </w:p>
  </w:endnote>
  <w:endnote w:type="continuationSeparator" w:id="0">
    <w:p w:rsidR="004951D2" w:rsidRPr="00AC3823" w:rsidRDefault="004951D2" w:rsidP="00AC3823">
      <w:pPr>
        <w:pStyle w:val="Pieddepage"/>
      </w:pPr>
    </w:p>
  </w:endnote>
  <w:endnote w:type="continuationNotice" w:id="1">
    <w:p w:rsidR="004951D2" w:rsidRDefault="004951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A42" w:rsidRPr="00683A42" w:rsidRDefault="00683A42" w:rsidP="00683A42">
    <w:pPr>
      <w:pStyle w:val="Pieddepage"/>
      <w:tabs>
        <w:tab w:val="right" w:pos="9638"/>
      </w:tabs>
    </w:pPr>
    <w:r w:rsidRPr="00683A42">
      <w:rPr>
        <w:b/>
        <w:sz w:val="18"/>
      </w:rPr>
      <w:fldChar w:fldCharType="begin"/>
    </w:r>
    <w:r w:rsidRPr="00683A42">
      <w:rPr>
        <w:b/>
        <w:sz w:val="18"/>
      </w:rPr>
      <w:instrText xml:space="preserve"> PAGE  \* MERGEFORMAT </w:instrText>
    </w:r>
    <w:r w:rsidRPr="00683A42">
      <w:rPr>
        <w:b/>
        <w:sz w:val="18"/>
      </w:rPr>
      <w:fldChar w:fldCharType="separate"/>
    </w:r>
    <w:r w:rsidRPr="00683A42">
      <w:rPr>
        <w:b/>
        <w:noProof/>
        <w:sz w:val="18"/>
      </w:rPr>
      <w:t>2</w:t>
    </w:r>
    <w:r w:rsidRPr="00683A42">
      <w:rPr>
        <w:b/>
        <w:sz w:val="18"/>
      </w:rPr>
      <w:fldChar w:fldCharType="end"/>
    </w:r>
    <w:r>
      <w:rPr>
        <w:b/>
        <w:sz w:val="18"/>
      </w:rPr>
      <w:tab/>
    </w:r>
    <w:r>
      <w:t>GE.20-14456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A42" w:rsidRPr="00683A42" w:rsidRDefault="00683A42" w:rsidP="00683A42">
    <w:pPr>
      <w:pStyle w:val="Pieddepage"/>
      <w:tabs>
        <w:tab w:val="right" w:pos="9638"/>
      </w:tabs>
      <w:rPr>
        <w:b/>
        <w:sz w:val="18"/>
      </w:rPr>
    </w:pPr>
    <w:r>
      <w:t>GE.20-14456</w:t>
    </w:r>
    <w:r>
      <w:tab/>
    </w:r>
    <w:r w:rsidRPr="00683A42">
      <w:rPr>
        <w:b/>
        <w:sz w:val="18"/>
      </w:rPr>
      <w:fldChar w:fldCharType="begin"/>
    </w:r>
    <w:r w:rsidRPr="00683A42">
      <w:rPr>
        <w:b/>
        <w:sz w:val="18"/>
      </w:rPr>
      <w:instrText xml:space="preserve"> PAGE  \* MERGEFORMAT </w:instrText>
    </w:r>
    <w:r w:rsidRPr="00683A42">
      <w:rPr>
        <w:b/>
        <w:sz w:val="18"/>
      </w:rPr>
      <w:fldChar w:fldCharType="separate"/>
    </w:r>
    <w:r w:rsidRPr="00683A42">
      <w:rPr>
        <w:b/>
        <w:noProof/>
        <w:sz w:val="18"/>
      </w:rPr>
      <w:t>3</w:t>
    </w:r>
    <w:r w:rsidRPr="00683A4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A3" w:rsidRPr="00683A42" w:rsidRDefault="00683A42" w:rsidP="00683A42">
    <w:pPr>
      <w:pStyle w:val="Pieddepage"/>
      <w:spacing w:before="120"/>
      <w:rPr>
        <w:sz w:val="20"/>
      </w:rPr>
    </w:pPr>
    <w:r>
      <w:rPr>
        <w:sz w:val="20"/>
      </w:rPr>
      <w:t>GE.</w:t>
    </w:r>
    <w:r w:rsidR="002D14A3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6C59A4C8" wp14:editId="461373E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20-14456  (F)    191120    191120</w:t>
    </w:r>
    <w:r>
      <w:rPr>
        <w:sz w:val="20"/>
      </w:rPr>
      <w:br/>
    </w:r>
    <w:r w:rsidRPr="00683A42">
      <w:rPr>
        <w:rFonts w:ascii="C39T30Lfz" w:hAnsi="C39T30Lfz"/>
        <w:sz w:val="56"/>
      </w:rPr>
      <w:t>*2014456*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1D2" w:rsidRPr="00AC3823" w:rsidRDefault="004951D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951D2" w:rsidRPr="00AC3823" w:rsidRDefault="004951D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951D2" w:rsidRPr="00AC3823" w:rsidRDefault="004951D2">
      <w:pPr>
        <w:spacing w:line="240" w:lineRule="auto"/>
        <w:rPr>
          <w:sz w:val="2"/>
          <w:szCs w:val="2"/>
        </w:rPr>
      </w:pPr>
    </w:p>
  </w:footnote>
  <w:footnote w:id="2">
    <w:p w:rsidR="001239BB" w:rsidRPr="00BE1EAD" w:rsidRDefault="001239BB" w:rsidP="001239BB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BE1EAD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t>Adoptée par le Comité à sa quatre-vingt-cinquième session (14 septembre-1</w:t>
      </w:r>
      <w:r w:rsidRPr="00BE1EAD">
        <w:rPr>
          <w:vertAlign w:val="superscript"/>
        </w:rPr>
        <w:t>er</w:t>
      </w:r>
      <w:r>
        <w:t xml:space="preserve"> octobre 2020).</w:t>
      </w:r>
    </w:p>
  </w:footnote>
  <w:footnote w:id="3">
    <w:p w:rsidR="001239BB" w:rsidRPr="000904F4" w:rsidRDefault="001239BB" w:rsidP="001239BB">
      <w:pPr>
        <w:pStyle w:val="Notedebasdepage"/>
      </w:pPr>
      <w:r>
        <w:rPr>
          <w:rStyle w:val="Appelnotedebasdep"/>
        </w:rPr>
        <w:tab/>
      </w:r>
      <w:r w:rsidRPr="00BE1EAD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t>Les membres du Comité dont le nom suit ont participé à l</w:t>
      </w:r>
      <w:r w:rsidR="00537346">
        <w:t>’</w:t>
      </w:r>
      <w:r>
        <w:t>examen de la communication :</w:t>
      </w:r>
      <w:r w:rsidRPr="000904F4">
        <w:rPr>
          <w:szCs w:val="18"/>
        </w:rPr>
        <w:t xml:space="preserve"> </w:t>
      </w:r>
      <w:r w:rsidRPr="002877FA">
        <w:rPr>
          <w:szCs w:val="18"/>
        </w:rPr>
        <w:t xml:space="preserve">Suzanne Aho </w:t>
      </w:r>
      <w:proofErr w:type="spellStart"/>
      <w:r w:rsidRPr="002877FA">
        <w:rPr>
          <w:szCs w:val="18"/>
        </w:rPr>
        <w:t>Assouma</w:t>
      </w:r>
      <w:proofErr w:type="spellEnd"/>
      <w:r w:rsidRPr="002877FA">
        <w:rPr>
          <w:szCs w:val="18"/>
        </w:rPr>
        <w:t xml:space="preserve">, Hynd </w:t>
      </w:r>
      <w:proofErr w:type="spellStart"/>
      <w:r w:rsidRPr="002877FA">
        <w:rPr>
          <w:szCs w:val="18"/>
        </w:rPr>
        <w:t>Ayoubi</w:t>
      </w:r>
      <w:proofErr w:type="spellEnd"/>
      <w:r w:rsidRPr="002877FA">
        <w:rPr>
          <w:szCs w:val="18"/>
        </w:rPr>
        <w:t xml:space="preserve"> Idrissi, Bragi </w:t>
      </w:r>
      <w:proofErr w:type="spellStart"/>
      <w:r w:rsidRPr="002877FA">
        <w:rPr>
          <w:szCs w:val="18"/>
        </w:rPr>
        <w:t>Gudbrandsson</w:t>
      </w:r>
      <w:proofErr w:type="spellEnd"/>
      <w:r w:rsidRPr="002877FA">
        <w:rPr>
          <w:szCs w:val="18"/>
        </w:rPr>
        <w:t xml:space="preserve">, Philip Jaffé, Olga A. </w:t>
      </w:r>
      <w:proofErr w:type="spellStart"/>
      <w:r w:rsidRPr="002877FA">
        <w:rPr>
          <w:szCs w:val="18"/>
        </w:rPr>
        <w:t>Khazova</w:t>
      </w:r>
      <w:proofErr w:type="spellEnd"/>
      <w:r w:rsidRPr="002877FA">
        <w:rPr>
          <w:szCs w:val="18"/>
        </w:rPr>
        <w:t xml:space="preserve">, </w:t>
      </w:r>
      <w:proofErr w:type="spellStart"/>
      <w:r w:rsidRPr="002877FA">
        <w:rPr>
          <w:szCs w:val="18"/>
        </w:rPr>
        <w:t>Gehad</w:t>
      </w:r>
      <w:proofErr w:type="spellEnd"/>
      <w:r w:rsidRPr="002877FA">
        <w:rPr>
          <w:szCs w:val="18"/>
        </w:rPr>
        <w:t xml:space="preserve"> Madi, </w:t>
      </w:r>
      <w:proofErr w:type="spellStart"/>
      <w:r w:rsidRPr="002877FA">
        <w:rPr>
          <w:szCs w:val="18"/>
        </w:rPr>
        <w:t>Benyam</w:t>
      </w:r>
      <w:proofErr w:type="spellEnd"/>
      <w:r w:rsidRPr="002877FA">
        <w:rPr>
          <w:szCs w:val="18"/>
        </w:rPr>
        <w:t xml:space="preserve"> </w:t>
      </w:r>
      <w:proofErr w:type="spellStart"/>
      <w:r w:rsidRPr="002877FA">
        <w:rPr>
          <w:szCs w:val="18"/>
        </w:rPr>
        <w:t>Dawit</w:t>
      </w:r>
      <w:proofErr w:type="spellEnd"/>
      <w:r w:rsidRPr="002877FA">
        <w:rPr>
          <w:szCs w:val="18"/>
        </w:rPr>
        <w:t xml:space="preserve"> </w:t>
      </w:r>
      <w:proofErr w:type="spellStart"/>
      <w:r w:rsidRPr="002877FA">
        <w:rPr>
          <w:szCs w:val="18"/>
        </w:rPr>
        <w:t>Mezmur</w:t>
      </w:r>
      <w:proofErr w:type="spellEnd"/>
      <w:r w:rsidRPr="002877FA">
        <w:rPr>
          <w:szCs w:val="18"/>
        </w:rPr>
        <w:t xml:space="preserve">, </w:t>
      </w:r>
      <w:proofErr w:type="spellStart"/>
      <w:r w:rsidRPr="002877FA">
        <w:rPr>
          <w:szCs w:val="18"/>
        </w:rPr>
        <w:t>Otani</w:t>
      </w:r>
      <w:proofErr w:type="spellEnd"/>
      <w:r>
        <w:rPr>
          <w:szCs w:val="18"/>
        </w:rPr>
        <w:t xml:space="preserve"> </w:t>
      </w:r>
      <w:proofErr w:type="spellStart"/>
      <w:r w:rsidRPr="002877FA">
        <w:rPr>
          <w:szCs w:val="18"/>
        </w:rPr>
        <w:t>Mikiko</w:t>
      </w:r>
      <w:proofErr w:type="spellEnd"/>
      <w:r w:rsidRPr="002877FA">
        <w:rPr>
          <w:szCs w:val="18"/>
        </w:rPr>
        <w:t xml:space="preserve">, Luis Ernesto </w:t>
      </w:r>
      <w:proofErr w:type="spellStart"/>
      <w:r w:rsidRPr="002877FA">
        <w:rPr>
          <w:szCs w:val="18"/>
        </w:rPr>
        <w:t>Pedernera</w:t>
      </w:r>
      <w:proofErr w:type="spellEnd"/>
      <w:r w:rsidRPr="002877FA">
        <w:rPr>
          <w:szCs w:val="18"/>
        </w:rPr>
        <w:t xml:space="preserve"> </w:t>
      </w:r>
      <w:proofErr w:type="spellStart"/>
      <w:r w:rsidRPr="002877FA">
        <w:rPr>
          <w:szCs w:val="18"/>
        </w:rPr>
        <w:t>Reyna</w:t>
      </w:r>
      <w:proofErr w:type="spellEnd"/>
      <w:r w:rsidRPr="002877FA">
        <w:rPr>
          <w:szCs w:val="18"/>
        </w:rPr>
        <w:t xml:space="preserve">, José </w:t>
      </w:r>
      <w:proofErr w:type="spellStart"/>
      <w:r w:rsidRPr="002877FA">
        <w:rPr>
          <w:szCs w:val="18"/>
        </w:rPr>
        <w:t>Ángel</w:t>
      </w:r>
      <w:proofErr w:type="spellEnd"/>
      <w:r w:rsidRPr="002877FA">
        <w:rPr>
          <w:szCs w:val="18"/>
        </w:rPr>
        <w:t xml:space="preserve"> </w:t>
      </w:r>
      <w:proofErr w:type="spellStart"/>
      <w:r w:rsidRPr="002877FA">
        <w:rPr>
          <w:szCs w:val="18"/>
        </w:rPr>
        <w:t>Rodríguez</w:t>
      </w:r>
      <w:proofErr w:type="spellEnd"/>
      <w:r w:rsidRPr="002877FA">
        <w:rPr>
          <w:szCs w:val="18"/>
        </w:rPr>
        <w:t xml:space="preserve"> Reyes, Ann Marie Skelton, Velina </w:t>
      </w:r>
      <w:proofErr w:type="spellStart"/>
      <w:r w:rsidRPr="002877FA">
        <w:rPr>
          <w:szCs w:val="18"/>
        </w:rPr>
        <w:t>Todorova</w:t>
      </w:r>
      <w:proofErr w:type="spellEnd"/>
      <w:r w:rsidRPr="002877FA">
        <w:rPr>
          <w:szCs w:val="18"/>
        </w:rPr>
        <w:t xml:space="preserve"> </w:t>
      </w:r>
      <w:r>
        <w:rPr>
          <w:szCs w:val="18"/>
        </w:rPr>
        <w:t>et</w:t>
      </w:r>
      <w:r w:rsidRPr="002877FA">
        <w:rPr>
          <w:szCs w:val="18"/>
        </w:rPr>
        <w:t xml:space="preserve"> Renate Winter.</w:t>
      </w:r>
    </w:p>
  </w:footnote>
  <w:footnote w:id="4">
    <w:p w:rsidR="001239BB" w:rsidRPr="00330025" w:rsidRDefault="001239BB" w:rsidP="001239BB">
      <w:pPr>
        <w:pStyle w:val="Notedebasdepage"/>
        <w:rPr>
          <w:lang w:val="fr-FR"/>
        </w:rPr>
      </w:pPr>
      <w:r w:rsidRPr="004057D8">
        <w:rPr>
          <w:lang w:val="fr-FR"/>
        </w:rPr>
        <w:tab/>
      </w:r>
      <w:r w:rsidRPr="00BE1EAD">
        <w:rPr>
          <w:rStyle w:val="Appelnotedebasdep"/>
        </w:rPr>
        <w:footnoteRef/>
      </w:r>
      <w:r w:rsidRPr="004057D8">
        <w:rPr>
          <w:lang w:val="fr-FR"/>
        </w:rPr>
        <w:tab/>
      </w:r>
      <w:r w:rsidRPr="00330025">
        <w:rPr>
          <w:lang w:val="fr-FR"/>
        </w:rPr>
        <w:t>L</w:t>
      </w:r>
      <w:r w:rsidR="00537346">
        <w:rPr>
          <w:lang w:val="fr-FR"/>
        </w:rPr>
        <w:t>’</w:t>
      </w:r>
      <w:r w:rsidRPr="00330025">
        <w:rPr>
          <w:lang w:val="fr-FR"/>
        </w:rPr>
        <w:t>auteure cite les observations générales n</w:t>
      </w:r>
      <w:r w:rsidRPr="00330025">
        <w:rPr>
          <w:vertAlign w:val="superscript"/>
          <w:lang w:val="fr-FR"/>
        </w:rPr>
        <w:t>os</w:t>
      </w:r>
      <w:r w:rsidRPr="00330025">
        <w:rPr>
          <w:lang w:val="fr-FR"/>
        </w:rPr>
        <w:t> 7</w:t>
      </w:r>
      <w:r w:rsidRPr="008A6146">
        <w:rPr>
          <w:lang w:val="fr-FR"/>
        </w:rPr>
        <w:t xml:space="preserve"> (2005) sur la mise en œuvre des droits de l</w:t>
      </w:r>
      <w:r w:rsidR="00537346">
        <w:rPr>
          <w:lang w:val="fr-FR"/>
        </w:rPr>
        <w:t>’</w:t>
      </w:r>
      <w:r w:rsidRPr="008A6146">
        <w:rPr>
          <w:lang w:val="fr-FR"/>
        </w:rPr>
        <w:t>enfant dans</w:t>
      </w:r>
      <w:r w:rsidR="00537346">
        <w:rPr>
          <w:lang w:val="fr-FR"/>
        </w:rPr>
        <w:t> </w:t>
      </w:r>
      <w:r w:rsidRPr="008A6146">
        <w:rPr>
          <w:lang w:val="fr-FR"/>
        </w:rPr>
        <w:t>la petite enfance</w:t>
      </w:r>
      <w:r>
        <w:rPr>
          <w:lang w:val="fr-FR"/>
        </w:rPr>
        <w:t>,</w:t>
      </w:r>
      <w:r w:rsidRPr="004F2D8E">
        <w:t xml:space="preserve"> </w:t>
      </w:r>
      <w:r w:rsidRPr="00643E69">
        <w:t>n</w:t>
      </w:r>
      <w:r w:rsidRPr="00D62DFF">
        <w:rPr>
          <w:vertAlign w:val="superscript"/>
        </w:rPr>
        <w:t>o</w:t>
      </w:r>
      <w:r w:rsidR="00537346">
        <w:t> </w:t>
      </w:r>
      <w:r w:rsidRPr="00643E69">
        <w:t>12 (2009) sur le droit de l</w:t>
      </w:r>
      <w:r w:rsidR="00537346">
        <w:t>’</w:t>
      </w:r>
      <w:r w:rsidRPr="00643E69">
        <w:t>enfant d</w:t>
      </w:r>
      <w:r w:rsidR="00537346">
        <w:t>’</w:t>
      </w:r>
      <w:r w:rsidRPr="00643E69">
        <w:t>être entendu</w:t>
      </w:r>
      <w:r>
        <w:t xml:space="preserve">, </w:t>
      </w:r>
      <w:r w:rsidRPr="00C84028">
        <w:t>n</w:t>
      </w:r>
      <w:r w:rsidRPr="00BE1EAD">
        <w:rPr>
          <w:vertAlign w:val="superscript"/>
        </w:rPr>
        <w:t>o</w:t>
      </w:r>
      <w:r w:rsidR="00537346">
        <w:t> </w:t>
      </w:r>
      <w:r w:rsidRPr="00C84028">
        <w:t>13 (2011) sur le droit de</w:t>
      </w:r>
      <w:r w:rsidR="00537346">
        <w:t> </w:t>
      </w:r>
      <w:r w:rsidRPr="00C84028">
        <w:t>l</w:t>
      </w:r>
      <w:r w:rsidR="00537346">
        <w:t>’</w:t>
      </w:r>
      <w:r w:rsidRPr="00C84028">
        <w:t>enfant d</w:t>
      </w:r>
      <w:r w:rsidR="00537346">
        <w:t>’</w:t>
      </w:r>
      <w:r w:rsidRPr="00C84028">
        <w:t>être protégé contre toutes les formes de violence</w:t>
      </w:r>
      <w:r w:rsidRPr="00094D67">
        <w:t xml:space="preserve"> </w:t>
      </w:r>
      <w:r>
        <w:t>et</w:t>
      </w:r>
      <w:r w:rsidRPr="00026063">
        <w:t xml:space="preserve"> n</w:t>
      </w:r>
      <w:r w:rsidRPr="00D62DFF">
        <w:rPr>
          <w:vertAlign w:val="superscript"/>
        </w:rPr>
        <w:t>o</w:t>
      </w:r>
      <w:r w:rsidR="00537346">
        <w:t> </w:t>
      </w:r>
      <w:r w:rsidRPr="00026063">
        <w:t>14 (2013) sur le droit de l</w:t>
      </w:r>
      <w:r w:rsidR="00537346">
        <w:t>’</w:t>
      </w:r>
      <w:r w:rsidRPr="00026063">
        <w:t>enfant à</w:t>
      </w:r>
      <w:r w:rsidR="00537346">
        <w:t> </w:t>
      </w:r>
      <w:r w:rsidRPr="00026063">
        <w:t>ce que son intérêt supérieur soit une considération primordiale</w:t>
      </w:r>
      <w:r>
        <w:t>.</w:t>
      </w:r>
    </w:p>
  </w:footnote>
  <w:footnote w:id="5">
    <w:p w:rsidR="001239BB" w:rsidRPr="00330025" w:rsidRDefault="001239BB" w:rsidP="001239BB">
      <w:pPr>
        <w:pStyle w:val="Notedebasdepage"/>
        <w:rPr>
          <w:lang w:val="fr-FR"/>
        </w:rPr>
      </w:pPr>
      <w:r w:rsidRPr="00330025">
        <w:rPr>
          <w:lang w:val="fr-FR"/>
        </w:rPr>
        <w:tab/>
      </w:r>
      <w:r w:rsidRPr="00BE1EAD">
        <w:rPr>
          <w:rStyle w:val="Appelnotedebasdep"/>
        </w:rPr>
        <w:footnoteRef/>
      </w:r>
      <w:r w:rsidRPr="00330025">
        <w:rPr>
          <w:lang w:val="fr-FR"/>
        </w:rPr>
        <w:tab/>
        <w:t>V</w:t>
      </w:r>
      <w:r>
        <w:rPr>
          <w:lang w:val="fr-FR"/>
        </w:rPr>
        <w:t>oir, notamment, les décisions d</w:t>
      </w:r>
      <w:r w:rsidR="00537346">
        <w:rPr>
          <w:lang w:val="fr-FR"/>
        </w:rPr>
        <w:t>’</w:t>
      </w:r>
      <w:r>
        <w:rPr>
          <w:lang w:val="fr-FR"/>
        </w:rPr>
        <w:t xml:space="preserve">irrecevabilité rendues par le Comité dans les affaires </w:t>
      </w:r>
      <w:r w:rsidRPr="00330025">
        <w:rPr>
          <w:i/>
          <w:iCs/>
          <w:lang w:val="fr-FR"/>
        </w:rPr>
        <w:t>A.</w:t>
      </w:r>
      <w:r>
        <w:rPr>
          <w:i/>
          <w:iCs/>
          <w:lang w:val="fr-FR"/>
        </w:rPr>
        <w:t> </w:t>
      </w:r>
      <w:r w:rsidRPr="00330025">
        <w:rPr>
          <w:i/>
          <w:iCs/>
          <w:lang w:val="fr-FR"/>
        </w:rPr>
        <w:t>A.</w:t>
      </w:r>
      <w:r>
        <w:rPr>
          <w:i/>
          <w:iCs/>
          <w:lang w:val="fr-FR"/>
        </w:rPr>
        <w:t> </w:t>
      </w:r>
      <w:r w:rsidRPr="00330025">
        <w:rPr>
          <w:i/>
          <w:iCs/>
          <w:lang w:val="fr-FR"/>
        </w:rPr>
        <w:t>A. c.</w:t>
      </w:r>
      <w:r>
        <w:rPr>
          <w:i/>
          <w:iCs/>
          <w:lang w:val="fr-FR"/>
        </w:rPr>
        <w:t> </w:t>
      </w:r>
      <w:r w:rsidRPr="00330025">
        <w:rPr>
          <w:i/>
          <w:iCs/>
          <w:lang w:val="fr-FR"/>
        </w:rPr>
        <w:t>Espa</w:t>
      </w:r>
      <w:r>
        <w:rPr>
          <w:i/>
          <w:iCs/>
          <w:lang w:val="fr-FR"/>
        </w:rPr>
        <w:t>gne</w:t>
      </w:r>
      <w:r w:rsidRPr="00330025">
        <w:rPr>
          <w:lang w:val="fr-FR"/>
        </w:rPr>
        <w:t xml:space="preserve"> (CRC/C/73/D/2/201</w:t>
      </w:r>
      <w:r>
        <w:rPr>
          <w:lang w:val="fr-FR"/>
        </w:rPr>
        <w:t>5</w:t>
      </w:r>
      <w:r w:rsidRPr="00330025">
        <w:rPr>
          <w:lang w:val="fr-FR"/>
        </w:rPr>
        <w:t>), p</w:t>
      </w:r>
      <w:r>
        <w:rPr>
          <w:lang w:val="fr-FR"/>
        </w:rPr>
        <w:t>a</w:t>
      </w:r>
      <w:r w:rsidRPr="00330025">
        <w:rPr>
          <w:lang w:val="fr-FR"/>
        </w:rPr>
        <w:t>r.</w:t>
      </w:r>
      <w:r>
        <w:rPr>
          <w:lang w:val="fr-FR"/>
        </w:rPr>
        <w:t> </w:t>
      </w:r>
      <w:r w:rsidRPr="00330025">
        <w:rPr>
          <w:lang w:val="fr-FR"/>
        </w:rPr>
        <w:t xml:space="preserve">4.2, </w:t>
      </w:r>
      <w:r>
        <w:rPr>
          <w:lang w:val="fr-FR"/>
        </w:rPr>
        <w:t>et</w:t>
      </w:r>
      <w:r w:rsidRPr="00330025">
        <w:rPr>
          <w:lang w:val="fr-FR"/>
        </w:rPr>
        <w:t xml:space="preserve"> </w:t>
      </w:r>
      <w:r w:rsidRPr="00330025">
        <w:rPr>
          <w:i/>
          <w:iCs/>
          <w:lang w:val="fr-FR"/>
        </w:rPr>
        <w:t xml:space="preserve">Navarro </w:t>
      </w:r>
      <w:r>
        <w:rPr>
          <w:i/>
          <w:iCs/>
          <w:lang w:val="fr-FR"/>
        </w:rPr>
        <w:t>et consort</w:t>
      </w:r>
      <w:r w:rsidR="001F3BC8">
        <w:rPr>
          <w:i/>
          <w:iCs/>
          <w:lang w:val="fr-FR"/>
        </w:rPr>
        <w:t>s</w:t>
      </w:r>
      <w:r w:rsidRPr="00330025">
        <w:rPr>
          <w:i/>
          <w:iCs/>
          <w:lang w:val="fr-FR"/>
        </w:rPr>
        <w:t xml:space="preserve"> c.</w:t>
      </w:r>
      <w:r>
        <w:rPr>
          <w:i/>
          <w:iCs/>
          <w:lang w:val="fr-FR"/>
        </w:rPr>
        <w:t> </w:t>
      </w:r>
      <w:r w:rsidRPr="00330025">
        <w:rPr>
          <w:i/>
          <w:iCs/>
          <w:lang w:val="fr-FR"/>
        </w:rPr>
        <w:t>Espa</w:t>
      </w:r>
      <w:r>
        <w:rPr>
          <w:i/>
          <w:iCs/>
          <w:lang w:val="fr-FR"/>
        </w:rPr>
        <w:t>gne</w:t>
      </w:r>
      <w:r w:rsidRPr="00330025">
        <w:rPr>
          <w:lang w:val="fr-FR"/>
        </w:rPr>
        <w:t xml:space="preserve"> </w:t>
      </w:r>
      <w:r>
        <w:t>(</w:t>
      </w:r>
      <w:r w:rsidRPr="00BE1EAD">
        <w:rPr>
          <w:lang w:val="fr-FR"/>
        </w:rPr>
        <w:t>CRC/C/81/D/19/2017</w:t>
      </w:r>
      <w:r>
        <w:t xml:space="preserve">), </w:t>
      </w:r>
      <w:r w:rsidRPr="00330025">
        <w:rPr>
          <w:lang w:val="fr-FR"/>
        </w:rPr>
        <w:t>p</w:t>
      </w:r>
      <w:r>
        <w:rPr>
          <w:lang w:val="fr-FR"/>
        </w:rPr>
        <w:t>a</w:t>
      </w:r>
      <w:r w:rsidRPr="00330025">
        <w:rPr>
          <w:lang w:val="fr-FR"/>
        </w:rPr>
        <w:t>r.</w:t>
      </w:r>
      <w:r>
        <w:rPr>
          <w:lang w:val="fr-FR"/>
        </w:rPr>
        <w:t> </w:t>
      </w:r>
      <w:r w:rsidRPr="00330025">
        <w:rPr>
          <w:lang w:val="fr-FR"/>
        </w:rPr>
        <w:t xml:space="preserve">6.4.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A42" w:rsidRPr="00683A42" w:rsidRDefault="00683A42">
    <w:pPr>
      <w:pStyle w:val="En-tte"/>
    </w:pPr>
    <w:fldSimple w:instr=" TITLE  \* MERGEFORMAT ">
      <w:r>
        <w:t>CRC/C/85/D/92/2019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A42" w:rsidRPr="00683A42" w:rsidRDefault="00683A42" w:rsidP="00683A42">
    <w:pPr>
      <w:pStyle w:val="En-tte"/>
      <w:jc w:val="right"/>
    </w:pPr>
    <w:fldSimple w:instr=" TITLE  \* MERGEFORMAT ">
      <w:r>
        <w:t>CRC/C/85/D/92/2019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C366D8F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5E4D6E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564E745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51D2"/>
    <w:rsid w:val="00017F94"/>
    <w:rsid w:val="00023842"/>
    <w:rsid w:val="000334F9"/>
    <w:rsid w:val="000354E9"/>
    <w:rsid w:val="0007796D"/>
    <w:rsid w:val="000B7790"/>
    <w:rsid w:val="00111F2F"/>
    <w:rsid w:val="001239BB"/>
    <w:rsid w:val="00134A1B"/>
    <w:rsid w:val="0014365E"/>
    <w:rsid w:val="00176178"/>
    <w:rsid w:val="001F3BC8"/>
    <w:rsid w:val="001F525A"/>
    <w:rsid w:val="00214739"/>
    <w:rsid w:val="00223272"/>
    <w:rsid w:val="0024779E"/>
    <w:rsid w:val="002D14A3"/>
    <w:rsid w:val="00311E81"/>
    <w:rsid w:val="00340ED0"/>
    <w:rsid w:val="0043732E"/>
    <w:rsid w:val="00446FE5"/>
    <w:rsid w:val="00452396"/>
    <w:rsid w:val="00485B35"/>
    <w:rsid w:val="004951D2"/>
    <w:rsid w:val="004A6913"/>
    <w:rsid w:val="004D7A2C"/>
    <w:rsid w:val="00537346"/>
    <w:rsid w:val="005505B7"/>
    <w:rsid w:val="00573BE5"/>
    <w:rsid w:val="00586ED3"/>
    <w:rsid w:val="00596AA9"/>
    <w:rsid w:val="00683A42"/>
    <w:rsid w:val="006843A0"/>
    <w:rsid w:val="006C1FA2"/>
    <w:rsid w:val="0071601D"/>
    <w:rsid w:val="007341B7"/>
    <w:rsid w:val="00760CBC"/>
    <w:rsid w:val="007A62E6"/>
    <w:rsid w:val="0080684C"/>
    <w:rsid w:val="00840413"/>
    <w:rsid w:val="008545DF"/>
    <w:rsid w:val="00871C75"/>
    <w:rsid w:val="008776DC"/>
    <w:rsid w:val="008C54BD"/>
    <w:rsid w:val="008F3CA0"/>
    <w:rsid w:val="009705C8"/>
    <w:rsid w:val="00A30353"/>
    <w:rsid w:val="00AC3823"/>
    <w:rsid w:val="00AE323C"/>
    <w:rsid w:val="00B00181"/>
    <w:rsid w:val="00B24A9B"/>
    <w:rsid w:val="00B44ED6"/>
    <w:rsid w:val="00B765F7"/>
    <w:rsid w:val="00BA0CA9"/>
    <w:rsid w:val="00BE35F1"/>
    <w:rsid w:val="00C02897"/>
    <w:rsid w:val="00D3439C"/>
    <w:rsid w:val="00DB1831"/>
    <w:rsid w:val="00DD3BFD"/>
    <w:rsid w:val="00DF6678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81909E5"/>
  <w15:docId w15:val="{B0974E21-A3E8-4B14-827F-A93B5CD3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E81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311E81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8C54B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8C54B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8C54B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8C54B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8C54B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8C54B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8C54B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8C54B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311E8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311E81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311E81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311E81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311E8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311E8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311E8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311E8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311E8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311E8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311E81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311E8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311E8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311E8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311E8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311E81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311E81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311E81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A6913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311E81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311E81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311E81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311E81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311E8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311E81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311E81"/>
  </w:style>
  <w:style w:type="character" w:customStyle="1" w:styleId="NotedefinCar">
    <w:name w:val="Note de fin Car"/>
    <w:aliases w:val="2_G Car"/>
    <w:basedOn w:val="Policepardfaut"/>
    <w:link w:val="Notedefin"/>
    <w:rsid w:val="00311E81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311E81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311E8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4E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341B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341B7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341B7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SingleTxtGChar">
    <w:name w:val="_ Single Txt_G Char"/>
    <w:link w:val="SingleTxtG"/>
    <w:rsid w:val="001239BB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3</Pages>
  <Words>1297</Words>
  <Characters>7383</Characters>
  <Application>Microsoft Office Word</Application>
  <DocSecurity>0</DocSecurity>
  <Lines>820</Lines>
  <Paragraphs>347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CRC/C/85/D/92/2019</vt:lpstr>
    </vt:vector>
  </TitlesOfParts>
  <Company>DCM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CRC/C/85/D/92/2019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2020-11-19T14:52:00Z</dcterms:created>
  <dcterms:modified xsi:type="dcterms:W3CDTF">2020-11-19T14:52:00Z</dcterms:modified>
</cp:coreProperties>
</file>