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C91769"/>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C91769" w:rsidP="00C91769">
            <w:pPr>
              <w:jc w:val="right"/>
            </w:pPr>
            <w:r w:rsidRPr="00C91769">
              <w:rPr>
                <w:sz w:val="40"/>
              </w:rPr>
              <w:t>CRPD</w:t>
            </w:r>
            <w:r>
              <w:t>/C/19/4</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C91769" w:rsidP="003C5869">
            <w:pPr>
              <w:spacing w:before="240"/>
            </w:pPr>
            <w:proofErr w:type="spellStart"/>
            <w:r>
              <w:t>Distr</w:t>
            </w:r>
            <w:proofErr w:type="spellEnd"/>
            <w:r>
              <w:t>. générale</w:t>
            </w:r>
          </w:p>
          <w:p w:rsidR="00C91769" w:rsidRDefault="00C91769" w:rsidP="00C91769">
            <w:pPr>
              <w:spacing w:line="240" w:lineRule="exact"/>
            </w:pPr>
            <w:r>
              <w:t>6 avril 2018</w:t>
            </w:r>
          </w:p>
          <w:p w:rsidR="00C91769" w:rsidRDefault="00C91769" w:rsidP="00C91769">
            <w:pPr>
              <w:spacing w:line="240" w:lineRule="exact"/>
            </w:pPr>
            <w:r>
              <w:t>Français</w:t>
            </w:r>
          </w:p>
          <w:p w:rsidR="00C91769" w:rsidRPr="00DB58B5" w:rsidRDefault="00C91769" w:rsidP="00C91769">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C91769" w:rsidRPr="002A1AEC" w:rsidRDefault="00C91769" w:rsidP="00C91769">
      <w:pPr>
        <w:pStyle w:val="HChG"/>
        <w:rPr>
          <w:lang w:val="fr-FR"/>
        </w:rPr>
      </w:pPr>
      <w:r w:rsidRPr="002A1AEC">
        <w:rPr>
          <w:lang w:val="fr-FR"/>
        </w:rPr>
        <w:tab/>
      </w:r>
      <w:r w:rsidRPr="002A1AEC">
        <w:rPr>
          <w:lang w:val="fr-FR"/>
        </w:rPr>
        <w:tab/>
        <w:t xml:space="preserve">Rapport intérimaire sur la suite donnée aux communications </w:t>
      </w:r>
      <w:r w:rsidRPr="00C91769">
        <w:t>individuelles</w:t>
      </w:r>
      <w:r w:rsidRPr="002A1AEC">
        <w:rPr>
          <w:lang w:val="fr-FR"/>
        </w:rPr>
        <w:t>, adopté par le Comité à sa dix-neuvième session (14</w:t>
      </w:r>
      <w:r>
        <w:rPr>
          <w:lang w:val="fr-FR"/>
        </w:rPr>
        <w:t> </w:t>
      </w:r>
      <w:r w:rsidRPr="002A1AEC">
        <w:rPr>
          <w:lang w:val="fr-FR"/>
        </w:rPr>
        <w:t>février</w:t>
      </w:r>
      <w:r>
        <w:rPr>
          <w:lang w:val="fr-FR"/>
        </w:rPr>
        <w:t>-</w:t>
      </w:r>
      <w:r w:rsidRPr="002A1AEC">
        <w:rPr>
          <w:lang w:val="fr-FR"/>
        </w:rPr>
        <w:t>9</w:t>
      </w:r>
      <w:r>
        <w:rPr>
          <w:lang w:val="fr-FR"/>
        </w:rPr>
        <w:t> </w:t>
      </w:r>
      <w:r w:rsidRPr="002A1AEC">
        <w:rPr>
          <w:lang w:val="fr-FR"/>
        </w:rPr>
        <w:t>mars 2018)</w:t>
      </w:r>
    </w:p>
    <w:p w:rsidR="00C91769" w:rsidRPr="002A1AEC" w:rsidRDefault="00C91769" w:rsidP="00C91769">
      <w:pPr>
        <w:pStyle w:val="H1G"/>
        <w:rPr>
          <w:lang w:val="fr-FR"/>
        </w:rPr>
      </w:pPr>
      <w:r w:rsidRPr="002A1AEC">
        <w:rPr>
          <w:lang w:val="fr-FR"/>
        </w:rPr>
        <w:tab/>
        <w:t>A.</w:t>
      </w:r>
      <w:r w:rsidRPr="002A1AEC">
        <w:rPr>
          <w:lang w:val="fr-FR"/>
        </w:rPr>
        <w:tab/>
      </w:r>
      <w:r w:rsidRPr="00C91769">
        <w:t>Introduction</w:t>
      </w:r>
    </w:p>
    <w:p w:rsidR="00C91769" w:rsidRPr="002A1AEC" w:rsidRDefault="00C91769" w:rsidP="00C91769">
      <w:pPr>
        <w:pStyle w:val="SingleTxtG"/>
        <w:rPr>
          <w:lang w:val="fr-FR"/>
        </w:rPr>
      </w:pPr>
      <w:r>
        <w:rPr>
          <w:lang w:val="fr-FR"/>
        </w:rPr>
        <w:t>1.</w:t>
      </w:r>
      <w:r w:rsidRPr="002A1AEC">
        <w:rPr>
          <w:lang w:val="fr-FR"/>
        </w:rPr>
        <w:tab/>
        <w:t xml:space="preserve">Le présent rapport a été élaboré </w:t>
      </w:r>
      <w:r w:rsidRPr="00C91769">
        <w:t>conformément</w:t>
      </w:r>
      <w:r w:rsidRPr="002A1AEC">
        <w:rPr>
          <w:lang w:val="fr-FR"/>
        </w:rPr>
        <w:t xml:space="preserve"> à l</w:t>
      </w:r>
      <w:r w:rsidR="0081542E">
        <w:rPr>
          <w:lang w:val="fr-FR"/>
        </w:rPr>
        <w:t>’</w:t>
      </w:r>
      <w:r w:rsidRPr="002A1AEC">
        <w:rPr>
          <w:lang w:val="fr-FR"/>
        </w:rPr>
        <w:t>article 5 du Protocole facultatif se rapportant à la Convention relative aux droits des personnes handicapées, qui dispose que le Comité examine à huis clos les communications qui lui sont adressées en vertu du Protocole et, qu</w:t>
      </w:r>
      <w:r w:rsidR="0081542E">
        <w:rPr>
          <w:lang w:val="fr-FR"/>
        </w:rPr>
        <w:t>’</w:t>
      </w:r>
      <w:r w:rsidRPr="002A1AEC">
        <w:rPr>
          <w:lang w:val="fr-FR"/>
        </w:rPr>
        <w:t>après avoir examiné une communication, le Comité transmet ses suggestions et recommandations éventuelles à l</w:t>
      </w:r>
      <w:r w:rsidR="0081542E">
        <w:rPr>
          <w:lang w:val="fr-FR"/>
        </w:rPr>
        <w:t>’</w:t>
      </w:r>
      <w:r w:rsidRPr="002A1AEC">
        <w:rPr>
          <w:lang w:val="fr-FR"/>
        </w:rPr>
        <w:t>État partie intéressé et à l</w:t>
      </w:r>
      <w:r w:rsidR="0081542E">
        <w:rPr>
          <w:lang w:val="fr-FR"/>
        </w:rPr>
        <w:t>’</w:t>
      </w:r>
      <w:r w:rsidRPr="002A1AEC">
        <w:rPr>
          <w:lang w:val="fr-FR"/>
        </w:rPr>
        <w:t>auteur. Le rapport est aussi établi conformément au paragraphe 7 de l</w:t>
      </w:r>
      <w:r w:rsidR="0081542E">
        <w:rPr>
          <w:lang w:val="fr-FR"/>
        </w:rPr>
        <w:t>’</w:t>
      </w:r>
      <w:r w:rsidRPr="002A1AEC">
        <w:rPr>
          <w:lang w:val="fr-FR"/>
        </w:rPr>
        <w:t>article 75 du Règlement intérieur du Comité, qui prévoit que le Rapporteur spécial ou le groupe de travail fait périodiquement rapport au Comité sur ses activités de suivi, afin de vérifier que les États parties ont pris des mesures pour do</w:t>
      </w:r>
      <w:r w:rsidR="004C7A0D">
        <w:rPr>
          <w:lang w:val="fr-FR"/>
        </w:rPr>
        <w:t>nner effet à ses constatations.</w:t>
      </w:r>
    </w:p>
    <w:p w:rsidR="00C91769" w:rsidRPr="002A1AEC" w:rsidRDefault="00744CBC" w:rsidP="00C91769">
      <w:pPr>
        <w:pStyle w:val="SingleTxtG"/>
        <w:rPr>
          <w:lang w:val="fr-FR"/>
        </w:rPr>
      </w:pPr>
      <w:r>
        <w:rPr>
          <w:lang w:val="fr-FR"/>
        </w:rPr>
        <w:t>2.</w:t>
      </w:r>
      <w:r w:rsidR="00C91769" w:rsidRPr="002A1AEC">
        <w:rPr>
          <w:lang w:val="fr-FR"/>
        </w:rPr>
        <w:tab/>
        <w:t xml:space="preserve">Le présent rapport rend compte des renseignements reçus par </w:t>
      </w:r>
      <w:r w:rsidR="00C91769" w:rsidRPr="00B3729A">
        <w:rPr>
          <w:lang w:val="fr-FR"/>
        </w:rPr>
        <w:t>le Rapporteur spécial chargée du suivi des constatations</w:t>
      </w:r>
      <w:r w:rsidR="00C91769" w:rsidRPr="002A1AEC">
        <w:rPr>
          <w:lang w:val="fr-FR"/>
        </w:rPr>
        <w:t xml:space="preserve"> du Comité entre la dix-septième et dix-neuvième sessions conformément au Règlement intérieur du Comité, ainsi que des analyses et décisions adoptées par le Comité au cours de sa dix-neuvième session. Les critères d</w:t>
      </w:r>
      <w:r w:rsidR="0081542E">
        <w:rPr>
          <w:lang w:val="fr-FR"/>
        </w:rPr>
        <w:t>’</w:t>
      </w:r>
      <w:r w:rsidR="00C91769" w:rsidRPr="002A1AEC">
        <w:rPr>
          <w:lang w:val="fr-FR"/>
        </w:rPr>
        <w:t>évaluation étaient les suivants</w:t>
      </w:r>
      <w:r w:rsidR="00C91769">
        <w:rPr>
          <w:lang w:val="fr-FR"/>
        </w:rPr>
        <w:t> </w:t>
      </w:r>
      <w:r w:rsidR="00C91769" w:rsidRPr="002A1AEC">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54"/>
        <w:gridCol w:w="6716"/>
      </w:tblGrid>
      <w:tr w:rsidR="00C91769" w:rsidRPr="00C91769" w:rsidTr="008B46E8">
        <w:trPr>
          <w:tblHeader/>
        </w:trPr>
        <w:tc>
          <w:tcPr>
            <w:tcW w:w="7370" w:type="dxa"/>
            <w:gridSpan w:val="2"/>
            <w:tcBorders>
              <w:top w:val="single" w:sz="4" w:space="0" w:color="auto"/>
              <w:bottom w:val="single" w:sz="12" w:space="0" w:color="auto"/>
            </w:tcBorders>
            <w:shd w:val="clear" w:color="auto" w:fill="auto"/>
            <w:vAlign w:val="bottom"/>
          </w:tcPr>
          <w:p w:rsidR="00C91769" w:rsidRPr="00FF47CA" w:rsidRDefault="00C91769" w:rsidP="00C91769">
            <w:pPr>
              <w:pStyle w:val="SingleTxtG"/>
              <w:suppressAutoHyphens w:val="0"/>
              <w:spacing w:before="40"/>
              <w:ind w:left="0" w:right="0"/>
              <w:jc w:val="left"/>
              <w:rPr>
                <w:bCs/>
                <w:i/>
                <w:sz w:val="16"/>
                <w:szCs w:val="16"/>
                <w:lang w:val="fr-FR"/>
              </w:rPr>
            </w:pPr>
            <w:r w:rsidRPr="00FF47CA">
              <w:rPr>
                <w:bCs/>
                <w:i/>
                <w:sz w:val="16"/>
                <w:szCs w:val="16"/>
                <w:lang w:val="fr-FR"/>
              </w:rPr>
              <w:t>Critères d</w:t>
            </w:r>
            <w:r w:rsidR="0081542E">
              <w:rPr>
                <w:bCs/>
                <w:i/>
                <w:sz w:val="16"/>
                <w:szCs w:val="16"/>
                <w:lang w:val="fr-FR"/>
              </w:rPr>
              <w:t>’</w:t>
            </w:r>
            <w:r w:rsidRPr="00FF47CA">
              <w:rPr>
                <w:bCs/>
                <w:i/>
                <w:sz w:val="16"/>
                <w:szCs w:val="16"/>
                <w:lang w:val="fr-FR"/>
              </w:rPr>
              <w:t>évaluation</w:t>
            </w:r>
          </w:p>
        </w:tc>
      </w:tr>
      <w:tr w:rsidR="00C91769" w:rsidRPr="00C91769" w:rsidTr="008B46E8">
        <w:trPr>
          <w:trHeight w:hRule="exact" w:val="113"/>
          <w:tblHeader/>
        </w:trPr>
        <w:tc>
          <w:tcPr>
            <w:tcW w:w="7370" w:type="dxa"/>
            <w:gridSpan w:val="2"/>
            <w:tcBorders>
              <w:top w:val="single" w:sz="12" w:space="0" w:color="auto"/>
            </w:tcBorders>
            <w:shd w:val="clear" w:color="auto" w:fill="auto"/>
          </w:tcPr>
          <w:p w:rsidR="00C91769" w:rsidRPr="00C91769" w:rsidRDefault="00C91769" w:rsidP="00C91769">
            <w:pPr>
              <w:pStyle w:val="SingleTxtG"/>
              <w:suppressAutoHyphens w:val="0"/>
              <w:spacing w:before="40"/>
              <w:ind w:left="0" w:right="0"/>
              <w:jc w:val="left"/>
              <w:rPr>
                <w:lang w:val="fr-FR"/>
              </w:rPr>
            </w:pPr>
          </w:p>
        </w:tc>
      </w:tr>
      <w:tr w:rsidR="00C91769" w:rsidRPr="00C91769" w:rsidTr="008B46E8">
        <w:trPr>
          <w:cantSplit/>
        </w:trPr>
        <w:tc>
          <w:tcPr>
            <w:tcW w:w="7370" w:type="dxa"/>
            <w:gridSpan w:val="2"/>
            <w:shd w:val="clear" w:color="auto" w:fill="auto"/>
          </w:tcPr>
          <w:p w:rsidR="00C91769" w:rsidRPr="00C91769" w:rsidRDefault="00C91769" w:rsidP="00C91769">
            <w:pPr>
              <w:pStyle w:val="SingleTxtG"/>
              <w:suppressAutoHyphens w:val="0"/>
              <w:spacing w:before="40"/>
              <w:ind w:left="0" w:right="0"/>
              <w:jc w:val="left"/>
              <w:rPr>
                <w:i/>
                <w:iCs/>
                <w:lang w:val="fr-FR"/>
              </w:rPr>
            </w:pPr>
            <w:r w:rsidRPr="00C91769">
              <w:rPr>
                <w:i/>
                <w:iCs/>
                <w:lang w:val="fr-FR"/>
              </w:rPr>
              <w:t>Réponses ou mesures satisfaisantes</w:t>
            </w:r>
          </w:p>
        </w:tc>
      </w:tr>
      <w:tr w:rsidR="00C91769" w:rsidRPr="00C91769" w:rsidTr="008B46E8">
        <w:trPr>
          <w:cantSplit/>
        </w:trPr>
        <w:tc>
          <w:tcPr>
            <w:tcW w:w="654" w:type="dxa"/>
            <w:shd w:val="clear" w:color="auto" w:fill="auto"/>
          </w:tcPr>
          <w:p w:rsidR="00C91769" w:rsidRPr="00C91769" w:rsidRDefault="00C91769" w:rsidP="00C91769">
            <w:pPr>
              <w:pStyle w:val="SingleTxtG"/>
              <w:suppressAutoHyphens w:val="0"/>
              <w:spacing w:before="40"/>
              <w:ind w:left="0" w:right="0"/>
              <w:jc w:val="left"/>
              <w:rPr>
                <w:b/>
                <w:bCs/>
                <w:lang w:val="fr-FR"/>
              </w:rPr>
            </w:pPr>
            <w:r w:rsidRPr="00C91769">
              <w:rPr>
                <w:b/>
                <w:bCs/>
                <w:lang w:val="fr-FR"/>
              </w:rPr>
              <w:t>A</w:t>
            </w:r>
          </w:p>
        </w:tc>
        <w:tc>
          <w:tcPr>
            <w:tcW w:w="6716" w:type="dxa"/>
            <w:shd w:val="clear" w:color="auto" w:fill="auto"/>
          </w:tcPr>
          <w:p w:rsidR="00C91769" w:rsidRPr="00C91769" w:rsidRDefault="00C91769" w:rsidP="00C91769">
            <w:pPr>
              <w:pStyle w:val="SingleTxtG"/>
              <w:suppressAutoHyphens w:val="0"/>
              <w:spacing w:before="40"/>
              <w:ind w:left="0" w:right="0"/>
              <w:jc w:val="left"/>
              <w:rPr>
                <w:lang w:val="fr-FR"/>
              </w:rPr>
            </w:pPr>
            <w:r w:rsidRPr="00C91769">
              <w:rPr>
                <w:lang w:val="fr-FR"/>
              </w:rPr>
              <w:t>Réponse satisfaisante dans l</w:t>
            </w:r>
            <w:r w:rsidR="0081542E">
              <w:rPr>
                <w:lang w:val="fr-FR"/>
              </w:rPr>
              <w:t>’</w:t>
            </w:r>
            <w:r w:rsidRPr="00C91769">
              <w:rPr>
                <w:lang w:val="fr-FR"/>
              </w:rPr>
              <w:t>ensemble</w:t>
            </w:r>
          </w:p>
        </w:tc>
      </w:tr>
      <w:tr w:rsidR="00C91769" w:rsidRPr="00C91769" w:rsidTr="008B46E8">
        <w:trPr>
          <w:cantSplit/>
        </w:trPr>
        <w:tc>
          <w:tcPr>
            <w:tcW w:w="7370" w:type="dxa"/>
            <w:gridSpan w:val="2"/>
            <w:shd w:val="clear" w:color="auto" w:fill="auto"/>
          </w:tcPr>
          <w:p w:rsidR="00C91769" w:rsidRPr="00C91769" w:rsidRDefault="00C91769" w:rsidP="00C91769">
            <w:pPr>
              <w:pStyle w:val="SingleTxtG"/>
              <w:suppressAutoHyphens w:val="0"/>
              <w:spacing w:before="40"/>
              <w:ind w:left="0" w:right="0"/>
              <w:jc w:val="left"/>
              <w:rPr>
                <w:i/>
                <w:iCs/>
                <w:lang w:val="fr-FR"/>
              </w:rPr>
            </w:pPr>
            <w:r w:rsidRPr="00C91769">
              <w:rPr>
                <w:i/>
                <w:iCs/>
                <w:lang w:val="fr-FR"/>
              </w:rPr>
              <w:t>Réponses ou mesures partiellement satisfaisantes</w:t>
            </w:r>
          </w:p>
        </w:tc>
      </w:tr>
      <w:tr w:rsidR="00C91769" w:rsidRPr="00C91769" w:rsidTr="008B46E8">
        <w:trPr>
          <w:cantSplit/>
        </w:trPr>
        <w:tc>
          <w:tcPr>
            <w:tcW w:w="654" w:type="dxa"/>
            <w:shd w:val="clear" w:color="auto" w:fill="auto"/>
          </w:tcPr>
          <w:p w:rsidR="00C91769" w:rsidRPr="00C91769" w:rsidRDefault="00C91769" w:rsidP="008B46E8">
            <w:pPr>
              <w:pStyle w:val="SingleTxtG"/>
              <w:suppressAutoHyphens w:val="0"/>
              <w:spacing w:before="40"/>
              <w:ind w:left="0" w:right="0"/>
              <w:jc w:val="left"/>
              <w:rPr>
                <w:b/>
                <w:bCs/>
                <w:lang w:val="fr-FR"/>
              </w:rPr>
            </w:pPr>
            <w:r>
              <w:rPr>
                <w:b/>
                <w:bCs/>
                <w:lang w:val="fr-FR"/>
              </w:rPr>
              <w:t>B1</w:t>
            </w:r>
          </w:p>
        </w:tc>
        <w:tc>
          <w:tcPr>
            <w:tcW w:w="6716" w:type="dxa"/>
            <w:shd w:val="clear" w:color="auto" w:fill="auto"/>
          </w:tcPr>
          <w:p w:rsidR="00C91769" w:rsidRPr="00C91769" w:rsidRDefault="00C91769" w:rsidP="008B46E8">
            <w:pPr>
              <w:pStyle w:val="SingleTxtG"/>
              <w:suppressAutoHyphens w:val="0"/>
              <w:spacing w:before="40"/>
              <w:ind w:left="0" w:right="0"/>
              <w:jc w:val="left"/>
              <w:rPr>
                <w:lang w:val="fr-FR"/>
              </w:rPr>
            </w:pPr>
            <w:r w:rsidRPr="00C91769">
              <w:rPr>
                <w:color w:val="000000"/>
                <w:lang w:val="fr-FR" w:eastAsia="en-GB"/>
              </w:rPr>
              <w:t>Des mesures concrètes ont été prises, mais des renseignements supplémentaires sont nécessaires</w:t>
            </w:r>
          </w:p>
        </w:tc>
      </w:tr>
      <w:tr w:rsidR="00C91769" w:rsidRPr="00C91769" w:rsidTr="008B46E8">
        <w:trPr>
          <w:cantSplit/>
        </w:trPr>
        <w:tc>
          <w:tcPr>
            <w:tcW w:w="654" w:type="dxa"/>
            <w:shd w:val="clear" w:color="auto" w:fill="auto"/>
          </w:tcPr>
          <w:p w:rsidR="00C91769" w:rsidRPr="00C91769" w:rsidRDefault="00C91769" w:rsidP="00C91769">
            <w:pPr>
              <w:pStyle w:val="SingleTxtG"/>
              <w:suppressAutoHyphens w:val="0"/>
              <w:spacing w:before="40"/>
              <w:ind w:left="0" w:right="0"/>
              <w:jc w:val="left"/>
              <w:rPr>
                <w:b/>
                <w:bCs/>
                <w:lang w:val="fr-FR"/>
              </w:rPr>
            </w:pPr>
            <w:r w:rsidRPr="00C91769">
              <w:rPr>
                <w:b/>
                <w:bCs/>
                <w:lang w:val="fr-FR"/>
              </w:rPr>
              <w:t>B2</w:t>
            </w:r>
          </w:p>
        </w:tc>
        <w:tc>
          <w:tcPr>
            <w:tcW w:w="6716" w:type="dxa"/>
            <w:shd w:val="clear" w:color="auto" w:fill="auto"/>
          </w:tcPr>
          <w:p w:rsidR="00C91769" w:rsidRPr="00C91769" w:rsidRDefault="00C91769" w:rsidP="00C91769">
            <w:pPr>
              <w:pStyle w:val="SingleTxtG"/>
              <w:suppressAutoHyphens w:val="0"/>
              <w:spacing w:before="40"/>
              <w:ind w:left="0" w:right="0"/>
              <w:jc w:val="left"/>
              <w:rPr>
                <w:lang w:val="fr-FR"/>
              </w:rPr>
            </w:pPr>
            <w:r w:rsidRPr="00C91769">
              <w:rPr>
                <w:lang w:val="fr-FR"/>
              </w:rPr>
              <w:t>Des mesures initiales ont été prises, mais des mesures et des renseignements supplémentaires sont nécessaires</w:t>
            </w:r>
          </w:p>
        </w:tc>
      </w:tr>
      <w:tr w:rsidR="00C91769" w:rsidRPr="00C91769" w:rsidTr="008B46E8">
        <w:trPr>
          <w:cantSplit/>
        </w:trPr>
        <w:tc>
          <w:tcPr>
            <w:tcW w:w="7370" w:type="dxa"/>
            <w:gridSpan w:val="2"/>
            <w:shd w:val="clear" w:color="auto" w:fill="auto"/>
          </w:tcPr>
          <w:p w:rsidR="00C91769" w:rsidRPr="00C91769" w:rsidRDefault="00C91769" w:rsidP="00C91769">
            <w:pPr>
              <w:pStyle w:val="SingleTxtG"/>
              <w:suppressAutoHyphens w:val="0"/>
              <w:spacing w:before="40"/>
              <w:ind w:left="0" w:right="0"/>
              <w:jc w:val="left"/>
              <w:rPr>
                <w:i/>
                <w:iCs/>
                <w:lang w:val="fr-FR"/>
              </w:rPr>
            </w:pPr>
            <w:r w:rsidRPr="00C91769">
              <w:rPr>
                <w:i/>
                <w:iCs/>
                <w:lang w:val="fr-FR"/>
              </w:rPr>
              <w:t>Réponses ou mesures insatisfaisantes</w:t>
            </w:r>
          </w:p>
        </w:tc>
      </w:tr>
      <w:tr w:rsidR="00C91769" w:rsidRPr="00C91769" w:rsidTr="00C91769">
        <w:trPr>
          <w:cantSplit/>
        </w:trPr>
        <w:tc>
          <w:tcPr>
            <w:tcW w:w="654" w:type="dxa"/>
            <w:tcBorders>
              <w:bottom w:val="nil"/>
            </w:tcBorders>
            <w:shd w:val="clear" w:color="auto" w:fill="auto"/>
          </w:tcPr>
          <w:p w:rsidR="00C91769" w:rsidRPr="00C91769" w:rsidRDefault="00C91769" w:rsidP="008B46E8">
            <w:pPr>
              <w:pStyle w:val="SingleTxtG"/>
              <w:suppressAutoHyphens w:val="0"/>
              <w:spacing w:before="40"/>
              <w:ind w:left="0" w:right="0"/>
              <w:jc w:val="left"/>
              <w:rPr>
                <w:b/>
                <w:bCs/>
                <w:lang w:val="fr-FR"/>
              </w:rPr>
            </w:pPr>
            <w:r>
              <w:rPr>
                <w:b/>
                <w:bCs/>
                <w:lang w:val="fr-FR"/>
              </w:rPr>
              <w:t>C1</w:t>
            </w:r>
          </w:p>
        </w:tc>
        <w:tc>
          <w:tcPr>
            <w:tcW w:w="6716" w:type="dxa"/>
            <w:tcBorders>
              <w:bottom w:val="nil"/>
            </w:tcBorders>
            <w:shd w:val="clear" w:color="auto" w:fill="auto"/>
          </w:tcPr>
          <w:p w:rsidR="00C91769" w:rsidRPr="00C91769" w:rsidRDefault="00C91769" w:rsidP="00FF47CA">
            <w:pPr>
              <w:pStyle w:val="SingleTxtG"/>
              <w:suppressAutoHyphens w:val="0"/>
              <w:spacing w:before="40"/>
              <w:ind w:left="0" w:right="0"/>
              <w:jc w:val="left"/>
              <w:rPr>
                <w:lang w:val="fr-FR"/>
              </w:rPr>
            </w:pPr>
            <w:r w:rsidRPr="00C91769">
              <w:rPr>
                <w:color w:val="000000"/>
                <w:lang w:val="fr-FR" w:eastAsia="en-GB"/>
              </w:rPr>
              <w:t>Une réponse a été reçue, mais les mesures prises ne permettent pas de mettre en</w:t>
            </w:r>
            <w:r w:rsidR="00FF47CA">
              <w:rPr>
                <w:color w:val="000000"/>
                <w:lang w:val="fr-FR" w:eastAsia="en-GB"/>
              </w:rPr>
              <w:t> </w:t>
            </w:r>
            <w:r w:rsidRPr="00C91769">
              <w:rPr>
                <w:color w:val="000000"/>
                <w:lang w:val="fr-FR" w:eastAsia="en-GB"/>
              </w:rPr>
              <w:t>œuvre les constatations ou recommandations</w:t>
            </w:r>
          </w:p>
        </w:tc>
      </w:tr>
      <w:tr w:rsidR="00C91769" w:rsidRPr="00C91769" w:rsidTr="00C91769">
        <w:trPr>
          <w:cantSplit/>
        </w:trPr>
        <w:tc>
          <w:tcPr>
            <w:tcW w:w="654" w:type="dxa"/>
            <w:tcBorders>
              <w:top w:val="nil"/>
              <w:bottom w:val="nil"/>
            </w:tcBorders>
            <w:shd w:val="clear" w:color="auto" w:fill="auto"/>
          </w:tcPr>
          <w:p w:rsidR="00C91769" w:rsidRPr="00C91769" w:rsidRDefault="00C91769" w:rsidP="00C91769">
            <w:pPr>
              <w:pStyle w:val="SingleTxtG"/>
              <w:suppressAutoHyphens w:val="0"/>
              <w:spacing w:before="40"/>
              <w:ind w:left="0" w:right="0"/>
              <w:jc w:val="left"/>
              <w:rPr>
                <w:b/>
                <w:bCs/>
                <w:lang w:val="fr-FR"/>
              </w:rPr>
            </w:pPr>
            <w:r w:rsidRPr="00C91769">
              <w:rPr>
                <w:b/>
                <w:bCs/>
                <w:lang w:val="fr-FR"/>
              </w:rPr>
              <w:t>C2</w:t>
            </w:r>
          </w:p>
        </w:tc>
        <w:tc>
          <w:tcPr>
            <w:tcW w:w="6716" w:type="dxa"/>
            <w:tcBorders>
              <w:top w:val="nil"/>
              <w:bottom w:val="nil"/>
            </w:tcBorders>
            <w:shd w:val="clear" w:color="auto" w:fill="auto"/>
          </w:tcPr>
          <w:p w:rsidR="00C91769" w:rsidRPr="00C91769" w:rsidRDefault="00C91769" w:rsidP="00FF47CA">
            <w:pPr>
              <w:pStyle w:val="SingleTxtG"/>
              <w:suppressAutoHyphens w:val="0"/>
              <w:spacing w:before="40"/>
              <w:ind w:left="0" w:right="0"/>
              <w:jc w:val="left"/>
              <w:rPr>
                <w:lang w:val="fr-FR"/>
              </w:rPr>
            </w:pPr>
            <w:r w:rsidRPr="00C91769">
              <w:rPr>
                <w:lang w:val="fr-FR"/>
              </w:rPr>
              <w:t>Une réponse a été reçue, mais elle est sans rapport avec les constatations ou</w:t>
            </w:r>
            <w:r w:rsidR="00FF47CA">
              <w:rPr>
                <w:lang w:val="fr-FR"/>
              </w:rPr>
              <w:t> </w:t>
            </w:r>
            <w:r w:rsidRPr="00C91769">
              <w:rPr>
                <w:lang w:val="fr-FR"/>
              </w:rPr>
              <w:t>recommandations</w:t>
            </w:r>
          </w:p>
        </w:tc>
      </w:tr>
      <w:tr w:rsidR="00C91769" w:rsidRPr="00C91769" w:rsidTr="00C91769">
        <w:trPr>
          <w:cantSplit/>
        </w:trPr>
        <w:tc>
          <w:tcPr>
            <w:tcW w:w="7370" w:type="dxa"/>
            <w:gridSpan w:val="2"/>
            <w:tcBorders>
              <w:top w:val="nil"/>
            </w:tcBorders>
            <w:shd w:val="clear" w:color="auto" w:fill="auto"/>
          </w:tcPr>
          <w:p w:rsidR="00C91769" w:rsidRPr="00C91769" w:rsidRDefault="00C91769" w:rsidP="00C91769">
            <w:pPr>
              <w:pStyle w:val="SingleTxtG"/>
              <w:keepNext/>
              <w:suppressAutoHyphens w:val="0"/>
              <w:spacing w:before="40"/>
              <w:ind w:left="0" w:right="0"/>
              <w:jc w:val="left"/>
              <w:rPr>
                <w:i/>
                <w:iCs/>
                <w:lang w:val="fr-FR"/>
              </w:rPr>
            </w:pPr>
            <w:r w:rsidRPr="00C91769">
              <w:rPr>
                <w:i/>
                <w:iCs/>
                <w:lang w:val="fr-FR"/>
              </w:rPr>
              <w:lastRenderedPageBreak/>
              <w:t>Absence de coopération avec le Comité</w:t>
            </w:r>
          </w:p>
        </w:tc>
      </w:tr>
      <w:tr w:rsidR="00C91769" w:rsidRPr="00C91769" w:rsidTr="008B46E8">
        <w:trPr>
          <w:cantSplit/>
        </w:trPr>
        <w:tc>
          <w:tcPr>
            <w:tcW w:w="654" w:type="dxa"/>
            <w:shd w:val="clear" w:color="auto" w:fill="auto"/>
          </w:tcPr>
          <w:p w:rsidR="00C91769" w:rsidRPr="00C91769" w:rsidRDefault="00C91769" w:rsidP="00C91769">
            <w:pPr>
              <w:pStyle w:val="SingleTxtG"/>
              <w:suppressAutoHyphens w:val="0"/>
              <w:spacing w:before="40"/>
              <w:ind w:left="0" w:right="0"/>
              <w:jc w:val="left"/>
              <w:rPr>
                <w:b/>
                <w:bCs/>
                <w:lang w:val="fr-FR"/>
              </w:rPr>
            </w:pPr>
            <w:r w:rsidRPr="00C91769">
              <w:rPr>
                <w:b/>
                <w:bCs/>
                <w:lang w:val="fr-FR"/>
              </w:rPr>
              <w:t>D1</w:t>
            </w:r>
          </w:p>
        </w:tc>
        <w:tc>
          <w:tcPr>
            <w:tcW w:w="6716" w:type="dxa"/>
          </w:tcPr>
          <w:p w:rsidR="00C91769" w:rsidRPr="00C91769" w:rsidRDefault="00C91769" w:rsidP="00FF47CA">
            <w:pPr>
              <w:pStyle w:val="Default"/>
              <w:spacing w:before="40" w:after="120" w:line="240" w:lineRule="atLeast"/>
              <w:rPr>
                <w:sz w:val="20"/>
                <w:szCs w:val="20"/>
                <w:lang w:val="fr-FR"/>
              </w:rPr>
            </w:pPr>
            <w:r w:rsidRPr="00C91769">
              <w:rPr>
                <w:sz w:val="20"/>
                <w:szCs w:val="20"/>
                <w:lang w:val="fr-FR"/>
              </w:rPr>
              <w:t>Aucune réponse n</w:t>
            </w:r>
            <w:r w:rsidR="0081542E">
              <w:rPr>
                <w:sz w:val="20"/>
                <w:szCs w:val="20"/>
                <w:lang w:val="fr-FR"/>
              </w:rPr>
              <w:t>’</w:t>
            </w:r>
            <w:r w:rsidRPr="00C91769">
              <w:rPr>
                <w:sz w:val="20"/>
                <w:szCs w:val="20"/>
                <w:lang w:val="fr-FR"/>
              </w:rPr>
              <w:t>a été reçue à une ou plusieurs recommandations ou à une partie d</w:t>
            </w:r>
            <w:r w:rsidR="0081542E">
              <w:rPr>
                <w:sz w:val="20"/>
                <w:szCs w:val="20"/>
                <w:lang w:val="fr-FR"/>
              </w:rPr>
              <w:t>’</w:t>
            </w:r>
            <w:r w:rsidRPr="00C91769">
              <w:rPr>
                <w:sz w:val="20"/>
                <w:szCs w:val="20"/>
                <w:lang w:val="fr-FR"/>
              </w:rPr>
              <w:t>une recommandation</w:t>
            </w:r>
          </w:p>
        </w:tc>
      </w:tr>
      <w:tr w:rsidR="00C91769" w:rsidRPr="00C91769" w:rsidTr="008B46E8">
        <w:trPr>
          <w:cantSplit/>
        </w:trPr>
        <w:tc>
          <w:tcPr>
            <w:tcW w:w="654" w:type="dxa"/>
            <w:shd w:val="clear" w:color="auto" w:fill="auto"/>
          </w:tcPr>
          <w:p w:rsidR="00C91769" w:rsidRPr="00C91769" w:rsidRDefault="00C91769" w:rsidP="00C91769">
            <w:pPr>
              <w:pStyle w:val="SingleTxtG"/>
              <w:suppressAutoHyphens w:val="0"/>
              <w:spacing w:before="40"/>
              <w:ind w:left="0" w:right="0"/>
              <w:jc w:val="left"/>
              <w:rPr>
                <w:b/>
                <w:bCs/>
                <w:lang w:val="fr-FR"/>
              </w:rPr>
            </w:pPr>
            <w:r w:rsidRPr="00C91769">
              <w:rPr>
                <w:b/>
                <w:bCs/>
                <w:lang w:val="fr-FR"/>
              </w:rPr>
              <w:t>D2</w:t>
            </w:r>
          </w:p>
        </w:tc>
        <w:tc>
          <w:tcPr>
            <w:tcW w:w="6716" w:type="dxa"/>
          </w:tcPr>
          <w:p w:rsidR="00C91769" w:rsidRPr="00C91769" w:rsidRDefault="00C91769" w:rsidP="00C91769">
            <w:pPr>
              <w:pStyle w:val="Default"/>
              <w:spacing w:before="40" w:after="120" w:line="240" w:lineRule="atLeast"/>
              <w:rPr>
                <w:sz w:val="20"/>
                <w:szCs w:val="20"/>
                <w:lang w:val="fr-FR"/>
              </w:rPr>
            </w:pPr>
            <w:r w:rsidRPr="00C91769">
              <w:rPr>
                <w:sz w:val="20"/>
                <w:szCs w:val="20"/>
                <w:lang w:val="fr-FR"/>
              </w:rPr>
              <w:t xml:space="preserve">Aucune réponse reçue après un ou plusieurs rappels </w:t>
            </w:r>
          </w:p>
        </w:tc>
      </w:tr>
      <w:tr w:rsidR="00C91769" w:rsidRPr="00FF47CA" w:rsidTr="008B46E8">
        <w:trPr>
          <w:cantSplit/>
        </w:trPr>
        <w:tc>
          <w:tcPr>
            <w:tcW w:w="7370" w:type="dxa"/>
            <w:gridSpan w:val="2"/>
            <w:shd w:val="clear" w:color="auto" w:fill="auto"/>
          </w:tcPr>
          <w:p w:rsidR="00C91769" w:rsidRPr="00FF47CA" w:rsidRDefault="00C91769" w:rsidP="00C91769">
            <w:pPr>
              <w:pStyle w:val="SingleTxtG"/>
              <w:suppressAutoHyphens w:val="0"/>
              <w:spacing w:before="40"/>
              <w:ind w:left="0" w:right="0"/>
              <w:jc w:val="left"/>
              <w:rPr>
                <w:i/>
                <w:iCs/>
                <w:lang w:val="fr-FR"/>
              </w:rPr>
            </w:pPr>
            <w:r w:rsidRPr="00FF47CA">
              <w:rPr>
                <w:i/>
                <w:iCs/>
                <w:lang w:val="fr-FR"/>
              </w:rPr>
              <w:t>Les mesures prises vont à l</w:t>
            </w:r>
            <w:r w:rsidR="0081542E">
              <w:rPr>
                <w:i/>
                <w:iCs/>
                <w:lang w:val="fr-FR"/>
              </w:rPr>
              <w:t>’</w:t>
            </w:r>
            <w:r w:rsidRPr="00FF47CA">
              <w:rPr>
                <w:i/>
                <w:iCs/>
                <w:lang w:val="fr-FR"/>
              </w:rPr>
              <w:t xml:space="preserve">encontre des recommandations du Comité </w:t>
            </w:r>
          </w:p>
        </w:tc>
      </w:tr>
      <w:tr w:rsidR="00C91769" w:rsidRPr="00C91769" w:rsidTr="008B46E8">
        <w:trPr>
          <w:cantSplit/>
        </w:trPr>
        <w:tc>
          <w:tcPr>
            <w:tcW w:w="654" w:type="dxa"/>
            <w:shd w:val="clear" w:color="auto" w:fill="auto"/>
          </w:tcPr>
          <w:p w:rsidR="00C91769" w:rsidRPr="00C91769" w:rsidRDefault="00C91769" w:rsidP="00C91769">
            <w:pPr>
              <w:pStyle w:val="SingleTxtG"/>
              <w:suppressAutoHyphens w:val="0"/>
              <w:spacing w:before="40"/>
              <w:ind w:left="0" w:right="0"/>
              <w:jc w:val="left"/>
              <w:rPr>
                <w:b/>
                <w:bCs/>
                <w:lang w:val="fr-FR"/>
              </w:rPr>
            </w:pPr>
            <w:r w:rsidRPr="00C91769">
              <w:rPr>
                <w:b/>
                <w:bCs/>
                <w:lang w:val="fr-FR"/>
              </w:rPr>
              <w:t>E</w:t>
            </w:r>
          </w:p>
        </w:tc>
        <w:tc>
          <w:tcPr>
            <w:tcW w:w="6716" w:type="dxa"/>
          </w:tcPr>
          <w:p w:rsidR="00C91769" w:rsidRPr="00C91769" w:rsidRDefault="00C91769" w:rsidP="00C91769">
            <w:pPr>
              <w:pStyle w:val="Default"/>
              <w:spacing w:before="40" w:after="120" w:line="240" w:lineRule="atLeast"/>
              <w:rPr>
                <w:sz w:val="20"/>
                <w:szCs w:val="20"/>
                <w:lang w:val="fr-FR"/>
              </w:rPr>
            </w:pPr>
            <w:r w:rsidRPr="00C91769">
              <w:rPr>
                <w:sz w:val="20"/>
                <w:szCs w:val="20"/>
                <w:lang w:val="fr-FR"/>
              </w:rPr>
              <w:t>La réponse indique que les mesures prises vont à l</w:t>
            </w:r>
            <w:r w:rsidR="0081542E">
              <w:rPr>
                <w:sz w:val="20"/>
                <w:szCs w:val="20"/>
                <w:lang w:val="fr-FR"/>
              </w:rPr>
              <w:t>’</w:t>
            </w:r>
            <w:r w:rsidRPr="00C91769">
              <w:rPr>
                <w:sz w:val="20"/>
                <w:szCs w:val="20"/>
                <w:lang w:val="fr-FR"/>
              </w:rPr>
              <w:t xml:space="preserve">encontre des constatations ou recommandations du Comité </w:t>
            </w:r>
          </w:p>
        </w:tc>
      </w:tr>
    </w:tbl>
    <w:p w:rsidR="00C91769" w:rsidRPr="002A1AEC" w:rsidRDefault="00C91769" w:rsidP="00FF47CA">
      <w:pPr>
        <w:pStyle w:val="H1G"/>
        <w:rPr>
          <w:lang w:val="fr-FR"/>
        </w:rPr>
      </w:pPr>
      <w:r w:rsidRPr="002A1AEC">
        <w:rPr>
          <w:lang w:val="fr-FR"/>
        </w:rPr>
        <w:tab/>
        <w:t>B.</w:t>
      </w:r>
      <w:r w:rsidRPr="002A1AEC">
        <w:rPr>
          <w:lang w:val="fr-FR"/>
        </w:rPr>
        <w:tab/>
        <w:t>Communications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283"/>
        <w:gridCol w:w="4252"/>
      </w:tblGrid>
      <w:tr w:rsidR="00C91769" w:rsidRPr="00FF47CA" w:rsidTr="008B46E8">
        <w:trPr>
          <w:trHeight w:val="240"/>
          <w:tblHeader/>
        </w:trPr>
        <w:tc>
          <w:tcPr>
            <w:tcW w:w="7370" w:type="dxa"/>
            <w:gridSpan w:val="3"/>
            <w:tcBorders>
              <w:top w:val="single" w:sz="4" w:space="0" w:color="auto"/>
              <w:bottom w:val="single" w:sz="12" w:space="0" w:color="auto"/>
            </w:tcBorders>
            <w:shd w:val="clear" w:color="auto" w:fill="auto"/>
            <w:vAlign w:val="bottom"/>
          </w:tcPr>
          <w:p w:rsidR="00C91769" w:rsidRPr="00FF47CA" w:rsidRDefault="00C91769" w:rsidP="008B46E8">
            <w:pPr>
              <w:pStyle w:val="H1G"/>
              <w:keepNext w:val="0"/>
              <w:keepLines w:val="0"/>
              <w:tabs>
                <w:tab w:val="clear" w:pos="851"/>
              </w:tabs>
              <w:suppressAutoHyphens w:val="0"/>
              <w:spacing w:before="80" w:after="80" w:line="200" w:lineRule="exact"/>
              <w:ind w:left="0" w:right="113" w:firstLine="0"/>
              <w:jc w:val="both"/>
              <w:rPr>
                <w:bCs/>
                <w:i/>
                <w:sz w:val="20"/>
                <w:lang w:val="fr-FR"/>
              </w:rPr>
            </w:pPr>
            <w:r w:rsidRPr="00FF47CA">
              <w:rPr>
                <w:bCs/>
                <w:iCs/>
                <w:sz w:val="20"/>
                <w:lang w:val="fr-FR"/>
              </w:rPr>
              <w:t>1.</w:t>
            </w:r>
            <w:r w:rsidRPr="00FF47CA">
              <w:rPr>
                <w:bCs/>
                <w:iCs/>
                <w:sz w:val="20"/>
                <w:lang w:val="fr-FR"/>
              </w:rPr>
              <w:tab/>
              <w:t xml:space="preserve">Communication </w:t>
            </w:r>
            <w:r w:rsidR="008B46E8" w:rsidRPr="008B46E8">
              <w:rPr>
                <w:rFonts w:eastAsia="MS Mincho"/>
                <w:bCs/>
                <w:iCs/>
                <w:sz w:val="20"/>
                <w:szCs w:val="22"/>
                <w:lang w:val="fr-FR"/>
              </w:rPr>
              <w:t>n</w:t>
            </w:r>
            <w:r w:rsidR="008B46E8" w:rsidRPr="008B46E8">
              <w:rPr>
                <w:rFonts w:eastAsia="MS Mincho"/>
                <w:bCs/>
                <w:iCs/>
                <w:sz w:val="20"/>
                <w:szCs w:val="22"/>
                <w:vertAlign w:val="superscript"/>
                <w:lang w:val="fr-FR"/>
              </w:rPr>
              <w:t>o</w:t>
            </w:r>
            <w:r w:rsidR="008B46E8">
              <w:rPr>
                <w:bCs/>
                <w:iCs/>
                <w:sz w:val="20"/>
                <w:lang w:val="fr-FR"/>
              </w:rPr>
              <w:t> </w:t>
            </w:r>
            <w:r w:rsidRPr="00FF47CA">
              <w:rPr>
                <w:bCs/>
                <w:iCs/>
                <w:sz w:val="20"/>
                <w:lang w:val="fr-FR"/>
              </w:rPr>
              <w:t>8/2012,</w:t>
            </w:r>
            <w:r w:rsidRPr="00FF47CA">
              <w:rPr>
                <w:bCs/>
                <w:i/>
                <w:sz w:val="20"/>
                <w:lang w:val="fr-FR"/>
              </w:rPr>
              <w:t xml:space="preserve"> X </w:t>
            </w:r>
            <w:r w:rsidRPr="00FF47CA">
              <w:rPr>
                <w:bCs/>
                <w:sz w:val="20"/>
                <w:lang w:val="fr-FR"/>
              </w:rPr>
              <w:t>c.</w:t>
            </w:r>
            <w:r w:rsidRPr="00FF47CA">
              <w:rPr>
                <w:bCs/>
                <w:i/>
                <w:sz w:val="20"/>
                <w:lang w:val="fr-FR"/>
              </w:rPr>
              <w:t xml:space="preserve"> Argentine</w:t>
            </w:r>
          </w:p>
        </w:tc>
      </w:tr>
      <w:tr w:rsidR="00BB1C3D" w:rsidRPr="009A7548" w:rsidTr="00BB1C3D">
        <w:tblPrEx>
          <w:tblBorders>
            <w:bottom w:val="none" w:sz="0" w:space="0" w:color="auto"/>
          </w:tblBorders>
          <w:tblCellMar>
            <w:right w:w="113" w:type="dxa"/>
          </w:tblCellMar>
        </w:tblPrEx>
        <w:trPr>
          <w:trHeight w:hRule="exact" w:val="113"/>
        </w:trPr>
        <w:tc>
          <w:tcPr>
            <w:tcW w:w="2835" w:type="dxa"/>
            <w:tcBorders>
              <w:top w:val="single" w:sz="12" w:space="0" w:color="auto"/>
              <w:bottom w:val="nil"/>
            </w:tcBorders>
            <w:shd w:val="clear" w:color="auto" w:fill="auto"/>
          </w:tcPr>
          <w:p w:rsidR="00BB1C3D" w:rsidRPr="009A7548" w:rsidRDefault="00BB1C3D" w:rsidP="00534E95">
            <w:pPr>
              <w:pStyle w:val="SingleTxtG"/>
              <w:spacing w:before="40"/>
              <w:ind w:left="0" w:right="0"/>
              <w:jc w:val="left"/>
            </w:pPr>
          </w:p>
        </w:tc>
        <w:tc>
          <w:tcPr>
            <w:tcW w:w="4535" w:type="dxa"/>
            <w:gridSpan w:val="2"/>
            <w:tcBorders>
              <w:top w:val="single" w:sz="12" w:space="0" w:color="auto"/>
              <w:bottom w:val="nil"/>
            </w:tcBorders>
            <w:shd w:val="clear" w:color="auto" w:fill="auto"/>
          </w:tcPr>
          <w:p w:rsidR="00BB1C3D" w:rsidRPr="009A7548" w:rsidRDefault="00BB1C3D" w:rsidP="00534E95">
            <w:pPr>
              <w:pStyle w:val="SingleTxtG"/>
              <w:spacing w:before="40"/>
              <w:ind w:left="0" w:right="0"/>
              <w:jc w:val="left"/>
            </w:pPr>
          </w:p>
        </w:tc>
      </w:tr>
      <w:tr w:rsidR="00C91769" w:rsidRPr="002A1AEC" w:rsidTr="00BB1C3D">
        <w:trPr>
          <w:trHeight w:val="240"/>
        </w:trPr>
        <w:tc>
          <w:tcPr>
            <w:tcW w:w="3118" w:type="dxa"/>
            <w:gridSpan w:val="2"/>
            <w:tcBorders>
              <w:top w:val="nil"/>
              <w:bottom w:val="nil"/>
            </w:tcBorders>
            <w:shd w:val="clear" w:color="auto" w:fill="auto"/>
          </w:tcPr>
          <w:p w:rsidR="00C91769" w:rsidRPr="002A1AEC" w:rsidRDefault="00C91769" w:rsidP="004C7A0D">
            <w:pPr>
              <w:pStyle w:val="SingleTxtG"/>
              <w:suppressAutoHyphens w:val="0"/>
              <w:spacing w:before="40"/>
              <w:ind w:left="0" w:right="113"/>
              <w:jc w:val="left"/>
              <w:rPr>
                <w:lang w:val="fr-FR"/>
              </w:rPr>
            </w:pPr>
            <w:r w:rsidRPr="002A1AEC">
              <w:rPr>
                <w:lang w:val="fr-FR"/>
              </w:rPr>
              <w:t>Constatations</w:t>
            </w:r>
            <w:r w:rsidR="00744CBC">
              <w:rPr>
                <w:lang w:val="fr-FR"/>
              </w:rPr>
              <w:t> </w:t>
            </w:r>
            <w:r w:rsidRPr="002A1AEC">
              <w:rPr>
                <w:lang w:val="fr-FR"/>
              </w:rPr>
              <w:t>:</w:t>
            </w:r>
          </w:p>
        </w:tc>
        <w:tc>
          <w:tcPr>
            <w:tcW w:w="4252" w:type="dxa"/>
            <w:tcBorders>
              <w:top w:val="nil"/>
              <w:bottom w:val="nil"/>
            </w:tcBorders>
            <w:shd w:val="clear" w:color="auto" w:fill="auto"/>
          </w:tcPr>
          <w:p w:rsidR="00C91769" w:rsidRPr="002A1AEC" w:rsidRDefault="00C91769" w:rsidP="00744CBC">
            <w:pPr>
              <w:pStyle w:val="SingleTxtG"/>
              <w:suppressAutoHyphens w:val="0"/>
              <w:spacing w:before="40"/>
              <w:ind w:left="0" w:right="113"/>
              <w:rPr>
                <w:lang w:val="fr-FR"/>
              </w:rPr>
            </w:pPr>
            <w:r w:rsidRPr="002A1AEC">
              <w:rPr>
                <w:lang w:val="fr-FR"/>
              </w:rPr>
              <w:t>11</w:t>
            </w:r>
            <w:r w:rsidR="00744CBC">
              <w:rPr>
                <w:lang w:val="fr-FR"/>
              </w:rPr>
              <w:t> </w:t>
            </w:r>
            <w:r w:rsidRPr="002A1AEC">
              <w:rPr>
                <w:lang w:val="fr-FR"/>
              </w:rPr>
              <w:t>avril 2014</w:t>
            </w:r>
          </w:p>
        </w:tc>
      </w:tr>
      <w:tr w:rsidR="00C91769" w:rsidRPr="002A1AEC" w:rsidTr="00BB1C3D">
        <w:trPr>
          <w:trHeight w:val="240"/>
        </w:trPr>
        <w:tc>
          <w:tcPr>
            <w:tcW w:w="3118" w:type="dxa"/>
            <w:gridSpan w:val="2"/>
            <w:tcBorders>
              <w:top w:val="nil"/>
            </w:tcBorders>
            <w:shd w:val="clear" w:color="auto" w:fill="auto"/>
          </w:tcPr>
          <w:p w:rsidR="00C91769" w:rsidRPr="002A1AEC" w:rsidRDefault="00C91769" w:rsidP="004C7A0D">
            <w:pPr>
              <w:pStyle w:val="SingleTxtG"/>
              <w:suppressAutoHyphens w:val="0"/>
              <w:spacing w:before="40"/>
              <w:ind w:left="0" w:right="113"/>
              <w:jc w:val="left"/>
              <w:rPr>
                <w:lang w:val="fr-FR"/>
              </w:rPr>
            </w:pPr>
            <w:r w:rsidRPr="002A1AEC">
              <w:rPr>
                <w:lang w:val="fr-FR"/>
              </w:rPr>
              <w:t>Commentaires de l</w:t>
            </w:r>
            <w:r w:rsidR="0081542E">
              <w:rPr>
                <w:lang w:val="fr-FR"/>
              </w:rPr>
              <w:t>’</w:t>
            </w:r>
            <w:r w:rsidRPr="002A1AEC">
              <w:rPr>
                <w:lang w:val="fr-FR"/>
              </w:rPr>
              <w:t>auteur (première et deuxième séries)</w:t>
            </w:r>
            <w:r w:rsidR="00744CBC">
              <w:rPr>
                <w:lang w:val="fr-FR"/>
              </w:rPr>
              <w:t> </w:t>
            </w:r>
            <w:r w:rsidRPr="002A1AEC">
              <w:rPr>
                <w:lang w:val="fr-FR"/>
              </w:rPr>
              <w:t>:</w:t>
            </w:r>
          </w:p>
        </w:tc>
        <w:tc>
          <w:tcPr>
            <w:tcW w:w="4252" w:type="dxa"/>
            <w:tcBorders>
              <w:top w:val="nil"/>
            </w:tcBorders>
            <w:shd w:val="clear" w:color="auto" w:fill="auto"/>
          </w:tcPr>
          <w:p w:rsidR="00C91769" w:rsidRPr="002A1AEC" w:rsidRDefault="00C91769" w:rsidP="00744CBC">
            <w:pPr>
              <w:pStyle w:val="SingleTxtG"/>
              <w:suppressAutoHyphens w:val="0"/>
              <w:spacing w:before="40"/>
              <w:ind w:left="0" w:right="113"/>
              <w:rPr>
                <w:lang w:val="fr-FR"/>
              </w:rPr>
            </w:pPr>
            <w:r w:rsidRPr="002A1AEC">
              <w:rPr>
                <w:lang w:val="fr-FR"/>
              </w:rPr>
              <w:t>16</w:t>
            </w:r>
            <w:r w:rsidR="00744CBC">
              <w:rPr>
                <w:lang w:val="fr-FR"/>
              </w:rPr>
              <w:t> </w:t>
            </w:r>
            <w:r w:rsidRPr="002A1AEC">
              <w:rPr>
                <w:lang w:val="fr-FR"/>
              </w:rPr>
              <w:t>juin et 17</w:t>
            </w:r>
            <w:r w:rsidR="00744CBC">
              <w:rPr>
                <w:lang w:val="fr-FR"/>
              </w:rPr>
              <w:t> </w:t>
            </w:r>
            <w:r w:rsidRPr="002A1AEC">
              <w:rPr>
                <w:lang w:val="fr-FR"/>
              </w:rPr>
              <w:t>novembre 2014. Transmis à l</w:t>
            </w:r>
            <w:r w:rsidR="0081542E">
              <w:rPr>
                <w:lang w:val="fr-FR"/>
              </w:rPr>
              <w:t>’</w:t>
            </w:r>
            <w:r w:rsidRPr="002A1AEC">
              <w:rPr>
                <w:lang w:val="fr-FR"/>
              </w:rPr>
              <w:t xml:space="preserve">État partie pour commentaire. </w:t>
            </w:r>
          </w:p>
        </w:tc>
      </w:tr>
      <w:tr w:rsidR="00C91769" w:rsidRPr="002A1AEC" w:rsidTr="008B46E8">
        <w:trPr>
          <w:trHeight w:val="240"/>
        </w:trPr>
        <w:tc>
          <w:tcPr>
            <w:tcW w:w="3118" w:type="dxa"/>
            <w:gridSpan w:val="2"/>
            <w:shd w:val="clear" w:color="auto" w:fill="auto"/>
          </w:tcPr>
          <w:p w:rsidR="00C91769" w:rsidRPr="002A1AEC" w:rsidRDefault="00C91769" w:rsidP="004C7A0D">
            <w:pPr>
              <w:pStyle w:val="SingleTxtG"/>
              <w:suppressAutoHyphens w:val="0"/>
              <w:spacing w:before="40"/>
              <w:ind w:left="0" w:right="113"/>
              <w:jc w:val="left"/>
              <w:rPr>
                <w:lang w:val="fr-FR"/>
              </w:rPr>
            </w:pPr>
            <w:r w:rsidRPr="002A1AEC">
              <w:rPr>
                <w:lang w:val="fr-FR"/>
              </w:rPr>
              <w:t>Décision du Comité</w:t>
            </w:r>
            <w:r w:rsidR="00744CBC">
              <w:rPr>
                <w:lang w:val="fr-FR"/>
              </w:rPr>
              <w:t> </w:t>
            </w:r>
            <w:r w:rsidRPr="002A1AEC">
              <w:rPr>
                <w:lang w:val="fr-FR"/>
              </w:rPr>
              <w:t>:</w:t>
            </w:r>
          </w:p>
        </w:tc>
        <w:tc>
          <w:tcPr>
            <w:tcW w:w="4252" w:type="dxa"/>
            <w:shd w:val="clear" w:color="auto" w:fill="auto"/>
          </w:tcPr>
          <w:p w:rsidR="00C91769" w:rsidRPr="002A1AEC" w:rsidRDefault="00C91769" w:rsidP="008B46E8">
            <w:pPr>
              <w:pStyle w:val="SingleTxtG"/>
              <w:suppressAutoHyphens w:val="0"/>
              <w:spacing w:before="40"/>
              <w:ind w:left="0" w:right="113"/>
              <w:rPr>
                <w:lang w:val="fr-FR"/>
              </w:rPr>
            </w:pPr>
            <w:r w:rsidRPr="002A1AEC">
              <w:rPr>
                <w:lang w:val="fr-FR"/>
              </w:rPr>
              <w:t xml:space="preserve">À sa quatorzième session, le Comité a décidé de mettre fin au dialogue au titre du suivi et </w:t>
            </w:r>
            <w:r w:rsidRPr="00744CBC">
              <w:rPr>
                <w:spacing w:val="-2"/>
                <w:lang w:val="fr-FR"/>
              </w:rPr>
              <w:t>d</w:t>
            </w:r>
            <w:r w:rsidR="0081542E">
              <w:rPr>
                <w:spacing w:val="-2"/>
                <w:lang w:val="fr-FR"/>
              </w:rPr>
              <w:t>’</w:t>
            </w:r>
            <w:r w:rsidRPr="00744CBC">
              <w:rPr>
                <w:spacing w:val="-2"/>
                <w:lang w:val="fr-FR"/>
              </w:rPr>
              <w:t>appliquer le critère d</w:t>
            </w:r>
            <w:r w:rsidR="0081542E">
              <w:rPr>
                <w:spacing w:val="-2"/>
                <w:lang w:val="fr-FR"/>
              </w:rPr>
              <w:t>’</w:t>
            </w:r>
            <w:r w:rsidRPr="00744CBC">
              <w:rPr>
                <w:spacing w:val="-2"/>
                <w:lang w:val="fr-FR"/>
              </w:rPr>
              <w:t xml:space="preserve">évaluation </w:t>
            </w:r>
            <w:r w:rsidR="008B46E8">
              <w:rPr>
                <w:spacing w:val="-2"/>
                <w:lang w:val="fr-FR"/>
              </w:rPr>
              <w:t>« </w:t>
            </w:r>
            <w:r w:rsidRPr="00744CBC">
              <w:rPr>
                <w:spacing w:val="-2"/>
                <w:lang w:val="fr-FR"/>
              </w:rPr>
              <w:t>A</w:t>
            </w:r>
            <w:r w:rsidR="008B46E8">
              <w:rPr>
                <w:spacing w:val="-2"/>
                <w:lang w:val="fr-FR"/>
              </w:rPr>
              <w:t> »</w:t>
            </w:r>
            <w:r w:rsidRPr="002A1AEC">
              <w:rPr>
                <w:lang w:val="fr-FR"/>
              </w:rPr>
              <w:t xml:space="preserve"> aux </w:t>
            </w:r>
            <w:r w:rsidRPr="008B46E8">
              <w:rPr>
                <w:spacing w:val="-2"/>
                <w:lang w:val="fr-FR"/>
              </w:rPr>
              <w:t>mesures prises par l</w:t>
            </w:r>
            <w:r w:rsidR="0081542E">
              <w:rPr>
                <w:spacing w:val="-2"/>
                <w:lang w:val="fr-FR"/>
              </w:rPr>
              <w:t>’</w:t>
            </w:r>
            <w:r w:rsidRPr="008B46E8">
              <w:rPr>
                <w:spacing w:val="-2"/>
                <w:lang w:val="fr-FR"/>
              </w:rPr>
              <w:t>État partie (voir CRPD/C/14/3).</w:t>
            </w:r>
          </w:p>
        </w:tc>
      </w:tr>
      <w:tr w:rsidR="00C91769" w:rsidRPr="002A1AEC" w:rsidTr="008B46E8">
        <w:trPr>
          <w:trHeight w:val="240"/>
        </w:trPr>
        <w:tc>
          <w:tcPr>
            <w:tcW w:w="3118" w:type="dxa"/>
            <w:gridSpan w:val="2"/>
            <w:shd w:val="clear" w:color="auto" w:fill="auto"/>
          </w:tcPr>
          <w:p w:rsidR="00C91769" w:rsidRPr="002A1AEC" w:rsidRDefault="00C91769" w:rsidP="004C7A0D">
            <w:pPr>
              <w:pStyle w:val="SingleTxtG"/>
              <w:suppressAutoHyphens w:val="0"/>
              <w:spacing w:before="40"/>
              <w:ind w:left="0" w:right="113"/>
              <w:jc w:val="left"/>
              <w:rPr>
                <w:lang w:val="fr-FR"/>
              </w:rPr>
            </w:pPr>
            <w:r w:rsidRPr="002A1AEC">
              <w:rPr>
                <w:lang w:val="fr-FR"/>
              </w:rPr>
              <w:t>Renseignements complémentaires de</w:t>
            </w:r>
            <w:r w:rsidR="008B46E8">
              <w:rPr>
                <w:lang w:val="fr-FR"/>
              </w:rPr>
              <w:t> </w:t>
            </w:r>
            <w:r w:rsidRPr="002A1AEC">
              <w:rPr>
                <w:lang w:val="fr-FR"/>
              </w:rPr>
              <w:t>l</w:t>
            </w:r>
            <w:r w:rsidR="0081542E">
              <w:rPr>
                <w:lang w:val="fr-FR"/>
              </w:rPr>
              <w:t>’</w:t>
            </w:r>
            <w:r w:rsidRPr="002A1AEC">
              <w:rPr>
                <w:lang w:val="fr-FR"/>
              </w:rPr>
              <w:t>État partie</w:t>
            </w:r>
            <w:r w:rsidR="00744CBC">
              <w:rPr>
                <w:lang w:val="fr-FR"/>
              </w:rPr>
              <w:t> </w:t>
            </w:r>
            <w:r w:rsidRPr="002A1AEC">
              <w:rPr>
                <w:lang w:val="fr-FR"/>
              </w:rPr>
              <w:t>:</w:t>
            </w:r>
          </w:p>
        </w:tc>
        <w:tc>
          <w:tcPr>
            <w:tcW w:w="4252" w:type="dxa"/>
            <w:shd w:val="clear" w:color="auto" w:fill="auto"/>
          </w:tcPr>
          <w:p w:rsidR="00C91769" w:rsidRPr="002A1AEC" w:rsidRDefault="00C91769" w:rsidP="00744CBC">
            <w:pPr>
              <w:pStyle w:val="SingleTxtG"/>
              <w:suppressAutoHyphens w:val="0"/>
              <w:spacing w:before="40"/>
              <w:ind w:left="0" w:right="113"/>
              <w:rPr>
                <w:lang w:val="fr-FR"/>
              </w:rPr>
            </w:pPr>
            <w:r w:rsidRPr="002A1AEC">
              <w:rPr>
                <w:lang w:val="fr-FR"/>
              </w:rPr>
              <w:t>Le 19</w:t>
            </w:r>
            <w:r w:rsidR="00744CBC">
              <w:rPr>
                <w:lang w:val="fr-FR"/>
              </w:rPr>
              <w:t> </w:t>
            </w:r>
            <w:r w:rsidRPr="002A1AEC">
              <w:rPr>
                <w:lang w:val="fr-FR"/>
              </w:rPr>
              <w:t>juillet 2017, l</w:t>
            </w:r>
            <w:r w:rsidR="0081542E">
              <w:rPr>
                <w:lang w:val="fr-FR"/>
              </w:rPr>
              <w:t>’</w:t>
            </w:r>
            <w:r w:rsidRPr="002A1AEC">
              <w:rPr>
                <w:lang w:val="fr-FR"/>
              </w:rPr>
              <w:t>État partie a informé le Comité que</w:t>
            </w:r>
            <w:r>
              <w:rPr>
                <w:lang w:val="fr-FR"/>
              </w:rPr>
              <w:t>, le 22</w:t>
            </w:r>
            <w:r w:rsidR="00744CBC">
              <w:rPr>
                <w:lang w:val="fr-FR"/>
              </w:rPr>
              <w:t> </w:t>
            </w:r>
            <w:r>
              <w:rPr>
                <w:lang w:val="fr-FR"/>
              </w:rPr>
              <w:t>juin 2017, le tribunal (le T</w:t>
            </w:r>
            <w:r w:rsidRPr="002A1AEC">
              <w:rPr>
                <w:lang w:val="fr-FR"/>
              </w:rPr>
              <w:t>ribunal oral fédéral de San Martín) avait accordé l</w:t>
            </w:r>
            <w:r w:rsidR="0081542E">
              <w:rPr>
                <w:lang w:val="fr-FR"/>
              </w:rPr>
              <w:t>’</w:t>
            </w:r>
            <w:r w:rsidRPr="002A1AEC">
              <w:rPr>
                <w:lang w:val="fr-FR"/>
              </w:rPr>
              <w:t>assignation à résidence à M.</w:t>
            </w:r>
            <w:r w:rsidR="00744CBC">
              <w:rPr>
                <w:lang w:val="fr-FR"/>
              </w:rPr>
              <w:t> </w:t>
            </w:r>
            <w:r w:rsidRPr="002A1AEC">
              <w:rPr>
                <w:lang w:val="fr-FR"/>
              </w:rPr>
              <w:t>X et prescrit que ladite décision soit communiquée au Comité.</w:t>
            </w:r>
          </w:p>
        </w:tc>
      </w:tr>
      <w:tr w:rsidR="00C91769" w:rsidRPr="002A1AEC" w:rsidTr="008B46E8">
        <w:trPr>
          <w:trHeight w:val="240"/>
        </w:trPr>
        <w:tc>
          <w:tcPr>
            <w:tcW w:w="3118" w:type="dxa"/>
            <w:gridSpan w:val="2"/>
            <w:shd w:val="clear" w:color="auto" w:fill="auto"/>
          </w:tcPr>
          <w:p w:rsidR="00C91769" w:rsidRPr="002A1AEC" w:rsidRDefault="00C91769" w:rsidP="004C7A0D">
            <w:pPr>
              <w:pStyle w:val="SingleTxtG"/>
              <w:suppressAutoHyphens w:val="0"/>
              <w:spacing w:before="40"/>
              <w:ind w:left="0" w:right="113"/>
              <w:jc w:val="left"/>
              <w:rPr>
                <w:lang w:val="fr-FR"/>
              </w:rPr>
            </w:pPr>
            <w:r w:rsidRPr="002A1AEC">
              <w:rPr>
                <w:lang w:val="fr-FR"/>
              </w:rPr>
              <w:t>Décision</w:t>
            </w:r>
            <w:r w:rsidR="00744CBC">
              <w:rPr>
                <w:lang w:val="fr-FR"/>
              </w:rPr>
              <w:t> </w:t>
            </w:r>
            <w:r w:rsidRPr="002A1AEC">
              <w:rPr>
                <w:lang w:val="fr-FR"/>
              </w:rPr>
              <w:t>:</w:t>
            </w:r>
          </w:p>
        </w:tc>
        <w:tc>
          <w:tcPr>
            <w:tcW w:w="4252" w:type="dxa"/>
            <w:shd w:val="clear" w:color="auto" w:fill="auto"/>
          </w:tcPr>
          <w:p w:rsidR="00C91769" w:rsidRPr="002A1AEC" w:rsidRDefault="00C91769" w:rsidP="00FF47CA">
            <w:pPr>
              <w:pStyle w:val="SingleTxtG"/>
              <w:suppressAutoHyphens w:val="0"/>
              <w:spacing w:before="40"/>
              <w:ind w:left="0" w:right="113"/>
              <w:rPr>
                <w:lang w:val="fr-FR"/>
              </w:rPr>
            </w:pPr>
            <w:r w:rsidRPr="002A1AEC">
              <w:rPr>
                <w:lang w:val="fr-FR"/>
              </w:rPr>
              <w:t>Une lettre de remerciement sera adressée à l</w:t>
            </w:r>
            <w:r w:rsidR="0081542E">
              <w:rPr>
                <w:lang w:val="fr-FR"/>
              </w:rPr>
              <w:t>’</w:t>
            </w:r>
            <w:r>
              <w:rPr>
                <w:lang w:val="fr-FR"/>
              </w:rPr>
              <w:t>État partie. Il y sera pris note de</w:t>
            </w:r>
            <w:r w:rsidRPr="002A1AEC">
              <w:rPr>
                <w:lang w:val="fr-FR"/>
              </w:rPr>
              <w:t xml:space="preserve"> l</w:t>
            </w:r>
            <w:r w:rsidR="0081542E">
              <w:rPr>
                <w:lang w:val="fr-FR"/>
              </w:rPr>
              <w:t>’</w:t>
            </w:r>
            <w:r w:rsidRPr="002A1AEC">
              <w:rPr>
                <w:lang w:val="fr-FR"/>
              </w:rPr>
              <w:t xml:space="preserve">initiative </w:t>
            </w:r>
            <w:r>
              <w:rPr>
                <w:lang w:val="fr-FR"/>
              </w:rPr>
              <w:t>du tribunal</w:t>
            </w:r>
            <w:r w:rsidRPr="002A1AEC">
              <w:rPr>
                <w:lang w:val="fr-FR"/>
              </w:rPr>
              <w:t xml:space="preserve"> et </w:t>
            </w:r>
            <w:r>
              <w:rPr>
                <w:lang w:val="fr-FR"/>
              </w:rPr>
              <w:t>réaffirmé</w:t>
            </w:r>
            <w:r w:rsidRPr="002A1AEC">
              <w:rPr>
                <w:lang w:val="fr-FR"/>
              </w:rPr>
              <w:t xml:space="preserve"> que la procédure de suivi est close. </w:t>
            </w:r>
          </w:p>
        </w:tc>
      </w:tr>
    </w:tbl>
    <w:p w:rsidR="00744CBC" w:rsidRPr="00744CBC" w:rsidRDefault="00744CBC" w:rsidP="00744CBC">
      <w:pPr>
        <w:tabs>
          <w:tab w:val="left" w:pos="8655"/>
        </w:tabs>
        <w:rPr>
          <w:lang w:val="fr-FR"/>
        </w:rPr>
      </w:pPr>
    </w:p>
    <w:tbl>
      <w:tblPr>
        <w:tblpPr w:leftFromText="141" w:rightFromText="141" w:vertAnchor="text" w:tblpY="1"/>
        <w:tblOverlap w:val="never"/>
        <w:tblW w:w="737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8"/>
        <w:gridCol w:w="4252"/>
      </w:tblGrid>
      <w:tr w:rsidR="00C91769" w:rsidRPr="00744CBC" w:rsidTr="00744CBC">
        <w:trPr>
          <w:trHeight w:val="240"/>
          <w:tblHeader/>
        </w:trPr>
        <w:tc>
          <w:tcPr>
            <w:tcW w:w="7370" w:type="dxa"/>
            <w:gridSpan w:val="2"/>
            <w:tcBorders>
              <w:top w:val="single" w:sz="4" w:space="0" w:color="auto"/>
              <w:bottom w:val="single" w:sz="12" w:space="0" w:color="auto"/>
            </w:tcBorders>
            <w:shd w:val="clear" w:color="auto" w:fill="auto"/>
            <w:vAlign w:val="bottom"/>
          </w:tcPr>
          <w:p w:rsidR="00C91769" w:rsidRPr="00744CBC" w:rsidRDefault="00C91769" w:rsidP="008B46E8">
            <w:pPr>
              <w:pStyle w:val="SingleTxtG"/>
              <w:suppressAutoHyphens w:val="0"/>
              <w:spacing w:before="80" w:after="80" w:line="200" w:lineRule="exact"/>
              <w:ind w:left="0" w:right="113"/>
              <w:rPr>
                <w:b/>
                <w:bCs/>
                <w:iCs/>
                <w:lang w:val="fr-FR"/>
              </w:rPr>
            </w:pPr>
            <w:r w:rsidRPr="00744CBC">
              <w:rPr>
                <w:b/>
                <w:bCs/>
                <w:iCs/>
                <w:lang w:val="fr-FR"/>
              </w:rPr>
              <w:t>2.</w:t>
            </w:r>
            <w:r w:rsidRPr="00744CBC">
              <w:rPr>
                <w:b/>
                <w:bCs/>
                <w:iCs/>
                <w:lang w:val="fr-FR"/>
              </w:rPr>
              <w:tab/>
              <w:t xml:space="preserve">Communication </w:t>
            </w:r>
            <w:r w:rsidR="008B46E8" w:rsidRPr="008B46E8">
              <w:rPr>
                <w:rFonts w:eastAsia="MS Mincho"/>
                <w:b/>
                <w:bCs/>
                <w:iCs/>
                <w:szCs w:val="22"/>
                <w:lang w:val="fr-FR"/>
              </w:rPr>
              <w:t>n</w:t>
            </w:r>
            <w:r w:rsidR="008B46E8" w:rsidRPr="008B46E8">
              <w:rPr>
                <w:rFonts w:eastAsia="MS Mincho"/>
                <w:b/>
                <w:bCs/>
                <w:iCs/>
                <w:szCs w:val="22"/>
                <w:vertAlign w:val="superscript"/>
                <w:lang w:val="fr-FR"/>
              </w:rPr>
              <w:t>o</w:t>
            </w:r>
            <w:r w:rsidR="008B46E8">
              <w:rPr>
                <w:b/>
                <w:bCs/>
                <w:iCs/>
                <w:lang w:val="fr-FR"/>
              </w:rPr>
              <w:t> </w:t>
            </w:r>
            <w:r w:rsidRPr="00744CBC">
              <w:rPr>
                <w:b/>
                <w:bCs/>
                <w:iCs/>
                <w:lang w:val="fr-FR"/>
              </w:rPr>
              <w:t xml:space="preserve">7/2012, </w:t>
            </w:r>
            <w:r w:rsidRPr="00744CBC">
              <w:rPr>
                <w:b/>
                <w:bCs/>
                <w:i/>
                <w:lang w:val="fr-FR"/>
              </w:rPr>
              <w:t xml:space="preserve">Noble </w:t>
            </w:r>
            <w:r w:rsidRPr="00744CBC">
              <w:rPr>
                <w:b/>
                <w:bCs/>
                <w:lang w:val="fr-FR"/>
              </w:rPr>
              <w:t>c.</w:t>
            </w:r>
            <w:r w:rsidRPr="00744CBC">
              <w:rPr>
                <w:b/>
                <w:bCs/>
                <w:i/>
                <w:lang w:val="fr-FR"/>
              </w:rPr>
              <w:t xml:space="preserve"> Australie</w:t>
            </w:r>
          </w:p>
        </w:tc>
      </w:tr>
      <w:tr w:rsidR="00C91769" w:rsidRPr="002A1AEC" w:rsidTr="00744CBC">
        <w:trPr>
          <w:trHeight w:hRule="exact" w:val="113"/>
          <w:tblHeader/>
        </w:trPr>
        <w:tc>
          <w:tcPr>
            <w:tcW w:w="3118" w:type="dxa"/>
            <w:tcBorders>
              <w:top w:val="single" w:sz="12" w:space="0" w:color="auto"/>
            </w:tcBorders>
            <w:shd w:val="clear" w:color="auto" w:fill="auto"/>
          </w:tcPr>
          <w:p w:rsidR="00C91769" w:rsidRPr="002A1AEC" w:rsidRDefault="00C91769" w:rsidP="00744CBC">
            <w:pPr>
              <w:pStyle w:val="SingleTxtG"/>
              <w:suppressAutoHyphens w:val="0"/>
              <w:spacing w:before="40" w:line="220" w:lineRule="exact"/>
              <w:ind w:left="0" w:right="113"/>
              <w:rPr>
                <w:lang w:val="fr-FR"/>
              </w:rPr>
            </w:pPr>
          </w:p>
        </w:tc>
        <w:tc>
          <w:tcPr>
            <w:tcW w:w="4252" w:type="dxa"/>
            <w:tcBorders>
              <w:top w:val="single" w:sz="12" w:space="0" w:color="auto"/>
            </w:tcBorders>
            <w:shd w:val="clear" w:color="auto" w:fill="auto"/>
          </w:tcPr>
          <w:p w:rsidR="00C91769" w:rsidRPr="002A1AEC" w:rsidRDefault="00C91769" w:rsidP="00744CBC">
            <w:pPr>
              <w:pStyle w:val="SingleTxtG"/>
              <w:suppressAutoHyphens w:val="0"/>
              <w:spacing w:before="40" w:line="220" w:lineRule="exact"/>
              <w:ind w:left="0" w:right="113"/>
              <w:rPr>
                <w:lang w:val="fr-FR"/>
              </w:rPr>
            </w:pPr>
          </w:p>
        </w:tc>
      </w:tr>
      <w:tr w:rsidR="00C91769" w:rsidRPr="002A1AEC" w:rsidTr="00744CBC">
        <w:trPr>
          <w:trHeight w:val="240"/>
        </w:trPr>
        <w:tc>
          <w:tcPr>
            <w:tcW w:w="3118" w:type="dxa"/>
            <w:shd w:val="clear" w:color="auto" w:fill="auto"/>
          </w:tcPr>
          <w:p w:rsidR="00C91769" w:rsidRPr="002A1AEC" w:rsidRDefault="00C91769" w:rsidP="00744CBC">
            <w:pPr>
              <w:pStyle w:val="SingleTxtG"/>
              <w:suppressAutoHyphens w:val="0"/>
              <w:spacing w:before="40" w:line="220" w:lineRule="exact"/>
              <w:ind w:left="0" w:right="113"/>
              <w:rPr>
                <w:lang w:val="fr-FR"/>
              </w:rPr>
            </w:pPr>
            <w:r w:rsidRPr="002A1AEC">
              <w:rPr>
                <w:lang w:val="fr-FR"/>
              </w:rPr>
              <w:t>Constatations</w:t>
            </w:r>
            <w:r w:rsidR="00744CBC">
              <w:rPr>
                <w:lang w:val="fr-FR"/>
              </w:rPr>
              <w:t> </w:t>
            </w:r>
            <w:r w:rsidRPr="002A1AEC">
              <w:rPr>
                <w:lang w:val="fr-FR"/>
              </w:rPr>
              <w:t>:</w:t>
            </w:r>
          </w:p>
        </w:tc>
        <w:tc>
          <w:tcPr>
            <w:tcW w:w="4252" w:type="dxa"/>
            <w:shd w:val="clear" w:color="auto" w:fill="auto"/>
          </w:tcPr>
          <w:p w:rsidR="00C91769" w:rsidRPr="002A1AEC" w:rsidRDefault="00C91769" w:rsidP="00744CBC">
            <w:pPr>
              <w:pStyle w:val="SingleTxtG"/>
              <w:suppressAutoHyphens w:val="0"/>
              <w:spacing w:before="40" w:line="220" w:lineRule="exact"/>
              <w:ind w:left="0" w:right="113"/>
              <w:rPr>
                <w:lang w:val="fr-FR"/>
              </w:rPr>
            </w:pPr>
            <w:r w:rsidRPr="002A1AEC">
              <w:rPr>
                <w:lang w:val="fr-FR"/>
              </w:rPr>
              <w:t>2</w:t>
            </w:r>
            <w:r w:rsidR="00744CBC">
              <w:rPr>
                <w:lang w:val="fr-FR"/>
              </w:rPr>
              <w:t> </w:t>
            </w:r>
            <w:r w:rsidRPr="002A1AEC">
              <w:rPr>
                <w:lang w:val="fr-FR"/>
              </w:rPr>
              <w:t>septembre 2016</w:t>
            </w:r>
          </w:p>
        </w:tc>
      </w:tr>
      <w:tr w:rsidR="00C91769" w:rsidRPr="002A1AEC" w:rsidTr="00744CBC">
        <w:trPr>
          <w:trHeight w:val="240"/>
        </w:trPr>
        <w:tc>
          <w:tcPr>
            <w:tcW w:w="3118" w:type="dxa"/>
            <w:tcBorders>
              <w:bottom w:val="nil"/>
            </w:tcBorders>
            <w:shd w:val="clear" w:color="auto" w:fill="auto"/>
          </w:tcPr>
          <w:p w:rsidR="00C91769" w:rsidRPr="002A1AEC" w:rsidRDefault="00C91769" w:rsidP="00744CBC">
            <w:pPr>
              <w:pStyle w:val="SingleTxtG"/>
              <w:suppressAutoHyphens w:val="0"/>
              <w:spacing w:before="40" w:line="220" w:lineRule="exact"/>
              <w:ind w:left="0" w:right="113"/>
              <w:rPr>
                <w:lang w:val="fr-FR"/>
              </w:rPr>
            </w:pPr>
            <w:r w:rsidRPr="002A1AEC">
              <w:rPr>
                <w:lang w:val="fr-FR"/>
              </w:rPr>
              <w:t>Première réponse de l</w:t>
            </w:r>
            <w:r w:rsidR="0081542E">
              <w:rPr>
                <w:lang w:val="fr-FR"/>
              </w:rPr>
              <w:t>’</w:t>
            </w:r>
            <w:r w:rsidRPr="002A1AEC">
              <w:rPr>
                <w:lang w:val="fr-FR"/>
              </w:rPr>
              <w:t>État partie</w:t>
            </w:r>
            <w:r w:rsidR="00744CBC">
              <w:rPr>
                <w:lang w:val="fr-FR"/>
              </w:rPr>
              <w:t> </w:t>
            </w:r>
            <w:r w:rsidRPr="002A1AEC">
              <w:rPr>
                <w:lang w:val="fr-FR"/>
              </w:rPr>
              <w:t>:</w:t>
            </w:r>
          </w:p>
        </w:tc>
        <w:tc>
          <w:tcPr>
            <w:tcW w:w="4252" w:type="dxa"/>
            <w:tcBorders>
              <w:bottom w:val="nil"/>
            </w:tcBorders>
            <w:shd w:val="clear" w:color="auto" w:fill="auto"/>
          </w:tcPr>
          <w:p w:rsidR="00C91769" w:rsidRPr="002A1AEC" w:rsidRDefault="00C91769" w:rsidP="00744CBC">
            <w:pPr>
              <w:pStyle w:val="SingleTxtG"/>
              <w:suppressAutoHyphens w:val="0"/>
              <w:spacing w:before="40" w:line="220" w:lineRule="exact"/>
              <w:ind w:left="0" w:right="113"/>
              <w:rPr>
                <w:lang w:val="fr-FR"/>
              </w:rPr>
            </w:pPr>
            <w:r w:rsidRPr="002A1AEC">
              <w:rPr>
                <w:lang w:val="fr-FR"/>
              </w:rPr>
              <w:t>Attendue pour le 13</w:t>
            </w:r>
            <w:r w:rsidR="00744CBC">
              <w:rPr>
                <w:lang w:val="fr-FR"/>
              </w:rPr>
              <w:t> </w:t>
            </w:r>
            <w:r w:rsidRPr="002A1AEC">
              <w:rPr>
                <w:lang w:val="fr-FR"/>
              </w:rPr>
              <w:t>mars 2017. Reçue le 15</w:t>
            </w:r>
            <w:r w:rsidR="00744CBC">
              <w:rPr>
                <w:lang w:val="fr-FR"/>
              </w:rPr>
              <w:t> </w:t>
            </w:r>
            <w:r w:rsidRPr="002A1AEC">
              <w:rPr>
                <w:lang w:val="fr-FR"/>
              </w:rPr>
              <w:t>juin 2017.</w:t>
            </w:r>
          </w:p>
        </w:tc>
      </w:tr>
      <w:tr w:rsidR="00744CBC" w:rsidRPr="002A1AEC" w:rsidTr="00744CBC">
        <w:trPr>
          <w:trHeight w:val="240"/>
        </w:trPr>
        <w:tc>
          <w:tcPr>
            <w:tcW w:w="7370" w:type="dxa"/>
            <w:gridSpan w:val="2"/>
            <w:tcBorders>
              <w:bottom w:val="nil"/>
            </w:tcBorders>
            <w:shd w:val="clear" w:color="auto" w:fill="auto"/>
          </w:tcPr>
          <w:p w:rsidR="00744CBC" w:rsidRPr="002A1AEC" w:rsidRDefault="00744CBC" w:rsidP="004C7A0D">
            <w:pPr>
              <w:pStyle w:val="SingleTxtG"/>
              <w:suppressAutoHyphens w:val="0"/>
              <w:spacing w:before="40" w:line="220" w:lineRule="exact"/>
              <w:ind w:left="0" w:right="113"/>
              <w:rPr>
                <w:lang w:val="fr-FR"/>
              </w:rPr>
            </w:pPr>
            <w:r w:rsidRPr="002A1AEC">
              <w:rPr>
                <w:lang w:val="fr-FR"/>
              </w:rPr>
              <w:t>L</w:t>
            </w:r>
            <w:r w:rsidR="0081542E">
              <w:rPr>
                <w:lang w:val="fr-FR"/>
              </w:rPr>
              <w:t>’</w:t>
            </w:r>
            <w:r w:rsidRPr="002A1AEC">
              <w:rPr>
                <w:lang w:val="fr-FR"/>
              </w:rPr>
              <w:t>État partie a fait savoir au Comité qu</w:t>
            </w:r>
            <w:r w:rsidR="0081542E">
              <w:rPr>
                <w:lang w:val="fr-FR"/>
              </w:rPr>
              <w:t>’</w:t>
            </w:r>
            <w:r w:rsidRPr="002A1AEC">
              <w:rPr>
                <w:lang w:val="fr-FR"/>
              </w:rPr>
              <w:t xml:space="preserve">il </w:t>
            </w:r>
            <w:r w:rsidRPr="00873C3E">
              <w:rPr>
                <w:lang w:val="fr-FR"/>
              </w:rPr>
              <w:t>avait dûment tenu compte</w:t>
            </w:r>
            <w:r w:rsidRPr="002A1AEC">
              <w:rPr>
                <w:lang w:val="fr-FR"/>
              </w:rPr>
              <w:t xml:space="preserve"> de ses constatations</w:t>
            </w:r>
            <w:r>
              <w:rPr>
                <w:lang w:val="fr-FR"/>
              </w:rPr>
              <w:t>,</w:t>
            </w:r>
            <w:r w:rsidRPr="002A1AEC">
              <w:rPr>
                <w:lang w:val="fr-FR"/>
              </w:rPr>
              <w:t xml:space="preserve"> qu</w:t>
            </w:r>
            <w:r w:rsidR="0081542E">
              <w:rPr>
                <w:lang w:val="fr-FR"/>
              </w:rPr>
              <w:t>’</w:t>
            </w:r>
            <w:r w:rsidRPr="002A1AEC">
              <w:rPr>
                <w:lang w:val="fr-FR"/>
              </w:rPr>
              <w:t xml:space="preserve">il avait publiées sur le site </w:t>
            </w:r>
            <w:r w:rsidR="004C7A0D">
              <w:rPr>
                <w:lang w:val="fr-FR"/>
              </w:rPr>
              <w:t>W</w:t>
            </w:r>
            <w:r w:rsidRPr="002A1AEC">
              <w:rPr>
                <w:lang w:val="fr-FR"/>
              </w:rPr>
              <w:t>eb du Ministère australien de la justice, conformément aux recommandations qui y étaient formulées.</w:t>
            </w:r>
          </w:p>
        </w:tc>
      </w:tr>
      <w:tr w:rsidR="00744CBC" w:rsidRPr="002A1AEC" w:rsidTr="00215E5A">
        <w:trPr>
          <w:trHeight w:val="240"/>
        </w:trPr>
        <w:tc>
          <w:tcPr>
            <w:tcW w:w="7370" w:type="dxa"/>
            <w:gridSpan w:val="2"/>
            <w:tcBorders>
              <w:bottom w:val="nil"/>
            </w:tcBorders>
            <w:shd w:val="clear" w:color="auto" w:fill="auto"/>
          </w:tcPr>
          <w:p w:rsidR="00744CBC" w:rsidRPr="002A1AEC" w:rsidRDefault="00744CBC" w:rsidP="00744CBC">
            <w:pPr>
              <w:pStyle w:val="SingleTxtG"/>
              <w:suppressAutoHyphens w:val="0"/>
              <w:spacing w:before="40" w:line="220" w:lineRule="exact"/>
              <w:ind w:left="0" w:right="113"/>
              <w:rPr>
                <w:lang w:val="fr-FR"/>
              </w:rPr>
            </w:pPr>
            <w:r w:rsidRPr="002A1AEC">
              <w:rPr>
                <w:lang w:val="fr-FR"/>
              </w:rPr>
              <w:t>Il a reconnu les obligations qui lui incombaient au titre de la Convention et s</w:t>
            </w:r>
            <w:r w:rsidR="0081542E">
              <w:rPr>
                <w:lang w:val="fr-FR"/>
              </w:rPr>
              <w:t>’</w:t>
            </w:r>
            <w:r w:rsidRPr="002A1AEC">
              <w:rPr>
                <w:lang w:val="fr-FR"/>
              </w:rPr>
              <w:t xml:space="preserve">est engagé à </w:t>
            </w:r>
            <w:r>
              <w:rPr>
                <w:lang w:val="fr-FR"/>
              </w:rPr>
              <w:t>assurer l</w:t>
            </w:r>
            <w:r w:rsidR="0081542E">
              <w:rPr>
                <w:lang w:val="fr-FR"/>
              </w:rPr>
              <w:t>’</w:t>
            </w:r>
            <w:r>
              <w:rPr>
                <w:lang w:val="fr-FR"/>
              </w:rPr>
              <w:t>accompagnement</w:t>
            </w:r>
            <w:r w:rsidRPr="002A1AEC">
              <w:rPr>
                <w:lang w:val="fr-FR"/>
              </w:rPr>
              <w:t xml:space="preserve"> voulu aux personnes handicapées</w:t>
            </w:r>
            <w:r>
              <w:rPr>
                <w:lang w:val="fr-FR"/>
              </w:rPr>
              <w:t xml:space="preserve"> et à procéder aux aménagements nécessaires</w:t>
            </w:r>
            <w:r w:rsidRPr="002A1AEC">
              <w:rPr>
                <w:lang w:val="fr-FR"/>
              </w:rPr>
              <w:t>, afin qu</w:t>
            </w:r>
            <w:r w:rsidR="0081542E">
              <w:rPr>
                <w:lang w:val="fr-FR"/>
              </w:rPr>
              <w:t>’</w:t>
            </w:r>
            <w:r w:rsidRPr="002A1AEC">
              <w:rPr>
                <w:lang w:val="fr-FR"/>
              </w:rPr>
              <w:t>elles puissent exercer leur capacité juridique devant les tribunaux.</w:t>
            </w:r>
          </w:p>
        </w:tc>
      </w:tr>
      <w:tr w:rsidR="00744CBC" w:rsidRPr="002A1AEC" w:rsidTr="008B46E8">
        <w:trPr>
          <w:trHeight w:val="240"/>
        </w:trPr>
        <w:tc>
          <w:tcPr>
            <w:tcW w:w="7370" w:type="dxa"/>
            <w:gridSpan w:val="2"/>
            <w:tcBorders>
              <w:top w:val="nil"/>
              <w:bottom w:val="nil"/>
            </w:tcBorders>
            <w:shd w:val="clear" w:color="auto" w:fill="auto"/>
          </w:tcPr>
          <w:p w:rsidR="00215E5A" w:rsidRPr="002A1AEC" w:rsidRDefault="00744CBC" w:rsidP="00215E5A">
            <w:pPr>
              <w:pStyle w:val="SingleTxtG"/>
              <w:suppressAutoHyphens w:val="0"/>
              <w:spacing w:before="40" w:line="220" w:lineRule="exact"/>
              <w:ind w:left="0" w:right="113"/>
              <w:rPr>
                <w:lang w:val="fr-FR"/>
              </w:rPr>
            </w:pPr>
            <w:r w:rsidRPr="002A1AEC">
              <w:rPr>
                <w:lang w:val="fr-FR"/>
              </w:rPr>
              <w:t>Les autorités d</w:t>
            </w:r>
            <w:r>
              <w:rPr>
                <w:lang w:val="fr-FR"/>
              </w:rPr>
              <w:t>e l</w:t>
            </w:r>
            <w:r w:rsidR="0081542E">
              <w:rPr>
                <w:lang w:val="fr-FR"/>
              </w:rPr>
              <w:t>’</w:t>
            </w:r>
            <w:r w:rsidRPr="002A1AEC">
              <w:rPr>
                <w:lang w:val="fr-FR"/>
              </w:rPr>
              <w:t>Australie occidentale ont reconnu qu</w:t>
            </w:r>
            <w:r w:rsidR="0081542E">
              <w:rPr>
                <w:lang w:val="fr-FR"/>
              </w:rPr>
              <w:t>’</w:t>
            </w:r>
            <w:r w:rsidRPr="002A1AEC">
              <w:rPr>
                <w:lang w:val="fr-FR"/>
              </w:rPr>
              <w:t>il y avait eu des manquements importants dans la manière dont l</w:t>
            </w:r>
            <w:r w:rsidR="0081542E">
              <w:rPr>
                <w:lang w:val="fr-FR"/>
              </w:rPr>
              <w:t>’</w:t>
            </w:r>
            <w:r w:rsidRPr="002A1AEC">
              <w:rPr>
                <w:lang w:val="fr-FR"/>
              </w:rPr>
              <w:t>auteur avait été traité et plus généralement dans l</w:t>
            </w:r>
            <w:r w:rsidR="0081542E">
              <w:rPr>
                <w:lang w:val="fr-FR"/>
              </w:rPr>
              <w:t>’</w:t>
            </w:r>
            <w:r w:rsidRPr="002A1AEC">
              <w:rPr>
                <w:lang w:val="fr-FR"/>
              </w:rPr>
              <w:t xml:space="preserve">application de la loi pénale de 1996 </w:t>
            </w:r>
            <w:r>
              <w:rPr>
                <w:lang w:val="fr-FR"/>
              </w:rPr>
              <w:t>(de l</w:t>
            </w:r>
            <w:r w:rsidR="0081542E">
              <w:rPr>
                <w:lang w:val="fr-FR"/>
              </w:rPr>
              <w:t>’</w:t>
            </w:r>
            <w:r>
              <w:rPr>
                <w:lang w:val="fr-FR"/>
              </w:rPr>
              <w:t xml:space="preserve">Australie occidentale) </w:t>
            </w:r>
            <w:r w:rsidRPr="002A1AEC">
              <w:rPr>
                <w:lang w:val="fr-FR"/>
              </w:rPr>
              <w:t>concernant les prévenus présentant un handicap mental. Les autorités de l</w:t>
            </w:r>
            <w:r w:rsidR="0081542E">
              <w:rPr>
                <w:lang w:val="fr-FR"/>
              </w:rPr>
              <w:t>’</w:t>
            </w:r>
            <w:r w:rsidRPr="002A1AEC">
              <w:rPr>
                <w:lang w:val="fr-FR"/>
              </w:rPr>
              <w:t>Australie occidentale regrettaient vivement la durée pendant laquelle l</w:t>
            </w:r>
            <w:r w:rsidR="0081542E">
              <w:rPr>
                <w:lang w:val="fr-FR"/>
              </w:rPr>
              <w:t>’</w:t>
            </w:r>
            <w:r w:rsidRPr="002A1AEC">
              <w:rPr>
                <w:lang w:val="fr-FR"/>
              </w:rPr>
              <w:t>auteur avait été détenu en vertu de ladite loi et étaient déterminées à continuer à fournir un accompagnement à ce dernier, de façon qu</w:t>
            </w:r>
            <w:r w:rsidR="0081542E">
              <w:rPr>
                <w:lang w:val="fr-FR"/>
              </w:rPr>
              <w:t>’</w:t>
            </w:r>
            <w:r w:rsidRPr="002A1AEC">
              <w:rPr>
                <w:lang w:val="fr-FR"/>
              </w:rPr>
              <w:t xml:space="preserve">il puisse vivre de manière autonome </w:t>
            </w:r>
            <w:r>
              <w:rPr>
                <w:lang w:val="fr-FR"/>
              </w:rPr>
              <w:t>dans la socié</w:t>
            </w:r>
            <w:r w:rsidRPr="002A1AEC">
              <w:rPr>
                <w:lang w:val="fr-FR"/>
              </w:rPr>
              <w:t>té.</w:t>
            </w:r>
          </w:p>
        </w:tc>
      </w:tr>
      <w:tr w:rsidR="00215E5A" w:rsidRPr="002A1AEC" w:rsidTr="008B46E8">
        <w:trPr>
          <w:trHeight w:hRule="exact" w:val="57"/>
        </w:trPr>
        <w:tc>
          <w:tcPr>
            <w:tcW w:w="7370" w:type="dxa"/>
            <w:gridSpan w:val="2"/>
            <w:tcBorders>
              <w:top w:val="nil"/>
              <w:bottom w:val="nil"/>
            </w:tcBorders>
            <w:shd w:val="clear" w:color="auto" w:fill="auto"/>
          </w:tcPr>
          <w:p w:rsidR="00215E5A" w:rsidRPr="002A1AEC" w:rsidRDefault="00215E5A" w:rsidP="008B46E8">
            <w:pPr>
              <w:pStyle w:val="SingleTxtG"/>
              <w:keepLines/>
              <w:suppressAutoHyphens w:val="0"/>
              <w:spacing w:before="40" w:line="220" w:lineRule="exact"/>
              <w:ind w:left="0" w:right="113"/>
              <w:rPr>
                <w:lang w:val="fr-FR"/>
              </w:rPr>
            </w:pPr>
          </w:p>
        </w:tc>
      </w:tr>
      <w:tr w:rsidR="008B46E8" w:rsidRPr="002A1AEC" w:rsidTr="008B46E8">
        <w:trPr>
          <w:trHeight w:val="240"/>
        </w:trPr>
        <w:tc>
          <w:tcPr>
            <w:tcW w:w="7370" w:type="dxa"/>
            <w:gridSpan w:val="2"/>
            <w:tcBorders>
              <w:top w:val="nil"/>
              <w:bottom w:val="nil"/>
            </w:tcBorders>
            <w:shd w:val="clear" w:color="auto" w:fill="auto"/>
          </w:tcPr>
          <w:p w:rsidR="008B46E8" w:rsidRPr="002A1AEC" w:rsidRDefault="008B46E8" w:rsidP="00215E5A">
            <w:pPr>
              <w:pStyle w:val="SingleTxtG"/>
              <w:keepNext/>
              <w:suppressAutoHyphens w:val="0"/>
              <w:spacing w:before="40" w:line="220" w:lineRule="exact"/>
              <w:ind w:left="0" w:right="113"/>
              <w:rPr>
                <w:lang w:val="fr-FR"/>
              </w:rPr>
            </w:pPr>
            <w:r w:rsidRPr="002A1AEC">
              <w:rPr>
                <w:lang w:val="fr-FR"/>
              </w:rPr>
              <w:lastRenderedPageBreak/>
              <w:t>Les autorités de l</w:t>
            </w:r>
            <w:r w:rsidR="0081542E">
              <w:rPr>
                <w:lang w:val="fr-FR"/>
              </w:rPr>
              <w:t>’</w:t>
            </w:r>
            <w:r w:rsidRPr="002A1AEC">
              <w:rPr>
                <w:lang w:val="fr-FR"/>
              </w:rPr>
              <w:t>Australie occidentale avaient d</w:t>
            </w:r>
            <w:r w:rsidR="0081542E">
              <w:rPr>
                <w:lang w:val="fr-FR"/>
              </w:rPr>
              <w:t>’</w:t>
            </w:r>
            <w:r w:rsidRPr="002A1AEC">
              <w:rPr>
                <w:lang w:val="fr-FR"/>
              </w:rPr>
              <w:t xml:space="preserve">ores et déjà </w:t>
            </w:r>
            <w:r>
              <w:rPr>
                <w:lang w:val="fr-FR"/>
              </w:rPr>
              <w:t>entamé la révision de</w:t>
            </w:r>
            <w:r w:rsidRPr="002A1AEC">
              <w:rPr>
                <w:lang w:val="fr-FR"/>
              </w:rPr>
              <w:t xml:space="preserve"> la loi en question et feraient en sorte qu</w:t>
            </w:r>
            <w:r w:rsidR="0081542E">
              <w:rPr>
                <w:lang w:val="fr-FR"/>
              </w:rPr>
              <w:t>’</w:t>
            </w:r>
            <w:r w:rsidRPr="002A1AEC">
              <w:rPr>
                <w:lang w:val="fr-FR"/>
              </w:rPr>
              <w:t xml:space="preserve">il soit procédé aux modifications voulues pour que les personnes présentant </w:t>
            </w:r>
            <w:r>
              <w:rPr>
                <w:lang w:val="fr-FR"/>
              </w:rPr>
              <w:t>une incapacité</w:t>
            </w:r>
            <w:r w:rsidRPr="002A1AEC">
              <w:rPr>
                <w:lang w:val="fr-FR"/>
              </w:rPr>
              <w:t xml:space="preserve"> mental</w:t>
            </w:r>
            <w:r>
              <w:rPr>
                <w:lang w:val="fr-FR"/>
              </w:rPr>
              <w:t>e</w:t>
            </w:r>
            <w:r w:rsidRPr="002A1AEC">
              <w:rPr>
                <w:lang w:val="fr-FR"/>
              </w:rPr>
              <w:t xml:space="preserve"> ou intellectuel</w:t>
            </w:r>
            <w:r>
              <w:rPr>
                <w:lang w:val="fr-FR"/>
              </w:rPr>
              <w:t>le</w:t>
            </w:r>
            <w:r w:rsidRPr="002A1AEC">
              <w:rPr>
                <w:lang w:val="fr-FR"/>
              </w:rPr>
              <w:t xml:space="preserve"> accusées d</w:t>
            </w:r>
            <w:r w:rsidR="0081542E">
              <w:rPr>
                <w:lang w:val="fr-FR"/>
              </w:rPr>
              <w:t>’</w:t>
            </w:r>
            <w:r w:rsidRPr="002A1AEC">
              <w:rPr>
                <w:lang w:val="fr-FR"/>
              </w:rPr>
              <w:t xml:space="preserve">un acte </w:t>
            </w:r>
            <w:r>
              <w:rPr>
                <w:lang w:val="fr-FR"/>
              </w:rPr>
              <w:t>réprimé par le droit pénal</w:t>
            </w:r>
            <w:r w:rsidRPr="002A1AEC">
              <w:rPr>
                <w:lang w:val="fr-FR"/>
              </w:rPr>
              <w:t xml:space="preserve"> bénéficient d</w:t>
            </w:r>
            <w:r w:rsidR="0081542E">
              <w:rPr>
                <w:lang w:val="fr-FR"/>
              </w:rPr>
              <w:t>’</w:t>
            </w:r>
            <w:r w:rsidRPr="002A1AEC">
              <w:rPr>
                <w:lang w:val="fr-FR"/>
              </w:rPr>
              <w:t>un système plus juste et plus équitable.</w:t>
            </w:r>
          </w:p>
        </w:tc>
      </w:tr>
      <w:tr w:rsidR="00744CBC" w:rsidRPr="002A1AEC" w:rsidTr="00744CBC">
        <w:trPr>
          <w:trHeight w:val="240"/>
        </w:trPr>
        <w:tc>
          <w:tcPr>
            <w:tcW w:w="7370" w:type="dxa"/>
            <w:gridSpan w:val="2"/>
            <w:tcBorders>
              <w:bottom w:val="nil"/>
            </w:tcBorders>
            <w:shd w:val="clear" w:color="auto" w:fill="auto"/>
          </w:tcPr>
          <w:p w:rsidR="00744CBC" w:rsidRPr="002A1AEC" w:rsidRDefault="00744CBC" w:rsidP="00215E5A">
            <w:pPr>
              <w:pStyle w:val="SingleTxtG"/>
              <w:keepNext/>
              <w:suppressAutoHyphens w:val="0"/>
              <w:spacing w:before="40" w:line="220" w:lineRule="exact"/>
              <w:ind w:left="0" w:right="113"/>
              <w:rPr>
                <w:lang w:val="fr-FR"/>
              </w:rPr>
            </w:pPr>
            <w:r w:rsidRPr="002A1AEC">
              <w:rPr>
                <w:lang w:val="fr-FR"/>
              </w:rPr>
              <w:t>Pour autant, l</w:t>
            </w:r>
            <w:r w:rsidR="0081542E">
              <w:rPr>
                <w:lang w:val="fr-FR"/>
              </w:rPr>
              <w:t>’</w:t>
            </w:r>
            <w:r w:rsidRPr="002A1AEC">
              <w:rPr>
                <w:lang w:val="fr-FR"/>
              </w:rPr>
              <w:t>État partie a fait valoir qu</w:t>
            </w:r>
            <w:r w:rsidR="0081542E">
              <w:rPr>
                <w:lang w:val="fr-FR"/>
              </w:rPr>
              <w:t>’</w:t>
            </w:r>
            <w:r w:rsidRPr="002A1AEC">
              <w:rPr>
                <w:lang w:val="fr-FR"/>
              </w:rPr>
              <w:t xml:space="preserve">il ne souscrivait pas aux constatations du Comité relatives à la recevabilité en </w:t>
            </w:r>
            <w:r>
              <w:rPr>
                <w:lang w:val="fr-FR"/>
              </w:rPr>
              <w:t>ce qui concernait les</w:t>
            </w:r>
            <w:r w:rsidRPr="002A1AEC">
              <w:rPr>
                <w:lang w:val="fr-FR"/>
              </w:rPr>
              <w:t xml:space="preserve"> articles 12, 13 et 15, et a réaffirmé l</w:t>
            </w:r>
            <w:r w:rsidR="0081542E">
              <w:rPr>
                <w:lang w:val="fr-FR"/>
              </w:rPr>
              <w:t>’</w:t>
            </w:r>
            <w:r w:rsidRPr="002A1AEC">
              <w:rPr>
                <w:lang w:val="fr-FR"/>
              </w:rPr>
              <w:t>avis qu</w:t>
            </w:r>
            <w:r w:rsidR="0081542E">
              <w:rPr>
                <w:lang w:val="fr-FR"/>
              </w:rPr>
              <w:t>’</w:t>
            </w:r>
            <w:r w:rsidRPr="002A1AEC">
              <w:rPr>
                <w:lang w:val="fr-FR"/>
              </w:rPr>
              <w:t>il avait exprimé à ce sujet dans ses observations.</w:t>
            </w:r>
          </w:p>
        </w:tc>
      </w:tr>
      <w:tr w:rsidR="00744CBC" w:rsidRPr="002A1AEC" w:rsidTr="00744CBC">
        <w:trPr>
          <w:trHeight w:val="240"/>
        </w:trPr>
        <w:tc>
          <w:tcPr>
            <w:tcW w:w="7370" w:type="dxa"/>
            <w:gridSpan w:val="2"/>
            <w:tcBorders>
              <w:bottom w:val="nil"/>
            </w:tcBorders>
            <w:shd w:val="clear" w:color="auto" w:fill="auto"/>
          </w:tcPr>
          <w:p w:rsidR="00744CBC" w:rsidRPr="002A1AEC" w:rsidRDefault="00744CBC" w:rsidP="00744CBC">
            <w:pPr>
              <w:pStyle w:val="SingleTxtG"/>
              <w:suppressAutoHyphens w:val="0"/>
              <w:spacing w:before="40" w:line="220" w:lineRule="exact"/>
              <w:ind w:left="0" w:right="113"/>
              <w:rPr>
                <w:lang w:val="fr-FR"/>
              </w:rPr>
            </w:pPr>
            <w:r w:rsidRPr="002A1AEC">
              <w:rPr>
                <w:lang w:val="fr-FR"/>
              </w:rPr>
              <w:t>S</w:t>
            </w:r>
            <w:r w:rsidR="0081542E">
              <w:rPr>
                <w:lang w:val="fr-FR"/>
              </w:rPr>
              <w:t>’</w:t>
            </w:r>
            <w:r w:rsidRPr="002A1AEC">
              <w:rPr>
                <w:lang w:val="fr-FR"/>
              </w:rPr>
              <w:t>agissant des allégations de l</w:t>
            </w:r>
            <w:r w:rsidR="0081542E">
              <w:rPr>
                <w:lang w:val="fr-FR"/>
              </w:rPr>
              <w:t>’</w:t>
            </w:r>
            <w:r w:rsidRPr="002A1AEC">
              <w:rPr>
                <w:lang w:val="fr-FR"/>
              </w:rPr>
              <w:t>auteur au titre des paragraphes 1 et 2 de l</w:t>
            </w:r>
            <w:r w:rsidR="0081542E">
              <w:rPr>
                <w:lang w:val="fr-FR"/>
              </w:rPr>
              <w:t>’</w:t>
            </w:r>
            <w:r w:rsidRPr="002A1AEC">
              <w:rPr>
                <w:lang w:val="fr-FR"/>
              </w:rPr>
              <w:t>article 5 de</w:t>
            </w:r>
            <w:r w:rsidR="00741757">
              <w:rPr>
                <w:lang w:val="fr-FR"/>
              </w:rPr>
              <w:t xml:space="preserve"> </w:t>
            </w:r>
            <w:r w:rsidRPr="002A1AEC">
              <w:rPr>
                <w:lang w:val="fr-FR"/>
              </w:rPr>
              <w:t>la Convention, l</w:t>
            </w:r>
            <w:r w:rsidR="0081542E">
              <w:rPr>
                <w:lang w:val="fr-FR"/>
              </w:rPr>
              <w:t>’</w:t>
            </w:r>
            <w:r w:rsidRPr="002A1AEC">
              <w:rPr>
                <w:lang w:val="fr-FR"/>
              </w:rPr>
              <w:t>État partie a réitéré les arguments qu</w:t>
            </w:r>
            <w:r w:rsidR="0081542E">
              <w:rPr>
                <w:lang w:val="fr-FR"/>
              </w:rPr>
              <w:t>’</w:t>
            </w:r>
            <w:r w:rsidRPr="002A1AEC">
              <w:rPr>
                <w:lang w:val="fr-FR"/>
              </w:rPr>
              <w:t xml:space="preserve">il avait </w:t>
            </w:r>
            <w:r>
              <w:rPr>
                <w:lang w:val="fr-FR"/>
              </w:rPr>
              <w:t xml:space="preserve">exposés </w:t>
            </w:r>
            <w:r w:rsidRPr="002A1AEC">
              <w:rPr>
                <w:lang w:val="fr-FR"/>
              </w:rPr>
              <w:t>dans ses observations et a fait valoir que la loi : a) prévoyait une différence de traitement légitime ; b) ne faisait pas de différence sur la base du handicap, mais de la capacité mentale ; c) préservait le droit des citoyens d</w:t>
            </w:r>
            <w:r w:rsidR="0081542E">
              <w:rPr>
                <w:lang w:val="fr-FR"/>
              </w:rPr>
              <w:t>’</w:t>
            </w:r>
            <w:r w:rsidRPr="002A1AEC">
              <w:rPr>
                <w:lang w:val="fr-FR"/>
              </w:rPr>
              <w:t xml:space="preserve">Australie occidentale présentant des </w:t>
            </w:r>
            <w:r>
              <w:rPr>
                <w:lang w:val="fr-FR"/>
              </w:rPr>
              <w:t>incapacités mentales ; et d) </w:t>
            </w:r>
            <w:r w:rsidRPr="002A1AEC">
              <w:rPr>
                <w:lang w:val="fr-FR"/>
              </w:rPr>
              <w:t>constituait une forme d</w:t>
            </w:r>
            <w:r w:rsidR="0081542E">
              <w:rPr>
                <w:lang w:val="fr-FR"/>
              </w:rPr>
              <w:t>’</w:t>
            </w:r>
            <w:r w:rsidRPr="002A1AEC">
              <w:rPr>
                <w:lang w:val="fr-FR"/>
              </w:rPr>
              <w:t>aménagement raisonnable. La loi était destinée à faire en sorte que les personnes présentant une incapacité mentale ne soient pas soumises à un procès pénal qu</w:t>
            </w:r>
            <w:r w:rsidR="0081542E">
              <w:rPr>
                <w:lang w:val="fr-FR"/>
              </w:rPr>
              <w:t>’</w:t>
            </w:r>
            <w:r w:rsidRPr="002A1AEC">
              <w:rPr>
                <w:lang w:val="fr-FR"/>
              </w:rPr>
              <w:t xml:space="preserve">elles </w:t>
            </w:r>
            <w:r>
              <w:rPr>
                <w:lang w:val="fr-FR"/>
              </w:rPr>
              <w:t>ne seraient</w:t>
            </w:r>
            <w:r w:rsidRPr="002A1AEC">
              <w:rPr>
                <w:lang w:val="fr-FR"/>
              </w:rPr>
              <w:t xml:space="preserve"> pas en mesure de comprendre ou auquel elles ne pou</w:t>
            </w:r>
            <w:r>
              <w:rPr>
                <w:lang w:val="fr-FR"/>
              </w:rPr>
              <w:t>rr</w:t>
            </w:r>
            <w:r w:rsidRPr="002A1AEC">
              <w:rPr>
                <w:lang w:val="fr-FR"/>
              </w:rPr>
              <w:t xml:space="preserve">aient pas </w:t>
            </w:r>
            <w:r>
              <w:rPr>
                <w:lang w:val="fr-FR"/>
              </w:rPr>
              <w:t>valabl</w:t>
            </w:r>
            <w:r w:rsidRPr="002A1AEC">
              <w:rPr>
                <w:lang w:val="fr-FR"/>
              </w:rPr>
              <w:t>ement prendre part. Ce texte faisait la distinction entre les personnes qui étaient aptes à être jugées et celles qui ne l</w:t>
            </w:r>
            <w:r w:rsidR="0081542E">
              <w:rPr>
                <w:lang w:val="fr-FR"/>
              </w:rPr>
              <w:t>’</w:t>
            </w:r>
            <w:r w:rsidRPr="002A1AEC">
              <w:rPr>
                <w:lang w:val="fr-FR"/>
              </w:rPr>
              <w:t>étaient pas, sur la base de critères raisonnables et objectifs, et non sur la base du handicap. L</w:t>
            </w:r>
            <w:r w:rsidR="0081542E">
              <w:rPr>
                <w:lang w:val="fr-FR"/>
              </w:rPr>
              <w:t>’</w:t>
            </w:r>
            <w:r w:rsidRPr="002A1AEC">
              <w:rPr>
                <w:lang w:val="fr-FR"/>
              </w:rPr>
              <w:t>État partie considérait que la loi prévoyait des garanties suffisantes et que la législation garantissait que les individus qui ne comprenaient pas la nature des charges retenues contre eux ne seraient pas jugés de manière que les personnes qui n</w:t>
            </w:r>
            <w:r w:rsidR="0081542E">
              <w:rPr>
                <w:lang w:val="fr-FR"/>
              </w:rPr>
              <w:t>’</w:t>
            </w:r>
            <w:r w:rsidRPr="002A1AEC">
              <w:rPr>
                <w:lang w:val="fr-FR"/>
              </w:rPr>
              <w:t xml:space="preserve">étaient pas </w:t>
            </w:r>
            <w:r>
              <w:rPr>
                <w:lang w:val="fr-FR"/>
              </w:rPr>
              <w:t>aptes à</w:t>
            </w:r>
            <w:r w:rsidRPr="002A1AEC">
              <w:rPr>
                <w:lang w:val="fr-FR"/>
              </w:rPr>
              <w:t xml:space="preserve"> se défendre </w:t>
            </w:r>
            <w:r>
              <w:rPr>
                <w:lang w:val="fr-FR"/>
              </w:rPr>
              <w:t>convenablement</w:t>
            </w:r>
            <w:r w:rsidRPr="002A1AEC">
              <w:rPr>
                <w:lang w:val="fr-FR"/>
              </w:rPr>
              <w:t xml:space="preserve"> ou n</w:t>
            </w:r>
            <w:r w:rsidR="0081542E">
              <w:rPr>
                <w:lang w:val="fr-FR"/>
              </w:rPr>
              <w:t>’</w:t>
            </w:r>
            <w:r w:rsidRPr="002A1AEC">
              <w:rPr>
                <w:lang w:val="fr-FR"/>
              </w:rPr>
              <w:t>en avaient pas la capacité ne risquent pas de ce fait d</w:t>
            </w:r>
            <w:r w:rsidR="0081542E">
              <w:rPr>
                <w:lang w:val="fr-FR"/>
              </w:rPr>
              <w:t>’</w:t>
            </w:r>
            <w:r w:rsidRPr="002A1AEC">
              <w:rPr>
                <w:lang w:val="fr-FR"/>
              </w:rPr>
              <w:t>être reconnues coupables.</w:t>
            </w:r>
          </w:p>
        </w:tc>
      </w:tr>
      <w:tr w:rsidR="00744CBC" w:rsidRPr="002A1AEC" w:rsidTr="00744CBC">
        <w:trPr>
          <w:trHeight w:val="240"/>
        </w:trPr>
        <w:tc>
          <w:tcPr>
            <w:tcW w:w="7370" w:type="dxa"/>
            <w:gridSpan w:val="2"/>
            <w:tcBorders>
              <w:bottom w:val="nil"/>
            </w:tcBorders>
            <w:shd w:val="clear" w:color="auto" w:fill="auto"/>
          </w:tcPr>
          <w:p w:rsidR="00744CBC" w:rsidRPr="002A1AEC" w:rsidRDefault="00744CBC" w:rsidP="00744CBC">
            <w:pPr>
              <w:pStyle w:val="SingleTxtG"/>
              <w:suppressAutoHyphens w:val="0"/>
              <w:spacing w:before="40" w:line="220" w:lineRule="exact"/>
              <w:ind w:left="0" w:right="113"/>
              <w:rPr>
                <w:lang w:val="fr-FR"/>
              </w:rPr>
            </w:pPr>
            <w:r w:rsidRPr="002A1AEC">
              <w:rPr>
                <w:lang w:val="fr-FR"/>
              </w:rPr>
              <w:t>L</w:t>
            </w:r>
            <w:r w:rsidR="0081542E">
              <w:rPr>
                <w:lang w:val="fr-FR"/>
              </w:rPr>
              <w:t>’</w:t>
            </w:r>
            <w:r w:rsidRPr="002A1AEC">
              <w:rPr>
                <w:lang w:val="fr-FR"/>
              </w:rPr>
              <w:t xml:space="preserve">État partie a en outre </w:t>
            </w:r>
            <w:r>
              <w:rPr>
                <w:lang w:val="fr-FR"/>
              </w:rPr>
              <w:t>indiqué</w:t>
            </w:r>
            <w:r w:rsidRPr="002A1AEC">
              <w:rPr>
                <w:lang w:val="fr-FR"/>
              </w:rPr>
              <w:t xml:space="preserve"> que le Comité n</w:t>
            </w:r>
            <w:r w:rsidR="0081542E">
              <w:rPr>
                <w:lang w:val="fr-FR"/>
              </w:rPr>
              <w:t>’</w:t>
            </w:r>
            <w:r w:rsidRPr="002A1AEC">
              <w:rPr>
                <w:lang w:val="fr-FR"/>
              </w:rPr>
              <w:t>avait pas précisé les mesures qu</w:t>
            </w:r>
            <w:r w:rsidR="0081542E">
              <w:rPr>
                <w:lang w:val="fr-FR"/>
              </w:rPr>
              <w:t>’</w:t>
            </w:r>
            <w:r w:rsidRPr="002A1AEC">
              <w:rPr>
                <w:lang w:val="fr-FR"/>
              </w:rPr>
              <w:t xml:space="preserve">il devait prendre selon lui </w:t>
            </w:r>
            <w:r>
              <w:rPr>
                <w:lang w:val="fr-FR"/>
              </w:rPr>
              <w:t>en faveur</w:t>
            </w:r>
            <w:r w:rsidRPr="002A1AEC">
              <w:rPr>
                <w:lang w:val="fr-FR"/>
              </w:rPr>
              <w:t xml:space="preserve"> des personnes qui étaient de manière </w:t>
            </w:r>
            <w:r>
              <w:rPr>
                <w:lang w:val="fr-FR"/>
              </w:rPr>
              <w:t xml:space="preserve">temporaire ou </w:t>
            </w:r>
            <w:r w:rsidRPr="002A1AEC">
              <w:rPr>
                <w:lang w:val="fr-FR"/>
              </w:rPr>
              <w:t>permanente dans l</w:t>
            </w:r>
            <w:r w:rsidR="0081542E">
              <w:rPr>
                <w:lang w:val="fr-FR"/>
              </w:rPr>
              <w:t>’</w:t>
            </w:r>
            <w:r w:rsidRPr="002A1AEC">
              <w:rPr>
                <w:lang w:val="fr-FR"/>
              </w:rPr>
              <w:t>incapacité de comprendre la nature d</w:t>
            </w:r>
            <w:r w:rsidR="0081542E">
              <w:rPr>
                <w:lang w:val="fr-FR"/>
              </w:rPr>
              <w:t>’</w:t>
            </w:r>
            <w:r w:rsidRPr="002A1AEC">
              <w:rPr>
                <w:lang w:val="fr-FR"/>
              </w:rPr>
              <w:t>un procès pénal. Il a fait valoir que le Comité devrait fournir des indications quant au type de mesures que l</w:t>
            </w:r>
            <w:r w:rsidR="0081542E">
              <w:rPr>
                <w:lang w:val="fr-FR"/>
              </w:rPr>
              <w:t>’</w:t>
            </w:r>
            <w:r w:rsidRPr="002A1AEC">
              <w:rPr>
                <w:lang w:val="fr-FR"/>
              </w:rPr>
              <w:t xml:space="preserve">État partie </w:t>
            </w:r>
            <w:r w:rsidRPr="00741757">
              <w:rPr>
                <w:spacing w:val="-2"/>
                <w:lang w:val="fr-FR"/>
              </w:rPr>
              <w:t>aurait pu mettre en place conformément à l</w:t>
            </w:r>
            <w:r w:rsidR="0081542E">
              <w:rPr>
                <w:spacing w:val="-2"/>
                <w:lang w:val="fr-FR"/>
              </w:rPr>
              <w:t>’</w:t>
            </w:r>
            <w:r w:rsidRPr="00741757">
              <w:rPr>
                <w:spacing w:val="-2"/>
                <w:lang w:val="fr-FR"/>
              </w:rPr>
              <w:t>article 5 de la Convention pour aider davantage</w:t>
            </w:r>
            <w:r w:rsidRPr="002A1AEC">
              <w:rPr>
                <w:lang w:val="fr-FR"/>
              </w:rPr>
              <w:t xml:space="preserve"> l</w:t>
            </w:r>
            <w:r w:rsidR="0081542E">
              <w:rPr>
                <w:lang w:val="fr-FR"/>
              </w:rPr>
              <w:t>’</w:t>
            </w:r>
            <w:r w:rsidRPr="002A1AEC">
              <w:rPr>
                <w:lang w:val="fr-FR"/>
              </w:rPr>
              <w:t>auteur à exercer sa capacité juridique</w:t>
            </w:r>
            <w:r>
              <w:rPr>
                <w:lang w:val="fr-FR"/>
              </w:rPr>
              <w:t xml:space="preserve"> ou lui donner de meilleures conditions pour le faire</w:t>
            </w:r>
            <w:r w:rsidRPr="002A1AEC">
              <w:rPr>
                <w:lang w:val="fr-FR"/>
              </w:rPr>
              <w:t>. L</w:t>
            </w:r>
            <w:r w:rsidR="0081542E">
              <w:rPr>
                <w:lang w:val="fr-FR"/>
              </w:rPr>
              <w:t>’</w:t>
            </w:r>
            <w:r w:rsidRPr="002A1AEC">
              <w:rPr>
                <w:lang w:val="fr-FR"/>
              </w:rPr>
              <w:t>État partie a en outre dit une nouvelle fois les préoccupations qu</w:t>
            </w:r>
            <w:r w:rsidR="0081542E">
              <w:rPr>
                <w:lang w:val="fr-FR"/>
              </w:rPr>
              <w:t>’</w:t>
            </w:r>
            <w:r w:rsidRPr="002A1AEC">
              <w:rPr>
                <w:lang w:val="fr-FR"/>
              </w:rPr>
              <w:t xml:space="preserve">il exprimait depuis longtemps </w:t>
            </w:r>
            <w:r w:rsidRPr="00C466DF">
              <w:rPr>
                <w:lang w:val="fr-FR"/>
              </w:rPr>
              <w:t>quant à l</w:t>
            </w:r>
            <w:r w:rsidR="0081542E">
              <w:rPr>
                <w:lang w:val="fr-FR"/>
              </w:rPr>
              <w:t>’</w:t>
            </w:r>
            <w:r w:rsidRPr="00C466DF">
              <w:rPr>
                <w:lang w:val="fr-FR"/>
              </w:rPr>
              <w:t>idée arrêtée que le Comité avait au sujet de la capacité</w:t>
            </w:r>
            <w:r w:rsidRPr="002A1AEC">
              <w:rPr>
                <w:lang w:val="fr-FR"/>
              </w:rPr>
              <w:t xml:space="preserve"> et qui, selon lui, ne tenait pas compte du fait </w:t>
            </w:r>
            <w:r>
              <w:rPr>
                <w:lang w:val="fr-FR"/>
              </w:rPr>
              <w:t>qu</w:t>
            </w:r>
            <w:r w:rsidR="0081542E">
              <w:rPr>
                <w:lang w:val="fr-FR"/>
              </w:rPr>
              <w:t>’</w:t>
            </w:r>
            <w:r>
              <w:rPr>
                <w:lang w:val="fr-FR"/>
              </w:rPr>
              <w:t>il existait différents degrés de capacité − ce qui n</w:t>
            </w:r>
            <w:r w:rsidR="0081542E">
              <w:rPr>
                <w:lang w:val="fr-FR"/>
              </w:rPr>
              <w:t>’</w:t>
            </w:r>
            <w:r>
              <w:rPr>
                <w:lang w:val="fr-FR"/>
              </w:rPr>
              <w:t>était pas le cas pour le</w:t>
            </w:r>
            <w:r w:rsidRPr="002A1AEC">
              <w:rPr>
                <w:lang w:val="fr-FR"/>
              </w:rPr>
              <w:t xml:space="preserve"> droit </w:t>
            </w:r>
            <w:r>
              <w:rPr>
                <w:lang w:val="fr-FR"/>
              </w:rPr>
              <w:t>à la reconnaissance de la personnalité juridique</w:t>
            </w:r>
            <w:r>
              <w:t>.</w:t>
            </w:r>
          </w:p>
        </w:tc>
      </w:tr>
      <w:tr w:rsidR="00744CBC" w:rsidRPr="002A1AEC" w:rsidTr="00744CBC">
        <w:trPr>
          <w:trHeight w:val="240"/>
        </w:trPr>
        <w:tc>
          <w:tcPr>
            <w:tcW w:w="7370" w:type="dxa"/>
            <w:gridSpan w:val="2"/>
            <w:tcBorders>
              <w:bottom w:val="nil"/>
            </w:tcBorders>
            <w:shd w:val="clear" w:color="auto" w:fill="auto"/>
          </w:tcPr>
          <w:p w:rsidR="00744CBC" w:rsidRPr="00744CBC" w:rsidRDefault="00744CBC" w:rsidP="00744CBC">
            <w:pPr>
              <w:pStyle w:val="SingleTxtG"/>
              <w:suppressAutoHyphens w:val="0"/>
              <w:spacing w:before="40" w:line="220" w:lineRule="exact"/>
              <w:ind w:left="0" w:right="113"/>
            </w:pPr>
            <w:r w:rsidRPr="002A1AEC">
              <w:rPr>
                <w:lang w:val="fr-FR"/>
              </w:rPr>
              <w:t>L</w:t>
            </w:r>
            <w:r w:rsidR="0081542E">
              <w:rPr>
                <w:lang w:val="fr-FR"/>
              </w:rPr>
              <w:t>’</w:t>
            </w:r>
            <w:r w:rsidRPr="002A1AEC">
              <w:rPr>
                <w:lang w:val="fr-FR"/>
              </w:rPr>
              <w:t>État partie renvoyait à la jurisprudence du Comité des droits de l</w:t>
            </w:r>
            <w:r w:rsidR="0081542E">
              <w:rPr>
                <w:lang w:val="fr-FR"/>
              </w:rPr>
              <w:t>’</w:t>
            </w:r>
            <w:r w:rsidRPr="002A1AEC">
              <w:rPr>
                <w:lang w:val="fr-FR"/>
              </w:rPr>
              <w:t>homme, selon laquelle l</w:t>
            </w:r>
            <w:r w:rsidR="0081542E">
              <w:rPr>
                <w:lang w:val="fr-FR"/>
              </w:rPr>
              <w:t>’</w:t>
            </w:r>
            <w:r w:rsidRPr="002A1AEC">
              <w:rPr>
                <w:lang w:val="fr-FR"/>
              </w:rPr>
              <w:t>évaluation des faits et l</w:t>
            </w:r>
            <w:r w:rsidR="0081542E">
              <w:rPr>
                <w:lang w:val="fr-FR"/>
              </w:rPr>
              <w:t>’</w:t>
            </w:r>
            <w:r w:rsidRPr="002A1AEC">
              <w:rPr>
                <w:lang w:val="fr-FR"/>
              </w:rPr>
              <w:t>application de la loi dans une affaire particulière relèvent des tribunaux des États parties concernés et non pas du Comité, à moins que les décisions des tribunaux n</w:t>
            </w:r>
            <w:r w:rsidR="0081542E">
              <w:rPr>
                <w:lang w:val="fr-FR"/>
              </w:rPr>
              <w:t>’</w:t>
            </w:r>
            <w:r w:rsidRPr="002A1AEC">
              <w:rPr>
                <w:lang w:val="fr-FR"/>
              </w:rPr>
              <w:t>aient été manifestement arbitraires et n</w:t>
            </w:r>
            <w:r w:rsidR="0081542E">
              <w:rPr>
                <w:lang w:val="fr-FR"/>
              </w:rPr>
              <w:t>’</w:t>
            </w:r>
            <w:r w:rsidRPr="002A1AEC">
              <w:rPr>
                <w:lang w:val="fr-FR"/>
              </w:rPr>
              <w:t>aient constitué un déni de justice</w:t>
            </w:r>
            <w:r w:rsidRPr="002A1AEC">
              <w:rPr>
                <w:rStyle w:val="Appelnotedebasdep"/>
                <w:lang w:val="fr-FR"/>
              </w:rPr>
              <w:footnoteReference w:id="2"/>
            </w:r>
            <w:r w:rsidRPr="002A1AEC">
              <w:rPr>
                <w:lang w:val="fr-FR"/>
              </w:rPr>
              <w:t>. Il estimait que le Comité devrait aligner ses constatations sur celles du Comité des droits de l</w:t>
            </w:r>
            <w:r w:rsidR="0081542E">
              <w:rPr>
                <w:lang w:val="fr-FR"/>
              </w:rPr>
              <w:t>’</w:t>
            </w:r>
            <w:r w:rsidRPr="002A1AEC">
              <w:rPr>
                <w:lang w:val="fr-FR"/>
              </w:rPr>
              <w:t>homme. À cet égard, il a précisé que le Comité des droits de l</w:t>
            </w:r>
            <w:r w:rsidR="0081542E">
              <w:rPr>
                <w:lang w:val="fr-FR"/>
              </w:rPr>
              <w:t>’</w:t>
            </w:r>
            <w:r w:rsidRPr="002A1AEC">
              <w:rPr>
                <w:lang w:val="fr-FR"/>
              </w:rPr>
              <w:t>homme avait statué que le fait que l</w:t>
            </w:r>
            <w:r w:rsidR="0081542E">
              <w:rPr>
                <w:lang w:val="fr-FR"/>
              </w:rPr>
              <w:t>’</w:t>
            </w:r>
            <w:r w:rsidRPr="002A1AEC">
              <w:rPr>
                <w:lang w:val="fr-FR"/>
              </w:rPr>
              <w:t>auteur ait été détenu de 1984 à 1993 au titre de la loi sur la santé mentale ne constituait pas une violation du droit que lui reconnaissait l</w:t>
            </w:r>
            <w:r w:rsidR="0081542E">
              <w:rPr>
                <w:lang w:val="fr-FR"/>
              </w:rPr>
              <w:t>’</w:t>
            </w:r>
            <w:r w:rsidRPr="002A1AEC">
              <w:rPr>
                <w:lang w:val="fr-FR"/>
              </w:rPr>
              <w:t>article 9 du Pacte international relatif aux droits civils et politiques. Cette conclusion reposait sur le fait que l</w:t>
            </w:r>
            <w:r w:rsidR="0081542E">
              <w:rPr>
                <w:lang w:val="fr-FR"/>
              </w:rPr>
              <w:t>’</w:t>
            </w:r>
            <w:r w:rsidRPr="002A1AEC">
              <w:rPr>
                <w:lang w:val="fr-FR"/>
              </w:rPr>
              <w:t>état de l</w:t>
            </w:r>
            <w:r w:rsidR="0081542E">
              <w:rPr>
                <w:lang w:val="fr-FR"/>
              </w:rPr>
              <w:t>’</w:t>
            </w:r>
            <w:r w:rsidRPr="002A1AEC">
              <w:rPr>
                <w:lang w:val="fr-FR"/>
              </w:rPr>
              <w:t>auteur avait été évalué au titre de la loi nationale, selon des critères objectifs. De</w:t>
            </w:r>
            <w:r w:rsidR="00741757">
              <w:rPr>
                <w:lang w:val="fr-FR"/>
              </w:rPr>
              <w:t xml:space="preserve"> </w:t>
            </w:r>
            <w:r w:rsidRPr="002A1AEC">
              <w:rPr>
                <w:lang w:val="fr-FR"/>
              </w:rPr>
              <w:t>surcroît, le Comité avait relevé que l</w:t>
            </w:r>
            <w:r w:rsidR="0081542E">
              <w:rPr>
                <w:lang w:val="fr-FR"/>
              </w:rPr>
              <w:t>’</w:t>
            </w:r>
            <w:r w:rsidRPr="002A1AEC">
              <w:rPr>
                <w:lang w:val="fr-FR"/>
              </w:rPr>
              <w:t>ordonnance d</w:t>
            </w:r>
            <w:r w:rsidR="0081542E">
              <w:rPr>
                <w:lang w:val="fr-FR"/>
              </w:rPr>
              <w:t>’</w:t>
            </w:r>
            <w:r w:rsidRPr="002A1AEC">
              <w:rPr>
                <w:lang w:val="fr-FR"/>
              </w:rPr>
              <w:t>internement avait été rendue conformément à la loi, sur la foi de l</w:t>
            </w:r>
            <w:r w:rsidR="0081542E">
              <w:rPr>
                <w:lang w:val="fr-FR"/>
              </w:rPr>
              <w:t>’</w:t>
            </w:r>
            <w:r w:rsidRPr="002A1AEC">
              <w:rPr>
                <w:lang w:val="fr-FR"/>
              </w:rPr>
              <w:t>opinion de trois psychiatres. Le fait que des psychiatres et les tribunaux aient continué d</w:t>
            </w:r>
            <w:r w:rsidR="0081542E">
              <w:rPr>
                <w:lang w:val="fr-FR"/>
              </w:rPr>
              <w:t>’</w:t>
            </w:r>
            <w:r w:rsidRPr="002A1AEC">
              <w:rPr>
                <w:lang w:val="fr-FR"/>
              </w:rPr>
              <w:t>examiner périodiquement la situation de l</w:t>
            </w:r>
            <w:r w:rsidR="0081542E">
              <w:rPr>
                <w:lang w:val="fr-FR"/>
              </w:rPr>
              <w:t>’</w:t>
            </w:r>
            <w:r>
              <w:rPr>
                <w:lang w:val="fr-FR"/>
              </w:rPr>
              <w:t>auteur avai</w:t>
            </w:r>
            <w:r w:rsidRPr="002A1AEC">
              <w:rPr>
                <w:lang w:val="fr-FR"/>
              </w:rPr>
              <w:t>t également joué un rôle important dans la constatation par le Comité que dans cette affaire l</w:t>
            </w:r>
            <w:r w:rsidR="0081542E">
              <w:rPr>
                <w:lang w:val="fr-FR"/>
              </w:rPr>
              <w:t>’</w:t>
            </w:r>
            <w:r w:rsidRPr="002A1AEC">
              <w:rPr>
                <w:lang w:val="fr-FR"/>
              </w:rPr>
              <w:t>État partie n</w:t>
            </w:r>
            <w:r w:rsidR="0081542E">
              <w:rPr>
                <w:lang w:val="fr-FR"/>
              </w:rPr>
              <w:t>’</w:t>
            </w:r>
            <w:r w:rsidRPr="002A1AEC">
              <w:rPr>
                <w:lang w:val="fr-FR"/>
              </w:rPr>
              <w:t>avait pas violé l</w:t>
            </w:r>
            <w:r w:rsidR="0081542E">
              <w:rPr>
                <w:lang w:val="fr-FR"/>
              </w:rPr>
              <w:t>’</w:t>
            </w:r>
            <w:r w:rsidRPr="002A1AEC">
              <w:rPr>
                <w:lang w:val="fr-FR"/>
              </w:rPr>
              <w:t>article 9.</w:t>
            </w:r>
          </w:p>
        </w:tc>
      </w:tr>
      <w:tr w:rsidR="00744CBC" w:rsidRPr="002A1AEC" w:rsidTr="00DF4CCE">
        <w:trPr>
          <w:trHeight w:val="240"/>
        </w:trPr>
        <w:tc>
          <w:tcPr>
            <w:tcW w:w="7370" w:type="dxa"/>
            <w:gridSpan w:val="2"/>
            <w:tcBorders>
              <w:top w:val="nil"/>
              <w:bottom w:val="nil"/>
            </w:tcBorders>
            <w:shd w:val="clear" w:color="auto" w:fill="auto"/>
          </w:tcPr>
          <w:p w:rsidR="00744CBC" w:rsidRPr="002A1AEC" w:rsidRDefault="00744CBC" w:rsidP="00744CBC">
            <w:pPr>
              <w:pStyle w:val="SingleTxtG"/>
              <w:suppressAutoHyphens w:val="0"/>
              <w:spacing w:before="40" w:line="220" w:lineRule="exact"/>
              <w:ind w:left="0" w:right="113"/>
              <w:rPr>
                <w:lang w:val="fr-FR"/>
              </w:rPr>
            </w:pPr>
            <w:r w:rsidRPr="002A1AEC">
              <w:rPr>
                <w:lang w:val="fr-FR"/>
              </w:rPr>
              <w:t>L</w:t>
            </w:r>
            <w:r w:rsidR="0081542E">
              <w:rPr>
                <w:lang w:val="fr-FR"/>
              </w:rPr>
              <w:t>’</w:t>
            </w:r>
            <w:r w:rsidRPr="002A1AEC">
              <w:rPr>
                <w:lang w:val="fr-FR"/>
              </w:rPr>
              <w:t xml:space="preserve">État partie a </w:t>
            </w:r>
            <w:r>
              <w:rPr>
                <w:lang w:val="fr-FR"/>
              </w:rPr>
              <w:t>réaffirmé</w:t>
            </w:r>
            <w:r w:rsidRPr="002A1AEC">
              <w:rPr>
                <w:lang w:val="fr-FR"/>
              </w:rPr>
              <w:t xml:space="preserve"> que les décisions des autorités nationales quant au placement en détention de l</w:t>
            </w:r>
            <w:r w:rsidR="0081542E">
              <w:rPr>
                <w:lang w:val="fr-FR"/>
              </w:rPr>
              <w:t>’</w:t>
            </w:r>
            <w:r w:rsidRPr="002A1AEC">
              <w:rPr>
                <w:lang w:val="fr-FR"/>
              </w:rPr>
              <w:t>auteur en application de la loi n</w:t>
            </w:r>
            <w:r w:rsidR="0081542E">
              <w:rPr>
                <w:lang w:val="fr-FR"/>
              </w:rPr>
              <w:t>’</w:t>
            </w:r>
            <w:r w:rsidRPr="002A1AEC">
              <w:rPr>
                <w:lang w:val="fr-FR"/>
              </w:rPr>
              <w:t>étaient pas arbitraires, qu</w:t>
            </w:r>
            <w:r w:rsidR="0081542E">
              <w:rPr>
                <w:lang w:val="fr-FR"/>
              </w:rPr>
              <w:t>’</w:t>
            </w:r>
            <w:r w:rsidRPr="002A1AEC">
              <w:rPr>
                <w:lang w:val="fr-FR"/>
              </w:rPr>
              <w:t>elles avaient été rendues conformément à la loi et qu</w:t>
            </w:r>
            <w:r w:rsidR="0081542E">
              <w:rPr>
                <w:lang w:val="fr-FR"/>
              </w:rPr>
              <w:t>’</w:t>
            </w:r>
            <w:r w:rsidRPr="002A1AEC">
              <w:rPr>
                <w:lang w:val="fr-FR"/>
              </w:rPr>
              <w:t>elles avaient fait l</w:t>
            </w:r>
            <w:r w:rsidR="0081542E">
              <w:rPr>
                <w:lang w:val="fr-FR"/>
              </w:rPr>
              <w:t>’</w:t>
            </w:r>
            <w:r w:rsidRPr="002A1AEC">
              <w:rPr>
                <w:lang w:val="fr-FR"/>
              </w:rPr>
              <w:t>objet d</w:t>
            </w:r>
            <w:r w:rsidR="0081542E">
              <w:rPr>
                <w:lang w:val="fr-FR"/>
              </w:rPr>
              <w:t>’</w:t>
            </w:r>
            <w:r w:rsidRPr="002A1AEC">
              <w:rPr>
                <w:lang w:val="fr-FR"/>
              </w:rPr>
              <w:t>un réexamen périodique</w:t>
            </w:r>
            <w:r>
              <w:rPr>
                <w:lang w:val="fr-FR"/>
              </w:rPr>
              <w:t>,</w:t>
            </w:r>
            <w:r w:rsidRPr="002A1AEC">
              <w:rPr>
                <w:lang w:val="fr-FR"/>
              </w:rPr>
              <w:t xml:space="preserve"> et a estimé que selon le raisonnement du Comité des droits </w:t>
            </w:r>
            <w:r>
              <w:rPr>
                <w:lang w:val="fr-FR"/>
              </w:rPr>
              <w:t>d</w:t>
            </w:r>
            <w:r w:rsidRPr="002A1AEC">
              <w:rPr>
                <w:lang w:val="fr-FR"/>
              </w:rPr>
              <w:t>e l</w:t>
            </w:r>
            <w:r w:rsidR="0081542E">
              <w:rPr>
                <w:lang w:val="fr-FR"/>
              </w:rPr>
              <w:t>’</w:t>
            </w:r>
            <w:r w:rsidRPr="002A1AEC">
              <w:rPr>
                <w:lang w:val="fr-FR"/>
              </w:rPr>
              <w:t>homme, le placement en détention de l</w:t>
            </w:r>
            <w:r w:rsidR="0081542E">
              <w:rPr>
                <w:lang w:val="fr-FR"/>
              </w:rPr>
              <w:t>’</w:t>
            </w:r>
            <w:r w:rsidRPr="002A1AEC">
              <w:rPr>
                <w:lang w:val="fr-FR"/>
              </w:rPr>
              <w:t>auteur n</w:t>
            </w:r>
            <w:r w:rsidR="0081542E">
              <w:rPr>
                <w:lang w:val="fr-FR"/>
              </w:rPr>
              <w:t>’</w:t>
            </w:r>
            <w:r w:rsidRPr="002A1AEC">
              <w:rPr>
                <w:lang w:val="fr-FR"/>
              </w:rPr>
              <w:t>aurait pas été considéré comme constituant une violation du paragraphe 1) b) de l</w:t>
            </w:r>
            <w:r w:rsidR="0081542E">
              <w:rPr>
                <w:lang w:val="fr-FR"/>
              </w:rPr>
              <w:t>’</w:t>
            </w:r>
            <w:r w:rsidRPr="002A1AEC">
              <w:rPr>
                <w:lang w:val="fr-FR"/>
              </w:rPr>
              <w:t>article 14 de la Convention. S</w:t>
            </w:r>
            <w:r w:rsidR="0081542E">
              <w:rPr>
                <w:lang w:val="fr-FR"/>
              </w:rPr>
              <w:t>’</w:t>
            </w:r>
            <w:r w:rsidRPr="002A1AEC">
              <w:rPr>
                <w:lang w:val="fr-FR"/>
              </w:rPr>
              <w:t>agissant de la constatation du Comité selon laquelle l</w:t>
            </w:r>
            <w:r w:rsidR="0081542E">
              <w:rPr>
                <w:lang w:val="fr-FR"/>
              </w:rPr>
              <w:t>’</w:t>
            </w:r>
            <w:r w:rsidRPr="002A1AEC">
              <w:rPr>
                <w:lang w:val="fr-FR"/>
              </w:rPr>
              <w:t>article 15 aurait été enfreint, l</w:t>
            </w:r>
            <w:r w:rsidR="0081542E">
              <w:rPr>
                <w:lang w:val="fr-FR"/>
              </w:rPr>
              <w:t>’</w:t>
            </w:r>
            <w:r w:rsidRPr="002A1AEC">
              <w:rPr>
                <w:lang w:val="fr-FR"/>
              </w:rPr>
              <w:t>État partie a réaffirmé que selon lui les allégations de l</w:t>
            </w:r>
            <w:r w:rsidR="0081542E">
              <w:rPr>
                <w:lang w:val="fr-FR"/>
              </w:rPr>
              <w:t>’</w:t>
            </w:r>
            <w:r w:rsidRPr="002A1AEC">
              <w:rPr>
                <w:lang w:val="fr-FR"/>
              </w:rPr>
              <w:t>auteur à cet égard n</w:t>
            </w:r>
            <w:r w:rsidR="0081542E">
              <w:rPr>
                <w:lang w:val="fr-FR"/>
              </w:rPr>
              <w:t>’</w:t>
            </w:r>
            <w:r w:rsidRPr="002A1AEC">
              <w:rPr>
                <w:lang w:val="fr-FR"/>
              </w:rPr>
              <w:t>avaient pas été étayées.</w:t>
            </w:r>
          </w:p>
        </w:tc>
      </w:tr>
      <w:tr w:rsidR="00744CBC" w:rsidRPr="002A1AEC" w:rsidTr="00DF4CCE">
        <w:trPr>
          <w:trHeight w:val="240"/>
        </w:trPr>
        <w:tc>
          <w:tcPr>
            <w:tcW w:w="7370" w:type="dxa"/>
            <w:gridSpan w:val="2"/>
            <w:tcBorders>
              <w:top w:val="nil"/>
              <w:bottom w:val="nil"/>
            </w:tcBorders>
            <w:shd w:val="clear" w:color="auto" w:fill="auto"/>
          </w:tcPr>
          <w:p w:rsidR="00744CBC" w:rsidRPr="002A1AEC" w:rsidRDefault="00744CBC" w:rsidP="00744CBC">
            <w:pPr>
              <w:pStyle w:val="SingleTxtG"/>
              <w:suppressAutoHyphens w:val="0"/>
              <w:spacing w:before="40" w:line="220" w:lineRule="exact"/>
              <w:ind w:left="0" w:right="113"/>
              <w:rPr>
                <w:lang w:val="fr-FR"/>
              </w:rPr>
            </w:pPr>
            <w:r w:rsidRPr="002A1AEC">
              <w:rPr>
                <w:lang w:val="fr-FR"/>
              </w:rPr>
              <w:t>L</w:t>
            </w:r>
            <w:r w:rsidR="0081542E">
              <w:rPr>
                <w:lang w:val="fr-FR"/>
              </w:rPr>
              <w:t>’</w:t>
            </w:r>
            <w:r w:rsidRPr="002A1AEC">
              <w:rPr>
                <w:lang w:val="fr-FR"/>
              </w:rPr>
              <w:t>État partie a par conséquent fait valoir qu</w:t>
            </w:r>
            <w:r w:rsidR="0081542E">
              <w:rPr>
                <w:lang w:val="fr-FR"/>
              </w:rPr>
              <w:t>’</w:t>
            </w:r>
            <w:r w:rsidRPr="002A1AEC">
              <w:rPr>
                <w:lang w:val="fr-FR"/>
              </w:rPr>
              <w:t>il ne jugeait pas approprié de mettre en œuvre toutes les recommandations du Comité. Les autorités de l</w:t>
            </w:r>
            <w:r w:rsidR="0081542E">
              <w:rPr>
                <w:lang w:val="fr-FR"/>
              </w:rPr>
              <w:t>’</w:t>
            </w:r>
            <w:r w:rsidRPr="002A1AEC">
              <w:rPr>
                <w:lang w:val="fr-FR"/>
              </w:rPr>
              <w:t xml:space="preserve">Australie occidentale étaient </w:t>
            </w:r>
            <w:r w:rsidRPr="002A1AEC">
              <w:rPr>
                <w:lang w:val="fr-FR"/>
              </w:rPr>
              <w:lastRenderedPageBreak/>
              <w:t xml:space="preserve">cependant déterminées à </w:t>
            </w:r>
            <w:r>
              <w:rPr>
                <w:lang w:val="fr-FR"/>
              </w:rPr>
              <w:t>fournir un accompagnement à</w:t>
            </w:r>
            <w:r w:rsidRPr="002A1AEC">
              <w:rPr>
                <w:lang w:val="fr-FR"/>
              </w:rPr>
              <w:t xml:space="preserve"> l</w:t>
            </w:r>
            <w:r w:rsidR="0081542E">
              <w:rPr>
                <w:lang w:val="fr-FR"/>
              </w:rPr>
              <w:t>’</w:t>
            </w:r>
            <w:r w:rsidRPr="002A1AEC">
              <w:rPr>
                <w:lang w:val="fr-FR"/>
              </w:rPr>
              <w:t xml:space="preserve">auteur par le biais des différentes institutions qui suivaient son dossier, de façon </w:t>
            </w:r>
            <w:r>
              <w:rPr>
                <w:lang w:val="fr-FR"/>
              </w:rPr>
              <w:t>que celui-ci</w:t>
            </w:r>
            <w:r w:rsidRPr="002A1AEC">
              <w:rPr>
                <w:lang w:val="fr-FR"/>
              </w:rPr>
              <w:t xml:space="preserve"> puisse vivre de manière autonome </w:t>
            </w:r>
            <w:r>
              <w:rPr>
                <w:lang w:val="fr-FR"/>
              </w:rPr>
              <w:t>dans la société</w:t>
            </w:r>
            <w:r w:rsidRPr="002A1AEC">
              <w:rPr>
                <w:lang w:val="fr-FR"/>
              </w:rPr>
              <w:t>, et accorderaient l</w:t>
            </w:r>
            <w:r w:rsidR="0081542E">
              <w:rPr>
                <w:lang w:val="fr-FR"/>
              </w:rPr>
              <w:t>’</w:t>
            </w:r>
            <w:r w:rsidRPr="002A1AEC">
              <w:rPr>
                <w:lang w:val="fr-FR"/>
              </w:rPr>
              <w:t xml:space="preserve">attention voulue, </w:t>
            </w:r>
            <w:r>
              <w:rPr>
                <w:lang w:val="fr-FR"/>
              </w:rPr>
              <w:t>quant au</w:t>
            </w:r>
            <w:r w:rsidRPr="002A1AEC">
              <w:rPr>
                <w:lang w:val="fr-FR"/>
              </w:rPr>
              <w:t xml:space="preserve"> fond, à toute nouvelle demande d</w:t>
            </w:r>
            <w:r w:rsidR="0081542E">
              <w:rPr>
                <w:lang w:val="fr-FR"/>
              </w:rPr>
              <w:t>’</w:t>
            </w:r>
            <w:r w:rsidRPr="002A1AEC">
              <w:rPr>
                <w:lang w:val="fr-FR"/>
              </w:rPr>
              <w:t xml:space="preserve">assistance </w:t>
            </w:r>
            <w:r>
              <w:rPr>
                <w:lang w:val="fr-FR"/>
              </w:rPr>
              <w:t>qu</w:t>
            </w:r>
            <w:r w:rsidR="0081542E">
              <w:rPr>
                <w:lang w:val="fr-FR"/>
              </w:rPr>
              <w:t>’</w:t>
            </w:r>
            <w:r>
              <w:rPr>
                <w:lang w:val="fr-FR"/>
              </w:rPr>
              <w:t>il</w:t>
            </w:r>
            <w:r w:rsidRPr="002A1AEC">
              <w:rPr>
                <w:lang w:val="fr-FR"/>
              </w:rPr>
              <w:t xml:space="preserve"> présenterait.</w:t>
            </w:r>
          </w:p>
        </w:tc>
      </w:tr>
      <w:tr w:rsidR="00744CBC" w:rsidRPr="002A1AEC" w:rsidTr="00DF4CCE">
        <w:trPr>
          <w:trHeight w:val="240"/>
        </w:trPr>
        <w:tc>
          <w:tcPr>
            <w:tcW w:w="7370" w:type="dxa"/>
            <w:gridSpan w:val="2"/>
            <w:tcBorders>
              <w:top w:val="nil"/>
              <w:bottom w:val="nil"/>
            </w:tcBorders>
            <w:shd w:val="clear" w:color="auto" w:fill="auto"/>
          </w:tcPr>
          <w:p w:rsidR="00744CBC" w:rsidRPr="002A1AEC" w:rsidRDefault="00744CBC" w:rsidP="00744CBC">
            <w:pPr>
              <w:pStyle w:val="SingleTxtG"/>
              <w:suppressAutoHyphens w:val="0"/>
              <w:spacing w:before="40" w:line="220" w:lineRule="exact"/>
              <w:ind w:left="0" w:right="113"/>
              <w:rPr>
                <w:lang w:val="fr-FR"/>
              </w:rPr>
            </w:pPr>
            <w:r w:rsidRPr="002A1AEC">
              <w:rPr>
                <w:lang w:val="fr-FR"/>
              </w:rPr>
              <w:lastRenderedPageBreak/>
              <w:t>S</w:t>
            </w:r>
            <w:r w:rsidR="0081542E">
              <w:rPr>
                <w:lang w:val="fr-FR"/>
              </w:rPr>
              <w:t>’</w:t>
            </w:r>
            <w:r w:rsidRPr="002A1AEC">
              <w:rPr>
                <w:lang w:val="fr-FR"/>
              </w:rPr>
              <w:t xml:space="preserve">agissant de la recommandation du Comité concernant le remboursement des </w:t>
            </w:r>
            <w:r>
              <w:rPr>
                <w:lang w:val="fr-FR"/>
              </w:rPr>
              <w:t>frais de justice</w:t>
            </w:r>
            <w:r w:rsidRPr="002A1AEC">
              <w:rPr>
                <w:lang w:val="fr-FR"/>
              </w:rPr>
              <w:t>, l</w:t>
            </w:r>
            <w:r w:rsidR="0081542E">
              <w:rPr>
                <w:lang w:val="fr-FR"/>
              </w:rPr>
              <w:t>’</w:t>
            </w:r>
            <w:r w:rsidRPr="002A1AEC">
              <w:rPr>
                <w:lang w:val="fr-FR"/>
              </w:rPr>
              <w:t>État partie a fait valoir que l</w:t>
            </w:r>
            <w:r w:rsidR="0081542E">
              <w:rPr>
                <w:lang w:val="fr-FR"/>
              </w:rPr>
              <w:t>’</w:t>
            </w:r>
            <w:r w:rsidRPr="002A1AEC">
              <w:rPr>
                <w:lang w:val="fr-FR"/>
              </w:rPr>
              <w:t xml:space="preserve">auteur avait bénéficié </w:t>
            </w:r>
            <w:r>
              <w:rPr>
                <w:lang w:val="fr-FR"/>
              </w:rPr>
              <w:t>de l</w:t>
            </w:r>
            <w:r w:rsidR="0081542E">
              <w:rPr>
                <w:lang w:val="fr-FR"/>
              </w:rPr>
              <w:t>’</w:t>
            </w:r>
            <w:r w:rsidRPr="002A1AEC">
              <w:rPr>
                <w:lang w:val="fr-FR"/>
              </w:rPr>
              <w:t>aide juridictionnelle dans le cadre des procédures engagées devant les juridictions internes et qu</w:t>
            </w:r>
            <w:r w:rsidR="0081542E">
              <w:rPr>
                <w:lang w:val="fr-FR"/>
              </w:rPr>
              <w:t>’</w:t>
            </w:r>
            <w:r w:rsidRPr="002A1AEC">
              <w:rPr>
                <w:lang w:val="fr-FR"/>
              </w:rPr>
              <w:t>il n</w:t>
            </w:r>
            <w:r w:rsidR="0081542E">
              <w:rPr>
                <w:lang w:val="fr-FR"/>
              </w:rPr>
              <w:t>’</w:t>
            </w:r>
            <w:r w:rsidRPr="002A1AEC">
              <w:rPr>
                <w:lang w:val="fr-FR"/>
              </w:rPr>
              <w:t>avait pas connaissance de frais de justice qui auraient été assumés par l</w:t>
            </w:r>
            <w:r w:rsidR="0081542E">
              <w:rPr>
                <w:lang w:val="fr-FR"/>
              </w:rPr>
              <w:t>’</w:t>
            </w:r>
            <w:r w:rsidRPr="002A1AEC">
              <w:rPr>
                <w:lang w:val="fr-FR"/>
              </w:rPr>
              <w:t>auteur.</w:t>
            </w:r>
          </w:p>
        </w:tc>
      </w:tr>
      <w:tr w:rsidR="00C91769" w:rsidRPr="002A1AEC" w:rsidTr="00744CBC">
        <w:trPr>
          <w:trHeight w:val="240"/>
        </w:trPr>
        <w:tc>
          <w:tcPr>
            <w:tcW w:w="3118" w:type="dxa"/>
            <w:tcBorders>
              <w:top w:val="nil"/>
            </w:tcBorders>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Mesures prises</w:t>
            </w:r>
            <w:r w:rsidR="00744CBC">
              <w:rPr>
                <w:lang w:val="fr-FR"/>
              </w:rPr>
              <w:t> </w:t>
            </w:r>
            <w:r w:rsidRPr="002A1AEC">
              <w:rPr>
                <w:lang w:val="fr-FR"/>
              </w:rPr>
              <w:t>:</w:t>
            </w:r>
          </w:p>
        </w:tc>
        <w:tc>
          <w:tcPr>
            <w:tcW w:w="4252" w:type="dxa"/>
            <w:tcBorders>
              <w:top w:val="nil"/>
            </w:tcBorders>
            <w:shd w:val="clear" w:color="auto" w:fill="auto"/>
          </w:tcPr>
          <w:p w:rsidR="00C91769" w:rsidRPr="002A1AEC" w:rsidRDefault="00C91769" w:rsidP="00744CBC">
            <w:pPr>
              <w:pStyle w:val="SingleTxtG"/>
              <w:suppressAutoHyphens w:val="0"/>
              <w:spacing w:before="40" w:line="220" w:lineRule="exact"/>
              <w:ind w:left="0" w:right="113"/>
              <w:rPr>
                <w:lang w:val="fr-FR"/>
              </w:rPr>
            </w:pPr>
            <w:r w:rsidRPr="002A1AEC">
              <w:rPr>
                <w:lang w:val="fr-FR"/>
              </w:rPr>
              <w:t>Constatations transmises aux auteurs le 15</w:t>
            </w:r>
            <w:r w:rsidR="00744CBC">
              <w:rPr>
                <w:lang w:val="fr-FR"/>
              </w:rPr>
              <w:t> </w:t>
            </w:r>
            <w:r w:rsidRPr="002A1AEC">
              <w:rPr>
                <w:lang w:val="fr-FR"/>
              </w:rPr>
              <w:t>juin 2017, la date limite pour les commentaires étant fixée au 12</w:t>
            </w:r>
            <w:r w:rsidR="00744CBC">
              <w:rPr>
                <w:lang w:val="fr-FR"/>
              </w:rPr>
              <w:t> </w:t>
            </w:r>
            <w:r w:rsidRPr="002A1AEC">
              <w:rPr>
                <w:lang w:val="fr-FR"/>
              </w:rPr>
              <w:t>septembre 2017.</w:t>
            </w:r>
          </w:p>
        </w:tc>
      </w:tr>
      <w:tr w:rsidR="00C91769" w:rsidRPr="002A1AEC" w:rsidTr="00744CBC">
        <w:trPr>
          <w:trHeight w:val="240"/>
        </w:trPr>
        <w:tc>
          <w:tcPr>
            <w:tcW w:w="3118" w:type="dxa"/>
            <w:tcBorders>
              <w:bottom w:val="nil"/>
            </w:tcBorders>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Commentaires de l</w:t>
            </w:r>
            <w:r w:rsidR="0081542E">
              <w:rPr>
                <w:lang w:val="fr-FR"/>
              </w:rPr>
              <w:t>’</w:t>
            </w:r>
            <w:r w:rsidRPr="002A1AEC">
              <w:rPr>
                <w:lang w:val="fr-FR"/>
              </w:rPr>
              <w:t>auteur</w:t>
            </w:r>
            <w:r w:rsidR="00744CBC">
              <w:rPr>
                <w:lang w:val="fr-FR"/>
              </w:rPr>
              <w:t> </w:t>
            </w:r>
            <w:r w:rsidRPr="002A1AEC">
              <w:rPr>
                <w:lang w:val="fr-FR"/>
              </w:rPr>
              <w:t>:</w:t>
            </w:r>
          </w:p>
        </w:tc>
        <w:tc>
          <w:tcPr>
            <w:tcW w:w="4252" w:type="dxa"/>
            <w:tcBorders>
              <w:bottom w:val="nil"/>
            </w:tcBorders>
            <w:shd w:val="clear" w:color="auto" w:fill="auto"/>
          </w:tcPr>
          <w:p w:rsidR="00C91769" w:rsidRPr="002A1AEC" w:rsidRDefault="00C91769" w:rsidP="00744CBC">
            <w:pPr>
              <w:pStyle w:val="SingleTxtG"/>
              <w:suppressAutoHyphens w:val="0"/>
              <w:spacing w:before="40" w:line="220" w:lineRule="exact"/>
              <w:ind w:left="0" w:right="113"/>
              <w:rPr>
                <w:lang w:val="fr-FR"/>
              </w:rPr>
            </w:pPr>
            <w:r w:rsidRPr="002A1AEC">
              <w:rPr>
                <w:lang w:val="fr-FR"/>
              </w:rPr>
              <w:t>Le 19</w:t>
            </w:r>
            <w:r w:rsidR="00744CBC">
              <w:rPr>
                <w:lang w:val="fr-FR"/>
              </w:rPr>
              <w:t> </w:t>
            </w:r>
            <w:r w:rsidRPr="002A1AEC">
              <w:rPr>
                <w:lang w:val="fr-FR"/>
              </w:rPr>
              <w:t>juillet</w:t>
            </w:r>
            <w:r w:rsidR="0081542E">
              <w:rPr>
                <w:lang w:val="fr-FR"/>
              </w:rPr>
              <w:t xml:space="preserve"> 2017</w:t>
            </w:r>
            <w:r w:rsidRPr="002A1AEC">
              <w:rPr>
                <w:lang w:val="fr-FR"/>
              </w:rPr>
              <w:t>, l</w:t>
            </w:r>
            <w:r w:rsidR="0081542E">
              <w:rPr>
                <w:lang w:val="fr-FR"/>
              </w:rPr>
              <w:t>’</w:t>
            </w:r>
            <w:r w:rsidRPr="002A1AEC">
              <w:rPr>
                <w:lang w:val="fr-FR"/>
              </w:rPr>
              <w:t>auteur a fait savoir qu</w:t>
            </w:r>
            <w:r w:rsidR="0081542E">
              <w:rPr>
                <w:lang w:val="fr-FR"/>
              </w:rPr>
              <w:t>’</w:t>
            </w:r>
            <w:r w:rsidRPr="002A1AEC">
              <w:rPr>
                <w:lang w:val="fr-FR"/>
              </w:rPr>
              <w:t>il ne souhaitait pas formuler de nouveaux commentaires et qu</w:t>
            </w:r>
            <w:r w:rsidR="0081542E">
              <w:rPr>
                <w:lang w:val="fr-FR"/>
              </w:rPr>
              <w:t>’</w:t>
            </w:r>
            <w:r w:rsidRPr="002A1AEC">
              <w:rPr>
                <w:lang w:val="fr-FR"/>
              </w:rPr>
              <w:t>il s</w:t>
            </w:r>
            <w:r w:rsidR="0081542E">
              <w:rPr>
                <w:lang w:val="fr-FR"/>
              </w:rPr>
              <w:t>’</w:t>
            </w:r>
            <w:r w:rsidRPr="002A1AEC">
              <w:rPr>
                <w:lang w:val="fr-FR"/>
              </w:rPr>
              <w:t xml:space="preserve">en tenait à ses communications antérieures. </w:t>
            </w:r>
          </w:p>
        </w:tc>
      </w:tr>
      <w:tr w:rsidR="00C91769" w:rsidRPr="002A1AEC" w:rsidTr="00744CBC">
        <w:trPr>
          <w:trHeight w:val="240"/>
        </w:trPr>
        <w:tc>
          <w:tcPr>
            <w:tcW w:w="3118" w:type="dxa"/>
            <w:tcBorders>
              <w:top w:val="nil"/>
              <w:bottom w:val="nil"/>
            </w:tcBorders>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Décision</w:t>
            </w:r>
            <w:r w:rsidR="00744CBC">
              <w:rPr>
                <w:lang w:val="fr-FR"/>
              </w:rPr>
              <w:t> </w:t>
            </w:r>
            <w:r w:rsidRPr="002A1AEC">
              <w:rPr>
                <w:lang w:val="fr-FR"/>
              </w:rPr>
              <w:t>:</w:t>
            </w:r>
          </w:p>
        </w:tc>
        <w:tc>
          <w:tcPr>
            <w:tcW w:w="4252" w:type="dxa"/>
            <w:tcBorders>
              <w:top w:val="nil"/>
              <w:bottom w:val="nil"/>
            </w:tcBorders>
            <w:shd w:val="clear" w:color="auto" w:fill="auto"/>
          </w:tcPr>
          <w:p w:rsidR="00C91769" w:rsidRPr="002A1AEC" w:rsidRDefault="00C91769" w:rsidP="00744CBC">
            <w:pPr>
              <w:pStyle w:val="SingleTxtG"/>
              <w:suppressAutoHyphens w:val="0"/>
              <w:spacing w:before="40" w:line="220" w:lineRule="exact"/>
              <w:ind w:left="0" w:right="113"/>
              <w:rPr>
                <w:lang w:val="fr-FR"/>
              </w:rPr>
            </w:pPr>
            <w:r w:rsidRPr="002A1AEC">
              <w:rPr>
                <w:lang w:val="fr-FR"/>
              </w:rPr>
              <w:t>Une lettre de suivi sera adressée à l</w:t>
            </w:r>
            <w:r w:rsidR="0081542E">
              <w:rPr>
                <w:lang w:val="fr-FR"/>
              </w:rPr>
              <w:t>’</w:t>
            </w:r>
            <w:r w:rsidRPr="002A1AEC">
              <w:rPr>
                <w:lang w:val="fr-FR"/>
              </w:rPr>
              <w:t>État partie, dans laquelle le Comité prendra note avec satisfaction de l</w:t>
            </w:r>
            <w:r w:rsidR="0081542E">
              <w:rPr>
                <w:lang w:val="fr-FR"/>
              </w:rPr>
              <w:t>’</w:t>
            </w:r>
            <w:r w:rsidRPr="002A1AEC">
              <w:rPr>
                <w:lang w:val="fr-FR"/>
              </w:rPr>
              <w:t>engagement pris par ce dernier d</w:t>
            </w:r>
            <w:r w:rsidR="0081542E">
              <w:rPr>
                <w:lang w:val="fr-FR"/>
              </w:rPr>
              <w:t>’</w:t>
            </w:r>
            <w:r w:rsidRPr="002A1AEC">
              <w:rPr>
                <w:lang w:val="fr-FR"/>
              </w:rPr>
              <w:t>accompagner l</w:t>
            </w:r>
            <w:r w:rsidR="0081542E">
              <w:rPr>
                <w:lang w:val="fr-FR"/>
              </w:rPr>
              <w:t>’</w:t>
            </w:r>
            <w:r w:rsidRPr="002A1AEC">
              <w:rPr>
                <w:lang w:val="fr-FR"/>
              </w:rPr>
              <w:t>auteur et rappellera l</w:t>
            </w:r>
            <w:r w:rsidR="0081542E">
              <w:rPr>
                <w:lang w:val="fr-FR"/>
              </w:rPr>
              <w:t>’</w:t>
            </w:r>
            <w:r w:rsidRPr="002A1AEC">
              <w:rPr>
                <w:lang w:val="fr-FR"/>
              </w:rPr>
              <w:t xml:space="preserve">avis exprimé dans ses constatations, ainsi que son observation générale </w:t>
            </w:r>
            <w:r w:rsidR="00744CBC" w:rsidRPr="00744CBC">
              <w:rPr>
                <w:rFonts w:eastAsia="MS Mincho"/>
                <w:szCs w:val="22"/>
                <w:lang w:val="fr-FR"/>
              </w:rPr>
              <w:t>n</w:t>
            </w:r>
            <w:r w:rsidR="00744CBC" w:rsidRPr="00744CBC">
              <w:rPr>
                <w:rFonts w:eastAsia="MS Mincho"/>
                <w:szCs w:val="22"/>
                <w:vertAlign w:val="superscript"/>
                <w:lang w:val="fr-FR"/>
              </w:rPr>
              <w:t>o</w:t>
            </w:r>
            <w:r w:rsidR="00744CBC">
              <w:rPr>
                <w:lang w:val="fr-FR"/>
              </w:rPr>
              <w:t> </w:t>
            </w:r>
            <w:r w:rsidRPr="002A1AEC">
              <w:rPr>
                <w:lang w:val="fr-FR"/>
              </w:rPr>
              <w:t>1 (2014) sur la reconnaissance de la personnalité juridique dans des conditions d</w:t>
            </w:r>
            <w:r w:rsidR="0081542E">
              <w:rPr>
                <w:lang w:val="fr-FR"/>
              </w:rPr>
              <w:t>’</w:t>
            </w:r>
            <w:r w:rsidRPr="002A1AEC">
              <w:rPr>
                <w:lang w:val="fr-FR"/>
              </w:rPr>
              <w:t>égalité. Le Comité demandera également à l</w:t>
            </w:r>
            <w:r w:rsidR="0081542E">
              <w:rPr>
                <w:lang w:val="fr-FR"/>
              </w:rPr>
              <w:t>’</w:t>
            </w:r>
            <w:r w:rsidRPr="002A1AEC">
              <w:rPr>
                <w:lang w:val="fr-FR"/>
              </w:rPr>
              <w:t>État partie de préciser les mesures d</w:t>
            </w:r>
            <w:r w:rsidR="0081542E">
              <w:rPr>
                <w:lang w:val="fr-FR"/>
              </w:rPr>
              <w:t>’</w:t>
            </w:r>
            <w:r w:rsidRPr="002A1AEC">
              <w:rPr>
                <w:lang w:val="fr-FR"/>
              </w:rPr>
              <w:t>accompagnement qui ont été prises pour permettre à l</w:t>
            </w:r>
            <w:r w:rsidR="0081542E">
              <w:rPr>
                <w:lang w:val="fr-FR"/>
              </w:rPr>
              <w:t>’</w:t>
            </w:r>
            <w:r w:rsidRPr="002A1AEC">
              <w:rPr>
                <w:lang w:val="fr-FR"/>
              </w:rPr>
              <w:t xml:space="preserve">auteur de vivre de manière autonome </w:t>
            </w:r>
            <w:r>
              <w:rPr>
                <w:lang w:val="fr-FR"/>
              </w:rPr>
              <w:t>dans la société</w:t>
            </w:r>
            <w:r w:rsidRPr="002A1AEC">
              <w:rPr>
                <w:lang w:val="fr-FR"/>
              </w:rPr>
              <w:t xml:space="preserve">, et </w:t>
            </w:r>
            <w:r>
              <w:rPr>
                <w:lang w:val="fr-FR"/>
              </w:rPr>
              <w:t>l</w:t>
            </w:r>
            <w:r w:rsidR="0081542E">
              <w:rPr>
                <w:lang w:val="fr-FR"/>
              </w:rPr>
              <w:t>’</w:t>
            </w:r>
            <w:r>
              <w:rPr>
                <w:lang w:val="fr-FR"/>
              </w:rPr>
              <w:t>indemniser comme il convient</w:t>
            </w:r>
            <w:r w:rsidR="00744CBC">
              <w:rPr>
                <w:lang w:val="fr-FR"/>
              </w:rPr>
              <w:t>.</w:t>
            </w:r>
          </w:p>
        </w:tc>
      </w:tr>
      <w:tr w:rsidR="00C91769" w:rsidRPr="002A1AEC" w:rsidTr="00744CBC">
        <w:trPr>
          <w:trHeight w:hRule="exact" w:val="20"/>
        </w:trPr>
        <w:tc>
          <w:tcPr>
            <w:tcW w:w="7370" w:type="dxa"/>
            <w:gridSpan w:val="2"/>
            <w:tcBorders>
              <w:top w:val="nil"/>
            </w:tcBorders>
            <w:shd w:val="clear" w:color="auto" w:fill="auto"/>
          </w:tcPr>
          <w:p w:rsidR="00C91769" w:rsidRPr="002A1AEC" w:rsidRDefault="00C91769" w:rsidP="00744CBC">
            <w:pPr>
              <w:pStyle w:val="SingleTxtG"/>
              <w:suppressAutoHyphens w:val="0"/>
              <w:spacing w:before="40" w:line="220" w:lineRule="exact"/>
              <w:ind w:left="0" w:right="113"/>
              <w:rPr>
                <w:lang w:val="fr-FR"/>
              </w:rPr>
            </w:pPr>
          </w:p>
        </w:tc>
      </w:tr>
    </w:tbl>
    <w:p w:rsidR="00935331" w:rsidRPr="002A1AEC" w:rsidRDefault="00744CBC" w:rsidP="00C91769">
      <w:pPr>
        <w:pStyle w:val="SingleTxtG"/>
        <w:rPr>
          <w:lang w:val="fr-FR"/>
        </w:rPr>
      </w:pPr>
      <w:r>
        <w:rPr>
          <w:lang w:val="fr-FR"/>
        </w:rPr>
        <w:br w:type="textWrapping" w:clear="all"/>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4251"/>
      </w:tblGrid>
      <w:tr w:rsidR="00C91769" w:rsidRPr="00744CBC" w:rsidTr="00FD36BB">
        <w:trPr>
          <w:trHeight w:val="240"/>
        </w:trPr>
        <w:tc>
          <w:tcPr>
            <w:tcW w:w="7370" w:type="dxa"/>
            <w:gridSpan w:val="2"/>
            <w:tcBorders>
              <w:top w:val="single" w:sz="4" w:space="0" w:color="auto"/>
              <w:bottom w:val="single" w:sz="12" w:space="0" w:color="auto"/>
            </w:tcBorders>
            <w:shd w:val="clear" w:color="auto" w:fill="auto"/>
            <w:vAlign w:val="bottom"/>
          </w:tcPr>
          <w:p w:rsidR="00C91769" w:rsidRPr="00744CBC" w:rsidRDefault="00C91769" w:rsidP="00744CBC">
            <w:pPr>
              <w:pStyle w:val="SingleTxtG"/>
              <w:suppressAutoHyphens w:val="0"/>
              <w:spacing w:before="80" w:after="80" w:line="200" w:lineRule="exact"/>
              <w:ind w:left="0" w:right="113"/>
              <w:rPr>
                <w:b/>
                <w:bCs/>
                <w:i/>
                <w:lang w:val="fr-FR"/>
              </w:rPr>
            </w:pPr>
            <w:r w:rsidRPr="00744CBC">
              <w:rPr>
                <w:b/>
                <w:bCs/>
                <w:iCs/>
                <w:lang w:val="fr-FR"/>
              </w:rPr>
              <w:t>3.</w:t>
            </w:r>
            <w:r w:rsidRPr="00744CBC">
              <w:rPr>
                <w:b/>
                <w:bCs/>
                <w:iCs/>
                <w:lang w:val="fr-FR"/>
              </w:rPr>
              <w:tab/>
              <w:t xml:space="preserve">Communication </w:t>
            </w:r>
            <w:r w:rsidR="00744CBC" w:rsidRPr="00744CBC">
              <w:rPr>
                <w:rFonts w:eastAsia="MS Mincho"/>
                <w:b/>
                <w:bCs/>
                <w:iCs/>
                <w:szCs w:val="22"/>
                <w:lang w:val="fr-FR"/>
              </w:rPr>
              <w:t>n</w:t>
            </w:r>
            <w:r w:rsidR="00744CBC" w:rsidRPr="00744CBC">
              <w:rPr>
                <w:rFonts w:eastAsia="MS Mincho"/>
                <w:b/>
                <w:bCs/>
                <w:iCs/>
                <w:szCs w:val="22"/>
                <w:vertAlign w:val="superscript"/>
                <w:lang w:val="fr-FR"/>
              </w:rPr>
              <w:t>o</w:t>
            </w:r>
            <w:r w:rsidR="00744CBC">
              <w:rPr>
                <w:b/>
                <w:bCs/>
                <w:iCs/>
                <w:lang w:val="fr-FR"/>
              </w:rPr>
              <w:t> </w:t>
            </w:r>
            <w:r w:rsidRPr="00744CBC">
              <w:rPr>
                <w:b/>
                <w:bCs/>
                <w:iCs/>
                <w:lang w:val="fr-FR"/>
              </w:rPr>
              <w:t>1/2010,</w:t>
            </w:r>
            <w:r w:rsidRPr="00744CBC">
              <w:rPr>
                <w:b/>
                <w:bCs/>
                <w:i/>
                <w:lang w:val="fr-FR"/>
              </w:rPr>
              <w:t xml:space="preserve"> </w:t>
            </w:r>
            <w:proofErr w:type="spellStart"/>
            <w:r w:rsidRPr="00744CBC">
              <w:rPr>
                <w:b/>
                <w:bCs/>
                <w:i/>
                <w:lang w:val="fr-FR"/>
              </w:rPr>
              <w:t>Nyusti</w:t>
            </w:r>
            <w:proofErr w:type="spellEnd"/>
            <w:r w:rsidRPr="00744CBC">
              <w:rPr>
                <w:b/>
                <w:bCs/>
                <w:i/>
                <w:lang w:val="fr-FR"/>
              </w:rPr>
              <w:t xml:space="preserve"> et </w:t>
            </w:r>
            <w:proofErr w:type="spellStart"/>
            <w:r w:rsidRPr="00744CBC">
              <w:rPr>
                <w:b/>
                <w:bCs/>
                <w:i/>
                <w:lang w:val="fr-FR"/>
              </w:rPr>
              <w:t>Takács</w:t>
            </w:r>
            <w:proofErr w:type="spellEnd"/>
            <w:r w:rsidRPr="00744CBC">
              <w:rPr>
                <w:b/>
                <w:bCs/>
                <w:i/>
                <w:lang w:val="fr-FR"/>
              </w:rPr>
              <w:t xml:space="preserve"> </w:t>
            </w:r>
            <w:r w:rsidRPr="00744CBC">
              <w:rPr>
                <w:b/>
                <w:bCs/>
                <w:lang w:val="fr-FR"/>
              </w:rPr>
              <w:t>c.</w:t>
            </w:r>
            <w:r w:rsidRPr="00744CBC">
              <w:rPr>
                <w:b/>
                <w:bCs/>
                <w:i/>
                <w:lang w:val="fr-FR"/>
              </w:rPr>
              <w:t xml:space="preserve"> Hongrie</w:t>
            </w:r>
          </w:p>
        </w:tc>
      </w:tr>
      <w:tr w:rsidR="00C91769" w:rsidRPr="002A1AEC" w:rsidTr="00FD36BB">
        <w:trPr>
          <w:trHeight w:hRule="exact" w:val="113"/>
        </w:trPr>
        <w:tc>
          <w:tcPr>
            <w:tcW w:w="3119" w:type="dxa"/>
            <w:tcBorders>
              <w:top w:val="single" w:sz="12" w:space="0" w:color="auto"/>
            </w:tcBorders>
            <w:shd w:val="clear" w:color="auto" w:fill="auto"/>
          </w:tcPr>
          <w:p w:rsidR="00C91769" w:rsidRPr="002A1AEC" w:rsidRDefault="00C91769" w:rsidP="008B46E8">
            <w:pPr>
              <w:pStyle w:val="SingleTxtG"/>
              <w:suppressAutoHyphens w:val="0"/>
              <w:spacing w:before="40" w:line="220" w:lineRule="exact"/>
              <w:ind w:left="0" w:right="113"/>
              <w:rPr>
                <w:lang w:val="fr-FR"/>
              </w:rPr>
            </w:pPr>
          </w:p>
        </w:tc>
        <w:tc>
          <w:tcPr>
            <w:tcW w:w="4251" w:type="dxa"/>
            <w:tcBorders>
              <w:top w:val="single" w:sz="12" w:space="0" w:color="auto"/>
            </w:tcBorders>
            <w:shd w:val="clear" w:color="auto" w:fill="auto"/>
          </w:tcPr>
          <w:p w:rsidR="00C91769" w:rsidRPr="002A1AEC" w:rsidRDefault="00C91769" w:rsidP="008B46E8">
            <w:pPr>
              <w:pStyle w:val="SingleTxtG"/>
              <w:suppressAutoHyphens w:val="0"/>
              <w:spacing w:before="40" w:line="220" w:lineRule="exact"/>
              <w:ind w:left="0" w:right="113"/>
              <w:rPr>
                <w:lang w:val="fr-FR"/>
              </w:rPr>
            </w:pPr>
          </w:p>
        </w:tc>
      </w:tr>
      <w:tr w:rsidR="00C91769" w:rsidRPr="002A1AEC" w:rsidTr="00935331">
        <w:trPr>
          <w:trHeight w:val="240"/>
        </w:trPr>
        <w:tc>
          <w:tcPr>
            <w:tcW w:w="3119"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Adoption des constatations</w:t>
            </w:r>
            <w:r w:rsidR="00744CBC">
              <w:rPr>
                <w:lang w:val="fr-FR"/>
              </w:rPr>
              <w:t> </w:t>
            </w:r>
            <w:r w:rsidRPr="002A1AEC">
              <w:rPr>
                <w:lang w:val="fr-FR"/>
              </w:rPr>
              <w:t>:</w:t>
            </w:r>
          </w:p>
        </w:tc>
        <w:tc>
          <w:tcPr>
            <w:tcW w:w="4251" w:type="dxa"/>
            <w:shd w:val="clear" w:color="auto" w:fill="auto"/>
          </w:tcPr>
          <w:p w:rsidR="00C91769" w:rsidRPr="002A1AEC" w:rsidRDefault="00C91769" w:rsidP="00744CBC">
            <w:pPr>
              <w:pStyle w:val="SingleTxtG"/>
              <w:suppressAutoHyphens w:val="0"/>
              <w:spacing w:before="40" w:line="220" w:lineRule="exact"/>
              <w:ind w:left="0" w:right="113"/>
              <w:rPr>
                <w:lang w:val="fr-FR"/>
              </w:rPr>
            </w:pPr>
            <w:r w:rsidRPr="002A1AEC">
              <w:rPr>
                <w:lang w:val="fr-FR"/>
              </w:rPr>
              <w:t>16</w:t>
            </w:r>
            <w:r w:rsidR="00744CBC">
              <w:rPr>
                <w:lang w:val="fr-FR"/>
              </w:rPr>
              <w:t> </w:t>
            </w:r>
            <w:r w:rsidRPr="002A1AEC">
              <w:rPr>
                <w:lang w:val="fr-FR"/>
              </w:rPr>
              <w:t>avril 2013</w:t>
            </w:r>
          </w:p>
        </w:tc>
      </w:tr>
      <w:tr w:rsidR="00FD36BB" w:rsidRPr="002A1AEC" w:rsidTr="00935331">
        <w:trPr>
          <w:trHeight w:val="240"/>
        </w:trPr>
        <w:tc>
          <w:tcPr>
            <w:tcW w:w="3119" w:type="dxa"/>
            <w:shd w:val="clear" w:color="auto" w:fill="auto"/>
          </w:tcPr>
          <w:p w:rsidR="00FD36BB" w:rsidRPr="002A1AEC" w:rsidRDefault="00FD36BB" w:rsidP="0081542E">
            <w:pPr>
              <w:pStyle w:val="SingleTxtG"/>
              <w:suppressAutoHyphens w:val="0"/>
              <w:spacing w:before="40" w:line="220" w:lineRule="exact"/>
              <w:ind w:left="0" w:right="113"/>
              <w:jc w:val="left"/>
              <w:rPr>
                <w:lang w:val="fr-FR"/>
              </w:rPr>
            </w:pPr>
            <w:r w:rsidRPr="002A1AEC">
              <w:rPr>
                <w:lang w:val="fr-FR"/>
              </w:rPr>
              <w:t>Première réponse de l</w:t>
            </w:r>
            <w:r w:rsidR="0081542E">
              <w:rPr>
                <w:lang w:val="fr-FR"/>
              </w:rPr>
              <w:t>’</w:t>
            </w:r>
            <w:r w:rsidRPr="002A1AEC">
              <w:rPr>
                <w:lang w:val="fr-FR"/>
              </w:rPr>
              <w:t>État partie</w:t>
            </w:r>
            <w:r>
              <w:rPr>
                <w:lang w:val="fr-FR"/>
              </w:rPr>
              <w:t> </w:t>
            </w:r>
            <w:r w:rsidRPr="002A1AEC">
              <w:rPr>
                <w:lang w:val="fr-FR"/>
              </w:rPr>
              <w:t>:</w:t>
            </w:r>
          </w:p>
        </w:tc>
        <w:tc>
          <w:tcPr>
            <w:tcW w:w="4251" w:type="dxa"/>
            <w:shd w:val="clear" w:color="auto" w:fill="auto"/>
          </w:tcPr>
          <w:p w:rsidR="00FD36BB" w:rsidRPr="002A1AEC" w:rsidRDefault="00FD36BB" w:rsidP="00744CBC">
            <w:pPr>
              <w:pStyle w:val="SingleTxtG"/>
              <w:suppressAutoHyphens w:val="0"/>
              <w:spacing w:before="40" w:line="220" w:lineRule="exact"/>
              <w:ind w:left="0" w:right="113"/>
              <w:rPr>
                <w:lang w:val="fr-FR"/>
              </w:rPr>
            </w:pPr>
            <w:r w:rsidRPr="002A1AEC">
              <w:rPr>
                <w:color w:val="000000"/>
                <w:lang w:val="fr-FR" w:eastAsia="en-GB"/>
              </w:rPr>
              <w:t>Attendue le 24</w:t>
            </w:r>
            <w:r>
              <w:rPr>
                <w:color w:val="000000"/>
                <w:lang w:val="fr-FR" w:eastAsia="en-GB"/>
              </w:rPr>
              <w:t> </w:t>
            </w:r>
            <w:r w:rsidRPr="002A1AEC">
              <w:rPr>
                <w:color w:val="000000"/>
                <w:lang w:val="fr-FR" w:eastAsia="en-GB"/>
              </w:rPr>
              <w:t xml:space="preserve">octobre 2013. Reçue le 13 décembre 2013. Analysée à la onzième session </w:t>
            </w:r>
            <w:r>
              <w:rPr>
                <w:color w:val="000000"/>
                <w:lang w:val="fr-FR" w:eastAsia="en-GB"/>
              </w:rPr>
              <w:t xml:space="preserve">(voir </w:t>
            </w:r>
            <w:r w:rsidRPr="002A1AEC">
              <w:rPr>
                <w:color w:val="000000"/>
                <w:lang w:val="fr-FR" w:eastAsia="en-GB"/>
              </w:rPr>
              <w:t>CRPD/C/11/5).</w:t>
            </w:r>
          </w:p>
        </w:tc>
      </w:tr>
      <w:tr w:rsidR="00C91769" w:rsidRPr="002A1AEC" w:rsidTr="00935331">
        <w:trPr>
          <w:trHeight w:val="240"/>
        </w:trPr>
        <w:tc>
          <w:tcPr>
            <w:tcW w:w="3119"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Commentaires de l</w:t>
            </w:r>
            <w:r w:rsidR="0081542E">
              <w:rPr>
                <w:lang w:val="fr-FR"/>
              </w:rPr>
              <w:t>’</w:t>
            </w:r>
            <w:r w:rsidRPr="002A1AEC">
              <w:rPr>
                <w:lang w:val="fr-FR"/>
              </w:rPr>
              <w:t>auteur (première série)</w:t>
            </w:r>
            <w:r w:rsidR="00744CBC">
              <w:rPr>
                <w:lang w:val="fr-FR"/>
              </w:rPr>
              <w:t> </w:t>
            </w:r>
            <w:r w:rsidRPr="002A1AEC">
              <w:rPr>
                <w:lang w:val="fr-FR"/>
              </w:rPr>
              <w:t>:</w:t>
            </w:r>
          </w:p>
        </w:tc>
        <w:tc>
          <w:tcPr>
            <w:tcW w:w="4251" w:type="dxa"/>
            <w:shd w:val="clear" w:color="auto" w:fill="auto"/>
          </w:tcPr>
          <w:p w:rsidR="00C91769" w:rsidRPr="002A1AEC" w:rsidRDefault="00C91769" w:rsidP="00744CBC">
            <w:pPr>
              <w:pStyle w:val="SingleTxtG"/>
              <w:suppressAutoHyphens w:val="0"/>
              <w:spacing w:before="40" w:line="220" w:lineRule="exact"/>
              <w:ind w:left="0" w:right="113"/>
              <w:rPr>
                <w:lang w:val="fr-FR"/>
              </w:rPr>
            </w:pPr>
            <w:r w:rsidRPr="002A1AEC">
              <w:rPr>
                <w:lang w:val="fr-FR"/>
              </w:rPr>
              <w:t>13</w:t>
            </w:r>
            <w:r w:rsidR="00744CBC">
              <w:rPr>
                <w:lang w:val="fr-FR"/>
              </w:rPr>
              <w:t> </w:t>
            </w:r>
            <w:r w:rsidRPr="002A1AEC">
              <w:rPr>
                <w:lang w:val="fr-FR"/>
              </w:rPr>
              <w:t>mars 2014. Analysés à la onzième session (voir CRPD/C/11/5).</w:t>
            </w:r>
          </w:p>
        </w:tc>
      </w:tr>
      <w:tr w:rsidR="00C91769" w:rsidRPr="002A1AEC" w:rsidTr="00935331">
        <w:trPr>
          <w:trHeight w:val="240"/>
        </w:trPr>
        <w:tc>
          <w:tcPr>
            <w:tcW w:w="3119"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Décision adoptée à la onzième session</w:t>
            </w:r>
            <w:r w:rsidR="00744CBC">
              <w:rPr>
                <w:lang w:val="fr-FR"/>
              </w:rPr>
              <w:t> </w:t>
            </w:r>
            <w:r w:rsidRPr="002A1AEC">
              <w:rPr>
                <w:lang w:val="fr-FR"/>
              </w:rPr>
              <w:t>:</w:t>
            </w:r>
          </w:p>
        </w:tc>
        <w:tc>
          <w:tcPr>
            <w:tcW w:w="4251" w:type="dxa"/>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Lettre de suivi adressée à l</w:t>
            </w:r>
            <w:r w:rsidR="0081542E">
              <w:rPr>
                <w:lang w:val="fr-FR"/>
              </w:rPr>
              <w:t>’</w:t>
            </w:r>
            <w:r w:rsidRPr="002A1AEC">
              <w:rPr>
                <w:lang w:val="fr-FR"/>
              </w:rPr>
              <w:t>État partie</w:t>
            </w:r>
            <w:r>
              <w:rPr>
                <w:lang w:val="fr-FR"/>
              </w:rPr>
              <w:t xml:space="preserve"> le 8 </w:t>
            </w:r>
            <w:r w:rsidRPr="002A1AEC">
              <w:rPr>
                <w:lang w:val="fr-FR"/>
              </w:rPr>
              <w:t>mai 2014 (voir CRPD/C/12/3), la date limite pour le</w:t>
            </w:r>
            <w:r>
              <w:rPr>
                <w:lang w:val="fr-FR"/>
              </w:rPr>
              <w:t>s commentaires étant fixée au 7 </w:t>
            </w:r>
            <w:r w:rsidRPr="002A1AEC">
              <w:rPr>
                <w:lang w:val="fr-FR"/>
              </w:rPr>
              <w:t>novembre 2014.</w:t>
            </w:r>
          </w:p>
        </w:tc>
      </w:tr>
      <w:tr w:rsidR="00C91769" w:rsidRPr="002A1AEC" w:rsidTr="00935331">
        <w:trPr>
          <w:trHeight w:val="240"/>
        </w:trPr>
        <w:tc>
          <w:tcPr>
            <w:tcW w:w="3119"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Deuxième réponse de l</w:t>
            </w:r>
            <w:r w:rsidR="0081542E">
              <w:rPr>
                <w:lang w:val="fr-FR"/>
              </w:rPr>
              <w:t>’</w:t>
            </w:r>
            <w:r w:rsidRPr="002A1AEC">
              <w:rPr>
                <w:lang w:val="fr-FR"/>
              </w:rPr>
              <w:t>État partie</w:t>
            </w:r>
            <w:r w:rsidR="00744CBC">
              <w:rPr>
                <w:lang w:val="fr-FR"/>
              </w:rPr>
              <w:t> </w:t>
            </w:r>
            <w:r w:rsidRPr="002A1AEC">
              <w:rPr>
                <w:lang w:val="fr-FR"/>
              </w:rPr>
              <w:t>:</w:t>
            </w:r>
          </w:p>
        </w:tc>
        <w:tc>
          <w:tcPr>
            <w:tcW w:w="4251" w:type="dxa"/>
            <w:shd w:val="clear" w:color="auto" w:fill="auto"/>
          </w:tcPr>
          <w:p w:rsidR="00C91769" w:rsidRPr="002A1AEC" w:rsidRDefault="00C91769" w:rsidP="00744CBC">
            <w:pPr>
              <w:pStyle w:val="SingleTxtG"/>
              <w:suppressAutoHyphens w:val="0"/>
              <w:spacing w:before="40" w:line="220" w:lineRule="exact"/>
              <w:ind w:left="0" w:right="113"/>
              <w:rPr>
                <w:lang w:val="fr-FR"/>
              </w:rPr>
            </w:pPr>
            <w:r w:rsidRPr="002A1AEC">
              <w:rPr>
                <w:lang w:val="fr-FR"/>
              </w:rPr>
              <w:t>Reçue les 29</w:t>
            </w:r>
            <w:r w:rsidR="00744CBC">
              <w:rPr>
                <w:lang w:val="fr-FR"/>
              </w:rPr>
              <w:t> </w:t>
            </w:r>
            <w:r w:rsidRPr="002A1AEC">
              <w:rPr>
                <w:lang w:val="fr-FR"/>
              </w:rPr>
              <w:t>juin 2015 et 27</w:t>
            </w:r>
            <w:r w:rsidR="00744CBC">
              <w:rPr>
                <w:lang w:val="fr-FR"/>
              </w:rPr>
              <w:t> </w:t>
            </w:r>
            <w:r w:rsidRPr="002A1AEC">
              <w:rPr>
                <w:lang w:val="fr-FR"/>
              </w:rPr>
              <w:t>mai 2016. Analysée à la seizième session (voir CRPD/C/16/3).</w:t>
            </w:r>
          </w:p>
        </w:tc>
      </w:tr>
      <w:tr w:rsidR="00C91769" w:rsidRPr="002A1AEC" w:rsidTr="00935331">
        <w:trPr>
          <w:trHeight w:val="240"/>
        </w:trPr>
        <w:tc>
          <w:tcPr>
            <w:tcW w:w="3119"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Décision adoptée à la seizième session</w:t>
            </w:r>
            <w:r w:rsidR="00744CBC">
              <w:rPr>
                <w:lang w:val="fr-FR"/>
              </w:rPr>
              <w:t> </w:t>
            </w:r>
            <w:r w:rsidRPr="002A1AEC">
              <w:rPr>
                <w:lang w:val="fr-FR"/>
              </w:rPr>
              <w:t>:</w:t>
            </w:r>
          </w:p>
        </w:tc>
        <w:tc>
          <w:tcPr>
            <w:tcW w:w="4251" w:type="dxa"/>
            <w:shd w:val="clear" w:color="auto" w:fill="auto"/>
          </w:tcPr>
          <w:p w:rsidR="00C91769" w:rsidRPr="002A1AEC" w:rsidRDefault="00C91769" w:rsidP="008B46E8">
            <w:pPr>
              <w:pStyle w:val="SingleTxtG"/>
              <w:suppressAutoHyphens w:val="0"/>
              <w:spacing w:before="40" w:line="220" w:lineRule="exact"/>
              <w:ind w:left="0" w:right="113"/>
              <w:rPr>
                <w:lang w:val="fr-FR"/>
              </w:rPr>
            </w:pPr>
            <w:r>
              <w:rPr>
                <w:lang w:val="fr-FR"/>
              </w:rPr>
              <w:t>Poursuivre le dialogue au titre du suivi.</w:t>
            </w:r>
          </w:p>
        </w:tc>
      </w:tr>
      <w:tr w:rsidR="00C91769" w:rsidRPr="002A1AEC" w:rsidTr="00FD36BB">
        <w:trPr>
          <w:trHeight w:val="240"/>
        </w:trPr>
        <w:tc>
          <w:tcPr>
            <w:tcW w:w="3119" w:type="dxa"/>
            <w:tcBorders>
              <w:bottom w:val="nil"/>
            </w:tcBorders>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Mesures prises</w:t>
            </w:r>
            <w:r w:rsidR="00744CBC">
              <w:rPr>
                <w:lang w:val="fr-FR"/>
              </w:rPr>
              <w:t> </w:t>
            </w:r>
            <w:r w:rsidRPr="002A1AEC">
              <w:rPr>
                <w:lang w:val="fr-FR"/>
              </w:rPr>
              <w:t>:</w:t>
            </w:r>
          </w:p>
        </w:tc>
        <w:tc>
          <w:tcPr>
            <w:tcW w:w="4251" w:type="dxa"/>
            <w:tcBorders>
              <w:bottom w:val="nil"/>
            </w:tcBorders>
            <w:shd w:val="clear" w:color="auto" w:fill="auto"/>
          </w:tcPr>
          <w:p w:rsidR="00C91769" w:rsidRPr="002A1AEC" w:rsidRDefault="00C91769" w:rsidP="00935331">
            <w:pPr>
              <w:pStyle w:val="SingleTxtG"/>
              <w:suppressAutoHyphens w:val="0"/>
              <w:spacing w:before="40" w:line="220" w:lineRule="exact"/>
              <w:ind w:left="0" w:right="113"/>
              <w:rPr>
                <w:lang w:val="fr-FR"/>
              </w:rPr>
            </w:pPr>
            <w:r>
              <w:rPr>
                <w:lang w:val="fr-FR"/>
              </w:rPr>
              <w:t>Le 6</w:t>
            </w:r>
            <w:r w:rsidR="00744CBC">
              <w:rPr>
                <w:lang w:val="fr-FR"/>
              </w:rPr>
              <w:t> </w:t>
            </w:r>
            <w:r>
              <w:rPr>
                <w:lang w:val="fr-FR"/>
              </w:rPr>
              <w:t>juin 2016, la</w:t>
            </w:r>
            <w:r w:rsidRPr="002A1AEC">
              <w:rPr>
                <w:lang w:val="fr-FR"/>
              </w:rPr>
              <w:t xml:space="preserve"> </w:t>
            </w:r>
            <w:r w:rsidRPr="00744CBC">
              <w:rPr>
                <w:lang w:val="fr-FR"/>
              </w:rPr>
              <w:t xml:space="preserve">Rapporteuse spéciale chargée du suivi des constatations </w:t>
            </w:r>
            <w:r w:rsidRPr="002A1AEC">
              <w:rPr>
                <w:lang w:val="fr-FR"/>
              </w:rPr>
              <w:t>a adressé à l</w:t>
            </w:r>
            <w:r w:rsidR="0081542E">
              <w:rPr>
                <w:lang w:val="fr-FR"/>
              </w:rPr>
              <w:t>’</w:t>
            </w:r>
            <w:r w:rsidRPr="002A1AEC">
              <w:rPr>
                <w:lang w:val="fr-FR"/>
              </w:rPr>
              <w:t>État partie une lettre</w:t>
            </w:r>
            <w:r w:rsidR="00935331">
              <w:rPr>
                <w:lang w:val="fr-FR"/>
              </w:rPr>
              <w:t> </w:t>
            </w:r>
            <w:r w:rsidRPr="002A1AEC">
              <w:rPr>
                <w:lang w:val="fr-FR"/>
              </w:rPr>
              <w:t xml:space="preserve">: a) dans laquelle </w:t>
            </w:r>
            <w:r>
              <w:rPr>
                <w:lang w:val="fr-FR"/>
              </w:rPr>
              <w:t>elle</w:t>
            </w:r>
            <w:r w:rsidRPr="002A1AEC">
              <w:rPr>
                <w:lang w:val="fr-FR"/>
              </w:rPr>
              <w:t xml:space="preserve"> prenait note avec satisfaction de l</w:t>
            </w:r>
            <w:r w:rsidR="0081542E">
              <w:rPr>
                <w:lang w:val="fr-FR"/>
              </w:rPr>
              <w:t>’</w:t>
            </w:r>
            <w:r w:rsidRPr="002A1AEC">
              <w:rPr>
                <w:lang w:val="fr-FR"/>
              </w:rPr>
              <w:t>indemnisation qui avait été versée à l</w:t>
            </w:r>
            <w:r w:rsidR="0081542E">
              <w:rPr>
                <w:lang w:val="fr-FR"/>
              </w:rPr>
              <w:t>’</w:t>
            </w:r>
            <w:r w:rsidRPr="002A1AEC">
              <w:rPr>
                <w:lang w:val="fr-FR"/>
              </w:rPr>
              <w:t xml:space="preserve">auteur ; et b) </w:t>
            </w:r>
            <w:r>
              <w:rPr>
                <w:lang w:val="fr-FR"/>
              </w:rPr>
              <w:t xml:space="preserve">lui </w:t>
            </w:r>
            <w:r w:rsidRPr="002A1AEC">
              <w:rPr>
                <w:lang w:val="fr-FR"/>
              </w:rPr>
              <w:t xml:space="preserve">demandait des </w:t>
            </w:r>
            <w:r>
              <w:rPr>
                <w:lang w:val="fr-FR"/>
              </w:rPr>
              <w:t>renseignements à jour</w:t>
            </w:r>
            <w:r w:rsidRPr="002A1AEC">
              <w:rPr>
                <w:lang w:val="fr-FR"/>
              </w:rPr>
              <w:t xml:space="preserve"> sur la suite donnée aux constatations du Comité, la mise en œuvre du programme </w:t>
            </w:r>
            <w:r w:rsidRPr="00935331">
              <w:rPr>
                <w:spacing w:val="-2"/>
                <w:lang w:val="fr-FR"/>
              </w:rPr>
              <w:t>quadriennal d</w:t>
            </w:r>
            <w:r w:rsidR="0081542E">
              <w:rPr>
                <w:spacing w:val="-2"/>
                <w:lang w:val="fr-FR"/>
              </w:rPr>
              <w:t>’</w:t>
            </w:r>
            <w:r w:rsidRPr="00935331">
              <w:rPr>
                <w:spacing w:val="-2"/>
                <w:lang w:val="fr-FR"/>
              </w:rPr>
              <w:t>installation distributeurs</w:t>
            </w:r>
            <w:r>
              <w:rPr>
                <w:lang w:val="fr-FR"/>
              </w:rPr>
              <w:t xml:space="preserve"> automatiques de billets</w:t>
            </w:r>
            <w:r w:rsidRPr="002A1AEC">
              <w:rPr>
                <w:lang w:val="fr-FR"/>
              </w:rPr>
              <w:t xml:space="preserve"> et les résultats des constatations engagées par l</w:t>
            </w:r>
            <w:r w:rsidR="0081542E">
              <w:rPr>
                <w:lang w:val="fr-FR"/>
              </w:rPr>
              <w:t>’</w:t>
            </w:r>
            <w:r w:rsidRPr="002A1AEC">
              <w:rPr>
                <w:lang w:val="fr-FR"/>
              </w:rPr>
              <w:t>État partie</w:t>
            </w:r>
            <w:r w:rsidR="00935331">
              <w:rPr>
                <w:lang w:val="fr-FR"/>
              </w:rPr>
              <w:t>.</w:t>
            </w:r>
          </w:p>
        </w:tc>
      </w:tr>
      <w:tr w:rsidR="00935331" w:rsidRPr="002A1AEC" w:rsidTr="00FD36BB">
        <w:trPr>
          <w:trHeight w:val="240"/>
        </w:trPr>
        <w:tc>
          <w:tcPr>
            <w:tcW w:w="3119" w:type="dxa"/>
            <w:tcBorders>
              <w:top w:val="nil"/>
              <w:bottom w:val="nil"/>
            </w:tcBorders>
            <w:shd w:val="clear" w:color="auto" w:fill="auto"/>
          </w:tcPr>
          <w:p w:rsidR="00935331" w:rsidRPr="002A1AEC" w:rsidRDefault="00935331" w:rsidP="008B46E8">
            <w:pPr>
              <w:pStyle w:val="SingleTxtG"/>
              <w:suppressAutoHyphens w:val="0"/>
              <w:spacing w:before="40" w:line="220" w:lineRule="exact"/>
              <w:ind w:left="0" w:right="113"/>
              <w:rPr>
                <w:lang w:val="fr-FR"/>
              </w:rPr>
            </w:pPr>
          </w:p>
        </w:tc>
        <w:tc>
          <w:tcPr>
            <w:tcW w:w="4251" w:type="dxa"/>
            <w:tcBorders>
              <w:top w:val="nil"/>
              <w:bottom w:val="nil"/>
            </w:tcBorders>
            <w:shd w:val="clear" w:color="auto" w:fill="auto"/>
          </w:tcPr>
          <w:p w:rsidR="00935331" w:rsidRPr="002A1AEC" w:rsidRDefault="00935331" w:rsidP="00935331">
            <w:pPr>
              <w:pStyle w:val="SingleTxtG"/>
              <w:suppressAutoHyphens w:val="0"/>
              <w:spacing w:before="40" w:line="220" w:lineRule="exact"/>
              <w:ind w:left="0" w:right="113"/>
              <w:rPr>
                <w:lang w:val="fr-FR"/>
              </w:rPr>
            </w:pPr>
            <w:r w:rsidRPr="002A1AEC">
              <w:rPr>
                <w:lang w:val="fr-FR"/>
              </w:rPr>
              <w:t>Délai fixé pour la réponse</w:t>
            </w:r>
            <w:r>
              <w:rPr>
                <w:lang w:val="fr-FR"/>
              </w:rPr>
              <w:t> </w:t>
            </w:r>
            <w:r w:rsidRPr="002A1AEC">
              <w:rPr>
                <w:lang w:val="fr-FR"/>
              </w:rPr>
              <w:t>: 2</w:t>
            </w:r>
            <w:r>
              <w:rPr>
                <w:lang w:val="fr-FR"/>
              </w:rPr>
              <w:t> </w:t>
            </w:r>
            <w:r w:rsidRPr="002A1AEC">
              <w:rPr>
                <w:lang w:val="fr-FR"/>
              </w:rPr>
              <w:t>août 2016</w:t>
            </w:r>
          </w:p>
        </w:tc>
      </w:tr>
      <w:tr w:rsidR="00935331" w:rsidRPr="002A1AEC" w:rsidTr="00FD36BB">
        <w:trPr>
          <w:trHeight w:val="240"/>
        </w:trPr>
        <w:tc>
          <w:tcPr>
            <w:tcW w:w="3119" w:type="dxa"/>
            <w:tcBorders>
              <w:top w:val="nil"/>
            </w:tcBorders>
            <w:shd w:val="clear" w:color="auto" w:fill="auto"/>
          </w:tcPr>
          <w:p w:rsidR="00935331" w:rsidRPr="002A1AEC" w:rsidRDefault="00935331" w:rsidP="00935331">
            <w:pPr>
              <w:pStyle w:val="SingleTxtG"/>
              <w:suppressAutoHyphens w:val="0"/>
              <w:spacing w:before="40" w:line="220" w:lineRule="exact"/>
              <w:ind w:left="0" w:right="113"/>
              <w:rPr>
                <w:lang w:val="fr-FR"/>
              </w:rPr>
            </w:pPr>
            <w:r w:rsidRPr="002A1AEC">
              <w:rPr>
                <w:lang w:val="fr-FR"/>
              </w:rPr>
              <w:lastRenderedPageBreak/>
              <w:t>Troisième réponse de l</w:t>
            </w:r>
            <w:r w:rsidR="0081542E">
              <w:rPr>
                <w:lang w:val="fr-FR"/>
              </w:rPr>
              <w:t>’</w:t>
            </w:r>
            <w:r w:rsidRPr="002A1AEC">
              <w:rPr>
                <w:lang w:val="fr-FR"/>
              </w:rPr>
              <w:t>État partie</w:t>
            </w:r>
            <w:r>
              <w:rPr>
                <w:lang w:val="fr-FR"/>
              </w:rPr>
              <w:t> </w:t>
            </w:r>
            <w:r w:rsidRPr="002A1AEC">
              <w:rPr>
                <w:lang w:val="fr-FR"/>
              </w:rPr>
              <w:t>:</w:t>
            </w:r>
          </w:p>
        </w:tc>
        <w:tc>
          <w:tcPr>
            <w:tcW w:w="4251" w:type="dxa"/>
            <w:tcBorders>
              <w:top w:val="nil"/>
            </w:tcBorders>
            <w:shd w:val="clear" w:color="auto" w:fill="auto"/>
          </w:tcPr>
          <w:p w:rsidR="00935331" w:rsidRPr="002A1AEC" w:rsidRDefault="00935331" w:rsidP="00935331">
            <w:pPr>
              <w:pStyle w:val="SingleTxtG"/>
              <w:suppressAutoHyphens w:val="0"/>
              <w:spacing w:before="40" w:line="220" w:lineRule="exact"/>
              <w:ind w:left="0" w:right="113"/>
              <w:rPr>
                <w:lang w:val="fr-FR"/>
              </w:rPr>
            </w:pPr>
            <w:r w:rsidRPr="002A1AEC">
              <w:rPr>
                <w:lang w:val="fr-FR"/>
              </w:rPr>
              <w:t>Reçue le 3</w:t>
            </w:r>
            <w:r>
              <w:rPr>
                <w:lang w:val="fr-FR"/>
              </w:rPr>
              <w:t> </w:t>
            </w:r>
            <w:r w:rsidRPr="002A1AEC">
              <w:rPr>
                <w:lang w:val="fr-FR"/>
              </w:rPr>
              <w:t>août 2016</w:t>
            </w:r>
            <w:r>
              <w:rPr>
                <w:lang w:val="fr-FR"/>
              </w:rPr>
              <w:t>.</w:t>
            </w:r>
          </w:p>
        </w:tc>
      </w:tr>
      <w:tr w:rsidR="00C91769" w:rsidRPr="002A1AEC" w:rsidTr="00935331">
        <w:trPr>
          <w:trHeight w:val="240"/>
        </w:trPr>
        <w:tc>
          <w:tcPr>
            <w:tcW w:w="3119"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Mesures prises</w:t>
            </w:r>
            <w:r w:rsidR="00935331">
              <w:rPr>
                <w:lang w:val="fr-FR"/>
              </w:rPr>
              <w:t> </w:t>
            </w:r>
            <w:r w:rsidRPr="002A1AEC">
              <w:rPr>
                <w:lang w:val="fr-FR"/>
              </w:rPr>
              <w:t>:</w:t>
            </w:r>
          </w:p>
        </w:tc>
        <w:tc>
          <w:tcPr>
            <w:tcW w:w="4251" w:type="dxa"/>
            <w:shd w:val="clear" w:color="auto" w:fill="auto"/>
          </w:tcPr>
          <w:p w:rsidR="00C91769" w:rsidRPr="002A1AEC" w:rsidRDefault="00C91769" w:rsidP="00935331">
            <w:pPr>
              <w:pStyle w:val="SingleTxtG"/>
              <w:suppressAutoHyphens w:val="0"/>
              <w:spacing w:before="40" w:line="220" w:lineRule="exact"/>
              <w:ind w:left="0" w:right="113"/>
              <w:rPr>
                <w:lang w:val="fr-FR"/>
              </w:rPr>
            </w:pPr>
            <w:r w:rsidRPr="00FD36BB">
              <w:rPr>
                <w:spacing w:val="-2"/>
                <w:lang w:val="fr-FR"/>
              </w:rPr>
              <w:t>16</w:t>
            </w:r>
            <w:r w:rsidR="00935331" w:rsidRPr="00FD36BB">
              <w:rPr>
                <w:spacing w:val="-2"/>
                <w:lang w:val="fr-FR"/>
              </w:rPr>
              <w:t> </w:t>
            </w:r>
            <w:r w:rsidRPr="00FD36BB">
              <w:rPr>
                <w:spacing w:val="-2"/>
                <w:lang w:val="fr-FR"/>
              </w:rPr>
              <w:t>août 2016</w:t>
            </w:r>
            <w:r w:rsidR="00935331" w:rsidRPr="00FD36BB">
              <w:rPr>
                <w:spacing w:val="-2"/>
                <w:lang w:val="fr-FR"/>
              </w:rPr>
              <w:t> </w:t>
            </w:r>
            <w:r w:rsidRPr="00FD36BB">
              <w:rPr>
                <w:spacing w:val="-2"/>
                <w:lang w:val="fr-FR"/>
              </w:rPr>
              <w:t>: accusé de réception des informations</w:t>
            </w:r>
            <w:r w:rsidRPr="002A1AEC">
              <w:rPr>
                <w:lang w:val="fr-FR"/>
              </w:rPr>
              <w:t xml:space="preserve"> </w:t>
            </w:r>
            <w:r>
              <w:rPr>
                <w:lang w:val="fr-FR"/>
              </w:rPr>
              <w:t xml:space="preserve">communiquées </w:t>
            </w:r>
            <w:r w:rsidRPr="002A1AEC">
              <w:rPr>
                <w:lang w:val="fr-FR"/>
              </w:rPr>
              <w:t>au titre du suivi adressé à l</w:t>
            </w:r>
            <w:r w:rsidR="0081542E">
              <w:rPr>
                <w:lang w:val="fr-FR"/>
              </w:rPr>
              <w:t>’</w:t>
            </w:r>
            <w:r w:rsidRPr="002A1AEC">
              <w:rPr>
                <w:lang w:val="fr-FR"/>
              </w:rPr>
              <w:t>État partie.</w:t>
            </w:r>
          </w:p>
        </w:tc>
      </w:tr>
      <w:tr w:rsidR="00935331" w:rsidRPr="002A1AEC" w:rsidTr="00935331">
        <w:trPr>
          <w:trHeight w:val="240"/>
        </w:trPr>
        <w:tc>
          <w:tcPr>
            <w:tcW w:w="3119" w:type="dxa"/>
            <w:shd w:val="clear" w:color="auto" w:fill="auto"/>
          </w:tcPr>
          <w:p w:rsidR="00935331" w:rsidRPr="002A1AEC" w:rsidRDefault="00935331" w:rsidP="0081542E">
            <w:pPr>
              <w:pStyle w:val="SingleTxtG"/>
              <w:suppressAutoHyphens w:val="0"/>
              <w:spacing w:before="40" w:line="220" w:lineRule="exact"/>
              <w:ind w:left="0" w:right="113"/>
              <w:jc w:val="left"/>
              <w:rPr>
                <w:lang w:val="fr-FR"/>
              </w:rPr>
            </w:pPr>
          </w:p>
        </w:tc>
        <w:tc>
          <w:tcPr>
            <w:tcW w:w="4251" w:type="dxa"/>
            <w:shd w:val="clear" w:color="auto" w:fill="auto"/>
          </w:tcPr>
          <w:p w:rsidR="00935331" w:rsidRDefault="00935331" w:rsidP="008B46E8">
            <w:pPr>
              <w:pStyle w:val="SingleTxtG"/>
              <w:suppressAutoHyphens w:val="0"/>
              <w:spacing w:before="40" w:line="220" w:lineRule="exact"/>
              <w:ind w:left="0" w:right="113"/>
              <w:rPr>
                <w:lang w:val="fr-FR"/>
              </w:rPr>
            </w:pPr>
            <w:r w:rsidRPr="002A1AEC">
              <w:rPr>
                <w:lang w:val="fr-FR"/>
              </w:rPr>
              <w:t>Transmission à l</w:t>
            </w:r>
            <w:r w:rsidR="0081542E">
              <w:rPr>
                <w:lang w:val="fr-FR"/>
              </w:rPr>
              <w:t>’</w:t>
            </w:r>
            <w:r w:rsidRPr="002A1AEC">
              <w:rPr>
                <w:lang w:val="fr-FR"/>
              </w:rPr>
              <w:t>auteur pour commentaire. Délai fixé pour la réponse</w:t>
            </w:r>
            <w:r>
              <w:rPr>
                <w:lang w:val="fr-FR"/>
              </w:rPr>
              <w:t> </w:t>
            </w:r>
            <w:r w:rsidRPr="002A1AEC">
              <w:rPr>
                <w:lang w:val="fr-FR"/>
              </w:rPr>
              <w:t>: 17</w:t>
            </w:r>
            <w:r>
              <w:rPr>
                <w:lang w:val="fr-FR"/>
              </w:rPr>
              <w:t> </w:t>
            </w:r>
            <w:r w:rsidRPr="002A1AEC">
              <w:rPr>
                <w:lang w:val="fr-FR"/>
              </w:rPr>
              <w:t>octobre 2016.</w:t>
            </w:r>
          </w:p>
        </w:tc>
      </w:tr>
      <w:tr w:rsidR="00935331" w:rsidRPr="002A1AEC" w:rsidTr="00935331">
        <w:trPr>
          <w:trHeight w:val="240"/>
        </w:trPr>
        <w:tc>
          <w:tcPr>
            <w:tcW w:w="3119" w:type="dxa"/>
            <w:shd w:val="clear" w:color="auto" w:fill="auto"/>
          </w:tcPr>
          <w:p w:rsidR="00935331" w:rsidRPr="002A1AEC" w:rsidRDefault="00935331" w:rsidP="0081542E">
            <w:pPr>
              <w:pStyle w:val="SingleTxtG"/>
              <w:suppressAutoHyphens w:val="0"/>
              <w:spacing w:before="40" w:line="220" w:lineRule="exact"/>
              <w:ind w:left="0" w:right="113"/>
              <w:jc w:val="left"/>
              <w:rPr>
                <w:lang w:val="fr-FR"/>
              </w:rPr>
            </w:pPr>
          </w:p>
        </w:tc>
        <w:tc>
          <w:tcPr>
            <w:tcW w:w="4251" w:type="dxa"/>
            <w:shd w:val="clear" w:color="auto" w:fill="auto"/>
          </w:tcPr>
          <w:p w:rsidR="00935331" w:rsidRDefault="00935331" w:rsidP="008B46E8">
            <w:pPr>
              <w:pStyle w:val="SingleTxtG"/>
              <w:suppressAutoHyphens w:val="0"/>
              <w:spacing w:before="40" w:line="220" w:lineRule="exact"/>
              <w:ind w:left="0" w:right="113"/>
              <w:rPr>
                <w:lang w:val="fr-FR"/>
              </w:rPr>
            </w:pPr>
            <w:r w:rsidRPr="002A1AEC">
              <w:rPr>
                <w:lang w:val="fr-FR"/>
              </w:rPr>
              <w:t>27</w:t>
            </w:r>
            <w:r>
              <w:rPr>
                <w:lang w:val="fr-FR"/>
              </w:rPr>
              <w:t> </w:t>
            </w:r>
            <w:r w:rsidRPr="002A1AEC">
              <w:rPr>
                <w:lang w:val="fr-FR"/>
              </w:rPr>
              <w:t>mars 2017</w:t>
            </w:r>
            <w:r>
              <w:rPr>
                <w:lang w:val="fr-FR"/>
              </w:rPr>
              <w:t> </w:t>
            </w:r>
            <w:r w:rsidRPr="002A1AEC">
              <w:rPr>
                <w:lang w:val="fr-FR"/>
              </w:rPr>
              <w:t>: envoi du premier rappel à l</w:t>
            </w:r>
            <w:r w:rsidR="0081542E">
              <w:rPr>
                <w:lang w:val="fr-FR"/>
              </w:rPr>
              <w:t>’</w:t>
            </w:r>
            <w:r w:rsidRPr="002A1AEC">
              <w:rPr>
                <w:lang w:val="fr-FR"/>
              </w:rPr>
              <w:t xml:space="preserve">auteur. </w:t>
            </w:r>
            <w:r>
              <w:rPr>
                <w:lang w:val="fr-FR"/>
              </w:rPr>
              <w:t>Délai fixé pour la réponse :</w:t>
            </w:r>
            <w:r w:rsidRPr="002A1AEC">
              <w:rPr>
                <w:lang w:val="fr-FR"/>
              </w:rPr>
              <w:t xml:space="preserve"> 26</w:t>
            </w:r>
            <w:r>
              <w:rPr>
                <w:lang w:val="fr-FR"/>
              </w:rPr>
              <w:t> </w:t>
            </w:r>
            <w:r w:rsidRPr="002A1AEC">
              <w:rPr>
                <w:lang w:val="fr-FR"/>
              </w:rPr>
              <w:t>mai 2017.</w:t>
            </w:r>
          </w:p>
        </w:tc>
      </w:tr>
      <w:tr w:rsidR="00935331" w:rsidRPr="002A1AEC" w:rsidTr="00935331">
        <w:trPr>
          <w:trHeight w:val="240"/>
        </w:trPr>
        <w:tc>
          <w:tcPr>
            <w:tcW w:w="3119" w:type="dxa"/>
            <w:shd w:val="clear" w:color="auto" w:fill="auto"/>
          </w:tcPr>
          <w:p w:rsidR="00935331" w:rsidRPr="002A1AEC" w:rsidRDefault="00935331" w:rsidP="0081542E">
            <w:pPr>
              <w:pStyle w:val="SingleTxtG"/>
              <w:suppressAutoHyphens w:val="0"/>
              <w:spacing w:before="40" w:line="220" w:lineRule="exact"/>
              <w:ind w:left="0" w:right="113"/>
              <w:jc w:val="left"/>
              <w:rPr>
                <w:lang w:val="fr-FR"/>
              </w:rPr>
            </w:pPr>
          </w:p>
        </w:tc>
        <w:tc>
          <w:tcPr>
            <w:tcW w:w="4251" w:type="dxa"/>
            <w:shd w:val="clear" w:color="auto" w:fill="auto"/>
          </w:tcPr>
          <w:p w:rsidR="00935331" w:rsidRDefault="00935331" w:rsidP="008B46E8">
            <w:pPr>
              <w:pStyle w:val="SingleTxtG"/>
              <w:suppressAutoHyphens w:val="0"/>
              <w:spacing w:before="40" w:line="220" w:lineRule="exact"/>
              <w:ind w:left="0" w:right="113"/>
              <w:rPr>
                <w:lang w:val="fr-FR"/>
              </w:rPr>
            </w:pPr>
            <w:r w:rsidRPr="002A1AEC">
              <w:rPr>
                <w:lang w:val="fr-FR"/>
              </w:rPr>
              <w:t>19</w:t>
            </w:r>
            <w:r>
              <w:rPr>
                <w:lang w:val="fr-FR"/>
              </w:rPr>
              <w:t> </w:t>
            </w:r>
            <w:r w:rsidRPr="002A1AEC">
              <w:rPr>
                <w:lang w:val="fr-FR"/>
              </w:rPr>
              <w:t>janvier 2018 : envoi du deuxième rappel à l</w:t>
            </w:r>
            <w:r w:rsidR="0081542E">
              <w:rPr>
                <w:lang w:val="fr-FR"/>
              </w:rPr>
              <w:t>’</w:t>
            </w:r>
            <w:r w:rsidRPr="002A1AEC">
              <w:rPr>
                <w:lang w:val="fr-FR"/>
              </w:rPr>
              <w:t>auteur. Délai fixé pour la réponse : 19 mars 2018.</w:t>
            </w:r>
          </w:p>
        </w:tc>
      </w:tr>
      <w:tr w:rsidR="00C91769" w:rsidRPr="002A1AEC" w:rsidTr="00935331">
        <w:trPr>
          <w:trHeight w:val="240"/>
        </w:trPr>
        <w:tc>
          <w:tcPr>
            <w:tcW w:w="3119"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Décision</w:t>
            </w:r>
            <w:r w:rsidR="00935331">
              <w:rPr>
                <w:lang w:val="fr-FR"/>
              </w:rPr>
              <w:t> </w:t>
            </w:r>
            <w:r w:rsidRPr="002A1AEC">
              <w:rPr>
                <w:lang w:val="fr-FR"/>
              </w:rPr>
              <w:t>:</w:t>
            </w:r>
          </w:p>
        </w:tc>
        <w:tc>
          <w:tcPr>
            <w:tcW w:w="4251" w:type="dxa"/>
            <w:shd w:val="clear" w:color="auto" w:fill="auto"/>
          </w:tcPr>
          <w:p w:rsidR="00C91769" w:rsidRPr="002A1AEC" w:rsidRDefault="00C91769" w:rsidP="008B46E8">
            <w:pPr>
              <w:pStyle w:val="SingleTxtG"/>
              <w:suppressAutoHyphens w:val="0"/>
              <w:spacing w:before="40" w:line="220" w:lineRule="exact"/>
              <w:ind w:left="0" w:right="113"/>
              <w:rPr>
                <w:lang w:val="fr-FR"/>
              </w:rPr>
            </w:pPr>
            <w:r>
              <w:rPr>
                <w:lang w:val="fr-FR"/>
              </w:rPr>
              <w:t>Poursuivre le dialogue au titre du suivi</w:t>
            </w:r>
            <w:r w:rsidRPr="002A1AEC">
              <w:rPr>
                <w:lang w:val="fr-FR"/>
              </w:rPr>
              <w:t>. Un troisième rappel sera adressé à l</w:t>
            </w:r>
            <w:r w:rsidR="0081542E">
              <w:rPr>
                <w:lang w:val="fr-FR"/>
              </w:rPr>
              <w:t>’</w:t>
            </w:r>
            <w:r w:rsidRPr="002A1AEC">
              <w:rPr>
                <w:lang w:val="fr-FR"/>
              </w:rPr>
              <w:t xml:space="preserve">auteur si le Comité ne reçoit pas de réponse. Les mesures de suivi seront décidées à la prochaine session, </w:t>
            </w:r>
            <w:r>
              <w:rPr>
                <w:lang w:val="fr-FR"/>
              </w:rPr>
              <w:t>au vu</w:t>
            </w:r>
            <w:r w:rsidRPr="002A1AEC">
              <w:rPr>
                <w:lang w:val="fr-FR"/>
              </w:rPr>
              <w:t xml:space="preserve"> des commentaires de l</w:t>
            </w:r>
            <w:r w:rsidR="0081542E">
              <w:rPr>
                <w:lang w:val="fr-FR"/>
              </w:rPr>
              <w:t>’</w:t>
            </w:r>
            <w:r w:rsidRPr="002A1AEC">
              <w:rPr>
                <w:lang w:val="fr-FR"/>
              </w:rPr>
              <w:t xml:space="preserve">auteur. </w:t>
            </w:r>
          </w:p>
        </w:tc>
      </w:tr>
      <w:tr w:rsidR="00C91769" w:rsidRPr="002A1AEC" w:rsidTr="008B46E8">
        <w:trPr>
          <w:trHeight w:hRule="exact" w:val="113"/>
        </w:trPr>
        <w:tc>
          <w:tcPr>
            <w:tcW w:w="7370" w:type="dxa"/>
            <w:gridSpan w:val="2"/>
            <w:shd w:val="clear" w:color="auto" w:fill="auto"/>
          </w:tcPr>
          <w:p w:rsidR="00C91769" w:rsidRPr="002A1AEC" w:rsidRDefault="00C91769" w:rsidP="008B46E8">
            <w:pPr>
              <w:pStyle w:val="SingleTxtG"/>
              <w:suppressAutoHyphens w:val="0"/>
              <w:spacing w:before="40" w:line="220" w:lineRule="exact"/>
              <w:ind w:left="0" w:right="113"/>
              <w:rPr>
                <w:lang w:val="fr-FR"/>
              </w:rPr>
            </w:pPr>
          </w:p>
        </w:tc>
      </w:tr>
    </w:tbl>
    <w:p w:rsidR="00C91769" w:rsidRPr="002A1AEC" w:rsidRDefault="00C91769" w:rsidP="00C91769">
      <w:pPr>
        <w:pStyle w:val="SingleTxtG"/>
        <w:rPr>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22"/>
        <w:gridCol w:w="4248"/>
      </w:tblGrid>
      <w:tr w:rsidR="00C91769" w:rsidRPr="00935331" w:rsidTr="00215E5A">
        <w:tc>
          <w:tcPr>
            <w:tcW w:w="7370" w:type="dxa"/>
            <w:gridSpan w:val="2"/>
            <w:tcBorders>
              <w:top w:val="single" w:sz="4" w:space="0" w:color="auto"/>
              <w:bottom w:val="single" w:sz="12" w:space="0" w:color="auto"/>
            </w:tcBorders>
            <w:shd w:val="clear" w:color="auto" w:fill="auto"/>
            <w:vAlign w:val="bottom"/>
          </w:tcPr>
          <w:p w:rsidR="00C91769" w:rsidRPr="00935331" w:rsidRDefault="00C91769" w:rsidP="00215E5A">
            <w:pPr>
              <w:pStyle w:val="SingleTxtG"/>
              <w:suppressAutoHyphens w:val="0"/>
              <w:spacing w:before="80" w:after="80" w:line="200" w:lineRule="exact"/>
              <w:ind w:left="0" w:right="113"/>
              <w:rPr>
                <w:b/>
                <w:bCs/>
                <w:i/>
                <w:lang w:val="fr-FR"/>
              </w:rPr>
            </w:pPr>
            <w:r w:rsidRPr="00935331">
              <w:rPr>
                <w:b/>
                <w:bCs/>
                <w:lang w:val="fr-FR"/>
              </w:rPr>
              <w:t>4.</w:t>
            </w:r>
            <w:r w:rsidRPr="00935331">
              <w:rPr>
                <w:b/>
                <w:bCs/>
                <w:lang w:val="fr-FR"/>
              </w:rPr>
              <w:tab/>
              <w:t xml:space="preserve">Communication </w:t>
            </w:r>
            <w:r w:rsidR="00935331" w:rsidRPr="00935331">
              <w:rPr>
                <w:rFonts w:eastAsia="MS Mincho"/>
                <w:b/>
                <w:bCs/>
                <w:szCs w:val="22"/>
                <w:lang w:val="fr-FR"/>
              </w:rPr>
              <w:t>n</w:t>
            </w:r>
            <w:r w:rsidR="00935331" w:rsidRPr="00935331">
              <w:rPr>
                <w:rFonts w:eastAsia="MS Mincho"/>
                <w:b/>
                <w:bCs/>
                <w:szCs w:val="22"/>
                <w:vertAlign w:val="superscript"/>
                <w:lang w:val="fr-FR"/>
              </w:rPr>
              <w:t>o</w:t>
            </w:r>
            <w:r w:rsidR="00935331">
              <w:rPr>
                <w:b/>
                <w:bCs/>
                <w:lang w:val="fr-FR"/>
              </w:rPr>
              <w:t> </w:t>
            </w:r>
            <w:r w:rsidRPr="00935331">
              <w:rPr>
                <w:b/>
                <w:bCs/>
                <w:lang w:val="fr-FR"/>
              </w:rPr>
              <w:t>4/2011,</w:t>
            </w:r>
            <w:r w:rsidRPr="00935331">
              <w:rPr>
                <w:b/>
                <w:bCs/>
                <w:i/>
                <w:lang w:val="fr-FR"/>
              </w:rPr>
              <w:t xml:space="preserve"> </w:t>
            </w:r>
            <w:proofErr w:type="spellStart"/>
            <w:r w:rsidRPr="00935331">
              <w:rPr>
                <w:b/>
                <w:bCs/>
                <w:i/>
                <w:lang w:val="fr-FR"/>
              </w:rPr>
              <w:t>Bujdosó</w:t>
            </w:r>
            <w:proofErr w:type="spellEnd"/>
            <w:r w:rsidRPr="00935331">
              <w:rPr>
                <w:b/>
                <w:bCs/>
                <w:i/>
                <w:lang w:val="fr-FR"/>
              </w:rPr>
              <w:t xml:space="preserve"> et consorts </w:t>
            </w:r>
            <w:r w:rsidRPr="00935331">
              <w:rPr>
                <w:b/>
                <w:bCs/>
                <w:lang w:val="fr-FR"/>
              </w:rPr>
              <w:t>c.</w:t>
            </w:r>
            <w:r w:rsidRPr="00935331">
              <w:rPr>
                <w:b/>
                <w:bCs/>
                <w:i/>
                <w:lang w:val="fr-FR"/>
              </w:rPr>
              <w:t xml:space="preserve"> Hongrie</w:t>
            </w:r>
          </w:p>
        </w:tc>
      </w:tr>
      <w:tr w:rsidR="00C91769" w:rsidRPr="002A1AEC" w:rsidTr="00215E5A">
        <w:trPr>
          <w:trHeight w:hRule="exact" w:val="113"/>
        </w:trPr>
        <w:tc>
          <w:tcPr>
            <w:tcW w:w="3122" w:type="dxa"/>
            <w:tcBorders>
              <w:top w:val="single" w:sz="12" w:space="0" w:color="auto"/>
            </w:tcBorders>
            <w:shd w:val="clear" w:color="auto" w:fill="auto"/>
          </w:tcPr>
          <w:p w:rsidR="00C91769" w:rsidRPr="002A1AEC" w:rsidRDefault="00C91769" w:rsidP="00215E5A">
            <w:pPr>
              <w:pStyle w:val="SingleTxtG"/>
              <w:suppressAutoHyphens w:val="0"/>
              <w:spacing w:before="40" w:line="220" w:lineRule="exact"/>
              <w:ind w:left="0" w:right="113"/>
              <w:rPr>
                <w:lang w:val="fr-FR"/>
              </w:rPr>
            </w:pPr>
          </w:p>
        </w:tc>
        <w:tc>
          <w:tcPr>
            <w:tcW w:w="4248" w:type="dxa"/>
            <w:tcBorders>
              <w:top w:val="single" w:sz="12" w:space="0" w:color="auto"/>
            </w:tcBorders>
            <w:shd w:val="clear" w:color="auto" w:fill="auto"/>
          </w:tcPr>
          <w:p w:rsidR="00C91769" w:rsidRPr="002A1AEC" w:rsidRDefault="00C91769" w:rsidP="00215E5A">
            <w:pPr>
              <w:pStyle w:val="SingleTxtG"/>
              <w:suppressAutoHyphens w:val="0"/>
              <w:spacing w:before="40" w:line="220" w:lineRule="exact"/>
              <w:ind w:left="0" w:right="113"/>
              <w:rPr>
                <w:lang w:val="fr-FR"/>
              </w:rPr>
            </w:pPr>
          </w:p>
        </w:tc>
      </w:tr>
      <w:tr w:rsidR="00C91769" w:rsidRPr="002A1AEC" w:rsidTr="00935331">
        <w:tc>
          <w:tcPr>
            <w:tcW w:w="3122" w:type="dxa"/>
            <w:tcBorders>
              <w:bottom w:val="nil"/>
            </w:tcBorders>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Adoption des constatations</w:t>
            </w:r>
            <w:r w:rsidR="00935331">
              <w:rPr>
                <w:lang w:val="fr-FR"/>
              </w:rPr>
              <w:t> </w:t>
            </w:r>
            <w:r w:rsidRPr="002A1AEC">
              <w:rPr>
                <w:lang w:val="fr-FR"/>
              </w:rPr>
              <w:t>:</w:t>
            </w:r>
          </w:p>
        </w:tc>
        <w:tc>
          <w:tcPr>
            <w:tcW w:w="4248" w:type="dxa"/>
            <w:tcBorders>
              <w:bottom w:val="nil"/>
            </w:tcBorders>
            <w:shd w:val="clear" w:color="auto" w:fill="auto"/>
          </w:tcPr>
          <w:p w:rsidR="00C91769" w:rsidRPr="002A1AEC" w:rsidRDefault="00C91769" w:rsidP="00935331">
            <w:pPr>
              <w:pStyle w:val="SingleTxtG"/>
              <w:suppressAutoHyphens w:val="0"/>
              <w:spacing w:before="40" w:line="220" w:lineRule="exact"/>
              <w:ind w:left="0" w:right="113"/>
              <w:jc w:val="left"/>
              <w:rPr>
                <w:lang w:val="fr-FR"/>
              </w:rPr>
            </w:pPr>
            <w:r w:rsidRPr="002A1AEC">
              <w:rPr>
                <w:lang w:val="fr-FR"/>
              </w:rPr>
              <w:t>9</w:t>
            </w:r>
            <w:r w:rsidR="00935331">
              <w:rPr>
                <w:lang w:val="fr-FR"/>
              </w:rPr>
              <w:t> </w:t>
            </w:r>
            <w:r w:rsidRPr="002A1AEC">
              <w:rPr>
                <w:lang w:val="fr-FR"/>
              </w:rPr>
              <w:t>septembre 2013</w:t>
            </w:r>
          </w:p>
        </w:tc>
      </w:tr>
      <w:tr w:rsidR="00C91769" w:rsidRPr="002A1AEC" w:rsidTr="00935331">
        <w:tc>
          <w:tcPr>
            <w:tcW w:w="3122" w:type="dxa"/>
            <w:tcBorders>
              <w:top w:val="nil"/>
              <w:bottom w:val="nil"/>
            </w:tcBorders>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Première réponse de l</w:t>
            </w:r>
            <w:r w:rsidR="0081542E">
              <w:rPr>
                <w:lang w:val="fr-FR"/>
              </w:rPr>
              <w:t>’</w:t>
            </w:r>
            <w:r w:rsidRPr="002A1AEC">
              <w:rPr>
                <w:lang w:val="fr-FR"/>
              </w:rPr>
              <w:t>État partie</w:t>
            </w:r>
            <w:r w:rsidR="00935331">
              <w:rPr>
                <w:lang w:val="fr-FR"/>
              </w:rPr>
              <w:t> </w:t>
            </w:r>
            <w:r w:rsidRPr="002A1AEC">
              <w:rPr>
                <w:lang w:val="fr-FR"/>
              </w:rPr>
              <w:t>:</w:t>
            </w:r>
          </w:p>
        </w:tc>
        <w:tc>
          <w:tcPr>
            <w:tcW w:w="4248" w:type="dxa"/>
            <w:tcBorders>
              <w:top w:val="nil"/>
              <w:bottom w:val="nil"/>
            </w:tcBorders>
            <w:shd w:val="clear" w:color="auto" w:fill="auto"/>
          </w:tcPr>
          <w:p w:rsidR="00C91769" w:rsidRPr="002A1AEC" w:rsidRDefault="00C91769" w:rsidP="00935331">
            <w:pPr>
              <w:pStyle w:val="SingleTxtG"/>
              <w:suppressAutoHyphens w:val="0"/>
              <w:spacing w:before="40" w:line="220" w:lineRule="exact"/>
              <w:ind w:left="0" w:right="113"/>
              <w:jc w:val="left"/>
              <w:rPr>
                <w:lang w:val="fr-FR"/>
              </w:rPr>
            </w:pPr>
            <w:r w:rsidRPr="002A1AEC">
              <w:rPr>
                <w:lang w:val="fr-FR"/>
              </w:rPr>
              <w:t>26</w:t>
            </w:r>
            <w:r w:rsidR="00935331">
              <w:rPr>
                <w:lang w:val="fr-FR"/>
              </w:rPr>
              <w:t> </w:t>
            </w:r>
            <w:r w:rsidRPr="002A1AEC">
              <w:rPr>
                <w:lang w:val="fr-FR"/>
              </w:rPr>
              <w:t>mars 2014 (voir CRPD/C/12/3)</w:t>
            </w:r>
          </w:p>
        </w:tc>
      </w:tr>
      <w:tr w:rsidR="00C91769" w:rsidRPr="002A1AEC" w:rsidTr="00935331">
        <w:tc>
          <w:tcPr>
            <w:tcW w:w="3122" w:type="dxa"/>
            <w:tcBorders>
              <w:top w:val="nil"/>
            </w:tcBorders>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Commentaires des auteurs (première et deuxième séries)</w:t>
            </w:r>
            <w:r w:rsidR="00935331">
              <w:rPr>
                <w:lang w:val="fr-FR"/>
              </w:rPr>
              <w:t> </w:t>
            </w:r>
            <w:r w:rsidRPr="002A1AEC">
              <w:rPr>
                <w:lang w:val="fr-FR"/>
              </w:rPr>
              <w:t xml:space="preserve">: </w:t>
            </w:r>
          </w:p>
        </w:tc>
        <w:tc>
          <w:tcPr>
            <w:tcW w:w="4248" w:type="dxa"/>
            <w:tcBorders>
              <w:top w:val="nil"/>
            </w:tcBorders>
            <w:shd w:val="clear" w:color="auto" w:fill="auto"/>
          </w:tcPr>
          <w:p w:rsidR="00C91769" w:rsidRPr="002A1AEC" w:rsidRDefault="00C91769" w:rsidP="00935331">
            <w:pPr>
              <w:pStyle w:val="SingleTxtG"/>
              <w:suppressAutoHyphens w:val="0"/>
              <w:spacing w:before="40" w:line="220" w:lineRule="exact"/>
              <w:ind w:left="0" w:right="113"/>
              <w:jc w:val="left"/>
              <w:rPr>
                <w:lang w:val="fr-FR"/>
              </w:rPr>
            </w:pPr>
            <w:r w:rsidRPr="002A1AEC">
              <w:rPr>
                <w:lang w:val="fr-FR"/>
              </w:rPr>
              <w:t>5</w:t>
            </w:r>
            <w:r w:rsidR="00935331">
              <w:rPr>
                <w:lang w:val="fr-FR"/>
              </w:rPr>
              <w:t> </w:t>
            </w:r>
            <w:r w:rsidRPr="002A1AEC">
              <w:rPr>
                <w:lang w:val="fr-FR"/>
              </w:rPr>
              <w:t>mai 2014 (voir CRPD/C/12/3)</w:t>
            </w:r>
          </w:p>
        </w:tc>
      </w:tr>
      <w:tr w:rsidR="00C91769" w:rsidRPr="002A1AEC" w:rsidTr="00935331">
        <w:tc>
          <w:tcPr>
            <w:tcW w:w="3122"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Décision adoptée à la onzième session</w:t>
            </w:r>
            <w:r w:rsidR="00935331">
              <w:rPr>
                <w:lang w:val="fr-FR"/>
              </w:rPr>
              <w:t> </w:t>
            </w:r>
            <w:r w:rsidRPr="002A1AEC">
              <w:rPr>
                <w:lang w:val="fr-FR"/>
              </w:rPr>
              <w:t>:</w:t>
            </w:r>
          </w:p>
        </w:tc>
        <w:tc>
          <w:tcPr>
            <w:tcW w:w="4248" w:type="dxa"/>
            <w:shd w:val="clear" w:color="auto" w:fill="auto"/>
          </w:tcPr>
          <w:p w:rsidR="00C91769" w:rsidRPr="002A1AEC" w:rsidRDefault="00C91769" w:rsidP="00935331">
            <w:pPr>
              <w:pStyle w:val="SingleTxtG"/>
              <w:suppressAutoHyphens w:val="0"/>
              <w:spacing w:before="40" w:line="220" w:lineRule="exact"/>
              <w:ind w:left="0" w:right="113"/>
              <w:jc w:val="left"/>
              <w:rPr>
                <w:lang w:val="fr-FR"/>
              </w:rPr>
            </w:pPr>
            <w:r>
              <w:rPr>
                <w:lang w:val="fr-FR"/>
              </w:rPr>
              <w:t>Lettre de suivi adressée à l</w:t>
            </w:r>
            <w:r w:rsidR="0081542E">
              <w:rPr>
                <w:lang w:val="fr-FR"/>
              </w:rPr>
              <w:t>’</w:t>
            </w:r>
            <w:r>
              <w:rPr>
                <w:lang w:val="fr-FR"/>
              </w:rPr>
              <w:t>État partie le 8</w:t>
            </w:r>
            <w:r w:rsidR="00935331">
              <w:rPr>
                <w:lang w:val="fr-FR"/>
              </w:rPr>
              <w:t> </w:t>
            </w:r>
            <w:r>
              <w:rPr>
                <w:lang w:val="fr-FR"/>
              </w:rPr>
              <w:t>mai 2014 (voir CRPD/C/12/3). Délai fixé pour la réponse : 7</w:t>
            </w:r>
            <w:r w:rsidR="00935331">
              <w:rPr>
                <w:lang w:val="fr-FR"/>
              </w:rPr>
              <w:t> </w:t>
            </w:r>
            <w:r>
              <w:rPr>
                <w:lang w:val="fr-FR"/>
              </w:rPr>
              <w:t>novembre 2014.</w:t>
            </w:r>
          </w:p>
        </w:tc>
      </w:tr>
      <w:tr w:rsidR="00C91769" w:rsidRPr="002A1AEC" w:rsidTr="00935331">
        <w:tc>
          <w:tcPr>
            <w:tcW w:w="3122"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Deuxième réponse de l</w:t>
            </w:r>
            <w:r w:rsidR="0081542E">
              <w:rPr>
                <w:lang w:val="fr-FR"/>
              </w:rPr>
              <w:t>’</w:t>
            </w:r>
            <w:r w:rsidRPr="002A1AEC">
              <w:rPr>
                <w:lang w:val="fr-FR"/>
              </w:rPr>
              <w:t>État partie</w:t>
            </w:r>
            <w:r w:rsidR="00935331">
              <w:rPr>
                <w:lang w:val="fr-FR"/>
              </w:rPr>
              <w:t> </w:t>
            </w:r>
            <w:r w:rsidRPr="002A1AEC">
              <w:rPr>
                <w:lang w:val="fr-FR"/>
              </w:rPr>
              <w:t>:</w:t>
            </w:r>
          </w:p>
        </w:tc>
        <w:tc>
          <w:tcPr>
            <w:tcW w:w="4248" w:type="dxa"/>
            <w:shd w:val="clear" w:color="auto" w:fill="auto"/>
          </w:tcPr>
          <w:p w:rsidR="00C91769" w:rsidRPr="002A1AEC" w:rsidRDefault="00C91769" w:rsidP="00935331">
            <w:pPr>
              <w:pStyle w:val="SingleTxtG"/>
              <w:suppressAutoHyphens w:val="0"/>
              <w:spacing w:before="40" w:line="220" w:lineRule="exact"/>
              <w:ind w:left="0" w:right="113"/>
              <w:jc w:val="left"/>
              <w:rPr>
                <w:lang w:val="fr-FR"/>
              </w:rPr>
            </w:pPr>
            <w:r w:rsidRPr="002A1AEC">
              <w:rPr>
                <w:lang w:val="fr-FR"/>
              </w:rPr>
              <w:t>8</w:t>
            </w:r>
            <w:r w:rsidR="00935331">
              <w:rPr>
                <w:lang w:val="fr-FR"/>
              </w:rPr>
              <w:t> </w:t>
            </w:r>
            <w:r>
              <w:rPr>
                <w:lang w:val="fr-FR"/>
              </w:rPr>
              <w:t>juillet</w:t>
            </w:r>
            <w:r w:rsidRPr="002A1AEC">
              <w:rPr>
                <w:lang w:val="fr-FR"/>
              </w:rPr>
              <w:t xml:space="preserve"> 2014 (</w:t>
            </w:r>
            <w:r>
              <w:rPr>
                <w:lang w:val="fr-FR"/>
              </w:rPr>
              <w:t>voir</w:t>
            </w:r>
            <w:r w:rsidRPr="002A1AEC">
              <w:rPr>
                <w:lang w:val="fr-FR"/>
              </w:rPr>
              <w:t xml:space="preserve"> CRPD/C/12/3)</w:t>
            </w:r>
          </w:p>
        </w:tc>
      </w:tr>
      <w:tr w:rsidR="00C91769" w:rsidRPr="002A1AEC" w:rsidTr="00935331">
        <w:tc>
          <w:tcPr>
            <w:tcW w:w="3122"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Commentaires des auteurs (troisième série)</w:t>
            </w:r>
            <w:r w:rsidR="00935331">
              <w:rPr>
                <w:lang w:val="fr-FR"/>
              </w:rPr>
              <w:t> </w:t>
            </w:r>
            <w:r w:rsidRPr="002A1AEC">
              <w:rPr>
                <w:lang w:val="fr-FR"/>
              </w:rPr>
              <w:t>:</w:t>
            </w:r>
          </w:p>
        </w:tc>
        <w:tc>
          <w:tcPr>
            <w:tcW w:w="4248" w:type="dxa"/>
            <w:shd w:val="clear" w:color="auto" w:fill="auto"/>
          </w:tcPr>
          <w:p w:rsidR="00C91769" w:rsidRPr="002A1AEC" w:rsidRDefault="00C91769" w:rsidP="00935331">
            <w:pPr>
              <w:pStyle w:val="SingleTxtG"/>
              <w:suppressAutoHyphens w:val="0"/>
              <w:spacing w:before="40" w:line="220" w:lineRule="exact"/>
              <w:ind w:left="0" w:right="113"/>
              <w:jc w:val="left"/>
              <w:rPr>
                <w:lang w:val="fr-FR"/>
              </w:rPr>
            </w:pPr>
            <w:r w:rsidRPr="002A1AEC">
              <w:rPr>
                <w:lang w:val="fr-FR"/>
              </w:rPr>
              <w:t>25</w:t>
            </w:r>
            <w:r w:rsidR="00935331">
              <w:rPr>
                <w:lang w:val="fr-FR"/>
              </w:rPr>
              <w:t> </w:t>
            </w:r>
            <w:r>
              <w:rPr>
                <w:lang w:val="fr-FR"/>
              </w:rPr>
              <w:t>août</w:t>
            </w:r>
            <w:r w:rsidRPr="002A1AEC">
              <w:rPr>
                <w:lang w:val="fr-FR"/>
              </w:rPr>
              <w:t xml:space="preserve"> 2015</w:t>
            </w:r>
          </w:p>
        </w:tc>
      </w:tr>
      <w:tr w:rsidR="00C91769" w:rsidRPr="002A1AEC" w:rsidTr="00935331">
        <w:tc>
          <w:tcPr>
            <w:tcW w:w="3122"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Troisième réponse de l</w:t>
            </w:r>
            <w:r w:rsidR="0081542E">
              <w:rPr>
                <w:lang w:val="fr-FR"/>
              </w:rPr>
              <w:t>’</w:t>
            </w:r>
            <w:r w:rsidRPr="002A1AEC">
              <w:rPr>
                <w:lang w:val="fr-FR"/>
              </w:rPr>
              <w:t>État partie</w:t>
            </w:r>
            <w:r w:rsidR="00935331">
              <w:rPr>
                <w:lang w:val="fr-FR"/>
              </w:rPr>
              <w:t> </w:t>
            </w:r>
            <w:r w:rsidRPr="002A1AEC">
              <w:rPr>
                <w:lang w:val="fr-FR"/>
              </w:rPr>
              <w:t>:</w:t>
            </w:r>
          </w:p>
        </w:tc>
        <w:tc>
          <w:tcPr>
            <w:tcW w:w="4248" w:type="dxa"/>
            <w:shd w:val="clear" w:color="auto" w:fill="auto"/>
          </w:tcPr>
          <w:p w:rsidR="00C91769" w:rsidRPr="002A1AEC" w:rsidRDefault="00C91769" w:rsidP="00935331">
            <w:pPr>
              <w:pStyle w:val="SingleTxtG"/>
              <w:suppressAutoHyphens w:val="0"/>
              <w:spacing w:before="40" w:line="220" w:lineRule="exact"/>
              <w:ind w:left="0" w:right="113"/>
              <w:jc w:val="left"/>
              <w:rPr>
                <w:lang w:val="fr-FR"/>
              </w:rPr>
            </w:pPr>
            <w:r w:rsidRPr="002A1AEC">
              <w:rPr>
                <w:lang w:val="fr-FR"/>
              </w:rPr>
              <w:t>29</w:t>
            </w:r>
            <w:r w:rsidR="00935331">
              <w:rPr>
                <w:lang w:val="fr-FR"/>
              </w:rPr>
              <w:t> </w:t>
            </w:r>
            <w:r>
              <w:rPr>
                <w:lang w:val="fr-FR"/>
              </w:rPr>
              <w:t>juin</w:t>
            </w:r>
            <w:r w:rsidRPr="002A1AEC">
              <w:rPr>
                <w:lang w:val="fr-FR"/>
              </w:rPr>
              <w:t xml:space="preserve"> 2015 (</w:t>
            </w:r>
            <w:r>
              <w:rPr>
                <w:lang w:val="fr-FR"/>
              </w:rPr>
              <w:t>voir</w:t>
            </w:r>
            <w:r w:rsidRPr="002A1AEC">
              <w:rPr>
                <w:lang w:val="fr-FR"/>
              </w:rPr>
              <w:t xml:space="preserve"> CRPD/C/15/3)</w:t>
            </w:r>
          </w:p>
        </w:tc>
      </w:tr>
      <w:tr w:rsidR="00545DFA" w:rsidRPr="002A1AEC" w:rsidTr="00935331">
        <w:tc>
          <w:tcPr>
            <w:tcW w:w="3122" w:type="dxa"/>
            <w:shd w:val="clear" w:color="auto" w:fill="auto"/>
          </w:tcPr>
          <w:p w:rsidR="00545DFA" w:rsidRPr="002A1AEC" w:rsidRDefault="00545DFA" w:rsidP="0081542E">
            <w:pPr>
              <w:pStyle w:val="SingleTxtG"/>
              <w:suppressAutoHyphens w:val="0"/>
              <w:spacing w:before="40" w:line="220" w:lineRule="exact"/>
              <w:ind w:left="0" w:right="113"/>
              <w:jc w:val="left"/>
              <w:rPr>
                <w:lang w:val="fr-FR"/>
              </w:rPr>
            </w:pPr>
            <w:r w:rsidRPr="002A1AEC">
              <w:rPr>
                <w:lang w:val="fr-FR"/>
              </w:rPr>
              <w:t>Décision adoptée à la quinzième</w:t>
            </w:r>
            <w:r>
              <w:rPr>
                <w:lang w:val="fr-FR"/>
              </w:rPr>
              <w:t xml:space="preserve"> </w:t>
            </w:r>
            <w:r w:rsidRPr="002A1AEC">
              <w:rPr>
                <w:lang w:val="fr-FR"/>
              </w:rPr>
              <w:t>session</w:t>
            </w:r>
            <w:r>
              <w:rPr>
                <w:lang w:val="fr-FR"/>
              </w:rPr>
              <w:t> </w:t>
            </w:r>
            <w:r w:rsidRPr="002A1AEC">
              <w:rPr>
                <w:lang w:val="fr-FR"/>
              </w:rPr>
              <w:t>:</w:t>
            </w:r>
          </w:p>
        </w:tc>
        <w:tc>
          <w:tcPr>
            <w:tcW w:w="4248" w:type="dxa"/>
            <w:shd w:val="clear" w:color="auto" w:fill="auto"/>
          </w:tcPr>
          <w:p w:rsidR="00545DFA" w:rsidRPr="002A1AEC" w:rsidRDefault="00545DFA" w:rsidP="00545DFA">
            <w:pPr>
              <w:pStyle w:val="SingleTxtG"/>
              <w:suppressAutoHyphens w:val="0"/>
              <w:spacing w:before="40" w:line="220" w:lineRule="exact"/>
              <w:ind w:left="0" w:right="113"/>
              <w:jc w:val="left"/>
              <w:rPr>
                <w:lang w:val="fr-FR"/>
              </w:rPr>
            </w:pPr>
            <w:r>
              <w:rPr>
                <w:lang w:val="fr-FR"/>
              </w:rPr>
              <w:t>Poursuivre le dialogue au titre du suivi</w:t>
            </w:r>
            <w:r w:rsidRPr="002A1AEC">
              <w:rPr>
                <w:lang w:val="fr-FR"/>
              </w:rPr>
              <w:t>. Lettre de suivi adressée à l</w:t>
            </w:r>
            <w:r w:rsidR="0081542E">
              <w:rPr>
                <w:lang w:val="fr-FR"/>
              </w:rPr>
              <w:t>’</w:t>
            </w:r>
            <w:r w:rsidRPr="002A1AEC">
              <w:rPr>
                <w:lang w:val="fr-FR"/>
              </w:rPr>
              <w:t>État partie le 14</w:t>
            </w:r>
            <w:r>
              <w:rPr>
                <w:lang w:val="fr-FR"/>
              </w:rPr>
              <w:t> </w:t>
            </w:r>
            <w:r w:rsidRPr="002A1AEC">
              <w:rPr>
                <w:lang w:val="fr-FR"/>
              </w:rPr>
              <w:t>juin 2016 (voir CRPD/C/15/3), avec un délai fixé au 9</w:t>
            </w:r>
            <w:r>
              <w:rPr>
                <w:lang w:val="fr-FR"/>
              </w:rPr>
              <w:t> </w:t>
            </w:r>
            <w:r w:rsidRPr="002A1AEC">
              <w:rPr>
                <w:lang w:val="fr-FR"/>
              </w:rPr>
              <w:t>août 2016 pour les commentaires.</w:t>
            </w:r>
          </w:p>
        </w:tc>
      </w:tr>
      <w:tr w:rsidR="00C91769" w:rsidRPr="002A1AEC" w:rsidTr="00935331">
        <w:tc>
          <w:tcPr>
            <w:tcW w:w="3122"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Quatrième réponse de l</w:t>
            </w:r>
            <w:r w:rsidR="0081542E">
              <w:rPr>
                <w:lang w:val="fr-FR"/>
              </w:rPr>
              <w:t>’</w:t>
            </w:r>
            <w:r w:rsidRPr="002A1AEC">
              <w:rPr>
                <w:lang w:val="fr-FR"/>
              </w:rPr>
              <w:t>État partie</w:t>
            </w:r>
            <w:r w:rsidR="00545DFA">
              <w:rPr>
                <w:lang w:val="fr-FR"/>
              </w:rPr>
              <w:t> </w:t>
            </w:r>
            <w:r w:rsidRPr="002A1AEC">
              <w:rPr>
                <w:lang w:val="fr-FR"/>
              </w:rPr>
              <w:t>:</w:t>
            </w:r>
          </w:p>
        </w:tc>
        <w:tc>
          <w:tcPr>
            <w:tcW w:w="4248" w:type="dxa"/>
            <w:shd w:val="clear" w:color="auto" w:fill="auto"/>
          </w:tcPr>
          <w:p w:rsidR="00C91769" w:rsidRPr="002A1AEC" w:rsidRDefault="00C91769" w:rsidP="00545DFA">
            <w:pPr>
              <w:pStyle w:val="SingleTxtG"/>
              <w:suppressAutoHyphens w:val="0"/>
              <w:spacing w:before="40" w:line="220" w:lineRule="exact"/>
              <w:ind w:left="0" w:right="113"/>
              <w:jc w:val="left"/>
              <w:rPr>
                <w:lang w:val="fr-FR"/>
              </w:rPr>
            </w:pPr>
            <w:r w:rsidRPr="002A1AEC">
              <w:rPr>
                <w:lang w:val="fr-FR"/>
              </w:rPr>
              <w:t>Reçue le 12</w:t>
            </w:r>
            <w:r w:rsidR="00545DFA">
              <w:rPr>
                <w:lang w:val="fr-FR"/>
              </w:rPr>
              <w:t> </w:t>
            </w:r>
            <w:r w:rsidRPr="002A1AEC">
              <w:rPr>
                <w:lang w:val="fr-FR"/>
              </w:rPr>
              <w:t>août 2016 (</w:t>
            </w:r>
            <w:r>
              <w:rPr>
                <w:lang w:val="fr-FR"/>
              </w:rPr>
              <w:t>voir</w:t>
            </w:r>
            <w:r w:rsidRPr="002A1AEC">
              <w:rPr>
                <w:lang w:val="fr-FR"/>
              </w:rPr>
              <w:t xml:space="preserve"> CRPD/C/16/3)</w:t>
            </w:r>
          </w:p>
        </w:tc>
      </w:tr>
      <w:tr w:rsidR="00C91769" w:rsidRPr="002A1AEC" w:rsidTr="00935331">
        <w:tc>
          <w:tcPr>
            <w:tcW w:w="3122"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Commentaires des auteurs (quatrième série)</w:t>
            </w:r>
            <w:r w:rsidR="00545DFA">
              <w:rPr>
                <w:lang w:val="fr-FR"/>
              </w:rPr>
              <w:t> </w:t>
            </w:r>
            <w:r w:rsidRPr="002A1AEC">
              <w:rPr>
                <w:lang w:val="fr-FR"/>
              </w:rPr>
              <w:t>:</w:t>
            </w:r>
          </w:p>
        </w:tc>
        <w:tc>
          <w:tcPr>
            <w:tcW w:w="4248" w:type="dxa"/>
            <w:shd w:val="clear" w:color="auto" w:fill="auto"/>
          </w:tcPr>
          <w:p w:rsidR="00C91769" w:rsidRPr="002A1AEC" w:rsidRDefault="00C91769" w:rsidP="00545DFA">
            <w:pPr>
              <w:pStyle w:val="SingleTxtG"/>
              <w:suppressAutoHyphens w:val="0"/>
              <w:spacing w:before="40" w:line="220" w:lineRule="exact"/>
              <w:ind w:left="0" w:right="113"/>
              <w:jc w:val="left"/>
              <w:rPr>
                <w:lang w:val="fr-FR"/>
              </w:rPr>
            </w:pPr>
            <w:r w:rsidRPr="002A1AEC">
              <w:rPr>
                <w:lang w:val="fr-FR"/>
              </w:rPr>
              <w:t>17</w:t>
            </w:r>
            <w:r w:rsidR="00545DFA">
              <w:rPr>
                <w:lang w:val="fr-FR"/>
              </w:rPr>
              <w:t> </w:t>
            </w:r>
            <w:r w:rsidRPr="002A1AEC">
              <w:rPr>
                <w:lang w:val="fr-FR"/>
              </w:rPr>
              <w:t>août 2016 (</w:t>
            </w:r>
            <w:r>
              <w:rPr>
                <w:lang w:val="fr-FR"/>
              </w:rPr>
              <w:t>voir</w:t>
            </w:r>
            <w:r w:rsidRPr="002A1AEC">
              <w:rPr>
                <w:lang w:val="fr-FR"/>
              </w:rPr>
              <w:t xml:space="preserve"> CRPD/C/16/3)</w:t>
            </w:r>
          </w:p>
        </w:tc>
      </w:tr>
      <w:tr w:rsidR="00C91769" w:rsidRPr="002A1AEC" w:rsidTr="00935331">
        <w:tc>
          <w:tcPr>
            <w:tcW w:w="3122"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Mesures prises</w:t>
            </w:r>
            <w:r w:rsidR="00545DFA">
              <w:rPr>
                <w:lang w:val="fr-FR"/>
              </w:rPr>
              <w:t> </w:t>
            </w:r>
            <w:r w:rsidRPr="002A1AEC">
              <w:rPr>
                <w:lang w:val="fr-FR"/>
              </w:rPr>
              <w:t xml:space="preserve">: </w:t>
            </w:r>
          </w:p>
        </w:tc>
        <w:tc>
          <w:tcPr>
            <w:tcW w:w="4248" w:type="dxa"/>
            <w:shd w:val="clear" w:color="auto" w:fill="auto"/>
          </w:tcPr>
          <w:p w:rsidR="00C91769" w:rsidRPr="002A1AEC" w:rsidRDefault="00C91769" w:rsidP="008B46E8">
            <w:pPr>
              <w:pStyle w:val="SingleTxtG"/>
              <w:suppressAutoHyphens w:val="0"/>
              <w:spacing w:before="40" w:line="220" w:lineRule="exact"/>
              <w:ind w:left="0" w:right="113"/>
              <w:jc w:val="left"/>
              <w:rPr>
                <w:lang w:val="fr-FR"/>
              </w:rPr>
            </w:pPr>
            <w:r w:rsidRPr="002A1AEC">
              <w:rPr>
                <w:lang w:val="fr-FR"/>
              </w:rPr>
              <w:t>Lettre de suivi ad</w:t>
            </w:r>
            <w:r>
              <w:rPr>
                <w:lang w:val="fr-FR"/>
              </w:rPr>
              <w:t>ressée à l</w:t>
            </w:r>
            <w:r w:rsidR="0081542E">
              <w:rPr>
                <w:lang w:val="fr-FR"/>
              </w:rPr>
              <w:t>’</w:t>
            </w:r>
            <w:r>
              <w:rPr>
                <w:lang w:val="fr-FR"/>
              </w:rPr>
              <w:t>État partie le 18 </w:t>
            </w:r>
            <w:r w:rsidRPr="002A1AEC">
              <w:rPr>
                <w:lang w:val="fr-FR"/>
              </w:rPr>
              <w:t>novembre 2016 (voir CRPD/C/17).</w:t>
            </w:r>
          </w:p>
        </w:tc>
      </w:tr>
      <w:tr w:rsidR="00C91769" w:rsidRPr="002A1AEC" w:rsidTr="00935331">
        <w:tc>
          <w:tcPr>
            <w:tcW w:w="3122"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Cinquième réponse de l</w:t>
            </w:r>
            <w:r w:rsidR="0081542E">
              <w:rPr>
                <w:lang w:val="fr-FR"/>
              </w:rPr>
              <w:t>’</w:t>
            </w:r>
            <w:r w:rsidRPr="002A1AEC">
              <w:rPr>
                <w:lang w:val="fr-FR"/>
              </w:rPr>
              <w:t>État partie</w:t>
            </w:r>
            <w:r w:rsidR="00545DFA">
              <w:rPr>
                <w:lang w:val="fr-FR"/>
              </w:rPr>
              <w:t> </w:t>
            </w:r>
            <w:r w:rsidRPr="002A1AEC">
              <w:rPr>
                <w:lang w:val="fr-FR"/>
              </w:rPr>
              <w:t>:</w:t>
            </w:r>
          </w:p>
        </w:tc>
        <w:tc>
          <w:tcPr>
            <w:tcW w:w="4248" w:type="dxa"/>
            <w:shd w:val="clear" w:color="auto" w:fill="auto"/>
          </w:tcPr>
          <w:p w:rsidR="00C91769" w:rsidRPr="002A1AEC" w:rsidRDefault="00C91769" w:rsidP="00545DFA">
            <w:pPr>
              <w:pStyle w:val="SingleTxtG"/>
              <w:suppressAutoHyphens w:val="0"/>
              <w:spacing w:before="40" w:line="220" w:lineRule="exact"/>
              <w:ind w:left="0" w:right="113"/>
              <w:jc w:val="left"/>
              <w:rPr>
                <w:lang w:val="fr-FR"/>
              </w:rPr>
            </w:pPr>
            <w:r w:rsidRPr="002A1AEC">
              <w:rPr>
                <w:lang w:val="fr-FR"/>
              </w:rPr>
              <w:t>Reçue le 17</w:t>
            </w:r>
            <w:r w:rsidR="00545DFA">
              <w:rPr>
                <w:lang w:val="fr-FR"/>
              </w:rPr>
              <w:t> </w:t>
            </w:r>
            <w:r w:rsidRPr="002A1AEC">
              <w:rPr>
                <w:lang w:val="fr-FR"/>
              </w:rPr>
              <w:t>janvier 2017 (</w:t>
            </w:r>
            <w:r>
              <w:rPr>
                <w:lang w:val="fr-FR"/>
              </w:rPr>
              <w:t>voir</w:t>
            </w:r>
            <w:r w:rsidRPr="002A1AEC">
              <w:rPr>
                <w:lang w:val="fr-FR"/>
              </w:rPr>
              <w:t xml:space="preserve"> CRPD/C/17/3).</w:t>
            </w:r>
          </w:p>
        </w:tc>
      </w:tr>
      <w:tr w:rsidR="00C91769" w:rsidRPr="002A1AEC" w:rsidTr="00935331">
        <w:tc>
          <w:tcPr>
            <w:tcW w:w="3122"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Commentaires des auteurs (cinquième série)</w:t>
            </w:r>
            <w:r w:rsidR="00545DFA">
              <w:rPr>
                <w:lang w:val="fr-FR"/>
              </w:rPr>
              <w:t> </w:t>
            </w:r>
            <w:r w:rsidRPr="002A1AEC">
              <w:rPr>
                <w:lang w:val="fr-FR"/>
              </w:rPr>
              <w:t>:</w:t>
            </w:r>
          </w:p>
        </w:tc>
        <w:tc>
          <w:tcPr>
            <w:tcW w:w="4248" w:type="dxa"/>
            <w:shd w:val="clear" w:color="auto" w:fill="auto"/>
          </w:tcPr>
          <w:p w:rsidR="00C91769" w:rsidRPr="002A1AEC" w:rsidRDefault="00C91769" w:rsidP="00545DFA">
            <w:pPr>
              <w:pStyle w:val="SingleTxtG"/>
              <w:suppressAutoHyphens w:val="0"/>
              <w:spacing w:before="40" w:line="220" w:lineRule="exact"/>
              <w:ind w:left="0" w:right="113"/>
              <w:jc w:val="left"/>
              <w:rPr>
                <w:lang w:val="fr-FR"/>
              </w:rPr>
            </w:pPr>
            <w:r>
              <w:rPr>
                <w:lang w:val="fr-FR"/>
              </w:rPr>
              <w:t>Reçus le</w:t>
            </w:r>
            <w:r w:rsidRPr="002A1AEC">
              <w:rPr>
                <w:lang w:val="fr-FR"/>
              </w:rPr>
              <w:t xml:space="preserve"> 10</w:t>
            </w:r>
            <w:r w:rsidR="00545DFA">
              <w:rPr>
                <w:lang w:val="fr-FR"/>
              </w:rPr>
              <w:t> </w:t>
            </w:r>
            <w:r w:rsidRPr="002A1AEC">
              <w:rPr>
                <w:lang w:val="fr-FR"/>
              </w:rPr>
              <w:t>mars 2017 (voir CRPD/C/17/3).</w:t>
            </w:r>
          </w:p>
        </w:tc>
      </w:tr>
      <w:tr w:rsidR="00C91769" w:rsidRPr="002A1AEC" w:rsidTr="00935331">
        <w:tc>
          <w:tcPr>
            <w:tcW w:w="3122"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Pr>
                <w:lang w:val="fr-FR"/>
              </w:rPr>
              <w:t xml:space="preserve">Rencontre à huis clos entre </w:t>
            </w:r>
            <w:r w:rsidR="0081542E">
              <w:rPr>
                <w:lang w:val="fr-FR"/>
              </w:rPr>
              <w:br/>
            </w:r>
            <w:r w:rsidRPr="00D06A27">
              <w:rPr>
                <w:lang w:val="fr-FR"/>
              </w:rPr>
              <w:t>le Rapporteur</w:t>
            </w:r>
            <w:r>
              <w:rPr>
                <w:lang w:val="fr-FR"/>
              </w:rPr>
              <w:t xml:space="preserve"> et l</w:t>
            </w:r>
            <w:r w:rsidR="0081542E">
              <w:rPr>
                <w:lang w:val="fr-FR"/>
              </w:rPr>
              <w:t>’</w:t>
            </w:r>
            <w:r>
              <w:rPr>
                <w:lang w:val="fr-FR"/>
              </w:rPr>
              <w:t>État partie</w:t>
            </w:r>
            <w:r w:rsidR="00545DFA">
              <w:rPr>
                <w:lang w:val="fr-FR"/>
              </w:rPr>
              <w:t> </w:t>
            </w:r>
            <w:r w:rsidRPr="002A1AEC">
              <w:rPr>
                <w:lang w:val="fr-FR"/>
              </w:rPr>
              <w:t>:</w:t>
            </w:r>
          </w:p>
        </w:tc>
        <w:tc>
          <w:tcPr>
            <w:tcW w:w="4248" w:type="dxa"/>
            <w:shd w:val="clear" w:color="auto" w:fill="auto"/>
          </w:tcPr>
          <w:p w:rsidR="00C91769" w:rsidRPr="002A1AEC" w:rsidRDefault="00C91769" w:rsidP="00215E5A">
            <w:pPr>
              <w:pStyle w:val="SingleTxtG"/>
              <w:suppressAutoHyphens w:val="0"/>
              <w:spacing w:before="40" w:line="220" w:lineRule="exact"/>
              <w:ind w:left="0" w:right="113"/>
              <w:rPr>
                <w:lang w:val="fr-FR"/>
              </w:rPr>
            </w:pPr>
            <w:r w:rsidRPr="002A1AEC">
              <w:rPr>
                <w:lang w:val="fr-FR"/>
              </w:rPr>
              <w:t>6</w:t>
            </w:r>
            <w:r w:rsidR="00215E5A">
              <w:rPr>
                <w:lang w:val="fr-FR"/>
              </w:rPr>
              <w:t> </w:t>
            </w:r>
            <w:r w:rsidRPr="002A1AEC">
              <w:rPr>
                <w:lang w:val="fr-FR"/>
              </w:rPr>
              <w:t>avril 2017</w:t>
            </w:r>
          </w:p>
        </w:tc>
      </w:tr>
      <w:tr w:rsidR="00C91769" w:rsidRPr="002A1AEC" w:rsidTr="00935331">
        <w:tc>
          <w:tcPr>
            <w:tcW w:w="3122" w:type="dxa"/>
            <w:tcBorders>
              <w:bottom w:val="nil"/>
            </w:tcBorders>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Décision adoptée à la dix-septième session</w:t>
            </w:r>
            <w:r w:rsidR="00545DFA">
              <w:rPr>
                <w:lang w:val="fr-FR"/>
              </w:rPr>
              <w:t> </w:t>
            </w:r>
            <w:r w:rsidRPr="002A1AEC">
              <w:rPr>
                <w:lang w:val="fr-FR"/>
              </w:rPr>
              <w:t>:</w:t>
            </w:r>
          </w:p>
        </w:tc>
        <w:tc>
          <w:tcPr>
            <w:tcW w:w="4248" w:type="dxa"/>
            <w:tcBorders>
              <w:bottom w:val="nil"/>
            </w:tcBorders>
            <w:shd w:val="clear" w:color="auto" w:fill="auto"/>
          </w:tcPr>
          <w:p w:rsidR="00C91769" w:rsidRPr="002A1AEC" w:rsidRDefault="00C91769" w:rsidP="0081542E">
            <w:pPr>
              <w:pStyle w:val="SingleTxtG"/>
              <w:suppressAutoHyphens w:val="0"/>
              <w:spacing w:before="40" w:line="220" w:lineRule="exact"/>
              <w:ind w:left="0" w:right="113"/>
              <w:rPr>
                <w:lang w:val="fr-FR"/>
              </w:rPr>
            </w:pPr>
            <w:r w:rsidRPr="002A1AEC">
              <w:rPr>
                <w:lang w:val="fr-FR"/>
              </w:rPr>
              <w:t>Critère d</w:t>
            </w:r>
            <w:r w:rsidR="0081542E">
              <w:rPr>
                <w:lang w:val="fr-FR"/>
              </w:rPr>
              <w:t>’</w:t>
            </w:r>
            <w:r w:rsidRPr="002A1AEC">
              <w:rPr>
                <w:lang w:val="fr-FR"/>
              </w:rPr>
              <w:t xml:space="preserve">évaluation </w:t>
            </w:r>
            <w:r w:rsidR="00215E5A">
              <w:rPr>
                <w:lang w:val="fr-FR"/>
              </w:rPr>
              <w:t>« </w:t>
            </w:r>
            <w:r w:rsidRPr="002A1AEC">
              <w:rPr>
                <w:lang w:val="fr-FR"/>
              </w:rPr>
              <w:t>D1</w:t>
            </w:r>
            <w:r w:rsidR="0081542E">
              <w:rPr>
                <w:lang w:val="fr-FR"/>
              </w:rPr>
              <w:t> »</w:t>
            </w:r>
            <w:r>
              <w:rPr>
                <w:lang w:val="fr-FR"/>
              </w:rPr>
              <w:t>. Poursuivre le dialogue au titre du suivi.</w:t>
            </w:r>
          </w:p>
        </w:tc>
      </w:tr>
      <w:tr w:rsidR="00215E5A" w:rsidRPr="002A1AEC" w:rsidTr="0081542E">
        <w:tc>
          <w:tcPr>
            <w:tcW w:w="3122" w:type="dxa"/>
            <w:tcBorders>
              <w:bottom w:val="nil"/>
            </w:tcBorders>
            <w:shd w:val="clear" w:color="auto" w:fill="auto"/>
          </w:tcPr>
          <w:p w:rsidR="00215E5A" w:rsidRPr="002A1AEC" w:rsidRDefault="00215E5A" w:rsidP="0081542E">
            <w:pPr>
              <w:pStyle w:val="SingleTxtG"/>
              <w:suppressAutoHyphens w:val="0"/>
              <w:spacing w:before="40" w:line="220" w:lineRule="exact"/>
              <w:ind w:left="0" w:right="113"/>
              <w:jc w:val="left"/>
              <w:rPr>
                <w:lang w:val="fr-FR"/>
              </w:rPr>
            </w:pPr>
            <w:r w:rsidRPr="002A1AEC">
              <w:rPr>
                <w:lang w:val="fr-FR"/>
              </w:rPr>
              <w:lastRenderedPageBreak/>
              <w:t>Mesures prises</w:t>
            </w:r>
            <w:r>
              <w:rPr>
                <w:lang w:val="fr-FR"/>
              </w:rPr>
              <w:t> </w:t>
            </w:r>
            <w:r w:rsidRPr="002A1AEC">
              <w:rPr>
                <w:lang w:val="fr-FR"/>
              </w:rPr>
              <w:t>:</w:t>
            </w:r>
          </w:p>
        </w:tc>
        <w:tc>
          <w:tcPr>
            <w:tcW w:w="4248" w:type="dxa"/>
            <w:tcBorders>
              <w:bottom w:val="nil"/>
            </w:tcBorders>
            <w:shd w:val="clear" w:color="auto" w:fill="auto"/>
          </w:tcPr>
          <w:p w:rsidR="00215E5A" w:rsidRPr="002A1AEC" w:rsidRDefault="00215E5A" w:rsidP="008B46E8">
            <w:pPr>
              <w:pStyle w:val="SingleTxtG"/>
              <w:suppressAutoHyphens w:val="0"/>
              <w:spacing w:before="40" w:line="220" w:lineRule="exact"/>
              <w:ind w:left="0" w:right="113"/>
              <w:rPr>
                <w:lang w:val="fr-FR"/>
              </w:rPr>
            </w:pPr>
            <w:r w:rsidRPr="002A1AEC">
              <w:rPr>
                <w:lang w:val="fr-FR"/>
              </w:rPr>
              <w:t xml:space="preserve">Lettre de suivi </w:t>
            </w:r>
            <w:r w:rsidRPr="00545DFA">
              <w:rPr>
                <w:lang w:val="fr-FR"/>
              </w:rPr>
              <w:t xml:space="preserve">du Rapporteur </w:t>
            </w:r>
            <w:r w:rsidRPr="002A1AEC">
              <w:rPr>
                <w:lang w:val="fr-FR"/>
              </w:rPr>
              <w:t>adressée à l</w:t>
            </w:r>
            <w:r w:rsidR="0081542E">
              <w:rPr>
                <w:lang w:val="fr-FR"/>
              </w:rPr>
              <w:t>’</w:t>
            </w:r>
            <w:r w:rsidRPr="002A1AEC">
              <w:rPr>
                <w:lang w:val="fr-FR"/>
              </w:rPr>
              <w:t>État partie le 23</w:t>
            </w:r>
            <w:r>
              <w:rPr>
                <w:lang w:val="fr-FR"/>
              </w:rPr>
              <w:t> </w:t>
            </w:r>
            <w:r w:rsidRPr="002A1AEC">
              <w:rPr>
                <w:lang w:val="fr-FR"/>
              </w:rPr>
              <w:t>novembre 2017 :</w:t>
            </w:r>
          </w:p>
        </w:tc>
      </w:tr>
      <w:tr w:rsidR="00215E5A" w:rsidRPr="002A1AEC" w:rsidTr="0081542E">
        <w:tc>
          <w:tcPr>
            <w:tcW w:w="3122" w:type="dxa"/>
            <w:tcBorders>
              <w:top w:val="nil"/>
              <w:bottom w:val="nil"/>
            </w:tcBorders>
            <w:shd w:val="clear" w:color="auto" w:fill="auto"/>
          </w:tcPr>
          <w:p w:rsidR="00215E5A" w:rsidRPr="002A1AEC" w:rsidRDefault="00215E5A" w:rsidP="00545DFA">
            <w:pPr>
              <w:pStyle w:val="SingleTxtG"/>
              <w:suppressAutoHyphens w:val="0"/>
              <w:spacing w:before="40" w:line="220" w:lineRule="exact"/>
              <w:ind w:left="0" w:right="113"/>
              <w:rPr>
                <w:lang w:val="fr-FR"/>
              </w:rPr>
            </w:pPr>
          </w:p>
        </w:tc>
        <w:tc>
          <w:tcPr>
            <w:tcW w:w="4248" w:type="dxa"/>
            <w:tcBorders>
              <w:top w:val="nil"/>
              <w:bottom w:val="nil"/>
            </w:tcBorders>
            <w:shd w:val="clear" w:color="auto" w:fill="auto"/>
          </w:tcPr>
          <w:p w:rsidR="00215E5A" w:rsidRPr="002A1AEC" w:rsidRDefault="00215E5A" w:rsidP="008B46E8">
            <w:pPr>
              <w:pStyle w:val="SingleTxtG"/>
              <w:suppressAutoHyphens w:val="0"/>
              <w:spacing w:before="40" w:line="220" w:lineRule="exact"/>
              <w:ind w:left="0" w:right="113"/>
              <w:rPr>
                <w:lang w:val="fr-FR"/>
              </w:rPr>
            </w:pPr>
            <w:r w:rsidRPr="002A1AEC">
              <w:rPr>
                <w:lang w:val="fr-FR"/>
              </w:rPr>
              <w:t>Le Comité a demandé à l</w:t>
            </w:r>
            <w:r w:rsidR="0081542E">
              <w:rPr>
                <w:lang w:val="fr-FR"/>
              </w:rPr>
              <w:t>’</w:t>
            </w:r>
            <w:r w:rsidRPr="002A1AEC">
              <w:rPr>
                <w:lang w:val="fr-FR"/>
              </w:rPr>
              <w:t xml:space="preserve">État partie de lui fournir des renseignements sur les mesures prises pour faire en sorte que la législation </w:t>
            </w:r>
            <w:r>
              <w:rPr>
                <w:lang w:val="fr-FR"/>
              </w:rPr>
              <w:t>concernant</w:t>
            </w:r>
            <w:r w:rsidRPr="002A1AEC">
              <w:rPr>
                <w:lang w:val="fr-FR"/>
              </w:rPr>
              <w:t xml:space="preserve"> la prise de décision assistée et le droit de vote soit pleinement conforme à la Convention et aux constatations du Comité.</w:t>
            </w:r>
          </w:p>
        </w:tc>
      </w:tr>
      <w:tr w:rsidR="00215E5A" w:rsidRPr="002A1AEC" w:rsidTr="00935331">
        <w:tc>
          <w:tcPr>
            <w:tcW w:w="3122" w:type="dxa"/>
            <w:tcBorders>
              <w:bottom w:val="nil"/>
            </w:tcBorders>
            <w:shd w:val="clear" w:color="auto" w:fill="auto"/>
          </w:tcPr>
          <w:p w:rsidR="00215E5A" w:rsidRPr="002A1AEC" w:rsidRDefault="00215E5A" w:rsidP="00545DFA">
            <w:pPr>
              <w:pStyle w:val="SingleTxtG"/>
              <w:suppressAutoHyphens w:val="0"/>
              <w:spacing w:before="40" w:line="220" w:lineRule="exact"/>
              <w:ind w:left="0" w:right="113"/>
              <w:rPr>
                <w:lang w:val="fr-FR"/>
              </w:rPr>
            </w:pPr>
          </w:p>
        </w:tc>
        <w:tc>
          <w:tcPr>
            <w:tcW w:w="4248" w:type="dxa"/>
            <w:tcBorders>
              <w:bottom w:val="nil"/>
            </w:tcBorders>
            <w:shd w:val="clear" w:color="auto" w:fill="auto"/>
          </w:tcPr>
          <w:p w:rsidR="00215E5A" w:rsidRPr="002A1AEC" w:rsidRDefault="00215E5A" w:rsidP="008B46E8">
            <w:pPr>
              <w:pStyle w:val="SingleTxtG"/>
              <w:suppressAutoHyphens w:val="0"/>
              <w:spacing w:before="40" w:line="220" w:lineRule="exact"/>
              <w:ind w:left="0" w:right="113"/>
              <w:rPr>
                <w:lang w:val="fr-FR"/>
              </w:rPr>
            </w:pPr>
            <w:r w:rsidRPr="002A1AEC">
              <w:rPr>
                <w:lang w:val="fr-FR"/>
              </w:rPr>
              <w:t>S</w:t>
            </w:r>
            <w:r w:rsidR="0081542E">
              <w:rPr>
                <w:lang w:val="fr-FR"/>
              </w:rPr>
              <w:t>’</w:t>
            </w:r>
            <w:r w:rsidRPr="002A1AEC">
              <w:rPr>
                <w:lang w:val="fr-FR"/>
              </w:rPr>
              <w:t>agissant de l</w:t>
            </w:r>
            <w:r w:rsidR="0081542E">
              <w:rPr>
                <w:lang w:val="fr-FR"/>
              </w:rPr>
              <w:t>’</w:t>
            </w:r>
            <w:r w:rsidRPr="002A1AEC">
              <w:rPr>
                <w:lang w:val="fr-FR"/>
              </w:rPr>
              <w:t xml:space="preserve">indemnisation des auteurs de la </w:t>
            </w:r>
            <w:r>
              <w:rPr>
                <w:lang w:val="fr-FR"/>
              </w:rPr>
              <w:t>plainte</w:t>
            </w:r>
            <w:r w:rsidRPr="002A1AEC">
              <w:rPr>
                <w:lang w:val="fr-FR"/>
              </w:rPr>
              <w:t>, le Comité a noté avec satisfaction que les frais de justice occasionnés par les procédures que ceux-ci avaient engagées leur avaient été remboursés. Cependant, il s</w:t>
            </w:r>
            <w:r w:rsidR="0081542E">
              <w:rPr>
                <w:lang w:val="fr-FR"/>
              </w:rPr>
              <w:t>’</w:t>
            </w:r>
            <w:r w:rsidRPr="002A1AEC">
              <w:rPr>
                <w:lang w:val="fr-FR"/>
              </w:rPr>
              <w:t>est dit préoccupé une nouvelle fois de ce que le reste de l</w:t>
            </w:r>
            <w:r w:rsidR="0081542E">
              <w:rPr>
                <w:lang w:val="fr-FR"/>
              </w:rPr>
              <w:t>’</w:t>
            </w:r>
            <w:r w:rsidRPr="002A1AEC">
              <w:rPr>
                <w:lang w:val="fr-FR"/>
              </w:rPr>
              <w:t>indemnisation qui leur avait été accordée par décret du gouvernement en juin 2015 ne leur avait toujours pas été versé en avril 2017.</w:t>
            </w:r>
          </w:p>
        </w:tc>
      </w:tr>
      <w:tr w:rsidR="00215E5A" w:rsidRPr="002A1AEC" w:rsidTr="00935331">
        <w:tc>
          <w:tcPr>
            <w:tcW w:w="3122" w:type="dxa"/>
            <w:tcBorders>
              <w:bottom w:val="nil"/>
            </w:tcBorders>
            <w:shd w:val="clear" w:color="auto" w:fill="auto"/>
          </w:tcPr>
          <w:p w:rsidR="00215E5A" w:rsidRPr="002A1AEC" w:rsidRDefault="00215E5A" w:rsidP="00545DFA">
            <w:pPr>
              <w:pStyle w:val="SingleTxtG"/>
              <w:suppressAutoHyphens w:val="0"/>
              <w:spacing w:before="40" w:line="220" w:lineRule="exact"/>
              <w:ind w:left="0" w:right="113"/>
              <w:rPr>
                <w:lang w:val="fr-FR"/>
              </w:rPr>
            </w:pPr>
          </w:p>
        </w:tc>
        <w:tc>
          <w:tcPr>
            <w:tcW w:w="4248" w:type="dxa"/>
            <w:tcBorders>
              <w:bottom w:val="nil"/>
            </w:tcBorders>
            <w:shd w:val="clear" w:color="auto" w:fill="auto"/>
          </w:tcPr>
          <w:p w:rsidR="00215E5A" w:rsidRPr="002A1AEC" w:rsidRDefault="00215E5A" w:rsidP="008B46E8">
            <w:pPr>
              <w:pStyle w:val="SingleTxtG"/>
              <w:suppressAutoHyphens w:val="0"/>
              <w:spacing w:before="40" w:line="220" w:lineRule="exact"/>
              <w:ind w:left="0" w:right="113"/>
              <w:rPr>
                <w:lang w:val="fr-FR"/>
              </w:rPr>
            </w:pPr>
            <w:r w:rsidRPr="002A1AEC">
              <w:rPr>
                <w:lang w:val="fr-FR"/>
              </w:rPr>
              <w:t>Le Comité s</w:t>
            </w:r>
            <w:r w:rsidR="0081542E">
              <w:rPr>
                <w:lang w:val="fr-FR"/>
              </w:rPr>
              <w:t>’</w:t>
            </w:r>
            <w:r w:rsidRPr="002A1AEC">
              <w:rPr>
                <w:lang w:val="fr-FR"/>
              </w:rPr>
              <w:t>est dit préoccupé de ce que, selon les informations fournies, le Ministère des ressources humaines avait statué qu</w:t>
            </w:r>
            <w:r w:rsidR="0081542E">
              <w:rPr>
                <w:lang w:val="fr-FR"/>
              </w:rPr>
              <w:t>’</w:t>
            </w:r>
            <w:r w:rsidRPr="002A1AEC">
              <w:rPr>
                <w:lang w:val="fr-FR"/>
              </w:rPr>
              <w:t>il ne reconnaîtrait les représentants juridiques des auteurs que pour la procédure engagée devant le Comité, mais que les auteurs devraient être représentés par leurs tuteurs légaux pour toutes les procédures engagées auprès des autorités nationales. Le Comité a par conséquent demandé une nouvelle fois à l</w:t>
            </w:r>
            <w:r w:rsidR="0081542E">
              <w:rPr>
                <w:lang w:val="fr-FR"/>
              </w:rPr>
              <w:t>’</w:t>
            </w:r>
            <w:r w:rsidRPr="002A1AEC">
              <w:rPr>
                <w:lang w:val="fr-FR"/>
              </w:rPr>
              <w:t xml:space="preserve">État partie de lui fournir des renseignements sur les progrès accomplis dans le versement des indemnités fixées en juin 2015, et </w:t>
            </w:r>
            <w:r>
              <w:rPr>
                <w:lang w:val="fr-FR"/>
              </w:rPr>
              <w:t xml:space="preserve">sur </w:t>
            </w:r>
            <w:r w:rsidRPr="002A1AEC">
              <w:rPr>
                <w:lang w:val="fr-FR"/>
              </w:rPr>
              <w:t>les mesures prises pour garantir que les indemnités versées puissent être administrées par les auteurs selon leur volonté et conformément à leurs décisions.</w:t>
            </w:r>
          </w:p>
        </w:tc>
      </w:tr>
      <w:tr w:rsidR="00741757" w:rsidRPr="002A1AEC" w:rsidTr="00935331">
        <w:tc>
          <w:tcPr>
            <w:tcW w:w="3122" w:type="dxa"/>
            <w:tcBorders>
              <w:top w:val="nil"/>
            </w:tcBorders>
            <w:shd w:val="clear" w:color="auto" w:fill="auto"/>
          </w:tcPr>
          <w:p w:rsidR="00741757" w:rsidRPr="002A1AEC" w:rsidRDefault="00741757" w:rsidP="008B46E8">
            <w:pPr>
              <w:pStyle w:val="SingleTxtG"/>
              <w:suppressAutoHyphens w:val="0"/>
              <w:spacing w:before="40" w:line="220" w:lineRule="exact"/>
              <w:ind w:left="0" w:right="113"/>
              <w:rPr>
                <w:lang w:val="fr-FR"/>
              </w:rPr>
            </w:pPr>
          </w:p>
        </w:tc>
        <w:tc>
          <w:tcPr>
            <w:tcW w:w="4248" w:type="dxa"/>
            <w:tcBorders>
              <w:top w:val="nil"/>
            </w:tcBorders>
            <w:shd w:val="clear" w:color="auto" w:fill="auto"/>
          </w:tcPr>
          <w:p w:rsidR="00741757" w:rsidRPr="002A1AEC" w:rsidRDefault="00741757" w:rsidP="008B46E8">
            <w:pPr>
              <w:pStyle w:val="SingleTxtG"/>
              <w:suppressAutoHyphens w:val="0"/>
              <w:spacing w:before="40" w:line="220" w:lineRule="exact"/>
              <w:ind w:left="0" w:right="113"/>
              <w:rPr>
                <w:lang w:val="fr-FR"/>
              </w:rPr>
            </w:pPr>
            <w:r w:rsidRPr="002A1AEC">
              <w:rPr>
                <w:lang w:val="fr-FR"/>
              </w:rPr>
              <w:t>Délai fixé pour la réponse</w:t>
            </w:r>
            <w:r>
              <w:rPr>
                <w:lang w:val="fr-FR"/>
              </w:rPr>
              <w:t> </w:t>
            </w:r>
            <w:r w:rsidRPr="002A1AEC">
              <w:rPr>
                <w:lang w:val="fr-FR"/>
              </w:rPr>
              <w:t>: 23</w:t>
            </w:r>
            <w:r>
              <w:rPr>
                <w:lang w:val="fr-FR"/>
              </w:rPr>
              <w:t> </w:t>
            </w:r>
            <w:r w:rsidRPr="002A1AEC">
              <w:rPr>
                <w:lang w:val="fr-FR"/>
              </w:rPr>
              <w:t>janvier 2018.</w:t>
            </w:r>
          </w:p>
        </w:tc>
      </w:tr>
      <w:tr w:rsidR="00C91769" w:rsidRPr="002A1AEC" w:rsidTr="00935331">
        <w:tc>
          <w:tcPr>
            <w:tcW w:w="3122" w:type="dxa"/>
            <w:tcBorders>
              <w:top w:val="nil"/>
            </w:tcBorders>
            <w:shd w:val="clear" w:color="auto" w:fill="auto"/>
          </w:tcPr>
          <w:p w:rsidR="00C91769" w:rsidRPr="002A1AEC" w:rsidRDefault="00215E5A" w:rsidP="008B46E8">
            <w:pPr>
              <w:pStyle w:val="SingleTxtG"/>
              <w:suppressAutoHyphens w:val="0"/>
              <w:spacing w:before="40" w:line="220" w:lineRule="exact"/>
              <w:ind w:left="0" w:right="113"/>
              <w:rPr>
                <w:lang w:val="fr-FR"/>
              </w:rPr>
            </w:pPr>
            <w:r w:rsidRPr="002A1AEC">
              <w:rPr>
                <w:lang w:val="fr-FR"/>
              </w:rPr>
              <w:t>Décision</w:t>
            </w:r>
            <w:r>
              <w:rPr>
                <w:lang w:val="fr-FR"/>
              </w:rPr>
              <w:t> </w:t>
            </w:r>
            <w:r w:rsidRPr="002A1AEC">
              <w:rPr>
                <w:lang w:val="fr-FR"/>
              </w:rPr>
              <w:t>:</w:t>
            </w:r>
          </w:p>
        </w:tc>
        <w:tc>
          <w:tcPr>
            <w:tcW w:w="4248" w:type="dxa"/>
            <w:tcBorders>
              <w:top w:val="nil"/>
            </w:tcBorders>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Un rappel sera adressé à l</w:t>
            </w:r>
            <w:r w:rsidR="0081542E">
              <w:rPr>
                <w:lang w:val="fr-FR"/>
              </w:rPr>
              <w:t>’</w:t>
            </w:r>
            <w:r w:rsidRPr="002A1AEC">
              <w:rPr>
                <w:lang w:val="fr-FR"/>
              </w:rPr>
              <w:t xml:space="preserve">État partie. Les mesures de suivi seront fixées à la prochaine session, </w:t>
            </w:r>
            <w:r>
              <w:rPr>
                <w:lang w:val="fr-FR"/>
              </w:rPr>
              <w:t>au vu</w:t>
            </w:r>
            <w:r w:rsidRPr="002A1AEC">
              <w:rPr>
                <w:lang w:val="fr-FR"/>
              </w:rPr>
              <w:t xml:space="preserve"> de la réponse de l</w:t>
            </w:r>
            <w:r w:rsidR="0081542E">
              <w:rPr>
                <w:lang w:val="fr-FR"/>
              </w:rPr>
              <w:t>’</w:t>
            </w:r>
            <w:r w:rsidRPr="002A1AEC">
              <w:rPr>
                <w:lang w:val="fr-FR"/>
              </w:rPr>
              <w:t xml:space="preserve">État partie et des commentaires des auteurs. </w:t>
            </w:r>
          </w:p>
        </w:tc>
      </w:tr>
    </w:tbl>
    <w:p w:rsidR="00C91769" w:rsidRPr="002A1AEC" w:rsidRDefault="00C91769" w:rsidP="00C91769">
      <w:pPr>
        <w:pStyle w:val="SingleTxtG"/>
        <w:rPr>
          <w:lang w:val="fr-FR"/>
        </w:rPr>
      </w:pP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122"/>
        <w:gridCol w:w="4248"/>
      </w:tblGrid>
      <w:tr w:rsidR="00C91769" w:rsidRPr="00215E5A" w:rsidTr="006603D6">
        <w:trPr>
          <w:trHeight w:val="240"/>
        </w:trPr>
        <w:tc>
          <w:tcPr>
            <w:tcW w:w="7370" w:type="dxa"/>
            <w:gridSpan w:val="2"/>
            <w:tcBorders>
              <w:top w:val="single" w:sz="4" w:space="0" w:color="auto"/>
              <w:bottom w:val="single" w:sz="12" w:space="0" w:color="auto"/>
            </w:tcBorders>
            <w:shd w:val="clear" w:color="auto" w:fill="auto"/>
            <w:vAlign w:val="bottom"/>
          </w:tcPr>
          <w:p w:rsidR="00C91769" w:rsidRPr="00215E5A" w:rsidRDefault="00C91769" w:rsidP="008B46E8">
            <w:pPr>
              <w:pStyle w:val="SingleTxtG"/>
              <w:suppressAutoHyphens w:val="0"/>
              <w:spacing w:before="80" w:after="80" w:line="200" w:lineRule="exact"/>
              <w:ind w:left="0" w:right="113"/>
              <w:rPr>
                <w:b/>
                <w:bCs/>
                <w:i/>
                <w:lang w:val="fr-FR"/>
              </w:rPr>
            </w:pPr>
            <w:r w:rsidRPr="00215E5A">
              <w:rPr>
                <w:b/>
                <w:bCs/>
                <w:iCs/>
                <w:lang w:val="fr-FR"/>
              </w:rPr>
              <w:t>5.</w:t>
            </w:r>
            <w:r w:rsidRPr="00215E5A">
              <w:rPr>
                <w:b/>
                <w:bCs/>
                <w:iCs/>
                <w:lang w:val="fr-FR"/>
              </w:rPr>
              <w:tab/>
              <w:t xml:space="preserve">Communication </w:t>
            </w:r>
            <w:r w:rsidR="00215E5A" w:rsidRPr="00215E5A">
              <w:rPr>
                <w:rFonts w:eastAsia="MS Mincho"/>
                <w:b/>
                <w:bCs/>
                <w:iCs/>
                <w:szCs w:val="22"/>
                <w:lang w:val="fr-FR"/>
              </w:rPr>
              <w:t>n</w:t>
            </w:r>
            <w:r w:rsidR="00215E5A" w:rsidRPr="00215E5A">
              <w:rPr>
                <w:rFonts w:eastAsia="MS Mincho"/>
                <w:b/>
                <w:bCs/>
                <w:iCs/>
                <w:szCs w:val="22"/>
                <w:vertAlign w:val="superscript"/>
                <w:lang w:val="fr-FR"/>
              </w:rPr>
              <w:t>o</w:t>
            </w:r>
            <w:r w:rsidR="00215E5A">
              <w:rPr>
                <w:b/>
                <w:bCs/>
                <w:iCs/>
                <w:lang w:val="fr-FR"/>
              </w:rPr>
              <w:t> </w:t>
            </w:r>
            <w:r w:rsidRPr="00215E5A">
              <w:rPr>
                <w:b/>
                <w:bCs/>
                <w:iCs/>
                <w:lang w:val="fr-FR"/>
              </w:rPr>
              <w:t>21/2014,</w:t>
            </w:r>
            <w:r w:rsidRPr="00215E5A">
              <w:rPr>
                <w:b/>
                <w:bCs/>
                <w:i/>
                <w:lang w:val="fr-FR"/>
              </w:rPr>
              <w:t xml:space="preserve"> F. </w:t>
            </w:r>
            <w:r w:rsidRPr="00215E5A">
              <w:rPr>
                <w:b/>
                <w:bCs/>
                <w:lang w:val="fr-FR"/>
              </w:rPr>
              <w:t>c</w:t>
            </w:r>
            <w:r w:rsidRPr="00215E5A">
              <w:rPr>
                <w:b/>
                <w:bCs/>
                <w:i/>
                <w:lang w:val="fr-FR"/>
              </w:rPr>
              <w:t>. Autriche</w:t>
            </w:r>
          </w:p>
        </w:tc>
      </w:tr>
      <w:tr w:rsidR="00C91769" w:rsidRPr="002A1AEC" w:rsidTr="006603D6">
        <w:trPr>
          <w:trHeight w:hRule="exact" w:val="113"/>
        </w:trPr>
        <w:tc>
          <w:tcPr>
            <w:tcW w:w="3122" w:type="dxa"/>
            <w:tcBorders>
              <w:top w:val="single" w:sz="12" w:space="0" w:color="auto"/>
            </w:tcBorders>
            <w:shd w:val="clear" w:color="auto" w:fill="auto"/>
          </w:tcPr>
          <w:p w:rsidR="00C91769" w:rsidRPr="002A1AEC" w:rsidRDefault="00C91769" w:rsidP="008B46E8">
            <w:pPr>
              <w:pStyle w:val="SingleTxtG"/>
              <w:suppressAutoHyphens w:val="0"/>
              <w:spacing w:before="40" w:line="220" w:lineRule="exact"/>
              <w:ind w:left="0" w:right="113"/>
              <w:rPr>
                <w:lang w:val="fr-FR"/>
              </w:rPr>
            </w:pPr>
          </w:p>
        </w:tc>
        <w:tc>
          <w:tcPr>
            <w:tcW w:w="4248" w:type="dxa"/>
            <w:tcBorders>
              <w:top w:val="single" w:sz="12" w:space="0" w:color="auto"/>
            </w:tcBorders>
            <w:shd w:val="clear" w:color="auto" w:fill="auto"/>
          </w:tcPr>
          <w:p w:rsidR="00C91769" w:rsidRPr="002A1AEC" w:rsidRDefault="00C91769" w:rsidP="008B46E8">
            <w:pPr>
              <w:pStyle w:val="SingleTxtG"/>
              <w:suppressAutoHyphens w:val="0"/>
              <w:spacing w:before="40" w:line="220" w:lineRule="exact"/>
              <w:ind w:left="0" w:right="113"/>
              <w:rPr>
                <w:lang w:val="fr-FR"/>
              </w:rPr>
            </w:pPr>
          </w:p>
        </w:tc>
      </w:tr>
      <w:tr w:rsidR="00C91769" w:rsidRPr="002A1AEC" w:rsidTr="00935331">
        <w:trPr>
          <w:trHeight w:val="240"/>
        </w:trPr>
        <w:tc>
          <w:tcPr>
            <w:tcW w:w="3122"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Adoption des constatations</w:t>
            </w:r>
            <w:r w:rsidR="00215E5A">
              <w:rPr>
                <w:lang w:val="fr-FR"/>
              </w:rPr>
              <w:t> </w:t>
            </w:r>
            <w:r w:rsidRPr="002A1AEC">
              <w:rPr>
                <w:lang w:val="fr-FR"/>
              </w:rPr>
              <w:t>:</w:t>
            </w:r>
          </w:p>
        </w:tc>
        <w:tc>
          <w:tcPr>
            <w:tcW w:w="4248" w:type="dxa"/>
            <w:shd w:val="clear" w:color="auto" w:fill="auto"/>
          </w:tcPr>
          <w:p w:rsidR="00C91769" w:rsidRPr="002A1AEC" w:rsidRDefault="00215E5A" w:rsidP="008B46E8">
            <w:pPr>
              <w:pStyle w:val="SingleTxtG"/>
              <w:suppressAutoHyphens w:val="0"/>
              <w:spacing w:before="40" w:line="220" w:lineRule="exact"/>
              <w:ind w:left="0" w:right="113"/>
              <w:rPr>
                <w:lang w:val="fr-FR"/>
              </w:rPr>
            </w:pPr>
            <w:r>
              <w:rPr>
                <w:lang w:val="fr-FR"/>
              </w:rPr>
              <w:t>21 </w:t>
            </w:r>
            <w:r w:rsidR="00C91769" w:rsidRPr="002A1AEC">
              <w:rPr>
                <w:lang w:val="fr-FR"/>
              </w:rPr>
              <w:t>août 2015</w:t>
            </w:r>
          </w:p>
        </w:tc>
      </w:tr>
      <w:tr w:rsidR="00C91769" w:rsidRPr="002A1AEC" w:rsidTr="00935331">
        <w:trPr>
          <w:trHeight w:val="240"/>
        </w:trPr>
        <w:tc>
          <w:tcPr>
            <w:tcW w:w="3122"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Date limite pour la première réponse de l</w:t>
            </w:r>
            <w:r w:rsidR="0081542E">
              <w:rPr>
                <w:lang w:val="fr-FR"/>
              </w:rPr>
              <w:t>’</w:t>
            </w:r>
            <w:r w:rsidRPr="002A1AEC">
              <w:rPr>
                <w:lang w:val="fr-FR"/>
              </w:rPr>
              <w:t>État partie</w:t>
            </w:r>
            <w:r w:rsidR="00215E5A">
              <w:rPr>
                <w:lang w:val="fr-FR"/>
              </w:rPr>
              <w:t> </w:t>
            </w:r>
            <w:r w:rsidRPr="002A1AEC">
              <w:rPr>
                <w:lang w:val="fr-FR"/>
              </w:rPr>
              <w:t>:</w:t>
            </w:r>
          </w:p>
        </w:tc>
        <w:tc>
          <w:tcPr>
            <w:tcW w:w="4248" w:type="dxa"/>
            <w:shd w:val="clear" w:color="auto" w:fill="auto"/>
          </w:tcPr>
          <w:p w:rsidR="00C91769" w:rsidRPr="002A1AEC" w:rsidRDefault="00215E5A" w:rsidP="008B46E8">
            <w:pPr>
              <w:pStyle w:val="SingleTxtG"/>
              <w:suppressAutoHyphens w:val="0"/>
              <w:spacing w:before="40" w:line="220" w:lineRule="exact"/>
              <w:ind w:left="0" w:right="113"/>
              <w:rPr>
                <w:lang w:val="fr-FR"/>
              </w:rPr>
            </w:pPr>
            <w:r>
              <w:rPr>
                <w:lang w:val="fr-FR"/>
              </w:rPr>
              <w:t>9 </w:t>
            </w:r>
            <w:r w:rsidR="00C91769" w:rsidRPr="002A1AEC">
              <w:rPr>
                <w:lang w:val="fr-FR"/>
              </w:rPr>
              <w:t>mars 2016</w:t>
            </w:r>
          </w:p>
        </w:tc>
      </w:tr>
      <w:tr w:rsidR="00C91769" w:rsidRPr="002A1AEC" w:rsidTr="00935331">
        <w:tblPrEx>
          <w:tblCellMar>
            <w:right w:w="0" w:type="dxa"/>
          </w:tblCellMar>
        </w:tblPrEx>
        <w:tc>
          <w:tcPr>
            <w:tcW w:w="3122"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Première réponse de l</w:t>
            </w:r>
            <w:r w:rsidR="0081542E">
              <w:rPr>
                <w:lang w:val="fr-FR"/>
              </w:rPr>
              <w:t>’</w:t>
            </w:r>
            <w:r w:rsidRPr="002A1AEC">
              <w:rPr>
                <w:lang w:val="fr-FR"/>
              </w:rPr>
              <w:t>État partie</w:t>
            </w:r>
            <w:r w:rsidR="00215E5A">
              <w:rPr>
                <w:lang w:val="fr-FR"/>
              </w:rPr>
              <w:t> </w:t>
            </w:r>
            <w:r w:rsidRPr="002A1AEC">
              <w:rPr>
                <w:lang w:val="fr-FR"/>
              </w:rPr>
              <w:t>:</w:t>
            </w:r>
          </w:p>
        </w:tc>
        <w:tc>
          <w:tcPr>
            <w:tcW w:w="4248" w:type="dxa"/>
            <w:shd w:val="clear" w:color="auto" w:fill="auto"/>
          </w:tcPr>
          <w:p w:rsidR="00C91769" w:rsidRPr="002A1AEC" w:rsidRDefault="00C91769" w:rsidP="00215E5A">
            <w:pPr>
              <w:pStyle w:val="SingleTxtG"/>
              <w:suppressAutoHyphens w:val="0"/>
              <w:spacing w:before="40" w:line="220" w:lineRule="exact"/>
              <w:ind w:left="0" w:right="113"/>
              <w:rPr>
                <w:lang w:val="fr-FR"/>
              </w:rPr>
            </w:pPr>
            <w:r w:rsidRPr="002A1AEC">
              <w:rPr>
                <w:lang w:val="fr-FR"/>
              </w:rPr>
              <w:t>Reçue le 24</w:t>
            </w:r>
            <w:r w:rsidR="00215E5A">
              <w:rPr>
                <w:lang w:val="fr-FR"/>
              </w:rPr>
              <w:t> </w:t>
            </w:r>
            <w:r w:rsidRPr="002A1AEC">
              <w:rPr>
                <w:lang w:val="fr-FR"/>
              </w:rPr>
              <w:t>février 2016 (voir CRPD/C/16/3)</w:t>
            </w:r>
          </w:p>
        </w:tc>
      </w:tr>
      <w:tr w:rsidR="00C91769" w:rsidRPr="002A1AEC" w:rsidTr="00935331">
        <w:tblPrEx>
          <w:tblCellMar>
            <w:right w:w="0" w:type="dxa"/>
          </w:tblCellMar>
        </w:tblPrEx>
        <w:tc>
          <w:tcPr>
            <w:tcW w:w="3122"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Commentaires de l</w:t>
            </w:r>
            <w:r w:rsidR="0081542E">
              <w:rPr>
                <w:lang w:val="fr-FR"/>
              </w:rPr>
              <w:t>’</w:t>
            </w:r>
            <w:r w:rsidRPr="002A1AEC">
              <w:rPr>
                <w:lang w:val="fr-FR"/>
              </w:rPr>
              <w:t xml:space="preserve">auteur </w:t>
            </w:r>
            <w:r w:rsidR="0081542E">
              <w:rPr>
                <w:lang w:val="fr-FR"/>
              </w:rPr>
              <w:br/>
            </w:r>
            <w:r w:rsidRPr="002A1AEC">
              <w:rPr>
                <w:lang w:val="fr-FR"/>
              </w:rPr>
              <w:t>(première série)</w:t>
            </w:r>
            <w:r w:rsidR="00215E5A">
              <w:rPr>
                <w:lang w:val="fr-FR"/>
              </w:rPr>
              <w:t> </w:t>
            </w:r>
            <w:r w:rsidRPr="002A1AEC">
              <w:rPr>
                <w:lang w:val="fr-FR"/>
              </w:rPr>
              <w:t xml:space="preserve">: </w:t>
            </w:r>
          </w:p>
        </w:tc>
        <w:tc>
          <w:tcPr>
            <w:tcW w:w="4248" w:type="dxa"/>
            <w:shd w:val="clear" w:color="auto" w:fill="auto"/>
          </w:tcPr>
          <w:p w:rsidR="00C91769" w:rsidRPr="002A1AEC" w:rsidRDefault="00C91769" w:rsidP="00215E5A">
            <w:pPr>
              <w:pStyle w:val="SingleTxtG"/>
              <w:suppressAutoHyphens w:val="0"/>
              <w:spacing w:before="40" w:line="220" w:lineRule="exact"/>
              <w:ind w:left="0" w:right="113"/>
              <w:rPr>
                <w:lang w:val="fr-FR"/>
              </w:rPr>
            </w:pPr>
            <w:r w:rsidRPr="002A1AEC">
              <w:rPr>
                <w:lang w:val="fr-FR"/>
              </w:rPr>
              <w:t>Reçus le 22</w:t>
            </w:r>
            <w:r w:rsidR="00215E5A">
              <w:rPr>
                <w:lang w:val="fr-FR"/>
              </w:rPr>
              <w:t> </w:t>
            </w:r>
            <w:r w:rsidRPr="002A1AEC">
              <w:rPr>
                <w:lang w:val="fr-FR"/>
              </w:rPr>
              <w:t>juin 2016 (voir CRPD/C/16/3)</w:t>
            </w:r>
          </w:p>
        </w:tc>
      </w:tr>
      <w:tr w:rsidR="00C91769" w:rsidRPr="002A1AEC" w:rsidTr="00935331">
        <w:tblPrEx>
          <w:tblCellMar>
            <w:right w:w="0" w:type="dxa"/>
          </w:tblCellMar>
        </w:tblPrEx>
        <w:tc>
          <w:tcPr>
            <w:tcW w:w="3122" w:type="dxa"/>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Mesures prises</w:t>
            </w:r>
            <w:r w:rsidR="00215E5A">
              <w:rPr>
                <w:lang w:val="fr-FR"/>
              </w:rPr>
              <w:t> </w:t>
            </w:r>
            <w:r w:rsidRPr="002A1AEC">
              <w:rPr>
                <w:lang w:val="fr-FR"/>
              </w:rPr>
              <w:t xml:space="preserve">: </w:t>
            </w:r>
          </w:p>
        </w:tc>
        <w:tc>
          <w:tcPr>
            <w:tcW w:w="4248" w:type="dxa"/>
            <w:shd w:val="clear" w:color="auto" w:fill="auto"/>
          </w:tcPr>
          <w:p w:rsidR="00C91769" w:rsidRPr="002A1AEC" w:rsidRDefault="00C91769" w:rsidP="00215E5A">
            <w:pPr>
              <w:pStyle w:val="SingleTxtG"/>
              <w:suppressAutoHyphens w:val="0"/>
              <w:spacing w:before="40" w:line="220" w:lineRule="exact"/>
              <w:ind w:left="0" w:right="113"/>
              <w:jc w:val="left"/>
              <w:rPr>
                <w:lang w:val="fr-FR"/>
              </w:rPr>
            </w:pPr>
            <w:r w:rsidRPr="002A1AEC">
              <w:rPr>
                <w:lang w:val="fr-FR"/>
              </w:rPr>
              <w:t>Le 5</w:t>
            </w:r>
            <w:r w:rsidR="00215E5A">
              <w:rPr>
                <w:lang w:val="fr-FR"/>
              </w:rPr>
              <w:t> </w:t>
            </w:r>
            <w:r w:rsidRPr="002A1AEC">
              <w:rPr>
                <w:lang w:val="fr-FR"/>
              </w:rPr>
              <w:t xml:space="preserve">décembre 2016, </w:t>
            </w:r>
            <w:r w:rsidRPr="006366E6">
              <w:rPr>
                <w:lang w:val="fr-FR"/>
              </w:rPr>
              <w:t>la Rapporteuse spéciale</w:t>
            </w:r>
            <w:r w:rsidRPr="002A1AEC">
              <w:rPr>
                <w:lang w:val="fr-FR"/>
              </w:rPr>
              <w:t xml:space="preserve"> a adressé une lettre de suivi à l</w:t>
            </w:r>
            <w:r w:rsidR="0081542E">
              <w:rPr>
                <w:lang w:val="fr-FR"/>
              </w:rPr>
              <w:t>’</w:t>
            </w:r>
            <w:r w:rsidRPr="002A1AEC">
              <w:rPr>
                <w:lang w:val="fr-FR"/>
              </w:rPr>
              <w:t>État partie (voir CRPD/C/17/3).</w:t>
            </w:r>
          </w:p>
        </w:tc>
      </w:tr>
      <w:tr w:rsidR="00C91769" w:rsidRPr="002A1AEC" w:rsidTr="006603D6">
        <w:tblPrEx>
          <w:tblCellMar>
            <w:right w:w="0" w:type="dxa"/>
          </w:tblCellMar>
        </w:tblPrEx>
        <w:tc>
          <w:tcPr>
            <w:tcW w:w="3122" w:type="dxa"/>
            <w:tcBorders>
              <w:bottom w:val="nil"/>
            </w:tcBorders>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Deuxième réponse de l</w:t>
            </w:r>
            <w:r w:rsidR="0081542E">
              <w:rPr>
                <w:lang w:val="fr-FR"/>
              </w:rPr>
              <w:t>’</w:t>
            </w:r>
            <w:r w:rsidRPr="002A1AEC">
              <w:rPr>
                <w:lang w:val="fr-FR"/>
              </w:rPr>
              <w:t>État partie</w:t>
            </w:r>
            <w:r w:rsidR="00215E5A">
              <w:rPr>
                <w:lang w:val="fr-FR"/>
              </w:rPr>
              <w:t> </w:t>
            </w:r>
            <w:r w:rsidRPr="002A1AEC">
              <w:rPr>
                <w:lang w:val="fr-FR"/>
              </w:rPr>
              <w:t>:</w:t>
            </w:r>
          </w:p>
        </w:tc>
        <w:tc>
          <w:tcPr>
            <w:tcW w:w="4248" w:type="dxa"/>
            <w:tcBorders>
              <w:bottom w:val="nil"/>
            </w:tcBorders>
            <w:shd w:val="clear" w:color="auto" w:fill="auto"/>
          </w:tcPr>
          <w:p w:rsidR="00C91769" w:rsidRPr="002A1AEC" w:rsidRDefault="00C91769" w:rsidP="004C3A66">
            <w:pPr>
              <w:pStyle w:val="SingleTxtG"/>
              <w:suppressAutoHyphens w:val="0"/>
              <w:spacing w:before="40" w:line="220" w:lineRule="exact"/>
              <w:ind w:left="0" w:right="113"/>
              <w:jc w:val="left"/>
              <w:rPr>
                <w:lang w:val="fr-FR"/>
              </w:rPr>
            </w:pPr>
            <w:r w:rsidRPr="002A1AEC">
              <w:rPr>
                <w:lang w:val="fr-FR"/>
              </w:rPr>
              <w:t>Reçue le 24</w:t>
            </w:r>
            <w:r w:rsidR="00215E5A">
              <w:rPr>
                <w:lang w:val="fr-FR"/>
              </w:rPr>
              <w:t> </w:t>
            </w:r>
            <w:r w:rsidRPr="002A1AEC">
              <w:rPr>
                <w:lang w:val="fr-FR"/>
              </w:rPr>
              <w:t>janvier 2017</w:t>
            </w:r>
            <w:r w:rsidR="004C3A66">
              <w:rPr>
                <w:lang w:val="fr-FR"/>
              </w:rPr>
              <w:t xml:space="preserve"> </w:t>
            </w:r>
            <w:r w:rsidRPr="002A1AEC">
              <w:rPr>
                <w:lang w:val="fr-FR"/>
              </w:rPr>
              <w:t>(voir CRPD/C/17/3).</w:t>
            </w:r>
          </w:p>
        </w:tc>
      </w:tr>
      <w:tr w:rsidR="00C91769" w:rsidRPr="002A1AEC" w:rsidTr="0081542E">
        <w:trPr>
          <w:trHeight w:val="240"/>
        </w:trPr>
        <w:tc>
          <w:tcPr>
            <w:tcW w:w="3122" w:type="dxa"/>
            <w:tcBorders>
              <w:top w:val="nil"/>
              <w:bottom w:val="nil"/>
            </w:tcBorders>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t>Mesures prises</w:t>
            </w:r>
            <w:r w:rsidR="00215E5A">
              <w:rPr>
                <w:lang w:val="fr-FR"/>
              </w:rPr>
              <w:t> :</w:t>
            </w:r>
          </w:p>
        </w:tc>
        <w:tc>
          <w:tcPr>
            <w:tcW w:w="4248" w:type="dxa"/>
            <w:tcBorders>
              <w:top w:val="nil"/>
              <w:bottom w:val="nil"/>
            </w:tcBorders>
            <w:shd w:val="clear" w:color="auto" w:fill="auto"/>
          </w:tcPr>
          <w:p w:rsidR="00C91769" w:rsidRPr="002A1AEC" w:rsidRDefault="00C91769" w:rsidP="00215E5A">
            <w:pPr>
              <w:pStyle w:val="SingleTxtG"/>
              <w:suppressAutoHyphens w:val="0"/>
              <w:spacing w:before="40" w:line="220" w:lineRule="exact"/>
              <w:ind w:left="0" w:right="113"/>
              <w:jc w:val="left"/>
              <w:rPr>
                <w:lang w:val="fr-FR"/>
              </w:rPr>
            </w:pPr>
            <w:r w:rsidRPr="002A1AEC">
              <w:rPr>
                <w:lang w:val="fr-FR"/>
              </w:rPr>
              <w:t>Les observations formulées par l</w:t>
            </w:r>
            <w:r w:rsidR="0081542E">
              <w:rPr>
                <w:lang w:val="fr-FR"/>
              </w:rPr>
              <w:t>’</w:t>
            </w:r>
            <w:r w:rsidRPr="002A1AEC">
              <w:rPr>
                <w:lang w:val="fr-FR"/>
              </w:rPr>
              <w:t>État partie dans le cadre du suivi ont été transmises à l</w:t>
            </w:r>
            <w:r w:rsidR="0081542E">
              <w:rPr>
                <w:lang w:val="fr-FR"/>
              </w:rPr>
              <w:t>’</w:t>
            </w:r>
            <w:r w:rsidRPr="002A1AEC">
              <w:rPr>
                <w:lang w:val="fr-FR"/>
              </w:rPr>
              <w:t>auteur et le délai pour répondre a été fixé au 13</w:t>
            </w:r>
            <w:r w:rsidR="00215E5A">
              <w:rPr>
                <w:lang w:val="fr-FR"/>
              </w:rPr>
              <w:t> </w:t>
            </w:r>
            <w:r w:rsidRPr="002A1AEC">
              <w:rPr>
                <w:lang w:val="fr-FR"/>
              </w:rPr>
              <w:t>avril 2017.</w:t>
            </w:r>
          </w:p>
        </w:tc>
      </w:tr>
      <w:tr w:rsidR="00C91769" w:rsidRPr="002A1AEC" w:rsidTr="0081542E">
        <w:tblPrEx>
          <w:tblCellMar>
            <w:right w:w="0" w:type="dxa"/>
          </w:tblCellMar>
        </w:tblPrEx>
        <w:tc>
          <w:tcPr>
            <w:tcW w:w="3122" w:type="dxa"/>
            <w:tcBorders>
              <w:top w:val="nil"/>
              <w:bottom w:val="nil"/>
            </w:tcBorders>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sidRPr="002A1AEC">
              <w:rPr>
                <w:lang w:val="fr-FR"/>
              </w:rPr>
              <w:lastRenderedPageBreak/>
              <w:t>Commentaires de l</w:t>
            </w:r>
            <w:r w:rsidR="0081542E">
              <w:rPr>
                <w:lang w:val="fr-FR"/>
              </w:rPr>
              <w:t>’</w:t>
            </w:r>
            <w:r w:rsidRPr="002A1AEC">
              <w:rPr>
                <w:lang w:val="fr-FR"/>
              </w:rPr>
              <w:t xml:space="preserve">auteur </w:t>
            </w:r>
            <w:r w:rsidR="0081542E">
              <w:rPr>
                <w:lang w:val="fr-FR"/>
              </w:rPr>
              <w:br/>
            </w:r>
            <w:r w:rsidRPr="002A1AEC">
              <w:rPr>
                <w:lang w:val="fr-FR"/>
              </w:rPr>
              <w:t>(deuxième série)</w:t>
            </w:r>
            <w:r w:rsidR="00215E5A">
              <w:rPr>
                <w:lang w:val="fr-FR"/>
              </w:rPr>
              <w:t> </w:t>
            </w:r>
            <w:r w:rsidRPr="002A1AEC">
              <w:rPr>
                <w:lang w:val="fr-FR"/>
              </w:rPr>
              <w:t>:</w:t>
            </w:r>
          </w:p>
        </w:tc>
        <w:tc>
          <w:tcPr>
            <w:tcW w:w="4248" w:type="dxa"/>
            <w:tcBorders>
              <w:top w:val="nil"/>
              <w:bottom w:val="nil"/>
            </w:tcBorders>
            <w:shd w:val="clear" w:color="auto" w:fill="auto"/>
          </w:tcPr>
          <w:p w:rsidR="00C91769" w:rsidRPr="002A1AEC" w:rsidRDefault="00C91769" w:rsidP="004C3A66">
            <w:pPr>
              <w:pStyle w:val="SingleTxtG"/>
              <w:suppressAutoHyphens w:val="0"/>
              <w:spacing w:before="40" w:line="220" w:lineRule="exact"/>
              <w:ind w:left="0" w:right="113"/>
              <w:jc w:val="left"/>
              <w:rPr>
                <w:lang w:val="fr-FR"/>
              </w:rPr>
            </w:pPr>
            <w:r w:rsidRPr="002A1AEC">
              <w:rPr>
                <w:lang w:val="fr-FR"/>
              </w:rPr>
              <w:t>Reçus le 27</w:t>
            </w:r>
            <w:r w:rsidR="00215E5A">
              <w:rPr>
                <w:lang w:val="fr-FR"/>
              </w:rPr>
              <w:t> </w:t>
            </w:r>
            <w:r w:rsidRPr="002A1AEC">
              <w:rPr>
                <w:lang w:val="fr-FR"/>
              </w:rPr>
              <w:t>janvier 2017</w:t>
            </w:r>
            <w:r w:rsidR="004C3A66">
              <w:rPr>
                <w:lang w:val="fr-FR"/>
              </w:rPr>
              <w:t xml:space="preserve"> </w:t>
            </w:r>
            <w:r w:rsidRPr="002A1AEC">
              <w:rPr>
                <w:lang w:val="fr-FR"/>
              </w:rPr>
              <w:t xml:space="preserve">(voir CRPD/C/17/3). </w:t>
            </w:r>
          </w:p>
        </w:tc>
      </w:tr>
      <w:tr w:rsidR="00C91769" w:rsidRPr="002A1AEC" w:rsidTr="0081542E">
        <w:tblPrEx>
          <w:tblCellMar>
            <w:right w:w="0" w:type="dxa"/>
          </w:tblCellMar>
        </w:tblPrEx>
        <w:tc>
          <w:tcPr>
            <w:tcW w:w="3122" w:type="dxa"/>
            <w:tcBorders>
              <w:top w:val="nil"/>
            </w:tcBorders>
            <w:shd w:val="clear" w:color="auto" w:fill="auto"/>
          </w:tcPr>
          <w:p w:rsidR="00C91769" w:rsidRPr="002A1AEC" w:rsidRDefault="00C91769" w:rsidP="0081542E">
            <w:pPr>
              <w:pStyle w:val="SingleTxtG"/>
              <w:suppressAutoHyphens w:val="0"/>
              <w:spacing w:before="40" w:line="220" w:lineRule="exact"/>
              <w:ind w:left="0" w:right="113"/>
              <w:jc w:val="left"/>
              <w:rPr>
                <w:lang w:val="fr-FR"/>
              </w:rPr>
            </w:pPr>
            <w:r>
              <w:rPr>
                <w:lang w:val="fr-FR"/>
              </w:rPr>
              <w:t>Décision</w:t>
            </w:r>
            <w:r w:rsidR="00215E5A">
              <w:rPr>
                <w:lang w:val="fr-FR"/>
              </w:rPr>
              <w:t> </w:t>
            </w:r>
            <w:r w:rsidRPr="002A1AEC">
              <w:rPr>
                <w:lang w:val="fr-FR"/>
              </w:rPr>
              <w:t>:</w:t>
            </w:r>
          </w:p>
        </w:tc>
        <w:tc>
          <w:tcPr>
            <w:tcW w:w="4248" w:type="dxa"/>
            <w:tcBorders>
              <w:top w:val="nil"/>
            </w:tcBorders>
            <w:shd w:val="clear" w:color="auto" w:fill="auto"/>
          </w:tcPr>
          <w:p w:rsidR="00C91769" w:rsidRPr="002A1AEC" w:rsidRDefault="00C91769" w:rsidP="008B46E8">
            <w:pPr>
              <w:pStyle w:val="SingleTxtG"/>
              <w:suppressAutoHyphens w:val="0"/>
              <w:spacing w:before="40" w:line="220" w:lineRule="exact"/>
              <w:ind w:left="0" w:right="113"/>
              <w:jc w:val="left"/>
              <w:rPr>
                <w:lang w:val="fr-FR"/>
              </w:rPr>
            </w:pPr>
            <w:r w:rsidRPr="002A1AEC">
              <w:rPr>
                <w:lang w:val="fr-FR"/>
              </w:rPr>
              <w:t>Poursuivre le dialogue au titre du suivi. Application du critère d</w:t>
            </w:r>
            <w:r w:rsidR="0081542E">
              <w:rPr>
                <w:lang w:val="fr-FR"/>
              </w:rPr>
              <w:t>’</w:t>
            </w:r>
            <w:r w:rsidRPr="002A1AEC">
              <w:rPr>
                <w:lang w:val="fr-FR"/>
              </w:rPr>
              <w:t>évaluation « B</w:t>
            </w:r>
            <w:r w:rsidR="0081542E">
              <w:rPr>
                <w:lang w:val="fr-FR"/>
              </w:rPr>
              <w:t>2</w:t>
            </w:r>
            <w:r w:rsidRPr="002A1AEC">
              <w:rPr>
                <w:lang w:val="fr-FR"/>
              </w:rPr>
              <w:t xml:space="preserve"> ». Une lettre de suivi sera envoyée par </w:t>
            </w:r>
            <w:r>
              <w:rPr>
                <w:lang w:val="fr-FR"/>
              </w:rPr>
              <w:t>le Rapporteur</w:t>
            </w:r>
            <w:r w:rsidRPr="002A1AEC">
              <w:rPr>
                <w:lang w:val="fr-FR"/>
              </w:rPr>
              <w:t xml:space="preserve">. </w:t>
            </w:r>
          </w:p>
        </w:tc>
      </w:tr>
      <w:tr w:rsidR="00C91769" w:rsidRPr="002A1AEC" w:rsidTr="008B46E8">
        <w:tblPrEx>
          <w:tblCellMar>
            <w:right w:w="0" w:type="dxa"/>
          </w:tblCellMar>
        </w:tblPrEx>
        <w:tc>
          <w:tcPr>
            <w:tcW w:w="7370" w:type="dxa"/>
            <w:gridSpan w:val="2"/>
            <w:tcBorders>
              <w:bottom w:val="nil"/>
            </w:tcBorders>
            <w:shd w:val="clear" w:color="auto" w:fill="auto"/>
          </w:tcPr>
          <w:p w:rsidR="00C91769" w:rsidRPr="002A1AEC" w:rsidRDefault="00C91769" w:rsidP="00E02131">
            <w:pPr>
              <w:pStyle w:val="SingleTxtG"/>
              <w:suppressAutoHyphens w:val="0"/>
              <w:spacing w:before="40" w:line="216" w:lineRule="exact"/>
              <w:ind w:left="0" w:right="113"/>
              <w:rPr>
                <w:lang w:val="fr-FR"/>
              </w:rPr>
            </w:pPr>
            <w:r w:rsidRPr="002A1AEC">
              <w:rPr>
                <w:lang w:val="fr-FR"/>
              </w:rPr>
              <w:t>Mesures prises</w:t>
            </w:r>
            <w:r w:rsidR="00215E5A">
              <w:rPr>
                <w:lang w:val="fr-FR"/>
              </w:rPr>
              <w:t> </w:t>
            </w:r>
            <w:r w:rsidRPr="002A1AEC">
              <w:rPr>
                <w:lang w:val="fr-FR"/>
              </w:rPr>
              <w:t xml:space="preserve">: </w:t>
            </w:r>
          </w:p>
        </w:tc>
      </w:tr>
      <w:tr w:rsidR="00215E5A" w:rsidRPr="002A1AEC" w:rsidTr="008B46E8">
        <w:tblPrEx>
          <w:tblCellMar>
            <w:right w:w="0" w:type="dxa"/>
          </w:tblCellMar>
        </w:tblPrEx>
        <w:tc>
          <w:tcPr>
            <w:tcW w:w="7370" w:type="dxa"/>
            <w:gridSpan w:val="2"/>
            <w:tcBorders>
              <w:bottom w:val="nil"/>
            </w:tcBorders>
            <w:shd w:val="clear" w:color="auto" w:fill="auto"/>
          </w:tcPr>
          <w:p w:rsidR="00215E5A" w:rsidRPr="002A1AEC" w:rsidRDefault="00215E5A" w:rsidP="00E02131">
            <w:pPr>
              <w:pStyle w:val="SingleTxtG"/>
              <w:suppressAutoHyphens w:val="0"/>
              <w:spacing w:before="40" w:line="216" w:lineRule="exact"/>
              <w:ind w:left="0" w:right="113"/>
              <w:rPr>
                <w:lang w:val="fr-FR"/>
              </w:rPr>
            </w:pPr>
            <w:r w:rsidRPr="002A1AEC">
              <w:rPr>
                <w:lang w:val="fr-FR"/>
              </w:rPr>
              <w:t>Le 21</w:t>
            </w:r>
            <w:r>
              <w:rPr>
                <w:lang w:val="fr-FR"/>
              </w:rPr>
              <w:t> </w:t>
            </w:r>
            <w:r w:rsidRPr="002A1AEC">
              <w:rPr>
                <w:lang w:val="fr-FR"/>
              </w:rPr>
              <w:t>novembre 2017, une lettre de suivi a été adressée à l</w:t>
            </w:r>
            <w:r w:rsidR="0081542E">
              <w:rPr>
                <w:lang w:val="fr-FR"/>
              </w:rPr>
              <w:t>’</w:t>
            </w:r>
            <w:r w:rsidRPr="002A1AEC">
              <w:rPr>
                <w:lang w:val="fr-FR"/>
              </w:rPr>
              <w:t>État partie.</w:t>
            </w:r>
          </w:p>
        </w:tc>
      </w:tr>
      <w:tr w:rsidR="006603D6" w:rsidRPr="002A1AEC" w:rsidTr="008B46E8">
        <w:tblPrEx>
          <w:tblCellMar>
            <w:right w:w="0" w:type="dxa"/>
          </w:tblCellMar>
        </w:tblPrEx>
        <w:tc>
          <w:tcPr>
            <w:tcW w:w="7370" w:type="dxa"/>
            <w:gridSpan w:val="2"/>
            <w:tcBorders>
              <w:bottom w:val="nil"/>
            </w:tcBorders>
            <w:shd w:val="clear" w:color="auto" w:fill="auto"/>
          </w:tcPr>
          <w:p w:rsidR="006603D6" w:rsidRPr="002A1AEC" w:rsidRDefault="006603D6" w:rsidP="00E02131">
            <w:pPr>
              <w:pStyle w:val="SingleTxtG"/>
              <w:suppressAutoHyphens w:val="0"/>
              <w:spacing w:before="40" w:line="216" w:lineRule="exact"/>
              <w:ind w:left="0" w:right="113"/>
              <w:rPr>
                <w:lang w:val="fr-FR"/>
              </w:rPr>
            </w:pPr>
            <w:r w:rsidRPr="002A1AEC">
              <w:rPr>
                <w:lang w:val="fr-FR"/>
              </w:rPr>
              <w:t>Le Comité a pris note de la collaboration de l</w:t>
            </w:r>
            <w:r w:rsidR="0081542E">
              <w:rPr>
                <w:lang w:val="fr-FR"/>
              </w:rPr>
              <w:t>’</w:t>
            </w:r>
            <w:r w:rsidRPr="002A1AEC">
              <w:rPr>
                <w:lang w:val="fr-FR"/>
              </w:rPr>
              <w:t>État partie, ainsi que des mesures prises par celui-ci pour donner suite à ses constatations.</w:t>
            </w:r>
          </w:p>
        </w:tc>
      </w:tr>
      <w:tr w:rsidR="006603D6" w:rsidRPr="002A1AEC" w:rsidTr="008B46E8">
        <w:tblPrEx>
          <w:tblCellMar>
            <w:right w:w="0" w:type="dxa"/>
          </w:tblCellMar>
        </w:tblPrEx>
        <w:tc>
          <w:tcPr>
            <w:tcW w:w="7370" w:type="dxa"/>
            <w:gridSpan w:val="2"/>
            <w:tcBorders>
              <w:bottom w:val="nil"/>
            </w:tcBorders>
            <w:shd w:val="clear" w:color="auto" w:fill="auto"/>
          </w:tcPr>
          <w:p w:rsidR="006603D6" w:rsidRPr="002A1AEC" w:rsidRDefault="006603D6" w:rsidP="00E02131">
            <w:pPr>
              <w:pStyle w:val="SingleTxtG"/>
              <w:suppressAutoHyphens w:val="0"/>
              <w:spacing w:before="40" w:line="216" w:lineRule="exact"/>
              <w:ind w:left="0" w:right="113"/>
              <w:rPr>
                <w:lang w:val="fr-FR"/>
              </w:rPr>
            </w:pPr>
            <w:r w:rsidRPr="002A1AEC">
              <w:rPr>
                <w:lang w:val="fr-FR"/>
              </w:rPr>
              <w:t>Il a noté avec satisfaction que l</w:t>
            </w:r>
            <w:r w:rsidR="0081542E">
              <w:rPr>
                <w:lang w:val="fr-FR"/>
              </w:rPr>
              <w:t>’</w:t>
            </w:r>
            <w:r w:rsidRPr="002A1AEC">
              <w:rPr>
                <w:lang w:val="fr-FR"/>
              </w:rPr>
              <w:t>État partie avait publié ses constatations en allemand sur les sites web de la Chancellerie fédérale et du Ministère fédéral du travail, des affaires sociales et de la protection des consommateurs sous une forme accessible aux personnes aveugles et malvoyantes. Il a également noté avec satisfaction que les sites en question permettaient d</w:t>
            </w:r>
            <w:r w:rsidR="0081542E">
              <w:rPr>
                <w:lang w:val="fr-FR"/>
              </w:rPr>
              <w:t>’</w:t>
            </w:r>
            <w:r w:rsidRPr="002A1AEC">
              <w:rPr>
                <w:lang w:val="fr-FR"/>
              </w:rPr>
              <w:t xml:space="preserve">accéder </w:t>
            </w:r>
            <w:r>
              <w:rPr>
                <w:lang w:val="fr-FR"/>
              </w:rPr>
              <w:t xml:space="preserve">directement </w:t>
            </w:r>
            <w:r w:rsidRPr="002A1AEC">
              <w:rPr>
                <w:lang w:val="fr-FR"/>
              </w:rPr>
              <w:t xml:space="preserve">au site </w:t>
            </w:r>
            <w:r w:rsidR="0081542E">
              <w:rPr>
                <w:lang w:val="fr-FR"/>
              </w:rPr>
              <w:t>W</w:t>
            </w:r>
            <w:r w:rsidRPr="002A1AEC">
              <w:rPr>
                <w:lang w:val="fr-FR"/>
              </w:rPr>
              <w:t>eb du Haut-Commissariat des Nations Unies aux droits de l</w:t>
            </w:r>
            <w:r w:rsidR="0081542E">
              <w:rPr>
                <w:lang w:val="fr-FR"/>
              </w:rPr>
              <w:t>’</w:t>
            </w:r>
            <w:r w:rsidRPr="002A1AEC">
              <w:rPr>
                <w:lang w:val="fr-FR"/>
              </w:rPr>
              <w:t>homme, sur lequel figuraient les constatations.</w:t>
            </w:r>
          </w:p>
        </w:tc>
      </w:tr>
      <w:tr w:rsidR="006603D6" w:rsidRPr="002A1AEC" w:rsidTr="008B46E8">
        <w:tblPrEx>
          <w:tblCellMar>
            <w:right w:w="0" w:type="dxa"/>
          </w:tblCellMar>
        </w:tblPrEx>
        <w:tc>
          <w:tcPr>
            <w:tcW w:w="7370" w:type="dxa"/>
            <w:gridSpan w:val="2"/>
            <w:tcBorders>
              <w:bottom w:val="nil"/>
            </w:tcBorders>
            <w:shd w:val="clear" w:color="auto" w:fill="auto"/>
          </w:tcPr>
          <w:p w:rsidR="006603D6" w:rsidRPr="002A1AEC" w:rsidRDefault="006603D6" w:rsidP="00E02131">
            <w:pPr>
              <w:pStyle w:val="SingleTxtG"/>
              <w:suppressAutoHyphens w:val="0"/>
              <w:spacing w:before="40" w:line="216" w:lineRule="exact"/>
              <w:ind w:left="0" w:right="113"/>
              <w:rPr>
                <w:lang w:val="fr-FR"/>
              </w:rPr>
            </w:pPr>
            <w:r w:rsidRPr="002A1AEC">
              <w:rPr>
                <w:lang w:val="fr-FR"/>
              </w:rPr>
              <w:t>Il a cependant estimé qu</w:t>
            </w:r>
            <w:r w:rsidR="0081542E">
              <w:rPr>
                <w:lang w:val="fr-FR"/>
              </w:rPr>
              <w:t>’</w:t>
            </w:r>
            <w:r w:rsidRPr="002A1AEC">
              <w:rPr>
                <w:lang w:val="fr-FR"/>
              </w:rPr>
              <w:t>il convenait de poursuivre le dialogue au titre du suivi sur les points ci-après.</w:t>
            </w:r>
          </w:p>
        </w:tc>
      </w:tr>
      <w:tr w:rsidR="006603D6" w:rsidRPr="002A1AEC" w:rsidTr="008B46E8">
        <w:tblPrEx>
          <w:tblCellMar>
            <w:right w:w="0" w:type="dxa"/>
          </w:tblCellMar>
        </w:tblPrEx>
        <w:tc>
          <w:tcPr>
            <w:tcW w:w="7370" w:type="dxa"/>
            <w:gridSpan w:val="2"/>
            <w:tcBorders>
              <w:bottom w:val="nil"/>
            </w:tcBorders>
            <w:shd w:val="clear" w:color="auto" w:fill="auto"/>
          </w:tcPr>
          <w:p w:rsidR="006603D6" w:rsidRPr="002A1AEC" w:rsidRDefault="006603D6" w:rsidP="00E02131">
            <w:pPr>
              <w:pStyle w:val="SingleTxtG"/>
              <w:suppressAutoHyphens w:val="0"/>
              <w:spacing w:before="40" w:line="216" w:lineRule="exact"/>
              <w:ind w:left="0" w:right="113"/>
              <w:rPr>
                <w:lang w:val="fr-FR"/>
              </w:rPr>
            </w:pPr>
            <w:r w:rsidRPr="002A1AEC">
              <w:rPr>
                <w:lang w:val="fr-FR"/>
              </w:rPr>
              <w:t>Le Comité a relevé que, par principe, l</w:t>
            </w:r>
            <w:r w:rsidR="0081542E">
              <w:rPr>
                <w:lang w:val="fr-FR"/>
              </w:rPr>
              <w:t>’</w:t>
            </w:r>
            <w:r w:rsidRPr="002A1AEC">
              <w:rPr>
                <w:lang w:val="fr-FR"/>
              </w:rPr>
              <w:t>État partie estimait qu</w:t>
            </w:r>
            <w:r w:rsidR="0081542E">
              <w:rPr>
                <w:lang w:val="fr-FR"/>
              </w:rPr>
              <w:t>’</w:t>
            </w:r>
            <w:r w:rsidRPr="002A1AEC">
              <w:rPr>
                <w:lang w:val="fr-FR"/>
              </w:rPr>
              <w:t>aucune indemnité ne pouvait être versée à l</w:t>
            </w:r>
            <w:r w:rsidR="0081542E">
              <w:rPr>
                <w:lang w:val="fr-FR"/>
              </w:rPr>
              <w:t>’</w:t>
            </w:r>
            <w:r w:rsidRPr="002A1AEC">
              <w:rPr>
                <w:lang w:val="fr-FR"/>
              </w:rPr>
              <w:t xml:space="preserve">auteur de la </w:t>
            </w:r>
            <w:r w:rsidRPr="00874CE4">
              <w:rPr>
                <w:lang w:val="fr-FR"/>
              </w:rPr>
              <w:t>plainte</w:t>
            </w:r>
            <w:r w:rsidRPr="002A1AEC">
              <w:rPr>
                <w:lang w:val="fr-FR"/>
              </w:rPr>
              <w:t xml:space="preserve"> au titre des frais de justice engagés dans la mesure où l</w:t>
            </w:r>
            <w:r w:rsidR="0081542E">
              <w:rPr>
                <w:lang w:val="fr-FR"/>
              </w:rPr>
              <w:t>’</w:t>
            </w:r>
            <w:r w:rsidRPr="002A1AEC">
              <w:rPr>
                <w:lang w:val="fr-FR"/>
              </w:rPr>
              <w:t>État partie n</w:t>
            </w:r>
            <w:r w:rsidR="0081542E">
              <w:rPr>
                <w:lang w:val="fr-FR"/>
              </w:rPr>
              <w:t>’</w:t>
            </w:r>
            <w:r w:rsidRPr="002A1AEC">
              <w:rPr>
                <w:lang w:val="fr-FR"/>
              </w:rPr>
              <w:t xml:space="preserve">indemnisait pas les </w:t>
            </w:r>
            <w:r>
              <w:rPr>
                <w:lang w:val="fr-FR"/>
              </w:rPr>
              <w:t>demandeurs</w:t>
            </w:r>
            <w:r w:rsidRPr="002A1AEC">
              <w:rPr>
                <w:lang w:val="fr-FR"/>
              </w:rPr>
              <w:t xml:space="preserve"> dans le</w:t>
            </w:r>
            <w:r>
              <w:rPr>
                <w:lang w:val="fr-FR"/>
              </w:rPr>
              <w:t xml:space="preserve"> cadre de</w:t>
            </w:r>
            <w:r w:rsidRPr="002A1AEC">
              <w:rPr>
                <w:lang w:val="fr-FR"/>
              </w:rPr>
              <w:t xml:space="preserve">s procédures des organes conventionnels pour les frais correspondant à </w:t>
            </w:r>
            <w:r>
              <w:rPr>
                <w:lang w:val="fr-FR"/>
              </w:rPr>
              <w:t>la présentation</w:t>
            </w:r>
            <w:r w:rsidRPr="002A1AEC">
              <w:rPr>
                <w:lang w:val="fr-FR"/>
              </w:rPr>
              <w:t xml:space="preserve"> des communications, et qu</w:t>
            </w:r>
            <w:r w:rsidR="0081542E">
              <w:rPr>
                <w:lang w:val="fr-FR"/>
              </w:rPr>
              <w:t>’</w:t>
            </w:r>
            <w:r w:rsidRPr="002A1AEC">
              <w:rPr>
                <w:lang w:val="fr-FR"/>
              </w:rPr>
              <w:t>il ne pouvait par conséquent donner suite à cette recommandation.</w:t>
            </w:r>
          </w:p>
        </w:tc>
      </w:tr>
      <w:tr w:rsidR="006603D6" w:rsidRPr="002A1AEC" w:rsidTr="008B46E8">
        <w:tblPrEx>
          <w:tblCellMar>
            <w:right w:w="0" w:type="dxa"/>
          </w:tblCellMar>
        </w:tblPrEx>
        <w:tc>
          <w:tcPr>
            <w:tcW w:w="7370" w:type="dxa"/>
            <w:gridSpan w:val="2"/>
            <w:tcBorders>
              <w:bottom w:val="nil"/>
            </w:tcBorders>
            <w:shd w:val="clear" w:color="auto" w:fill="auto"/>
          </w:tcPr>
          <w:p w:rsidR="006603D6" w:rsidRPr="002A1AEC" w:rsidRDefault="006603D6" w:rsidP="00215E5A">
            <w:pPr>
              <w:pStyle w:val="SingleTxtG"/>
              <w:suppressAutoHyphens w:val="0"/>
              <w:spacing w:before="40" w:line="220" w:lineRule="exact"/>
              <w:ind w:left="0" w:right="113"/>
              <w:rPr>
                <w:lang w:val="fr-FR"/>
              </w:rPr>
            </w:pPr>
            <w:r w:rsidRPr="002A1AEC">
              <w:rPr>
                <w:lang w:val="fr-FR"/>
              </w:rPr>
              <w:t>Le Comité a exprimé ses regrets à ce sujet et renvoyé l</w:t>
            </w:r>
            <w:r w:rsidR="0081542E">
              <w:rPr>
                <w:lang w:val="fr-FR"/>
              </w:rPr>
              <w:t>’</w:t>
            </w:r>
            <w:r w:rsidRPr="002A1AEC">
              <w:rPr>
                <w:lang w:val="fr-FR"/>
              </w:rPr>
              <w:t>État partie à l</w:t>
            </w:r>
            <w:r w:rsidR="0081542E">
              <w:rPr>
                <w:lang w:val="fr-FR"/>
              </w:rPr>
              <w:t>’</w:t>
            </w:r>
            <w:r w:rsidRPr="002A1AEC">
              <w:rPr>
                <w:lang w:val="fr-FR"/>
              </w:rPr>
              <w:t xml:space="preserve">article 26 de la Convention de Vienne sur le droit des traités </w:t>
            </w:r>
            <w:r>
              <w:rPr>
                <w:lang w:val="fr-FR"/>
              </w:rPr>
              <w:t>étant donné que</w:t>
            </w:r>
            <w:r w:rsidRPr="002A1AEC">
              <w:rPr>
                <w:lang w:val="fr-FR"/>
              </w:rPr>
              <w:t xml:space="preserve"> le devoir de coopérer avec le Comité découle de l</w:t>
            </w:r>
            <w:r w:rsidR="0081542E">
              <w:rPr>
                <w:lang w:val="fr-FR"/>
              </w:rPr>
              <w:t>’</w:t>
            </w:r>
            <w:r w:rsidRPr="002A1AEC">
              <w:rPr>
                <w:lang w:val="fr-FR"/>
              </w:rPr>
              <w:t>application du principe de bonne foi dans l</w:t>
            </w:r>
            <w:r w:rsidR="0081542E">
              <w:rPr>
                <w:lang w:val="fr-FR"/>
              </w:rPr>
              <w:t>’</w:t>
            </w:r>
            <w:r w:rsidRPr="002A1AEC">
              <w:rPr>
                <w:lang w:val="fr-FR"/>
              </w:rPr>
              <w:t>observation de toutes les obligations conventionnelles. Il lui a également rappelé que le même principe valait pour toutes les recommandations du Comité, notamment celles qui avaient trait aux réparations.</w:t>
            </w:r>
          </w:p>
        </w:tc>
      </w:tr>
      <w:tr w:rsidR="006603D6" w:rsidRPr="002A1AEC" w:rsidTr="008B46E8">
        <w:tblPrEx>
          <w:tblCellMar>
            <w:right w:w="0" w:type="dxa"/>
          </w:tblCellMar>
        </w:tblPrEx>
        <w:tc>
          <w:tcPr>
            <w:tcW w:w="7370" w:type="dxa"/>
            <w:gridSpan w:val="2"/>
            <w:tcBorders>
              <w:bottom w:val="nil"/>
            </w:tcBorders>
            <w:shd w:val="clear" w:color="auto" w:fill="auto"/>
          </w:tcPr>
          <w:p w:rsidR="006603D6" w:rsidRPr="002A1AEC" w:rsidRDefault="006603D6" w:rsidP="00E02131">
            <w:pPr>
              <w:pStyle w:val="SingleTxtG"/>
              <w:suppressAutoHyphens w:val="0"/>
              <w:spacing w:before="40" w:line="216" w:lineRule="exact"/>
              <w:ind w:left="0" w:right="113"/>
              <w:rPr>
                <w:lang w:val="fr-FR"/>
              </w:rPr>
            </w:pPr>
            <w:r w:rsidRPr="002A1AEC">
              <w:rPr>
                <w:lang w:val="fr-FR"/>
              </w:rPr>
              <w:t>S</w:t>
            </w:r>
            <w:r w:rsidR="0081542E">
              <w:rPr>
                <w:lang w:val="fr-FR"/>
              </w:rPr>
              <w:t>’</w:t>
            </w:r>
            <w:r w:rsidRPr="002A1AEC">
              <w:rPr>
                <w:lang w:val="fr-FR"/>
              </w:rPr>
              <w:t xml:space="preserve">agissant des mesures prises pour remédier au </w:t>
            </w:r>
            <w:r>
              <w:rPr>
                <w:lang w:val="fr-FR"/>
              </w:rPr>
              <w:t>fait que les</w:t>
            </w:r>
            <w:r w:rsidRPr="002A1AEC">
              <w:rPr>
                <w:lang w:val="fr-FR"/>
              </w:rPr>
              <w:t xml:space="preserve"> informations accessibles visuellement </w:t>
            </w:r>
            <w:r>
              <w:rPr>
                <w:lang w:val="fr-FR"/>
              </w:rPr>
              <w:t>n</w:t>
            </w:r>
            <w:r w:rsidR="0081542E">
              <w:rPr>
                <w:lang w:val="fr-FR"/>
              </w:rPr>
              <w:t>’</w:t>
            </w:r>
            <w:r>
              <w:rPr>
                <w:lang w:val="fr-FR"/>
              </w:rPr>
              <w:t>étaient pas accessibles aux</w:t>
            </w:r>
            <w:r w:rsidRPr="002A1AEC">
              <w:rPr>
                <w:lang w:val="fr-FR"/>
              </w:rPr>
              <w:t xml:space="preserve"> personnes présentant une </w:t>
            </w:r>
            <w:r>
              <w:rPr>
                <w:lang w:val="fr-FR"/>
              </w:rPr>
              <w:t>incapacité</w:t>
            </w:r>
            <w:r w:rsidRPr="002A1AEC">
              <w:rPr>
                <w:lang w:val="fr-FR"/>
              </w:rPr>
              <w:t xml:space="preserve"> visuelle sur toutes les lignes du réseau de </w:t>
            </w:r>
            <w:r>
              <w:rPr>
                <w:lang w:val="fr-FR"/>
              </w:rPr>
              <w:t>tramway</w:t>
            </w:r>
            <w:r w:rsidRPr="002A1AEC">
              <w:rPr>
                <w:lang w:val="fr-FR"/>
              </w:rPr>
              <w:t>, le Comité a pris note avec satisfaction de l</w:t>
            </w:r>
            <w:r w:rsidR="0081542E">
              <w:rPr>
                <w:lang w:val="fr-FR"/>
              </w:rPr>
              <w:t>’</w:t>
            </w:r>
            <w:r w:rsidRPr="002A1AEC">
              <w:rPr>
                <w:lang w:val="fr-FR"/>
              </w:rPr>
              <w:t xml:space="preserve">engagement pris </w:t>
            </w:r>
            <w:r>
              <w:rPr>
                <w:lang w:val="fr-FR"/>
              </w:rPr>
              <w:t xml:space="preserve">par la société Linz </w:t>
            </w:r>
            <w:proofErr w:type="spellStart"/>
            <w:r>
              <w:rPr>
                <w:lang w:val="fr-FR"/>
              </w:rPr>
              <w:t>Linien</w:t>
            </w:r>
            <w:proofErr w:type="spellEnd"/>
            <w:r>
              <w:rPr>
                <w:lang w:val="fr-FR"/>
              </w:rPr>
              <w:t xml:space="preserve"> </w:t>
            </w:r>
            <w:proofErr w:type="spellStart"/>
            <w:r>
              <w:rPr>
                <w:lang w:val="fr-FR"/>
              </w:rPr>
              <w:t>GmbH</w:t>
            </w:r>
            <w:proofErr w:type="spellEnd"/>
            <w:r>
              <w:rPr>
                <w:lang w:val="fr-FR"/>
              </w:rPr>
              <w:t xml:space="preserve"> </w:t>
            </w:r>
            <w:r w:rsidRPr="002A1AEC">
              <w:rPr>
                <w:lang w:val="fr-FR"/>
              </w:rPr>
              <w:t>de pou</w:t>
            </w:r>
            <w:r>
              <w:rPr>
                <w:lang w:val="fr-FR"/>
              </w:rPr>
              <w:t>rsuivre l</w:t>
            </w:r>
            <w:r w:rsidR="0081542E">
              <w:rPr>
                <w:lang w:val="fr-FR"/>
              </w:rPr>
              <w:t>’</w:t>
            </w:r>
            <w:r>
              <w:rPr>
                <w:lang w:val="fr-FR"/>
              </w:rPr>
              <w:t>action en cours pour améliorer</w:t>
            </w:r>
            <w:r w:rsidRPr="002A1AEC">
              <w:rPr>
                <w:lang w:val="fr-FR"/>
              </w:rPr>
              <w:t xml:space="preserve"> encore </w:t>
            </w:r>
            <w:r>
              <w:rPr>
                <w:lang w:val="fr-FR"/>
              </w:rPr>
              <w:t>l</w:t>
            </w:r>
            <w:r w:rsidR="0081542E">
              <w:rPr>
                <w:lang w:val="fr-FR"/>
              </w:rPr>
              <w:t>’</w:t>
            </w:r>
            <w:r>
              <w:rPr>
                <w:lang w:val="fr-FR"/>
              </w:rPr>
              <w:t>accessibilité de ces informations pour les personnes handicapées</w:t>
            </w:r>
            <w:r w:rsidRPr="002A1AEC">
              <w:rPr>
                <w:lang w:val="fr-FR"/>
              </w:rPr>
              <w:t xml:space="preserve">. Il a également relevé que tous les distributeurs de billets de </w:t>
            </w:r>
            <w:r>
              <w:rPr>
                <w:lang w:val="fr-FR"/>
              </w:rPr>
              <w:t xml:space="preserve">la société </w:t>
            </w:r>
            <w:r w:rsidRPr="002A1AEC">
              <w:rPr>
                <w:lang w:val="fr-FR"/>
              </w:rPr>
              <w:t xml:space="preserve">Linz </w:t>
            </w:r>
            <w:proofErr w:type="spellStart"/>
            <w:r w:rsidRPr="002A1AEC">
              <w:rPr>
                <w:lang w:val="fr-FR"/>
              </w:rPr>
              <w:t>Linien</w:t>
            </w:r>
            <w:proofErr w:type="spellEnd"/>
            <w:r w:rsidRPr="002A1AEC">
              <w:rPr>
                <w:lang w:val="fr-FR"/>
              </w:rPr>
              <w:t xml:space="preserve"> </w:t>
            </w:r>
            <w:proofErr w:type="spellStart"/>
            <w:r w:rsidRPr="002A1AEC">
              <w:rPr>
                <w:lang w:val="fr-FR"/>
              </w:rPr>
              <w:t>GmbH</w:t>
            </w:r>
            <w:proofErr w:type="spellEnd"/>
            <w:r w:rsidRPr="002A1AEC">
              <w:rPr>
                <w:lang w:val="fr-FR"/>
              </w:rPr>
              <w:t xml:space="preserve"> étaient progressivement équipés de </w:t>
            </w:r>
            <w:r>
              <w:rPr>
                <w:lang w:val="fr-FR"/>
              </w:rPr>
              <w:t>fonctions de synthèse vocale</w:t>
            </w:r>
            <w:r w:rsidRPr="002A1AEC">
              <w:rPr>
                <w:lang w:val="fr-FR"/>
              </w:rPr>
              <w:t xml:space="preserve"> et que l</w:t>
            </w:r>
            <w:r w:rsidR="0081542E">
              <w:rPr>
                <w:lang w:val="fr-FR"/>
              </w:rPr>
              <w:t>’</w:t>
            </w:r>
            <w:r w:rsidRPr="002A1AEC">
              <w:rPr>
                <w:lang w:val="fr-FR"/>
              </w:rPr>
              <w:t>application pour smartphones « </w:t>
            </w:r>
            <w:proofErr w:type="spellStart"/>
            <w:r w:rsidRPr="002A1AEC">
              <w:rPr>
                <w:lang w:val="fr-FR"/>
              </w:rPr>
              <w:t>Qando</w:t>
            </w:r>
            <w:proofErr w:type="spellEnd"/>
            <w:r w:rsidRPr="002A1AEC">
              <w:rPr>
                <w:lang w:val="fr-FR"/>
              </w:rPr>
              <w:t> », qui permettait d</w:t>
            </w:r>
            <w:r w:rsidR="0081542E">
              <w:rPr>
                <w:lang w:val="fr-FR"/>
              </w:rPr>
              <w:t>’</w:t>
            </w:r>
            <w:r w:rsidRPr="002A1AEC">
              <w:rPr>
                <w:lang w:val="fr-FR"/>
              </w:rPr>
              <w:t>accéder aux horaires des transports publics autrichiens, avait été optimisée à l</w:t>
            </w:r>
            <w:r w:rsidR="0081542E">
              <w:rPr>
                <w:lang w:val="fr-FR"/>
              </w:rPr>
              <w:t>’</w:t>
            </w:r>
            <w:r w:rsidRPr="002A1AEC">
              <w:rPr>
                <w:lang w:val="fr-FR"/>
              </w:rPr>
              <w:t xml:space="preserve">intention des personnes aveugles et malvoyantes. Le Comité a en outre constaté avec satisfaction que la société Linz </w:t>
            </w:r>
            <w:proofErr w:type="spellStart"/>
            <w:r w:rsidRPr="002A1AEC">
              <w:rPr>
                <w:lang w:val="fr-FR"/>
              </w:rPr>
              <w:t>Linien</w:t>
            </w:r>
            <w:proofErr w:type="spellEnd"/>
            <w:r w:rsidRPr="002A1AEC">
              <w:rPr>
                <w:lang w:val="fr-FR"/>
              </w:rPr>
              <w:t xml:space="preserve"> </w:t>
            </w:r>
            <w:proofErr w:type="spellStart"/>
            <w:r w:rsidRPr="002A1AEC">
              <w:rPr>
                <w:lang w:val="fr-FR"/>
              </w:rPr>
              <w:t>GmbH</w:t>
            </w:r>
            <w:proofErr w:type="spellEnd"/>
            <w:r w:rsidRPr="002A1AEC">
              <w:rPr>
                <w:lang w:val="fr-FR"/>
              </w:rPr>
              <w:t xml:space="preserve"> était la première société de transports publics en Autriche à autoriser les personnes handicapées à se faire accompagner par une autre personne à titre gracieux. </w:t>
            </w:r>
            <w:r>
              <w:rPr>
                <w:lang w:val="fr-FR"/>
              </w:rPr>
              <w:t xml:space="preserve">Il a cependant </w:t>
            </w:r>
            <w:r w:rsidRPr="002A1AEC">
              <w:rPr>
                <w:lang w:val="fr-FR"/>
              </w:rPr>
              <w:t>rappelé qu</w:t>
            </w:r>
            <w:r w:rsidR="0081542E">
              <w:rPr>
                <w:lang w:val="fr-FR"/>
              </w:rPr>
              <w:t>’</w:t>
            </w:r>
            <w:r w:rsidRPr="002A1AEC">
              <w:rPr>
                <w:lang w:val="fr-FR"/>
              </w:rPr>
              <w:t>il importait que les mesures prises visent également à permettre aux personnes aveugles ou malvoyantes qui n</w:t>
            </w:r>
            <w:r w:rsidR="0081542E">
              <w:rPr>
                <w:lang w:val="fr-FR"/>
              </w:rPr>
              <w:t>’</w:t>
            </w:r>
            <w:r w:rsidRPr="002A1AEC">
              <w:rPr>
                <w:lang w:val="fr-FR"/>
              </w:rPr>
              <w:t>étaient pas accompagnées d</w:t>
            </w:r>
            <w:r w:rsidR="0081542E">
              <w:rPr>
                <w:lang w:val="fr-FR"/>
              </w:rPr>
              <w:t>’</w:t>
            </w:r>
            <w:r w:rsidRPr="002A1AEC">
              <w:rPr>
                <w:lang w:val="fr-FR"/>
              </w:rPr>
              <w:t>utiliser seules les transports.</w:t>
            </w:r>
          </w:p>
        </w:tc>
      </w:tr>
      <w:tr w:rsidR="006603D6" w:rsidRPr="002A1AEC" w:rsidTr="008B46E8">
        <w:tblPrEx>
          <w:tblCellMar>
            <w:right w:w="0" w:type="dxa"/>
          </w:tblCellMar>
        </w:tblPrEx>
        <w:tc>
          <w:tcPr>
            <w:tcW w:w="7370" w:type="dxa"/>
            <w:gridSpan w:val="2"/>
            <w:tcBorders>
              <w:bottom w:val="nil"/>
            </w:tcBorders>
            <w:shd w:val="clear" w:color="auto" w:fill="auto"/>
          </w:tcPr>
          <w:p w:rsidR="006603D6" w:rsidRPr="002A1AEC" w:rsidRDefault="006603D6" w:rsidP="00E02131">
            <w:pPr>
              <w:pStyle w:val="SingleTxtG"/>
              <w:suppressAutoHyphens w:val="0"/>
              <w:spacing w:before="40" w:line="216" w:lineRule="exact"/>
              <w:ind w:left="0" w:right="113"/>
              <w:rPr>
                <w:lang w:val="fr-FR"/>
              </w:rPr>
            </w:pPr>
            <w:r w:rsidRPr="002A1AEC">
              <w:rPr>
                <w:lang w:val="fr-FR"/>
              </w:rPr>
              <w:t>S</w:t>
            </w:r>
            <w:r w:rsidR="0081542E">
              <w:rPr>
                <w:lang w:val="fr-FR"/>
              </w:rPr>
              <w:t>’</w:t>
            </w:r>
            <w:r w:rsidRPr="002A1AEC">
              <w:rPr>
                <w:lang w:val="fr-FR"/>
              </w:rPr>
              <w:t>agissant des mesures prises pour garantir que les réseaux de transport autrichiens qui seraient construits à l</w:t>
            </w:r>
            <w:r w:rsidR="0081542E">
              <w:rPr>
                <w:lang w:val="fr-FR"/>
              </w:rPr>
              <w:t>’</w:t>
            </w:r>
            <w:r w:rsidRPr="002A1AEC">
              <w:rPr>
                <w:lang w:val="fr-FR"/>
              </w:rPr>
              <w:t xml:space="preserve">avenir soient conformes au principe de conception universelle, le Comité a </w:t>
            </w:r>
            <w:r>
              <w:rPr>
                <w:lang w:val="fr-FR"/>
              </w:rPr>
              <w:t>constaté</w:t>
            </w:r>
            <w:r w:rsidRPr="002A1AEC">
              <w:rPr>
                <w:lang w:val="fr-FR"/>
              </w:rPr>
              <w:t xml:space="preserve"> que le règlement relatif à la construction et au fonctionnement des tramways</w:t>
            </w:r>
            <w:r>
              <w:rPr>
                <w:lang w:val="fr-FR"/>
              </w:rPr>
              <w:t xml:space="preserve"> adopté par le </w:t>
            </w:r>
            <w:r w:rsidR="0081542E">
              <w:rPr>
                <w:lang w:val="fr-FR"/>
              </w:rPr>
              <w:t>M</w:t>
            </w:r>
            <w:r>
              <w:rPr>
                <w:lang w:val="fr-FR"/>
              </w:rPr>
              <w:t xml:space="preserve">inistère fédéral chargé des transports publics et </w:t>
            </w:r>
            <w:r w:rsidRPr="002A1AEC">
              <w:rPr>
                <w:lang w:val="fr-FR"/>
              </w:rPr>
              <w:t>publié au Journal officiel fédéral II 76/2000, était en cours de révision. Toutefois, le Comité s</w:t>
            </w:r>
            <w:r w:rsidR="0081542E">
              <w:rPr>
                <w:lang w:val="fr-FR"/>
              </w:rPr>
              <w:t>’</w:t>
            </w:r>
            <w:r w:rsidRPr="002A1AEC">
              <w:rPr>
                <w:lang w:val="fr-FR"/>
              </w:rPr>
              <w:t>est dit préoccupé de ce que, selon les informations disponibles, l</w:t>
            </w:r>
            <w:r w:rsidR="0081542E">
              <w:rPr>
                <w:lang w:val="fr-FR"/>
              </w:rPr>
              <w:t>’</w:t>
            </w:r>
            <w:r w:rsidRPr="002A1AEC">
              <w:rPr>
                <w:lang w:val="fr-FR"/>
              </w:rPr>
              <w:t xml:space="preserve">article 5 a) du projet </w:t>
            </w:r>
            <w:r>
              <w:rPr>
                <w:lang w:val="fr-FR"/>
              </w:rPr>
              <w:t xml:space="preserve">de texte </w:t>
            </w:r>
            <w:r w:rsidRPr="002A1AEC">
              <w:rPr>
                <w:lang w:val="fr-FR"/>
              </w:rPr>
              <w:t xml:space="preserve">prévoyait que « les personnes à mobilité réduite devaient avoir accès sans </w:t>
            </w:r>
            <w:r>
              <w:rPr>
                <w:lang w:val="fr-FR"/>
              </w:rPr>
              <w:t xml:space="preserve">aucun </w:t>
            </w:r>
            <w:r w:rsidRPr="002A1AEC">
              <w:rPr>
                <w:lang w:val="fr-FR"/>
              </w:rPr>
              <w:t>obstacle particulier », mais ne mentionnait pas les personnes présentant une quelconque autre forme de handicap, dont font partie les personnes aveugles et les personnes présentant une incapacité sensorielle.</w:t>
            </w:r>
          </w:p>
        </w:tc>
      </w:tr>
      <w:tr w:rsidR="006603D6" w:rsidRPr="002A1AEC" w:rsidTr="008B46E8">
        <w:tblPrEx>
          <w:tblCellMar>
            <w:right w:w="0" w:type="dxa"/>
          </w:tblCellMar>
        </w:tblPrEx>
        <w:tc>
          <w:tcPr>
            <w:tcW w:w="7370" w:type="dxa"/>
            <w:gridSpan w:val="2"/>
            <w:tcBorders>
              <w:bottom w:val="nil"/>
            </w:tcBorders>
            <w:shd w:val="clear" w:color="auto" w:fill="auto"/>
          </w:tcPr>
          <w:p w:rsidR="006603D6" w:rsidRPr="002A1AEC" w:rsidRDefault="006603D6" w:rsidP="00215E5A">
            <w:pPr>
              <w:pStyle w:val="SingleTxtG"/>
              <w:suppressAutoHyphens w:val="0"/>
              <w:spacing w:before="40" w:line="220" w:lineRule="exact"/>
              <w:ind w:left="0" w:right="113"/>
              <w:rPr>
                <w:lang w:val="fr-FR"/>
              </w:rPr>
            </w:pPr>
            <w:r w:rsidRPr="002A1AEC">
              <w:rPr>
                <w:lang w:val="fr-FR"/>
              </w:rPr>
              <w:t>En conséquence, le Comité a demandé à l</w:t>
            </w:r>
            <w:r w:rsidR="0081542E">
              <w:rPr>
                <w:lang w:val="fr-FR"/>
              </w:rPr>
              <w:t>’</w:t>
            </w:r>
            <w:r w:rsidRPr="002A1AEC">
              <w:rPr>
                <w:lang w:val="fr-FR"/>
              </w:rPr>
              <w:t>État partie de lui fournir des renseignements additionnels sur les points suivants :</w:t>
            </w:r>
          </w:p>
        </w:tc>
      </w:tr>
      <w:tr w:rsidR="006603D6" w:rsidRPr="002A1AEC" w:rsidTr="00E02131">
        <w:tblPrEx>
          <w:tblCellMar>
            <w:right w:w="0" w:type="dxa"/>
          </w:tblCellMar>
        </w:tblPrEx>
        <w:tc>
          <w:tcPr>
            <w:tcW w:w="7370" w:type="dxa"/>
            <w:gridSpan w:val="2"/>
            <w:tcBorders>
              <w:bottom w:val="nil"/>
            </w:tcBorders>
            <w:shd w:val="clear" w:color="auto" w:fill="auto"/>
          </w:tcPr>
          <w:p w:rsidR="006603D6" w:rsidRPr="002A1AEC" w:rsidRDefault="006603D6" w:rsidP="00E02131">
            <w:pPr>
              <w:pStyle w:val="SingleTxtG"/>
              <w:suppressAutoHyphens w:val="0"/>
              <w:spacing w:before="40" w:line="216" w:lineRule="exact"/>
              <w:ind w:left="0" w:right="113" w:firstLine="567"/>
              <w:rPr>
                <w:lang w:val="fr-FR"/>
              </w:rPr>
            </w:pPr>
            <w:r>
              <w:rPr>
                <w:lang w:val="fr-FR"/>
              </w:rPr>
              <w:t>a)</w:t>
            </w:r>
            <w:r>
              <w:rPr>
                <w:lang w:val="fr-FR"/>
              </w:rPr>
              <w:tab/>
            </w:r>
            <w:r w:rsidRPr="002A1AEC">
              <w:rPr>
                <w:lang w:val="fr-FR"/>
              </w:rPr>
              <w:t>Les mesures qu</w:t>
            </w:r>
            <w:r w:rsidR="0081542E">
              <w:rPr>
                <w:lang w:val="fr-FR"/>
              </w:rPr>
              <w:t>’</w:t>
            </w:r>
            <w:r w:rsidRPr="002A1AEC">
              <w:rPr>
                <w:lang w:val="fr-FR"/>
              </w:rPr>
              <w:t>il avait prises pour donner suite aux constatations du Comité dans lesquelles celui-ci estimait qu</w:t>
            </w:r>
            <w:r w:rsidR="0081542E">
              <w:rPr>
                <w:lang w:val="fr-FR"/>
              </w:rPr>
              <w:t>’</w:t>
            </w:r>
            <w:r w:rsidRPr="002A1AEC">
              <w:rPr>
                <w:lang w:val="fr-FR"/>
              </w:rPr>
              <w:t>il devait accorder à l</w:t>
            </w:r>
            <w:r w:rsidR="0081542E">
              <w:rPr>
                <w:lang w:val="fr-FR"/>
              </w:rPr>
              <w:t>’</w:t>
            </w:r>
            <w:r w:rsidRPr="002A1AEC">
              <w:rPr>
                <w:lang w:val="fr-FR"/>
              </w:rPr>
              <w:t xml:space="preserve">auteur une indemnisation appropriée pour les frais de justice occasionnés par les procédures internes et pour les </w:t>
            </w:r>
            <w:r w:rsidRPr="002A1AEC">
              <w:rPr>
                <w:lang w:val="fr-FR"/>
              </w:rPr>
              <w:lastRenderedPageBreak/>
              <w:t>dépenses engagées pour la soumission de la présente communication, conformément à l</w:t>
            </w:r>
            <w:r w:rsidR="0081542E">
              <w:rPr>
                <w:lang w:val="fr-FR"/>
              </w:rPr>
              <w:t>’</w:t>
            </w:r>
            <w:r w:rsidRPr="002A1AEC">
              <w:rPr>
                <w:lang w:val="fr-FR"/>
              </w:rPr>
              <w:t>obligation des États parties d</w:t>
            </w:r>
            <w:r w:rsidR="0081542E">
              <w:rPr>
                <w:lang w:val="fr-FR"/>
              </w:rPr>
              <w:t>’</w:t>
            </w:r>
            <w:r>
              <w:rPr>
                <w:lang w:val="fr-FR"/>
              </w:rPr>
              <w:t>agir de bonne foi</w:t>
            </w:r>
            <w:r w:rsidRPr="002A1AEC">
              <w:rPr>
                <w:lang w:val="fr-FR"/>
              </w:rPr>
              <w:t xml:space="preserve"> dans les procédures engagées tant au titre du Protocole facultatif que de la Convention elle-même ;</w:t>
            </w:r>
          </w:p>
        </w:tc>
      </w:tr>
      <w:tr w:rsidR="006603D6" w:rsidRPr="002A1AEC" w:rsidTr="00E02131">
        <w:tblPrEx>
          <w:tblCellMar>
            <w:right w:w="0" w:type="dxa"/>
          </w:tblCellMar>
        </w:tblPrEx>
        <w:tc>
          <w:tcPr>
            <w:tcW w:w="7370" w:type="dxa"/>
            <w:gridSpan w:val="2"/>
            <w:tcBorders>
              <w:top w:val="nil"/>
              <w:bottom w:val="nil"/>
            </w:tcBorders>
            <w:shd w:val="clear" w:color="auto" w:fill="auto"/>
          </w:tcPr>
          <w:p w:rsidR="006603D6" w:rsidRPr="002A1AEC" w:rsidRDefault="006603D6" w:rsidP="006603D6">
            <w:pPr>
              <w:pStyle w:val="SingleTxtG"/>
              <w:suppressAutoHyphens w:val="0"/>
              <w:spacing w:before="40" w:line="220" w:lineRule="exact"/>
              <w:ind w:left="0" w:right="113" w:firstLine="563"/>
              <w:rPr>
                <w:lang w:val="fr-FR"/>
              </w:rPr>
            </w:pPr>
            <w:r>
              <w:rPr>
                <w:lang w:val="fr-FR"/>
              </w:rPr>
              <w:lastRenderedPageBreak/>
              <w:tab/>
            </w:r>
            <w:r w:rsidRPr="002A1AEC">
              <w:rPr>
                <w:lang w:val="fr-FR"/>
              </w:rPr>
              <w:t>b)</w:t>
            </w:r>
            <w:r>
              <w:rPr>
                <w:lang w:val="fr-FR"/>
              </w:rPr>
              <w:tab/>
            </w:r>
            <w:r w:rsidRPr="002A1AEC">
              <w:rPr>
                <w:lang w:val="fr-FR"/>
              </w:rPr>
              <w:t>Les mesures prises pour garantir l</w:t>
            </w:r>
            <w:r w:rsidR="0081542E">
              <w:rPr>
                <w:lang w:val="fr-FR"/>
              </w:rPr>
              <w:t>’</w:t>
            </w:r>
            <w:r w:rsidRPr="002A1AEC">
              <w:rPr>
                <w:lang w:val="fr-FR"/>
              </w:rPr>
              <w:t>accès aux aménagements et équipements existant sur le réseau de tramway à toutes les personnes présentant une incapacité visuelle ;</w:t>
            </w:r>
          </w:p>
        </w:tc>
      </w:tr>
      <w:tr w:rsidR="00C91769" w:rsidRPr="002A1AEC" w:rsidTr="008B46E8">
        <w:tblPrEx>
          <w:tblCellMar>
            <w:right w:w="0" w:type="dxa"/>
          </w:tblCellMar>
        </w:tblPrEx>
        <w:tc>
          <w:tcPr>
            <w:tcW w:w="7370" w:type="dxa"/>
            <w:gridSpan w:val="2"/>
            <w:tcBorders>
              <w:top w:val="nil"/>
              <w:bottom w:val="nil"/>
            </w:tcBorders>
            <w:shd w:val="clear" w:color="auto" w:fill="auto"/>
          </w:tcPr>
          <w:p w:rsidR="00C91769" w:rsidRPr="002A1AEC" w:rsidRDefault="006603D6" w:rsidP="006603D6">
            <w:pPr>
              <w:pStyle w:val="SingleTxtG"/>
              <w:suppressAutoHyphens w:val="0"/>
              <w:spacing w:before="40" w:line="220" w:lineRule="exact"/>
              <w:ind w:left="0" w:right="113" w:firstLine="563"/>
              <w:rPr>
                <w:lang w:val="fr-FR"/>
              </w:rPr>
            </w:pPr>
            <w:r>
              <w:rPr>
                <w:lang w:val="fr-FR"/>
              </w:rPr>
              <w:t>c)</w:t>
            </w:r>
            <w:r>
              <w:rPr>
                <w:lang w:val="fr-FR"/>
              </w:rPr>
              <w:tab/>
            </w:r>
            <w:r w:rsidRPr="002A1AEC">
              <w:rPr>
                <w:lang w:val="fr-FR"/>
              </w:rPr>
              <w:t xml:space="preserve">Les mesures prises pour garantir que les réformes en cours </w:t>
            </w:r>
            <w:r>
              <w:rPr>
                <w:lang w:val="fr-FR"/>
              </w:rPr>
              <w:t>tiennent compte des</w:t>
            </w:r>
            <w:r w:rsidRPr="002A1AEC">
              <w:rPr>
                <w:lang w:val="fr-FR"/>
              </w:rPr>
              <w:t xml:space="preserve"> personnes présentant une incapacité visuelle ou une autre incapacité sensorielle, conformément aux constatations du Comité.</w:t>
            </w:r>
          </w:p>
        </w:tc>
      </w:tr>
      <w:tr w:rsidR="00C91769" w:rsidRPr="002A1AEC" w:rsidTr="008B46E8">
        <w:tblPrEx>
          <w:tblCellMar>
            <w:right w:w="0" w:type="dxa"/>
          </w:tblCellMar>
        </w:tblPrEx>
        <w:tc>
          <w:tcPr>
            <w:tcW w:w="7370" w:type="dxa"/>
            <w:gridSpan w:val="2"/>
            <w:tcBorders>
              <w:top w:val="nil"/>
            </w:tcBorders>
            <w:shd w:val="clear" w:color="auto" w:fill="auto"/>
          </w:tcPr>
          <w:p w:rsidR="00C91769" w:rsidRPr="002A1AEC" w:rsidRDefault="00C91769" w:rsidP="006603D6">
            <w:pPr>
              <w:pStyle w:val="SingleTxtG"/>
              <w:suppressAutoHyphens w:val="0"/>
              <w:spacing w:before="40" w:line="220" w:lineRule="exact"/>
              <w:ind w:left="0" w:right="113"/>
              <w:rPr>
                <w:lang w:val="fr-FR"/>
              </w:rPr>
            </w:pPr>
            <w:r w:rsidRPr="002A1AEC">
              <w:rPr>
                <w:lang w:val="fr-FR"/>
              </w:rPr>
              <w:t>Délai fixé pour la réponse</w:t>
            </w:r>
            <w:r w:rsidR="006603D6">
              <w:rPr>
                <w:lang w:val="fr-FR"/>
              </w:rPr>
              <w:t> </w:t>
            </w:r>
            <w:r w:rsidRPr="002A1AEC">
              <w:rPr>
                <w:lang w:val="fr-FR"/>
              </w:rPr>
              <w:t>: 23</w:t>
            </w:r>
            <w:r w:rsidR="006603D6">
              <w:rPr>
                <w:lang w:val="fr-FR"/>
              </w:rPr>
              <w:t> </w:t>
            </w:r>
            <w:r w:rsidRPr="002A1AEC">
              <w:rPr>
                <w:lang w:val="fr-FR"/>
              </w:rPr>
              <w:t>janvier 2018.</w:t>
            </w:r>
          </w:p>
        </w:tc>
      </w:tr>
      <w:tr w:rsidR="00C91769" w:rsidRPr="002A1AEC" w:rsidTr="00935331">
        <w:tblPrEx>
          <w:tblCellMar>
            <w:right w:w="0" w:type="dxa"/>
          </w:tblCellMar>
        </w:tblPrEx>
        <w:trPr>
          <w:trHeight w:val="240"/>
        </w:trPr>
        <w:tc>
          <w:tcPr>
            <w:tcW w:w="3122" w:type="dxa"/>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Troisième réponse de l</w:t>
            </w:r>
            <w:r w:rsidR="0081542E">
              <w:rPr>
                <w:lang w:val="fr-FR"/>
              </w:rPr>
              <w:t>’</w:t>
            </w:r>
            <w:r w:rsidRPr="002A1AEC">
              <w:rPr>
                <w:lang w:val="fr-FR"/>
              </w:rPr>
              <w:t>État partie :</w:t>
            </w:r>
          </w:p>
        </w:tc>
        <w:tc>
          <w:tcPr>
            <w:tcW w:w="4248" w:type="dxa"/>
            <w:shd w:val="clear" w:color="auto" w:fill="auto"/>
          </w:tcPr>
          <w:p w:rsidR="00C91769" w:rsidRPr="002A1AEC" w:rsidRDefault="00C91769" w:rsidP="006603D6">
            <w:pPr>
              <w:pStyle w:val="SingleTxtG"/>
              <w:suppressAutoHyphens w:val="0"/>
              <w:spacing w:before="40" w:line="220" w:lineRule="exact"/>
              <w:ind w:left="0" w:right="113"/>
              <w:rPr>
                <w:lang w:val="fr-FR"/>
              </w:rPr>
            </w:pPr>
            <w:r w:rsidRPr="002A1AEC">
              <w:rPr>
                <w:lang w:val="fr-FR"/>
              </w:rPr>
              <w:t>Reçue le 20</w:t>
            </w:r>
            <w:r w:rsidR="006603D6">
              <w:rPr>
                <w:lang w:val="fr-FR"/>
              </w:rPr>
              <w:t> </w:t>
            </w:r>
            <w:r w:rsidRPr="002A1AEC">
              <w:rPr>
                <w:lang w:val="fr-FR"/>
              </w:rPr>
              <w:t>janvier 2018.</w:t>
            </w:r>
          </w:p>
        </w:tc>
      </w:tr>
      <w:tr w:rsidR="00C91769" w:rsidRPr="002A1AEC" w:rsidTr="00935331">
        <w:tblPrEx>
          <w:tblCellMar>
            <w:right w:w="0" w:type="dxa"/>
          </w:tblCellMar>
        </w:tblPrEx>
        <w:trPr>
          <w:trHeight w:val="240"/>
        </w:trPr>
        <w:tc>
          <w:tcPr>
            <w:tcW w:w="3122" w:type="dxa"/>
            <w:shd w:val="clear" w:color="auto" w:fill="auto"/>
          </w:tcPr>
          <w:p w:rsidR="00C91769" w:rsidRPr="002A1AEC" w:rsidRDefault="00C91769" w:rsidP="006603D6">
            <w:pPr>
              <w:pStyle w:val="SingleTxtG"/>
              <w:suppressAutoHyphens w:val="0"/>
              <w:spacing w:before="40" w:line="220" w:lineRule="exact"/>
              <w:ind w:left="0" w:right="113"/>
              <w:rPr>
                <w:lang w:val="fr-FR"/>
              </w:rPr>
            </w:pPr>
            <w:r w:rsidRPr="002A1AEC">
              <w:rPr>
                <w:lang w:val="fr-FR"/>
              </w:rPr>
              <w:t>Mesures prises</w:t>
            </w:r>
            <w:r w:rsidR="006603D6">
              <w:rPr>
                <w:lang w:val="fr-FR"/>
              </w:rPr>
              <w:t> </w:t>
            </w:r>
            <w:r w:rsidRPr="002A1AEC">
              <w:rPr>
                <w:lang w:val="fr-FR"/>
              </w:rPr>
              <w:t xml:space="preserve">: </w:t>
            </w:r>
          </w:p>
        </w:tc>
        <w:tc>
          <w:tcPr>
            <w:tcW w:w="4248" w:type="dxa"/>
            <w:shd w:val="clear" w:color="auto" w:fill="auto"/>
          </w:tcPr>
          <w:p w:rsidR="00C91769" w:rsidRPr="002A1AEC" w:rsidRDefault="00C91769" w:rsidP="006603D6">
            <w:pPr>
              <w:pStyle w:val="SingleTxtG"/>
              <w:suppressAutoHyphens w:val="0"/>
              <w:spacing w:before="40" w:line="220" w:lineRule="exact"/>
              <w:ind w:left="0" w:right="113"/>
              <w:rPr>
                <w:lang w:val="fr-FR"/>
              </w:rPr>
            </w:pPr>
            <w:r>
              <w:rPr>
                <w:lang w:val="fr-FR"/>
              </w:rPr>
              <w:t>Les observations de l</w:t>
            </w:r>
            <w:r w:rsidR="0081542E">
              <w:rPr>
                <w:lang w:val="fr-FR"/>
              </w:rPr>
              <w:t>’</w:t>
            </w:r>
            <w:r>
              <w:rPr>
                <w:lang w:val="fr-FR"/>
              </w:rPr>
              <w:t>État partie au titre du suivi ont été transmises à l</w:t>
            </w:r>
            <w:r w:rsidR="0081542E">
              <w:rPr>
                <w:lang w:val="fr-FR"/>
              </w:rPr>
              <w:t>’</w:t>
            </w:r>
            <w:r>
              <w:rPr>
                <w:lang w:val="fr-FR"/>
              </w:rPr>
              <w:t>auteur pour commentaire. Délai fixé au 23</w:t>
            </w:r>
            <w:r w:rsidR="006603D6">
              <w:rPr>
                <w:lang w:val="fr-FR"/>
              </w:rPr>
              <w:t> </w:t>
            </w:r>
            <w:r>
              <w:rPr>
                <w:lang w:val="fr-FR"/>
              </w:rPr>
              <w:t>février 2018.</w:t>
            </w:r>
          </w:p>
        </w:tc>
      </w:tr>
      <w:tr w:rsidR="00C91769" w:rsidRPr="002A1AEC" w:rsidTr="00935331">
        <w:tblPrEx>
          <w:tblCellMar>
            <w:right w:w="0" w:type="dxa"/>
          </w:tblCellMar>
        </w:tblPrEx>
        <w:trPr>
          <w:trHeight w:val="240"/>
        </w:trPr>
        <w:tc>
          <w:tcPr>
            <w:tcW w:w="3122" w:type="dxa"/>
            <w:shd w:val="clear" w:color="auto" w:fill="auto"/>
          </w:tcPr>
          <w:p w:rsidR="00C91769" w:rsidRPr="002A1AEC" w:rsidRDefault="00C91769" w:rsidP="006603D6">
            <w:pPr>
              <w:pStyle w:val="SingleTxtG"/>
              <w:suppressAutoHyphens w:val="0"/>
              <w:spacing w:before="40" w:line="220" w:lineRule="exact"/>
              <w:ind w:left="0" w:right="113"/>
              <w:rPr>
                <w:lang w:val="fr-FR"/>
              </w:rPr>
            </w:pPr>
            <w:r w:rsidRPr="002A1AEC">
              <w:rPr>
                <w:lang w:val="fr-FR"/>
              </w:rPr>
              <w:t>Décision</w:t>
            </w:r>
            <w:r w:rsidR="006603D6">
              <w:rPr>
                <w:lang w:val="fr-FR"/>
              </w:rPr>
              <w:t> </w:t>
            </w:r>
            <w:r w:rsidRPr="002A1AEC">
              <w:rPr>
                <w:lang w:val="fr-FR"/>
              </w:rPr>
              <w:t>:</w:t>
            </w:r>
          </w:p>
        </w:tc>
        <w:tc>
          <w:tcPr>
            <w:tcW w:w="4248" w:type="dxa"/>
            <w:shd w:val="clear" w:color="auto" w:fill="auto"/>
          </w:tcPr>
          <w:p w:rsidR="00C91769" w:rsidRPr="002A1AEC" w:rsidRDefault="00C91769" w:rsidP="008B46E8">
            <w:pPr>
              <w:pStyle w:val="SingleTxtG"/>
              <w:suppressAutoHyphens w:val="0"/>
              <w:spacing w:before="40" w:line="220" w:lineRule="exact"/>
              <w:ind w:left="0" w:right="113"/>
              <w:rPr>
                <w:lang w:val="fr-FR"/>
              </w:rPr>
            </w:pPr>
            <w:r>
              <w:rPr>
                <w:lang w:val="fr-FR"/>
              </w:rPr>
              <w:t>Un rappel sera envoyé à l</w:t>
            </w:r>
            <w:r w:rsidR="0081542E">
              <w:rPr>
                <w:lang w:val="fr-FR"/>
              </w:rPr>
              <w:t>’</w:t>
            </w:r>
            <w:r>
              <w:rPr>
                <w:lang w:val="fr-FR"/>
              </w:rPr>
              <w:t>auteur. Les mesures de suivi seront fixées à la prochaine session au vu de la réponse de l</w:t>
            </w:r>
            <w:r w:rsidR="0081542E">
              <w:rPr>
                <w:lang w:val="fr-FR"/>
              </w:rPr>
              <w:t>’</w:t>
            </w:r>
            <w:r>
              <w:rPr>
                <w:lang w:val="fr-FR"/>
              </w:rPr>
              <w:t>État partie et de</w:t>
            </w:r>
            <w:bookmarkStart w:id="0" w:name="_GoBack"/>
            <w:bookmarkEnd w:id="0"/>
            <w:r>
              <w:rPr>
                <w:lang w:val="fr-FR"/>
              </w:rPr>
              <w:t>s commentaires de l</w:t>
            </w:r>
            <w:r w:rsidR="0081542E">
              <w:rPr>
                <w:lang w:val="fr-FR"/>
              </w:rPr>
              <w:t>’</w:t>
            </w:r>
            <w:r>
              <w:rPr>
                <w:lang w:val="fr-FR"/>
              </w:rPr>
              <w:t>auteur.</w:t>
            </w:r>
          </w:p>
        </w:tc>
      </w:tr>
    </w:tbl>
    <w:p w:rsidR="00C91769" w:rsidRPr="002A1AEC" w:rsidRDefault="00C91769" w:rsidP="00C91769">
      <w:pPr>
        <w:pStyle w:val="SingleTxtG"/>
        <w:rPr>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22"/>
        <w:gridCol w:w="150"/>
        <w:gridCol w:w="4098"/>
      </w:tblGrid>
      <w:tr w:rsidR="00C91769" w:rsidRPr="008B46E8" w:rsidTr="008B46E8">
        <w:trPr>
          <w:trHeight w:val="240"/>
          <w:tblHeader/>
        </w:trPr>
        <w:tc>
          <w:tcPr>
            <w:tcW w:w="7370" w:type="dxa"/>
            <w:gridSpan w:val="3"/>
            <w:tcBorders>
              <w:top w:val="single" w:sz="4" w:space="0" w:color="auto"/>
              <w:bottom w:val="single" w:sz="12" w:space="0" w:color="auto"/>
            </w:tcBorders>
            <w:shd w:val="clear" w:color="auto" w:fill="auto"/>
            <w:vAlign w:val="bottom"/>
          </w:tcPr>
          <w:p w:rsidR="00C91769" w:rsidRPr="008B46E8" w:rsidRDefault="00C91769" w:rsidP="008B46E8">
            <w:pPr>
              <w:pStyle w:val="SingleTxtG"/>
              <w:suppressAutoHyphens w:val="0"/>
              <w:spacing w:before="80" w:after="80" w:line="200" w:lineRule="exact"/>
              <w:ind w:left="0" w:right="113"/>
              <w:rPr>
                <w:b/>
                <w:bCs/>
                <w:i/>
                <w:lang w:val="fr-FR"/>
              </w:rPr>
            </w:pPr>
            <w:r w:rsidRPr="008B46E8">
              <w:rPr>
                <w:b/>
                <w:bCs/>
                <w:iCs/>
                <w:lang w:val="fr-FR"/>
              </w:rPr>
              <w:t>6.</w:t>
            </w:r>
            <w:r w:rsidRPr="008B46E8">
              <w:rPr>
                <w:b/>
                <w:bCs/>
                <w:iCs/>
                <w:lang w:val="fr-FR"/>
              </w:rPr>
              <w:tab/>
              <w:t xml:space="preserve">Communication </w:t>
            </w:r>
            <w:r w:rsidR="008B46E8" w:rsidRPr="008B46E8">
              <w:rPr>
                <w:rFonts w:eastAsia="MS Mincho"/>
                <w:b/>
                <w:bCs/>
                <w:iCs/>
                <w:szCs w:val="22"/>
                <w:lang w:val="fr-FR"/>
              </w:rPr>
              <w:t>n</w:t>
            </w:r>
            <w:r w:rsidR="008B46E8" w:rsidRPr="008B46E8">
              <w:rPr>
                <w:rFonts w:eastAsia="MS Mincho"/>
                <w:b/>
                <w:bCs/>
                <w:iCs/>
                <w:szCs w:val="22"/>
                <w:vertAlign w:val="superscript"/>
                <w:lang w:val="fr-FR"/>
              </w:rPr>
              <w:t>o</w:t>
            </w:r>
            <w:r w:rsidR="008B46E8">
              <w:rPr>
                <w:b/>
                <w:bCs/>
                <w:iCs/>
                <w:lang w:val="fr-FR"/>
              </w:rPr>
              <w:t> </w:t>
            </w:r>
            <w:r w:rsidRPr="008B46E8">
              <w:rPr>
                <w:b/>
                <w:bCs/>
                <w:iCs/>
                <w:lang w:val="fr-FR"/>
              </w:rPr>
              <w:t>11/2013,</w:t>
            </w:r>
            <w:r w:rsidRPr="008B46E8">
              <w:rPr>
                <w:b/>
                <w:bCs/>
                <w:i/>
                <w:lang w:val="fr-FR"/>
              </w:rPr>
              <w:t xml:space="preserve"> </w:t>
            </w:r>
            <w:proofErr w:type="spellStart"/>
            <w:r w:rsidRPr="008B46E8">
              <w:rPr>
                <w:b/>
                <w:bCs/>
                <w:i/>
                <w:lang w:val="fr-FR"/>
              </w:rPr>
              <w:t>Beasley</w:t>
            </w:r>
            <w:proofErr w:type="spellEnd"/>
            <w:r w:rsidRPr="008B46E8">
              <w:rPr>
                <w:b/>
                <w:bCs/>
                <w:i/>
                <w:lang w:val="fr-FR"/>
              </w:rPr>
              <w:t xml:space="preserve"> </w:t>
            </w:r>
            <w:r w:rsidRPr="008B46E8">
              <w:rPr>
                <w:b/>
                <w:bCs/>
                <w:lang w:val="fr-FR"/>
              </w:rPr>
              <w:t>c</w:t>
            </w:r>
            <w:r w:rsidRPr="008B46E8">
              <w:rPr>
                <w:b/>
                <w:bCs/>
                <w:i/>
                <w:lang w:val="fr-FR"/>
              </w:rPr>
              <w:t>. Australie</w:t>
            </w:r>
          </w:p>
        </w:tc>
      </w:tr>
      <w:tr w:rsidR="004C7A0D" w:rsidRPr="002A1AEC" w:rsidTr="004C7A0D">
        <w:tblPrEx>
          <w:tblCellMar>
            <w:right w:w="113" w:type="dxa"/>
          </w:tblCellMar>
        </w:tblPrEx>
        <w:trPr>
          <w:trHeight w:hRule="exact" w:val="113"/>
        </w:trPr>
        <w:tc>
          <w:tcPr>
            <w:tcW w:w="3122" w:type="dxa"/>
            <w:tcBorders>
              <w:top w:val="single" w:sz="12" w:space="0" w:color="auto"/>
              <w:bottom w:val="nil"/>
            </w:tcBorders>
            <w:shd w:val="clear" w:color="auto" w:fill="auto"/>
          </w:tcPr>
          <w:p w:rsidR="004C7A0D" w:rsidRPr="002A1AEC" w:rsidRDefault="004C7A0D" w:rsidP="00534E95">
            <w:pPr>
              <w:pStyle w:val="SingleTxtG"/>
              <w:suppressAutoHyphens w:val="0"/>
              <w:spacing w:before="40" w:line="220" w:lineRule="exact"/>
              <w:ind w:left="0" w:right="113"/>
              <w:rPr>
                <w:lang w:val="fr-FR"/>
              </w:rPr>
            </w:pPr>
          </w:p>
        </w:tc>
        <w:tc>
          <w:tcPr>
            <w:tcW w:w="4248" w:type="dxa"/>
            <w:gridSpan w:val="2"/>
            <w:tcBorders>
              <w:top w:val="single" w:sz="12" w:space="0" w:color="auto"/>
              <w:bottom w:val="nil"/>
            </w:tcBorders>
            <w:shd w:val="clear" w:color="auto" w:fill="auto"/>
          </w:tcPr>
          <w:p w:rsidR="004C7A0D" w:rsidRPr="002A1AEC" w:rsidRDefault="004C7A0D" w:rsidP="00534E95">
            <w:pPr>
              <w:pStyle w:val="SingleTxtG"/>
              <w:suppressAutoHyphens w:val="0"/>
              <w:spacing w:before="40" w:line="220" w:lineRule="exact"/>
              <w:ind w:left="0" w:right="113"/>
              <w:rPr>
                <w:lang w:val="fr-FR"/>
              </w:rPr>
            </w:pPr>
          </w:p>
        </w:tc>
      </w:tr>
      <w:tr w:rsidR="00C91769" w:rsidRPr="002A1AEC" w:rsidTr="004C7A0D">
        <w:trPr>
          <w:trHeight w:val="240"/>
        </w:trPr>
        <w:tc>
          <w:tcPr>
            <w:tcW w:w="3272" w:type="dxa"/>
            <w:gridSpan w:val="2"/>
            <w:tcBorders>
              <w:top w:val="nil"/>
              <w:bottom w:val="nil"/>
            </w:tcBorders>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Adoption des constatations</w:t>
            </w:r>
            <w:r w:rsidR="008B46E8">
              <w:rPr>
                <w:lang w:val="fr-FR"/>
              </w:rPr>
              <w:t> </w:t>
            </w:r>
            <w:r w:rsidRPr="002A1AEC">
              <w:rPr>
                <w:lang w:val="fr-FR"/>
              </w:rPr>
              <w:t>:</w:t>
            </w:r>
          </w:p>
        </w:tc>
        <w:tc>
          <w:tcPr>
            <w:tcW w:w="4098" w:type="dxa"/>
            <w:tcBorders>
              <w:top w:val="nil"/>
              <w:bottom w:val="nil"/>
            </w:tcBorders>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1</w:t>
            </w:r>
            <w:r w:rsidRPr="002A1AEC">
              <w:rPr>
                <w:vertAlign w:val="superscript"/>
                <w:lang w:val="fr-FR"/>
              </w:rPr>
              <w:t>er</w:t>
            </w:r>
            <w:r w:rsidR="008B46E8">
              <w:rPr>
                <w:lang w:val="fr-FR"/>
              </w:rPr>
              <w:t> </w:t>
            </w:r>
            <w:r w:rsidRPr="002A1AEC">
              <w:rPr>
                <w:lang w:val="fr-FR"/>
              </w:rPr>
              <w:t xml:space="preserve">avril 2016 </w:t>
            </w:r>
          </w:p>
        </w:tc>
      </w:tr>
      <w:tr w:rsidR="00C91769" w:rsidRPr="002A1AEC" w:rsidTr="004C7A0D">
        <w:trPr>
          <w:trHeight w:val="240"/>
        </w:trPr>
        <w:tc>
          <w:tcPr>
            <w:tcW w:w="3272" w:type="dxa"/>
            <w:gridSpan w:val="2"/>
            <w:tcBorders>
              <w:top w:val="nil"/>
              <w:bottom w:val="nil"/>
            </w:tcBorders>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Première réponse de l</w:t>
            </w:r>
            <w:r w:rsidR="0081542E">
              <w:rPr>
                <w:lang w:val="fr-FR"/>
              </w:rPr>
              <w:t>’</w:t>
            </w:r>
            <w:r w:rsidRPr="002A1AEC">
              <w:rPr>
                <w:lang w:val="fr-FR"/>
              </w:rPr>
              <w:t>État partie</w:t>
            </w:r>
            <w:r w:rsidR="008B46E8">
              <w:rPr>
                <w:lang w:val="fr-FR"/>
              </w:rPr>
              <w:t> </w:t>
            </w:r>
            <w:r w:rsidRPr="002A1AEC">
              <w:rPr>
                <w:lang w:val="fr-FR"/>
              </w:rPr>
              <w:t>:</w:t>
            </w:r>
          </w:p>
        </w:tc>
        <w:tc>
          <w:tcPr>
            <w:tcW w:w="4098" w:type="dxa"/>
            <w:tcBorders>
              <w:top w:val="nil"/>
              <w:bottom w:val="nil"/>
            </w:tcBorders>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Attendue le 25</w:t>
            </w:r>
            <w:r w:rsidR="008B46E8">
              <w:rPr>
                <w:lang w:val="fr-FR"/>
              </w:rPr>
              <w:t> </w:t>
            </w:r>
            <w:r w:rsidRPr="002A1AEC">
              <w:rPr>
                <w:lang w:val="fr-FR"/>
              </w:rPr>
              <w:t>octobre 2016. Reçue le 24</w:t>
            </w:r>
            <w:r w:rsidR="008B46E8">
              <w:rPr>
                <w:lang w:val="fr-FR"/>
              </w:rPr>
              <w:t> </w:t>
            </w:r>
            <w:r w:rsidRPr="002A1AEC">
              <w:rPr>
                <w:lang w:val="fr-FR"/>
              </w:rPr>
              <w:t>octobre 2016.</w:t>
            </w:r>
          </w:p>
        </w:tc>
      </w:tr>
      <w:tr w:rsidR="00C91769" w:rsidRPr="002A1AEC" w:rsidTr="008B46E8">
        <w:trPr>
          <w:trHeight w:val="240"/>
        </w:trPr>
        <w:tc>
          <w:tcPr>
            <w:tcW w:w="3272" w:type="dxa"/>
            <w:gridSpan w:val="2"/>
            <w:tcBorders>
              <w:top w:val="nil"/>
              <w:bottom w:val="nil"/>
            </w:tcBorders>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Mesures prises</w:t>
            </w:r>
            <w:r w:rsidR="008B46E8">
              <w:rPr>
                <w:lang w:val="fr-FR"/>
              </w:rPr>
              <w:t> </w:t>
            </w:r>
            <w:r w:rsidRPr="002A1AEC">
              <w:rPr>
                <w:lang w:val="fr-FR"/>
              </w:rPr>
              <w:t xml:space="preserve">: </w:t>
            </w:r>
          </w:p>
        </w:tc>
        <w:tc>
          <w:tcPr>
            <w:tcW w:w="4098" w:type="dxa"/>
            <w:tcBorders>
              <w:top w:val="nil"/>
              <w:bottom w:val="nil"/>
            </w:tcBorders>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Un accusé de réception a été envoyé à l</w:t>
            </w:r>
            <w:r w:rsidR="0081542E">
              <w:rPr>
                <w:lang w:val="fr-FR"/>
              </w:rPr>
              <w:t>’</w:t>
            </w:r>
            <w:r w:rsidRPr="002A1AEC">
              <w:rPr>
                <w:lang w:val="fr-FR"/>
              </w:rPr>
              <w:t>État partie et la réponse transmise à l</w:t>
            </w:r>
            <w:r w:rsidR="0081542E">
              <w:rPr>
                <w:lang w:val="fr-FR"/>
              </w:rPr>
              <w:t>’</w:t>
            </w:r>
            <w:r w:rsidRPr="002A1AEC">
              <w:rPr>
                <w:lang w:val="fr-FR"/>
              </w:rPr>
              <w:t xml:space="preserve">auteur le 28 octobre 2016, </w:t>
            </w:r>
            <w:r w:rsidRPr="0086344B">
              <w:rPr>
                <w:lang w:val="fr-FR"/>
              </w:rPr>
              <w:t>la date limite pour les commentaires étant fixée au</w:t>
            </w:r>
            <w:r w:rsidRPr="002A1AEC">
              <w:rPr>
                <w:lang w:val="fr-FR"/>
              </w:rPr>
              <w:t xml:space="preserve"> 28</w:t>
            </w:r>
            <w:r w:rsidR="008B46E8">
              <w:rPr>
                <w:lang w:val="fr-FR"/>
              </w:rPr>
              <w:t> </w:t>
            </w:r>
            <w:r w:rsidRPr="002A1AEC">
              <w:rPr>
                <w:lang w:val="fr-FR"/>
              </w:rPr>
              <w:t>novembre 2016.</w:t>
            </w:r>
          </w:p>
        </w:tc>
      </w:tr>
      <w:tr w:rsidR="00C91769" w:rsidRPr="002A1AEC" w:rsidTr="008B46E8">
        <w:trPr>
          <w:trHeight w:val="240"/>
        </w:trPr>
        <w:tc>
          <w:tcPr>
            <w:tcW w:w="3272" w:type="dxa"/>
            <w:gridSpan w:val="2"/>
            <w:tcBorders>
              <w:top w:val="nil"/>
            </w:tcBorders>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Réponse de l</w:t>
            </w:r>
            <w:r w:rsidR="0081542E">
              <w:rPr>
                <w:lang w:val="fr-FR"/>
              </w:rPr>
              <w:t>’</w:t>
            </w:r>
            <w:r w:rsidRPr="002A1AEC">
              <w:rPr>
                <w:lang w:val="fr-FR"/>
              </w:rPr>
              <w:t>auteur</w:t>
            </w:r>
            <w:r w:rsidR="008B46E8">
              <w:rPr>
                <w:lang w:val="fr-FR"/>
              </w:rPr>
              <w:t> </w:t>
            </w:r>
            <w:r w:rsidRPr="002A1AEC">
              <w:rPr>
                <w:lang w:val="fr-FR"/>
              </w:rPr>
              <w:t>:</w:t>
            </w:r>
          </w:p>
        </w:tc>
        <w:tc>
          <w:tcPr>
            <w:tcW w:w="4098" w:type="dxa"/>
            <w:tcBorders>
              <w:top w:val="nil"/>
            </w:tcBorders>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Après deux rappels, l</w:t>
            </w:r>
            <w:r w:rsidR="0081542E">
              <w:rPr>
                <w:lang w:val="fr-FR"/>
              </w:rPr>
              <w:t>’</w:t>
            </w:r>
            <w:r w:rsidRPr="002A1AEC">
              <w:rPr>
                <w:lang w:val="fr-FR"/>
              </w:rPr>
              <w:t>auteur a répondu qu</w:t>
            </w:r>
            <w:r w:rsidR="0081542E">
              <w:rPr>
                <w:lang w:val="fr-FR"/>
              </w:rPr>
              <w:t>’</w:t>
            </w:r>
            <w:r w:rsidRPr="002A1AEC">
              <w:rPr>
                <w:lang w:val="fr-FR"/>
              </w:rPr>
              <w:t>il remettrait ses commentaires au début de 2018.</w:t>
            </w:r>
          </w:p>
        </w:tc>
      </w:tr>
      <w:tr w:rsidR="00C91769" w:rsidRPr="002A1AEC" w:rsidTr="008B46E8">
        <w:trPr>
          <w:trHeight w:val="240"/>
        </w:trPr>
        <w:tc>
          <w:tcPr>
            <w:tcW w:w="3272" w:type="dxa"/>
            <w:gridSpan w:val="2"/>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Décision</w:t>
            </w:r>
            <w:r w:rsidR="008B46E8">
              <w:rPr>
                <w:lang w:val="fr-FR"/>
              </w:rPr>
              <w:t> </w:t>
            </w:r>
            <w:r w:rsidRPr="002A1AEC">
              <w:rPr>
                <w:lang w:val="fr-FR"/>
              </w:rPr>
              <w:t>:</w:t>
            </w:r>
          </w:p>
        </w:tc>
        <w:tc>
          <w:tcPr>
            <w:tcW w:w="4098" w:type="dxa"/>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Poursuivre le dialogue au titre du suivi. Le Comité attend les commentaires de l</w:t>
            </w:r>
            <w:r w:rsidR="0081542E">
              <w:rPr>
                <w:lang w:val="fr-FR"/>
              </w:rPr>
              <w:t>’</w:t>
            </w:r>
            <w:r w:rsidRPr="002A1AEC">
              <w:rPr>
                <w:lang w:val="fr-FR"/>
              </w:rPr>
              <w:t xml:space="preserve">auteur. </w:t>
            </w:r>
          </w:p>
        </w:tc>
      </w:tr>
    </w:tbl>
    <w:p w:rsidR="00C91769" w:rsidRPr="002A1AEC" w:rsidRDefault="00C91769" w:rsidP="00C91769">
      <w:pPr>
        <w:pStyle w:val="SingleTxtG"/>
        <w:rPr>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22"/>
        <w:gridCol w:w="150"/>
        <w:gridCol w:w="4098"/>
      </w:tblGrid>
      <w:tr w:rsidR="00C91769" w:rsidRPr="008B46E8" w:rsidTr="008B46E8">
        <w:trPr>
          <w:trHeight w:val="240"/>
          <w:tblHeader/>
        </w:trPr>
        <w:tc>
          <w:tcPr>
            <w:tcW w:w="7370" w:type="dxa"/>
            <w:gridSpan w:val="3"/>
            <w:tcBorders>
              <w:top w:val="single" w:sz="4" w:space="0" w:color="auto"/>
              <w:bottom w:val="single" w:sz="12" w:space="0" w:color="auto"/>
            </w:tcBorders>
            <w:shd w:val="clear" w:color="auto" w:fill="auto"/>
            <w:vAlign w:val="bottom"/>
          </w:tcPr>
          <w:p w:rsidR="00C91769" w:rsidRPr="008B46E8" w:rsidRDefault="00C91769" w:rsidP="008B46E8">
            <w:pPr>
              <w:pStyle w:val="SingleTxtG"/>
              <w:suppressAutoHyphens w:val="0"/>
              <w:spacing w:before="80" w:after="80" w:line="200" w:lineRule="exact"/>
              <w:ind w:left="0" w:right="113"/>
              <w:rPr>
                <w:b/>
                <w:bCs/>
                <w:i/>
                <w:lang w:val="fr-FR"/>
              </w:rPr>
            </w:pPr>
            <w:r w:rsidRPr="008B46E8">
              <w:rPr>
                <w:b/>
                <w:bCs/>
                <w:iCs/>
                <w:lang w:val="fr-FR"/>
              </w:rPr>
              <w:t>7.</w:t>
            </w:r>
            <w:r w:rsidRPr="008B46E8">
              <w:rPr>
                <w:b/>
                <w:bCs/>
                <w:iCs/>
                <w:lang w:val="fr-FR"/>
              </w:rPr>
              <w:tab/>
              <w:t xml:space="preserve">Communication </w:t>
            </w:r>
            <w:r w:rsidR="008B46E8" w:rsidRPr="008B46E8">
              <w:rPr>
                <w:rFonts w:eastAsia="MS Mincho"/>
                <w:b/>
                <w:bCs/>
                <w:iCs/>
                <w:szCs w:val="22"/>
                <w:lang w:val="fr-FR"/>
              </w:rPr>
              <w:t>n</w:t>
            </w:r>
            <w:r w:rsidR="008B46E8" w:rsidRPr="008B46E8">
              <w:rPr>
                <w:rFonts w:eastAsia="MS Mincho"/>
                <w:b/>
                <w:bCs/>
                <w:iCs/>
                <w:szCs w:val="22"/>
                <w:vertAlign w:val="superscript"/>
                <w:lang w:val="fr-FR"/>
              </w:rPr>
              <w:t>o</w:t>
            </w:r>
            <w:r w:rsidR="008B46E8">
              <w:rPr>
                <w:b/>
                <w:bCs/>
                <w:iCs/>
                <w:lang w:val="fr-FR"/>
              </w:rPr>
              <w:t> </w:t>
            </w:r>
            <w:r w:rsidRPr="008B46E8">
              <w:rPr>
                <w:b/>
                <w:bCs/>
                <w:iCs/>
                <w:lang w:val="fr-FR"/>
              </w:rPr>
              <w:t>13/2013,</w:t>
            </w:r>
            <w:r w:rsidRPr="008B46E8">
              <w:rPr>
                <w:b/>
                <w:bCs/>
                <w:i/>
                <w:lang w:val="fr-FR"/>
              </w:rPr>
              <w:t xml:space="preserve"> Michael </w:t>
            </w:r>
            <w:proofErr w:type="spellStart"/>
            <w:r w:rsidRPr="008B46E8">
              <w:rPr>
                <w:b/>
                <w:bCs/>
                <w:i/>
                <w:lang w:val="fr-FR"/>
              </w:rPr>
              <w:t>Lockrey</w:t>
            </w:r>
            <w:proofErr w:type="spellEnd"/>
            <w:r w:rsidRPr="008B46E8">
              <w:rPr>
                <w:b/>
                <w:bCs/>
                <w:i/>
                <w:lang w:val="fr-FR"/>
              </w:rPr>
              <w:t xml:space="preserve"> </w:t>
            </w:r>
            <w:r w:rsidRPr="008B46E8">
              <w:rPr>
                <w:b/>
                <w:bCs/>
                <w:lang w:val="fr-FR"/>
              </w:rPr>
              <w:t>c</w:t>
            </w:r>
            <w:r w:rsidRPr="008B46E8">
              <w:rPr>
                <w:b/>
                <w:bCs/>
                <w:i/>
                <w:lang w:val="fr-FR"/>
              </w:rPr>
              <w:t>. Australie</w:t>
            </w:r>
          </w:p>
        </w:tc>
      </w:tr>
      <w:tr w:rsidR="004C7A0D" w:rsidRPr="002A1AEC" w:rsidTr="004C7A0D">
        <w:tblPrEx>
          <w:tblCellMar>
            <w:right w:w="113" w:type="dxa"/>
          </w:tblCellMar>
        </w:tblPrEx>
        <w:trPr>
          <w:trHeight w:hRule="exact" w:val="113"/>
        </w:trPr>
        <w:tc>
          <w:tcPr>
            <w:tcW w:w="3122" w:type="dxa"/>
            <w:tcBorders>
              <w:top w:val="single" w:sz="12" w:space="0" w:color="auto"/>
              <w:bottom w:val="nil"/>
            </w:tcBorders>
            <w:shd w:val="clear" w:color="auto" w:fill="auto"/>
          </w:tcPr>
          <w:p w:rsidR="004C7A0D" w:rsidRPr="002A1AEC" w:rsidRDefault="004C7A0D" w:rsidP="00534E95">
            <w:pPr>
              <w:pStyle w:val="SingleTxtG"/>
              <w:suppressAutoHyphens w:val="0"/>
              <w:spacing w:before="40" w:line="220" w:lineRule="exact"/>
              <w:ind w:left="0" w:right="113"/>
              <w:rPr>
                <w:lang w:val="fr-FR"/>
              </w:rPr>
            </w:pPr>
          </w:p>
        </w:tc>
        <w:tc>
          <w:tcPr>
            <w:tcW w:w="4248" w:type="dxa"/>
            <w:gridSpan w:val="2"/>
            <w:tcBorders>
              <w:top w:val="single" w:sz="12" w:space="0" w:color="auto"/>
              <w:bottom w:val="nil"/>
            </w:tcBorders>
            <w:shd w:val="clear" w:color="auto" w:fill="auto"/>
          </w:tcPr>
          <w:p w:rsidR="004C7A0D" w:rsidRPr="002A1AEC" w:rsidRDefault="004C7A0D" w:rsidP="00534E95">
            <w:pPr>
              <w:pStyle w:val="SingleTxtG"/>
              <w:suppressAutoHyphens w:val="0"/>
              <w:spacing w:before="40" w:line="220" w:lineRule="exact"/>
              <w:ind w:left="0" w:right="113"/>
              <w:rPr>
                <w:lang w:val="fr-FR"/>
              </w:rPr>
            </w:pPr>
          </w:p>
        </w:tc>
      </w:tr>
      <w:tr w:rsidR="00C91769" w:rsidRPr="002A1AEC" w:rsidTr="004C7A0D">
        <w:trPr>
          <w:trHeight w:val="240"/>
        </w:trPr>
        <w:tc>
          <w:tcPr>
            <w:tcW w:w="3272" w:type="dxa"/>
            <w:gridSpan w:val="2"/>
            <w:tcBorders>
              <w:top w:val="nil"/>
              <w:bottom w:val="nil"/>
            </w:tcBorders>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Adoption des constatations</w:t>
            </w:r>
            <w:r w:rsidR="008B46E8">
              <w:rPr>
                <w:lang w:val="fr-FR"/>
              </w:rPr>
              <w:t> </w:t>
            </w:r>
            <w:r w:rsidRPr="002A1AEC">
              <w:rPr>
                <w:lang w:val="fr-FR"/>
              </w:rPr>
              <w:t>:</w:t>
            </w:r>
          </w:p>
        </w:tc>
        <w:tc>
          <w:tcPr>
            <w:tcW w:w="4098" w:type="dxa"/>
            <w:tcBorders>
              <w:top w:val="nil"/>
              <w:bottom w:val="nil"/>
            </w:tcBorders>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1</w:t>
            </w:r>
            <w:r w:rsidRPr="002A1AEC">
              <w:rPr>
                <w:vertAlign w:val="superscript"/>
                <w:lang w:val="fr-FR"/>
              </w:rPr>
              <w:t>er</w:t>
            </w:r>
            <w:r w:rsidR="008B46E8">
              <w:rPr>
                <w:lang w:val="fr-FR"/>
              </w:rPr>
              <w:t> </w:t>
            </w:r>
            <w:r w:rsidRPr="002A1AEC">
              <w:rPr>
                <w:lang w:val="fr-FR"/>
              </w:rPr>
              <w:t xml:space="preserve">avril 2016 </w:t>
            </w:r>
          </w:p>
        </w:tc>
      </w:tr>
      <w:tr w:rsidR="00C91769" w:rsidRPr="002A1AEC" w:rsidTr="004C7A0D">
        <w:trPr>
          <w:trHeight w:val="240"/>
        </w:trPr>
        <w:tc>
          <w:tcPr>
            <w:tcW w:w="3272" w:type="dxa"/>
            <w:gridSpan w:val="2"/>
            <w:tcBorders>
              <w:top w:val="nil"/>
            </w:tcBorders>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Première réponse de l</w:t>
            </w:r>
            <w:r w:rsidR="0081542E">
              <w:rPr>
                <w:lang w:val="fr-FR"/>
              </w:rPr>
              <w:t>’</w:t>
            </w:r>
            <w:r w:rsidRPr="002A1AEC">
              <w:rPr>
                <w:lang w:val="fr-FR"/>
              </w:rPr>
              <w:t>État partie</w:t>
            </w:r>
            <w:r w:rsidR="008B46E8">
              <w:rPr>
                <w:lang w:val="fr-FR"/>
              </w:rPr>
              <w:t> </w:t>
            </w:r>
            <w:r w:rsidRPr="002A1AEC">
              <w:rPr>
                <w:lang w:val="fr-FR"/>
              </w:rPr>
              <w:t>:</w:t>
            </w:r>
          </w:p>
        </w:tc>
        <w:tc>
          <w:tcPr>
            <w:tcW w:w="4098" w:type="dxa"/>
            <w:tcBorders>
              <w:top w:val="nil"/>
            </w:tcBorders>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Attendue le 25</w:t>
            </w:r>
            <w:r w:rsidR="008B46E8">
              <w:rPr>
                <w:lang w:val="fr-FR"/>
              </w:rPr>
              <w:t> </w:t>
            </w:r>
            <w:r w:rsidRPr="002A1AEC">
              <w:rPr>
                <w:lang w:val="fr-FR"/>
              </w:rPr>
              <w:t>octobre 2016. Reçue le 24</w:t>
            </w:r>
            <w:r w:rsidR="008B46E8">
              <w:rPr>
                <w:lang w:val="fr-FR"/>
              </w:rPr>
              <w:t> </w:t>
            </w:r>
            <w:r w:rsidRPr="002A1AEC">
              <w:rPr>
                <w:lang w:val="fr-FR"/>
              </w:rPr>
              <w:t>octobre 2016.</w:t>
            </w:r>
          </w:p>
        </w:tc>
      </w:tr>
      <w:tr w:rsidR="00C91769" w:rsidRPr="002A1AEC" w:rsidTr="008B46E8">
        <w:trPr>
          <w:trHeight w:val="240"/>
        </w:trPr>
        <w:tc>
          <w:tcPr>
            <w:tcW w:w="3272" w:type="dxa"/>
            <w:gridSpan w:val="2"/>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Mesures prises</w:t>
            </w:r>
            <w:r w:rsidR="008B46E8">
              <w:rPr>
                <w:lang w:val="fr-FR"/>
              </w:rPr>
              <w:t> </w:t>
            </w:r>
            <w:r w:rsidRPr="002A1AEC">
              <w:rPr>
                <w:lang w:val="fr-FR"/>
              </w:rPr>
              <w:t xml:space="preserve">: </w:t>
            </w:r>
          </w:p>
        </w:tc>
        <w:tc>
          <w:tcPr>
            <w:tcW w:w="4098" w:type="dxa"/>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Un accusé de réception a été envoyé à l</w:t>
            </w:r>
            <w:r w:rsidR="0081542E">
              <w:rPr>
                <w:lang w:val="fr-FR"/>
              </w:rPr>
              <w:t>’</w:t>
            </w:r>
            <w:r w:rsidRPr="002A1AEC">
              <w:rPr>
                <w:lang w:val="fr-FR"/>
              </w:rPr>
              <w:t>État partie et la réponse transmise à l</w:t>
            </w:r>
            <w:r w:rsidR="0081542E">
              <w:rPr>
                <w:lang w:val="fr-FR"/>
              </w:rPr>
              <w:t>’</w:t>
            </w:r>
            <w:r w:rsidRPr="002A1AEC">
              <w:rPr>
                <w:lang w:val="fr-FR"/>
              </w:rPr>
              <w:t xml:space="preserve">auteur le 28 octobre 2016, </w:t>
            </w:r>
            <w:r w:rsidRPr="0086344B">
              <w:rPr>
                <w:lang w:val="fr-FR"/>
              </w:rPr>
              <w:t>la date limite pour les commentaires étant fixée au</w:t>
            </w:r>
            <w:r w:rsidRPr="002A1AEC">
              <w:rPr>
                <w:lang w:val="fr-FR"/>
              </w:rPr>
              <w:t xml:space="preserve"> 28</w:t>
            </w:r>
            <w:r w:rsidR="008B46E8">
              <w:rPr>
                <w:lang w:val="fr-FR"/>
              </w:rPr>
              <w:t> </w:t>
            </w:r>
            <w:r w:rsidRPr="002A1AEC">
              <w:rPr>
                <w:lang w:val="fr-FR"/>
              </w:rPr>
              <w:t>novembre 2016.</w:t>
            </w:r>
          </w:p>
        </w:tc>
      </w:tr>
      <w:tr w:rsidR="00C91769" w:rsidRPr="002A1AEC" w:rsidTr="008B46E8">
        <w:trPr>
          <w:trHeight w:val="240"/>
        </w:trPr>
        <w:tc>
          <w:tcPr>
            <w:tcW w:w="3272" w:type="dxa"/>
            <w:gridSpan w:val="2"/>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Réponse de l</w:t>
            </w:r>
            <w:r w:rsidR="0081542E">
              <w:rPr>
                <w:lang w:val="fr-FR"/>
              </w:rPr>
              <w:t>’</w:t>
            </w:r>
            <w:r w:rsidRPr="002A1AEC">
              <w:rPr>
                <w:lang w:val="fr-FR"/>
              </w:rPr>
              <w:t>auteur</w:t>
            </w:r>
            <w:r w:rsidR="008B46E8">
              <w:rPr>
                <w:lang w:val="fr-FR"/>
              </w:rPr>
              <w:t> </w:t>
            </w:r>
            <w:r w:rsidRPr="002A1AEC">
              <w:rPr>
                <w:lang w:val="fr-FR"/>
              </w:rPr>
              <w:t>:</w:t>
            </w:r>
          </w:p>
        </w:tc>
        <w:tc>
          <w:tcPr>
            <w:tcW w:w="4098" w:type="dxa"/>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Après deux rappels, l</w:t>
            </w:r>
            <w:r w:rsidR="0081542E">
              <w:rPr>
                <w:lang w:val="fr-FR"/>
              </w:rPr>
              <w:t>’</w:t>
            </w:r>
            <w:r w:rsidRPr="002A1AEC">
              <w:rPr>
                <w:lang w:val="fr-FR"/>
              </w:rPr>
              <w:t>auteur a répondu qu</w:t>
            </w:r>
            <w:r w:rsidR="0081542E">
              <w:rPr>
                <w:lang w:val="fr-FR"/>
              </w:rPr>
              <w:t>’</w:t>
            </w:r>
            <w:r w:rsidRPr="002A1AEC">
              <w:rPr>
                <w:lang w:val="fr-FR"/>
              </w:rPr>
              <w:t>il remettrait ses commentaires au début de 2018.</w:t>
            </w:r>
          </w:p>
        </w:tc>
      </w:tr>
      <w:tr w:rsidR="00C91769" w:rsidRPr="002A1AEC" w:rsidTr="008B46E8">
        <w:trPr>
          <w:trHeight w:val="240"/>
        </w:trPr>
        <w:tc>
          <w:tcPr>
            <w:tcW w:w="3272" w:type="dxa"/>
            <w:gridSpan w:val="2"/>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Décision</w:t>
            </w:r>
            <w:r w:rsidR="008B46E8">
              <w:rPr>
                <w:lang w:val="fr-FR"/>
              </w:rPr>
              <w:t> </w:t>
            </w:r>
            <w:r w:rsidRPr="002A1AEC">
              <w:rPr>
                <w:lang w:val="fr-FR"/>
              </w:rPr>
              <w:t>:</w:t>
            </w:r>
          </w:p>
        </w:tc>
        <w:tc>
          <w:tcPr>
            <w:tcW w:w="4098" w:type="dxa"/>
            <w:shd w:val="clear" w:color="auto" w:fill="auto"/>
          </w:tcPr>
          <w:p w:rsidR="00C91769" w:rsidRPr="002A1AEC" w:rsidRDefault="00C91769" w:rsidP="008B46E8">
            <w:pPr>
              <w:pStyle w:val="SingleTxtG"/>
              <w:suppressAutoHyphens w:val="0"/>
              <w:spacing w:before="40" w:line="220" w:lineRule="exact"/>
              <w:ind w:left="0" w:right="113"/>
              <w:rPr>
                <w:lang w:val="fr-FR"/>
              </w:rPr>
            </w:pPr>
            <w:r w:rsidRPr="002A1AEC">
              <w:rPr>
                <w:lang w:val="fr-FR"/>
              </w:rPr>
              <w:t>Poursuivre le dialogue au titre du suivi. Le Comité attend les commentaires de l</w:t>
            </w:r>
            <w:r w:rsidR="0081542E">
              <w:rPr>
                <w:lang w:val="fr-FR"/>
              </w:rPr>
              <w:t>’</w:t>
            </w:r>
            <w:r w:rsidRPr="002A1AEC">
              <w:rPr>
                <w:lang w:val="fr-FR"/>
              </w:rPr>
              <w:t>auteur.</w:t>
            </w:r>
          </w:p>
        </w:tc>
      </w:tr>
    </w:tbl>
    <w:p w:rsidR="00C91769" w:rsidRPr="008B46E8" w:rsidRDefault="008B46E8" w:rsidP="008B46E8">
      <w:pPr>
        <w:pStyle w:val="SingleTxtG"/>
        <w:spacing w:before="240" w:after="0"/>
        <w:jc w:val="center"/>
        <w:rPr>
          <w:u w:val="single"/>
        </w:rPr>
      </w:pPr>
      <w:r>
        <w:rPr>
          <w:u w:val="single"/>
        </w:rPr>
        <w:tab/>
      </w:r>
      <w:r>
        <w:rPr>
          <w:u w:val="single"/>
        </w:rPr>
        <w:tab/>
      </w:r>
      <w:r>
        <w:rPr>
          <w:u w:val="single"/>
        </w:rPr>
        <w:tab/>
      </w:r>
    </w:p>
    <w:sectPr w:rsidR="00C91769" w:rsidRPr="008B46E8" w:rsidSect="00C9176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E8" w:rsidRDefault="008B46E8" w:rsidP="00F95C08">
      <w:pPr>
        <w:spacing w:line="240" w:lineRule="auto"/>
      </w:pPr>
    </w:p>
  </w:endnote>
  <w:endnote w:type="continuationSeparator" w:id="0">
    <w:p w:rsidR="008B46E8" w:rsidRPr="00AC3823" w:rsidRDefault="008B46E8" w:rsidP="00AC3823">
      <w:pPr>
        <w:pStyle w:val="Pieddepage"/>
      </w:pPr>
    </w:p>
  </w:endnote>
  <w:endnote w:type="continuationNotice" w:id="1">
    <w:p w:rsidR="008B46E8" w:rsidRDefault="008B46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6E8" w:rsidRPr="00C91769" w:rsidRDefault="008B46E8" w:rsidP="00C91769">
    <w:pPr>
      <w:pStyle w:val="Pieddepage"/>
      <w:tabs>
        <w:tab w:val="right" w:pos="9638"/>
      </w:tabs>
    </w:pPr>
    <w:r w:rsidRPr="00C91769">
      <w:rPr>
        <w:b/>
        <w:sz w:val="18"/>
      </w:rPr>
      <w:fldChar w:fldCharType="begin"/>
    </w:r>
    <w:r w:rsidRPr="00C91769">
      <w:rPr>
        <w:b/>
        <w:sz w:val="18"/>
      </w:rPr>
      <w:instrText xml:space="preserve"> PAGE  \* MERGEFORMAT </w:instrText>
    </w:r>
    <w:r w:rsidRPr="00C91769">
      <w:rPr>
        <w:b/>
        <w:sz w:val="18"/>
      </w:rPr>
      <w:fldChar w:fldCharType="separate"/>
    </w:r>
    <w:r w:rsidR="00312BC6">
      <w:rPr>
        <w:b/>
        <w:noProof/>
        <w:sz w:val="18"/>
      </w:rPr>
      <w:t>8</w:t>
    </w:r>
    <w:r w:rsidRPr="00C91769">
      <w:rPr>
        <w:b/>
        <w:sz w:val="18"/>
      </w:rPr>
      <w:fldChar w:fldCharType="end"/>
    </w:r>
    <w:r>
      <w:rPr>
        <w:b/>
        <w:sz w:val="18"/>
      </w:rPr>
      <w:tab/>
    </w:r>
    <w:r>
      <w:t>GE.18-05433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6E8" w:rsidRPr="00C91769" w:rsidRDefault="008B46E8" w:rsidP="00C91769">
    <w:pPr>
      <w:pStyle w:val="Pieddepage"/>
      <w:tabs>
        <w:tab w:val="right" w:pos="9638"/>
      </w:tabs>
      <w:rPr>
        <w:b/>
        <w:sz w:val="18"/>
      </w:rPr>
    </w:pPr>
    <w:r>
      <w:t>GE.18-05433</w:t>
    </w:r>
    <w:r>
      <w:tab/>
    </w:r>
    <w:r w:rsidRPr="00C91769">
      <w:rPr>
        <w:b/>
        <w:sz w:val="18"/>
      </w:rPr>
      <w:fldChar w:fldCharType="begin"/>
    </w:r>
    <w:r w:rsidRPr="00C91769">
      <w:rPr>
        <w:b/>
        <w:sz w:val="18"/>
      </w:rPr>
      <w:instrText xml:space="preserve"> PAGE  \* MERGEFORMAT </w:instrText>
    </w:r>
    <w:r w:rsidRPr="00C91769">
      <w:rPr>
        <w:b/>
        <w:sz w:val="18"/>
      </w:rPr>
      <w:fldChar w:fldCharType="separate"/>
    </w:r>
    <w:r w:rsidR="007A4A56">
      <w:rPr>
        <w:b/>
        <w:noProof/>
        <w:sz w:val="18"/>
      </w:rPr>
      <w:t>7</w:t>
    </w:r>
    <w:r w:rsidRPr="00C917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6E8" w:rsidRPr="00C91769" w:rsidRDefault="008B46E8" w:rsidP="00C9176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18-05433  (F)</w:t>
    </w:r>
    <w:r w:rsidR="00741757">
      <w:rPr>
        <w:sz w:val="20"/>
      </w:rPr>
      <w:t xml:space="preserve">    280518    280518</w:t>
    </w:r>
    <w:r>
      <w:rPr>
        <w:sz w:val="20"/>
      </w:rPr>
      <w:br/>
    </w:r>
    <w:r w:rsidRPr="00C91769">
      <w:rPr>
        <w:rFonts w:ascii="C39T30Lfz" w:hAnsi="C39T30Lfz"/>
        <w:sz w:val="56"/>
      </w:rPr>
      <w:t></w:t>
    </w:r>
    <w:r w:rsidRPr="00C91769">
      <w:rPr>
        <w:rFonts w:ascii="C39T30Lfz" w:hAnsi="C39T30Lfz"/>
        <w:sz w:val="56"/>
      </w:rPr>
      <w:t></w:t>
    </w:r>
    <w:r w:rsidRPr="00C91769">
      <w:rPr>
        <w:rFonts w:ascii="C39T30Lfz" w:hAnsi="C39T30Lfz"/>
        <w:sz w:val="56"/>
      </w:rPr>
      <w:t></w:t>
    </w:r>
    <w:r w:rsidRPr="00C91769">
      <w:rPr>
        <w:rFonts w:ascii="C39T30Lfz" w:hAnsi="C39T30Lfz"/>
        <w:sz w:val="56"/>
      </w:rPr>
      <w:t></w:t>
    </w:r>
    <w:r w:rsidRPr="00C91769">
      <w:rPr>
        <w:rFonts w:ascii="C39T30Lfz" w:hAnsi="C39T30Lfz"/>
        <w:sz w:val="56"/>
      </w:rPr>
      <w:t></w:t>
    </w:r>
    <w:r w:rsidRPr="00C91769">
      <w:rPr>
        <w:rFonts w:ascii="C39T30Lfz" w:hAnsi="C39T30Lfz"/>
        <w:sz w:val="56"/>
      </w:rPr>
      <w:t></w:t>
    </w:r>
    <w:r w:rsidRPr="00C91769">
      <w:rPr>
        <w:rFonts w:ascii="C39T30Lfz" w:hAnsi="C39T30Lfz"/>
        <w:sz w:val="56"/>
      </w:rPr>
      <w:t></w:t>
    </w:r>
    <w:r w:rsidRPr="00C91769">
      <w:rPr>
        <w:rFonts w:ascii="C39T30Lfz" w:hAnsi="C39T30Lfz"/>
        <w:sz w:val="56"/>
      </w:rPr>
      <w:t></w:t>
    </w:r>
    <w:r w:rsidRPr="00C9176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1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E8" w:rsidRPr="00AC3823" w:rsidRDefault="008B46E8" w:rsidP="00AC3823">
      <w:pPr>
        <w:pStyle w:val="Pieddepage"/>
        <w:tabs>
          <w:tab w:val="right" w:pos="2155"/>
        </w:tabs>
        <w:spacing w:after="80" w:line="240" w:lineRule="atLeast"/>
        <w:ind w:left="680"/>
        <w:rPr>
          <w:u w:val="single"/>
        </w:rPr>
      </w:pPr>
      <w:r>
        <w:rPr>
          <w:u w:val="single"/>
        </w:rPr>
        <w:tab/>
      </w:r>
    </w:p>
  </w:footnote>
  <w:footnote w:type="continuationSeparator" w:id="0">
    <w:p w:rsidR="008B46E8" w:rsidRPr="00AC3823" w:rsidRDefault="008B46E8" w:rsidP="00AC3823">
      <w:pPr>
        <w:pStyle w:val="Pieddepage"/>
        <w:tabs>
          <w:tab w:val="right" w:pos="2155"/>
        </w:tabs>
        <w:spacing w:after="80" w:line="240" w:lineRule="atLeast"/>
        <w:ind w:left="680"/>
        <w:rPr>
          <w:u w:val="single"/>
        </w:rPr>
      </w:pPr>
      <w:r>
        <w:rPr>
          <w:u w:val="single"/>
        </w:rPr>
        <w:tab/>
      </w:r>
    </w:p>
  </w:footnote>
  <w:footnote w:type="continuationNotice" w:id="1">
    <w:p w:rsidR="008B46E8" w:rsidRPr="00AC3823" w:rsidRDefault="008B46E8">
      <w:pPr>
        <w:spacing w:line="240" w:lineRule="auto"/>
        <w:rPr>
          <w:sz w:val="2"/>
          <w:szCs w:val="2"/>
        </w:rPr>
      </w:pPr>
    </w:p>
  </w:footnote>
  <w:footnote w:id="2">
    <w:p w:rsidR="008B46E8" w:rsidRPr="00783E69" w:rsidRDefault="008B46E8" w:rsidP="00744CBC">
      <w:pPr>
        <w:pStyle w:val="Notedebasdepage"/>
      </w:pPr>
      <w:r>
        <w:tab/>
      </w:r>
      <w:r>
        <w:rPr>
          <w:rStyle w:val="Appelnotedebasdep"/>
        </w:rPr>
        <w:footnoteRef/>
      </w:r>
      <w:r>
        <w:tab/>
      </w:r>
      <w:r w:rsidRPr="00783E69">
        <w:t xml:space="preserve">Voir </w:t>
      </w:r>
      <w:r w:rsidRPr="00783E69">
        <w:rPr>
          <w:i/>
        </w:rPr>
        <w:t>A.</w:t>
      </w:r>
      <w:r w:rsidRPr="00783E69">
        <w:t xml:space="preserve"> c. </w:t>
      </w:r>
      <w:r w:rsidRPr="00783E69">
        <w:rPr>
          <w:i/>
        </w:rPr>
        <w:t xml:space="preserve">Nouvelle-Zélande </w:t>
      </w:r>
      <w:r w:rsidRPr="00783E69">
        <w:t>(CCPR/C/66/D/754/1997), par.</w:t>
      </w:r>
      <w:r>
        <w:t>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6E8" w:rsidRPr="00C91769" w:rsidRDefault="008B46E8">
    <w:pPr>
      <w:pStyle w:val="En-tte"/>
    </w:pPr>
    <w:fldSimple w:instr=" TITLE  \* MERGEFORMAT ">
      <w:r w:rsidR="00BB1C3D">
        <w:t>CRPD/C/19/4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6E8" w:rsidRPr="00C91769" w:rsidRDefault="008B46E8" w:rsidP="00C91769">
    <w:pPr>
      <w:pStyle w:val="En-tte"/>
      <w:jc w:val="right"/>
    </w:pPr>
    <w:fldSimple w:instr=" TITLE  \* MERGEFORMAT ">
      <w:r w:rsidR="00BB1C3D">
        <w:t>CRPD/C/19/4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D2"/>
    <w:rsid w:val="00017F94"/>
    <w:rsid w:val="00023842"/>
    <w:rsid w:val="000334F9"/>
    <w:rsid w:val="0007796D"/>
    <w:rsid w:val="000B7790"/>
    <w:rsid w:val="00111F2F"/>
    <w:rsid w:val="001273BC"/>
    <w:rsid w:val="0014365E"/>
    <w:rsid w:val="00176178"/>
    <w:rsid w:val="001F525A"/>
    <w:rsid w:val="00215E5A"/>
    <w:rsid w:val="00223272"/>
    <w:rsid w:val="0024779E"/>
    <w:rsid w:val="00275896"/>
    <w:rsid w:val="00312BC6"/>
    <w:rsid w:val="00336EDE"/>
    <w:rsid w:val="003A4C0C"/>
    <w:rsid w:val="003C5869"/>
    <w:rsid w:val="00446FE5"/>
    <w:rsid w:val="00452396"/>
    <w:rsid w:val="004C3A66"/>
    <w:rsid w:val="004C7A0D"/>
    <w:rsid w:val="00545DFA"/>
    <w:rsid w:val="005505B7"/>
    <w:rsid w:val="00573BE5"/>
    <w:rsid w:val="00586ED3"/>
    <w:rsid w:val="00596AA9"/>
    <w:rsid w:val="006603D6"/>
    <w:rsid w:val="006B4DC1"/>
    <w:rsid w:val="0071601D"/>
    <w:rsid w:val="00741757"/>
    <w:rsid w:val="00744CBC"/>
    <w:rsid w:val="007A4A56"/>
    <w:rsid w:val="007A5EEB"/>
    <w:rsid w:val="007A62E6"/>
    <w:rsid w:val="007F6AD2"/>
    <w:rsid w:val="0080684C"/>
    <w:rsid w:val="0081542E"/>
    <w:rsid w:val="00871C75"/>
    <w:rsid w:val="008776DC"/>
    <w:rsid w:val="008B46E8"/>
    <w:rsid w:val="00935331"/>
    <w:rsid w:val="009705C8"/>
    <w:rsid w:val="00A30353"/>
    <w:rsid w:val="00A974B5"/>
    <w:rsid w:val="00AC3823"/>
    <w:rsid w:val="00AE323C"/>
    <w:rsid w:val="00AF02B5"/>
    <w:rsid w:val="00B00181"/>
    <w:rsid w:val="00B338A5"/>
    <w:rsid w:val="00B765F7"/>
    <w:rsid w:val="00BA0CA9"/>
    <w:rsid w:val="00BB1C3D"/>
    <w:rsid w:val="00C02897"/>
    <w:rsid w:val="00C91769"/>
    <w:rsid w:val="00D3439C"/>
    <w:rsid w:val="00DB1831"/>
    <w:rsid w:val="00DD3BFD"/>
    <w:rsid w:val="00DF4CCE"/>
    <w:rsid w:val="00DF6678"/>
    <w:rsid w:val="00E02131"/>
    <w:rsid w:val="00EB5942"/>
    <w:rsid w:val="00F660DF"/>
    <w:rsid w:val="00F95C08"/>
    <w:rsid w:val="00FD36BB"/>
    <w:rsid w:val="00FF47C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41305F"/>
  <w15:docId w15:val="{CCB287F8-E7D6-46EF-8355-70260730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Footnotes refss,ftref,Footnote number,(NECG) Footnote Reference,Style 10,Footnote text,16 Point,Superscript 6 Point,Footnote,Footnote symbol"/>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Footnote Text Char1 Char,Footnote Text Char Char Char,Footnote Text Char1 Char Char Char,Footnote Text Char Char Char Char Char,Footnote Text Char2 Char Char Char Char Char,Footnote Text Char1,Footnote Text Char Char,fn,FA Fu"/>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1 Char Car,Footnote Text Char Char Char Car,Footnote Text Char1 Char Char Char Car,Footnote Text Char Char Char Char Char Car,Footnote Text Char2 Char Char Char Char Char Car,Footnote Text Char1 Car"/>
    <w:basedOn w:val="Policepardfaut"/>
    <w:link w:val="Notedebasdepage"/>
    <w:uiPriority w:val="99"/>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paragraph" w:customStyle="1" w:styleId="Default">
    <w:name w:val="Default"/>
    <w:rsid w:val="00C91769"/>
    <w:pPr>
      <w:autoSpaceDE w:val="0"/>
      <w:autoSpaceDN w:val="0"/>
      <w:adjustRightInd w:val="0"/>
      <w:spacing w:after="0" w:line="240" w:lineRule="auto"/>
    </w:pPr>
    <w:rPr>
      <w:rFonts w:ascii="Times New Roman" w:eastAsia="SimSu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AA63-945F-4983-97EC-C1C1D1DB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3106</Words>
  <Characters>20688</Characters>
  <Application>Microsoft Office Word</Application>
  <DocSecurity>0</DocSecurity>
  <Lines>1724</Lines>
  <Paragraphs>699</Paragraphs>
  <ScaleCrop>false</ScaleCrop>
  <HeadingPairs>
    <vt:vector size="2" baseType="variant">
      <vt:variant>
        <vt:lpstr>Titre</vt:lpstr>
      </vt:variant>
      <vt:variant>
        <vt:i4>1</vt:i4>
      </vt:variant>
    </vt:vector>
  </HeadingPairs>
  <TitlesOfParts>
    <vt:vector size="1" baseType="lpstr">
      <vt:lpstr>CRPD/C/19/4</vt:lpstr>
    </vt:vector>
  </TitlesOfParts>
  <Company>DCM</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CRPD/C/19/4</dc:title>
  <dc:subject/>
  <dc:creator>Fabienne CRELIER</dc:creator>
  <cp:keywords/>
  <cp:lastModifiedBy>Fabienne Crelier</cp:lastModifiedBy>
  <cp:revision>2</cp:revision>
  <cp:lastPrinted>2018-05-28T12:28:00Z</cp:lastPrinted>
  <dcterms:created xsi:type="dcterms:W3CDTF">2018-05-28T14:20:00Z</dcterms:created>
  <dcterms:modified xsi:type="dcterms:W3CDTF">2018-05-28T14:20:00Z</dcterms:modified>
</cp:coreProperties>
</file>