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67D7E" w:rsidRPr="002A6799" w14:paraId="345FFB41" w14:textId="77777777" w:rsidTr="00E56EE3">
        <w:trPr>
          <w:trHeight w:hRule="exact" w:val="851"/>
        </w:trPr>
        <w:tc>
          <w:tcPr>
            <w:tcW w:w="1280" w:type="dxa"/>
            <w:tcBorders>
              <w:bottom w:val="single" w:sz="4" w:space="0" w:color="auto"/>
            </w:tcBorders>
            <w:shd w:val="clear" w:color="auto" w:fill="auto"/>
          </w:tcPr>
          <w:p w14:paraId="68F14D41" w14:textId="77777777" w:rsidR="002D5AAC" w:rsidRDefault="002D5AAC" w:rsidP="00E56EE3"/>
        </w:tc>
        <w:tc>
          <w:tcPr>
            <w:tcW w:w="2273" w:type="dxa"/>
            <w:tcBorders>
              <w:bottom w:val="single" w:sz="4" w:space="0" w:color="auto"/>
            </w:tcBorders>
            <w:shd w:val="clear" w:color="auto" w:fill="auto"/>
            <w:vAlign w:val="bottom"/>
          </w:tcPr>
          <w:p w14:paraId="0C2DB492" w14:textId="77777777" w:rsidR="002D5AAC" w:rsidRPr="00D4778E" w:rsidRDefault="00482502"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5075057A" w14:textId="7FC17CEC" w:rsidR="002D5AAC" w:rsidRPr="00640FA2" w:rsidRDefault="00640FA2" w:rsidP="00640FA2">
            <w:pPr>
              <w:jc w:val="right"/>
              <w:rPr>
                <w:lang w:val="en-US"/>
              </w:rPr>
            </w:pPr>
            <w:proofErr w:type="spellStart"/>
            <w:r w:rsidRPr="00640FA2">
              <w:rPr>
                <w:sz w:val="40"/>
                <w:lang w:val="en-US"/>
              </w:rPr>
              <w:t>CED</w:t>
            </w:r>
            <w:proofErr w:type="spellEnd"/>
            <w:r>
              <w:rPr>
                <w:lang w:val="en-US"/>
              </w:rPr>
              <w:t>/C/MEX/VR/1 (Findings)</w:t>
            </w:r>
          </w:p>
        </w:tc>
      </w:tr>
      <w:tr w:rsidR="00F67D7E" w14:paraId="1AFF3B61" w14:textId="77777777" w:rsidTr="00E56EE3">
        <w:trPr>
          <w:trHeight w:hRule="exact" w:val="2835"/>
        </w:trPr>
        <w:tc>
          <w:tcPr>
            <w:tcW w:w="1280" w:type="dxa"/>
            <w:tcBorders>
              <w:top w:val="single" w:sz="4" w:space="0" w:color="auto"/>
              <w:bottom w:val="single" w:sz="12" w:space="0" w:color="auto"/>
            </w:tcBorders>
            <w:shd w:val="clear" w:color="auto" w:fill="auto"/>
          </w:tcPr>
          <w:p w14:paraId="6136AF99" w14:textId="4B06637A" w:rsidR="002D5AAC" w:rsidRDefault="00482502" w:rsidP="00E56EE3">
            <w:pPr>
              <w:spacing w:before="120"/>
              <w:jc w:val="center"/>
            </w:pPr>
            <w:r>
              <w:rPr>
                <w:noProof/>
                <w:lang w:val="en-GB" w:eastAsia="en-GB"/>
              </w:rPr>
              <w:drawing>
                <wp:inline distT="0" distB="0" distL="0" distR="0" wp14:anchorId="4F232D64" wp14:editId="139128A7">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60823"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9FB6943" w14:textId="0A286706" w:rsidR="002D5AAC" w:rsidRPr="00D4778E" w:rsidRDefault="00482502" w:rsidP="00E56EE3">
            <w:pPr>
              <w:spacing w:before="120" w:line="360" w:lineRule="exact"/>
              <w:rPr>
                <w:b/>
                <w:sz w:val="34"/>
                <w:szCs w:val="34"/>
              </w:rPr>
            </w:pPr>
            <w:r w:rsidRPr="00DA4720">
              <w:rPr>
                <w:b/>
                <w:sz w:val="34"/>
                <w:szCs w:val="34"/>
              </w:rPr>
              <w:t xml:space="preserve">Convención Internacional para la Protección de Todas las Personas contra las Desapariciones </w:t>
            </w:r>
            <w:r w:rsidR="00CB2900" w:rsidRPr="00DA4720">
              <w:rPr>
                <w:b/>
                <w:sz w:val="34"/>
                <w:szCs w:val="34"/>
              </w:rPr>
              <w:t>Forzadas</w:t>
            </w:r>
          </w:p>
        </w:tc>
        <w:tc>
          <w:tcPr>
            <w:tcW w:w="2819" w:type="dxa"/>
            <w:tcBorders>
              <w:top w:val="single" w:sz="4" w:space="0" w:color="auto"/>
              <w:bottom w:val="single" w:sz="12" w:space="0" w:color="auto"/>
            </w:tcBorders>
            <w:shd w:val="clear" w:color="auto" w:fill="auto"/>
          </w:tcPr>
          <w:p w14:paraId="0D01D94E" w14:textId="077E804F" w:rsidR="00935A0B" w:rsidRPr="00F43810" w:rsidRDefault="00482502" w:rsidP="00935A0B">
            <w:pPr>
              <w:spacing w:before="240" w:line="240" w:lineRule="exact"/>
            </w:pPr>
            <w:r w:rsidRPr="00F43810">
              <w:t xml:space="preserve">Distr. </w:t>
            </w:r>
            <w:r w:rsidR="000F688F">
              <w:t>general</w:t>
            </w:r>
          </w:p>
          <w:p w14:paraId="1AFA2E06" w14:textId="62507C21" w:rsidR="00935A0B" w:rsidRPr="00F43810" w:rsidRDefault="00C40E50" w:rsidP="00935A0B">
            <w:r>
              <w:t>1</w:t>
            </w:r>
            <w:r w:rsidR="00643C38">
              <w:t>8</w:t>
            </w:r>
            <w:r w:rsidR="00DA35B1">
              <w:t xml:space="preserve"> de </w:t>
            </w:r>
            <w:r>
              <w:t>mayo</w:t>
            </w:r>
            <w:r w:rsidR="00925017">
              <w:t xml:space="preserve"> de 2022</w:t>
            </w:r>
          </w:p>
          <w:p w14:paraId="0AC467DC" w14:textId="77777777" w:rsidR="00935A0B" w:rsidRPr="00F43810" w:rsidRDefault="00935A0B" w:rsidP="00935A0B"/>
          <w:p w14:paraId="2BD127EF" w14:textId="77777777" w:rsidR="00935A0B" w:rsidRPr="00F43810" w:rsidRDefault="00482502" w:rsidP="00935A0B">
            <w:r w:rsidRPr="00F43810">
              <w:t>Original: español</w:t>
            </w:r>
          </w:p>
          <w:p w14:paraId="11F5BA78" w14:textId="460CECC7" w:rsidR="002D5AAC" w:rsidRDefault="00935A0B" w:rsidP="00935A0B">
            <w:pPr>
              <w:spacing w:line="240" w:lineRule="exact"/>
            </w:pPr>
            <w:r w:rsidRPr="00F43810">
              <w:t>Español, francés e inglés únicamente</w:t>
            </w:r>
          </w:p>
        </w:tc>
      </w:tr>
    </w:tbl>
    <w:p w14:paraId="4C95AB0A" w14:textId="77777777" w:rsidR="00E6615D" w:rsidRDefault="00482502" w:rsidP="00E6615D">
      <w:pPr>
        <w:spacing w:before="120"/>
        <w:ind w:left="-300" w:firstLine="300"/>
        <w:rPr>
          <w:b/>
          <w:sz w:val="24"/>
        </w:rPr>
      </w:pPr>
      <w:r>
        <w:rPr>
          <w:b/>
          <w:sz w:val="24"/>
        </w:rPr>
        <w:t>Comité contra la Desaparición Forzada</w:t>
      </w:r>
    </w:p>
    <w:p w14:paraId="4FCFF744" w14:textId="25901B68" w:rsidR="00AE0547" w:rsidRDefault="00482502" w:rsidP="002D00E7">
      <w:pPr>
        <w:pStyle w:val="HChG"/>
      </w:pPr>
      <w:r>
        <w:rPr>
          <w:color w:val="000000"/>
        </w:rPr>
        <w:tab/>
      </w:r>
      <w:r>
        <w:rPr>
          <w:color w:val="000000"/>
        </w:rPr>
        <w:tab/>
      </w:r>
      <w:r w:rsidR="00925017" w:rsidRPr="00925017">
        <w:t>Informe del Comité contra la Desaparición Forzada sobre</w:t>
      </w:r>
      <w:r w:rsidR="00263CA5">
        <w:t> </w:t>
      </w:r>
      <w:r w:rsidR="000A66C7" w:rsidRPr="00925017">
        <w:t>su</w:t>
      </w:r>
      <w:r w:rsidR="000A66C7">
        <w:t> </w:t>
      </w:r>
      <w:r w:rsidR="00925017" w:rsidRPr="00925017">
        <w:t xml:space="preserve">visita a México </w:t>
      </w:r>
      <w:r w:rsidR="001A3063">
        <w:t>en virtud</w:t>
      </w:r>
      <w:r w:rsidR="00925017" w:rsidRPr="00925017">
        <w:t xml:space="preserve"> del artículo 33 de</w:t>
      </w:r>
      <w:r w:rsidR="00263CA5">
        <w:t> </w:t>
      </w:r>
      <w:r w:rsidR="00925017" w:rsidRPr="00925017">
        <w:t>la</w:t>
      </w:r>
      <w:r w:rsidR="00263CA5">
        <w:t> </w:t>
      </w:r>
      <w:r w:rsidR="00925017" w:rsidRPr="00925017">
        <w:t>Convención</w:t>
      </w:r>
      <w:r w:rsidR="00891B37" w:rsidRPr="00C43B75">
        <w:rPr>
          <w:rStyle w:val="Refdenotaalpie"/>
          <w:b w:val="0"/>
          <w:bCs/>
          <w:sz w:val="20"/>
          <w:vertAlign w:val="baseline"/>
        </w:rPr>
        <w:footnoteReference w:customMarkFollows="1" w:id="2"/>
        <w:t>*</w:t>
      </w:r>
      <w:r w:rsidR="00891B37" w:rsidRPr="0006306E">
        <w:rPr>
          <w:b w:val="0"/>
          <w:bCs/>
          <w:sz w:val="20"/>
          <w:vertAlign w:val="superscript"/>
        </w:rPr>
        <w:t>,</w:t>
      </w:r>
      <w:r w:rsidR="00891B37" w:rsidRPr="00545BB9">
        <w:rPr>
          <w:rStyle w:val="Refdenotaalpie"/>
          <w:b w:val="0"/>
          <w:bCs/>
          <w:sz w:val="20"/>
          <w:vertAlign w:val="baseline"/>
        </w:rPr>
        <w:footnoteReference w:customMarkFollows="1" w:id="3"/>
        <w:t>**</w:t>
      </w:r>
      <w:r w:rsidR="00891B37" w:rsidRPr="0006306E">
        <w:rPr>
          <w:b w:val="0"/>
          <w:bCs/>
          <w:sz w:val="20"/>
          <w:vertAlign w:val="superscript"/>
        </w:rPr>
        <w:t>,</w:t>
      </w:r>
      <w:r w:rsidR="00891B37">
        <w:rPr>
          <w:b w:val="0"/>
          <w:bCs/>
          <w:sz w:val="20"/>
        </w:rPr>
        <w:t>***</w:t>
      </w:r>
    </w:p>
    <w:p w14:paraId="784DBBB9" w14:textId="48E11CA2" w:rsidR="00925017" w:rsidRPr="006B5133" w:rsidRDefault="00925017" w:rsidP="006B5133">
      <w:pPr>
        <w:pStyle w:val="HChG"/>
        <w:rPr>
          <w:bCs/>
        </w:rPr>
      </w:pPr>
      <w:r>
        <w:tab/>
      </w:r>
      <w:r w:rsidRPr="006B5133">
        <w:rPr>
          <w:b w:val="0"/>
          <w:bCs/>
        </w:rPr>
        <w:tab/>
      </w:r>
      <w:bookmarkStart w:id="0" w:name="_Hlk96502855"/>
      <w:bookmarkStart w:id="1" w:name="_Hlk95394485"/>
      <w:r w:rsidRPr="006B5133">
        <w:rPr>
          <w:bCs/>
        </w:rPr>
        <w:t>Información sobre la visita</w:t>
      </w:r>
      <w:r w:rsidR="002A6799" w:rsidRPr="006B5133">
        <w:rPr>
          <w:bCs/>
        </w:rPr>
        <w:t xml:space="preserve"> y</w:t>
      </w:r>
      <w:r w:rsidR="00192D6A" w:rsidRPr="006B5133">
        <w:rPr>
          <w:bCs/>
        </w:rPr>
        <w:t xml:space="preserve"> hallazgos </w:t>
      </w:r>
      <w:r w:rsidR="002A6799" w:rsidRPr="006B5133">
        <w:rPr>
          <w:bCs/>
        </w:rPr>
        <w:t>(art. 33, párr. 1)</w:t>
      </w:r>
      <w:bookmarkEnd w:id="0"/>
      <w:bookmarkEnd w:id="1"/>
    </w:p>
    <w:p w14:paraId="61691668" w14:textId="42B76ED1" w:rsidR="00925017" w:rsidRPr="00CE3942" w:rsidRDefault="00925017" w:rsidP="006B5133">
      <w:pPr>
        <w:pStyle w:val="H1G"/>
      </w:pPr>
      <w:r>
        <w:tab/>
      </w:r>
      <w:r w:rsidR="00F01CC2" w:rsidRPr="00CE3942">
        <w:t>I</w:t>
      </w:r>
      <w:r w:rsidRPr="00CE3942">
        <w:t>.</w:t>
      </w:r>
      <w:r w:rsidRPr="00CE3942">
        <w:tab/>
        <w:t xml:space="preserve">Desarrollo de la visita y cooperación del Estado parte </w:t>
      </w:r>
    </w:p>
    <w:p w14:paraId="178D84A0" w14:textId="77777777" w:rsidR="00925017" w:rsidRPr="00DA7D36" w:rsidRDefault="00925017" w:rsidP="00925017">
      <w:pPr>
        <w:pStyle w:val="SingleTxtG"/>
      </w:pPr>
      <w:r>
        <w:t>1.</w:t>
      </w:r>
      <w:r>
        <w:tab/>
      </w:r>
      <w:r w:rsidRPr="00DA7D36">
        <w:t>De conformidad con las facultades establecidas en el artículo 33 de la Convención, el Comité solicitó a México, en el año 2013, efectuar una visita al país. El 30 de agosto de 2021, tras ocho años de intercambios, el Estado parte aceptó la visita, como muestra de su apertura al escrutinio y apoyo internacionales.</w:t>
      </w:r>
    </w:p>
    <w:p w14:paraId="2B25B6BB" w14:textId="7F145ED2" w:rsidR="00925017" w:rsidRPr="00970978" w:rsidRDefault="0091763F" w:rsidP="00925017">
      <w:pPr>
        <w:pStyle w:val="SingleTxtG"/>
      </w:pPr>
      <w:r>
        <w:t>2.</w:t>
      </w:r>
      <w:r>
        <w:tab/>
      </w:r>
      <w:r w:rsidR="00925017" w:rsidRPr="00DA7D36">
        <w:t xml:space="preserve">El Comité realizó la visita del 15 al 26 de </w:t>
      </w:r>
      <w:r w:rsidR="00925017" w:rsidRPr="00970978">
        <w:t xml:space="preserve">noviembre de 2021 y la delegación estuvo integrada por </w:t>
      </w:r>
      <w:r w:rsidR="00925017" w:rsidRPr="00341A3C">
        <w:t>cuatro de sus miembros</w:t>
      </w:r>
      <w:r w:rsidR="00F15D18" w:rsidRPr="00341A3C">
        <w:rPr>
          <w:rStyle w:val="Refdenotaalpie"/>
        </w:rPr>
        <w:footnoteReference w:id="4"/>
      </w:r>
      <w:r w:rsidR="00925017" w:rsidRPr="00341A3C">
        <w:t>.</w:t>
      </w:r>
      <w:r w:rsidR="00925017" w:rsidRPr="00970978">
        <w:t xml:space="preserve"> Al final de su visita, la </w:t>
      </w:r>
      <w:r w:rsidR="003630AC" w:rsidRPr="00970978">
        <w:t>d</w:t>
      </w:r>
      <w:r w:rsidR="00925017" w:rsidRPr="00970978">
        <w:t>elegación realizó una conferencia de prensa</w:t>
      </w:r>
      <w:r w:rsidR="00AF63D2" w:rsidRPr="00C43B75">
        <w:rPr>
          <w:rStyle w:val="Refdenotaalpie"/>
        </w:rPr>
        <w:footnoteReference w:id="5"/>
      </w:r>
      <w:r w:rsidR="00925017" w:rsidRPr="00970978">
        <w:t xml:space="preserve"> para destacar algunos aspectos que pudo constatar durante su estancia, sin perjuicio de la adopción del presente informe (anexo 1). </w:t>
      </w:r>
    </w:p>
    <w:p w14:paraId="60DFFE25" w14:textId="19A3163F" w:rsidR="00925017" w:rsidRPr="00DA7D36" w:rsidRDefault="0091763F" w:rsidP="00925017">
      <w:pPr>
        <w:pStyle w:val="SingleTxtG"/>
      </w:pPr>
      <w:r w:rsidRPr="00970978">
        <w:t>3.</w:t>
      </w:r>
      <w:r w:rsidRPr="00970978">
        <w:tab/>
      </w:r>
      <w:r w:rsidR="00925017" w:rsidRPr="005256C0">
        <w:t xml:space="preserve">El Comité acoge con beneplácito la cooperación y facilidades brindadas por el Estado parte antes y durante la visita, que han sido indispensables para cumplir con su agenda. La </w:t>
      </w:r>
      <w:r w:rsidR="003630AC" w:rsidRPr="005256C0">
        <w:t>d</w:t>
      </w:r>
      <w:r w:rsidR="00925017" w:rsidRPr="005256C0">
        <w:t xml:space="preserve">elegación visitó 13 entidades federativas: Chihuahua, Ciudad de México, Coahuila, </w:t>
      </w:r>
      <w:r w:rsidR="00E96B8F" w:rsidRPr="005256C0">
        <w:t xml:space="preserve">Estado de México, </w:t>
      </w:r>
      <w:r w:rsidR="00925017" w:rsidRPr="005256C0">
        <w:t xml:space="preserve">Guanajuato, Guerrero, Jalisco, Morelos, Nayarit, Nuevo León, Sinaloa, Tamaulipas y Veracruz; sostuvo reuniones con </w:t>
      </w:r>
      <w:r w:rsidR="00925017" w:rsidRPr="007753D2">
        <w:t xml:space="preserve">más de </w:t>
      </w:r>
      <w:r w:rsidR="00504ACF">
        <w:t>85</w:t>
      </w:r>
      <w:r w:rsidR="00925017" w:rsidRPr="005256C0">
        <w:t xml:space="preserve"> </w:t>
      </w:r>
      <w:r w:rsidR="000C453D">
        <w:t>instituciones</w:t>
      </w:r>
      <w:r w:rsidR="00F27457">
        <w:t xml:space="preserve"> </w:t>
      </w:r>
      <w:r w:rsidR="00925017" w:rsidRPr="005256C0">
        <w:t>de los Poderes Ejecutivo, Legislativo y Judicial</w:t>
      </w:r>
      <w:r w:rsidR="005256C0">
        <w:t>, así como con órganos autónomos</w:t>
      </w:r>
      <w:r w:rsidR="00925017" w:rsidRPr="005256C0">
        <w:t xml:space="preserve">, tanto en el ámbito federal como estatal; se reunió con </w:t>
      </w:r>
      <w:r w:rsidR="00925017" w:rsidRPr="007753D2">
        <w:t>decenas de colectivos de víctimas y centenares</w:t>
      </w:r>
      <w:r w:rsidR="00925017" w:rsidRPr="005256C0">
        <w:t xml:space="preserve"> de víctimas y organizaciones de la sociedad civil provenientes de 31 de las 32 entidades federativas; y acompañó </w:t>
      </w:r>
      <w:r w:rsidR="005256C0">
        <w:t>a</w:t>
      </w:r>
      <w:r w:rsidR="00891B37">
        <w:t xml:space="preserve"> dichos colectivos en</w:t>
      </w:r>
      <w:r w:rsidR="005256C0">
        <w:t xml:space="preserve"> </w:t>
      </w:r>
      <w:r w:rsidR="00925017" w:rsidRPr="005256C0">
        <w:t>exhumaciones y jornadas de búsqueda en las entidades federativas de Coahuila</w:t>
      </w:r>
      <w:r w:rsidR="00AF63D2" w:rsidRPr="005256C0">
        <w:t>,</w:t>
      </w:r>
      <w:r w:rsidR="00925017" w:rsidRPr="005256C0">
        <w:t xml:space="preserve"> Estado de México</w:t>
      </w:r>
      <w:r w:rsidR="00AF63D2" w:rsidRPr="005256C0">
        <w:t xml:space="preserve"> y Morelos</w:t>
      </w:r>
      <w:r w:rsidR="00925017" w:rsidRPr="005256C0">
        <w:t xml:space="preserve">. La </w:t>
      </w:r>
      <w:r w:rsidR="003630AC" w:rsidRPr="005256C0">
        <w:t>d</w:t>
      </w:r>
      <w:r w:rsidR="00925017" w:rsidRPr="005256C0">
        <w:t xml:space="preserve">elegación también visitó el Centro </w:t>
      </w:r>
      <w:r w:rsidR="00AF63D2" w:rsidRPr="005256C0">
        <w:t xml:space="preserve">Regional </w:t>
      </w:r>
      <w:r w:rsidR="00925017" w:rsidRPr="005256C0">
        <w:t>de Identificación Humana de Coahuila y varios centros de privación de libertad federales</w:t>
      </w:r>
      <w:r w:rsidR="003054AD">
        <w:t xml:space="preserve"> y</w:t>
      </w:r>
      <w:r w:rsidR="00925017" w:rsidRPr="005256C0">
        <w:t xml:space="preserve"> estatales</w:t>
      </w:r>
      <w:r w:rsidR="003054AD">
        <w:t>,</w:t>
      </w:r>
      <w:r w:rsidR="00925017" w:rsidRPr="005256C0">
        <w:t xml:space="preserve"> y </w:t>
      </w:r>
      <w:r w:rsidR="003054AD">
        <w:t>estaciones migratorias</w:t>
      </w:r>
      <w:r w:rsidR="00925017" w:rsidRPr="005256C0">
        <w:t xml:space="preserve"> (</w:t>
      </w:r>
      <w:r w:rsidR="000C453D">
        <w:t>v</w:t>
      </w:r>
      <w:r w:rsidR="00891B37">
        <w:t>éase la</w:t>
      </w:r>
      <w:r w:rsidR="000C453D">
        <w:t xml:space="preserve"> </w:t>
      </w:r>
      <w:r w:rsidR="00DA3E4C">
        <w:t>lista</w:t>
      </w:r>
      <w:r w:rsidR="007753D2">
        <w:t xml:space="preserve"> de las reuniones</w:t>
      </w:r>
      <w:r w:rsidR="000C453D">
        <w:t xml:space="preserve"> en </w:t>
      </w:r>
      <w:r w:rsidR="00891B37">
        <w:t xml:space="preserve">el </w:t>
      </w:r>
      <w:r w:rsidR="00925017" w:rsidRPr="005256C0">
        <w:t>anexo 2). El Comité valora positivamente la disposición de todos los interlocutores para dialogar y proporcionar información y documentación particularmente valiosa.</w:t>
      </w:r>
      <w:r w:rsidR="00CB038E">
        <w:t xml:space="preserve"> También agradece el apoyo brindado por </w:t>
      </w:r>
      <w:r w:rsidR="00167E0B">
        <w:t xml:space="preserve">la Oficina del Alto Comisionado de las Naciones Unidas para los Derechos Humanos en </w:t>
      </w:r>
      <w:r w:rsidR="00CB038E">
        <w:t xml:space="preserve">México antes </w:t>
      </w:r>
      <w:r w:rsidR="00167E0B">
        <w:t xml:space="preserve">de </w:t>
      </w:r>
      <w:r w:rsidR="00CB038E">
        <w:t>la visita</w:t>
      </w:r>
      <w:r w:rsidR="00167E0B">
        <w:t xml:space="preserve"> y durante el transcurso de esta</w:t>
      </w:r>
      <w:r w:rsidR="00CB038E">
        <w:t>.</w:t>
      </w:r>
      <w:r w:rsidR="003054AD">
        <w:t xml:space="preserve"> </w:t>
      </w:r>
      <w:r w:rsidR="00CB038E">
        <w:t xml:space="preserve">Finalmente, </w:t>
      </w:r>
      <w:r w:rsidR="003054AD">
        <w:t>el Comité agradece</w:t>
      </w:r>
      <w:r w:rsidR="00CB038E">
        <w:t xml:space="preserve"> de manera muy especial</w:t>
      </w:r>
      <w:r w:rsidR="003054AD">
        <w:t xml:space="preserve"> a las familias</w:t>
      </w:r>
      <w:r w:rsidR="00E501E1">
        <w:t xml:space="preserve"> y allegados</w:t>
      </w:r>
      <w:r w:rsidR="003054AD">
        <w:t xml:space="preserve"> de </w:t>
      </w:r>
      <w:r w:rsidR="002C2B93">
        <w:t xml:space="preserve">las </w:t>
      </w:r>
      <w:r w:rsidR="003054AD">
        <w:t xml:space="preserve">personas </w:t>
      </w:r>
      <w:r w:rsidR="003054AD">
        <w:lastRenderedPageBreak/>
        <w:t xml:space="preserve">desaparecidas por sus testimonios, perspectivas y propuestas y </w:t>
      </w:r>
      <w:r w:rsidR="002C2B93">
        <w:t xml:space="preserve">destaca </w:t>
      </w:r>
      <w:r w:rsidR="003054AD">
        <w:t>públicamente su movilización y lucha diaria</w:t>
      </w:r>
      <w:r w:rsidR="00CB038E">
        <w:t>s</w:t>
      </w:r>
      <w:r w:rsidR="003054AD">
        <w:t xml:space="preserve">. </w:t>
      </w:r>
    </w:p>
    <w:p w14:paraId="0C25C5F5" w14:textId="74EE4F0C" w:rsidR="00925017" w:rsidRPr="00DA7D36" w:rsidRDefault="0091763F" w:rsidP="00925017">
      <w:pPr>
        <w:pStyle w:val="SingleTxtG"/>
      </w:pPr>
      <w:r>
        <w:t>4.</w:t>
      </w:r>
      <w:r>
        <w:tab/>
      </w:r>
      <w:r w:rsidR="00925017" w:rsidRPr="00DA7D36">
        <w:t xml:space="preserve">El Comité </w:t>
      </w:r>
      <w:r w:rsidR="00614F81">
        <w:t>destaca</w:t>
      </w:r>
      <w:r w:rsidR="00614F81" w:rsidRPr="00DA7D36">
        <w:t xml:space="preserve"> </w:t>
      </w:r>
      <w:r w:rsidR="00925017" w:rsidRPr="00DA7D36">
        <w:t xml:space="preserve">la empatía de algunos </w:t>
      </w:r>
      <w:r w:rsidR="003054AD">
        <w:t>servidores públicos</w:t>
      </w:r>
      <w:r w:rsidR="00925017" w:rsidRPr="00DA7D36">
        <w:t xml:space="preserve"> del ámbito federal y estatal con las víctimas y su compromiso para reconocer y atender la situación crítica a la que México se enfrenta en materia de desaparición forzada. El impulso a la búsqueda</w:t>
      </w:r>
      <w:r w:rsidR="0087733D">
        <w:t>,</w:t>
      </w:r>
      <w:r w:rsidR="00925017" w:rsidRPr="00DA7D36">
        <w:t xml:space="preserve"> la investigación</w:t>
      </w:r>
      <w:r w:rsidR="0087733D">
        <w:t xml:space="preserve"> y la reparación</w:t>
      </w:r>
      <w:r w:rsidR="00925017" w:rsidRPr="00DA7D36">
        <w:t xml:space="preserve">, así como la generación de espacios de diálogo con las víctimas son esfuerzos claves que se deben reconocer y </w:t>
      </w:r>
      <w:r w:rsidR="00925017">
        <w:t>generalizar</w:t>
      </w:r>
      <w:r w:rsidR="00925017" w:rsidRPr="00DA7D36">
        <w:t xml:space="preserve">. Es imperioso que todos los </w:t>
      </w:r>
      <w:r w:rsidR="003054AD">
        <w:t>servidores públicos</w:t>
      </w:r>
      <w:r w:rsidR="00925017" w:rsidRPr="00DA7D36">
        <w:t xml:space="preserve"> del Estado actúen con </w:t>
      </w:r>
      <w:r w:rsidR="00925017">
        <w:t>el</w:t>
      </w:r>
      <w:r w:rsidR="00925017" w:rsidRPr="00DA7D36">
        <w:t xml:space="preserve"> mism</w:t>
      </w:r>
      <w:r w:rsidR="00925017">
        <w:t xml:space="preserve">o </w:t>
      </w:r>
      <w:r w:rsidR="00766629">
        <w:t xml:space="preserve">compromiso y </w:t>
      </w:r>
      <w:r w:rsidR="00925017" w:rsidRPr="00DA7D36">
        <w:t xml:space="preserve">responsabilidad con las familias y allegados que </w:t>
      </w:r>
      <w:r w:rsidR="00925017">
        <w:t xml:space="preserve">aún </w:t>
      </w:r>
      <w:r w:rsidR="00925017" w:rsidRPr="00DA7D36">
        <w:t xml:space="preserve">hoy esperan </w:t>
      </w:r>
      <w:r w:rsidR="003054AD">
        <w:t xml:space="preserve">la </w:t>
      </w:r>
      <w:r w:rsidR="0087733D">
        <w:t>localización</w:t>
      </w:r>
      <w:r w:rsidR="00925017" w:rsidRPr="00DA7D36">
        <w:t xml:space="preserve"> de un ser querido.</w:t>
      </w:r>
    </w:p>
    <w:p w14:paraId="20280CCA" w14:textId="755B79A4" w:rsidR="00925017" w:rsidRPr="00DA7D36" w:rsidRDefault="00925017" w:rsidP="00F01CC2">
      <w:pPr>
        <w:pStyle w:val="HChG"/>
      </w:pPr>
      <w:r>
        <w:tab/>
      </w:r>
      <w:r w:rsidR="00F01CC2">
        <w:t>II</w:t>
      </w:r>
      <w:r w:rsidRPr="00DA7D36">
        <w:t>.</w:t>
      </w:r>
      <w:r>
        <w:tab/>
      </w:r>
      <w:r w:rsidRPr="00DA7D36">
        <w:t>Marco jurídico e institucional</w:t>
      </w:r>
    </w:p>
    <w:p w14:paraId="3B7F717B" w14:textId="246237BB" w:rsidR="00925017" w:rsidRPr="00DA7D36" w:rsidRDefault="0091763F" w:rsidP="00925017">
      <w:pPr>
        <w:pStyle w:val="SingleTxtG"/>
      </w:pPr>
      <w:r>
        <w:t>5.</w:t>
      </w:r>
      <w:r>
        <w:tab/>
      </w:r>
      <w:r w:rsidR="00925017" w:rsidRPr="00DA7D36">
        <w:t xml:space="preserve">El Comité </w:t>
      </w:r>
      <w:r w:rsidR="0009161A">
        <w:t>celebra</w:t>
      </w:r>
      <w:r w:rsidR="0009161A" w:rsidRPr="00DA7D36">
        <w:t xml:space="preserve"> </w:t>
      </w:r>
      <w:r w:rsidR="00925017" w:rsidRPr="00DA7D36">
        <w:t xml:space="preserve">los importantes avances </w:t>
      </w:r>
      <w:r w:rsidR="004B5B69">
        <w:t>normativos</w:t>
      </w:r>
      <w:r w:rsidR="00925017" w:rsidRPr="00DA7D36">
        <w:t xml:space="preserve">, institucionales y jurisprudenciales que se han dado en el Estado parte. Como ya sostuvo en sus observaciones finales </w:t>
      </w:r>
      <w:r w:rsidR="00925017">
        <w:t>d</w:t>
      </w:r>
      <w:r w:rsidR="00925017" w:rsidRPr="00DA7D36">
        <w:t xml:space="preserve">e </w:t>
      </w:r>
      <w:r w:rsidR="00A35956">
        <w:t xml:space="preserve">2016 y sus observaciones de </w:t>
      </w:r>
      <w:r w:rsidR="00925017" w:rsidRPr="00DA7D36">
        <w:t>2018</w:t>
      </w:r>
      <w:r w:rsidR="008E5747">
        <w:rPr>
          <w:rStyle w:val="Refdenotaalpie"/>
        </w:rPr>
        <w:footnoteReference w:id="6"/>
      </w:r>
      <w:r w:rsidR="00AF63D2">
        <w:t>,</w:t>
      </w:r>
      <w:r w:rsidR="00925017" w:rsidRPr="00DA7D36">
        <w:t xml:space="preserve"> destaca la importancia de la adopción de la Ley General en Materia de Desaparición Forzada de Personas, Desaparición Cometida por Particulares</w:t>
      </w:r>
      <w:r w:rsidR="00063C67">
        <w:t xml:space="preserve"> y del Sistema Nacional de Búsqueda de Personas</w:t>
      </w:r>
      <w:r w:rsidR="00925017" w:rsidRPr="00DA7D36">
        <w:t xml:space="preserve">, de la Ley General de Víctimas, así como la creación del Registro Nacional de Personas Desaparecidas y </w:t>
      </w:r>
      <w:r w:rsidR="00063C67">
        <w:t>N</w:t>
      </w:r>
      <w:r w:rsidR="00925017" w:rsidRPr="00DA7D36">
        <w:t xml:space="preserve">o Localizadas. El Comité </w:t>
      </w:r>
      <w:r w:rsidR="0009161A">
        <w:t>acoge con satisfacción</w:t>
      </w:r>
      <w:r w:rsidR="0009161A" w:rsidRPr="00DA7D36">
        <w:t xml:space="preserve"> </w:t>
      </w:r>
      <w:r w:rsidR="00925017" w:rsidRPr="00DA7D36">
        <w:t xml:space="preserve">la reactivación del Sistema Nacional de Búsqueda </w:t>
      </w:r>
      <w:r w:rsidR="001D4D8A">
        <w:t>de Personas</w:t>
      </w:r>
      <w:r w:rsidR="00925017" w:rsidRPr="00DA7D36">
        <w:t>, la creación de comisiones locales de búsqueda</w:t>
      </w:r>
      <w:r w:rsidR="00AD01D6">
        <w:t xml:space="preserve"> y de </w:t>
      </w:r>
      <w:r w:rsidR="00DA3E4C">
        <w:t xml:space="preserve">las </w:t>
      </w:r>
      <w:r w:rsidR="00AD01D6">
        <w:t>Fiscalía</w:t>
      </w:r>
      <w:r w:rsidR="00B661F3">
        <w:t>s</w:t>
      </w:r>
      <w:r w:rsidR="00AD01D6">
        <w:t xml:space="preserve"> Especializadas </w:t>
      </w:r>
      <w:r w:rsidR="00AD01D6" w:rsidRPr="00AD01D6">
        <w:t>en Investigación de los Delitos de Desaparición Forzada de Personas</w:t>
      </w:r>
      <w:r w:rsidR="00925017" w:rsidRPr="00DA7D36">
        <w:t xml:space="preserve">, la adopción del Protocolo Homologado </w:t>
      </w:r>
      <w:r w:rsidR="00B6550C">
        <w:t>para la</w:t>
      </w:r>
      <w:r w:rsidR="00B6550C" w:rsidRPr="00DA7D36">
        <w:t xml:space="preserve"> </w:t>
      </w:r>
      <w:r w:rsidR="00925017" w:rsidRPr="00DA7D36">
        <w:t>Búsqueda</w:t>
      </w:r>
      <w:r w:rsidR="00B6550C">
        <w:t xml:space="preserve"> de Personas Desaparecidas y No Localizadas</w:t>
      </w:r>
      <w:r w:rsidR="00925017" w:rsidRPr="00DA7D36">
        <w:t xml:space="preserve"> y del Protocolo Adicional para la Búsqueda de Niñ</w:t>
      </w:r>
      <w:r w:rsidR="00B6550C">
        <w:t>a</w:t>
      </w:r>
      <w:r w:rsidR="00925017" w:rsidRPr="00DA7D36">
        <w:t>s, Niñ</w:t>
      </w:r>
      <w:r w:rsidR="00B6550C">
        <w:t>o</w:t>
      </w:r>
      <w:r w:rsidR="00925017" w:rsidRPr="00DA7D36">
        <w:t xml:space="preserve">s y Adolescentes, y la </w:t>
      </w:r>
      <w:r w:rsidR="00AD01D6">
        <w:t xml:space="preserve">posibilidad de incorporar a quienes participan en las búsquedas en el </w:t>
      </w:r>
      <w:r w:rsidR="00925017" w:rsidRPr="00DA7D36">
        <w:t>Mecanismo de Protección para Personas Defensoras de Derechos Humanos y Periodistas.</w:t>
      </w:r>
    </w:p>
    <w:p w14:paraId="23315C31" w14:textId="403F530E" w:rsidR="00925017" w:rsidRPr="00DA7D36" w:rsidRDefault="0091763F" w:rsidP="00925017">
      <w:pPr>
        <w:pStyle w:val="SingleTxtG"/>
      </w:pPr>
      <w:r>
        <w:t>6.</w:t>
      </w:r>
      <w:r>
        <w:tab/>
      </w:r>
      <w:r w:rsidR="00925017" w:rsidRPr="00DA7D36">
        <w:t xml:space="preserve">El Comité valora positivamente la creación de </w:t>
      </w:r>
      <w:r w:rsidR="00242F74">
        <w:t>c</w:t>
      </w:r>
      <w:r w:rsidR="00925017" w:rsidRPr="00DA7D36">
        <w:t xml:space="preserve">entros y </w:t>
      </w:r>
      <w:r w:rsidR="00242F74">
        <w:t>u</w:t>
      </w:r>
      <w:r w:rsidR="00925017" w:rsidRPr="00DA7D36">
        <w:t>nidades dedicados a la identificación humana (</w:t>
      </w:r>
      <w:r w:rsidR="002C7923">
        <w:t xml:space="preserve">el </w:t>
      </w:r>
      <w:r w:rsidR="00925017" w:rsidRPr="00DA7D36">
        <w:t xml:space="preserve">Centro Regional de Identificación Humana en Coahuila; </w:t>
      </w:r>
      <w:r w:rsidR="002C7923">
        <w:t xml:space="preserve">la </w:t>
      </w:r>
      <w:r w:rsidR="00925017" w:rsidRPr="00DA7D36">
        <w:t xml:space="preserve">Unidad Integral de Servicios Médicos Forenses en Nogales, Veracruz; Dirección de </w:t>
      </w:r>
      <w:r w:rsidR="00242F74">
        <w:t>I</w:t>
      </w:r>
      <w:r w:rsidR="00925017" w:rsidRPr="00DA7D36">
        <w:t xml:space="preserve">dentificación </w:t>
      </w:r>
      <w:r w:rsidR="00242F74">
        <w:t>H</w:t>
      </w:r>
      <w:r w:rsidR="00925017" w:rsidRPr="00DA7D36">
        <w:t>umana en Jalisco</w:t>
      </w:r>
      <w:r w:rsidR="006F04CA">
        <w:t>,</w:t>
      </w:r>
      <w:r w:rsidR="002C7923">
        <w:t xml:space="preserve"> y el</w:t>
      </w:r>
      <w:r w:rsidR="00925017" w:rsidRPr="00DA7D36">
        <w:t xml:space="preserve"> </w:t>
      </w:r>
      <w:r w:rsidR="00AA3DEA">
        <w:t>c</w:t>
      </w:r>
      <w:r w:rsidR="00925017" w:rsidRPr="00DA7D36">
        <w:t>entro de resguardo forense en Guerrero</w:t>
      </w:r>
      <w:r w:rsidR="00AA3DEA">
        <w:t>,</w:t>
      </w:r>
      <w:r w:rsidR="000B19FA">
        <w:t xml:space="preserve"> Tamaulipas y otras localidades</w:t>
      </w:r>
      <w:r w:rsidR="00925017" w:rsidRPr="00DA7D36">
        <w:t xml:space="preserve">), así como la creación del </w:t>
      </w:r>
      <w:bookmarkStart w:id="2" w:name="_Hlk95754351"/>
      <w:r w:rsidR="00925017" w:rsidRPr="00DA7D36">
        <w:t xml:space="preserve">Mecanismo Extraordinario de Identificación Forense </w:t>
      </w:r>
      <w:bookmarkEnd w:id="2"/>
      <w:r w:rsidR="00925017" w:rsidRPr="00DA7D36">
        <w:t>y</w:t>
      </w:r>
      <w:r w:rsidR="00925017">
        <w:t xml:space="preserve"> la</w:t>
      </w:r>
      <w:r w:rsidR="00925017" w:rsidRPr="00DA7D36">
        <w:t xml:space="preserve"> conformación de su Grupo Coordinador.</w:t>
      </w:r>
    </w:p>
    <w:p w14:paraId="37AA9BD8" w14:textId="1ED74D23" w:rsidR="00925017" w:rsidRPr="00DA7D36" w:rsidRDefault="0091763F" w:rsidP="00925017">
      <w:pPr>
        <w:pStyle w:val="SingleTxtG"/>
      </w:pPr>
      <w:r>
        <w:t>7.</w:t>
      </w:r>
      <w:r>
        <w:tab/>
      </w:r>
      <w:r w:rsidR="00925017" w:rsidRPr="00DA7D36">
        <w:t>Adicionalmente, el Comité acoge con beneplácito la creación</w:t>
      </w:r>
      <w:r w:rsidR="00F71850">
        <w:t>, por iniciativa presidencial,</w:t>
      </w:r>
      <w:r w:rsidR="00925017" w:rsidRPr="00DA7D36">
        <w:t xml:space="preserve"> de la Comisión para el Acceso a la Verdad, el Esclarecimiento Histórico y el Impulso a la Justicia de las </w:t>
      </w:r>
      <w:r w:rsidR="00125508">
        <w:t>V</w:t>
      </w:r>
      <w:r w:rsidR="00925017" w:rsidRPr="00DA7D36">
        <w:t xml:space="preserve">iolaciones </w:t>
      </w:r>
      <w:r w:rsidR="00125508">
        <w:t>G</w:t>
      </w:r>
      <w:r w:rsidR="00925017" w:rsidRPr="00DA7D36">
        <w:t xml:space="preserve">raves a los Derechos Humanos cometidas entre los años 1965 </w:t>
      </w:r>
      <w:r w:rsidR="00ED6290">
        <w:t>y</w:t>
      </w:r>
      <w:r w:rsidR="00925017" w:rsidRPr="00DA7D36">
        <w:t xml:space="preserve"> 1990</w:t>
      </w:r>
      <w:r w:rsidR="00283A05">
        <w:t>,</w:t>
      </w:r>
      <w:r w:rsidR="00925017" w:rsidRPr="00DA7D36">
        <w:t xml:space="preserve"> </w:t>
      </w:r>
      <w:r w:rsidR="00F71850">
        <w:t xml:space="preserve">y </w:t>
      </w:r>
      <w:r w:rsidR="00925017" w:rsidRPr="00DA7D36">
        <w:t xml:space="preserve">la creación de la Comisión </w:t>
      </w:r>
      <w:r w:rsidR="00AA3DEA">
        <w:t>P</w:t>
      </w:r>
      <w:r w:rsidR="00925017" w:rsidRPr="00DA7D36">
        <w:t>residencial para el caso Ayotzinapa</w:t>
      </w:r>
      <w:r w:rsidR="00F71850">
        <w:t xml:space="preserve">. También </w:t>
      </w:r>
      <w:r w:rsidR="00283A05">
        <w:t>celebra</w:t>
      </w:r>
      <w:r w:rsidR="00925017" w:rsidRPr="00DA7D36">
        <w:t xml:space="preserve"> la creación</w:t>
      </w:r>
      <w:r w:rsidR="00F71850">
        <w:t xml:space="preserve"> de la </w:t>
      </w:r>
      <w:r w:rsidR="00F71850" w:rsidRPr="00DA7D36">
        <w:t>Unidad Especial de Investigación y Litigación</w:t>
      </w:r>
      <w:r w:rsidR="00F71850">
        <w:t xml:space="preserve"> del caso de Ayotzinapa</w:t>
      </w:r>
      <w:r w:rsidR="00283A05">
        <w:t>,</w:t>
      </w:r>
      <w:r w:rsidR="00925017" w:rsidRPr="00DA7D36">
        <w:t xml:space="preserve"> el Mecanismo Transnacional </w:t>
      </w:r>
      <w:r w:rsidR="004B63BA">
        <w:t>para el</w:t>
      </w:r>
      <w:r w:rsidR="004B63BA" w:rsidRPr="00DA7D36">
        <w:t xml:space="preserve"> </w:t>
      </w:r>
      <w:r w:rsidR="00925017" w:rsidRPr="00DA7D36">
        <w:t xml:space="preserve">Acceso a la Justicia </w:t>
      </w:r>
      <w:r w:rsidR="004B63BA">
        <w:t>de las Personas</w:t>
      </w:r>
      <w:r w:rsidR="004B63BA" w:rsidRPr="00DA7D36">
        <w:t xml:space="preserve"> </w:t>
      </w:r>
      <w:r w:rsidR="00925017" w:rsidRPr="00DA7D36">
        <w:t xml:space="preserve">Migrantes y la Mesa de Búsqueda de Personas Migrantes Desaparecidas </w:t>
      </w:r>
      <w:r w:rsidR="004B63BA">
        <w:t>en el marco</w:t>
      </w:r>
      <w:r w:rsidR="004B63BA" w:rsidRPr="00DA7D36">
        <w:t xml:space="preserve"> </w:t>
      </w:r>
      <w:r w:rsidR="00925017" w:rsidRPr="00DA7D36">
        <w:t xml:space="preserve">del </w:t>
      </w:r>
      <w:bookmarkStart w:id="3" w:name="_Hlk95752507"/>
      <w:r w:rsidR="001D4D8A">
        <w:t>Sistema Nacional de Búsqueda de Personas</w:t>
      </w:r>
      <w:bookmarkEnd w:id="3"/>
      <w:r w:rsidR="00925017" w:rsidRPr="00DA7D36">
        <w:t xml:space="preserve">. </w:t>
      </w:r>
    </w:p>
    <w:p w14:paraId="2729715B" w14:textId="77777777" w:rsidR="00925017" w:rsidRPr="00DA7D36" w:rsidRDefault="0091763F" w:rsidP="00925017">
      <w:pPr>
        <w:pStyle w:val="SingleTxtG"/>
      </w:pPr>
      <w:r>
        <w:t>8.</w:t>
      </w:r>
      <w:r>
        <w:tab/>
      </w:r>
      <w:r w:rsidR="00925017" w:rsidRPr="00DA7D36">
        <w:t xml:space="preserve">Este marco normativo e institucional instaura herramientas </w:t>
      </w:r>
      <w:r w:rsidR="00925017">
        <w:t>con un</w:t>
      </w:r>
      <w:r w:rsidR="00925017" w:rsidRPr="00DA7D36">
        <w:t xml:space="preserve"> gran potencial, cuya efectiva implementación debe ser prioritaria en la lucha contra la desaparición forzada.</w:t>
      </w:r>
    </w:p>
    <w:p w14:paraId="7BEE7943" w14:textId="0F0924F0" w:rsidR="00374537" w:rsidRPr="00374537" w:rsidRDefault="0091763F" w:rsidP="00374537">
      <w:pPr>
        <w:pStyle w:val="SingleTxtG"/>
      </w:pPr>
      <w:r>
        <w:t>9.</w:t>
      </w:r>
      <w:r>
        <w:tab/>
      </w:r>
      <w:r w:rsidR="00925017" w:rsidRPr="00DA7D36">
        <w:t>Cabe destacar como un paso importante que el Estado parte haya reconocido la competencia del Comité para examinar las comunicaciones individuales, conforme al artículo</w:t>
      </w:r>
      <w:r w:rsidR="00B33EA4">
        <w:t> </w:t>
      </w:r>
      <w:r w:rsidR="00925017" w:rsidRPr="00DA7D36">
        <w:t>31 de la Convención. El Comité celebra la decisión de la Suprema Corte de Justicia</w:t>
      </w:r>
      <w:r w:rsidR="002B71B0">
        <w:t xml:space="preserve"> de la Nación</w:t>
      </w:r>
      <w:r w:rsidR="00EB7D9C">
        <w:rPr>
          <w:rStyle w:val="Refdenotaalpie"/>
        </w:rPr>
        <w:footnoteReference w:id="7"/>
      </w:r>
      <w:r w:rsidR="00EB7D9C" w:rsidRPr="00DA7D36" w:rsidDel="00572DA8">
        <w:t xml:space="preserve"> </w:t>
      </w:r>
      <w:r w:rsidR="00925017" w:rsidRPr="00DA7D36">
        <w:t xml:space="preserve">en la que reconoce el carácter vinculante de las </w:t>
      </w:r>
      <w:r w:rsidR="00AA3DEA">
        <w:t xml:space="preserve">recomendaciones adoptadas por el Comité en el contexto del procedimiento de </w:t>
      </w:r>
      <w:r w:rsidR="00B245B7">
        <w:t>a</w:t>
      </w:r>
      <w:r w:rsidR="00925017" w:rsidRPr="00DA7D36">
        <w:t xml:space="preserve">cciones </w:t>
      </w:r>
      <w:r w:rsidR="00B245B7">
        <w:t>u</w:t>
      </w:r>
      <w:r w:rsidR="00925017" w:rsidRPr="00DA7D36">
        <w:t>rgentes en virtud del artículo 30 de la Convención</w:t>
      </w:r>
      <w:r w:rsidR="00925017">
        <w:t>.</w:t>
      </w:r>
      <w:r w:rsidR="00925017" w:rsidRPr="00DA7D36">
        <w:t xml:space="preserve"> </w:t>
      </w:r>
      <w:r w:rsidR="00925017">
        <w:t>En ella</w:t>
      </w:r>
      <w:r w:rsidR="00283A05">
        <w:t>,</w:t>
      </w:r>
      <w:r w:rsidR="00925017">
        <w:t xml:space="preserve"> </w:t>
      </w:r>
      <w:r w:rsidR="00374537">
        <w:t>la Corte afirma</w:t>
      </w:r>
      <w:r w:rsidR="00374537" w:rsidRPr="00374537">
        <w:t xml:space="preserve"> que las </w:t>
      </w:r>
      <w:r w:rsidR="00374537">
        <w:t xml:space="preserve">competencias del Comité para </w:t>
      </w:r>
      <w:r w:rsidR="00374537" w:rsidRPr="00374537">
        <w:t>dictar y supervisa</w:t>
      </w:r>
      <w:r w:rsidR="00374537">
        <w:t>r las acciones urgentes</w:t>
      </w:r>
      <w:r w:rsidR="00374537" w:rsidRPr="00374537">
        <w:t xml:space="preserve"> integran incuestionablemente</w:t>
      </w:r>
      <w:r w:rsidR="00283A05">
        <w:t xml:space="preserve"> </w:t>
      </w:r>
      <w:r w:rsidR="00374537">
        <w:t xml:space="preserve">el </w:t>
      </w:r>
      <w:r w:rsidR="00374537" w:rsidRPr="00374537">
        <w:t xml:space="preserve">contenido normativo de la Convención Internacional para la </w:t>
      </w:r>
      <w:r w:rsidR="00283A05">
        <w:t>P</w:t>
      </w:r>
      <w:r w:rsidR="00374537" w:rsidRPr="00374537">
        <w:t xml:space="preserve">rotección de </w:t>
      </w:r>
      <w:r w:rsidR="005F5D2D">
        <w:t>T</w:t>
      </w:r>
      <w:r w:rsidR="00925017" w:rsidRPr="00DA7D36">
        <w:t xml:space="preserve">odas </w:t>
      </w:r>
      <w:r w:rsidR="00374537" w:rsidRPr="00374537">
        <w:t xml:space="preserve">las </w:t>
      </w:r>
      <w:r w:rsidR="00283A05">
        <w:t>P</w:t>
      </w:r>
      <w:r w:rsidR="00374537" w:rsidRPr="00374537">
        <w:t xml:space="preserve">ersonas contra las </w:t>
      </w:r>
      <w:r w:rsidR="009952DE">
        <w:t>D</w:t>
      </w:r>
      <w:r w:rsidR="00925017" w:rsidRPr="00DA7D36">
        <w:t xml:space="preserve">esapariciones </w:t>
      </w:r>
      <w:r w:rsidR="009952DE">
        <w:t>F</w:t>
      </w:r>
      <w:r w:rsidR="00925017" w:rsidRPr="00DA7D36">
        <w:t xml:space="preserve">orzadas </w:t>
      </w:r>
      <w:r w:rsidR="00283A05">
        <w:t>“</w:t>
      </w:r>
      <w:r w:rsidR="00374537" w:rsidRPr="00374537">
        <w:t>de manera que deben entenderse como parte de las disposiciones que México acepta al firmarla, ratificarla e incorporarla a su régimen jurídico interno.</w:t>
      </w:r>
      <w:r w:rsidR="00283A05">
        <w:t xml:space="preserve"> </w:t>
      </w:r>
      <w:r w:rsidR="00374537" w:rsidRPr="00374537">
        <w:t xml:space="preserve">Esto significa que el Estado mexicano ratificó y sumó a su régimen constitucional interno estas atribuciones y </w:t>
      </w:r>
      <w:r w:rsidR="00374537" w:rsidRPr="00374537">
        <w:lastRenderedPageBreak/>
        <w:t>competencias, así como las resoluciones emitidas en ejercicio de esas facultades</w:t>
      </w:r>
      <w:r w:rsidR="00283A05">
        <w:t>”</w:t>
      </w:r>
      <w:r w:rsidR="00925017" w:rsidRPr="00DA7D36">
        <w:t xml:space="preserve">. </w:t>
      </w:r>
      <w:r w:rsidR="00925017">
        <w:t>El Comité t</w:t>
      </w:r>
      <w:r w:rsidR="00925017" w:rsidRPr="00DA7D36">
        <w:t xml:space="preserve">ambién </w:t>
      </w:r>
      <w:r w:rsidR="00283A05">
        <w:t>acoge con satisfacción</w:t>
      </w:r>
      <w:r w:rsidR="00283A05" w:rsidRPr="00DA7D36">
        <w:t xml:space="preserve"> </w:t>
      </w:r>
      <w:r w:rsidR="00925017" w:rsidRPr="00DA7D36">
        <w:t>que esta decisión destaque “la impostergable obligación de búsqueda de la persona desaparecida con toda la fuerza institucional disponible y con toda la coordinación institucional necesaria para lograr su cometido”</w:t>
      </w:r>
      <w:r w:rsidR="00600C80">
        <w:rPr>
          <w:rStyle w:val="Refdenotaalpie"/>
        </w:rPr>
        <w:footnoteReference w:id="8"/>
      </w:r>
      <w:r w:rsidR="00925017" w:rsidRPr="00DA7D36">
        <w:t>.</w:t>
      </w:r>
    </w:p>
    <w:p w14:paraId="06AEEAF1" w14:textId="77777777" w:rsidR="00925017" w:rsidRPr="00DA7D36" w:rsidRDefault="00925017" w:rsidP="00F01CC2">
      <w:pPr>
        <w:pStyle w:val="HChG"/>
      </w:pPr>
      <w:r>
        <w:tab/>
      </w:r>
      <w:r w:rsidR="00F01CC2">
        <w:t>III</w:t>
      </w:r>
      <w:r w:rsidRPr="00DA7D36">
        <w:t>.</w:t>
      </w:r>
      <w:r w:rsidRPr="00DA7D36">
        <w:tab/>
        <w:t>Contexto</w:t>
      </w:r>
      <w:r w:rsidR="004F74DA">
        <w:t xml:space="preserve"> y tendencias observadas</w:t>
      </w:r>
    </w:p>
    <w:p w14:paraId="7F77CCBB" w14:textId="3B5D3EE3" w:rsidR="00925017" w:rsidRPr="00DA7D36" w:rsidRDefault="00925017" w:rsidP="00F01CC2">
      <w:pPr>
        <w:pStyle w:val="H1G"/>
      </w:pPr>
      <w:r>
        <w:tab/>
      </w:r>
      <w:r w:rsidR="00E85ADF">
        <w:t>A.</w:t>
      </w:r>
      <w:r w:rsidR="00E85ADF">
        <w:tab/>
      </w:r>
      <w:r w:rsidR="003F23F5" w:rsidRPr="00310F28">
        <w:t>El fenómeno de las d</w:t>
      </w:r>
      <w:r w:rsidRPr="00310F28">
        <w:t>esapariciones en México</w:t>
      </w:r>
    </w:p>
    <w:p w14:paraId="31F61014" w14:textId="436D1D29" w:rsidR="00925017" w:rsidRPr="00DA7D36" w:rsidRDefault="0091763F" w:rsidP="00925017">
      <w:pPr>
        <w:pStyle w:val="SingleTxtG"/>
      </w:pPr>
      <w:r>
        <w:t>10.</w:t>
      </w:r>
      <w:r>
        <w:tab/>
      </w:r>
      <w:r w:rsidR="008566DB">
        <w:t>El</w:t>
      </w:r>
      <w:r w:rsidR="001D4D8A" w:rsidRPr="001D4D8A">
        <w:t xml:space="preserve"> </w:t>
      </w:r>
      <w:r w:rsidR="001D4D8A">
        <w:t>Registro Nacional de Personas Desaparecidas y No Localizadas</w:t>
      </w:r>
      <w:r w:rsidR="00F71850">
        <w:t xml:space="preserve">, administrado por la Comisión Nacional de Búsqueda de la Secretaría de Gobernación, es el único registro en funcionamiento de los previstos </w:t>
      </w:r>
      <w:r w:rsidR="007D2E9F">
        <w:t>por</w:t>
      </w:r>
      <w:r w:rsidR="00F71850">
        <w:t xml:space="preserve"> la </w:t>
      </w:r>
      <w:r w:rsidR="007D2E9F" w:rsidRPr="00DA7D36">
        <w:t>Ley General en Materia de Desaparición Forzada de Personas, Desaparición Cometida por Particulares</w:t>
      </w:r>
      <w:r w:rsidR="00F7012C">
        <w:t xml:space="preserve"> y del Sistema Nacional de Búsqueda de Personas</w:t>
      </w:r>
      <w:r w:rsidR="00F71850">
        <w:t>. P</w:t>
      </w:r>
      <w:r w:rsidR="00925017" w:rsidRPr="00DA7D36">
        <w:t xml:space="preserve">ermite visibilizar la dimensión del fenómeno de la desaparición en México. Según las cifras oficiales </w:t>
      </w:r>
      <w:r w:rsidR="000B19FA">
        <w:t>disponibles</w:t>
      </w:r>
      <w:r w:rsidR="00925017" w:rsidRPr="00DA7D36">
        <w:t xml:space="preserve"> al 26 de noviembre de 2021</w:t>
      </w:r>
      <w:r w:rsidR="00F7012C">
        <w:t>,</w:t>
      </w:r>
      <w:r w:rsidR="00925017" w:rsidRPr="00DA7D36">
        <w:t xml:space="preserve"> se </w:t>
      </w:r>
      <w:r w:rsidR="00925017">
        <w:t xml:space="preserve">encontraban registradas </w:t>
      </w:r>
      <w:r w:rsidR="00925017" w:rsidRPr="00DA7D36">
        <w:t xml:space="preserve">95.121 personas desaparecidas, de las cuales 112 habrían desaparecido durante la visita del Comité. </w:t>
      </w:r>
    </w:p>
    <w:p w14:paraId="47D3A9B4" w14:textId="11A9DC4B" w:rsidR="00925017" w:rsidRPr="00AB3FB3" w:rsidRDefault="0091763F" w:rsidP="00925017">
      <w:pPr>
        <w:pStyle w:val="SingleTxtG"/>
      </w:pPr>
      <w:r>
        <w:t>11.</w:t>
      </w:r>
      <w:r>
        <w:tab/>
      </w:r>
      <w:r w:rsidR="00925017" w:rsidRPr="00DA7D36">
        <w:t xml:space="preserve">Según la </w:t>
      </w:r>
      <w:r w:rsidR="00925017" w:rsidRPr="00AB3FB3">
        <w:t>información brindada al Comité, entre 2006 y 2021 se produce un crecimiento exponencial de las desapariciones en el país</w:t>
      </w:r>
      <w:r w:rsidR="00CA018F" w:rsidRPr="00AB3FB3">
        <w:t>, pues</w:t>
      </w:r>
      <w:r w:rsidR="00925017" w:rsidRPr="00AB3FB3">
        <w:t xml:space="preserve"> </w:t>
      </w:r>
      <w:r w:rsidR="00CA018F" w:rsidRPr="00AB3FB3">
        <w:t>u</w:t>
      </w:r>
      <w:r w:rsidR="00925017" w:rsidRPr="00AB3FB3">
        <w:t>n porcentaje superior al 98</w:t>
      </w:r>
      <w:r w:rsidR="001971D3" w:rsidRPr="00AB3FB3">
        <w:t> </w:t>
      </w:r>
      <w:r w:rsidR="00925017" w:rsidRPr="00AB3FB3">
        <w:t>% tuvo lugar en dicho per</w:t>
      </w:r>
      <w:r w:rsidR="00C15A6B" w:rsidRPr="00AB3FB3">
        <w:t>í</w:t>
      </w:r>
      <w:r w:rsidR="00925017" w:rsidRPr="00AB3FB3">
        <w:t>odo (anexo 3)</w:t>
      </w:r>
      <w:r w:rsidR="00925017" w:rsidRPr="006B5133">
        <w:rPr>
          <w:vertAlign w:val="superscript"/>
        </w:rPr>
        <w:footnoteReference w:id="9"/>
      </w:r>
      <w:r w:rsidR="00A010E0" w:rsidRPr="00C43B75">
        <w:t>.</w:t>
      </w:r>
      <w:r w:rsidR="001971D3" w:rsidRPr="00AB3FB3">
        <w:t xml:space="preserve"> </w:t>
      </w:r>
      <w:r w:rsidR="00A010E0" w:rsidRPr="00AB3FB3">
        <w:t>Est</w:t>
      </w:r>
      <w:r w:rsidR="002E2070" w:rsidRPr="00AB3FB3">
        <w:t>os</w:t>
      </w:r>
      <w:r w:rsidR="002E2070">
        <w:t xml:space="preserve"> datos</w:t>
      </w:r>
      <w:r w:rsidR="00925017">
        <w:t xml:space="preserve"> evidencia</w:t>
      </w:r>
      <w:r w:rsidR="002E2070">
        <w:t>n</w:t>
      </w:r>
      <w:r w:rsidR="00925017">
        <w:t xml:space="preserve"> la estrecha</w:t>
      </w:r>
      <w:r w:rsidR="00925017" w:rsidRPr="00DA7D36">
        <w:t xml:space="preserve"> relación</w:t>
      </w:r>
      <w:r w:rsidR="00925017">
        <w:t xml:space="preserve"> entre el incremento de las desapariciones y</w:t>
      </w:r>
      <w:r w:rsidR="00925017" w:rsidRPr="00DA7D36">
        <w:t xml:space="preserve"> el inicio de la llamada “guerra contra el narcotráfico”</w:t>
      </w:r>
      <w:r w:rsidR="00925017">
        <w:t>,</w:t>
      </w:r>
      <w:r w:rsidR="00925017" w:rsidRPr="00DA7D36">
        <w:t xml:space="preserve"> </w:t>
      </w:r>
      <w:r w:rsidR="00925017">
        <w:t xml:space="preserve">que se produjo </w:t>
      </w:r>
      <w:r w:rsidR="00925017" w:rsidRPr="00DA7D36">
        <w:t>durante el sexenio de Felipe Calderón (2006-2012)</w:t>
      </w:r>
      <w:r w:rsidR="00B5720B">
        <w:t>,</w:t>
      </w:r>
      <w:r w:rsidR="00925017" w:rsidRPr="00DA7D36">
        <w:t xml:space="preserve"> </w:t>
      </w:r>
      <w:r w:rsidR="00B02723">
        <w:t>durante el que se puso en práctica una</w:t>
      </w:r>
      <w:r w:rsidR="008D7964">
        <w:t xml:space="preserve"> </w:t>
      </w:r>
      <w:r w:rsidR="00925017">
        <w:t xml:space="preserve">política </w:t>
      </w:r>
      <w:r w:rsidR="00925017" w:rsidRPr="00DA7D36">
        <w:t>caracterizada por el despliegue de las fuerzas armadas para cumplir funciones de seguridad pública</w:t>
      </w:r>
      <w:r w:rsidR="00925017">
        <w:t>, que se mantuvo e incluso</w:t>
      </w:r>
      <w:r w:rsidR="00925017" w:rsidRPr="00DA7D36">
        <w:t xml:space="preserve"> se</w:t>
      </w:r>
      <w:r w:rsidR="00F5318D">
        <w:t xml:space="preserve"> ha</w:t>
      </w:r>
      <w:r w:rsidR="00925017" w:rsidRPr="00DA7D36">
        <w:t xml:space="preserve"> </w:t>
      </w:r>
      <w:r w:rsidR="00F5318D">
        <w:t>agudizado</w:t>
      </w:r>
      <w:r w:rsidR="00F5318D" w:rsidRPr="00DA7D36">
        <w:t xml:space="preserve"> </w:t>
      </w:r>
      <w:r w:rsidR="00925017">
        <w:t>en</w:t>
      </w:r>
      <w:r w:rsidR="00925017" w:rsidRPr="00DA7D36">
        <w:t xml:space="preserve"> </w:t>
      </w:r>
      <w:r w:rsidR="00F5318D">
        <w:t>los siguientes</w:t>
      </w:r>
      <w:r w:rsidR="00F5318D" w:rsidRPr="00DA7D36">
        <w:t xml:space="preserve"> </w:t>
      </w:r>
      <w:r w:rsidR="00925017" w:rsidRPr="00DA7D36">
        <w:t>sexenio</w:t>
      </w:r>
      <w:r w:rsidR="00F5318D">
        <w:t>s</w:t>
      </w:r>
      <w:r w:rsidR="00D84ACC">
        <w:t>.</w:t>
      </w:r>
      <w:r w:rsidR="00925017">
        <w:t xml:space="preserve"> De este modo, si</w:t>
      </w:r>
      <w:r w:rsidR="00925017" w:rsidRPr="00DA7D36">
        <w:t xml:space="preserve"> en la segunda mitad del siglo </w:t>
      </w:r>
      <w:r w:rsidR="00DB1497">
        <w:t xml:space="preserve">pasado </w:t>
      </w:r>
      <w:r w:rsidR="00925017" w:rsidRPr="00DA7D36">
        <w:t xml:space="preserve">las desapariciones se caracterizaron por ser </w:t>
      </w:r>
      <w:r w:rsidR="00F5318D">
        <w:t xml:space="preserve">principalmente </w:t>
      </w:r>
      <w:r w:rsidR="00925017" w:rsidRPr="00DA7D36">
        <w:t xml:space="preserve">mecanismos de represión política cometidas por agentes del </w:t>
      </w:r>
      <w:r w:rsidR="00F7012C">
        <w:t>G</w:t>
      </w:r>
      <w:r w:rsidR="00925017" w:rsidRPr="00DA7D36">
        <w:t>obierno y las fuerzas armadas cuyas víctimas eran</w:t>
      </w:r>
      <w:r w:rsidR="00F5318D">
        <w:t xml:space="preserve"> mayoritariamente</w:t>
      </w:r>
      <w:r w:rsidR="00925017" w:rsidRPr="00DA7D36">
        <w:t xml:space="preserve"> grupos sociales de oposición, </w:t>
      </w:r>
      <w:r w:rsidR="00925017">
        <w:t xml:space="preserve">a partir de </w:t>
      </w:r>
      <w:r w:rsidR="00925017" w:rsidRPr="00DA7D36">
        <w:t>2006</w:t>
      </w:r>
      <w:r w:rsidR="00925017">
        <w:t xml:space="preserve"> las desapariciones</w:t>
      </w:r>
      <w:r w:rsidR="00925017" w:rsidRPr="00DA7D36">
        <w:t xml:space="preserve"> reflejan una gran diversidad de </w:t>
      </w:r>
      <w:r w:rsidR="00F5318D">
        <w:t>perpetradores</w:t>
      </w:r>
      <w:r w:rsidR="007D2E9F">
        <w:t>, modalidades y víctimas.</w:t>
      </w:r>
    </w:p>
    <w:p w14:paraId="1E224173" w14:textId="3EC2DF70" w:rsidR="00925017" w:rsidRPr="00AB3FB3" w:rsidRDefault="0091763F" w:rsidP="00290483">
      <w:pPr>
        <w:pStyle w:val="SingleTxtG"/>
      </w:pPr>
      <w:r w:rsidRPr="00AB3FB3">
        <w:t>12.</w:t>
      </w:r>
      <w:r w:rsidRPr="00AB3FB3">
        <w:tab/>
      </w:r>
      <w:r w:rsidR="00925017" w:rsidRPr="00AB3FB3">
        <w:t xml:space="preserve">El Comité toma nota de que, según </w:t>
      </w:r>
      <w:r w:rsidR="006304FB">
        <w:t>la información proporcionada por el Estado parte</w:t>
      </w:r>
      <w:r w:rsidR="00925017" w:rsidRPr="00AB3FB3">
        <w:t xml:space="preserve">, </w:t>
      </w:r>
      <w:r w:rsidR="006304FB">
        <w:t xml:space="preserve">en los dos últimos años </w:t>
      </w:r>
      <w:r w:rsidR="00925017" w:rsidRPr="00AB3FB3">
        <w:t xml:space="preserve">se ha producido una reducción en el número de personas desaparecidas </w:t>
      </w:r>
      <w:r w:rsidR="00925017" w:rsidRPr="004970B1">
        <w:t xml:space="preserve">(anexo </w:t>
      </w:r>
      <w:r w:rsidR="002D0452" w:rsidRPr="004970B1">
        <w:t>3</w:t>
      </w:r>
      <w:r w:rsidR="00925017" w:rsidRPr="004970B1">
        <w:t>).</w:t>
      </w:r>
      <w:r w:rsidR="00925017" w:rsidRPr="00AB3FB3">
        <w:t xml:space="preserve"> No</w:t>
      </w:r>
      <w:r w:rsidR="00925017" w:rsidRPr="00DA7D36">
        <w:t xml:space="preserve"> obstante</w:t>
      </w:r>
      <w:r w:rsidR="00925017">
        <w:t>,</w:t>
      </w:r>
      <w:r w:rsidR="00925017" w:rsidRPr="00DA7D36">
        <w:t xml:space="preserve"> también </w:t>
      </w:r>
      <w:r w:rsidR="00A700D0">
        <w:t>observa</w:t>
      </w:r>
      <w:r w:rsidR="00A700D0" w:rsidRPr="00DA7D36">
        <w:t xml:space="preserve"> </w:t>
      </w:r>
      <w:r w:rsidR="00925017" w:rsidRPr="00DA7D36">
        <w:t>que, según la información disponible, las desapariciones</w:t>
      </w:r>
      <w:r w:rsidR="00925017">
        <w:t xml:space="preserve"> frecuentemente</w:t>
      </w:r>
      <w:r w:rsidR="00925017" w:rsidRPr="00DA7D36">
        <w:t xml:space="preserve"> se reportan entre </w:t>
      </w:r>
      <w:r w:rsidR="00D85BB3">
        <w:t>uno</w:t>
      </w:r>
      <w:r w:rsidR="00925017" w:rsidRPr="00DA7D36">
        <w:t xml:space="preserve"> y </w:t>
      </w:r>
      <w:r w:rsidR="00D85BB3">
        <w:t>dos</w:t>
      </w:r>
      <w:r w:rsidR="00925017" w:rsidRPr="00DA7D36">
        <w:t xml:space="preserve"> años después de su </w:t>
      </w:r>
      <w:r w:rsidR="00925017">
        <w:t>perpetración</w:t>
      </w:r>
      <w:r w:rsidR="00925017" w:rsidRPr="00DA7D36">
        <w:t>, lo cual limita las posibilidades de</w:t>
      </w:r>
      <w:r w:rsidR="00925017">
        <w:t xml:space="preserve"> extraer conclusiones</w:t>
      </w:r>
      <w:r w:rsidR="006304FB">
        <w:t xml:space="preserve"> definitivas</w:t>
      </w:r>
      <w:r w:rsidR="00925017">
        <w:t xml:space="preserve"> a partir del</w:t>
      </w:r>
      <w:r w:rsidR="00925017" w:rsidRPr="00DA7D36">
        <w:t xml:space="preserve"> análisis de las cifras</w:t>
      </w:r>
      <w:r w:rsidR="00925017">
        <w:t xml:space="preserve"> más</w:t>
      </w:r>
      <w:r w:rsidR="00925017" w:rsidRPr="00DA7D36">
        <w:t xml:space="preserve"> </w:t>
      </w:r>
      <w:r w:rsidR="00925017" w:rsidRPr="00AB3FB3">
        <w:t xml:space="preserve">recientes. </w:t>
      </w:r>
    </w:p>
    <w:p w14:paraId="23359133" w14:textId="62B513A5" w:rsidR="00925017" w:rsidRPr="00AB3FB3" w:rsidRDefault="00DA35B1" w:rsidP="00290483">
      <w:pPr>
        <w:pStyle w:val="SingleTxtG"/>
      </w:pPr>
      <w:r>
        <w:t>13.</w:t>
      </w:r>
      <w:r>
        <w:tab/>
      </w:r>
      <w:r w:rsidR="00F7012C">
        <w:t>E</w:t>
      </w:r>
      <w:r w:rsidR="00925017" w:rsidRPr="00AB3FB3">
        <w:t>l Comité recibió información preocupante</w:t>
      </w:r>
      <w:r w:rsidR="00F7012C">
        <w:t xml:space="preserve"> al respecto</w:t>
      </w:r>
      <w:r w:rsidR="00F7012C" w:rsidRPr="00AB3FB3">
        <w:t xml:space="preserve">, </w:t>
      </w:r>
      <w:r w:rsidR="00925017" w:rsidRPr="00AB3FB3">
        <w:t>tanto de autoridades como de víctimas</w:t>
      </w:r>
      <w:r w:rsidR="00F7012C">
        <w:t>,</w:t>
      </w:r>
      <w:r w:rsidR="00925017" w:rsidRPr="00AB3FB3">
        <w:t xml:space="preserve"> sobre la existencia de diversos patrones en la comisión de desapariciones forzadas </w:t>
      </w:r>
      <w:r w:rsidR="00B316C6">
        <w:t>que afectan a la gran mayoría de las entidades federativas</w:t>
      </w:r>
      <w:r w:rsidR="00DE389D">
        <w:t xml:space="preserve"> (anexo 4)</w:t>
      </w:r>
      <w:r w:rsidR="00290483">
        <w:t xml:space="preserve">. </w:t>
      </w:r>
      <w:r w:rsidR="00696ABC">
        <w:t xml:space="preserve">Las </w:t>
      </w:r>
      <w:r w:rsidR="00290483">
        <w:t xml:space="preserve">desapariciones </w:t>
      </w:r>
      <w:r w:rsidR="00290483" w:rsidRPr="00AB3FB3">
        <w:t xml:space="preserve">forzadas </w:t>
      </w:r>
      <w:r w:rsidR="00696ABC">
        <w:t>continúan siendo</w:t>
      </w:r>
      <w:r w:rsidR="00696ABC" w:rsidRPr="00AB3FB3">
        <w:t xml:space="preserve"> </w:t>
      </w:r>
      <w:r w:rsidR="00290483" w:rsidRPr="00AB3FB3">
        <w:t xml:space="preserve">cometidas directamente por agentes </w:t>
      </w:r>
      <w:r w:rsidR="004F1145">
        <w:t xml:space="preserve">públicos del ámbito federal, estatal y municipal. Además, la delincuencia organizada se ha convertido en un perpetrador central de desapariciones, </w:t>
      </w:r>
      <w:r w:rsidR="004F1145" w:rsidRPr="00AB3FB3">
        <w:t xml:space="preserve">con </w:t>
      </w:r>
      <w:r w:rsidR="004F1145">
        <w:t xml:space="preserve">diversas formas de connivencia y </w:t>
      </w:r>
      <w:r w:rsidR="004F1145" w:rsidRPr="00AB3FB3">
        <w:t>diversos grados de participación, aquiescencia u omisión</w:t>
      </w:r>
      <w:r w:rsidR="004F1145">
        <w:t xml:space="preserve"> de </w:t>
      </w:r>
      <w:r w:rsidR="00477062">
        <w:t>servidores públicos</w:t>
      </w:r>
      <w:r w:rsidR="00290483" w:rsidRPr="00AB3FB3">
        <w:t>.</w:t>
      </w:r>
      <w:r w:rsidR="004F1145" w:rsidRPr="00AB3FB3" w:rsidDel="004F1145">
        <w:t xml:space="preserve"> </w:t>
      </w:r>
    </w:p>
    <w:p w14:paraId="591022C0" w14:textId="6EEFF98A" w:rsidR="00925017" w:rsidRPr="00DA7D36" w:rsidRDefault="0091763F" w:rsidP="00925017">
      <w:pPr>
        <w:pStyle w:val="SingleTxtG"/>
      </w:pPr>
      <w:r w:rsidRPr="00AB3FB3">
        <w:t>1</w:t>
      </w:r>
      <w:r w:rsidR="00DA35B1">
        <w:t>4</w:t>
      </w:r>
      <w:r w:rsidRPr="00AB3FB3">
        <w:t>.</w:t>
      </w:r>
      <w:r w:rsidRPr="00AB3FB3">
        <w:tab/>
      </w:r>
      <w:r w:rsidR="00925017" w:rsidRPr="00AB3FB3">
        <w:t xml:space="preserve">Las desapariciones siguen afectando mayoritariamente a hombres </w:t>
      </w:r>
      <w:r w:rsidR="006D1DC9" w:rsidRPr="00AB3FB3">
        <w:t xml:space="preserve">de </w:t>
      </w:r>
      <w:r w:rsidR="00925017" w:rsidRPr="00AB3FB3">
        <w:t>entre 15 y 40</w:t>
      </w:r>
      <w:r w:rsidR="00D22E6C" w:rsidRPr="00AB3FB3">
        <w:t> </w:t>
      </w:r>
      <w:r w:rsidR="00925017" w:rsidRPr="00AB3FB3">
        <w:t xml:space="preserve">años (anexo </w:t>
      </w:r>
      <w:r w:rsidR="004970B1">
        <w:t>5</w:t>
      </w:r>
      <w:r w:rsidR="00925017" w:rsidRPr="00AB3FB3">
        <w:t>). No obstante, las cifras oficiales muestran un incremento notable de desapariciones de niños y niñas a partir de los 12 años, así</w:t>
      </w:r>
      <w:r w:rsidR="00D84ACC" w:rsidRPr="00AB3FB3">
        <w:t xml:space="preserve"> como de adolescentes y mujeres</w:t>
      </w:r>
      <w:r w:rsidR="00925017" w:rsidRPr="006B5133">
        <w:rPr>
          <w:vertAlign w:val="superscript"/>
        </w:rPr>
        <w:footnoteReference w:id="10"/>
      </w:r>
      <w:r w:rsidR="00D84ACC" w:rsidRPr="00AB3FB3">
        <w:t>,</w:t>
      </w:r>
      <w:r w:rsidR="00925017" w:rsidRPr="00AB3FB3">
        <w:t xml:space="preserve"> tendencia que se agudizó en el contexto de la pandemia de</w:t>
      </w:r>
      <w:r w:rsidR="00AF53FC" w:rsidRPr="00AB3FB3">
        <w:t xml:space="preserve"> </w:t>
      </w:r>
      <w:r w:rsidR="002B1227" w:rsidRPr="00AB3FB3">
        <w:t xml:space="preserve">enfermedad por coronavirus </w:t>
      </w:r>
      <w:r w:rsidR="008F088F" w:rsidRPr="00AB3FB3">
        <w:t>(</w:t>
      </w:r>
      <w:r w:rsidR="00925017" w:rsidRPr="00AB3FB3">
        <w:t>COVID</w:t>
      </w:r>
      <w:r w:rsidR="006E6315" w:rsidRPr="00AB3FB3">
        <w:t>-</w:t>
      </w:r>
      <w:r w:rsidR="00925017" w:rsidRPr="00AB3FB3">
        <w:t>19</w:t>
      </w:r>
      <w:r w:rsidR="008F088F" w:rsidRPr="00AB3FB3">
        <w:t>)</w:t>
      </w:r>
      <w:r w:rsidR="00925017" w:rsidRPr="00AB3FB3">
        <w:t xml:space="preserve"> </w:t>
      </w:r>
      <w:r w:rsidR="00925017" w:rsidRPr="004970B1">
        <w:t xml:space="preserve">(anexo </w:t>
      </w:r>
      <w:r w:rsidR="004970B1" w:rsidRPr="004970B1">
        <w:t>6</w:t>
      </w:r>
      <w:r w:rsidR="00925017" w:rsidRPr="004970B1">
        <w:t>)</w:t>
      </w:r>
      <w:r w:rsidR="00925017" w:rsidRPr="00AB3FB3">
        <w:t>.</w:t>
      </w:r>
      <w:r w:rsidR="00925017" w:rsidRPr="00DA7D36">
        <w:t xml:space="preserve"> Dichos casos corresponderían a desapariciones vinculadas con </w:t>
      </w:r>
      <w:r w:rsidR="00925017">
        <w:t xml:space="preserve">la </w:t>
      </w:r>
      <w:r w:rsidR="00925017" w:rsidRPr="00DA7D36">
        <w:t>sustracción de niños y niñas (dentro o fuera del ámbito familiar)</w:t>
      </w:r>
      <w:r w:rsidR="00AE52D7">
        <w:t>,</w:t>
      </w:r>
      <w:r w:rsidR="00925017" w:rsidRPr="00DA7D36">
        <w:t xml:space="preserve"> a desapariciones como medio para ocultar </w:t>
      </w:r>
      <w:r w:rsidR="00925017">
        <w:t xml:space="preserve">la </w:t>
      </w:r>
      <w:r w:rsidR="00925017" w:rsidRPr="00DA7D36">
        <w:t xml:space="preserve">violencia sexual y feminicidio, </w:t>
      </w:r>
      <w:r w:rsidR="00925017">
        <w:t xml:space="preserve">al </w:t>
      </w:r>
      <w:r w:rsidR="00925017" w:rsidRPr="00DA7D36">
        <w:t xml:space="preserve">reclutamiento y </w:t>
      </w:r>
      <w:r w:rsidR="00925017">
        <w:t xml:space="preserve">a las </w:t>
      </w:r>
      <w:r w:rsidR="00925017" w:rsidRPr="00DA7D36">
        <w:t xml:space="preserve">represalias. </w:t>
      </w:r>
      <w:r w:rsidR="00BB4534">
        <w:t xml:space="preserve">Las </w:t>
      </w:r>
      <w:r w:rsidR="00BB4534">
        <w:lastRenderedPageBreak/>
        <w:t>v</w:t>
      </w:r>
      <w:r w:rsidR="00925017" w:rsidRPr="00DA7D36">
        <w:t xml:space="preserve">íctimas y </w:t>
      </w:r>
      <w:r w:rsidR="00972D1F">
        <w:t xml:space="preserve">las </w:t>
      </w:r>
      <w:r w:rsidR="00925017" w:rsidRPr="00DA7D36">
        <w:t xml:space="preserve">autoridades también reportaron desapariciones </w:t>
      </w:r>
      <w:r w:rsidR="0032337C">
        <w:t>que tenían por objetivo la</w:t>
      </w:r>
      <w:r w:rsidR="00925017" w:rsidRPr="00DA7D36">
        <w:t xml:space="preserve"> </w:t>
      </w:r>
      <w:r w:rsidR="0032337C">
        <w:t>trata</w:t>
      </w:r>
      <w:r w:rsidR="0032337C" w:rsidRPr="00DA7D36">
        <w:t xml:space="preserve"> </w:t>
      </w:r>
      <w:r w:rsidR="00925017" w:rsidRPr="00DA7D36">
        <w:t xml:space="preserve">y explotación sexual. </w:t>
      </w:r>
    </w:p>
    <w:p w14:paraId="5B11F5B1" w14:textId="074508F7" w:rsidR="00925017" w:rsidRPr="00DA7D36" w:rsidRDefault="00D80F09" w:rsidP="00925017">
      <w:pPr>
        <w:pStyle w:val="SingleTxtG"/>
      </w:pPr>
      <w:r>
        <w:t>1</w:t>
      </w:r>
      <w:r w:rsidR="00DA35B1">
        <w:t>5</w:t>
      </w:r>
      <w:r w:rsidR="0091763F">
        <w:t>.</w:t>
      </w:r>
      <w:r w:rsidR="0091763F">
        <w:tab/>
      </w:r>
      <w:r w:rsidR="00925017" w:rsidRPr="00DA7D36">
        <w:t xml:space="preserve">El Comité considera de particular preocupación la victimización específica de las mujeres que, en la mayoría de los casos, quedan a cargo de su familia y </w:t>
      </w:r>
      <w:r w:rsidR="00925017">
        <w:t>afrontan</w:t>
      </w:r>
      <w:r w:rsidR="00925017" w:rsidRPr="00DA7D36">
        <w:t xml:space="preserve"> </w:t>
      </w:r>
      <w:r w:rsidR="00312747">
        <w:t>con sus propios medios</w:t>
      </w:r>
      <w:r w:rsidR="00312747" w:rsidRPr="00DA7D36">
        <w:t xml:space="preserve"> </w:t>
      </w:r>
      <w:r w:rsidR="00925017" w:rsidRPr="00DA7D36">
        <w:t xml:space="preserve">la búsqueda de </w:t>
      </w:r>
      <w:r w:rsidR="00925017">
        <w:t>sus</w:t>
      </w:r>
      <w:r w:rsidR="00925017" w:rsidRPr="00DA7D36">
        <w:t xml:space="preserve"> </w:t>
      </w:r>
      <w:r w:rsidR="00925017" w:rsidRPr="00A35956">
        <w:t>seres queridos, al tiempo que sufren</w:t>
      </w:r>
      <w:r w:rsidR="00925017" w:rsidRPr="00DA7D36">
        <w:t xml:space="preserve"> los </w:t>
      </w:r>
      <w:r w:rsidR="00925017">
        <w:t>graves</w:t>
      </w:r>
      <w:r w:rsidR="00925017" w:rsidRPr="00DA7D36">
        <w:t xml:space="preserve"> efectos sociales y económicos de las desapariciones</w:t>
      </w:r>
      <w:r w:rsidR="00925017">
        <w:t xml:space="preserve"> y, además, en muchos casos son víctimas</w:t>
      </w:r>
      <w:r w:rsidR="00925017" w:rsidRPr="00DA7D36">
        <w:t xml:space="preserve"> de violencia, persecución</w:t>
      </w:r>
      <w:r w:rsidR="00312747">
        <w:t>, estigmatización, extorsión</w:t>
      </w:r>
      <w:r w:rsidR="00925017" w:rsidRPr="00DA7D36">
        <w:t xml:space="preserve"> y represalias. </w:t>
      </w:r>
    </w:p>
    <w:p w14:paraId="5B0B6E40" w14:textId="187E9C76" w:rsidR="00925017" w:rsidRPr="00DA7D36" w:rsidRDefault="00D80F09" w:rsidP="00925017">
      <w:pPr>
        <w:pStyle w:val="SingleTxtG"/>
      </w:pPr>
      <w:r>
        <w:t>1</w:t>
      </w:r>
      <w:r w:rsidR="00DA35B1">
        <w:t>6</w:t>
      </w:r>
      <w:r w:rsidR="0091763F">
        <w:t>.</w:t>
      </w:r>
      <w:r w:rsidR="0091763F">
        <w:tab/>
      </w:r>
      <w:r w:rsidR="00925017" w:rsidRPr="00DA7D36">
        <w:t>No menos preocupante es la situación de</w:t>
      </w:r>
      <w:r w:rsidR="00925017">
        <w:t xml:space="preserve"> los</w:t>
      </w:r>
      <w:r w:rsidR="00925017" w:rsidRPr="00DA7D36">
        <w:t xml:space="preserve"> defensores de derechos humanos, </w:t>
      </w:r>
      <w:r w:rsidR="000B5E61">
        <w:t xml:space="preserve">algunos de los cuales han sido desaparecidos como consecuencia de su participación en procesos de búsqueda y de </w:t>
      </w:r>
      <w:r w:rsidR="001831CC">
        <w:t xml:space="preserve">su </w:t>
      </w:r>
      <w:r w:rsidR="000B5E61">
        <w:t>lucha en contra de las desapariciones</w:t>
      </w:r>
      <w:r w:rsidR="001831CC">
        <w:t>,</w:t>
      </w:r>
      <w:r w:rsidR="000B5E61">
        <w:t xml:space="preserve"> para quienes</w:t>
      </w:r>
      <w:r w:rsidR="00925017">
        <w:t xml:space="preserve"> l</w:t>
      </w:r>
      <w:r w:rsidR="00925017" w:rsidRPr="00DA7D36">
        <w:t xml:space="preserve">as </w:t>
      </w:r>
      <w:r w:rsidR="00E0142D">
        <w:t>agresiones</w:t>
      </w:r>
      <w:r w:rsidR="00925017" w:rsidRPr="00DA7D36">
        <w:t xml:space="preserve"> son una realidad constante</w:t>
      </w:r>
      <w:r w:rsidR="00925017" w:rsidRPr="006B5133">
        <w:rPr>
          <w:vertAlign w:val="superscript"/>
        </w:rPr>
        <w:footnoteReference w:id="11"/>
      </w:r>
      <w:r w:rsidR="00DD03D3">
        <w:t>.</w:t>
      </w:r>
      <w:r w:rsidR="00925017" w:rsidRPr="00DA7D36">
        <w:t xml:space="preserve"> </w:t>
      </w:r>
      <w:r w:rsidR="000B5E61">
        <w:t xml:space="preserve">De igual manera, el Comité resalta </w:t>
      </w:r>
      <w:r w:rsidR="00C24949">
        <w:t>su</w:t>
      </w:r>
      <w:r w:rsidR="000B5E61">
        <w:t xml:space="preserve"> preocupación </w:t>
      </w:r>
      <w:r w:rsidR="00DC6BA9">
        <w:t>por</w:t>
      </w:r>
      <w:r w:rsidR="00696ABC">
        <w:t xml:space="preserve"> la desaparición</w:t>
      </w:r>
      <w:r w:rsidR="00AF1D5D">
        <w:t xml:space="preserve"> de </w:t>
      </w:r>
      <w:r w:rsidR="00925017" w:rsidRPr="00DA7D36">
        <w:t>más de 30</w:t>
      </w:r>
      <w:r w:rsidR="00825DFB">
        <w:t> </w:t>
      </w:r>
      <w:r w:rsidR="00925017" w:rsidRPr="00DA7D36">
        <w:t xml:space="preserve">periodistas </w:t>
      </w:r>
      <w:r w:rsidR="000B5E61">
        <w:t>entre 2003 y 2021. De ellos</w:t>
      </w:r>
      <w:r w:rsidR="00925017" w:rsidRPr="00DA7D36">
        <w:t xml:space="preserve"> </w:t>
      </w:r>
      <w:r w:rsidR="00F44EB0">
        <w:t>n</w:t>
      </w:r>
      <w:r w:rsidR="00925017" w:rsidRPr="00DA7D36">
        <w:t xml:space="preserve">inguno ha sido localizado y las investigaciones o sanciones a los responsables no </w:t>
      </w:r>
      <w:r w:rsidR="00925017">
        <w:t xml:space="preserve">han tenido </w:t>
      </w:r>
      <w:r w:rsidR="00925017" w:rsidRPr="00DA7D36">
        <w:t xml:space="preserve">avances. Esta </w:t>
      </w:r>
      <w:r w:rsidR="00925017">
        <w:t>situación</w:t>
      </w:r>
      <w:r w:rsidR="00925017" w:rsidRPr="00DA7D36">
        <w:t xml:space="preserve"> constituye una</w:t>
      </w:r>
      <w:r w:rsidR="00925017">
        <w:t xml:space="preserve"> seria</w:t>
      </w:r>
      <w:r w:rsidR="00925017" w:rsidRPr="00DA7D36">
        <w:t xml:space="preserve"> amenaza para l</w:t>
      </w:r>
      <w:r w:rsidR="00D84ACC">
        <w:t xml:space="preserve">a libertad de </w:t>
      </w:r>
      <w:r w:rsidR="00377E6E">
        <w:t>expresión y para el derecho de la sociedad a estar informada</w:t>
      </w:r>
      <w:r w:rsidR="00925017" w:rsidRPr="006B5133">
        <w:rPr>
          <w:vertAlign w:val="superscript"/>
        </w:rPr>
        <w:footnoteReference w:id="12"/>
      </w:r>
      <w:r w:rsidR="00D84ACC">
        <w:t>.</w:t>
      </w:r>
      <w:r w:rsidR="00925017" w:rsidRPr="00DA7D36">
        <w:t xml:space="preserve"> </w:t>
      </w:r>
    </w:p>
    <w:p w14:paraId="60917D1E" w14:textId="3556E72D" w:rsidR="00925017" w:rsidRPr="00DA7D36" w:rsidRDefault="00D80F09" w:rsidP="00925017">
      <w:pPr>
        <w:pStyle w:val="SingleTxtG"/>
      </w:pPr>
      <w:r>
        <w:t>1</w:t>
      </w:r>
      <w:r w:rsidR="00DA35B1">
        <w:t>7</w:t>
      </w:r>
      <w:r w:rsidR="0091763F">
        <w:t>.</w:t>
      </w:r>
      <w:r w:rsidR="0091763F">
        <w:tab/>
      </w:r>
      <w:r w:rsidR="00925017" w:rsidRPr="00DA7D36">
        <w:t xml:space="preserve">Durante la visita, el Comité </w:t>
      </w:r>
      <w:r w:rsidR="008D32FE">
        <w:t>recibió alegaciones</w:t>
      </w:r>
      <w:r w:rsidR="00925017" w:rsidRPr="00DA7D36">
        <w:t xml:space="preserve"> de desapariciones ocurridas en el contexto carcelario. </w:t>
      </w:r>
      <w:r w:rsidR="008D32FE">
        <w:t>A manera de ejemplo, u</w:t>
      </w:r>
      <w:r w:rsidR="00925017" w:rsidRPr="00DA7D36">
        <w:t xml:space="preserve">na madre reportó que su hija fue </w:t>
      </w:r>
      <w:r w:rsidR="00925017">
        <w:t>desaparec</w:t>
      </w:r>
      <w:r w:rsidR="008B1E23">
        <w:t>ida</w:t>
      </w:r>
      <w:r w:rsidR="00925017">
        <w:t xml:space="preserve"> </w:t>
      </w:r>
      <w:r w:rsidR="00925017" w:rsidRPr="00DA7D36">
        <w:t>tras haber ingresado al centro de detención para visitar a su pareja</w:t>
      </w:r>
      <w:r w:rsidR="00925017">
        <w:t>;</w:t>
      </w:r>
      <w:r w:rsidR="00925017" w:rsidRPr="00DA7D36">
        <w:t xml:space="preserve"> la acompañó hasta la entrada del </w:t>
      </w:r>
      <w:r w:rsidR="0085196E">
        <w:t>centro</w:t>
      </w:r>
      <w:r w:rsidR="0085196E" w:rsidRPr="00DA7D36">
        <w:t xml:space="preserve"> </w:t>
      </w:r>
      <w:r w:rsidR="00925017" w:rsidRPr="00DA7D36">
        <w:t xml:space="preserve">y la esperó hasta </w:t>
      </w:r>
      <w:r w:rsidR="00925017">
        <w:t xml:space="preserve">la finalización </w:t>
      </w:r>
      <w:r w:rsidR="00925017" w:rsidRPr="00DA7D36">
        <w:t>de la visita, pero nunca salió</w:t>
      </w:r>
      <w:r w:rsidR="0064414C">
        <w:t xml:space="preserve"> de allí</w:t>
      </w:r>
      <w:r w:rsidR="00925017" w:rsidRPr="00DA7D36">
        <w:t xml:space="preserve">. Al consultar a las autoridades carcelarias sobre el paradero de su hija, afirmaron </w:t>
      </w:r>
      <w:r w:rsidR="00925017">
        <w:t>que no tenían</w:t>
      </w:r>
      <w:r w:rsidR="00925017" w:rsidRPr="00DA7D36">
        <w:t xml:space="preserve"> información sobre ella. </w:t>
      </w:r>
    </w:p>
    <w:p w14:paraId="4879C901" w14:textId="56CC8EB2" w:rsidR="00925017" w:rsidRPr="00DA7D36" w:rsidRDefault="00D80F09" w:rsidP="00925017">
      <w:pPr>
        <w:pStyle w:val="SingleTxtG"/>
      </w:pPr>
      <w:r>
        <w:t>1</w:t>
      </w:r>
      <w:r w:rsidR="00DA35B1">
        <w:t>8</w:t>
      </w:r>
      <w:r w:rsidR="0091763F">
        <w:t>.</w:t>
      </w:r>
      <w:r w:rsidR="0091763F">
        <w:tab/>
      </w:r>
      <w:r w:rsidR="00925017" w:rsidRPr="00DA7D36">
        <w:t xml:space="preserve">El Comité </w:t>
      </w:r>
      <w:r w:rsidR="008D32FE">
        <w:t xml:space="preserve">fue </w:t>
      </w:r>
      <w:r w:rsidR="00913B48">
        <w:t xml:space="preserve">informado </w:t>
      </w:r>
      <w:r w:rsidR="00925017" w:rsidRPr="00DA7D36">
        <w:t xml:space="preserve">sobre la falta de </w:t>
      </w:r>
      <w:r w:rsidR="00913B48">
        <w:t>notificación</w:t>
      </w:r>
      <w:r w:rsidR="00913B48" w:rsidRPr="00DA7D36">
        <w:t xml:space="preserve"> </w:t>
      </w:r>
      <w:r w:rsidR="00925017" w:rsidRPr="00DA7D36">
        <w:t xml:space="preserve">inmediata de la privación de libertad de personas en centros penitenciarios </w:t>
      </w:r>
      <w:r w:rsidR="00742F6D">
        <w:t>y</w:t>
      </w:r>
      <w:r w:rsidR="00925017" w:rsidRPr="00DA7D36">
        <w:t xml:space="preserve"> estaciones migratorias o de los traslados realizados de un lugar de privación de libertad a otro. Esta falta de información</w:t>
      </w:r>
      <w:r w:rsidR="00AF1D5D" w:rsidRPr="00DA7D36">
        <w:t xml:space="preserve"> </w:t>
      </w:r>
      <w:r w:rsidR="00925017">
        <w:t>a los interesados</w:t>
      </w:r>
      <w:r w:rsidR="004D5748">
        <w:t xml:space="preserve"> </w:t>
      </w:r>
      <w:r w:rsidR="004D5748" w:rsidRPr="00DA7D36">
        <w:t>por parte del Estado</w:t>
      </w:r>
      <w:r w:rsidR="00925017" w:rsidRPr="00DA7D36">
        <w:t xml:space="preserve"> ocurre a veces a pesar de </w:t>
      </w:r>
      <w:r w:rsidR="00925017">
        <w:t xml:space="preserve">haberse presentado </w:t>
      </w:r>
      <w:r w:rsidR="00925017" w:rsidRPr="00DA7D36">
        <w:t xml:space="preserve">solicitudes </w:t>
      </w:r>
      <w:r w:rsidR="004D5748">
        <w:t xml:space="preserve">para conocer </w:t>
      </w:r>
      <w:r w:rsidR="00925017" w:rsidRPr="00DA7D36">
        <w:t xml:space="preserve">la localización de </w:t>
      </w:r>
      <w:r w:rsidR="004D5748">
        <w:t>la</w:t>
      </w:r>
      <w:r w:rsidR="004D5748" w:rsidRPr="00DA7D36">
        <w:t xml:space="preserve"> </w:t>
      </w:r>
      <w:r w:rsidR="00925017" w:rsidRPr="00DA7D36">
        <w:t xml:space="preserve">persona </w:t>
      </w:r>
      <w:r w:rsidR="004D5748">
        <w:t>privada de libertad</w:t>
      </w:r>
      <w:r w:rsidR="00925017" w:rsidRPr="00DA7D36">
        <w:t>. Al respecto, el Comité recuerda que en virtud del artículo 2 de la Convención estos hechos constituyen desapariciones forzadas, cualquiera que sea la duración de dicha privación de libertad u ocultamiento</w:t>
      </w:r>
      <w:r w:rsidR="00925017">
        <w:t xml:space="preserve"> de la persona o de su paradero</w:t>
      </w:r>
      <w:r w:rsidR="00925017" w:rsidRPr="006B5133">
        <w:rPr>
          <w:vertAlign w:val="superscript"/>
        </w:rPr>
        <w:footnoteReference w:id="13"/>
      </w:r>
      <w:r w:rsidR="00D84ACC">
        <w:t>.</w:t>
      </w:r>
    </w:p>
    <w:p w14:paraId="032114CB" w14:textId="7BC2E45F" w:rsidR="00925017" w:rsidRPr="00AB3FB3" w:rsidRDefault="00D80F09" w:rsidP="00925017">
      <w:pPr>
        <w:pStyle w:val="SingleTxtG"/>
      </w:pPr>
      <w:r>
        <w:t>1</w:t>
      </w:r>
      <w:r w:rsidR="00DA35B1">
        <w:t>9</w:t>
      </w:r>
      <w:r w:rsidR="0091763F">
        <w:t>.</w:t>
      </w:r>
      <w:r w:rsidR="0091763F">
        <w:tab/>
      </w:r>
      <w:r w:rsidR="00925017" w:rsidRPr="00DA7D36">
        <w:t>A esta falta de notificación</w:t>
      </w:r>
      <w:r w:rsidR="00087C03">
        <w:t xml:space="preserve"> o información</w:t>
      </w:r>
      <w:r w:rsidR="00925017" w:rsidRPr="00DA7D36">
        <w:t xml:space="preserve"> se agrega el hecho de que, frecuentemente, las personas privadas de libertad en los </w:t>
      </w:r>
      <w:r w:rsidR="00D740AE">
        <w:t>c</w:t>
      </w:r>
      <w:r w:rsidR="00925017" w:rsidRPr="00DA7D36">
        <w:t xml:space="preserve">entros penitenciarios o en las estaciones migratorias </w:t>
      </w:r>
      <w:r w:rsidR="00AF1D5D">
        <w:t>enfrentan</w:t>
      </w:r>
      <w:r w:rsidR="00087C03">
        <w:t xml:space="preserve"> </w:t>
      </w:r>
      <w:r w:rsidR="00DC6BA9">
        <w:t xml:space="preserve">obstáculos </w:t>
      </w:r>
      <w:r w:rsidR="00087C03">
        <w:t>para</w:t>
      </w:r>
      <w:r w:rsidR="00925017" w:rsidRPr="00DA7D36">
        <w:t xml:space="preserve"> comunicarse con el exterior </w:t>
      </w:r>
      <w:r w:rsidR="00087C03">
        <w:t>e</w:t>
      </w:r>
      <w:r w:rsidR="00087C03" w:rsidRPr="00DA7D36">
        <w:t xml:space="preserve"> </w:t>
      </w:r>
      <w:r w:rsidR="00925017" w:rsidRPr="00DA7D36">
        <w:t>informar de su paradero</w:t>
      </w:r>
      <w:r w:rsidR="00F53DAD">
        <w:t xml:space="preserve">. En algunos casos </w:t>
      </w:r>
      <w:r w:rsidR="00925017">
        <w:t>se les ha negado el</w:t>
      </w:r>
      <w:r w:rsidR="00925017" w:rsidRPr="00DA7D36">
        <w:t xml:space="preserve"> acceso a un teléfono</w:t>
      </w:r>
      <w:r w:rsidR="00C9316D">
        <w:t>;</w:t>
      </w:r>
      <w:r w:rsidR="00925017" w:rsidRPr="00DA7D36">
        <w:t xml:space="preserve"> </w:t>
      </w:r>
      <w:r w:rsidR="00C9316D">
        <w:t>y e</w:t>
      </w:r>
      <w:r w:rsidR="00F53DAD">
        <w:t>n otros</w:t>
      </w:r>
      <w:r w:rsidR="00C9316D">
        <w:t xml:space="preserve"> </w:t>
      </w:r>
      <w:r w:rsidR="00925017" w:rsidRPr="00DA7D36">
        <w:t xml:space="preserve">casos </w:t>
      </w:r>
      <w:r w:rsidR="00C9316D">
        <w:t xml:space="preserve">los </w:t>
      </w:r>
      <w:r w:rsidR="003054AD">
        <w:t>servidores públicos</w:t>
      </w:r>
      <w:r w:rsidR="00925017" w:rsidRPr="00DA7D36">
        <w:t xml:space="preserve"> habrían cobrado a las personas privadas de libertad para acceder a </w:t>
      </w:r>
      <w:r w:rsidR="008511ED">
        <w:t xml:space="preserve">las </w:t>
      </w:r>
      <w:r w:rsidR="00925017" w:rsidRPr="00DA7D36">
        <w:t xml:space="preserve">llamadas. </w:t>
      </w:r>
      <w:r w:rsidR="00A21EC3">
        <w:t>En ocasiones, c</w:t>
      </w:r>
      <w:r w:rsidR="00925017" w:rsidRPr="00DA7D36">
        <w:t>uando la autoridad permite la llamada a los familiares y allegados de las personas detenidas, no se les autoriza acceder a sus pertenencias o celulares para obtener los números de contacto. Generalmente, la localización de las personas detenidas se da únicamente si las autoridades carcelarias realizan las debidas notificaciones. E</w:t>
      </w:r>
      <w:r w:rsidR="00925017">
        <w:t>s más, e</w:t>
      </w:r>
      <w:r w:rsidR="00925017" w:rsidRPr="00DA7D36">
        <w:t xml:space="preserve">n la mayoría </w:t>
      </w:r>
      <w:r w:rsidR="00925017" w:rsidRPr="00AB3FB3">
        <w:t>de los casos de personas migrantes dadas por desaparecidas tras su detención en una estación migratoria, su localización s</w:t>
      </w:r>
      <w:r w:rsidR="00224BB0" w:rsidRPr="00AB3FB3">
        <w:t>o</w:t>
      </w:r>
      <w:r w:rsidR="00925017" w:rsidRPr="00AB3FB3">
        <w:t>lo ocurre cuando son retornadas a su país de origen o liberadas.</w:t>
      </w:r>
    </w:p>
    <w:p w14:paraId="272752AA" w14:textId="1127D039" w:rsidR="00925017" w:rsidRPr="00DA7D36" w:rsidRDefault="00DA35B1" w:rsidP="00925017">
      <w:pPr>
        <w:pStyle w:val="SingleTxtG"/>
      </w:pPr>
      <w:r>
        <w:t>20</w:t>
      </w:r>
      <w:r w:rsidR="0091763F" w:rsidRPr="00AB3FB3">
        <w:t>.</w:t>
      </w:r>
      <w:r w:rsidR="0091763F" w:rsidRPr="00AB3FB3">
        <w:tab/>
      </w:r>
      <w:r w:rsidR="00925017" w:rsidRPr="00AB3FB3">
        <w:t>El Comité recibió informaci</w:t>
      </w:r>
      <w:r w:rsidR="00CB6B04" w:rsidRPr="00AB3FB3">
        <w:t>ón</w:t>
      </w:r>
      <w:r w:rsidR="00774F84" w:rsidRPr="00AB3FB3">
        <w:t xml:space="preserve"> acerca</w:t>
      </w:r>
      <w:r w:rsidR="00925017" w:rsidRPr="00AB3FB3">
        <w:t xml:space="preserve"> de otros patrones de desapariciones ocurridas en el contexto migratorio</w:t>
      </w:r>
      <w:r w:rsidR="00774F84" w:rsidRPr="00AB3FB3">
        <w:t xml:space="preserve"> de l</w:t>
      </w:r>
      <w:r w:rsidR="00925017" w:rsidRPr="00AB3FB3">
        <w:t>as</w:t>
      </w:r>
      <w:r w:rsidR="00136E55">
        <w:t xml:space="preserve"> que las</w:t>
      </w:r>
      <w:r w:rsidR="00925017" w:rsidRPr="00AB3FB3">
        <w:t xml:space="preserve"> masacres de San Fernando, Cadereyta, Güemez y Camargo (anexo </w:t>
      </w:r>
      <w:r w:rsidR="00EB175A">
        <w:t>7</w:t>
      </w:r>
      <w:r w:rsidR="00925017" w:rsidRPr="00AB3FB3">
        <w:t xml:space="preserve">) </w:t>
      </w:r>
      <w:r w:rsidR="00BB417A">
        <w:t>fueron resaltad</w:t>
      </w:r>
      <w:r w:rsidR="00136E55">
        <w:t>a</w:t>
      </w:r>
      <w:r w:rsidR="00BB417A">
        <w:t>s como</w:t>
      </w:r>
      <w:r w:rsidR="00925017" w:rsidRPr="00DA7D36">
        <w:t xml:space="preserve"> ejemplos paradigmáticos</w:t>
      </w:r>
      <w:r w:rsidR="00BB417A">
        <w:t xml:space="preserve"> de la gravedad de la situación</w:t>
      </w:r>
      <w:r w:rsidR="00925017" w:rsidRPr="00DA7D36">
        <w:t xml:space="preserve">. El Comité recibió alegaciones según las cuales los perpetradores de las desapariciones sustraen los teléfonos celulares a personas migrantes tras privarlas ilegalmente de libertad en lugares desconocidos, con el fin de llamar a sus familiares y pedirles dinero, a veces con el apoyo o aquiescencia de </w:t>
      </w:r>
      <w:r w:rsidR="00477062">
        <w:t>servidores públicos</w:t>
      </w:r>
      <w:r w:rsidR="00925017" w:rsidRPr="00DA7D36">
        <w:t xml:space="preserve">. Adicionalmente, varios interlocutores del Comité hicieron referencia a la práctica del retorno y abandono de </w:t>
      </w:r>
      <w:r w:rsidR="00925017" w:rsidRPr="00DA7D36">
        <w:lastRenderedPageBreak/>
        <w:t>personas migrantes en la frontera sur de México qu</w:t>
      </w:r>
      <w:r w:rsidR="00925017">
        <w:t>e se ven</w:t>
      </w:r>
      <w:r w:rsidR="00925017" w:rsidRPr="00DA7D36">
        <w:t xml:space="preserve"> forzadas a regresar a sus países por sus propios medios</w:t>
      </w:r>
      <w:r w:rsidR="00925017">
        <w:t xml:space="preserve"> y, en ocasiones,</w:t>
      </w:r>
      <w:r w:rsidR="00925017" w:rsidRPr="00DA7D36">
        <w:t xml:space="preserve"> abandonadas</w:t>
      </w:r>
      <w:r w:rsidR="00925017">
        <w:t xml:space="preserve"> a su suerte</w:t>
      </w:r>
      <w:r w:rsidR="00925017" w:rsidRPr="00DA7D36">
        <w:t xml:space="preserve"> sin recursos</w:t>
      </w:r>
      <w:r w:rsidR="00691042">
        <w:t xml:space="preserve"> y</w:t>
      </w:r>
      <w:r w:rsidR="00925017" w:rsidRPr="00DA7D36">
        <w:t xml:space="preserve"> en lugares desconocidos</w:t>
      </w:r>
      <w:r w:rsidR="00925017">
        <w:t xml:space="preserve">. En estas condiciones </w:t>
      </w:r>
      <w:r w:rsidR="00925017" w:rsidRPr="00DA7D36">
        <w:t>muchas han sido víctimas de secuestro,</w:t>
      </w:r>
      <w:r w:rsidR="00EB175A" w:rsidRPr="00EB175A">
        <w:t xml:space="preserve"> </w:t>
      </w:r>
      <w:r w:rsidR="00EB175A">
        <w:t>extorsión, violencia sexual,</w:t>
      </w:r>
      <w:r w:rsidR="00925017" w:rsidRPr="00DA7D36">
        <w:t xml:space="preserve"> trata de personas </w:t>
      </w:r>
      <w:r w:rsidR="00EB175A">
        <w:t>y</w:t>
      </w:r>
      <w:r w:rsidR="00925017" w:rsidRPr="00DA7D36">
        <w:t xml:space="preserve"> desaparición. </w:t>
      </w:r>
    </w:p>
    <w:p w14:paraId="2A9B0FF7" w14:textId="3F6BE317" w:rsidR="00925017" w:rsidRPr="00DA7D36" w:rsidRDefault="00D80F09" w:rsidP="00925017">
      <w:pPr>
        <w:pStyle w:val="SingleTxtG"/>
      </w:pPr>
      <w:r>
        <w:t>2</w:t>
      </w:r>
      <w:r w:rsidR="00DA35B1">
        <w:t>1</w:t>
      </w:r>
      <w:r w:rsidR="0091763F">
        <w:t>.</w:t>
      </w:r>
      <w:r w:rsidR="0091763F">
        <w:tab/>
      </w:r>
      <w:r w:rsidR="00925017" w:rsidRPr="00DA7D36">
        <w:t xml:space="preserve">Las comunidades indígenas también </w:t>
      </w:r>
      <w:r w:rsidR="00925017">
        <w:t>se han visto</w:t>
      </w:r>
      <w:r w:rsidR="00925017" w:rsidRPr="00DA7D36">
        <w:t xml:space="preserve"> afectadas por desapariciones. Estas ocurren principalmente en el contexto de conflictos sociales y territoriales vinculados con el desarrollo de megaproyectos de índole minera o energética o tras el </w:t>
      </w:r>
      <w:r w:rsidR="00477062">
        <w:t>despojo o</w:t>
      </w:r>
      <w:r w:rsidR="00477062" w:rsidRPr="00DA7D36">
        <w:t xml:space="preserve"> </w:t>
      </w:r>
      <w:r w:rsidR="00925017" w:rsidRPr="00DA7D36">
        <w:t>acaparamiento de tierras para explotación económica por parte de grupos del crimen organizado</w:t>
      </w:r>
      <w:r w:rsidR="00477062">
        <w:t xml:space="preserve"> u otros actores privados</w:t>
      </w:r>
      <w:r w:rsidR="00925017" w:rsidRPr="00DA7D36">
        <w:t xml:space="preserve">, con diferentes niveles de involucramiento o aquiescencia de </w:t>
      </w:r>
      <w:r w:rsidR="00477062">
        <w:t>servidores públicos</w:t>
      </w:r>
      <w:r w:rsidR="00925017" w:rsidRPr="00DA7D36">
        <w:t xml:space="preserve">. Además, </w:t>
      </w:r>
      <w:r w:rsidR="000E51A9">
        <w:t>varias</w:t>
      </w:r>
      <w:r w:rsidR="00177F64">
        <w:t xml:space="preserve"> </w:t>
      </w:r>
      <w:r w:rsidR="00925017" w:rsidRPr="00DA7D36">
        <w:t>víctimas presentaron alegaciones de aquiescencia con relación a desapariciones de personas indígenas que ocurrieron tras hechos de reclutamiento forzado.</w:t>
      </w:r>
    </w:p>
    <w:p w14:paraId="19C036CC" w14:textId="32255CE5" w:rsidR="00925017" w:rsidRPr="00DA7D36" w:rsidRDefault="00D80F09" w:rsidP="00925017">
      <w:pPr>
        <w:pStyle w:val="SingleTxtG"/>
      </w:pPr>
      <w:r>
        <w:t>2</w:t>
      </w:r>
      <w:r w:rsidR="00DA35B1">
        <w:t>2</w:t>
      </w:r>
      <w:r w:rsidR="0091763F">
        <w:t>.</w:t>
      </w:r>
      <w:r w:rsidR="0091763F">
        <w:tab/>
      </w:r>
      <w:r w:rsidR="00925017" w:rsidRPr="00DA7D36">
        <w:t>Durante la visita, el Comité recibió información sobre la desaparición de personas LGBTIQ+. Dichas desapariciones habrían sido cometidas por fuerzas de seguridad, o por la delincuencia organizada con distintos niveles de connivencia de</w:t>
      </w:r>
      <w:r w:rsidR="00925017">
        <w:t xml:space="preserve"> las</w:t>
      </w:r>
      <w:r w:rsidR="00925017" w:rsidRPr="00DA7D36">
        <w:t xml:space="preserve"> autoridades</w:t>
      </w:r>
      <w:r w:rsidR="009A751C">
        <w:t>, y</w:t>
      </w:r>
      <w:r w:rsidR="00925017">
        <w:t xml:space="preserve"> </w:t>
      </w:r>
      <w:r w:rsidR="009A751C">
        <w:t>e</w:t>
      </w:r>
      <w:r w:rsidR="00925017">
        <w:t>n muchos casos</w:t>
      </w:r>
      <w:r w:rsidR="00925017" w:rsidRPr="00DA7D36">
        <w:t xml:space="preserve"> con fines de “limpieza social” o de explotación sexual, frecuentemente tras </w:t>
      </w:r>
      <w:r w:rsidR="00925017">
        <w:t>el internamiento</w:t>
      </w:r>
      <w:r w:rsidR="00925017" w:rsidRPr="00DA7D36">
        <w:t xml:space="preserve"> en los llamados “centr</w:t>
      </w:r>
      <w:r w:rsidR="00D84ACC">
        <w:t>os de terapias de reconversión”</w:t>
      </w:r>
      <w:r w:rsidR="00925017" w:rsidRPr="006B5133">
        <w:rPr>
          <w:vertAlign w:val="superscript"/>
        </w:rPr>
        <w:footnoteReference w:id="14"/>
      </w:r>
      <w:r w:rsidR="00D84ACC">
        <w:t>.</w:t>
      </w:r>
    </w:p>
    <w:p w14:paraId="7E02EF32" w14:textId="059E16B9" w:rsidR="00925017" w:rsidRDefault="00D80F09" w:rsidP="00925017">
      <w:pPr>
        <w:pStyle w:val="SingleTxtG"/>
      </w:pPr>
      <w:r>
        <w:t>2</w:t>
      </w:r>
      <w:r w:rsidR="00DA35B1">
        <w:t>3</w:t>
      </w:r>
      <w:r w:rsidR="0091763F">
        <w:t>.</w:t>
      </w:r>
      <w:r w:rsidR="0091763F">
        <w:tab/>
      </w:r>
      <w:r w:rsidR="00207E19">
        <w:t>E</w:t>
      </w:r>
      <w:r w:rsidR="00820021">
        <w:t>xisten patrones de desapariciones específicos en algunas entidades federativas</w:t>
      </w:r>
      <w:r w:rsidR="00207E19">
        <w:t>, independientemente del perfil de las víctimas</w:t>
      </w:r>
      <w:r w:rsidR="00925017" w:rsidRPr="00DA7D36">
        <w:t xml:space="preserve">. A </w:t>
      </w:r>
      <w:r w:rsidR="00925017">
        <w:t>modo</w:t>
      </w:r>
      <w:r w:rsidR="00925017" w:rsidRPr="00DA7D36">
        <w:t xml:space="preserve"> de ejemplo, el Comité nota con preocupación el aumento de desapariciones de personas a la altura del kilómetro 26 de la carretera 85 </w:t>
      </w:r>
      <w:r w:rsidR="00A10F1F">
        <w:t xml:space="preserve">de </w:t>
      </w:r>
      <w:r w:rsidR="00925017" w:rsidRPr="00DA7D36">
        <w:t xml:space="preserve">Monterrey </w:t>
      </w:r>
      <w:r w:rsidR="00A10F1F">
        <w:t>a</w:t>
      </w:r>
      <w:r w:rsidR="00925017" w:rsidRPr="00DA7D36">
        <w:t xml:space="preserve"> Nuevo Laredo, principalmente conductores de vehículos de transporte pesado y sus acompañantes (206 casos de 2010 a 2021). El Comité también </w:t>
      </w:r>
      <w:r w:rsidR="00925017">
        <w:t>recibió información</w:t>
      </w:r>
      <w:r w:rsidR="00925017" w:rsidRPr="00DA7D36">
        <w:t xml:space="preserve"> sobre un importante número de desapariciones relacionadas con el tráfico de combustibles en el </w:t>
      </w:r>
      <w:r w:rsidR="00030A39">
        <w:t>n</w:t>
      </w:r>
      <w:r w:rsidR="00925017" w:rsidRPr="00DA7D36">
        <w:t>orte</w:t>
      </w:r>
      <w:r w:rsidR="00CA4106">
        <w:t xml:space="preserve"> del país</w:t>
      </w:r>
      <w:r w:rsidR="00925017" w:rsidRPr="00DA7D36">
        <w:t xml:space="preserve"> o del involucramiento de autoridades estatales y municipales de Nayarit para apropiarse de</w:t>
      </w:r>
      <w:r w:rsidR="00925017">
        <w:t xml:space="preserve"> los</w:t>
      </w:r>
      <w:r w:rsidR="00925017" w:rsidRPr="00DA7D36">
        <w:t xml:space="preserve"> bienes de las personas desaparecidas. En Jalisco y Coahuila, el Comité recibió alegaciones de desaparición de personas tras su </w:t>
      </w:r>
      <w:r w:rsidR="00925017">
        <w:t>internamiento</w:t>
      </w:r>
      <w:r w:rsidR="00925017" w:rsidRPr="00DA7D36">
        <w:t xml:space="preserve"> en centros de tratamiento de adicciones.</w:t>
      </w:r>
    </w:p>
    <w:p w14:paraId="519F4F1E" w14:textId="2BA16DF3" w:rsidR="005B7AD8" w:rsidRPr="00DA7D36" w:rsidRDefault="005B7AD8" w:rsidP="00925017">
      <w:pPr>
        <w:pStyle w:val="SingleTxtG"/>
      </w:pPr>
      <w:r>
        <w:t>2</w:t>
      </w:r>
      <w:r w:rsidR="00DA35B1">
        <w:t>4</w:t>
      </w:r>
      <w:r>
        <w:t>.</w:t>
      </w:r>
      <w:r w:rsidR="00DA35B1">
        <w:tab/>
      </w:r>
      <w:r>
        <w:t>En vista de lo anterior</w:t>
      </w:r>
      <w:r w:rsidRPr="00DA7D36">
        <w:t xml:space="preserve"> y</w:t>
      </w:r>
      <w:r>
        <w:t xml:space="preserve"> después de realizar</w:t>
      </w:r>
      <w:r w:rsidRPr="00DA7D36">
        <w:t xml:space="preserve"> un análisis exhaustivo de la información recibida, el Comité reitera su profunda preocupación porque se mantiene una situación generalizada de desapariciones en gran parte del territorio nacional, frente a la cual imperan una impunidad cas</w:t>
      </w:r>
      <w:r>
        <w:t>i absoluta y la revictimización</w:t>
      </w:r>
      <w:r w:rsidRPr="006B5133">
        <w:rPr>
          <w:vertAlign w:val="superscript"/>
        </w:rPr>
        <w:footnoteReference w:id="15"/>
      </w:r>
      <w:r>
        <w:t>.</w:t>
      </w:r>
      <w:r w:rsidRPr="00DA7D36">
        <w:t xml:space="preserve"> </w:t>
      </w:r>
    </w:p>
    <w:p w14:paraId="67AB18C6" w14:textId="77777777" w:rsidR="00925017" w:rsidRPr="00DA7D36" w:rsidRDefault="00925017" w:rsidP="00F01CC2">
      <w:pPr>
        <w:pStyle w:val="H1G"/>
      </w:pPr>
      <w:r>
        <w:tab/>
      </w:r>
      <w:r w:rsidR="00E85ADF">
        <w:t>B.</w:t>
      </w:r>
      <w:r w:rsidR="00E85ADF">
        <w:tab/>
      </w:r>
      <w:r w:rsidR="00BC3A80">
        <w:t>D</w:t>
      </w:r>
      <w:r w:rsidRPr="00DA7D36">
        <w:t>esapariciones en México: una impunidad casi absoluta</w:t>
      </w:r>
    </w:p>
    <w:p w14:paraId="29E24CD5" w14:textId="00097B7B" w:rsidR="00925017" w:rsidRPr="00DA7D36" w:rsidRDefault="0091763F" w:rsidP="00925017">
      <w:pPr>
        <w:pStyle w:val="SingleTxtG"/>
      </w:pPr>
      <w:r>
        <w:t>2</w:t>
      </w:r>
      <w:r w:rsidR="00DA35B1">
        <w:t>5</w:t>
      </w:r>
      <w:r>
        <w:t>.</w:t>
      </w:r>
      <w:r>
        <w:tab/>
      </w:r>
      <w:r w:rsidR="00925017" w:rsidRPr="00DA7D36">
        <w:t>Según la información proporcionada por el Estado parte, al 26 de noviembre de 2021, solo</w:t>
      </w:r>
      <w:r w:rsidR="00925017">
        <w:t xml:space="preserve"> un mínimo porcentaje de los casos de desaparición de personas,</w:t>
      </w:r>
      <w:r w:rsidR="00925017" w:rsidRPr="00DA7D36">
        <w:t xml:space="preserve"> entre</w:t>
      </w:r>
      <w:r w:rsidR="00925017">
        <w:t xml:space="preserve"> el</w:t>
      </w:r>
      <w:r w:rsidR="00925017" w:rsidRPr="00DA7D36">
        <w:t xml:space="preserve"> 2</w:t>
      </w:r>
      <w:r w:rsidR="00865180">
        <w:t> </w:t>
      </w:r>
      <w:r w:rsidR="00925017" w:rsidRPr="00DA7D36">
        <w:t xml:space="preserve">% y </w:t>
      </w:r>
      <w:r w:rsidR="00925017">
        <w:t xml:space="preserve">el </w:t>
      </w:r>
      <w:r w:rsidR="00925017" w:rsidRPr="00DA7D36">
        <w:t>6</w:t>
      </w:r>
      <w:r w:rsidR="00865180">
        <w:t> </w:t>
      </w:r>
      <w:r w:rsidR="00925017" w:rsidRPr="00DA7D36">
        <w:t>%</w:t>
      </w:r>
      <w:r w:rsidR="00925017">
        <w:t xml:space="preserve">, </w:t>
      </w:r>
      <w:r w:rsidR="00925017" w:rsidRPr="00DA7D36">
        <w:t>habían sido judicializados</w:t>
      </w:r>
      <w:r w:rsidR="00865180">
        <w:t>,</w:t>
      </w:r>
      <w:r w:rsidR="00925017" w:rsidRPr="00DA7D36">
        <w:t xml:space="preserve"> y</w:t>
      </w:r>
      <w:r w:rsidR="00925017">
        <w:t xml:space="preserve"> solo</w:t>
      </w:r>
      <w:r w:rsidR="00925017" w:rsidRPr="00DA7D36">
        <w:t xml:space="preserve"> se habían emitido 36</w:t>
      </w:r>
      <w:r w:rsidR="00780930">
        <w:t xml:space="preserve"> </w:t>
      </w:r>
      <w:r w:rsidR="00925017" w:rsidRPr="00DA7D36">
        <w:t>sentencias en casos de desaparici</w:t>
      </w:r>
      <w:r w:rsidR="00D84ACC">
        <w:t>ón de personas a nivel nacional</w:t>
      </w:r>
      <w:r w:rsidR="00925017" w:rsidRPr="006B5133">
        <w:rPr>
          <w:vertAlign w:val="superscript"/>
        </w:rPr>
        <w:footnoteReference w:id="16"/>
      </w:r>
      <w:r w:rsidR="00D84ACC">
        <w:t>.</w:t>
      </w:r>
      <w:r w:rsidR="00925017" w:rsidRPr="00DA7D36">
        <w:t xml:space="preserve"> </w:t>
      </w:r>
    </w:p>
    <w:p w14:paraId="69AA463E" w14:textId="5F2DB4E5" w:rsidR="00925017" w:rsidRPr="00DA7D36" w:rsidRDefault="0091763F" w:rsidP="00925017">
      <w:pPr>
        <w:pStyle w:val="SingleTxtG"/>
      </w:pPr>
      <w:r>
        <w:t>2</w:t>
      </w:r>
      <w:r w:rsidR="00DA35B1">
        <w:t>6</w:t>
      </w:r>
      <w:r>
        <w:t>.</w:t>
      </w:r>
      <w:r>
        <w:tab/>
      </w:r>
      <w:r w:rsidR="00925017" w:rsidRPr="00DA7D36">
        <w:t>A ello se suma la actitud</w:t>
      </w:r>
      <w:r w:rsidR="00925017">
        <w:t>, pasiva</w:t>
      </w:r>
      <w:r w:rsidR="00925017" w:rsidRPr="00DA7D36">
        <w:t xml:space="preserve"> muchas veces</w:t>
      </w:r>
      <w:r w:rsidR="00925017">
        <w:t xml:space="preserve">, </w:t>
      </w:r>
      <w:r w:rsidR="00925017" w:rsidRPr="00DA7D36">
        <w:t xml:space="preserve">de las instituciones judiciales frente a un fenómeno tan grave como la desaparición de personas, cuya atención es responsabilidad de todos los ámbitos del poder público. Lo anterior </w:t>
      </w:r>
      <w:r w:rsidR="00C84DC6">
        <w:t>contribuye a</w:t>
      </w:r>
      <w:r w:rsidR="00925017" w:rsidRPr="00DA7D36">
        <w:t xml:space="preserve"> </w:t>
      </w:r>
      <w:r w:rsidR="00C84DC6">
        <w:t>la</w:t>
      </w:r>
      <w:r w:rsidR="00C84DC6" w:rsidRPr="00DA7D36">
        <w:t xml:space="preserve"> </w:t>
      </w:r>
      <w:r w:rsidR="00925017" w:rsidRPr="00DA7D36">
        <w:t>notable falta de confianza de las víctimas en las instituciones</w:t>
      </w:r>
      <w:r w:rsidR="00C84DC6">
        <w:t>, que a su vez resulta en un alto número de casos no reportados o denunciados</w:t>
      </w:r>
      <w:r w:rsidR="00925017" w:rsidRPr="00DA7D36">
        <w:t>.</w:t>
      </w:r>
    </w:p>
    <w:p w14:paraId="4455A193" w14:textId="5AC8B117" w:rsidR="00925017" w:rsidRPr="00DA7D36" w:rsidRDefault="0091763F" w:rsidP="00925017">
      <w:pPr>
        <w:pStyle w:val="SingleTxtG"/>
      </w:pPr>
      <w:r>
        <w:t>2</w:t>
      </w:r>
      <w:r w:rsidR="00DA35B1">
        <w:t>7</w:t>
      </w:r>
      <w:r>
        <w:t>.</w:t>
      </w:r>
      <w:r>
        <w:tab/>
      </w:r>
      <w:r w:rsidR="00925017" w:rsidRPr="00DA7D36">
        <w:t>La impunidad en México es un rasgo estructural que favorece la reproducción y el encubrimiento de las desapariciones forzadas y pone en peligro y</w:t>
      </w:r>
      <w:r w:rsidR="00925017">
        <w:t xml:space="preserve"> causa</w:t>
      </w:r>
      <w:r w:rsidR="00925017" w:rsidRPr="00DA7D36">
        <w:t xml:space="preserve"> zozobra a las víctimas</w:t>
      </w:r>
      <w:r w:rsidR="00181411">
        <w:t>, a quienes defienden y promueven sus derechos</w:t>
      </w:r>
      <w:r w:rsidR="00925017" w:rsidRPr="00DA7D36">
        <w:t xml:space="preserve">, a los </w:t>
      </w:r>
      <w:r w:rsidR="00477062">
        <w:t>servidores públicos</w:t>
      </w:r>
      <w:r w:rsidR="00925017" w:rsidRPr="00DA7D36">
        <w:t xml:space="preserve"> que buscan a las personas desaparecidas e investigan sus casos</w:t>
      </w:r>
      <w:r w:rsidR="00925017">
        <w:t xml:space="preserve"> y</w:t>
      </w:r>
      <w:r w:rsidR="00925017" w:rsidRPr="00DA7D36">
        <w:t xml:space="preserve"> a la sociedad en su conjunto. La impunidad</w:t>
      </w:r>
      <w:r w:rsidR="00925017">
        <w:t>,</w:t>
      </w:r>
      <w:r w:rsidR="00925017" w:rsidRPr="00DA7D36">
        <w:t xml:space="preserve"> además</w:t>
      </w:r>
      <w:r w:rsidR="00925017">
        <w:t>,</w:t>
      </w:r>
      <w:r w:rsidR="00925017" w:rsidRPr="00DA7D36">
        <w:t xml:space="preserve"> opera como factor de revictimización y </w:t>
      </w:r>
      <w:r w:rsidR="00181411">
        <w:t>socava</w:t>
      </w:r>
      <w:r w:rsidR="00181411" w:rsidRPr="00DA7D36">
        <w:t xml:space="preserve"> </w:t>
      </w:r>
      <w:r w:rsidR="00925017" w:rsidRPr="00DA7D36">
        <w:t>el impacto de cualquier iniciativa para erradicar y prevenir las desapariciones forzadas</w:t>
      </w:r>
      <w:r w:rsidR="00181411">
        <w:t>.</w:t>
      </w:r>
      <w:r w:rsidR="00925017" w:rsidRPr="00DA7D36">
        <w:t xml:space="preserve"> </w:t>
      </w:r>
      <w:r w:rsidR="00181411">
        <w:t>C</w:t>
      </w:r>
      <w:r w:rsidR="00181411" w:rsidRPr="00DA7D36">
        <w:t xml:space="preserve">omo </w:t>
      </w:r>
      <w:r w:rsidR="00925017" w:rsidRPr="00DA7D36">
        <w:t>una víctima expresó durante la visita: “</w:t>
      </w:r>
      <w:r w:rsidR="001042C2">
        <w:t>d</w:t>
      </w:r>
      <w:r w:rsidR="00925017" w:rsidRPr="00DA7D36">
        <w:t xml:space="preserve">e fe y esperanza vive el ser humano, pero habiendo injusticia su alma </w:t>
      </w:r>
      <w:r w:rsidR="00925017" w:rsidRPr="00DA7D36">
        <w:lastRenderedPageBreak/>
        <w:t>nunca descansa”. La lucha contra la impunidad de las desapariciones en México es</w:t>
      </w:r>
      <w:r w:rsidR="00925017">
        <w:t>, por tanto,</w:t>
      </w:r>
      <w:r w:rsidR="00925017" w:rsidRPr="00DA7D36">
        <w:t xml:space="preserve"> impostergable. </w:t>
      </w:r>
    </w:p>
    <w:p w14:paraId="24245135" w14:textId="77777777" w:rsidR="00925017" w:rsidRPr="00DA7D36" w:rsidRDefault="00925017" w:rsidP="00F01CC2">
      <w:pPr>
        <w:pStyle w:val="H1G"/>
      </w:pPr>
      <w:r>
        <w:tab/>
      </w:r>
      <w:r w:rsidR="00E85ADF">
        <w:t>C.</w:t>
      </w:r>
      <w:r w:rsidR="00E85ADF">
        <w:tab/>
      </w:r>
      <w:r w:rsidR="00BC3A80">
        <w:t>C</w:t>
      </w:r>
      <w:r w:rsidRPr="00DA7D36">
        <w:t>risis forense</w:t>
      </w:r>
      <w:r w:rsidR="00C84DC6">
        <w:t xml:space="preserve">: </w:t>
      </w:r>
      <w:r w:rsidR="00C84DC6" w:rsidRPr="00B453AB">
        <w:t>una realidad de profunda preocupación</w:t>
      </w:r>
    </w:p>
    <w:p w14:paraId="204C18B3" w14:textId="41538E5E" w:rsidR="00925017" w:rsidRPr="00DA7D36" w:rsidRDefault="0091763F" w:rsidP="00925017">
      <w:pPr>
        <w:pStyle w:val="SingleTxtG"/>
      </w:pPr>
      <w:r>
        <w:t>2</w:t>
      </w:r>
      <w:r w:rsidR="009D7D59">
        <w:t>8</w:t>
      </w:r>
      <w:r>
        <w:t>.</w:t>
      </w:r>
      <w:r>
        <w:tab/>
      </w:r>
      <w:r w:rsidR="00925017" w:rsidRPr="00DA7D36">
        <w:t>El Comité expresa su profunda preocupación ante la crisis forense</w:t>
      </w:r>
      <w:r w:rsidR="00925017">
        <w:t xml:space="preserve"> a la</w:t>
      </w:r>
      <w:r w:rsidR="00925017" w:rsidRPr="00DA7D36">
        <w:t xml:space="preserve"> que</w:t>
      </w:r>
      <w:r w:rsidR="00925017">
        <w:t xml:space="preserve"> se</w:t>
      </w:r>
      <w:r w:rsidR="00925017" w:rsidRPr="00DA7D36">
        <w:t xml:space="preserve"> enfrenta el país. Según los datos </w:t>
      </w:r>
      <w:r w:rsidR="005210BC">
        <w:t>públicos</w:t>
      </w:r>
      <w:r w:rsidR="00925017" w:rsidRPr="00DA7D36">
        <w:t>, más de 52</w:t>
      </w:r>
      <w:r w:rsidR="001C2052">
        <w:t>.</w:t>
      </w:r>
      <w:r w:rsidR="00925017" w:rsidRPr="00DA7D36">
        <w:t>000 personas fallecidas sin identificar yacen actualmente en fosas comunes, instalaciones de los servicios forenses, universidades y centros de resguardo forense</w:t>
      </w:r>
      <w:r w:rsidR="009F4661">
        <w:rPr>
          <w:rStyle w:val="Refdenotaalpie"/>
        </w:rPr>
        <w:footnoteReference w:id="17"/>
      </w:r>
      <w:r w:rsidR="00030A39">
        <w:t>.</w:t>
      </w:r>
      <w:r w:rsidR="00925017" w:rsidRPr="00DA7D36">
        <w:t xml:space="preserve"> Esta cifra</w:t>
      </w:r>
      <w:r w:rsidR="00925017">
        <w:t>, a pesar de su magnitud,</w:t>
      </w:r>
      <w:r w:rsidR="00925017" w:rsidRPr="00DA7D36">
        <w:t xml:space="preserve"> no incluye los cuerpos todavía no localizados</w:t>
      </w:r>
      <w:r w:rsidR="00925017">
        <w:t xml:space="preserve">, </w:t>
      </w:r>
      <w:r w:rsidR="00925017" w:rsidRPr="00DA7D36">
        <w:t xml:space="preserve">ni los miles de fragmentos de restos humanos </w:t>
      </w:r>
      <w:r w:rsidR="00925017" w:rsidRPr="00AB3FB3">
        <w:t>que las familias y comisiones de búsqueda recogen semanalmente en las fosas clandestinas (</w:t>
      </w:r>
      <w:r w:rsidR="007753D2">
        <w:t>v</w:t>
      </w:r>
      <w:r w:rsidR="00030A39">
        <w:t>éanse las</w:t>
      </w:r>
      <w:r w:rsidR="007753D2">
        <w:t xml:space="preserve"> fotos </w:t>
      </w:r>
      <w:r w:rsidR="00030A39">
        <w:t>del</w:t>
      </w:r>
      <w:r w:rsidR="007753D2">
        <w:t xml:space="preserve"> </w:t>
      </w:r>
      <w:r w:rsidR="00925017" w:rsidRPr="00AB3FB3">
        <w:t xml:space="preserve">anexo </w:t>
      </w:r>
      <w:r w:rsidR="00F867EF">
        <w:t>8</w:t>
      </w:r>
      <w:r w:rsidR="00925017" w:rsidRPr="00AB3FB3">
        <w:t>).</w:t>
      </w:r>
      <w:r w:rsidR="00925017" w:rsidRPr="00DA7D36">
        <w:t xml:space="preserve"> </w:t>
      </w:r>
    </w:p>
    <w:p w14:paraId="225C5895" w14:textId="41601092" w:rsidR="00925017" w:rsidRPr="00DA7D36" w:rsidRDefault="0091763F" w:rsidP="00925017">
      <w:pPr>
        <w:pStyle w:val="SingleTxtG"/>
      </w:pPr>
      <w:r>
        <w:t>2</w:t>
      </w:r>
      <w:r w:rsidR="009D7D59">
        <w:t>9</w:t>
      </w:r>
      <w:r>
        <w:t>.</w:t>
      </w:r>
      <w:r>
        <w:tab/>
      </w:r>
      <w:r w:rsidR="00925017" w:rsidRPr="00DA7D36">
        <w:t xml:space="preserve">Los estados de Baja California, Ciudad de México, </w:t>
      </w:r>
      <w:r w:rsidR="009F4661">
        <w:t xml:space="preserve">Estado de </w:t>
      </w:r>
      <w:r w:rsidR="00925017" w:rsidRPr="00DA7D36">
        <w:t>México, Jalisco, Chihuahua, Tamaulipas y Nuevo León concentran el 71</w:t>
      </w:r>
      <w:r w:rsidR="00925017">
        <w:t>,</w:t>
      </w:r>
      <w:r w:rsidR="00925017" w:rsidRPr="00DA7D36">
        <w:t>73</w:t>
      </w:r>
      <w:r w:rsidR="00CA37F2">
        <w:t> </w:t>
      </w:r>
      <w:r w:rsidR="00925017" w:rsidRPr="00DA7D36">
        <w:t>% de</w:t>
      </w:r>
      <w:r w:rsidR="00925017">
        <w:t xml:space="preserve"> </w:t>
      </w:r>
      <w:r w:rsidR="00925017" w:rsidRPr="003238CE">
        <w:t>los cuerpos no identificados. Los servicios forenses son insuficientes</w:t>
      </w:r>
      <w:r w:rsidR="00C24949" w:rsidRPr="003238CE">
        <w:t xml:space="preserve"> </w:t>
      </w:r>
      <w:r w:rsidR="00DC7986" w:rsidRPr="003238CE">
        <w:t>y</w:t>
      </w:r>
      <w:r w:rsidR="003238CE" w:rsidRPr="003238CE">
        <w:t xml:space="preserve">, como se </w:t>
      </w:r>
      <w:r w:rsidR="00030A39">
        <w:t>explicará</w:t>
      </w:r>
      <w:r w:rsidR="003238CE" w:rsidRPr="003238CE">
        <w:t xml:space="preserve"> </w:t>
      </w:r>
      <w:r w:rsidR="00C84DC6">
        <w:t>más adelante</w:t>
      </w:r>
      <w:r w:rsidR="003238CE" w:rsidRPr="003238CE">
        <w:t>,</w:t>
      </w:r>
      <w:r w:rsidR="00DC7986" w:rsidRPr="003238CE">
        <w:t xml:space="preserve"> </w:t>
      </w:r>
      <w:r w:rsidR="00C24949" w:rsidRPr="003238CE">
        <w:t>varios de los instrumentos previstos en la Ley General todavía no han sido establecidos</w:t>
      </w:r>
      <w:r w:rsidR="00925017" w:rsidRPr="003238CE">
        <w:t xml:space="preserve"> y</w:t>
      </w:r>
      <w:r w:rsidR="00925017" w:rsidRPr="00DA7D36">
        <w:t xml:space="preserve"> no se cuenta con una política pública de identificación humana en relación con la desaparición de personas. Según varios expertos entrevistados, en las actuales condiciones </w:t>
      </w:r>
      <w:r w:rsidR="00925017">
        <w:t xml:space="preserve">serían necesarios </w:t>
      </w:r>
      <w:r w:rsidR="00925017" w:rsidRPr="00DA7D36">
        <w:t>120</w:t>
      </w:r>
      <w:r w:rsidR="00CA37F2">
        <w:t> </w:t>
      </w:r>
      <w:r w:rsidR="00925017" w:rsidRPr="00DA7D36">
        <w:t>años para identificarlos</w:t>
      </w:r>
      <w:r w:rsidR="00F867EF">
        <w:t xml:space="preserve">, </w:t>
      </w:r>
      <w:r w:rsidR="00030A39">
        <w:t xml:space="preserve">y eso </w:t>
      </w:r>
      <w:r w:rsidR="00F867EF">
        <w:t>sin contar los nuevos cuerpos que se van sumando cada día</w:t>
      </w:r>
      <w:r w:rsidR="00925017" w:rsidRPr="00DA7D36">
        <w:t>.</w:t>
      </w:r>
    </w:p>
    <w:p w14:paraId="4BBEFF88" w14:textId="09EB455F" w:rsidR="00925017" w:rsidRPr="00DA7D36" w:rsidRDefault="00925017" w:rsidP="00F01CC2">
      <w:pPr>
        <w:pStyle w:val="HChG"/>
      </w:pPr>
      <w:r w:rsidRPr="00DA7D36">
        <w:tab/>
      </w:r>
      <w:r w:rsidR="00F01CC2">
        <w:t>IV</w:t>
      </w:r>
      <w:r w:rsidRPr="00DA7D36">
        <w:t>.</w:t>
      </w:r>
      <w:r w:rsidRPr="00DA7D36">
        <w:tab/>
        <w:t xml:space="preserve">Necesidad de una </w:t>
      </w:r>
      <w:r w:rsidR="00030A39">
        <w:rPr>
          <w:bCs/>
          <w:highlight w:val="white"/>
        </w:rPr>
        <w:t>p</w:t>
      </w:r>
      <w:r w:rsidR="00E85B48" w:rsidRPr="00925017">
        <w:rPr>
          <w:bCs/>
          <w:highlight w:val="white"/>
        </w:rPr>
        <w:t xml:space="preserve">olítica </w:t>
      </w:r>
      <w:r w:rsidR="00030A39">
        <w:rPr>
          <w:bCs/>
          <w:highlight w:val="white"/>
        </w:rPr>
        <w:t>n</w:t>
      </w:r>
      <w:r w:rsidR="00E85B48" w:rsidRPr="00925017">
        <w:rPr>
          <w:bCs/>
          <w:highlight w:val="white"/>
        </w:rPr>
        <w:t xml:space="preserve">acional de </w:t>
      </w:r>
      <w:r w:rsidR="00030A39">
        <w:rPr>
          <w:bCs/>
          <w:highlight w:val="white"/>
        </w:rPr>
        <w:t>p</w:t>
      </w:r>
      <w:r w:rsidR="00E85B48" w:rsidRPr="00925017">
        <w:rPr>
          <w:bCs/>
          <w:highlight w:val="white"/>
        </w:rPr>
        <w:t xml:space="preserve">revención </w:t>
      </w:r>
      <w:r w:rsidR="002A497A">
        <w:rPr>
          <w:bCs/>
          <w:highlight w:val="white"/>
        </w:rPr>
        <w:t xml:space="preserve">y </w:t>
      </w:r>
      <w:r w:rsidR="00030A39">
        <w:rPr>
          <w:bCs/>
          <w:highlight w:val="white"/>
        </w:rPr>
        <w:t>e</w:t>
      </w:r>
      <w:r w:rsidR="00E85B48" w:rsidRPr="00925017">
        <w:rPr>
          <w:bCs/>
          <w:highlight w:val="white"/>
        </w:rPr>
        <w:t>rradicación de</w:t>
      </w:r>
      <w:r w:rsidR="00E85B48" w:rsidRPr="006B5133">
        <w:rPr>
          <w:highlight w:val="white"/>
        </w:rPr>
        <w:t xml:space="preserve"> las</w:t>
      </w:r>
      <w:r w:rsidR="00E85B48" w:rsidRPr="00925017">
        <w:rPr>
          <w:bCs/>
          <w:highlight w:val="white"/>
        </w:rPr>
        <w:t xml:space="preserve"> </w:t>
      </w:r>
      <w:r w:rsidR="00030A39">
        <w:rPr>
          <w:bCs/>
          <w:highlight w:val="white"/>
        </w:rPr>
        <w:t>d</w:t>
      </w:r>
      <w:r w:rsidR="00E85B48" w:rsidRPr="00925017">
        <w:rPr>
          <w:bCs/>
          <w:highlight w:val="white"/>
        </w:rPr>
        <w:t>esapariciones</w:t>
      </w:r>
      <w:r w:rsidR="001D10D2">
        <w:rPr>
          <w:bCs/>
          <w:highlight w:val="white"/>
        </w:rPr>
        <w:t xml:space="preserve"> </w:t>
      </w:r>
      <w:r w:rsidR="00030A39">
        <w:rPr>
          <w:bCs/>
          <w:highlight w:val="white"/>
        </w:rPr>
        <w:t>f</w:t>
      </w:r>
      <w:r w:rsidR="001D10D2">
        <w:rPr>
          <w:bCs/>
          <w:highlight w:val="white"/>
        </w:rPr>
        <w:t>orzadas</w:t>
      </w:r>
      <w:r w:rsidR="00E85B48" w:rsidRPr="00925017">
        <w:rPr>
          <w:bCs/>
          <w:highlight w:val="white"/>
        </w:rPr>
        <w:t xml:space="preserve"> </w:t>
      </w:r>
    </w:p>
    <w:p w14:paraId="795DCF1B" w14:textId="1E52083C" w:rsidR="00925017" w:rsidRPr="00DA7D36" w:rsidRDefault="009D7D59" w:rsidP="00925017">
      <w:pPr>
        <w:pStyle w:val="SingleTxtG"/>
      </w:pPr>
      <w:r>
        <w:t>30</w:t>
      </w:r>
      <w:r w:rsidR="0091763F">
        <w:t>.</w:t>
      </w:r>
      <w:r w:rsidR="0091763F">
        <w:tab/>
      </w:r>
      <w:r w:rsidR="00925017" w:rsidRPr="00DA7D36">
        <w:t xml:space="preserve">En las últimas décadas, </w:t>
      </w:r>
      <w:r w:rsidR="00C03127">
        <w:t xml:space="preserve">las </w:t>
      </w:r>
      <w:r w:rsidR="00925017" w:rsidRPr="00DA7D36">
        <w:t xml:space="preserve">autoridades, </w:t>
      </w:r>
      <w:r w:rsidR="00404977">
        <w:t xml:space="preserve">las </w:t>
      </w:r>
      <w:r w:rsidR="00404977" w:rsidRPr="00DA7D36">
        <w:t>víctimas</w:t>
      </w:r>
      <w:r w:rsidR="00404977">
        <w:t>,</w:t>
      </w:r>
      <w:r w:rsidR="00404977" w:rsidRPr="00DA7D36">
        <w:t xml:space="preserve"> </w:t>
      </w:r>
      <w:r w:rsidR="003D4BC7">
        <w:t xml:space="preserve">las </w:t>
      </w:r>
      <w:r w:rsidR="00925017" w:rsidRPr="00DA7D36">
        <w:t xml:space="preserve">organizaciones </w:t>
      </w:r>
      <w:r w:rsidR="00404977">
        <w:t>no gubernamentales</w:t>
      </w:r>
      <w:r w:rsidR="00925017" w:rsidRPr="00DA7D36">
        <w:t xml:space="preserve"> nacionales e internacionales, </w:t>
      </w:r>
      <w:r w:rsidR="00404977">
        <w:t xml:space="preserve">la academia </w:t>
      </w:r>
      <w:r w:rsidR="00925017" w:rsidRPr="00DA7D36">
        <w:t xml:space="preserve">y la cooperación internacional han promovido múltiples proyectos y políticas públicas para </w:t>
      </w:r>
      <w:r w:rsidR="00925017">
        <w:t>afrontar</w:t>
      </w:r>
      <w:r w:rsidR="00925017" w:rsidRPr="00DA7D36">
        <w:t xml:space="preserve"> las desapariciones. </w:t>
      </w:r>
      <w:r w:rsidR="00925017">
        <w:t xml:space="preserve">Sin embargo, </w:t>
      </w:r>
      <w:r w:rsidR="00C03127">
        <w:t>al no llevarse a cabo estas actuaciones en</w:t>
      </w:r>
      <w:r w:rsidR="00C03127" w:rsidRPr="00DA7D36">
        <w:t xml:space="preserve"> un marco global coordinado</w:t>
      </w:r>
      <w:r w:rsidR="00C03127">
        <w:t xml:space="preserve"> conllevan</w:t>
      </w:r>
      <w:r w:rsidR="00925017" w:rsidRPr="00DA7D36">
        <w:t xml:space="preserve"> duplicaciones</w:t>
      </w:r>
      <w:r w:rsidR="00925017">
        <w:t xml:space="preserve"> y</w:t>
      </w:r>
      <w:r w:rsidR="00925017" w:rsidRPr="00DA7D36">
        <w:t xml:space="preserve"> desigualdades en el compromiso y </w:t>
      </w:r>
      <w:r w:rsidR="00C03127">
        <w:t xml:space="preserve">la </w:t>
      </w:r>
      <w:r w:rsidR="00925017" w:rsidRPr="00DA7D36">
        <w:t xml:space="preserve">calidad de las intervenciones desarrolladas. </w:t>
      </w:r>
    </w:p>
    <w:p w14:paraId="1EDF42AF" w14:textId="63F16964" w:rsidR="00925017" w:rsidRPr="006B5133" w:rsidRDefault="0091763F" w:rsidP="00404977">
      <w:pPr>
        <w:pStyle w:val="SingleTxtG"/>
        <w:rPr>
          <w:b/>
          <w:highlight w:val="white"/>
        </w:rPr>
      </w:pPr>
      <w:r w:rsidRPr="0091763F">
        <w:rPr>
          <w:highlight w:val="white"/>
        </w:rPr>
        <w:t>3</w:t>
      </w:r>
      <w:r w:rsidR="009D7D59">
        <w:rPr>
          <w:highlight w:val="white"/>
        </w:rPr>
        <w:t>1</w:t>
      </w:r>
      <w:r w:rsidRPr="0091763F">
        <w:rPr>
          <w:highlight w:val="white"/>
        </w:rPr>
        <w:t>.</w:t>
      </w:r>
      <w:r>
        <w:rPr>
          <w:b/>
          <w:bCs/>
          <w:highlight w:val="white"/>
        </w:rPr>
        <w:tab/>
      </w:r>
      <w:r w:rsidR="00925017" w:rsidRPr="00925017">
        <w:rPr>
          <w:b/>
          <w:bCs/>
          <w:highlight w:val="white"/>
        </w:rPr>
        <w:t>La gravedad de las desapariciones y la diversidad</w:t>
      </w:r>
      <w:r w:rsidR="00404977" w:rsidRPr="00404977">
        <w:rPr>
          <w:b/>
          <w:bCs/>
          <w:highlight w:val="white"/>
        </w:rPr>
        <w:t xml:space="preserve"> </w:t>
      </w:r>
      <w:r w:rsidR="00404977">
        <w:rPr>
          <w:b/>
          <w:bCs/>
          <w:highlight w:val="white"/>
        </w:rPr>
        <w:t>e intensidad</w:t>
      </w:r>
      <w:r w:rsidR="00925017" w:rsidRPr="00925017">
        <w:rPr>
          <w:b/>
          <w:bCs/>
          <w:highlight w:val="white"/>
        </w:rPr>
        <w:t xml:space="preserve"> de sus impactos para </w:t>
      </w:r>
      <w:r w:rsidR="00404977">
        <w:rPr>
          <w:b/>
          <w:bCs/>
          <w:highlight w:val="white"/>
        </w:rPr>
        <w:t xml:space="preserve">las víctimas y </w:t>
      </w:r>
      <w:r w:rsidR="00925017" w:rsidRPr="00925017">
        <w:rPr>
          <w:b/>
          <w:bCs/>
          <w:highlight w:val="white"/>
        </w:rPr>
        <w:t xml:space="preserve">la sociedad mexicana en su conjunto requieren de la adopción e implementación urgente de una </w:t>
      </w:r>
      <w:r w:rsidR="00742FD8">
        <w:rPr>
          <w:b/>
          <w:bCs/>
          <w:highlight w:val="white"/>
        </w:rPr>
        <w:t>p</w:t>
      </w:r>
      <w:r w:rsidR="00925017" w:rsidRPr="00925017">
        <w:rPr>
          <w:b/>
          <w:bCs/>
          <w:highlight w:val="white"/>
        </w:rPr>
        <w:t xml:space="preserve">olítica </w:t>
      </w:r>
      <w:r w:rsidR="00742FD8">
        <w:rPr>
          <w:b/>
          <w:bCs/>
          <w:highlight w:val="white"/>
        </w:rPr>
        <w:t>n</w:t>
      </w:r>
      <w:r w:rsidR="00925017" w:rsidRPr="00925017">
        <w:rPr>
          <w:b/>
          <w:bCs/>
          <w:highlight w:val="white"/>
        </w:rPr>
        <w:t>acional</w:t>
      </w:r>
      <w:r w:rsidR="008A17F8" w:rsidRPr="00925017">
        <w:rPr>
          <w:b/>
          <w:bCs/>
          <w:highlight w:val="white"/>
        </w:rPr>
        <w:t xml:space="preserve"> </w:t>
      </w:r>
      <w:r w:rsidR="00925017" w:rsidRPr="00925017">
        <w:rPr>
          <w:b/>
          <w:bCs/>
          <w:highlight w:val="white"/>
        </w:rPr>
        <w:t xml:space="preserve">de </w:t>
      </w:r>
      <w:r w:rsidR="00742FD8">
        <w:rPr>
          <w:b/>
          <w:bCs/>
          <w:highlight w:val="white"/>
        </w:rPr>
        <w:t>p</w:t>
      </w:r>
      <w:r w:rsidR="00925017" w:rsidRPr="00925017">
        <w:rPr>
          <w:b/>
          <w:bCs/>
          <w:highlight w:val="white"/>
        </w:rPr>
        <w:t xml:space="preserve">revención </w:t>
      </w:r>
      <w:r w:rsidR="003D4BC7">
        <w:rPr>
          <w:b/>
          <w:bCs/>
          <w:highlight w:val="white"/>
        </w:rPr>
        <w:t>y</w:t>
      </w:r>
      <w:r w:rsidR="003D4BC7" w:rsidRPr="00925017">
        <w:rPr>
          <w:b/>
          <w:bCs/>
          <w:highlight w:val="white"/>
        </w:rPr>
        <w:t xml:space="preserve"> </w:t>
      </w:r>
      <w:r w:rsidR="00742FD8">
        <w:rPr>
          <w:b/>
          <w:bCs/>
          <w:highlight w:val="white"/>
        </w:rPr>
        <w:t>e</w:t>
      </w:r>
      <w:r w:rsidR="00925017" w:rsidRPr="00925017">
        <w:rPr>
          <w:b/>
          <w:bCs/>
          <w:highlight w:val="white"/>
        </w:rPr>
        <w:t xml:space="preserve">rradicación de las </w:t>
      </w:r>
      <w:r w:rsidR="00742FD8">
        <w:rPr>
          <w:b/>
          <w:bCs/>
          <w:highlight w:val="white"/>
        </w:rPr>
        <w:t>d</w:t>
      </w:r>
      <w:r w:rsidR="00925017" w:rsidRPr="00925017">
        <w:rPr>
          <w:b/>
          <w:bCs/>
          <w:highlight w:val="white"/>
        </w:rPr>
        <w:t xml:space="preserve">esapariciones. Para ello, el Comité urge al Estado parte a que la </w:t>
      </w:r>
      <w:r w:rsidR="00742FD8">
        <w:rPr>
          <w:b/>
          <w:bCs/>
          <w:highlight w:val="white"/>
        </w:rPr>
        <w:t>p</w:t>
      </w:r>
      <w:r w:rsidR="00925017" w:rsidRPr="00925017">
        <w:rPr>
          <w:b/>
          <w:bCs/>
          <w:highlight w:val="white"/>
        </w:rPr>
        <w:t xml:space="preserve">olítica </w:t>
      </w:r>
      <w:r w:rsidR="00742FD8">
        <w:rPr>
          <w:b/>
          <w:bCs/>
          <w:highlight w:val="white"/>
        </w:rPr>
        <w:t>n</w:t>
      </w:r>
      <w:r w:rsidR="00925017" w:rsidRPr="00925017">
        <w:rPr>
          <w:b/>
          <w:bCs/>
          <w:highlight w:val="white"/>
        </w:rPr>
        <w:t xml:space="preserve">acional aborde el conjunto de las observaciones y recomendaciones </w:t>
      </w:r>
      <w:r w:rsidR="00866D97">
        <w:rPr>
          <w:b/>
          <w:bCs/>
          <w:highlight w:val="white"/>
        </w:rPr>
        <w:t>presentadas</w:t>
      </w:r>
      <w:r w:rsidR="00630F7A" w:rsidRPr="006B5133">
        <w:rPr>
          <w:rStyle w:val="Refdenotaalpie"/>
          <w:b/>
          <w:highlight w:val="white"/>
        </w:rPr>
        <w:footnoteReference w:id="18"/>
      </w:r>
      <w:r w:rsidR="00866D97">
        <w:rPr>
          <w:b/>
          <w:bCs/>
          <w:highlight w:val="white"/>
        </w:rPr>
        <w:t>,</w:t>
      </w:r>
      <w:r w:rsidR="00925017" w:rsidRPr="00925017">
        <w:rPr>
          <w:b/>
          <w:bCs/>
          <w:highlight w:val="white"/>
        </w:rPr>
        <w:t xml:space="preserve"> teniendo como ejes transversales los estándares de debida diligencia, el enfoque diferencial y de derechos humanos.</w:t>
      </w:r>
    </w:p>
    <w:p w14:paraId="125981E0" w14:textId="7A963B09" w:rsidR="00925017" w:rsidRPr="00925017" w:rsidRDefault="00D80F09" w:rsidP="00925017">
      <w:pPr>
        <w:pStyle w:val="SingleTxtG"/>
        <w:rPr>
          <w:b/>
          <w:bCs/>
        </w:rPr>
      </w:pPr>
      <w:r w:rsidRPr="0091763F">
        <w:rPr>
          <w:highlight w:val="white"/>
        </w:rPr>
        <w:t>3</w:t>
      </w:r>
      <w:r w:rsidR="009D7D59">
        <w:rPr>
          <w:highlight w:val="white"/>
        </w:rPr>
        <w:t>2</w:t>
      </w:r>
      <w:r w:rsidR="0091763F" w:rsidRPr="0091763F">
        <w:rPr>
          <w:highlight w:val="white"/>
        </w:rPr>
        <w:t>.</w:t>
      </w:r>
      <w:r w:rsidR="0091763F">
        <w:rPr>
          <w:b/>
          <w:bCs/>
          <w:highlight w:val="white"/>
        </w:rPr>
        <w:tab/>
      </w:r>
      <w:r w:rsidR="00925017" w:rsidRPr="00925017">
        <w:rPr>
          <w:b/>
          <w:bCs/>
          <w:highlight w:val="white"/>
        </w:rPr>
        <w:t xml:space="preserve">La </w:t>
      </w:r>
      <w:r w:rsidR="007E0E7C">
        <w:rPr>
          <w:b/>
          <w:bCs/>
          <w:highlight w:val="white"/>
        </w:rPr>
        <w:t>p</w:t>
      </w:r>
      <w:r w:rsidR="00925017" w:rsidRPr="00925017">
        <w:rPr>
          <w:b/>
          <w:bCs/>
          <w:highlight w:val="white"/>
        </w:rPr>
        <w:t xml:space="preserve">olítica </w:t>
      </w:r>
      <w:r w:rsidR="007E0E7C">
        <w:rPr>
          <w:b/>
          <w:bCs/>
          <w:highlight w:val="white"/>
        </w:rPr>
        <w:t>n</w:t>
      </w:r>
      <w:r w:rsidR="00925017" w:rsidRPr="00925017">
        <w:rPr>
          <w:b/>
          <w:bCs/>
          <w:highlight w:val="white"/>
        </w:rPr>
        <w:t>acional debe ser integral, atender y combatir las causas de las desapariciones forzadas y apuntar a su no repetición. Debe contener acciones concretas e indicadores mensurables que permitan evaluar su cumplimiento y resultados. Con esta finalidad, deberá establecerse un sistema de monitoreo transparente</w:t>
      </w:r>
      <w:r w:rsidR="00E052D7" w:rsidRPr="00E052D7">
        <w:rPr>
          <w:b/>
          <w:bCs/>
          <w:highlight w:val="white"/>
        </w:rPr>
        <w:t xml:space="preserve"> </w:t>
      </w:r>
      <w:r w:rsidR="00E052D7">
        <w:rPr>
          <w:b/>
          <w:bCs/>
          <w:highlight w:val="white"/>
        </w:rPr>
        <w:t>e independiente</w:t>
      </w:r>
      <w:r w:rsidR="00925017" w:rsidRPr="00925017">
        <w:rPr>
          <w:b/>
          <w:bCs/>
          <w:highlight w:val="white"/>
        </w:rPr>
        <w:t xml:space="preserve"> que asegure la rendición de cuentas.</w:t>
      </w:r>
    </w:p>
    <w:p w14:paraId="0ED828BF" w14:textId="42B117B8" w:rsidR="00925017" w:rsidRPr="0091763F" w:rsidRDefault="00D80F09" w:rsidP="00925017">
      <w:pPr>
        <w:pStyle w:val="SingleTxtG"/>
        <w:rPr>
          <w:b/>
          <w:bCs/>
        </w:rPr>
      </w:pPr>
      <w:r w:rsidRPr="0091763F">
        <w:rPr>
          <w:highlight w:val="white"/>
        </w:rPr>
        <w:t>3</w:t>
      </w:r>
      <w:r w:rsidR="009D7D59">
        <w:rPr>
          <w:highlight w:val="white"/>
        </w:rPr>
        <w:t>3</w:t>
      </w:r>
      <w:r w:rsidR="0091763F" w:rsidRPr="0091763F">
        <w:rPr>
          <w:highlight w:val="white"/>
        </w:rPr>
        <w:t>.</w:t>
      </w:r>
      <w:r w:rsidR="0091763F">
        <w:rPr>
          <w:b/>
          <w:bCs/>
          <w:highlight w:val="white"/>
        </w:rPr>
        <w:tab/>
      </w:r>
      <w:r w:rsidR="00C23841">
        <w:rPr>
          <w:b/>
          <w:bCs/>
          <w:highlight w:val="white"/>
        </w:rPr>
        <w:t>El</w:t>
      </w:r>
      <w:r w:rsidR="00C23841" w:rsidRPr="00925017">
        <w:rPr>
          <w:b/>
          <w:bCs/>
          <w:highlight w:val="white"/>
        </w:rPr>
        <w:t xml:space="preserve"> </w:t>
      </w:r>
      <w:r w:rsidR="00925017" w:rsidRPr="00925017">
        <w:rPr>
          <w:b/>
          <w:bCs/>
          <w:highlight w:val="white"/>
        </w:rPr>
        <w:t xml:space="preserve">diseño </w:t>
      </w:r>
      <w:r w:rsidR="00C23841">
        <w:rPr>
          <w:b/>
          <w:bCs/>
          <w:highlight w:val="white"/>
        </w:rPr>
        <w:t xml:space="preserve">de la </w:t>
      </w:r>
      <w:r w:rsidR="007E0E7C">
        <w:rPr>
          <w:b/>
          <w:bCs/>
          <w:highlight w:val="white"/>
        </w:rPr>
        <w:t>p</w:t>
      </w:r>
      <w:r w:rsidR="00C23841">
        <w:rPr>
          <w:b/>
          <w:bCs/>
          <w:highlight w:val="white"/>
        </w:rPr>
        <w:t xml:space="preserve">olítica </w:t>
      </w:r>
      <w:r w:rsidR="007E0E7C">
        <w:rPr>
          <w:b/>
          <w:bCs/>
          <w:highlight w:val="white"/>
        </w:rPr>
        <w:t>n</w:t>
      </w:r>
      <w:r w:rsidR="00C23841">
        <w:rPr>
          <w:b/>
          <w:bCs/>
          <w:highlight w:val="white"/>
        </w:rPr>
        <w:t xml:space="preserve">acional </w:t>
      </w:r>
      <w:r w:rsidR="00925017" w:rsidRPr="00925017">
        <w:rPr>
          <w:b/>
          <w:bCs/>
          <w:highlight w:val="white"/>
        </w:rPr>
        <w:t>debe involucrar a todas las autoridades federales, estatales, municipales, así como</w:t>
      </w:r>
      <w:r w:rsidR="00635F7D">
        <w:rPr>
          <w:b/>
          <w:bCs/>
          <w:highlight w:val="white"/>
        </w:rPr>
        <w:t xml:space="preserve"> a</w:t>
      </w:r>
      <w:r w:rsidR="00925017" w:rsidRPr="00925017">
        <w:rPr>
          <w:b/>
          <w:bCs/>
          <w:highlight w:val="white"/>
        </w:rPr>
        <w:t xml:space="preserve"> los órganos autónomos de</w:t>
      </w:r>
      <w:r w:rsidR="00C23841">
        <w:rPr>
          <w:b/>
          <w:bCs/>
          <w:highlight w:val="white"/>
        </w:rPr>
        <w:t xml:space="preserve"> México </w:t>
      </w:r>
      <w:r w:rsidR="00925017" w:rsidRPr="00925017">
        <w:rPr>
          <w:b/>
          <w:bCs/>
          <w:highlight w:val="white"/>
        </w:rPr>
        <w:t xml:space="preserve">y a amplios sectores de la sociedad, incluyendo </w:t>
      </w:r>
      <w:r w:rsidR="00925017" w:rsidRPr="0091763F">
        <w:rPr>
          <w:b/>
          <w:bCs/>
          <w:highlight w:val="white"/>
        </w:rPr>
        <w:t>las víctimas y colectivos de víctimas y sus representantes.</w:t>
      </w:r>
    </w:p>
    <w:p w14:paraId="159FEDF9" w14:textId="3BD062A9" w:rsidR="00925017" w:rsidRPr="0091763F" w:rsidRDefault="00D80F09" w:rsidP="0091763F">
      <w:pPr>
        <w:pStyle w:val="SingleTxtG"/>
        <w:rPr>
          <w:b/>
          <w:bCs/>
        </w:rPr>
      </w:pPr>
      <w:r w:rsidRPr="0091763F">
        <w:rPr>
          <w:highlight w:val="white"/>
        </w:rPr>
        <w:t>3</w:t>
      </w:r>
      <w:r w:rsidR="009D7D59">
        <w:rPr>
          <w:highlight w:val="white"/>
        </w:rPr>
        <w:t>4</w:t>
      </w:r>
      <w:r w:rsidR="0091763F" w:rsidRPr="0091763F">
        <w:rPr>
          <w:highlight w:val="white"/>
        </w:rPr>
        <w:t>.</w:t>
      </w:r>
      <w:r w:rsidR="0091763F">
        <w:rPr>
          <w:b/>
          <w:bCs/>
          <w:highlight w:val="white"/>
        </w:rPr>
        <w:tab/>
      </w:r>
      <w:r w:rsidR="00925017" w:rsidRPr="0091763F">
        <w:rPr>
          <w:b/>
          <w:bCs/>
          <w:highlight w:val="white"/>
        </w:rPr>
        <w:t xml:space="preserve">La implementación de la </w:t>
      </w:r>
      <w:r w:rsidR="00CA37F2">
        <w:rPr>
          <w:b/>
          <w:bCs/>
          <w:highlight w:val="white"/>
        </w:rPr>
        <w:t>política nacional</w:t>
      </w:r>
      <w:r w:rsidR="00925017" w:rsidRPr="0091763F">
        <w:rPr>
          <w:b/>
          <w:bCs/>
          <w:highlight w:val="white"/>
        </w:rPr>
        <w:t xml:space="preserve"> debe contar con la firme voluntad política y el compromiso efectivo de todas las autoridades del Estado.</w:t>
      </w:r>
    </w:p>
    <w:p w14:paraId="337920FB" w14:textId="256D53EE" w:rsidR="00925017" w:rsidRPr="0091763F" w:rsidRDefault="00D80F09" w:rsidP="0091763F">
      <w:pPr>
        <w:pStyle w:val="SingleTxtG"/>
        <w:rPr>
          <w:b/>
          <w:bCs/>
        </w:rPr>
      </w:pPr>
      <w:r w:rsidRPr="0091763F">
        <w:rPr>
          <w:highlight w:val="white"/>
        </w:rPr>
        <w:t>3</w:t>
      </w:r>
      <w:r w:rsidR="009D7D59">
        <w:rPr>
          <w:highlight w:val="white"/>
        </w:rPr>
        <w:t>5</w:t>
      </w:r>
      <w:r w:rsidR="0091763F" w:rsidRPr="0091763F">
        <w:rPr>
          <w:highlight w:val="white"/>
        </w:rPr>
        <w:t>.</w:t>
      </w:r>
      <w:r w:rsidR="0091763F">
        <w:rPr>
          <w:b/>
          <w:bCs/>
          <w:highlight w:val="white"/>
        </w:rPr>
        <w:tab/>
      </w:r>
      <w:r w:rsidR="00925017" w:rsidRPr="0091763F">
        <w:rPr>
          <w:b/>
          <w:bCs/>
          <w:highlight w:val="white"/>
        </w:rPr>
        <w:t xml:space="preserve">El Comité recomienda al Estado parte </w:t>
      </w:r>
      <w:r w:rsidR="00C7182C">
        <w:rPr>
          <w:b/>
          <w:bCs/>
          <w:highlight w:val="white"/>
        </w:rPr>
        <w:t>convocar</w:t>
      </w:r>
      <w:r w:rsidR="00925017" w:rsidRPr="0091763F">
        <w:rPr>
          <w:b/>
          <w:bCs/>
          <w:highlight w:val="white"/>
        </w:rPr>
        <w:t xml:space="preserve"> a </w:t>
      </w:r>
      <w:r w:rsidR="00C7182C">
        <w:rPr>
          <w:b/>
          <w:bCs/>
          <w:highlight w:val="white"/>
        </w:rPr>
        <w:t>los organismos y comunidad</w:t>
      </w:r>
      <w:r w:rsidR="00925017" w:rsidRPr="0091763F">
        <w:rPr>
          <w:b/>
          <w:bCs/>
          <w:highlight w:val="white"/>
        </w:rPr>
        <w:t xml:space="preserve"> internacionales para articular mecanismos de cooperación y coordinación de los </w:t>
      </w:r>
      <w:r w:rsidR="00925017" w:rsidRPr="0091763F">
        <w:rPr>
          <w:b/>
          <w:bCs/>
          <w:highlight w:val="white"/>
        </w:rPr>
        <w:lastRenderedPageBreak/>
        <w:t>múltiples proyectos promovidos para afrontar las desapariciones. El Comité considera urgente que dichos proyectos se desarrollen de forma más concertada con el fin de evitar duplicaciones y salvar las lagunas de protección existentes.</w:t>
      </w:r>
    </w:p>
    <w:p w14:paraId="48F30783" w14:textId="322D3F00" w:rsidR="001D10D2" w:rsidRPr="0091763F" w:rsidRDefault="001D10D2" w:rsidP="001D10D2">
      <w:pPr>
        <w:pStyle w:val="SingleTxtG"/>
        <w:rPr>
          <w:b/>
          <w:bCs/>
        </w:rPr>
      </w:pPr>
      <w:r w:rsidRPr="0091763F">
        <w:t>3</w:t>
      </w:r>
      <w:r w:rsidR="009D7D59">
        <w:t>6</w:t>
      </w:r>
      <w:r w:rsidRPr="0091763F">
        <w:t>.</w:t>
      </w:r>
      <w:r w:rsidRPr="006B5133">
        <w:tab/>
      </w:r>
      <w:r w:rsidRPr="00925017">
        <w:rPr>
          <w:b/>
          <w:bCs/>
        </w:rPr>
        <w:t xml:space="preserve">Tomando en cuenta el carácter continuo de las desapariciones, su fecha de </w:t>
      </w:r>
      <w:r>
        <w:rPr>
          <w:b/>
          <w:bCs/>
        </w:rPr>
        <w:t>inicio</w:t>
      </w:r>
      <w:r w:rsidRPr="00925017">
        <w:rPr>
          <w:b/>
          <w:bCs/>
        </w:rPr>
        <w:t xml:space="preserve"> no precluye las responsabilidades actuales del Estado</w:t>
      </w:r>
      <w:r>
        <w:rPr>
          <w:b/>
          <w:bCs/>
        </w:rPr>
        <w:t xml:space="preserve"> parte conforme a la Convención</w:t>
      </w:r>
      <w:r w:rsidRPr="00925017">
        <w:rPr>
          <w:b/>
          <w:bCs/>
          <w:vertAlign w:val="superscript"/>
        </w:rPr>
        <w:footnoteReference w:id="19"/>
      </w:r>
      <w:r>
        <w:rPr>
          <w:b/>
          <w:bCs/>
        </w:rPr>
        <w:t>.</w:t>
      </w:r>
      <w:r w:rsidRPr="00925017">
        <w:rPr>
          <w:b/>
          <w:bCs/>
        </w:rPr>
        <w:t xml:space="preserve"> Por lo tanto, el Comité insta al Estado parte a implementar las recomendaciones del presente informe a la totalidad de los casos de desapariciones en el país, incluso las ocurridas en</w:t>
      </w:r>
      <w:r>
        <w:rPr>
          <w:b/>
          <w:bCs/>
        </w:rPr>
        <w:t>tre</w:t>
      </w:r>
      <w:r w:rsidRPr="00925017">
        <w:rPr>
          <w:b/>
          <w:bCs/>
        </w:rPr>
        <w:t xml:space="preserve"> los años 1965 </w:t>
      </w:r>
      <w:r>
        <w:rPr>
          <w:b/>
          <w:bCs/>
        </w:rPr>
        <w:t>y</w:t>
      </w:r>
      <w:r w:rsidRPr="00925017">
        <w:rPr>
          <w:b/>
          <w:bCs/>
        </w:rPr>
        <w:t xml:space="preserve"> 1990</w:t>
      </w:r>
      <w:r>
        <w:rPr>
          <w:b/>
          <w:bCs/>
        </w:rPr>
        <w:t>, y años posteriores</w:t>
      </w:r>
      <w:r w:rsidRPr="00925017">
        <w:rPr>
          <w:b/>
          <w:bCs/>
        </w:rPr>
        <w:t>.</w:t>
      </w:r>
    </w:p>
    <w:p w14:paraId="5C9C5829" w14:textId="6E398768" w:rsidR="00A234DD" w:rsidRPr="006B5133" w:rsidRDefault="00A234DD" w:rsidP="009D7D59">
      <w:pPr>
        <w:pStyle w:val="SingleTxtG"/>
      </w:pPr>
      <w:r>
        <w:t>37</w:t>
      </w:r>
      <w:r w:rsidR="0091763F" w:rsidRPr="0091763F">
        <w:t>.</w:t>
      </w:r>
      <w:r w:rsidR="0091763F">
        <w:tab/>
      </w:r>
      <w:r w:rsidR="00925017" w:rsidRPr="00A62862">
        <w:rPr>
          <w:b/>
          <w:bCs/>
        </w:rPr>
        <w:t xml:space="preserve">La desaparición </w:t>
      </w:r>
      <w:r w:rsidR="00C7182C" w:rsidRPr="00A62862">
        <w:rPr>
          <w:b/>
          <w:bCs/>
        </w:rPr>
        <w:t xml:space="preserve">de personas </w:t>
      </w:r>
      <w:r w:rsidR="00925017" w:rsidRPr="00A62862">
        <w:rPr>
          <w:b/>
          <w:bCs/>
        </w:rPr>
        <w:t>en México es un problema de todos: de la sociedad en su conjunto y de</w:t>
      </w:r>
      <w:r w:rsidR="00C23841" w:rsidRPr="00A62862">
        <w:rPr>
          <w:b/>
          <w:bCs/>
        </w:rPr>
        <w:t xml:space="preserve"> toda</w:t>
      </w:r>
      <w:r w:rsidR="00925017" w:rsidRPr="00A62862">
        <w:rPr>
          <w:b/>
          <w:bCs/>
        </w:rPr>
        <w:t xml:space="preserve"> la humanidad. El Comité reitera su indeclinable compromiso para apoyar los procesos que se desarrollen para prevenir y erradicar las desapariciones forzadas.</w:t>
      </w:r>
      <w:r w:rsidR="0091763F" w:rsidRPr="00A62862">
        <w:rPr>
          <w:b/>
          <w:bCs/>
        </w:rPr>
        <w:tab/>
      </w:r>
    </w:p>
    <w:p w14:paraId="353B6F38" w14:textId="300C9898" w:rsidR="00925017" w:rsidRPr="00DA7D36" w:rsidRDefault="00A234DD" w:rsidP="00A234DD">
      <w:pPr>
        <w:pStyle w:val="HChG"/>
      </w:pPr>
      <w:r>
        <w:tab/>
      </w:r>
      <w:r w:rsidR="00F01CC2">
        <w:t>V</w:t>
      </w:r>
      <w:r w:rsidR="00925017" w:rsidRPr="00DA7D36">
        <w:t>.</w:t>
      </w:r>
      <w:r w:rsidR="0091763F">
        <w:tab/>
      </w:r>
      <w:bookmarkStart w:id="4" w:name="_Hlk95394356"/>
      <w:r w:rsidR="00925017" w:rsidRPr="00DA7D36">
        <w:t xml:space="preserve">Condiciones mínimas para una </w:t>
      </w:r>
      <w:r w:rsidR="00CA37F2">
        <w:t>política nacional</w:t>
      </w:r>
      <w:r w:rsidR="00925017" w:rsidRPr="00DA7D36">
        <w:t xml:space="preserve"> eficaz y efectiva</w:t>
      </w:r>
      <w:bookmarkEnd w:id="4"/>
      <w:r w:rsidR="00713BD9">
        <w:t xml:space="preserve"> de prevención y erradicación de las desapariciones</w:t>
      </w:r>
      <w:r w:rsidR="006B4D3B">
        <w:t xml:space="preserve"> </w:t>
      </w:r>
    </w:p>
    <w:p w14:paraId="4DE16D69" w14:textId="6F6341CC" w:rsidR="00044C8B" w:rsidRDefault="0091763F" w:rsidP="00044C8B">
      <w:pPr>
        <w:pStyle w:val="SingleTxtG"/>
      </w:pPr>
      <w:r>
        <w:t>3</w:t>
      </w:r>
      <w:r w:rsidR="00A234DD">
        <w:t>8</w:t>
      </w:r>
      <w:r>
        <w:t>.</w:t>
      </w:r>
      <w:r>
        <w:tab/>
      </w:r>
      <w:r w:rsidR="00925017" w:rsidRPr="00DA7D36">
        <w:t xml:space="preserve">El diseño de una </w:t>
      </w:r>
      <w:r w:rsidR="00CA37F2">
        <w:t>p</w:t>
      </w:r>
      <w:r w:rsidR="00925017" w:rsidRPr="00DA7D36">
        <w:t xml:space="preserve">olítica </w:t>
      </w:r>
      <w:r w:rsidR="00CA37F2">
        <w:t>n</w:t>
      </w:r>
      <w:r w:rsidR="00925017" w:rsidRPr="00DA7D36">
        <w:t xml:space="preserve">acional de prevención </w:t>
      </w:r>
      <w:r w:rsidR="004970B1">
        <w:t xml:space="preserve">y </w:t>
      </w:r>
      <w:r w:rsidR="00630F7A">
        <w:t>erradicación de</w:t>
      </w:r>
      <w:r w:rsidR="00630F7A" w:rsidRPr="00DA7D36">
        <w:t xml:space="preserve"> </w:t>
      </w:r>
      <w:r w:rsidR="00925017" w:rsidRPr="00DA7D36">
        <w:t>las desapariciones</w:t>
      </w:r>
      <w:r w:rsidR="00044C8B">
        <w:t xml:space="preserve"> forzadas</w:t>
      </w:r>
      <w:r w:rsidR="00925017" w:rsidRPr="00DA7D36">
        <w:t xml:space="preserve"> requiere </w:t>
      </w:r>
      <w:r w:rsidR="00925017">
        <w:t>que se adopten</w:t>
      </w:r>
      <w:r w:rsidR="00925017" w:rsidRPr="00DA7D36">
        <w:t xml:space="preserve"> medidas concretas sobre</w:t>
      </w:r>
      <w:r w:rsidR="00925017">
        <w:t xml:space="preserve"> un conjunto de</w:t>
      </w:r>
      <w:r w:rsidR="00925017" w:rsidRPr="00DA7D36">
        <w:t xml:space="preserve"> prioridades específicas</w:t>
      </w:r>
      <w:r w:rsidR="00F03FCB">
        <w:rPr>
          <w:rStyle w:val="Refdenotaalpie"/>
        </w:rPr>
        <w:footnoteReference w:id="20"/>
      </w:r>
      <w:r w:rsidR="00925017" w:rsidRPr="00DA7D36">
        <w:t xml:space="preserve">. No obstante, para que la implementación de dichas acciones pueda ser eficaz y efectiva, el Comité considera que es necesario que se asuman como condiciones mínimas las descritas a continuación.  </w:t>
      </w:r>
    </w:p>
    <w:p w14:paraId="75FD0691" w14:textId="1A1FE231" w:rsidR="00CC00EE" w:rsidRPr="006B5133" w:rsidRDefault="0091763F" w:rsidP="00A234DD">
      <w:pPr>
        <w:pStyle w:val="H1G"/>
      </w:pPr>
      <w:r w:rsidRPr="00044C8B">
        <w:tab/>
      </w:r>
      <w:r w:rsidR="00E85ADF" w:rsidRPr="00044C8B">
        <w:t>A.</w:t>
      </w:r>
      <w:r w:rsidR="00E85ADF" w:rsidRPr="00044C8B">
        <w:tab/>
      </w:r>
      <w:r w:rsidR="00925017" w:rsidRPr="00044C8B">
        <w:t>Reconocer y tomar en consideración los criterios de responsabilidad de</w:t>
      </w:r>
      <w:r w:rsidR="000A66C7">
        <w:t> </w:t>
      </w:r>
      <w:r w:rsidR="00925017" w:rsidRPr="00044C8B">
        <w:t xml:space="preserve">los </w:t>
      </w:r>
      <w:r w:rsidR="00477062" w:rsidRPr="00044C8B">
        <w:t>servidores públicos</w:t>
      </w:r>
      <w:r w:rsidR="00756987" w:rsidRPr="00044C8B">
        <w:t xml:space="preserve"> y erradicar las causas estructurales de la impunidad</w:t>
      </w:r>
      <w:r w:rsidR="00925017" w:rsidRPr="00044C8B">
        <w:t xml:space="preserve"> </w:t>
      </w:r>
      <w:bookmarkStart w:id="6" w:name="_heading=h.2htfabo23ser" w:colFirst="0" w:colLast="0"/>
      <w:bookmarkEnd w:id="6"/>
    </w:p>
    <w:p w14:paraId="33EC0B00" w14:textId="67255976" w:rsidR="00CC00EE" w:rsidRPr="008A17F8" w:rsidRDefault="0067146B" w:rsidP="00CC00EE">
      <w:pPr>
        <w:pStyle w:val="SingleTxtG"/>
      </w:pPr>
      <w:r w:rsidRPr="008A17F8">
        <w:t>3</w:t>
      </w:r>
      <w:r w:rsidR="00A234DD">
        <w:t>9</w:t>
      </w:r>
      <w:r w:rsidRPr="008A17F8">
        <w:t>.</w:t>
      </w:r>
      <w:r w:rsidR="00A234DD">
        <w:tab/>
      </w:r>
      <w:r w:rsidRPr="008A17F8">
        <w:t>A lo largo de la visita, los interlocutores del Comité plantearon diversas hipótesis sobre la eventual responsabilidad de los servidores públicos en las desapariciones. Aunque el discurso prevalente en círculos oficiales tiende a negar o diluir la responsabilidad del Estado parte alegando que la mayoría de las desapariciones son perpetradas por particulares, principalmente vinculados a la delincuencia organizada, el Comité ha recibido otras muchas alegaciones que insisten en la responsabilidad directa o indirecta del Estado, teniendo en cuenta los patrones de desapariciones que se producen en el país. En unos casos, se refieren al involucramiento directo de los servidores públicos, basándose en elementos probatorios contundentes como fotos, testimonios o videos. En otros, a la inacción de las autoridades y funcionarios ante la existencia de riesgos conocidos.</w:t>
      </w:r>
    </w:p>
    <w:p w14:paraId="0E61034F" w14:textId="1017A127" w:rsidR="00CC00EE" w:rsidRPr="0014415B" w:rsidRDefault="00A234DD" w:rsidP="00CC00EE">
      <w:pPr>
        <w:pStyle w:val="SingleTxtG"/>
        <w:rPr>
          <w:b/>
        </w:rPr>
      </w:pPr>
      <w:r>
        <w:t>40</w:t>
      </w:r>
      <w:r w:rsidR="0067146B" w:rsidRPr="008A17F8">
        <w:t>.</w:t>
      </w:r>
      <w:r>
        <w:tab/>
      </w:r>
      <w:r w:rsidR="0067146B" w:rsidRPr="008A17F8">
        <w:t xml:space="preserve">Al respecto, el Comité recuerda que, en virtud del artículo 2 de la Convención, los Estados parte son responsables de las desapariciones forzadas cometidas por los servidores públicos, cualesquiera que sean las circunstancias en que se producen. Los Estados parte también son responsables, en virtud del mismo artículo, de las desapariciones forzadas cometidas por personas o grupos de personas, como las organizaciones delictivas, que actúen con la autorización, el apoyo o la aquiescencia del Estado. Esto incluye, entre otras cosas, las situaciones en las que las organizaciones criminales o los grupos armados están de facto bajo el control de las autoridades estatales o cuando dichas organizaciones reciben alguna forma de apoyo por los agentes del Estado, o cuando existe un patrón conocido de desapariciones de personas y el Estado no adopta las medidas necesarias para evitar que se produzcan nuevas desapariciones o para investigar y llevar a los autores ante la justicia. De este modo, una violación, aunque inicialmente no resulte directamente imputable al Estado, </w:t>
      </w:r>
      <w:r w:rsidR="0014415B">
        <w:t xml:space="preserve">se </w:t>
      </w:r>
      <w:r w:rsidR="0067146B" w:rsidRPr="008A17F8">
        <w:t xml:space="preserve">puede determinar su responsabilidad internacional por falta de la debida diligencia para prevenir la violación o para tratarla conforme a las exigencias impuestas por la normativa internacional, </w:t>
      </w:r>
      <w:r w:rsidR="0014415B">
        <w:lastRenderedPageBreak/>
        <w:t>en particular</w:t>
      </w:r>
      <w:r w:rsidR="0067146B" w:rsidRPr="008A17F8">
        <w:t xml:space="preserve"> la Convención </w:t>
      </w:r>
      <w:r w:rsidR="0014415B">
        <w:t>I</w:t>
      </w:r>
      <w:r w:rsidR="0067146B" w:rsidRPr="008A17F8">
        <w:t xml:space="preserve">nternacional para la </w:t>
      </w:r>
      <w:r w:rsidR="0014415B">
        <w:t>P</w:t>
      </w:r>
      <w:r w:rsidR="0067146B" w:rsidRPr="008A17F8">
        <w:t xml:space="preserve">rotección de </w:t>
      </w:r>
      <w:r w:rsidR="0014415B">
        <w:t>T</w:t>
      </w:r>
      <w:r w:rsidR="0067146B" w:rsidRPr="008A17F8">
        <w:t xml:space="preserve">odas las </w:t>
      </w:r>
      <w:r w:rsidR="0014415B">
        <w:t>P</w:t>
      </w:r>
      <w:r w:rsidR="0067146B" w:rsidRPr="008A17F8">
        <w:t>ersonas contra la</w:t>
      </w:r>
      <w:r w:rsidR="0014415B">
        <w:t>s</w:t>
      </w:r>
      <w:r w:rsidR="0067146B" w:rsidRPr="008A17F8">
        <w:t xml:space="preserve"> </w:t>
      </w:r>
      <w:r w:rsidR="0014415B">
        <w:t>D</w:t>
      </w:r>
      <w:r w:rsidR="0067146B" w:rsidRPr="008A17F8">
        <w:t>esaparici</w:t>
      </w:r>
      <w:r w:rsidR="0014415B">
        <w:t>ones</w:t>
      </w:r>
      <w:r w:rsidR="0067146B" w:rsidRPr="008A17F8">
        <w:t xml:space="preserve"> </w:t>
      </w:r>
      <w:r w:rsidR="0014415B">
        <w:t>F</w:t>
      </w:r>
      <w:r w:rsidR="0067146B" w:rsidRPr="008A17F8">
        <w:t>orzada</w:t>
      </w:r>
      <w:r w:rsidR="0014415B">
        <w:t>s</w:t>
      </w:r>
      <w:r w:rsidR="00484299" w:rsidRPr="008A17F8">
        <w:rPr>
          <w:vertAlign w:val="superscript"/>
        </w:rPr>
        <w:footnoteReference w:id="21"/>
      </w:r>
      <w:r w:rsidR="0014415B">
        <w:t>.</w:t>
      </w:r>
    </w:p>
    <w:p w14:paraId="3B0598BE" w14:textId="750DD3B6" w:rsidR="0067146B" w:rsidRPr="006B5133" w:rsidRDefault="0067146B" w:rsidP="00CC00EE">
      <w:pPr>
        <w:pStyle w:val="SingleTxtG"/>
        <w:rPr>
          <w:b/>
        </w:rPr>
      </w:pPr>
      <w:r w:rsidRPr="008A17F8">
        <w:t>4</w:t>
      </w:r>
      <w:r w:rsidR="00A234DD">
        <w:t>1</w:t>
      </w:r>
      <w:r w:rsidRPr="008A17F8">
        <w:t>.</w:t>
      </w:r>
      <w:r w:rsidR="00A234DD">
        <w:tab/>
      </w:r>
      <w:r w:rsidRPr="008A17F8">
        <w:t>Lo anterior no significa que los Estados parte no tengan responsabilidad en relación con las desapariciones cometidas por personas o grupos de personas que actúan sin la autorización, el apoyo o la aquiescencia del Estado. Incluso en estos casos, los Estados parte son responsables si no investigan estas desapariciones y no llevan a sus responsables ante la justicia (art. 3) o cuando estas desapariciones constituyen crímenes de lesa humanidad (art.</w:t>
      </w:r>
      <w:r w:rsidR="000F3FBB">
        <w:t> </w:t>
      </w:r>
      <w:r w:rsidRPr="008A17F8">
        <w:t>5). También son responsables si no buscan y localizan a las personas desaparecidas y, en caso de muerte, si no se devuelven sus cuerpos a sus familiares y allegados de forma digna y, en general, cuando incumplen sus obligaciones con las víctimas (art. 24), incluidos los niños (art. 25).</w:t>
      </w:r>
    </w:p>
    <w:p w14:paraId="214F17D1" w14:textId="2E7FD113" w:rsidR="00925017" w:rsidRPr="008A17F8" w:rsidRDefault="00D80F09" w:rsidP="0091763F">
      <w:pPr>
        <w:pStyle w:val="SingleTxtG"/>
        <w:rPr>
          <w:b/>
          <w:bCs/>
        </w:rPr>
      </w:pPr>
      <w:bookmarkStart w:id="7" w:name="_heading=h.zcskv6ryjysx" w:colFirst="0" w:colLast="0"/>
      <w:bookmarkEnd w:id="7"/>
      <w:r w:rsidRPr="008A17F8">
        <w:t>4</w:t>
      </w:r>
      <w:r w:rsidR="00A234DD">
        <w:t>2</w:t>
      </w:r>
      <w:r w:rsidR="0091763F" w:rsidRPr="008A17F8">
        <w:t>.</w:t>
      </w:r>
      <w:r w:rsidR="0091763F" w:rsidRPr="008A17F8">
        <w:rPr>
          <w:b/>
          <w:bCs/>
        </w:rPr>
        <w:tab/>
      </w:r>
      <w:r w:rsidR="00925017" w:rsidRPr="008A17F8">
        <w:rPr>
          <w:b/>
          <w:bCs/>
        </w:rPr>
        <w:t xml:space="preserve">El Comité considera primordial que todas las autoridades reconozcan las distintas formas de responsabilidad del Estado parte en los casos de desaparición y las tomen en consideración a la hora de diseñar e implementar la </w:t>
      </w:r>
      <w:r w:rsidR="00CA37F2" w:rsidRPr="008A17F8">
        <w:rPr>
          <w:b/>
          <w:bCs/>
        </w:rPr>
        <w:t>política nacional</w:t>
      </w:r>
      <w:r w:rsidR="00CC00EE" w:rsidRPr="008A17F8">
        <w:rPr>
          <w:b/>
          <w:bCs/>
        </w:rPr>
        <w:t xml:space="preserve"> de prevención y erradicación de la desaparición forzada</w:t>
      </w:r>
      <w:r w:rsidR="00925017" w:rsidRPr="008A17F8">
        <w:rPr>
          <w:b/>
          <w:bCs/>
        </w:rPr>
        <w:t xml:space="preserve">. </w:t>
      </w:r>
    </w:p>
    <w:p w14:paraId="7FAE65AE" w14:textId="0EFD3B39" w:rsidR="00A234DD" w:rsidRDefault="006A4C2D" w:rsidP="00A234DD">
      <w:pPr>
        <w:pStyle w:val="SingleTxtG"/>
      </w:pPr>
      <w:r w:rsidRPr="008A17F8">
        <w:t>4</w:t>
      </w:r>
      <w:r w:rsidR="00A234DD">
        <w:t>3</w:t>
      </w:r>
      <w:r w:rsidRPr="008A17F8">
        <w:t>.</w:t>
      </w:r>
      <w:r w:rsidRPr="008A17F8">
        <w:rPr>
          <w:bCs/>
        </w:rPr>
        <w:tab/>
      </w:r>
      <w:r w:rsidRPr="00A62862">
        <w:rPr>
          <w:b/>
          <w:bCs/>
        </w:rPr>
        <w:t xml:space="preserve">El Comité insta al Estado parte a que erradique todas las causas estructurales de la impunidad. Al efecto, el conjunto de las instituciones del </w:t>
      </w:r>
      <w:r w:rsidR="002D3967">
        <w:rPr>
          <w:b/>
          <w:bCs/>
        </w:rPr>
        <w:t>s</w:t>
      </w:r>
      <w:r w:rsidRPr="00A62862">
        <w:rPr>
          <w:b/>
          <w:bCs/>
        </w:rPr>
        <w:t>istema de administración de justicia debe poner fin a las prácticas que obstaculizan el acceso a la justicia y perpetúan la desaparición forzada como el paradigma del crimen perfecto.</w:t>
      </w:r>
    </w:p>
    <w:p w14:paraId="3B83CC32" w14:textId="2DD92D5F" w:rsidR="00925017" w:rsidRPr="00DA7D36" w:rsidRDefault="0091763F" w:rsidP="00A234DD">
      <w:pPr>
        <w:pStyle w:val="H1G"/>
      </w:pPr>
      <w:r>
        <w:tab/>
      </w:r>
      <w:r w:rsidR="00E85ADF">
        <w:t>B.</w:t>
      </w:r>
      <w:r w:rsidR="00E85ADF">
        <w:tab/>
      </w:r>
      <w:r w:rsidR="00925017" w:rsidRPr="00DA7D36">
        <w:t xml:space="preserve">Abandonar el enfoque de militarización de la seguridad pública </w:t>
      </w:r>
    </w:p>
    <w:p w14:paraId="2C045077" w14:textId="2094013E" w:rsidR="00A234DD" w:rsidRDefault="00D80F09" w:rsidP="00687080">
      <w:pPr>
        <w:pStyle w:val="SingleTxtG"/>
      </w:pPr>
      <w:r>
        <w:t>4</w:t>
      </w:r>
      <w:r w:rsidR="00A234DD">
        <w:t>4</w:t>
      </w:r>
      <w:r w:rsidR="0091763F">
        <w:t>.</w:t>
      </w:r>
      <w:r w:rsidR="0091763F">
        <w:tab/>
      </w:r>
      <w:r w:rsidR="00925017" w:rsidRPr="00DA7D36">
        <w:t xml:space="preserve">Como ya ha sido ampliamente denunciado en el ámbito nacional e internacional, el enfoque de seguridad pública adoptado por el Estado desde los años </w:t>
      </w:r>
      <w:r w:rsidR="009B58AA">
        <w:t>noventa</w:t>
      </w:r>
      <w:r w:rsidR="00925017">
        <w:t>,</w:t>
      </w:r>
      <w:r w:rsidR="00551AD1">
        <w:t xml:space="preserve"> y fomentado por la reforma legislativa del 2006</w:t>
      </w:r>
      <w:r w:rsidR="002D3967">
        <w:t>,</w:t>
      </w:r>
      <w:r w:rsidR="00551AD1">
        <w:t xml:space="preserve"> </w:t>
      </w:r>
      <w:r w:rsidR="00925017" w:rsidRPr="00DA7D36">
        <w:t>caracterizado por la militarización para combatir la delincuencia</w:t>
      </w:r>
      <w:r w:rsidR="00925017">
        <w:t>,</w:t>
      </w:r>
      <w:r w:rsidR="00925017" w:rsidRPr="00DA7D36">
        <w:t xml:space="preserve"> ha sido insuficiente e inadecuado en </w:t>
      </w:r>
      <w:r w:rsidR="0075730E">
        <w:t>lo que atañe a la</w:t>
      </w:r>
      <w:r w:rsidR="00925017" w:rsidRPr="00DA7D36">
        <w:t xml:space="preserve"> protección de derechos humanos.</w:t>
      </w:r>
    </w:p>
    <w:p w14:paraId="32E8986A" w14:textId="0F34BCCA" w:rsidR="00687080" w:rsidRPr="0089523B" w:rsidRDefault="00A234DD" w:rsidP="00687080">
      <w:pPr>
        <w:pStyle w:val="SingleTxtG"/>
        <w:rPr>
          <w:lang w:val="es-MX"/>
        </w:rPr>
      </w:pPr>
      <w:r>
        <w:t>45</w:t>
      </w:r>
      <w:r w:rsidR="00F01CC2">
        <w:t>.</w:t>
      </w:r>
      <w:r w:rsidR="00F01CC2">
        <w:tab/>
      </w:r>
      <w:r w:rsidR="00925017" w:rsidRPr="00DA7D36">
        <w:t>La</w:t>
      </w:r>
      <w:r w:rsidR="00551AD1">
        <w:t>s</w:t>
      </w:r>
      <w:r w:rsidR="00925017" w:rsidRPr="00DA7D36">
        <w:t xml:space="preserve"> reciente</w:t>
      </w:r>
      <w:r w:rsidR="00551AD1">
        <w:t>s</w:t>
      </w:r>
      <w:r w:rsidR="00925017" w:rsidRPr="00DA7D36">
        <w:t xml:space="preserve"> </w:t>
      </w:r>
      <w:r w:rsidR="00551AD1">
        <w:t>reformas</w:t>
      </w:r>
      <w:r w:rsidR="00551AD1" w:rsidRPr="00DA7D36">
        <w:t xml:space="preserve"> </w:t>
      </w:r>
      <w:r w:rsidR="00925017" w:rsidRPr="00DA7D36">
        <w:t>normativa</w:t>
      </w:r>
      <w:r w:rsidR="00551AD1">
        <w:t>s</w:t>
      </w:r>
      <w:r w:rsidR="00925017" w:rsidRPr="00DA7D36">
        <w:t xml:space="preserve"> y operacional</w:t>
      </w:r>
      <w:r w:rsidR="00551AD1">
        <w:t>es</w:t>
      </w:r>
      <w:r w:rsidR="00925017" w:rsidRPr="00DA7D36">
        <w:t xml:space="preserve"> no escapa</w:t>
      </w:r>
      <w:r w:rsidR="00551AD1">
        <w:t>n</w:t>
      </w:r>
      <w:r w:rsidR="00925017" w:rsidRPr="00DA7D36">
        <w:t xml:space="preserve"> a esta tendencia. </w:t>
      </w:r>
      <w:r w:rsidR="00925017" w:rsidRPr="006B5133">
        <w:rPr>
          <w:lang w:val="es-EC"/>
        </w:rPr>
        <w:t>Al respecto, cabe destacar tres hitos fundamentales: a) el Decreto de 26 marzo de </w:t>
      </w:r>
      <w:hyperlink r:id="rId12">
        <w:r w:rsidR="00925017" w:rsidRPr="006B5133">
          <w:rPr>
            <w:lang w:val="es-EC"/>
          </w:rPr>
          <w:t>2019</w:t>
        </w:r>
      </w:hyperlink>
      <w:r w:rsidR="00925017" w:rsidRPr="006B5133">
        <w:rPr>
          <w:lang w:val="es-EC"/>
        </w:rPr>
        <w:t xml:space="preserve">, que reforma el artículo 21 de la Constitución y crea la Guardia Nacional como una institución policial de carácter civil adscrita a la </w:t>
      </w:r>
      <w:r w:rsidR="009B58AA" w:rsidRPr="006B5133">
        <w:rPr>
          <w:lang w:val="es-EC"/>
        </w:rPr>
        <w:t>S</w:t>
      </w:r>
      <w:r w:rsidR="00925017" w:rsidRPr="006B5133">
        <w:rPr>
          <w:lang w:val="es-EC"/>
        </w:rPr>
        <w:t xml:space="preserve">ecretaría de </w:t>
      </w:r>
      <w:r w:rsidR="009B58AA" w:rsidRPr="006B5133">
        <w:rPr>
          <w:lang w:val="es-EC"/>
        </w:rPr>
        <w:t>S</w:t>
      </w:r>
      <w:r w:rsidR="00925017" w:rsidRPr="006B5133">
        <w:rPr>
          <w:lang w:val="es-EC"/>
        </w:rPr>
        <w:t xml:space="preserve">eguridad </w:t>
      </w:r>
      <w:r w:rsidR="009B58AA" w:rsidRPr="006B5133">
        <w:rPr>
          <w:lang w:val="es-EC"/>
        </w:rPr>
        <w:t>P</w:t>
      </w:r>
      <w:r w:rsidR="00925017" w:rsidRPr="006B5133">
        <w:rPr>
          <w:lang w:val="es-EC"/>
        </w:rPr>
        <w:t>ública, que en sus disposiciones transitorias brinda una amplia intervención al Ejército y a la Marina en las labores de seguridad pública; b) el Acuerdo Presidencial publicado en mayo de 2020, que ordena a la Fuerza Armada permanecer en las funciones de seguridad pública en virtud del artículo quinto transitorio de la reforma constitucional</w:t>
      </w:r>
      <w:r w:rsidR="002D3967">
        <w:rPr>
          <w:lang w:val="es-EC"/>
        </w:rPr>
        <w:t>,</w:t>
      </w:r>
      <w:r w:rsidR="00925017" w:rsidRPr="006B5133">
        <w:rPr>
          <w:lang w:val="es-EC"/>
        </w:rPr>
        <w:t xml:space="preserve"> y c) la Ley de la Guardia Nacional, </w:t>
      </w:r>
      <w:r w:rsidR="00DC0746" w:rsidRPr="006B5133">
        <w:rPr>
          <w:lang w:val="es-EC"/>
        </w:rPr>
        <w:t xml:space="preserve">Ley Nacional </w:t>
      </w:r>
      <w:r w:rsidR="00925017" w:rsidRPr="006B5133">
        <w:rPr>
          <w:lang w:val="es-EC"/>
        </w:rPr>
        <w:t xml:space="preserve">de </w:t>
      </w:r>
      <w:r w:rsidR="00DC0746" w:rsidRPr="006B5133">
        <w:rPr>
          <w:lang w:val="es-EC"/>
        </w:rPr>
        <w:t>U</w:t>
      </w:r>
      <w:r w:rsidR="00925017" w:rsidRPr="006B5133">
        <w:rPr>
          <w:lang w:val="es-EC"/>
        </w:rPr>
        <w:t xml:space="preserve">so de la </w:t>
      </w:r>
      <w:r w:rsidR="00DC0746" w:rsidRPr="006B5133">
        <w:rPr>
          <w:lang w:val="es-EC"/>
        </w:rPr>
        <w:t>F</w:t>
      </w:r>
      <w:r w:rsidR="00925017" w:rsidRPr="006B5133">
        <w:rPr>
          <w:lang w:val="es-EC"/>
        </w:rPr>
        <w:t xml:space="preserve">uerza y </w:t>
      </w:r>
      <w:r w:rsidR="00DC0746" w:rsidRPr="006B5133">
        <w:rPr>
          <w:lang w:val="es-EC"/>
        </w:rPr>
        <w:t xml:space="preserve">Ley Nacional </w:t>
      </w:r>
      <w:r w:rsidR="00925017" w:rsidRPr="006B5133">
        <w:rPr>
          <w:lang w:val="es-EC"/>
        </w:rPr>
        <w:t>de</w:t>
      </w:r>
      <w:r w:rsidR="00DC0746" w:rsidRPr="006B5133">
        <w:rPr>
          <w:lang w:val="es-EC"/>
        </w:rPr>
        <w:t>l</w:t>
      </w:r>
      <w:r w:rsidR="00925017" w:rsidRPr="006B5133">
        <w:rPr>
          <w:lang w:val="es-EC"/>
        </w:rPr>
        <w:t xml:space="preserve"> </w:t>
      </w:r>
      <w:r w:rsidR="00DC0746" w:rsidRPr="006B5133">
        <w:rPr>
          <w:lang w:val="es-EC"/>
        </w:rPr>
        <w:t>R</w:t>
      </w:r>
      <w:r w:rsidR="00925017" w:rsidRPr="006B5133">
        <w:rPr>
          <w:lang w:val="es-EC"/>
        </w:rPr>
        <w:t xml:space="preserve">egistro de </w:t>
      </w:r>
      <w:r w:rsidR="00DC0746" w:rsidRPr="006B5133">
        <w:rPr>
          <w:lang w:val="es-EC"/>
        </w:rPr>
        <w:t>D</w:t>
      </w:r>
      <w:r w:rsidR="00925017" w:rsidRPr="006B5133">
        <w:rPr>
          <w:lang w:val="es-EC"/>
        </w:rPr>
        <w:t>etenciones</w:t>
      </w:r>
      <w:r w:rsidR="00DC0746" w:rsidRPr="006B5133">
        <w:rPr>
          <w:lang w:val="es-EC"/>
        </w:rPr>
        <w:t>,</w:t>
      </w:r>
      <w:r w:rsidR="00925017" w:rsidRPr="006B5133">
        <w:rPr>
          <w:lang w:val="es-EC"/>
        </w:rPr>
        <w:t xml:space="preserve"> adoptadas </w:t>
      </w:r>
      <w:r w:rsidR="00DC0746" w:rsidRPr="006B5133">
        <w:rPr>
          <w:lang w:val="es-EC"/>
        </w:rPr>
        <w:t>en</w:t>
      </w:r>
      <w:r w:rsidR="00DC0746" w:rsidRPr="004970B1">
        <w:rPr>
          <w:lang w:val="es-EC"/>
        </w:rPr>
        <w:t xml:space="preserve"> 2019</w:t>
      </w:r>
      <w:r w:rsidR="00687080" w:rsidRPr="00687080">
        <w:rPr>
          <w:lang w:val="es-EC"/>
        </w:rPr>
        <w:t xml:space="preserve">. Esta reforma permite la utilización extensiva de las Fuerzas Armadas para labores </w:t>
      </w:r>
      <w:r w:rsidR="00687080" w:rsidRPr="0089523B">
        <w:rPr>
          <w:lang w:val="es-EC"/>
        </w:rPr>
        <w:t xml:space="preserve">de seguridad pública, tendencia que se observa por la procedencia de los componentes de la </w:t>
      </w:r>
      <w:r w:rsidR="00687080" w:rsidRPr="0089523B">
        <w:rPr>
          <w:lang w:val="es-MX"/>
        </w:rPr>
        <w:t>Guardia Nacional: de sus 101</w:t>
      </w:r>
      <w:r w:rsidR="002D3967">
        <w:rPr>
          <w:lang w:val="es-MX"/>
        </w:rPr>
        <w:t>.</w:t>
      </w:r>
      <w:r w:rsidR="00687080" w:rsidRPr="0089523B">
        <w:rPr>
          <w:lang w:val="es-MX"/>
        </w:rPr>
        <w:t>182 elementos, el 58</w:t>
      </w:r>
      <w:r w:rsidR="0023200B">
        <w:rPr>
          <w:lang w:val="es-MX"/>
        </w:rPr>
        <w:t> </w:t>
      </w:r>
      <w:r w:rsidR="00687080" w:rsidRPr="0089523B">
        <w:rPr>
          <w:lang w:val="es-MX"/>
        </w:rPr>
        <w:t xml:space="preserve">% provienen de </w:t>
      </w:r>
      <w:r w:rsidR="002D3967">
        <w:rPr>
          <w:lang w:val="es-MX"/>
        </w:rPr>
        <w:t xml:space="preserve">la </w:t>
      </w:r>
      <w:r w:rsidR="002D3967" w:rsidRPr="00DA7D36">
        <w:t>Secretaría de la Defensa Nacional</w:t>
      </w:r>
      <w:r w:rsidR="00687080" w:rsidRPr="0089523B">
        <w:rPr>
          <w:lang w:val="es-MX"/>
        </w:rPr>
        <w:t xml:space="preserve">, </w:t>
      </w:r>
      <w:r w:rsidR="002D3967">
        <w:rPr>
          <w:lang w:val="es-MX"/>
        </w:rPr>
        <w:t xml:space="preserve">el </w:t>
      </w:r>
      <w:r w:rsidR="00687080" w:rsidRPr="0089523B">
        <w:rPr>
          <w:lang w:val="es-MX"/>
        </w:rPr>
        <w:t>26</w:t>
      </w:r>
      <w:r w:rsidR="0023200B">
        <w:rPr>
          <w:lang w:val="es-MX"/>
        </w:rPr>
        <w:t> </w:t>
      </w:r>
      <w:r w:rsidR="00687080" w:rsidRPr="0089523B">
        <w:rPr>
          <w:lang w:val="es-MX"/>
        </w:rPr>
        <w:t xml:space="preserve">% de la ex Policía Federal y </w:t>
      </w:r>
      <w:r w:rsidR="002D3967">
        <w:rPr>
          <w:lang w:val="es-MX"/>
        </w:rPr>
        <w:t xml:space="preserve">el </w:t>
      </w:r>
      <w:r w:rsidR="00687080" w:rsidRPr="0089523B">
        <w:rPr>
          <w:lang w:val="es-MX"/>
        </w:rPr>
        <w:t>16</w:t>
      </w:r>
      <w:r w:rsidR="0023200B">
        <w:rPr>
          <w:lang w:val="es-MX"/>
        </w:rPr>
        <w:t> </w:t>
      </w:r>
      <w:r w:rsidR="00687080" w:rsidRPr="0089523B">
        <w:rPr>
          <w:lang w:val="es-MX"/>
        </w:rPr>
        <w:t>% de la Secretaría de Marina.</w:t>
      </w:r>
      <w:r w:rsidR="00687080" w:rsidRPr="0089523B">
        <w:rPr>
          <w:lang w:val="es-EC"/>
        </w:rPr>
        <w:t xml:space="preserve"> </w:t>
      </w:r>
    </w:p>
    <w:p w14:paraId="4BFE13D5" w14:textId="02E9C83B" w:rsidR="00A62862" w:rsidRDefault="00687080" w:rsidP="00895872">
      <w:pPr>
        <w:pStyle w:val="SingleTxtG"/>
      </w:pPr>
      <w:r>
        <w:rPr>
          <w:lang w:val="es-EC"/>
        </w:rPr>
        <w:t>4</w:t>
      </w:r>
      <w:r w:rsidR="00A234DD">
        <w:rPr>
          <w:lang w:val="es-EC"/>
        </w:rPr>
        <w:t>6</w:t>
      </w:r>
      <w:r>
        <w:rPr>
          <w:lang w:val="es-EC"/>
        </w:rPr>
        <w:t>.</w:t>
      </w:r>
      <w:r>
        <w:rPr>
          <w:lang w:val="es-EC"/>
        </w:rPr>
        <w:tab/>
        <w:t>Varios aspectos de</w:t>
      </w:r>
      <w:r w:rsidRPr="00D02651">
        <w:rPr>
          <w:lang w:val="es-EC"/>
        </w:rPr>
        <w:t xml:space="preserve"> la reforma han sido objeto de acciones</w:t>
      </w:r>
      <w:r w:rsidRPr="006B5133">
        <w:rPr>
          <w:lang w:val="es-EC"/>
        </w:rPr>
        <w:t xml:space="preserve"> de inconstitucionalidad presentadas por la </w:t>
      </w:r>
      <w:bookmarkStart w:id="8" w:name="_Hlk95901952"/>
      <w:r w:rsidRPr="006B5133">
        <w:rPr>
          <w:lang w:val="es-EC"/>
        </w:rPr>
        <w:t xml:space="preserve">Comisión Nacional de los Derechos Humanos </w:t>
      </w:r>
      <w:bookmarkEnd w:id="8"/>
      <w:r w:rsidRPr="006B5133">
        <w:rPr>
          <w:lang w:val="es-EC"/>
        </w:rPr>
        <w:t>ante la Suprema Corte de Justicia de la Nación</w:t>
      </w:r>
      <w:r w:rsidRPr="00D02651">
        <w:rPr>
          <w:lang w:val="es-EC"/>
        </w:rPr>
        <w:t>.</w:t>
      </w:r>
      <w:r>
        <w:rPr>
          <w:lang w:val="es-EC"/>
        </w:rPr>
        <w:t xml:space="preserve"> </w:t>
      </w:r>
      <w:r w:rsidR="000D4126">
        <w:t xml:space="preserve">El 21 de octubre de 2021, la Suprema Corte </w:t>
      </w:r>
      <w:r w:rsidR="000D4126" w:rsidRPr="00D3172A">
        <w:t xml:space="preserve">analizó las impugnaciones </w:t>
      </w:r>
      <w:r w:rsidR="000D4126" w:rsidRPr="00D3172A">
        <w:lastRenderedPageBreak/>
        <w:t>de la Ley Nacional sobre el Uso de la Fuerza</w:t>
      </w:r>
      <w:r w:rsidR="000D4126">
        <w:t xml:space="preserve"> y declaró la existencia de diversas omisiones legislativas, así como la invalidez de una porción normativa de la Ley Nacional sobre el </w:t>
      </w:r>
      <w:r w:rsidR="0011503B">
        <w:t>U</w:t>
      </w:r>
      <w:r w:rsidR="000D4126">
        <w:t>so de la Fuerza”</w:t>
      </w:r>
      <w:r w:rsidR="000D4126">
        <w:rPr>
          <w:rStyle w:val="Refdenotaalpie"/>
        </w:rPr>
        <w:footnoteReference w:id="22"/>
      </w:r>
      <w:r w:rsidR="00942C26">
        <w:t xml:space="preserve">. </w:t>
      </w:r>
      <w:r w:rsidR="00D3172A">
        <w:t>Las demás acciones seguían</w:t>
      </w:r>
      <w:r w:rsidR="00925017" w:rsidRPr="00DA7D36">
        <w:t xml:space="preserve"> pendientes de resolución en el momento de la visita.</w:t>
      </w:r>
    </w:p>
    <w:p w14:paraId="512D0D4C" w14:textId="4B9FAE51" w:rsidR="00895872" w:rsidRDefault="00A62862" w:rsidP="00895872">
      <w:pPr>
        <w:pStyle w:val="SingleTxtG"/>
      </w:pPr>
      <w:r>
        <w:t>47</w:t>
      </w:r>
      <w:r w:rsidR="00F01CC2">
        <w:t>.</w:t>
      </w:r>
      <w:r w:rsidR="00F01CC2">
        <w:tab/>
      </w:r>
      <w:r w:rsidR="00925017" w:rsidRPr="00DA7D36">
        <w:t xml:space="preserve">Al Comité le preocupa el enfoque militarizado de la seguridad pública por el riesgo que implica en materia de derechos humanos. Según la información oficial, </w:t>
      </w:r>
      <w:r w:rsidR="00925017">
        <w:t xml:space="preserve">entre </w:t>
      </w:r>
      <w:r w:rsidR="00925017" w:rsidRPr="00DA7D36">
        <w:t xml:space="preserve">2007 </w:t>
      </w:r>
      <w:r w:rsidR="00925017">
        <w:t>y</w:t>
      </w:r>
      <w:r w:rsidR="00925017" w:rsidRPr="00DA7D36">
        <w:t xml:space="preserve"> 2021</w:t>
      </w:r>
      <w:r w:rsidR="00925017">
        <w:t>,</w:t>
      </w:r>
      <w:r w:rsidR="00925017" w:rsidRPr="00DA7D36">
        <w:t xml:space="preserve"> la </w:t>
      </w:r>
      <w:r w:rsidR="008E3860">
        <w:t>Comisión Nacional de los Derechos Humanos</w:t>
      </w:r>
      <w:r w:rsidR="008E3860" w:rsidRPr="00DA7D36">
        <w:t xml:space="preserve"> </w:t>
      </w:r>
      <w:r w:rsidR="00925017" w:rsidRPr="00DA7D36">
        <w:t>emitió un total de 162</w:t>
      </w:r>
      <w:r w:rsidR="002C46FB">
        <w:t> </w:t>
      </w:r>
      <w:r w:rsidR="00925017" w:rsidRPr="00DA7D36">
        <w:t>recomendaciones a la Secretaría de la Defensa Nacional y Secretaría de Marina por violaciones graves a los derechos humanos, 15 de e</w:t>
      </w:r>
      <w:r w:rsidR="00925017">
        <w:t>llas</w:t>
      </w:r>
      <w:r w:rsidR="00925017" w:rsidRPr="00DA7D36">
        <w:t xml:space="preserve"> relacionadas </w:t>
      </w:r>
      <w:r w:rsidR="00925017">
        <w:t>con</w:t>
      </w:r>
      <w:r w:rsidR="00925017" w:rsidRPr="00DA7D36">
        <w:t xml:space="preserve"> casos de desaparición forzada</w:t>
      </w:r>
      <w:r w:rsidR="002C46FB">
        <w:t xml:space="preserve">. </w:t>
      </w:r>
      <w:r w:rsidR="00925017" w:rsidRPr="00DA7D36">
        <w:t>Asimismo,</w:t>
      </w:r>
      <w:r w:rsidR="000374A8" w:rsidRPr="000374A8">
        <w:t xml:space="preserve"> en 2021, </w:t>
      </w:r>
      <w:r w:rsidR="0011503B" w:rsidRPr="00DA7D36">
        <w:t xml:space="preserve">la Secretaría de la Defensa Nacional </w:t>
      </w:r>
      <w:r w:rsidR="000374A8" w:rsidRPr="000374A8">
        <w:t xml:space="preserve">y la Guardia Nacional se encontraban entre las diez autoridades señaladas con mayor frecuencia en los expedientes de presuntas violaciones </w:t>
      </w:r>
      <w:r w:rsidR="0011503B">
        <w:t>de</w:t>
      </w:r>
      <w:r w:rsidR="000374A8" w:rsidRPr="000374A8">
        <w:t xml:space="preserve"> los derechos humanos registrados por la </w:t>
      </w:r>
      <w:r w:rsidR="0011503B" w:rsidRPr="00DA7D36">
        <w:t xml:space="preserve">Comisión Nacional de </w:t>
      </w:r>
      <w:r w:rsidR="0011503B">
        <w:t xml:space="preserve">los </w:t>
      </w:r>
      <w:r w:rsidR="0011503B" w:rsidRPr="00DA7D36">
        <w:t>Derechos Humanos</w:t>
      </w:r>
      <w:r w:rsidR="000374A8" w:rsidRPr="000374A8">
        <w:t xml:space="preserve">, y </w:t>
      </w:r>
      <w:r w:rsidR="0011503B" w:rsidRPr="00DA7D36">
        <w:t xml:space="preserve">la Secretaría de la Defensa Nacional </w:t>
      </w:r>
      <w:r w:rsidR="000374A8" w:rsidRPr="000374A8">
        <w:t xml:space="preserve">y la Secretaría de Marina se encontraban entre las </w:t>
      </w:r>
      <w:r w:rsidR="0011503B">
        <w:t>cinco</w:t>
      </w:r>
      <w:r w:rsidR="000374A8" w:rsidRPr="000374A8">
        <w:t xml:space="preserve"> </w:t>
      </w:r>
      <w:r w:rsidR="000374A8" w:rsidRPr="00B453AB">
        <w:t>autoridades federales con mayor número de recomendaciones en trámite</w:t>
      </w:r>
      <w:r w:rsidR="000374A8" w:rsidRPr="00B453AB">
        <w:rPr>
          <w:rStyle w:val="Refdenotaalpie"/>
        </w:rPr>
        <w:footnoteReference w:id="23"/>
      </w:r>
      <w:r w:rsidR="00925017" w:rsidRPr="00DA7D36">
        <w:t xml:space="preserve">. La </w:t>
      </w:r>
      <w:r w:rsidR="007508E4">
        <w:t>permanente</w:t>
      </w:r>
      <w:r w:rsidR="007508E4" w:rsidRPr="00DA7D36">
        <w:t xml:space="preserve"> </w:t>
      </w:r>
      <w:r w:rsidR="00925017" w:rsidRPr="00DA7D36">
        <w:t xml:space="preserve">participación de la </w:t>
      </w:r>
      <w:r w:rsidR="00322A44">
        <w:t>F</w:t>
      </w:r>
      <w:r w:rsidR="00925017" w:rsidRPr="00DA7D36">
        <w:t xml:space="preserve">uerza </w:t>
      </w:r>
      <w:r w:rsidR="00322A44">
        <w:t>A</w:t>
      </w:r>
      <w:r w:rsidR="00925017" w:rsidRPr="00DA7D36">
        <w:t>rmada</w:t>
      </w:r>
      <w:r w:rsidR="00294A0D">
        <w:t xml:space="preserve"> </w:t>
      </w:r>
      <w:r w:rsidR="00925017" w:rsidRPr="00DA7D36">
        <w:t>establecida en la reforma</w:t>
      </w:r>
      <w:r w:rsidR="003449AD">
        <w:t xml:space="preserve"> constitucional del 11 de mayo de 2021</w:t>
      </w:r>
      <w:r w:rsidR="003449AD">
        <w:rPr>
          <w:rStyle w:val="Refdenotaalpie"/>
        </w:rPr>
        <w:footnoteReference w:id="24"/>
      </w:r>
      <w:r w:rsidR="00925017" w:rsidRPr="00DA7D36">
        <w:t xml:space="preserve">, a pesar de presentarse como </w:t>
      </w:r>
      <w:r w:rsidR="003449AD">
        <w:t>“</w:t>
      </w:r>
      <w:r w:rsidR="00925017" w:rsidRPr="00DA7D36">
        <w:t xml:space="preserve">extraordinaria, </w:t>
      </w:r>
      <w:r w:rsidR="00294A0D">
        <w:t xml:space="preserve">regulada, fiscalizada, </w:t>
      </w:r>
      <w:r w:rsidR="00925017" w:rsidRPr="00DA7D36">
        <w:t>subordinada y complementaria</w:t>
      </w:r>
      <w:r w:rsidR="00294A0D">
        <w:t>”</w:t>
      </w:r>
      <w:r w:rsidR="00925017" w:rsidRPr="00DA7D36">
        <w:t>, permite poner en duda su conformidad con los estándares constitucionales e internacionales en materia de derecho</w:t>
      </w:r>
      <w:r w:rsidR="00D84ACC">
        <w:t>s humanos y seguridad ciudadana</w:t>
      </w:r>
      <w:r w:rsidR="00925017" w:rsidRPr="006B5133">
        <w:rPr>
          <w:vertAlign w:val="superscript"/>
        </w:rPr>
        <w:footnoteReference w:id="25"/>
      </w:r>
      <w:r w:rsidR="00D84ACC">
        <w:t>.</w:t>
      </w:r>
    </w:p>
    <w:p w14:paraId="4863F8D9" w14:textId="47EF2D0C" w:rsidR="00925017" w:rsidRPr="006B5133" w:rsidRDefault="00D80F09" w:rsidP="00D17A1E">
      <w:pPr>
        <w:pStyle w:val="SingleTxtG"/>
      </w:pPr>
      <w:r w:rsidRPr="00F01CC2">
        <w:t>4</w:t>
      </w:r>
      <w:r w:rsidR="00A62862">
        <w:t>8</w:t>
      </w:r>
      <w:r w:rsidR="00F01CC2" w:rsidRPr="00F01CC2">
        <w:t>.</w:t>
      </w:r>
      <w:r w:rsidR="00F01CC2" w:rsidRPr="00F01CC2">
        <w:tab/>
      </w:r>
      <w:r w:rsidR="00925017" w:rsidRPr="0091763F">
        <w:rPr>
          <w:b/>
          <w:bCs/>
        </w:rPr>
        <w:t xml:space="preserve">En vista de lo anterior, el Comité insta al Estado a abandonar el enfoque militarizado de seguridad pública. La política pública de seguridad debe construirse en plena concordancia con los principios internacionales de derechos humanos y garantizar el carácter civil de las instituciones de seguridad, conforme al artículo 21 de la Constitución. Por lo tanto, el Comité reitera su recomendación de fortalecer a las fuerzas civiles del orden y </w:t>
      </w:r>
      <w:r w:rsidR="00736D33">
        <w:rPr>
          <w:b/>
          <w:bCs/>
        </w:rPr>
        <w:t xml:space="preserve">requiere al Estado parte </w:t>
      </w:r>
      <w:r w:rsidR="00925017" w:rsidRPr="0091763F">
        <w:rPr>
          <w:b/>
          <w:bCs/>
        </w:rPr>
        <w:t>establecer un plan de retiro ordenado</w:t>
      </w:r>
      <w:r w:rsidR="00736D33">
        <w:rPr>
          <w:b/>
          <w:bCs/>
        </w:rPr>
        <w:t xml:space="preserve">, inmediato </w:t>
      </w:r>
      <w:r w:rsidR="00925017" w:rsidRPr="0091763F">
        <w:rPr>
          <w:b/>
          <w:bCs/>
        </w:rPr>
        <w:t xml:space="preserve">y verificable de las fuerzas militares de </w:t>
      </w:r>
      <w:r w:rsidR="00D84ACC">
        <w:rPr>
          <w:b/>
          <w:bCs/>
        </w:rPr>
        <w:t>las tareas de seguridad pública</w:t>
      </w:r>
      <w:r w:rsidR="00925017" w:rsidRPr="006B5133">
        <w:rPr>
          <w:b/>
          <w:vertAlign w:val="superscript"/>
        </w:rPr>
        <w:footnoteReference w:id="26"/>
      </w:r>
      <w:r w:rsidR="00D84ACC">
        <w:rPr>
          <w:b/>
          <w:bCs/>
        </w:rPr>
        <w:t>.</w:t>
      </w:r>
      <w:r w:rsidR="00925017" w:rsidRPr="0091763F">
        <w:rPr>
          <w:b/>
          <w:bCs/>
        </w:rPr>
        <w:t xml:space="preserve"> </w:t>
      </w:r>
    </w:p>
    <w:p w14:paraId="3E4E6750" w14:textId="3C64AC57" w:rsidR="00925017" w:rsidRPr="00DA7D36" w:rsidRDefault="0091763F" w:rsidP="00F01CC2">
      <w:pPr>
        <w:pStyle w:val="H1G"/>
      </w:pPr>
      <w:r>
        <w:tab/>
      </w:r>
      <w:r w:rsidR="00E85ADF">
        <w:t>C.</w:t>
      </w:r>
      <w:r w:rsidR="00E85ADF">
        <w:tab/>
      </w:r>
      <w:r w:rsidR="00925017" w:rsidRPr="00DA7D36">
        <w:t>Visibilizar, informar y sensibilizar sobre las desapariciones en México</w:t>
      </w:r>
    </w:p>
    <w:p w14:paraId="60DE30AB" w14:textId="5C97B196" w:rsidR="00925017" w:rsidRPr="00DA7D36" w:rsidRDefault="00D80F09" w:rsidP="0091763F">
      <w:pPr>
        <w:pStyle w:val="SingleTxtG"/>
        <w:rPr>
          <w:b/>
        </w:rPr>
      </w:pPr>
      <w:r>
        <w:t>4</w:t>
      </w:r>
      <w:r w:rsidR="00A62862">
        <w:t>9</w:t>
      </w:r>
      <w:r w:rsidR="00F01CC2">
        <w:t>.</w:t>
      </w:r>
      <w:r w:rsidR="00F01CC2">
        <w:tab/>
      </w:r>
      <w:r w:rsidR="00925017" w:rsidRPr="00DA7D36">
        <w:t xml:space="preserve">El esfuerzo iniciado para registrar y actualizar los datos por medio del </w:t>
      </w:r>
      <w:bookmarkStart w:id="9" w:name="_Hlk95752210"/>
      <w:r w:rsidR="00063C67">
        <w:t>Registro Nacional de Personas Desaparecidas y No Localizadas</w:t>
      </w:r>
      <w:r w:rsidR="00063C67" w:rsidRPr="00DA7D36">
        <w:t xml:space="preserve"> </w:t>
      </w:r>
      <w:bookmarkEnd w:id="9"/>
      <w:r w:rsidR="00925017" w:rsidRPr="00DA7D36">
        <w:t xml:space="preserve">ha sido clave para visibilizar </w:t>
      </w:r>
      <w:r w:rsidR="00802A0A">
        <w:t>la dimensión</w:t>
      </w:r>
      <w:r w:rsidR="00925017" w:rsidRPr="00DA7D36">
        <w:t xml:space="preserve"> de las desapariciones en México. Sin embargo, varias de las personas entrevistadas expresaron su preocupaci</w:t>
      </w:r>
      <w:r w:rsidR="00925017">
        <w:t>ón</w:t>
      </w:r>
      <w:r w:rsidR="00925017" w:rsidRPr="00DA7D36">
        <w:t xml:space="preserve"> por duplicaciones, errores en los datos registrados o información incompleta</w:t>
      </w:r>
      <w:r w:rsidR="00925017" w:rsidRPr="006B5133">
        <w:rPr>
          <w:vertAlign w:val="superscript"/>
        </w:rPr>
        <w:footnoteReference w:id="27"/>
      </w:r>
      <w:r w:rsidR="00925017" w:rsidRPr="00DA7D36">
        <w:rPr>
          <w:b/>
        </w:rPr>
        <w:t xml:space="preserve"> </w:t>
      </w:r>
      <w:r w:rsidR="00925017" w:rsidRPr="00DA7D36">
        <w:t>y mencionaron</w:t>
      </w:r>
      <w:r w:rsidR="00925017">
        <w:t xml:space="preserve"> las</w:t>
      </w:r>
      <w:r w:rsidR="00925017" w:rsidRPr="00DA7D36">
        <w:t xml:space="preserve"> dificultades</w:t>
      </w:r>
      <w:r w:rsidR="00925017">
        <w:t xml:space="preserve"> existentes</w:t>
      </w:r>
      <w:r w:rsidR="00925017" w:rsidRPr="00DA7D36">
        <w:t xml:space="preserve"> para solicitar correcciones o actualizaciones. </w:t>
      </w:r>
    </w:p>
    <w:p w14:paraId="46FDEA56" w14:textId="414C4D5E" w:rsidR="00925017" w:rsidRPr="00DA7D36" w:rsidRDefault="00A62862" w:rsidP="0091763F">
      <w:pPr>
        <w:pStyle w:val="SingleTxtG"/>
      </w:pPr>
      <w:r>
        <w:t>50</w:t>
      </w:r>
      <w:r w:rsidR="00F01CC2">
        <w:t>.</w:t>
      </w:r>
      <w:r w:rsidR="00F01CC2">
        <w:tab/>
      </w:r>
      <w:r w:rsidR="00925017" w:rsidRPr="00DA7D36">
        <w:t xml:space="preserve">Además, al Comité le preocupa que el </w:t>
      </w:r>
      <w:r w:rsidR="00063C67">
        <w:t>Registro Nacional de Personas Desaparecidas y No Localizadas</w:t>
      </w:r>
      <w:r w:rsidR="00063C67" w:rsidRPr="00DA7D36">
        <w:t xml:space="preserve"> </w:t>
      </w:r>
      <w:r w:rsidR="00925017" w:rsidRPr="00DA7D36">
        <w:t xml:space="preserve">no permite tener una visión clara sobre la proporción de casos registrados que podrían corresponder a desapariciones forzadas. Si bien la hipótesis de una desaparición forzada solo se podrá confirmar al concluir la investigación, de existir indicios, su registro en las fases iniciales es fundamental para visibilizar </w:t>
      </w:r>
      <w:r w:rsidR="008D4EE9">
        <w:t>estos casos</w:t>
      </w:r>
      <w:r w:rsidR="00925017" w:rsidRPr="00DA7D36">
        <w:t xml:space="preserve"> y para adoptar estrategias eficaces de búsqueda, investigación</w:t>
      </w:r>
      <w:r w:rsidR="008D4EE9">
        <w:t>, atención y reparación a las víctimas</w:t>
      </w:r>
      <w:r w:rsidR="00925017" w:rsidRPr="00DA7D36">
        <w:t xml:space="preserve"> y prevención de las desapariciones. </w:t>
      </w:r>
    </w:p>
    <w:p w14:paraId="1613B365" w14:textId="6C722908" w:rsidR="00925017" w:rsidRPr="00DA7D36" w:rsidRDefault="00D80F09" w:rsidP="009335FB">
      <w:pPr>
        <w:pStyle w:val="SingleTxtG"/>
      </w:pPr>
      <w:r>
        <w:lastRenderedPageBreak/>
        <w:t>5</w:t>
      </w:r>
      <w:r w:rsidR="00A62862">
        <w:t>1</w:t>
      </w:r>
      <w:r w:rsidR="00F01CC2">
        <w:t>.</w:t>
      </w:r>
      <w:r w:rsidR="00F01CC2">
        <w:tab/>
      </w:r>
      <w:r w:rsidR="00925017" w:rsidRPr="00DA7D36">
        <w:t xml:space="preserve">Durante la visita, el Comité también notó que para muchas personas las desapariciones siguen siendo “problema de otros”. Como </w:t>
      </w:r>
      <w:r w:rsidR="00925017">
        <w:t>dijo</w:t>
      </w:r>
      <w:r w:rsidR="00925017" w:rsidRPr="00DA7D36">
        <w:t xml:space="preserve"> una víctim</w:t>
      </w:r>
      <w:r w:rsidR="00925017">
        <w:t>a,</w:t>
      </w:r>
      <w:r w:rsidR="00925017" w:rsidRPr="00DA7D36">
        <w:t xml:space="preserve"> menor de edad: “Nunca </w:t>
      </w:r>
      <w:r w:rsidR="009335FB">
        <w:t xml:space="preserve">había imaginado </w:t>
      </w:r>
      <w:r w:rsidR="00925017" w:rsidRPr="00DA7D36">
        <w:t>antes estar acá con ustedes hablando de la desaparición de mi mamá. No pensaba que esto existiera</w:t>
      </w:r>
      <w:r w:rsidR="009335FB">
        <w:t xml:space="preserve"> o que me podría pasar a mí</w:t>
      </w:r>
      <w:r w:rsidR="00925017" w:rsidRPr="00DA7D36">
        <w:t xml:space="preserve">. No es el tipo de cosas que te enseñan en la escuela. Cuando de pronto desaparece tu mamá, no tienes idea de lo que hay que hacer. Es una pesadilla que reinicia cada día”. Este testimonio ilustra la urgencia de informar </w:t>
      </w:r>
      <w:r w:rsidR="00925017">
        <w:t xml:space="preserve">aún </w:t>
      </w:r>
      <w:r w:rsidR="00925017" w:rsidRPr="00DA7D36">
        <w:t xml:space="preserve">más a la población </w:t>
      </w:r>
      <w:r w:rsidR="007547AC">
        <w:t>de México</w:t>
      </w:r>
      <w:r w:rsidR="007547AC" w:rsidRPr="00DA7D36">
        <w:t xml:space="preserve"> </w:t>
      </w:r>
      <w:r w:rsidR="00925017" w:rsidRPr="00DA7D36">
        <w:t>en su conjunto sobre</w:t>
      </w:r>
      <w:r w:rsidR="00925017">
        <w:t xml:space="preserve"> la realidad de</w:t>
      </w:r>
      <w:r w:rsidR="00925017" w:rsidRPr="00DA7D36">
        <w:t xml:space="preserve"> las desapariciones y sobre lo que se debe hacer cuando una persona ha desaparecido. Al respecto, el Comité saluda las iniciativas desarrolladas, en su mayoría por víctimas y organizaciones de la sociedad civil, para dif</w:t>
      </w:r>
      <w:r w:rsidR="00CE2C73">
        <w:t>undir información sobre el tema</w:t>
      </w:r>
      <w:r w:rsidR="00925017" w:rsidRPr="006B5133">
        <w:rPr>
          <w:vertAlign w:val="superscript"/>
        </w:rPr>
        <w:footnoteReference w:id="28"/>
      </w:r>
      <w:r w:rsidR="00CE2C73">
        <w:t>.</w:t>
      </w:r>
      <w:r w:rsidR="00A234DD">
        <w:t xml:space="preserve"> </w:t>
      </w:r>
      <w:r w:rsidR="008B7D98">
        <w:t xml:space="preserve">No </w:t>
      </w:r>
      <w:r w:rsidR="009335FB">
        <w:t>obstante su carácter loable, dichas iniciativas deben ir acompañadas por otras de mayor alcance</w:t>
      </w:r>
      <w:r w:rsidR="00E078A1">
        <w:t>.</w:t>
      </w:r>
    </w:p>
    <w:p w14:paraId="0CD5EE7B" w14:textId="729D18C8" w:rsidR="00925017" w:rsidRPr="0091763F" w:rsidRDefault="00D80F09" w:rsidP="00063C67">
      <w:pPr>
        <w:pStyle w:val="SingleTxtG"/>
        <w:rPr>
          <w:b/>
          <w:bCs/>
        </w:rPr>
      </w:pPr>
      <w:r>
        <w:t>5</w:t>
      </w:r>
      <w:r w:rsidR="00A62862">
        <w:t>2</w:t>
      </w:r>
      <w:r w:rsidR="00F01CC2" w:rsidRPr="00F01CC2">
        <w:t>.</w:t>
      </w:r>
      <w:r w:rsidR="00F01CC2">
        <w:rPr>
          <w:b/>
          <w:bCs/>
        </w:rPr>
        <w:tab/>
      </w:r>
      <w:r w:rsidR="00925017" w:rsidRPr="0091763F">
        <w:rPr>
          <w:b/>
          <w:bCs/>
        </w:rPr>
        <w:t xml:space="preserve">En vista de lo anterior, el Comité resalta la urgencia de que las autoridades establezcan mecanismos ágiles, interoperables, eficaces y transparentes para ingresar en el </w:t>
      </w:r>
      <w:r w:rsidR="00063C67" w:rsidRPr="00063C67">
        <w:rPr>
          <w:b/>
          <w:bCs/>
        </w:rPr>
        <w:t xml:space="preserve">Registro Nacional de Personas Desaparecidas y No Localizadas </w:t>
      </w:r>
      <w:r w:rsidR="00925017" w:rsidRPr="0091763F">
        <w:rPr>
          <w:b/>
          <w:bCs/>
        </w:rPr>
        <w:t>y los registros estatales una información detallada y actualizada y para depurar cualquier duplicación y corregir errores en los datos ingresados.</w:t>
      </w:r>
    </w:p>
    <w:p w14:paraId="062A8E6C" w14:textId="4ABFC92C" w:rsidR="00925017" w:rsidRPr="0091763F" w:rsidRDefault="00D80F09" w:rsidP="00063C67">
      <w:pPr>
        <w:pStyle w:val="SingleTxtG"/>
        <w:rPr>
          <w:b/>
          <w:bCs/>
        </w:rPr>
      </w:pPr>
      <w:r>
        <w:t>5</w:t>
      </w:r>
      <w:r w:rsidR="00A62862">
        <w:t>3</w:t>
      </w:r>
      <w:r w:rsidR="00F01CC2" w:rsidRPr="00F01CC2">
        <w:t>.</w:t>
      </w:r>
      <w:r w:rsidR="00F01CC2">
        <w:rPr>
          <w:b/>
          <w:bCs/>
        </w:rPr>
        <w:tab/>
      </w:r>
      <w:r w:rsidR="00925017" w:rsidRPr="0091763F">
        <w:rPr>
          <w:b/>
          <w:bCs/>
        </w:rPr>
        <w:t xml:space="preserve">El Comité considera prioritario que el </w:t>
      </w:r>
      <w:r w:rsidR="00063C67" w:rsidRPr="00063C67">
        <w:rPr>
          <w:b/>
          <w:bCs/>
        </w:rPr>
        <w:t xml:space="preserve">Registro Nacional de Personas Desaparecidas y No Localizadas </w:t>
      </w:r>
      <w:r w:rsidR="00925017" w:rsidRPr="0091763F">
        <w:rPr>
          <w:b/>
          <w:bCs/>
        </w:rPr>
        <w:t>esté permanentemente actualizado</w:t>
      </w:r>
      <w:r w:rsidR="009F4661">
        <w:rPr>
          <w:b/>
          <w:bCs/>
        </w:rPr>
        <w:t xml:space="preserve"> por todas las instituciones competentes</w:t>
      </w:r>
      <w:r w:rsidR="00832A75">
        <w:rPr>
          <w:b/>
          <w:bCs/>
        </w:rPr>
        <w:t xml:space="preserve"> </w:t>
      </w:r>
      <w:r w:rsidR="009F4661">
        <w:rPr>
          <w:b/>
          <w:bCs/>
        </w:rPr>
        <w:t>para</w:t>
      </w:r>
      <w:r w:rsidR="00925017" w:rsidRPr="0091763F">
        <w:rPr>
          <w:b/>
          <w:bCs/>
        </w:rPr>
        <w:t xml:space="preserve"> permit</w:t>
      </w:r>
      <w:r w:rsidR="009F4661">
        <w:rPr>
          <w:b/>
          <w:bCs/>
        </w:rPr>
        <w:t>ir</w:t>
      </w:r>
      <w:r w:rsidR="00925017" w:rsidRPr="0091763F">
        <w:rPr>
          <w:b/>
          <w:bCs/>
        </w:rPr>
        <w:t xml:space="preserve"> distinguir de forma transparente y fidedigna los casos en los cuales haya indicios del involucramiento de </w:t>
      </w:r>
      <w:r w:rsidR="00477062">
        <w:rPr>
          <w:b/>
          <w:bCs/>
        </w:rPr>
        <w:t>servidores públicos</w:t>
      </w:r>
      <w:r w:rsidR="00925017" w:rsidRPr="0091763F">
        <w:rPr>
          <w:b/>
          <w:bCs/>
        </w:rPr>
        <w:t xml:space="preserve"> o de personas o grupos de personas que actúen con la autorización, el apoyo o la aquiescencia del Estado</w:t>
      </w:r>
      <w:r w:rsidR="00992427">
        <w:rPr>
          <w:b/>
          <w:bCs/>
        </w:rPr>
        <w:t xml:space="preserve">, de tal modo que </w:t>
      </w:r>
      <w:r w:rsidR="004D5D49">
        <w:rPr>
          <w:b/>
          <w:bCs/>
        </w:rPr>
        <w:t xml:space="preserve">se </w:t>
      </w:r>
      <w:r w:rsidR="00992427">
        <w:rPr>
          <w:b/>
          <w:bCs/>
        </w:rPr>
        <w:t>identifi</w:t>
      </w:r>
      <w:r w:rsidR="00051299">
        <w:rPr>
          <w:b/>
          <w:bCs/>
        </w:rPr>
        <w:t>quen</w:t>
      </w:r>
      <w:r w:rsidR="00992427">
        <w:rPr>
          <w:b/>
          <w:bCs/>
        </w:rPr>
        <w:t xml:space="preserve"> claramente</w:t>
      </w:r>
      <w:r w:rsidR="00925017" w:rsidRPr="0091763F">
        <w:rPr>
          <w:b/>
          <w:bCs/>
        </w:rPr>
        <w:t xml:space="preserve"> los casos </w:t>
      </w:r>
      <w:r w:rsidR="00992427">
        <w:rPr>
          <w:b/>
          <w:bCs/>
        </w:rPr>
        <w:t>de</w:t>
      </w:r>
      <w:r w:rsidR="00925017" w:rsidRPr="0091763F">
        <w:rPr>
          <w:b/>
          <w:bCs/>
        </w:rPr>
        <w:t xml:space="preserve"> desaparición forzada. La actualización de las informaciones se debe acompañar de procesos de análisis periódicos para ajustar la </w:t>
      </w:r>
      <w:r w:rsidR="004F705E">
        <w:rPr>
          <w:b/>
          <w:bCs/>
        </w:rPr>
        <w:t>p</w:t>
      </w:r>
      <w:r w:rsidR="00925017" w:rsidRPr="0091763F">
        <w:rPr>
          <w:b/>
          <w:bCs/>
        </w:rPr>
        <w:t xml:space="preserve">olítica </w:t>
      </w:r>
      <w:r w:rsidR="004F705E">
        <w:rPr>
          <w:b/>
          <w:bCs/>
        </w:rPr>
        <w:t>n</w:t>
      </w:r>
      <w:r w:rsidR="00925017" w:rsidRPr="0091763F">
        <w:rPr>
          <w:b/>
          <w:bCs/>
        </w:rPr>
        <w:t xml:space="preserve">acional a la evolución de la realidad. </w:t>
      </w:r>
    </w:p>
    <w:p w14:paraId="29A67F61" w14:textId="2C01CE4B" w:rsidR="00F83B2B" w:rsidRDefault="00D80F09" w:rsidP="0091763F">
      <w:pPr>
        <w:pStyle w:val="SingleTxtG"/>
        <w:rPr>
          <w:b/>
          <w:bCs/>
        </w:rPr>
      </w:pPr>
      <w:r w:rsidRPr="00F01CC2">
        <w:t>5</w:t>
      </w:r>
      <w:r w:rsidR="00A62862">
        <w:t>4</w:t>
      </w:r>
      <w:r w:rsidR="00F01CC2" w:rsidRPr="00F01CC2">
        <w:t>.</w:t>
      </w:r>
      <w:r w:rsidR="00F01CC2">
        <w:rPr>
          <w:b/>
          <w:bCs/>
        </w:rPr>
        <w:tab/>
      </w:r>
      <w:r w:rsidR="00925017" w:rsidRPr="0091763F">
        <w:rPr>
          <w:b/>
          <w:bCs/>
        </w:rPr>
        <w:t>Además, el Estado parte debe implementar de forma urgente una amplia campaña nacional de información y sensibilización que llegue a todos los sectores de la población y</w:t>
      </w:r>
      <w:r w:rsidR="00F83B2B">
        <w:rPr>
          <w:b/>
          <w:bCs/>
        </w:rPr>
        <w:t xml:space="preserve">, entre otros objetivos, </w:t>
      </w:r>
      <w:r w:rsidR="00925017" w:rsidRPr="0091763F">
        <w:rPr>
          <w:b/>
          <w:bCs/>
        </w:rPr>
        <w:t>contrarreste la estigmatización a la que se enf</w:t>
      </w:r>
      <w:r w:rsidR="00CE2C73">
        <w:rPr>
          <w:b/>
          <w:bCs/>
        </w:rPr>
        <w:t>rentan diariamente las víctimas</w:t>
      </w:r>
      <w:r w:rsidR="00925017" w:rsidRPr="006B5133">
        <w:rPr>
          <w:b/>
          <w:sz w:val="18"/>
          <w:vertAlign w:val="superscript"/>
        </w:rPr>
        <w:footnoteReference w:id="29"/>
      </w:r>
      <w:r w:rsidR="00CE2C73">
        <w:rPr>
          <w:b/>
          <w:bCs/>
        </w:rPr>
        <w:t>.</w:t>
      </w:r>
      <w:r w:rsidR="00925017" w:rsidRPr="0091763F">
        <w:rPr>
          <w:b/>
          <w:bCs/>
        </w:rPr>
        <w:t xml:space="preserve"> </w:t>
      </w:r>
    </w:p>
    <w:p w14:paraId="73718447" w14:textId="5697B3B1" w:rsidR="00925017" w:rsidRPr="0091763F" w:rsidRDefault="00F83B2B" w:rsidP="0091763F">
      <w:pPr>
        <w:pStyle w:val="SingleTxtG"/>
        <w:rPr>
          <w:b/>
          <w:bCs/>
        </w:rPr>
      </w:pPr>
      <w:r>
        <w:t>5</w:t>
      </w:r>
      <w:r w:rsidR="00A62862">
        <w:t>5</w:t>
      </w:r>
      <w:r>
        <w:t>.</w:t>
      </w:r>
      <w:r w:rsidR="00A234DD">
        <w:rPr>
          <w:b/>
          <w:bCs/>
        </w:rPr>
        <w:tab/>
      </w:r>
      <w:r>
        <w:rPr>
          <w:b/>
          <w:bCs/>
        </w:rPr>
        <w:t>La campa</w:t>
      </w:r>
      <w:r w:rsidR="00347F08">
        <w:rPr>
          <w:b/>
          <w:bCs/>
        </w:rPr>
        <w:t>ñ</w:t>
      </w:r>
      <w:r>
        <w:rPr>
          <w:b/>
          <w:bCs/>
        </w:rPr>
        <w:t>a debe</w:t>
      </w:r>
      <w:r w:rsidR="00925017" w:rsidRPr="0091763F">
        <w:rPr>
          <w:b/>
          <w:bCs/>
        </w:rPr>
        <w:t xml:space="preserve"> difundir ampliamente</w:t>
      </w:r>
      <w:r>
        <w:rPr>
          <w:b/>
          <w:bCs/>
        </w:rPr>
        <w:t>, incluso en las escuelas y medios de comunicación de mayor uso</w:t>
      </w:r>
      <w:r w:rsidR="00B453AB">
        <w:rPr>
          <w:b/>
          <w:bCs/>
        </w:rPr>
        <w:t>,</w:t>
      </w:r>
      <w:r w:rsidR="00925017" w:rsidRPr="0091763F">
        <w:rPr>
          <w:b/>
          <w:bCs/>
        </w:rPr>
        <w:t xml:space="preserve"> mensajes claros y accesibles sobre las desapariciones, los mecanismos para atenderlas, sus resultados y retos. </w:t>
      </w:r>
    </w:p>
    <w:p w14:paraId="64EC820A" w14:textId="1ADAD53E" w:rsidR="00335D0C" w:rsidRDefault="00D80F09" w:rsidP="00E078A1">
      <w:pPr>
        <w:pStyle w:val="SingleTxtG"/>
        <w:rPr>
          <w:b/>
          <w:bCs/>
        </w:rPr>
      </w:pPr>
      <w:r w:rsidRPr="00F01CC2">
        <w:t>5</w:t>
      </w:r>
      <w:r w:rsidR="00A62862">
        <w:t>6</w:t>
      </w:r>
      <w:r w:rsidR="00F01CC2" w:rsidRPr="00F01CC2">
        <w:t>.</w:t>
      </w:r>
      <w:r w:rsidR="00F01CC2">
        <w:rPr>
          <w:b/>
          <w:bCs/>
        </w:rPr>
        <w:tab/>
      </w:r>
      <w:r w:rsidR="00925017" w:rsidRPr="0091763F">
        <w:rPr>
          <w:b/>
          <w:bCs/>
        </w:rPr>
        <w:t>La campaña de información y sensibilización también debe tener alcance internacional a fin de informar ampliamente sobre la situación a la que se enfrenta</w:t>
      </w:r>
      <w:r w:rsidR="00E078A1">
        <w:rPr>
          <w:b/>
          <w:bCs/>
        </w:rPr>
        <w:t xml:space="preserve"> el conjunto de</w:t>
      </w:r>
      <w:r w:rsidR="00925017" w:rsidRPr="0091763F">
        <w:rPr>
          <w:b/>
          <w:bCs/>
        </w:rPr>
        <w:t xml:space="preserve"> la sociedad mexicana y compartir las lecciones aprendidas. </w:t>
      </w:r>
    </w:p>
    <w:p w14:paraId="6045A959" w14:textId="0AA52D7B" w:rsidR="00DB4C51" w:rsidRPr="001C1888" w:rsidRDefault="00A234DD" w:rsidP="00A234DD">
      <w:pPr>
        <w:pStyle w:val="H1G"/>
      </w:pPr>
      <w:r>
        <w:rPr>
          <w:lang w:eastAsia="en-GB"/>
        </w:rPr>
        <w:tab/>
      </w:r>
      <w:r w:rsidR="00DB4C51">
        <w:rPr>
          <w:lang w:eastAsia="en-GB"/>
        </w:rPr>
        <w:t>D.</w:t>
      </w:r>
      <w:r>
        <w:rPr>
          <w:lang w:eastAsia="en-GB"/>
        </w:rPr>
        <w:tab/>
      </w:r>
      <w:r w:rsidR="00DB4C51" w:rsidRPr="001C1888">
        <w:rPr>
          <w:lang w:val="es-EC" w:eastAsia="en-GB"/>
        </w:rPr>
        <w:t>Implementar debida</w:t>
      </w:r>
      <w:r w:rsidR="00DB4C51" w:rsidRPr="00DB4C51">
        <w:rPr>
          <w:lang w:val="es-EC" w:eastAsia="en-GB"/>
        </w:rPr>
        <w:t>mente el marco normativo,</w:t>
      </w:r>
      <w:r w:rsidR="00DB4C51" w:rsidRPr="001C1888">
        <w:rPr>
          <w:lang w:val="es-EC" w:eastAsia="en-GB"/>
        </w:rPr>
        <w:t xml:space="preserve"> jurisprudencial e institucional en todo el país </w:t>
      </w:r>
    </w:p>
    <w:p w14:paraId="6B7EB4DD" w14:textId="1782ED85" w:rsidR="00335D0C" w:rsidRDefault="00335D0C" w:rsidP="00335D0C">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Pr>
          <w:color w:val="000000"/>
        </w:rPr>
        <w:t>5</w:t>
      </w:r>
      <w:r w:rsidR="00A62862">
        <w:rPr>
          <w:color w:val="000000"/>
        </w:rPr>
        <w:t>7</w:t>
      </w:r>
      <w:r>
        <w:rPr>
          <w:color w:val="000000"/>
        </w:rPr>
        <w:t>.</w:t>
      </w:r>
      <w:r>
        <w:rPr>
          <w:color w:val="000000"/>
        </w:rPr>
        <w:tab/>
        <w:t>El éxito de cualquier política nacional en materia de desaparición forzada requiere que todas las autoridades federales</w:t>
      </w:r>
      <w:sdt>
        <w:sdtPr>
          <w:tag w:val="goog_rdk_5"/>
          <w:id w:val="-2052978803"/>
        </w:sdtPr>
        <w:sdtEndPr/>
        <w:sdtContent>
          <w:r>
            <w:rPr>
              <w:color w:val="000000"/>
            </w:rPr>
            <w:t>,</w:t>
          </w:r>
        </w:sdtContent>
      </w:sdt>
      <w:r>
        <w:rPr>
          <w:color w:val="000000"/>
        </w:rPr>
        <w:t xml:space="preserve"> estatales</w:t>
      </w:r>
      <w:sdt>
        <w:sdtPr>
          <w:tag w:val="goog_rdk_7"/>
          <w:id w:val="1700747057"/>
        </w:sdtPr>
        <w:sdtEndPr/>
        <w:sdtContent>
          <w:r>
            <w:rPr>
              <w:color w:val="000000"/>
            </w:rPr>
            <w:t xml:space="preserve"> y municipales</w:t>
          </w:r>
        </w:sdtContent>
      </w:sdt>
      <w:r>
        <w:rPr>
          <w:color w:val="000000"/>
        </w:rPr>
        <w:t xml:space="preserve"> aseguren la plena implementación de los marcos normativos, jurisprudenciales e institucionales. </w:t>
      </w:r>
      <w:r w:rsidR="00B05B58">
        <w:rPr>
          <w:color w:val="000000"/>
        </w:rPr>
        <w:t>A pesar de que</w:t>
      </w:r>
      <w:r>
        <w:rPr>
          <w:color w:val="000000"/>
        </w:rPr>
        <w:t xml:space="preserve"> el Comité resalta la riqueza de las herramientas existentes en México para abordar las desapariciones, le preocupan las graves deficiencias encontradas en su implementación. Además, los destacables esfuerzos de algunas autoridades encaminados a crear e implementar un marco normativo, jurisprudencial e institucional eficaz para prevenir y erradicar las desapariciones </w:t>
      </w:r>
      <w:r>
        <w:rPr>
          <w:color w:val="000000"/>
        </w:rPr>
        <w:lastRenderedPageBreak/>
        <w:t>se ven frecuentemente contrarrestados por decisiones incompatibles adoptadas por otras autoridades</w:t>
      </w:r>
      <w:r>
        <w:rPr>
          <w:color w:val="000000"/>
          <w:vertAlign w:val="superscript"/>
        </w:rPr>
        <w:footnoteReference w:id="30"/>
      </w:r>
      <w:r>
        <w:rPr>
          <w:color w:val="000000"/>
        </w:rPr>
        <w:t xml:space="preserve">. </w:t>
      </w:r>
    </w:p>
    <w:p w14:paraId="76ED73F3" w14:textId="423FC1B2" w:rsidR="00335D0C" w:rsidRDefault="00335D0C" w:rsidP="00335D0C">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Pr>
          <w:color w:val="000000"/>
        </w:rPr>
        <w:t>5</w:t>
      </w:r>
      <w:r w:rsidR="00A62862">
        <w:rPr>
          <w:color w:val="000000"/>
        </w:rPr>
        <w:t>8</w:t>
      </w:r>
      <w:r>
        <w:rPr>
          <w:color w:val="000000"/>
        </w:rPr>
        <w:t>.</w:t>
      </w:r>
      <w:r>
        <w:rPr>
          <w:color w:val="000000"/>
        </w:rPr>
        <w:tab/>
        <w:t>El Comité lamenta que después de cuatro años de la entrada en vigor de la Ley General</w:t>
      </w:r>
      <w:r w:rsidR="00486909">
        <w:rPr>
          <w:color w:val="000000"/>
        </w:rPr>
        <w:t xml:space="preserve"> en Materia de Desaparición Forzada de personas, Desaparición Cometida por Particulares </w:t>
      </w:r>
      <w:r>
        <w:rPr>
          <w:color w:val="000000"/>
        </w:rPr>
        <w:t xml:space="preserve">y </w:t>
      </w:r>
      <w:r w:rsidR="007E5B78">
        <w:rPr>
          <w:color w:val="000000"/>
        </w:rPr>
        <w:t>del Sistema Nacional de Búsqueda</w:t>
      </w:r>
      <w:r w:rsidR="00B05B58">
        <w:rPr>
          <w:color w:val="000000"/>
        </w:rPr>
        <w:t xml:space="preserve"> de Personas</w:t>
      </w:r>
      <w:r>
        <w:rPr>
          <w:color w:val="000000"/>
        </w:rPr>
        <w:t xml:space="preserve">, su reglamento todavía no haya sido publicado. La mayoría de </w:t>
      </w:r>
      <w:r w:rsidR="00597BD5">
        <w:rPr>
          <w:color w:val="000000"/>
        </w:rPr>
        <w:t xml:space="preserve">las </w:t>
      </w:r>
      <w:r>
        <w:rPr>
          <w:color w:val="000000"/>
        </w:rPr>
        <w:t xml:space="preserve">entidades federativas aún carecen de una política pública en materia de desaparición de personas. Algunas no han armonizado sus marcos legislativos con la Ley General ni han dotado a sus comisiones estatales de búsqueda con los recursos mínimos indispensables para cumplir con su labor. </w:t>
      </w:r>
      <w:r w:rsidR="007E5B78">
        <w:rPr>
          <w:color w:val="000000"/>
        </w:rPr>
        <w:t>Además,</w:t>
      </w:r>
      <w:r>
        <w:rPr>
          <w:color w:val="000000"/>
        </w:rPr>
        <w:t xml:space="preserve"> aún no se han creado un banco nacional de datos forenses, un registro nacional de personas fallecidas no identificadas y no reclamadas</w:t>
      </w:r>
      <w:r w:rsidR="007E5B78">
        <w:rPr>
          <w:color w:val="000000"/>
        </w:rPr>
        <w:t>,</w:t>
      </w:r>
      <w:r>
        <w:rPr>
          <w:color w:val="000000"/>
        </w:rPr>
        <w:t xml:space="preserve"> ni un registro nacional de fosas</w:t>
      </w:r>
      <w:r w:rsidR="00B05B58">
        <w:rPr>
          <w:color w:val="000000"/>
        </w:rPr>
        <w:t>.</w:t>
      </w:r>
      <w:r>
        <w:rPr>
          <w:color w:val="000000"/>
        </w:rPr>
        <w:t xml:space="preserve"> </w:t>
      </w:r>
      <w:r w:rsidR="007E6029">
        <w:rPr>
          <w:color w:val="000000"/>
        </w:rPr>
        <w:t>T</w:t>
      </w:r>
      <w:r>
        <w:rPr>
          <w:color w:val="000000"/>
        </w:rPr>
        <w:t>ampoco se ha emitido el Programa Nacional de Exhumaciones.</w:t>
      </w:r>
    </w:p>
    <w:p w14:paraId="0E862040" w14:textId="314AD75C" w:rsidR="00335D0C" w:rsidRDefault="00335D0C" w:rsidP="00335D0C">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Pr>
          <w:color w:val="000000"/>
        </w:rPr>
        <w:t>5</w:t>
      </w:r>
      <w:r w:rsidR="00A62862">
        <w:rPr>
          <w:color w:val="000000"/>
        </w:rPr>
        <w:t>9</w:t>
      </w:r>
      <w:r>
        <w:rPr>
          <w:color w:val="000000"/>
        </w:rPr>
        <w:t>.</w:t>
      </w:r>
      <w:r>
        <w:rPr>
          <w:color w:val="000000"/>
        </w:rPr>
        <w:tab/>
      </w:r>
      <w:r w:rsidR="007E5B78">
        <w:rPr>
          <w:color w:val="000000"/>
        </w:rPr>
        <w:t>A</w:t>
      </w:r>
      <w:r>
        <w:rPr>
          <w:color w:val="000000"/>
        </w:rPr>
        <w:t xml:space="preserve">l Comité </w:t>
      </w:r>
      <w:r w:rsidR="007E5B78">
        <w:rPr>
          <w:color w:val="000000"/>
        </w:rPr>
        <w:t xml:space="preserve">también </w:t>
      </w:r>
      <w:r>
        <w:rPr>
          <w:color w:val="000000"/>
        </w:rPr>
        <w:t xml:space="preserve">le preocupa que muchas de las herramientas disponibles sigan siendo poco conocidas y aplicadas. Pocos fiscales desarrollan el análisis de contexto y aplican los protocolos de búsqueda y de investigación. Y, lamentablemente, muy pocos jueces aplican el </w:t>
      </w:r>
      <w:r>
        <w:rPr>
          <w:i/>
          <w:color w:val="000000"/>
        </w:rPr>
        <w:t>habeas corpus</w:t>
      </w:r>
      <w:r>
        <w:rPr>
          <w:color w:val="000000"/>
        </w:rPr>
        <w:t xml:space="preserve"> o “amparo buscador”, previsto en la Constitución y la Ley de Amparo de 2013, que les faculta para ordenar a otra autoridad a dar información y presentar a la persona en su poder o trasladarse a los lugares donde presumiblemente se encontraría la víctima para recabar información de manera directa</w:t>
      </w:r>
      <w:r>
        <w:rPr>
          <w:color w:val="000000"/>
          <w:vertAlign w:val="superscript"/>
        </w:rPr>
        <w:footnoteReference w:id="31"/>
      </w:r>
      <w:r>
        <w:rPr>
          <w:color w:val="000000"/>
        </w:rPr>
        <w:t xml:space="preserve">. </w:t>
      </w:r>
    </w:p>
    <w:p w14:paraId="4A8FEB2D" w14:textId="05F84E75" w:rsidR="00D379FF" w:rsidRPr="009D7282" w:rsidRDefault="00A62862" w:rsidP="00D379FF">
      <w:pPr>
        <w:pBdr>
          <w:top w:val="nil"/>
          <w:left w:val="nil"/>
          <w:bottom w:val="nil"/>
          <w:right w:val="nil"/>
          <w:between w:val="nil"/>
        </w:pBdr>
        <w:tabs>
          <w:tab w:val="left" w:pos="1701"/>
          <w:tab w:val="left" w:pos="2268"/>
          <w:tab w:val="left" w:pos="2835"/>
        </w:tabs>
        <w:spacing w:after="120" w:line="240" w:lineRule="auto"/>
        <w:ind w:left="1134" w:right="1134"/>
        <w:jc w:val="both"/>
        <w:rPr>
          <w:color w:val="000000"/>
        </w:rPr>
      </w:pPr>
      <w:r>
        <w:rPr>
          <w:color w:val="000000"/>
        </w:rPr>
        <w:t>60</w:t>
      </w:r>
      <w:r w:rsidR="00335D0C">
        <w:rPr>
          <w:color w:val="000000"/>
        </w:rPr>
        <w:t>.</w:t>
      </w:r>
      <w:r w:rsidR="00335D0C">
        <w:rPr>
          <w:color w:val="000000"/>
        </w:rPr>
        <w:tab/>
        <w:t xml:space="preserve">La misma tendencia se refleja en la implementación del marco jurisprudencial. Así, a pesar de la decisión de la </w:t>
      </w:r>
      <w:sdt>
        <w:sdtPr>
          <w:tag w:val="goog_rdk_11"/>
          <w:id w:val="-972986002"/>
        </w:sdtPr>
        <w:sdtEndPr/>
        <w:sdtContent>
          <w:r w:rsidR="00335D0C">
            <w:rPr>
              <w:color w:val="000000"/>
            </w:rPr>
            <w:t>Suprema Corte de Justicia de la Nación</w:t>
          </w:r>
        </w:sdtContent>
      </w:sdt>
      <w:r w:rsidR="00335D0C">
        <w:rPr>
          <w:color w:val="000000"/>
        </w:rPr>
        <w:t xml:space="preserve"> de junio de 2021 que declara el carácter vinculante de las acciones urgentes </w:t>
      </w:r>
      <w:r w:rsidR="00335D0C" w:rsidRPr="009D7282">
        <w:rPr>
          <w:color w:val="000000"/>
        </w:rPr>
        <w:t>requeridas por el Comité, algunas autoridades siguen actuando en contra de este criterio</w:t>
      </w:r>
      <w:r w:rsidR="00335D0C" w:rsidRPr="009D7282">
        <w:rPr>
          <w:color w:val="000000"/>
          <w:vertAlign w:val="superscript"/>
        </w:rPr>
        <w:footnoteReference w:id="32"/>
      </w:r>
      <w:r w:rsidR="00335D0C" w:rsidRPr="009D7282">
        <w:rPr>
          <w:color w:val="000000"/>
        </w:rPr>
        <w:t xml:space="preserve">. </w:t>
      </w:r>
      <w:r w:rsidR="000A2ACC" w:rsidRPr="009D7282">
        <w:rPr>
          <w:color w:val="000000"/>
        </w:rPr>
        <w:t>E</w:t>
      </w:r>
      <w:r w:rsidR="007E5B78" w:rsidRPr="009D7282">
        <w:rPr>
          <w:color w:val="000000"/>
        </w:rPr>
        <w:t>l Comité lamenta constatar que</w:t>
      </w:r>
      <w:r w:rsidR="000A2ACC" w:rsidRPr="009D7282">
        <w:rPr>
          <w:color w:val="000000"/>
        </w:rPr>
        <w:t xml:space="preserve">, según la información recibida, </w:t>
      </w:r>
      <w:r w:rsidR="007E5B78" w:rsidRPr="009D7282">
        <w:rPr>
          <w:color w:val="000000"/>
        </w:rPr>
        <w:t>l</w:t>
      </w:r>
      <w:r w:rsidR="00265CFA" w:rsidRPr="009D7282">
        <w:rPr>
          <w:color w:val="000000"/>
        </w:rPr>
        <w:t xml:space="preserve">os dictámenes que han sido adoptados por </w:t>
      </w:r>
      <w:r w:rsidR="000A2ACC" w:rsidRPr="009D7282">
        <w:rPr>
          <w:color w:val="000000"/>
        </w:rPr>
        <w:t>otros</w:t>
      </w:r>
      <w:r w:rsidR="007E5B78" w:rsidRPr="009D7282">
        <w:rPr>
          <w:color w:val="000000"/>
        </w:rPr>
        <w:t xml:space="preserve"> órganos </w:t>
      </w:r>
      <w:r w:rsidR="00265CFA" w:rsidRPr="009D7282">
        <w:rPr>
          <w:color w:val="000000"/>
        </w:rPr>
        <w:t>de tratados de las Naciones Unidas con relación al tema de las desapariciones en México</w:t>
      </w:r>
      <w:r w:rsidR="007E5B78" w:rsidRPr="009D7282">
        <w:rPr>
          <w:color w:val="000000"/>
        </w:rPr>
        <w:t xml:space="preserve"> </w:t>
      </w:r>
      <w:r w:rsidR="00265CFA" w:rsidRPr="009D7282">
        <w:rPr>
          <w:color w:val="000000"/>
        </w:rPr>
        <w:t>(v</w:t>
      </w:r>
      <w:r w:rsidR="00DD46E4">
        <w:rPr>
          <w:color w:val="000000"/>
        </w:rPr>
        <w:t>éase</w:t>
      </w:r>
      <w:r w:rsidR="00265CFA" w:rsidRPr="009D7282">
        <w:rPr>
          <w:color w:val="000000"/>
        </w:rPr>
        <w:t xml:space="preserve"> en particular </w:t>
      </w:r>
      <w:r w:rsidR="007E5B78" w:rsidRPr="009D7282">
        <w:rPr>
          <w:color w:val="000000"/>
        </w:rPr>
        <w:t>el Comité de Derechos Humanos</w:t>
      </w:r>
      <w:r w:rsidR="007E5B78" w:rsidRPr="009D7282">
        <w:rPr>
          <w:rStyle w:val="Refdenotaalpie"/>
          <w:color w:val="000000"/>
        </w:rPr>
        <w:footnoteReference w:id="33"/>
      </w:r>
      <w:r w:rsidR="000A2ACC" w:rsidRPr="009D7282">
        <w:rPr>
          <w:color w:val="000000"/>
        </w:rPr>
        <w:t>)</w:t>
      </w:r>
      <w:r w:rsidR="007E5B78" w:rsidRPr="009D7282">
        <w:rPr>
          <w:color w:val="000000"/>
        </w:rPr>
        <w:t xml:space="preserve"> </w:t>
      </w:r>
      <w:r w:rsidR="00265CFA" w:rsidRPr="009D7282">
        <w:rPr>
          <w:color w:val="000000"/>
        </w:rPr>
        <w:t xml:space="preserve">todavía </w:t>
      </w:r>
      <w:r w:rsidR="007E5B78" w:rsidRPr="009D7282">
        <w:rPr>
          <w:color w:val="000000"/>
        </w:rPr>
        <w:t xml:space="preserve">no </w:t>
      </w:r>
      <w:r w:rsidR="000A2ACC" w:rsidRPr="009D7282">
        <w:rPr>
          <w:color w:val="000000"/>
        </w:rPr>
        <w:t xml:space="preserve">habrían </w:t>
      </w:r>
      <w:r w:rsidR="007E5B78" w:rsidRPr="009D7282">
        <w:rPr>
          <w:color w:val="000000"/>
        </w:rPr>
        <w:t xml:space="preserve">sido </w:t>
      </w:r>
      <w:r w:rsidR="000A2ACC" w:rsidRPr="009D7282">
        <w:rPr>
          <w:color w:val="000000"/>
        </w:rPr>
        <w:t xml:space="preserve">debidamente </w:t>
      </w:r>
      <w:r w:rsidR="008F4D0D" w:rsidRPr="009D7282">
        <w:rPr>
          <w:color w:val="000000"/>
        </w:rPr>
        <w:t>implementado</w:t>
      </w:r>
      <w:r w:rsidR="007E5B78" w:rsidRPr="009D7282">
        <w:rPr>
          <w:color w:val="000000"/>
        </w:rPr>
        <w:t>s</w:t>
      </w:r>
      <w:r w:rsidR="00265CFA" w:rsidRPr="009D7282">
        <w:rPr>
          <w:color w:val="000000"/>
        </w:rPr>
        <w:t xml:space="preserve"> por el Estado parte</w:t>
      </w:r>
      <w:r w:rsidR="007E5B78" w:rsidRPr="009D7282">
        <w:rPr>
          <w:color w:val="000000"/>
        </w:rPr>
        <w:t>.</w:t>
      </w:r>
    </w:p>
    <w:p w14:paraId="0E3DF278" w14:textId="3E4431C9" w:rsidR="00335D0C" w:rsidRDefault="00D80F09" w:rsidP="00335D0C">
      <w:pPr>
        <w:pBdr>
          <w:top w:val="nil"/>
          <w:left w:val="nil"/>
          <w:bottom w:val="nil"/>
          <w:right w:val="nil"/>
          <w:between w:val="nil"/>
        </w:pBdr>
        <w:tabs>
          <w:tab w:val="left" w:pos="1701"/>
          <w:tab w:val="left" w:pos="2268"/>
          <w:tab w:val="left" w:pos="2835"/>
        </w:tabs>
        <w:spacing w:after="120" w:line="240" w:lineRule="auto"/>
        <w:ind w:left="1134" w:right="1134"/>
        <w:jc w:val="both"/>
        <w:rPr>
          <w:color w:val="000000"/>
          <w:highlight w:val="green"/>
        </w:rPr>
      </w:pPr>
      <w:bookmarkStart w:id="10" w:name="_heading=h.1fob9te" w:colFirst="0" w:colLast="0"/>
      <w:bookmarkEnd w:id="10"/>
      <w:r w:rsidRPr="009D7282">
        <w:rPr>
          <w:color w:val="000000"/>
        </w:rPr>
        <w:t>6</w:t>
      </w:r>
      <w:r w:rsidR="00A62862">
        <w:rPr>
          <w:color w:val="000000"/>
        </w:rPr>
        <w:t>1</w:t>
      </w:r>
      <w:r w:rsidR="00335D0C" w:rsidRPr="009D7282">
        <w:rPr>
          <w:color w:val="000000"/>
        </w:rPr>
        <w:t>.</w:t>
      </w:r>
      <w:r w:rsidR="00335D0C" w:rsidRPr="009D7282">
        <w:rPr>
          <w:color w:val="000000"/>
        </w:rPr>
        <w:tab/>
        <w:t>El Comité acoge con beneplácito las iniciativas de</w:t>
      </w:r>
      <w:r w:rsidR="00335D0C">
        <w:rPr>
          <w:color w:val="000000"/>
        </w:rPr>
        <w:t xml:space="preserve"> capacitación desarrolladas por la</w:t>
      </w:r>
      <w:r w:rsidR="00486909" w:rsidRPr="00486909">
        <w:rPr>
          <w:color w:val="000000"/>
        </w:rPr>
        <w:t xml:space="preserve"> </w:t>
      </w:r>
      <w:r w:rsidR="00486909">
        <w:rPr>
          <w:color w:val="000000"/>
        </w:rPr>
        <w:t>Comisión Nacional de Búsqueda</w:t>
      </w:r>
      <w:r w:rsidR="00335D0C">
        <w:rPr>
          <w:color w:val="000000"/>
        </w:rPr>
        <w:t>, así como los programas de formación y acreditación, actualización y especialización implementados por el Servicio Profesional de Carrera de la Fiscalía, los centros de capacitación de las Fiscalías estatales, la Escuela Federal de Formación Judicial, algunas de las escuelas judiciales estatales y la Secretaría de Marina y la Secretaría de la Defensa Nacional. No obstante, estos programas no siempre incluyen específicamente el tema de las desapariciones, no se inscriben en el marco de una estrat</w:t>
      </w:r>
      <w:r w:rsidR="00335D0C" w:rsidRPr="00B453AB">
        <w:rPr>
          <w:color w:val="000000"/>
        </w:rPr>
        <w:t>egia global y coordinada</w:t>
      </w:r>
      <w:sdt>
        <w:sdtPr>
          <w:rPr>
            <w:color w:val="000000"/>
          </w:rPr>
          <w:tag w:val="goog_rdk_16"/>
          <w:id w:val="733902350"/>
        </w:sdtPr>
        <w:sdtEndPr/>
        <w:sdtContent>
          <w:r w:rsidR="00335D0C" w:rsidRPr="00B453AB">
            <w:rPr>
              <w:color w:val="000000"/>
            </w:rPr>
            <w:t>, suelen carecer de indicadores de impacto</w:t>
          </w:r>
        </w:sdtContent>
      </w:sdt>
      <w:r w:rsidR="00335D0C" w:rsidRPr="00B453AB">
        <w:rPr>
          <w:color w:val="000000"/>
        </w:rPr>
        <w:t xml:space="preserve"> y sus efectos no quedan </w:t>
      </w:r>
      <w:sdt>
        <w:sdtPr>
          <w:rPr>
            <w:color w:val="000000"/>
          </w:rPr>
          <w:tag w:val="goog_rdk_17"/>
          <w:id w:val="1653405957"/>
        </w:sdtPr>
        <w:sdtEndPr/>
        <w:sdtContent/>
      </w:sdt>
      <w:r w:rsidR="00335D0C" w:rsidRPr="00B453AB">
        <w:rPr>
          <w:color w:val="000000"/>
        </w:rPr>
        <w:t>claros.</w:t>
      </w:r>
      <w:r w:rsidR="00335D0C">
        <w:rPr>
          <w:color w:val="000000"/>
          <w:highlight w:val="green"/>
        </w:rPr>
        <w:t xml:space="preserve"> </w:t>
      </w:r>
    </w:p>
    <w:p w14:paraId="798BA641" w14:textId="74BDA174" w:rsidR="00335D0C" w:rsidRDefault="00D80F09" w:rsidP="00335D0C">
      <w:pPr>
        <w:pBdr>
          <w:top w:val="nil"/>
          <w:left w:val="nil"/>
          <w:bottom w:val="nil"/>
          <w:right w:val="nil"/>
          <w:between w:val="nil"/>
        </w:pBdr>
        <w:tabs>
          <w:tab w:val="left" w:pos="1701"/>
          <w:tab w:val="left" w:pos="2268"/>
          <w:tab w:val="left" w:pos="2835"/>
        </w:tabs>
        <w:spacing w:after="120" w:line="240" w:lineRule="auto"/>
        <w:ind w:left="1134" w:right="1134"/>
        <w:jc w:val="both"/>
        <w:rPr>
          <w:color w:val="000000"/>
        </w:rPr>
      </w:pPr>
      <w:r>
        <w:rPr>
          <w:color w:val="000000"/>
        </w:rPr>
        <w:t>6</w:t>
      </w:r>
      <w:r w:rsidR="00A62862">
        <w:rPr>
          <w:color w:val="000000"/>
        </w:rPr>
        <w:t>2</w:t>
      </w:r>
      <w:r w:rsidR="00335D0C">
        <w:rPr>
          <w:color w:val="000000"/>
        </w:rPr>
        <w:t>.</w:t>
      </w:r>
      <w:r w:rsidR="00335D0C">
        <w:rPr>
          <w:color w:val="000000"/>
        </w:rPr>
        <w:tab/>
        <w:t>El Comité también está preocupado por las informaciones recibidas sobre la falta de independencia y autonomía de la Comisión Nacional de los Derechos Humanos</w:t>
      </w:r>
      <w:r w:rsidR="00A72202" w:rsidRPr="00A72202">
        <w:rPr>
          <w:color w:val="000000"/>
        </w:rPr>
        <w:t xml:space="preserve"> </w:t>
      </w:r>
      <w:r w:rsidR="00A72202">
        <w:rPr>
          <w:color w:val="000000"/>
        </w:rPr>
        <w:t>y de las comisiones estatales</w:t>
      </w:r>
      <w:r w:rsidR="00335D0C">
        <w:rPr>
          <w:color w:val="000000"/>
        </w:rPr>
        <w:t xml:space="preserve">. Entre las alegaciones recibidas destaca la lentitud en resolver quejas, especialmente las presentadas contra la Guardia Nacional por violaciones de derechos humanos, incluyendo desapariciones forzadas; la decisión de no presentar acciones de inconstitucionalidad contra el Acuerdo Presidencial de Mayo de 2020, que mantiene y profundiza la militarización de la política de seguridad; y, en lo concerniente a las políticas de reparación, la pasividad frente a la eliminación de los fideicomisos y </w:t>
      </w:r>
      <w:sdt>
        <w:sdtPr>
          <w:tag w:val="goog_rdk_19"/>
          <w:id w:val="820779157"/>
        </w:sdtPr>
        <w:sdtEndPr/>
        <w:sdtContent>
          <w:r w:rsidR="00335D0C">
            <w:rPr>
              <w:color w:val="000000"/>
            </w:rPr>
            <w:t>el proyecto de</w:t>
          </w:r>
        </w:sdtContent>
      </w:sdt>
      <w:r w:rsidR="00335D0C">
        <w:rPr>
          <w:color w:val="000000"/>
        </w:rPr>
        <w:t xml:space="preserve"> reforma de la Ley General de Víctimas. Además, el Comité considera significativo que, al producirse la visita, no se encontrasen nombrados todos los integrantes del Consejo </w:t>
      </w:r>
      <w:r w:rsidR="00335D0C">
        <w:rPr>
          <w:color w:val="000000"/>
        </w:rPr>
        <w:lastRenderedPageBreak/>
        <w:t>Consultivo</w:t>
      </w:r>
      <w:sdt>
        <w:sdtPr>
          <w:tag w:val="goog_rdk_22"/>
          <w:id w:val="-666789090"/>
        </w:sdtPr>
        <w:sdtEndPr/>
        <w:sdtContent>
          <w:r w:rsidR="00335D0C">
            <w:rPr>
              <w:color w:val="000000"/>
            </w:rPr>
            <w:t xml:space="preserve"> de la Comisión Nacional</w:t>
          </w:r>
        </w:sdtContent>
      </w:sdt>
      <w:r w:rsidR="00335D0C">
        <w:rPr>
          <w:color w:val="000000"/>
        </w:rPr>
        <w:t>, pese a haber transcurrido dos años d</w:t>
      </w:r>
      <w:r w:rsidR="00486909">
        <w:rPr>
          <w:color w:val="000000"/>
        </w:rPr>
        <w:t xml:space="preserve">esde </w:t>
      </w:r>
      <w:r w:rsidR="00335D0C">
        <w:rPr>
          <w:color w:val="000000"/>
        </w:rPr>
        <w:t>el inicio de la nueva gestión</w:t>
      </w:r>
      <w:r w:rsidR="00335D0C">
        <w:rPr>
          <w:color w:val="000000"/>
          <w:sz w:val="18"/>
          <w:szCs w:val="18"/>
          <w:vertAlign w:val="superscript"/>
        </w:rPr>
        <w:footnoteReference w:id="34"/>
      </w:r>
      <w:sdt>
        <w:sdtPr>
          <w:tag w:val="goog_rdk_23"/>
          <w:id w:val="477046426"/>
        </w:sdtPr>
        <w:sdtEndPr/>
        <w:sdtContent>
          <w:r w:rsidR="00335D0C">
            <w:rPr>
              <w:color w:val="000000"/>
            </w:rPr>
            <w:t>, y que los consejos ciudadanos locales no se ha</w:t>
          </w:r>
          <w:r w:rsidR="00486909">
            <w:rPr>
              <w:color w:val="000000"/>
            </w:rPr>
            <w:t>ya</w:t>
          </w:r>
          <w:r w:rsidR="00335D0C">
            <w:rPr>
              <w:color w:val="000000"/>
            </w:rPr>
            <w:t>n establecido.</w:t>
          </w:r>
        </w:sdtContent>
      </w:sdt>
    </w:p>
    <w:p w14:paraId="7D760272" w14:textId="6070CD41" w:rsidR="00335D0C" w:rsidRPr="00C53E6E" w:rsidRDefault="00D80F09" w:rsidP="00A234DD">
      <w:pPr>
        <w:pStyle w:val="SingleTxtG"/>
        <w:rPr>
          <w:b/>
          <w:bCs/>
        </w:rPr>
      </w:pPr>
      <w:r>
        <w:t>6</w:t>
      </w:r>
      <w:r w:rsidR="00A62862">
        <w:t>3</w:t>
      </w:r>
      <w:r w:rsidR="00335D0C" w:rsidRPr="00335D0C">
        <w:t>.</w:t>
      </w:r>
      <w:r w:rsidR="00335D0C" w:rsidRPr="00335D0C">
        <w:tab/>
      </w:r>
      <w:r w:rsidR="00335D0C" w:rsidRPr="00C53E6E">
        <w:rPr>
          <w:b/>
          <w:bCs/>
        </w:rPr>
        <w:t>En vista de lo anterior, el Comité insta al Estado parte a adoptar e implementar el reglamento</w:t>
      </w:r>
      <w:sdt>
        <w:sdtPr>
          <w:rPr>
            <w:b/>
            <w:bCs/>
          </w:rPr>
          <w:tag w:val="goog_rdk_26"/>
          <w:id w:val="1321769259"/>
        </w:sdtPr>
        <w:sdtEndPr/>
        <w:sdtContent>
          <w:r w:rsidR="00335D0C" w:rsidRPr="00C53E6E">
            <w:rPr>
              <w:b/>
              <w:bCs/>
            </w:rPr>
            <w:t xml:space="preserve"> y todos los instrumentos pendientes</w:t>
          </w:r>
        </w:sdtContent>
      </w:sdt>
      <w:r w:rsidR="00335D0C" w:rsidRPr="00C53E6E">
        <w:rPr>
          <w:b/>
          <w:bCs/>
        </w:rPr>
        <w:t xml:space="preserve"> de la Ley General</w:t>
      </w:r>
      <w:sdt>
        <w:sdtPr>
          <w:rPr>
            <w:b/>
            <w:bCs/>
          </w:rPr>
          <w:tag w:val="goog_rdk_27"/>
          <w:id w:val="1896696515"/>
          <w:showingPlcHdr/>
        </w:sdtPr>
        <w:sdtEndPr/>
        <w:sdtContent>
          <w:r w:rsidR="00263CA5">
            <w:rPr>
              <w:b/>
              <w:bCs/>
            </w:rPr>
            <w:t xml:space="preserve">     </w:t>
          </w:r>
        </w:sdtContent>
      </w:sdt>
      <w:sdt>
        <w:sdtPr>
          <w:rPr>
            <w:b/>
            <w:bCs/>
          </w:rPr>
          <w:tag w:val="goog_rdk_28"/>
          <w:id w:val="928003765"/>
        </w:sdtPr>
        <w:sdtEndPr/>
        <w:sdtContent>
          <w:sdt>
            <w:sdtPr>
              <w:rPr>
                <w:b/>
                <w:bCs/>
              </w:rPr>
              <w:tag w:val="goog_rdk_29"/>
              <w:id w:val="2066206753"/>
            </w:sdtPr>
            <w:sdtEndPr/>
            <w:sdtContent/>
          </w:sdt>
        </w:sdtContent>
      </w:sdt>
      <w:r w:rsidR="00335D0C" w:rsidRPr="00C53E6E">
        <w:rPr>
          <w:b/>
          <w:bCs/>
        </w:rPr>
        <w:t>. Paralelamente, todas las entidades federativas deben adoptar e implementar un marco normativo e institucional que cumpla con ella</w:t>
      </w:r>
      <w:sdt>
        <w:sdtPr>
          <w:rPr>
            <w:b/>
            <w:bCs/>
          </w:rPr>
          <w:tag w:val="goog_rdk_30"/>
          <w:id w:val="264974426"/>
        </w:sdtPr>
        <w:sdtEndPr/>
        <w:sdtContent>
          <w:r w:rsidR="00335D0C" w:rsidRPr="00C53E6E">
            <w:rPr>
              <w:b/>
              <w:bCs/>
            </w:rPr>
            <w:t>, en consulta con los familiares de las personas desaparecidas</w:t>
          </w:r>
        </w:sdtContent>
      </w:sdt>
      <w:r w:rsidR="00335D0C" w:rsidRPr="00C53E6E">
        <w:rPr>
          <w:b/>
          <w:bCs/>
        </w:rPr>
        <w:t xml:space="preserve">. Para ello, las autoridades deben identificar y proveer los recursos necesarios para el funcionamiento de todas las instituciones involucradas en el tratamiento de las desapariciones en el ámbito federal y estatal y deben llevar a cabo procesos de selección y escrutinio estrictos del personal </w:t>
      </w:r>
      <w:sdt>
        <w:sdtPr>
          <w:rPr>
            <w:b/>
            <w:bCs/>
          </w:rPr>
          <w:tag w:val="goog_rdk_31"/>
          <w:id w:val="853996831"/>
        </w:sdtPr>
        <w:sdtEndPr/>
        <w:sdtContent/>
      </w:sdt>
      <w:r w:rsidR="00335D0C" w:rsidRPr="00C53E6E">
        <w:rPr>
          <w:b/>
          <w:bCs/>
        </w:rPr>
        <w:t>asignado.</w:t>
      </w:r>
    </w:p>
    <w:p w14:paraId="3348D2EA" w14:textId="52C53DA7" w:rsidR="00335D0C" w:rsidRPr="00C53E6E" w:rsidRDefault="00D80F09" w:rsidP="00A234DD">
      <w:pPr>
        <w:pStyle w:val="SingleTxtG"/>
        <w:rPr>
          <w:b/>
          <w:bCs/>
        </w:rPr>
      </w:pPr>
      <w:r>
        <w:t>6</w:t>
      </w:r>
      <w:r w:rsidR="00A62862">
        <w:t>4</w:t>
      </w:r>
      <w:r w:rsidR="00335D0C" w:rsidRPr="00335D0C">
        <w:t>.</w:t>
      </w:r>
      <w:r w:rsidR="00335D0C" w:rsidRPr="00335D0C">
        <w:tab/>
      </w:r>
      <w:r w:rsidR="00335D0C" w:rsidRPr="00C53E6E">
        <w:rPr>
          <w:b/>
          <w:bCs/>
        </w:rPr>
        <w:t>Además, la conformación o fortalecimiento de los equipos a cargo de los procesos de búsqueda, investigación, judicialización</w:t>
      </w:r>
      <w:r w:rsidR="00A234DD" w:rsidRPr="00C53E6E">
        <w:rPr>
          <w:b/>
          <w:bCs/>
        </w:rPr>
        <w:t xml:space="preserve">, </w:t>
      </w:r>
      <w:r w:rsidR="00335D0C" w:rsidRPr="00C53E6E">
        <w:rPr>
          <w:b/>
          <w:bCs/>
        </w:rPr>
        <w:t xml:space="preserve">reparación </w:t>
      </w:r>
      <w:sdt>
        <w:sdtPr>
          <w:rPr>
            <w:b/>
            <w:bCs/>
          </w:rPr>
          <w:tag w:val="goog_rdk_34"/>
          <w:id w:val="1043024764"/>
        </w:sdtPr>
        <w:sdtEndPr/>
        <w:sdtContent>
          <w:r w:rsidR="00335D0C" w:rsidRPr="00C53E6E">
            <w:rPr>
              <w:b/>
              <w:bCs/>
            </w:rPr>
            <w:t xml:space="preserve">y prevención </w:t>
          </w:r>
        </w:sdtContent>
      </w:sdt>
      <w:r w:rsidR="00335D0C" w:rsidRPr="00C53E6E">
        <w:rPr>
          <w:b/>
          <w:bCs/>
        </w:rPr>
        <w:t>de</w:t>
      </w:r>
      <w:r w:rsidR="00A234DD" w:rsidRPr="00C53E6E">
        <w:rPr>
          <w:b/>
          <w:bCs/>
        </w:rPr>
        <w:t xml:space="preserve"> </w:t>
      </w:r>
      <w:sdt>
        <w:sdtPr>
          <w:rPr>
            <w:b/>
            <w:bCs/>
          </w:rPr>
          <w:tag w:val="goog_rdk_36"/>
          <w:id w:val="-653908715"/>
        </w:sdtPr>
        <w:sdtEndPr/>
        <w:sdtContent>
          <w:r w:rsidR="00335D0C" w:rsidRPr="00C53E6E">
            <w:rPr>
              <w:b/>
              <w:bCs/>
            </w:rPr>
            <w:t>las</w:t>
          </w:r>
        </w:sdtContent>
      </w:sdt>
      <w:r w:rsidR="00335D0C" w:rsidRPr="00C53E6E">
        <w:rPr>
          <w:b/>
          <w:bCs/>
        </w:rPr>
        <w:t xml:space="preserve"> </w:t>
      </w:r>
      <w:sdt>
        <w:sdtPr>
          <w:rPr>
            <w:b/>
            <w:bCs/>
          </w:rPr>
          <w:tag w:val="goog_rdk_38"/>
          <w:id w:val="1819605848"/>
        </w:sdtPr>
        <w:sdtEndPr/>
        <w:sdtContent>
          <w:r w:rsidR="00335D0C" w:rsidRPr="00C53E6E">
            <w:rPr>
              <w:b/>
              <w:bCs/>
            </w:rPr>
            <w:t xml:space="preserve">desapariciones </w:t>
          </w:r>
        </w:sdtContent>
      </w:sdt>
      <w:r w:rsidR="00335D0C" w:rsidRPr="00C53E6E">
        <w:rPr>
          <w:b/>
          <w:bCs/>
        </w:rPr>
        <w:t xml:space="preserve">requieren la implementación inmediata de programas de formación especializada y continua, que permitan constituir y mantener la capacidad nacional que es necesaria para atender las desapariciones y luchar contra la impunidad. </w:t>
      </w:r>
    </w:p>
    <w:p w14:paraId="0BD02C75" w14:textId="2BD26F1A" w:rsidR="007E092F" w:rsidRDefault="00D80F09" w:rsidP="007E092F">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Pr>
          <w:color w:val="000000"/>
        </w:rPr>
        <w:t>6</w:t>
      </w:r>
      <w:r w:rsidR="00C53E6E">
        <w:rPr>
          <w:color w:val="000000"/>
        </w:rPr>
        <w:t>5</w:t>
      </w:r>
      <w:r w:rsidR="00335D0C">
        <w:rPr>
          <w:color w:val="000000"/>
        </w:rPr>
        <w:t>.</w:t>
      </w:r>
      <w:r w:rsidR="00335D0C">
        <w:rPr>
          <w:b/>
          <w:color w:val="000000"/>
        </w:rPr>
        <w:tab/>
        <w:t>El Estado parte debe desarrollar un programa de formación integral sobre las desapariciones, que contemple procesos de capacitación coordinados y continuos y asegure la apropiación de los marcos institucionales, jurisprudenciales y normativos nacionales e internacionales relacionados con las desapariciones y la lucha contra la impunidad. Estos programas deben promover el uso de las herramientas establecidas, tales como el Protocolo Homologado para la Búsqueda de Personas Desaparecidas y No Localizadas y el Protocolo Homologado de Investigación para los Delitos de Desaparición Forzada y Desaparición Cometida por Particulares; la Alerta AMBER; el Protocolo Alba; el Protocolo Adicional para la Búsqueda de Niñas, Niños y Adolescentes;</w:t>
      </w:r>
      <w:r w:rsidR="00EB5560">
        <w:rPr>
          <w:b/>
          <w:color w:val="000000"/>
        </w:rPr>
        <w:t xml:space="preserve"> y</w:t>
      </w:r>
      <w:r w:rsidR="00335D0C">
        <w:rPr>
          <w:b/>
          <w:color w:val="000000"/>
        </w:rPr>
        <w:t xml:space="preserve"> las guías para la búsqueda de personas, la búsqueda con perspectiva de género, el análisis de contexto en la fase de la búsqueda y para el uso del </w:t>
      </w:r>
      <w:r w:rsidR="00335D0C">
        <w:rPr>
          <w:b/>
          <w:i/>
          <w:color w:val="000000"/>
        </w:rPr>
        <w:t xml:space="preserve">habeas corpus </w:t>
      </w:r>
      <w:r w:rsidR="00335D0C">
        <w:rPr>
          <w:b/>
          <w:color w:val="000000"/>
        </w:rPr>
        <w:t>o amparo buscador.</w:t>
      </w:r>
    </w:p>
    <w:p w14:paraId="4C4648FD" w14:textId="0BD75915" w:rsidR="00335D0C" w:rsidRDefault="00335D0C" w:rsidP="00335D0C">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Pr>
          <w:color w:val="000000"/>
        </w:rPr>
        <w:t>6</w:t>
      </w:r>
      <w:r w:rsidR="00C53E6E">
        <w:rPr>
          <w:color w:val="000000"/>
        </w:rPr>
        <w:t>6</w:t>
      </w:r>
      <w:r>
        <w:rPr>
          <w:color w:val="000000"/>
        </w:rPr>
        <w:t>.</w:t>
      </w:r>
      <w:r>
        <w:rPr>
          <w:b/>
          <w:color w:val="000000"/>
        </w:rPr>
        <w:tab/>
        <w:t xml:space="preserve">Los programas deben fijar metas e indicadores destinados a medir el impacto de las capacitaciones, cursos de actualización y un seguimiento periódico de la implementación de los contenidos impartidos. </w:t>
      </w:r>
    </w:p>
    <w:p w14:paraId="3F6AEC80" w14:textId="2831A89E" w:rsidR="00335D0C" w:rsidRDefault="00335D0C" w:rsidP="00335D0C">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Pr>
          <w:color w:val="000000"/>
        </w:rPr>
        <w:t>6</w:t>
      </w:r>
      <w:r w:rsidR="00C53E6E">
        <w:rPr>
          <w:color w:val="000000"/>
        </w:rPr>
        <w:t>7</w:t>
      </w:r>
      <w:r>
        <w:rPr>
          <w:color w:val="000000"/>
        </w:rPr>
        <w:t>.</w:t>
      </w:r>
      <w:r>
        <w:rPr>
          <w:b/>
          <w:color w:val="000000"/>
        </w:rPr>
        <w:tab/>
        <w:t>Paralelamente, las instituciones involucradas en los procesos de búsqueda, investigación, judicialización de los casos</w:t>
      </w:r>
      <w:sdt>
        <w:sdtPr>
          <w:tag w:val="goog_rdk_39"/>
          <w:id w:val="-524783551"/>
        </w:sdtPr>
        <w:sdtEndPr/>
        <w:sdtContent>
          <w:r>
            <w:rPr>
              <w:b/>
              <w:color w:val="000000"/>
            </w:rPr>
            <w:t>,</w:t>
          </w:r>
        </w:sdtContent>
      </w:sdt>
      <w:r>
        <w:rPr>
          <w:b/>
          <w:color w:val="000000"/>
        </w:rPr>
        <w:t xml:space="preserve"> atención</w:t>
      </w:r>
      <w:sdt>
        <w:sdtPr>
          <w:tag w:val="goog_rdk_41"/>
          <w:id w:val="1828320329"/>
        </w:sdtPr>
        <w:sdtEndPr/>
        <w:sdtContent>
          <w:r>
            <w:rPr>
              <w:b/>
              <w:color w:val="000000"/>
            </w:rPr>
            <w:t>,</w:t>
          </w:r>
        </w:sdtContent>
      </w:sdt>
      <w:r>
        <w:rPr>
          <w:b/>
          <w:color w:val="000000"/>
        </w:rPr>
        <w:t xml:space="preserve"> reparación a las víctimas</w:t>
      </w:r>
      <w:sdt>
        <w:sdtPr>
          <w:tag w:val="goog_rdk_43"/>
          <w:id w:val="-161624628"/>
        </w:sdtPr>
        <w:sdtEndPr/>
        <w:sdtContent>
          <w:r>
            <w:rPr>
              <w:b/>
              <w:color w:val="000000"/>
            </w:rPr>
            <w:t xml:space="preserve"> y prevención de las desapariciones</w:t>
          </w:r>
        </w:sdtContent>
      </w:sdt>
      <w:r>
        <w:rPr>
          <w:b/>
          <w:color w:val="000000"/>
        </w:rPr>
        <w:t xml:space="preserve"> deben establecer planes de trabajo periódicos, detallados y coordinados, con metas claras, que aseguren la implementación de las herramientas disponibles, permitan abordar la carga laboral de forma estratégica y eficaz y sean objeto de seguimiento y mecanismos de rendición de cuenta</w:t>
      </w:r>
      <w:r w:rsidR="00486909">
        <w:rPr>
          <w:b/>
          <w:color w:val="000000"/>
        </w:rPr>
        <w:t>s</w:t>
      </w:r>
      <w:r>
        <w:rPr>
          <w:b/>
          <w:color w:val="000000"/>
        </w:rPr>
        <w:t>. La definición de estas metas se debe realizar tomando en cuenta las lecciones aprendidas y las buenas prácticas, tales como los procesos desarrollados por la Unidad Especial de Investigación y Litigación para el caso Ayotzinapa, o iniciativas notables de actores judiciales que han implementado de forma efectiva las herramientas disponibles.</w:t>
      </w:r>
    </w:p>
    <w:p w14:paraId="03FFB522" w14:textId="133AD432" w:rsidR="00335D0C" w:rsidRPr="009D7282" w:rsidRDefault="00335D0C" w:rsidP="00335D0C">
      <w:pPr>
        <w:pBdr>
          <w:top w:val="nil"/>
          <w:left w:val="nil"/>
          <w:bottom w:val="nil"/>
          <w:right w:val="nil"/>
          <w:between w:val="nil"/>
        </w:pBdr>
        <w:tabs>
          <w:tab w:val="left" w:pos="1701"/>
          <w:tab w:val="left" w:pos="2268"/>
          <w:tab w:val="left" w:pos="2835"/>
        </w:tabs>
        <w:spacing w:after="120" w:line="240" w:lineRule="auto"/>
        <w:ind w:left="1134" w:right="1134"/>
        <w:jc w:val="both"/>
      </w:pPr>
      <w:r>
        <w:rPr>
          <w:color w:val="000000"/>
        </w:rPr>
        <w:t>6</w:t>
      </w:r>
      <w:r w:rsidR="00C53E6E">
        <w:rPr>
          <w:color w:val="000000"/>
        </w:rPr>
        <w:t>8</w:t>
      </w:r>
      <w:r>
        <w:rPr>
          <w:color w:val="000000"/>
        </w:rPr>
        <w:t>.</w:t>
      </w:r>
      <w:r>
        <w:rPr>
          <w:b/>
          <w:color w:val="000000"/>
        </w:rPr>
        <w:tab/>
        <w:t xml:space="preserve">El Comité resalta la importancia de incluir </w:t>
      </w:r>
      <w:sdt>
        <w:sdtPr>
          <w:tag w:val="goog_rdk_44"/>
          <w:id w:val="1814443666"/>
        </w:sdtPr>
        <w:sdtEndPr/>
        <w:sdtContent>
          <w:r>
            <w:rPr>
              <w:b/>
              <w:color w:val="000000"/>
            </w:rPr>
            <w:t xml:space="preserve">y fomentar en los programas de las universidades la enseñanza, investigación y divulgación de temas ligados a las desapariciones de personas desde las diversas disciplinas del conocimiento. </w:t>
          </w:r>
        </w:sdtContent>
      </w:sdt>
      <w:sdt>
        <w:sdtPr>
          <w:tag w:val="goog_rdk_45"/>
          <w:id w:val="-1893879940"/>
        </w:sdtPr>
        <w:sdtEndPr/>
        <w:sdtContent>
          <w:sdt>
            <w:sdtPr>
              <w:tag w:val="goog_rdk_46"/>
              <w:id w:val="-1097944192"/>
            </w:sdtPr>
            <w:sdtEndPr/>
            <w:sdtContent/>
          </w:sdt>
        </w:sdtContent>
      </w:sdt>
    </w:p>
    <w:p w14:paraId="03D48989" w14:textId="5E019A83" w:rsidR="007E092F" w:rsidRDefault="007E092F" w:rsidP="007E092F">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sidRPr="009D7282">
        <w:rPr>
          <w:color w:val="000000"/>
        </w:rPr>
        <w:t>6</w:t>
      </w:r>
      <w:r w:rsidR="00C53E6E">
        <w:rPr>
          <w:color w:val="000000"/>
        </w:rPr>
        <w:t>9</w:t>
      </w:r>
      <w:r w:rsidRPr="009D7282">
        <w:rPr>
          <w:color w:val="000000"/>
        </w:rPr>
        <w:t>.</w:t>
      </w:r>
      <w:r w:rsidRPr="009D7282">
        <w:rPr>
          <w:b/>
          <w:color w:val="000000"/>
        </w:rPr>
        <w:tab/>
        <w:t xml:space="preserve">El Estado parte debe garantizar que todas las autoridades actúen en conformidad con los criterios establecidos por la decisión de la Suprema Corte de Justicia de junio de 2021 que declara el carácter vinculante de las acciones urgentes requeridas por el Comité. Además, debe instaurar mecanismos que garanticen la implementación efectiva de los dictámenes de los órganos de tratado de las Naciones Unidas y otros mecanismos internacionales de </w:t>
      </w:r>
      <w:r w:rsidR="00597BD5">
        <w:rPr>
          <w:b/>
          <w:color w:val="000000"/>
        </w:rPr>
        <w:t>d</w:t>
      </w:r>
      <w:r w:rsidRPr="009D7282">
        <w:rPr>
          <w:b/>
          <w:color w:val="000000"/>
        </w:rPr>
        <w:t xml:space="preserve">erechos </w:t>
      </w:r>
      <w:r w:rsidR="00597BD5">
        <w:rPr>
          <w:b/>
          <w:color w:val="000000"/>
        </w:rPr>
        <w:t>h</w:t>
      </w:r>
      <w:r w:rsidRPr="009D7282">
        <w:rPr>
          <w:b/>
          <w:color w:val="000000"/>
        </w:rPr>
        <w:t>umanos.</w:t>
      </w:r>
      <w:r>
        <w:rPr>
          <w:b/>
          <w:color w:val="000000"/>
        </w:rPr>
        <w:t xml:space="preserve"> </w:t>
      </w:r>
    </w:p>
    <w:sdt>
      <w:sdtPr>
        <w:tag w:val="goog_rdk_53"/>
        <w:id w:val="1927605510"/>
      </w:sdtPr>
      <w:sdtEndPr/>
      <w:sdtContent>
        <w:p w14:paraId="1683EC76" w14:textId="3C4268CF" w:rsidR="007F2641" w:rsidRDefault="00C53E6E" w:rsidP="007F2641">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rPr>
              <w:color w:val="000000"/>
            </w:rPr>
            <w:t>70</w:t>
          </w:r>
          <w:r w:rsidR="00335D0C">
            <w:rPr>
              <w:color w:val="000000"/>
            </w:rPr>
            <w:t>.</w:t>
          </w:r>
          <w:r w:rsidR="006B5133">
            <w:rPr>
              <w:color w:val="000000"/>
            </w:rPr>
            <w:tab/>
          </w:r>
          <w:r w:rsidR="00335D0C">
            <w:rPr>
              <w:b/>
              <w:color w:val="000000"/>
            </w:rPr>
            <w:t xml:space="preserve">El Comité considera necesario que el Estado parte </w:t>
          </w:r>
          <w:r w:rsidR="00265CFA">
            <w:rPr>
              <w:b/>
              <w:color w:val="000000"/>
            </w:rPr>
            <w:t>garantice</w:t>
          </w:r>
          <w:r w:rsidR="00335D0C">
            <w:rPr>
              <w:b/>
              <w:color w:val="000000"/>
            </w:rPr>
            <w:t xml:space="preserve"> que la Comisión Nacional de los Derechos Humanos</w:t>
          </w:r>
          <w:r w:rsidR="00335D0C">
            <w:rPr>
              <w:color w:val="000000"/>
            </w:rPr>
            <w:t xml:space="preserve"> </w:t>
          </w:r>
          <w:r w:rsidR="00335D0C">
            <w:rPr>
              <w:b/>
              <w:color w:val="000000"/>
            </w:rPr>
            <w:t>y las comisiones estatales de derechos humanos ejerzan sus funciones con total autonomía e independencia. Al respecto, la</w:t>
          </w:r>
          <w:sdt>
            <w:sdtPr>
              <w:tag w:val="goog_rdk_47"/>
              <w:id w:val="105403271"/>
              <w:showingPlcHdr/>
            </w:sdtPr>
            <w:sdtEndPr/>
            <w:sdtContent>
              <w:r w:rsidR="006B5133">
                <w:t xml:space="preserve">     </w:t>
              </w:r>
            </w:sdtContent>
          </w:sdt>
          <w:r w:rsidR="00335D0C">
            <w:rPr>
              <w:b/>
              <w:color w:val="000000"/>
            </w:rPr>
            <w:t xml:space="preserve"> </w:t>
          </w:r>
          <w:sdt>
            <w:sdtPr>
              <w:tag w:val="goog_rdk_49"/>
              <w:id w:val="1244226691"/>
            </w:sdtPr>
            <w:sdtEndPr/>
            <w:sdtContent>
              <w:r w:rsidR="00335D0C">
                <w:rPr>
                  <w:b/>
                  <w:color w:val="000000"/>
                </w:rPr>
                <w:t>Comisi</w:t>
              </w:r>
              <w:r w:rsidR="00597BD5">
                <w:rPr>
                  <w:b/>
                  <w:color w:val="000000"/>
                </w:rPr>
                <w:t>ón</w:t>
              </w:r>
              <w:r w:rsidR="00335D0C">
                <w:rPr>
                  <w:b/>
                  <w:color w:val="000000"/>
                </w:rPr>
                <w:t xml:space="preserve"> </w:t>
              </w:r>
            </w:sdtContent>
          </w:sdt>
          <w:r w:rsidR="00335D0C">
            <w:rPr>
              <w:b/>
              <w:color w:val="000000"/>
            </w:rPr>
            <w:t>Nacional de los Derechos Humanos</w:t>
          </w:r>
          <w:r w:rsidR="00335D0C">
            <w:rPr>
              <w:color w:val="000000"/>
            </w:rPr>
            <w:t xml:space="preserve"> </w:t>
          </w:r>
          <w:r w:rsidR="00597BD5">
            <w:rPr>
              <w:b/>
              <w:color w:val="000000"/>
            </w:rPr>
            <w:t xml:space="preserve">y las comisiones estatales </w:t>
          </w:r>
          <w:r w:rsidR="00335D0C">
            <w:rPr>
              <w:b/>
              <w:color w:val="000000"/>
            </w:rPr>
            <w:t>deberá</w:t>
          </w:r>
          <w:sdt>
            <w:sdtPr>
              <w:tag w:val="goog_rdk_51"/>
              <w:id w:val="-1005509547"/>
            </w:sdtPr>
            <w:sdtEndPr/>
            <w:sdtContent>
              <w:r w:rsidR="00335D0C">
                <w:rPr>
                  <w:b/>
                  <w:color w:val="000000"/>
                </w:rPr>
                <w:t>n</w:t>
              </w:r>
            </w:sdtContent>
          </w:sdt>
          <w:r w:rsidR="00335D0C">
            <w:rPr>
              <w:b/>
              <w:color w:val="000000"/>
            </w:rPr>
            <w:t xml:space="preserve"> fortalecer su capacidad de investigación, mejorar la gestión de todos los expedientes, brindar </w:t>
          </w:r>
          <w:r w:rsidR="00335D0C">
            <w:rPr>
              <w:b/>
              <w:color w:val="000000"/>
            </w:rPr>
            <w:lastRenderedPageBreak/>
            <w:t>atención a los casos particularmente complejos, optimizar el seguimiento de sus recomendaciones y, en particular, hacer uso efectivo de todas las atribuciones que le otorga la Constitución como organismo de protección, observancia, promoción, estudio y divulgación de los derechos humanos</w:t>
          </w:r>
          <w:r w:rsidR="007F2641">
            <w:rPr>
              <w:b/>
              <w:color w:val="000000"/>
            </w:rPr>
            <w:t>.</w:t>
          </w:r>
        </w:p>
        <w:p w14:paraId="05C17024" w14:textId="7174480C" w:rsidR="00335D0C" w:rsidRDefault="00D80F09" w:rsidP="007F2641">
          <w:pPr>
            <w:pBdr>
              <w:top w:val="nil"/>
              <w:left w:val="nil"/>
              <w:bottom w:val="nil"/>
              <w:right w:val="nil"/>
              <w:between w:val="nil"/>
            </w:pBdr>
            <w:tabs>
              <w:tab w:val="left" w:pos="1701"/>
              <w:tab w:val="left" w:pos="2268"/>
              <w:tab w:val="left" w:pos="2835"/>
            </w:tabs>
            <w:spacing w:after="120" w:line="240" w:lineRule="auto"/>
            <w:ind w:left="1134" w:right="1134"/>
            <w:jc w:val="both"/>
            <w:rPr>
              <w:b/>
              <w:color w:val="000000"/>
            </w:rPr>
          </w:pPr>
          <w:r>
            <w:t>7</w:t>
          </w:r>
          <w:r w:rsidR="00C53E6E">
            <w:t>1</w:t>
          </w:r>
          <w:r w:rsidR="00354C22">
            <w:t>.</w:t>
          </w:r>
          <w:r w:rsidR="00354C22">
            <w:tab/>
          </w:r>
          <w:sdt>
            <w:sdtPr>
              <w:tag w:val="goog_rdk_54"/>
              <w:id w:val="-1228597225"/>
            </w:sdtPr>
            <w:sdtEndPr/>
            <w:sdtContent>
              <w:r w:rsidR="00341A3C" w:rsidRPr="00BD4E6F">
                <w:rPr>
                  <w:b/>
                  <w:color w:val="000000"/>
                </w:rPr>
                <w:t>El Comité</w:t>
              </w:r>
              <w:r w:rsidR="00B716C7" w:rsidRPr="00BD4E6F">
                <w:rPr>
                  <w:b/>
                  <w:color w:val="000000"/>
                </w:rPr>
                <w:t xml:space="preserve"> recomienda que a la </w:t>
              </w:r>
              <w:r w:rsidR="00597BD5">
                <w:rPr>
                  <w:b/>
                  <w:color w:val="000000"/>
                </w:rPr>
                <w:t xml:space="preserve">mayor </w:t>
              </w:r>
              <w:r w:rsidR="00B716C7" w:rsidRPr="00BD4E6F">
                <w:rPr>
                  <w:b/>
                  <w:color w:val="000000"/>
                </w:rPr>
                <w:t xml:space="preserve">brevedad se constituyan los Consejos </w:t>
              </w:r>
              <w:r w:rsidR="00F463DA">
                <w:rPr>
                  <w:b/>
                  <w:color w:val="000000"/>
                </w:rPr>
                <w:t>C</w:t>
              </w:r>
              <w:r w:rsidR="00B716C7" w:rsidRPr="00BD4E6F">
                <w:rPr>
                  <w:b/>
                  <w:color w:val="000000"/>
                </w:rPr>
                <w:t>iudadanos locales que todavía no se han establecido</w:t>
              </w:r>
              <w:r w:rsidR="00341A3C" w:rsidRPr="00BD4E6F">
                <w:rPr>
                  <w:b/>
                  <w:color w:val="000000"/>
                </w:rPr>
                <w:t>. Además</w:t>
              </w:r>
              <w:r w:rsidR="00597BD5">
                <w:rPr>
                  <w:b/>
                  <w:color w:val="000000"/>
                </w:rPr>
                <w:t>,</w:t>
              </w:r>
              <w:r w:rsidR="00341A3C" w:rsidRPr="00BD4E6F">
                <w:rPr>
                  <w:b/>
                  <w:color w:val="000000"/>
                </w:rPr>
                <w:t xml:space="preserve"> el Estado parte debe </w:t>
              </w:r>
              <w:r w:rsidR="00E14B4C">
                <w:rPr>
                  <w:b/>
                  <w:color w:val="000000"/>
                </w:rPr>
                <w:t>tomar en consideración</w:t>
              </w:r>
              <w:r w:rsidR="00EE7443">
                <w:rPr>
                  <w:b/>
                  <w:color w:val="000000"/>
                </w:rPr>
                <w:t xml:space="preserve"> de forma debida</w:t>
              </w:r>
              <w:r w:rsidR="00341A3C" w:rsidRPr="00BD4E6F">
                <w:rPr>
                  <w:b/>
                  <w:color w:val="000000"/>
                </w:rPr>
                <w:t xml:space="preserve"> las recomendaciones emitidas por estos Consejos</w:t>
              </w:r>
              <w:r w:rsidR="00B716C7" w:rsidRPr="00BD4E6F">
                <w:rPr>
                  <w:b/>
                  <w:color w:val="000000"/>
                </w:rPr>
                <w:t>.</w:t>
              </w:r>
            </w:sdtContent>
          </w:sdt>
        </w:p>
      </w:sdtContent>
    </w:sdt>
    <w:p w14:paraId="30940227" w14:textId="77777777" w:rsidR="0091763F" w:rsidRPr="00C43B75" w:rsidRDefault="0091763F" w:rsidP="0091763F">
      <w:pPr>
        <w:pStyle w:val="SingleTxtG"/>
        <w:suppressAutoHyphens/>
        <w:spacing w:before="240" w:after="0"/>
        <w:jc w:val="center"/>
        <w:rPr>
          <w:u w:val="single"/>
        </w:rPr>
      </w:pPr>
      <w:r w:rsidRPr="00C43B75">
        <w:rPr>
          <w:u w:val="single"/>
        </w:rPr>
        <w:tab/>
      </w:r>
      <w:r w:rsidRPr="00C43B75">
        <w:rPr>
          <w:u w:val="single"/>
        </w:rPr>
        <w:tab/>
      </w:r>
      <w:r w:rsidRPr="00C43B75">
        <w:rPr>
          <w:u w:val="single"/>
        </w:rPr>
        <w:tab/>
      </w:r>
    </w:p>
    <w:sectPr w:rsidR="0091763F" w:rsidRPr="00C43B75" w:rsidSect="00126604">
      <w:headerReference w:type="even" r:id="rId13"/>
      <w:headerReference w:type="default" r:id="rId14"/>
      <w:footerReference w:type="even" r:id="rId15"/>
      <w:footerReference w:type="defaul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951A" w14:textId="77777777" w:rsidR="0043263B" w:rsidRDefault="0043263B">
      <w:pPr>
        <w:spacing w:line="240" w:lineRule="auto"/>
      </w:pPr>
      <w:r>
        <w:separator/>
      </w:r>
    </w:p>
  </w:endnote>
  <w:endnote w:type="continuationSeparator" w:id="0">
    <w:p w14:paraId="112D638B" w14:textId="77777777" w:rsidR="0043263B" w:rsidRDefault="0043263B">
      <w:pPr>
        <w:spacing w:line="240" w:lineRule="auto"/>
      </w:pPr>
      <w:r>
        <w:continuationSeparator/>
      </w:r>
    </w:p>
  </w:endnote>
  <w:endnote w:type="continuationNotice" w:id="1">
    <w:p w14:paraId="4F2EE515" w14:textId="77777777" w:rsidR="0043263B" w:rsidRDefault="004326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7E7F" w14:textId="51FC476F" w:rsidR="001872B1" w:rsidRPr="001A4396" w:rsidRDefault="001872B1"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4B6408">
      <w:rPr>
        <w:b/>
        <w:noProof/>
        <w:sz w:val="18"/>
      </w:rPr>
      <w:t>14</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0A50" w14:textId="5988B1C8" w:rsidR="001872B1" w:rsidRPr="001A4396" w:rsidRDefault="001872B1"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4B6408">
      <w:rPr>
        <w:b/>
        <w:noProof/>
        <w:sz w:val="18"/>
      </w:rPr>
      <w:t>13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11E0" w14:textId="13DA0388" w:rsidR="001872B1" w:rsidRPr="00640FA2" w:rsidRDefault="00640FA2" w:rsidP="00640FA2">
    <w:pPr>
      <w:pStyle w:val="Piedepgina"/>
      <w:tabs>
        <w:tab w:val="left" w:pos="6520"/>
        <w:tab w:val="right" w:pos="9638"/>
      </w:tabs>
      <w:spacing w:before="120" w:line="240" w:lineRule="auto"/>
      <w:rPr>
        <w:sz w:val="20"/>
      </w:rPr>
    </w:pPr>
    <w:proofErr w:type="spellStart"/>
    <w:r>
      <w:rPr>
        <w:sz w:val="20"/>
      </w:rPr>
      <w:t>GE.22</w:t>
    </w:r>
    <w:proofErr w:type="spellEnd"/>
    <w:r>
      <w:rPr>
        <w:sz w:val="20"/>
      </w:rPr>
      <w:t>-07313  (S)</w:t>
    </w:r>
    <w:bookmarkStart w:id="11" w:name="_GoBack"/>
    <w:bookmarkEnd w:id="11"/>
    <w:r>
      <w:rPr>
        <w:sz w:val="20"/>
      </w:rPr>
      <w:tab/>
    </w:r>
    <w:r w:rsidRPr="00640FA2">
      <w:rPr>
        <w:noProof/>
        <w:sz w:val="20"/>
        <w:lang w:val="fr-CH" w:eastAsia="zh-CN"/>
      </w:rPr>
      <w:drawing>
        <wp:inline distT="0" distB="0" distL="0" distR="0" wp14:anchorId="661A0FEB" wp14:editId="10E19EE3">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08088D6" wp14:editId="654F9259">
          <wp:extent cx="636905" cy="636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AE81" w14:textId="77777777" w:rsidR="0043263B" w:rsidRPr="006B5133" w:rsidRDefault="0043263B" w:rsidP="000A66C7">
      <w:pPr>
        <w:tabs>
          <w:tab w:val="right" w:pos="2155"/>
        </w:tabs>
        <w:spacing w:after="80" w:line="240" w:lineRule="auto"/>
        <w:ind w:left="680"/>
        <w:rPr>
          <w:u w:val="single"/>
        </w:rPr>
      </w:pPr>
      <w:r>
        <w:rPr>
          <w:u w:val="single"/>
        </w:rPr>
        <w:tab/>
      </w:r>
    </w:p>
  </w:footnote>
  <w:footnote w:type="continuationSeparator" w:id="0">
    <w:p w14:paraId="76BFDBB2" w14:textId="77777777" w:rsidR="0043263B" w:rsidRPr="006B5133" w:rsidRDefault="0043263B" w:rsidP="006B5133">
      <w:pPr>
        <w:tabs>
          <w:tab w:val="right" w:pos="2155"/>
        </w:tabs>
        <w:spacing w:after="80" w:line="240" w:lineRule="auto"/>
        <w:ind w:left="680"/>
        <w:rPr>
          <w:u w:val="single"/>
        </w:rPr>
      </w:pPr>
      <w:r>
        <w:rPr>
          <w:u w:val="single"/>
        </w:rPr>
        <w:tab/>
      </w:r>
    </w:p>
  </w:footnote>
  <w:footnote w:type="continuationNotice" w:id="1">
    <w:p w14:paraId="2390F877" w14:textId="77777777" w:rsidR="0043263B" w:rsidRDefault="0043263B">
      <w:pPr>
        <w:spacing w:line="240" w:lineRule="auto"/>
      </w:pPr>
    </w:p>
  </w:footnote>
  <w:footnote w:id="2">
    <w:p w14:paraId="59C57F1E" w14:textId="753B4993" w:rsidR="00891B37" w:rsidRPr="0006306E" w:rsidRDefault="00891B37" w:rsidP="00891B37">
      <w:pPr>
        <w:pStyle w:val="Textonotapie"/>
      </w:pPr>
      <w:r w:rsidRPr="0006306E">
        <w:rPr>
          <w:rStyle w:val="Refdenotaalpie"/>
        </w:rPr>
        <w:tab/>
      </w:r>
      <w:r w:rsidRPr="00925017">
        <w:rPr>
          <w:rStyle w:val="Refdenotaalpie"/>
          <w:sz w:val="20"/>
          <w:vertAlign w:val="baseline"/>
        </w:rPr>
        <w:t>*</w:t>
      </w:r>
      <w:r w:rsidRPr="0006306E">
        <w:rPr>
          <w:rStyle w:val="Refdenotaalpie"/>
          <w:sz w:val="20"/>
          <w:vertAlign w:val="baseline"/>
        </w:rPr>
        <w:tab/>
      </w:r>
      <w:r w:rsidRPr="007C273A">
        <w:rPr>
          <w:lang w:val="es-EC" w:eastAsia="zh-CN"/>
        </w:rPr>
        <w:t xml:space="preserve">El presente informe se debe leer en conjunto con </w:t>
      </w:r>
      <w:hyperlink r:id="rId1" w:history="1">
        <w:r w:rsidRPr="006B5133">
          <w:rPr>
            <w:rStyle w:val="Hipervnculo"/>
            <w:lang w:val="es-EC" w:eastAsia="zh-CN"/>
          </w:rPr>
          <w:t>CED/C/MEX/VR/1 (</w:t>
        </w:r>
        <w:proofErr w:type="spellStart"/>
        <w:r w:rsidR="00302F82" w:rsidRPr="006B5133">
          <w:rPr>
            <w:rStyle w:val="Hipervnculo"/>
            <w:lang w:val="es-EC" w:eastAsia="zh-CN"/>
          </w:rPr>
          <w:t>R</w:t>
        </w:r>
        <w:r w:rsidRPr="006B5133">
          <w:rPr>
            <w:rStyle w:val="Hipervnculo"/>
            <w:lang w:val="es-EC" w:eastAsia="zh-CN"/>
          </w:rPr>
          <w:t>ecommendations</w:t>
        </w:r>
        <w:proofErr w:type="spellEnd"/>
        <w:r w:rsidRPr="006B5133">
          <w:rPr>
            <w:rStyle w:val="Hipervnculo"/>
            <w:lang w:val="es-EC" w:eastAsia="zh-CN"/>
          </w:rPr>
          <w:t>)</w:t>
        </w:r>
      </w:hyperlink>
      <w:r>
        <w:rPr>
          <w:lang w:val="es-EC" w:eastAsia="zh-CN"/>
        </w:rPr>
        <w:t>.</w:t>
      </w:r>
    </w:p>
  </w:footnote>
  <w:footnote w:id="3">
    <w:p w14:paraId="08AA8C73" w14:textId="5F23E301" w:rsidR="00891B37" w:rsidRDefault="00891B37" w:rsidP="00891B37">
      <w:pPr>
        <w:pStyle w:val="Textonotapie"/>
        <w:rPr>
          <w:szCs w:val="18"/>
        </w:rPr>
      </w:pPr>
      <w:r w:rsidRPr="008F5C5A">
        <w:rPr>
          <w:rStyle w:val="Refdenotaalpie"/>
        </w:rPr>
        <w:tab/>
      </w:r>
      <w:r w:rsidRPr="008F5C5A">
        <w:rPr>
          <w:rStyle w:val="Refdenotaalpie"/>
          <w:sz w:val="20"/>
          <w:vertAlign w:val="baseline"/>
        </w:rPr>
        <w:t>**</w:t>
      </w:r>
      <w:r w:rsidRPr="008F5C5A">
        <w:rPr>
          <w:rStyle w:val="Refdenotaalpie"/>
          <w:sz w:val="20"/>
          <w:vertAlign w:val="baseline"/>
        </w:rPr>
        <w:tab/>
      </w:r>
      <w:r w:rsidRPr="008F5C5A">
        <w:rPr>
          <w:szCs w:val="18"/>
        </w:rPr>
        <w:t xml:space="preserve">Aprobado por el Comité en su </w:t>
      </w:r>
      <w:r>
        <w:rPr>
          <w:szCs w:val="18"/>
        </w:rPr>
        <w:t>22</w:t>
      </w:r>
      <w:r w:rsidR="00564662" w:rsidRPr="00564662">
        <w:rPr>
          <w:szCs w:val="18"/>
        </w:rPr>
        <w:t>º</w:t>
      </w:r>
      <w:r w:rsidRPr="008F5C5A">
        <w:rPr>
          <w:szCs w:val="18"/>
        </w:rPr>
        <w:t xml:space="preserve"> período de sesiones (28 de marzo </w:t>
      </w:r>
      <w:r>
        <w:rPr>
          <w:szCs w:val="18"/>
        </w:rPr>
        <w:t>a</w:t>
      </w:r>
      <w:r w:rsidRPr="008F5C5A">
        <w:rPr>
          <w:szCs w:val="18"/>
        </w:rPr>
        <w:t xml:space="preserve"> 8 de abril de 2022).</w:t>
      </w:r>
    </w:p>
    <w:p w14:paraId="11DAD67F" w14:textId="77777777" w:rsidR="00891B37" w:rsidRPr="0006306E" w:rsidRDefault="00891B37" w:rsidP="00891B37">
      <w:pPr>
        <w:pStyle w:val="Textonotapie"/>
      </w:pPr>
      <w:r>
        <w:rPr>
          <w:szCs w:val="18"/>
        </w:rPr>
        <w:tab/>
      </w:r>
      <w:r w:rsidRPr="00564662">
        <w:rPr>
          <w:sz w:val="20"/>
        </w:rPr>
        <w:t>***</w:t>
      </w:r>
      <w:r>
        <w:rPr>
          <w:b/>
          <w:bCs/>
          <w:sz w:val="20"/>
        </w:rPr>
        <w:tab/>
      </w:r>
      <w:r>
        <w:rPr>
          <w:szCs w:val="18"/>
        </w:rPr>
        <w:t>Los anexos al presente informe se encuentran disponibles en la página web del Comité.</w:t>
      </w:r>
    </w:p>
  </w:footnote>
  <w:footnote w:id="4">
    <w:p w14:paraId="3434A2F5" w14:textId="4E954210" w:rsidR="001872B1" w:rsidRPr="0067146B" w:rsidRDefault="001872B1">
      <w:pPr>
        <w:pStyle w:val="Textonotapie"/>
        <w:rPr>
          <w:lang w:val="es-EC"/>
        </w:rPr>
      </w:pPr>
      <w:r w:rsidRPr="008F5C5A">
        <w:tab/>
      </w:r>
      <w:r>
        <w:rPr>
          <w:rStyle w:val="Refdenotaalpie"/>
        </w:rPr>
        <w:footnoteRef/>
      </w:r>
      <w:r>
        <w:tab/>
      </w:r>
      <w:r w:rsidRPr="00310F28">
        <w:rPr>
          <w:lang w:val="es-EC"/>
        </w:rPr>
        <w:t>Juan Pablo Albán Alencastro, Juan José L</w:t>
      </w:r>
      <w:r w:rsidR="0024511F">
        <w:rPr>
          <w:lang w:val="es-EC"/>
        </w:rPr>
        <w:t>ó</w:t>
      </w:r>
      <w:r w:rsidRPr="00310F28">
        <w:rPr>
          <w:lang w:val="es-EC"/>
        </w:rPr>
        <w:t>pez</w:t>
      </w:r>
      <w:r w:rsidR="0024511F">
        <w:rPr>
          <w:lang w:val="es-EC"/>
        </w:rPr>
        <w:t xml:space="preserve"> Ortega</w:t>
      </w:r>
      <w:r w:rsidRPr="00310F28">
        <w:rPr>
          <w:lang w:val="es-EC"/>
        </w:rPr>
        <w:t xml:space="preserve">, </w:t>
      </w:r>
      <w:r>
        <w:rPr>
          <w:lang w:val="es-EC"/>
        </w:rPr>
        <w:t>Horacio Ravenna</w:t>
      </w:r>
      <w:r w:rsidR="0024511F">
        <w:rPr>
          <w:lang w:val="es-EC"/>
        </w:rPr>
        <w:t xml:space="preserve"> y</w:t>
      </w:r>
      <w:r>
        <w:rPr>
          <w:lang w:val="es-EC"/>
        </w:rPr>
        <w:t xml:space="preserve"> Carmen Rosa Villa Quintana.</w:t>
      </w:r>
    </w:p>
  </w:footnote>
  <w:footnote w:id="5">
    <w:p w14:paraId="625C722F" w14:textId="7E829571" w:rsidR="001872B1" w:rsidRPr="001C7291" w:rsidRDefault="001872B1" w:rsidP="00AF63D2">
      <w:pPr>
        <w:pStyle w:val="Textonotapie"/>
        <w:widowControl w:val="0"/>
        <w:suppressAutoHyphens/>
        <w:rPr>
          <w:lang w:val="fr-CH"/>
        </w:rPr>
      </w:pPr>
      <w:r w:rsidRPr="006B5133">
        <w:tab/>
      </w:r>
      <w:r>
        <w:rPr>
          <w:rStyle w:val="Refdenotaalpie"/>
        </w:rPr>
        <w:footnoteRef/>
      </w:r>
      <w:r w:rsidRPr="001C7291">
        <w:rPr>
          <w:lang w:val="fr-CH"/>
        </w:rPr>
        <w:tab/>
      </w:r>
      <w:proofErr w:type="spellStart"/>
      <w:r w:rsidRPr="001C7291">
        <w:rPr>
          <w:lang w:val="fr-CH"/>
        </w:rPr>
        <w:t>Véa</w:t>
      </w:r>
      <w:r>
        <w:rPr>
          <w:lang w:val="fr-CH"/>
        </w:rPr>
        <w:t>se</w:t>
      </w:r>
      <w:proofErr w:type="spellEnd"/>
      <w:r w:rsidRPr="001C7291">
        <w:rPr>
          <w:lang w:val="fr-CH"/>
        </w:rPr>
        <w:t xml:space="preserve"> </w:t>
      </w:r>
      <w:hyperlink r:id="rId2" w:history="1">
        <w:r w:rsidRPr="000A66C7">
          <w:rPr>
            <w:rStyle w:val="Hipervnculo"/>
            <w:lang w:val="fr-CH"/>
          </w:rPr>
          <w:t>https://www.ohchr.org/SP/NewsEvents/Pages/DisplayNews.aspx?NewsID=27877&amp;LangID=S</w:t>
        </w:r>
      </w:hyperlink>
      <w:r w:rsidRPr="001C7291">
        <w:rPr>
          <w:lang w:val="fr-CH"/>
        </w:rPr>
        <w:t>.</w:t>
      </w:r>
    </w:p>
  </w:footnote>
  <w:footnote w:id="6">
    <w:p w14:paraId="0F956578" w14:textId="4F40109E" w:rsidR="001872B1" w:rsidRPr="006B5133" w:rsidRDefault="001872B1" w:rsidP="00C43B75">
      <w:pPr>
        <w:pStyle w:val="Textonotapie"/>
        <w:widowControl w:val="0"/>
        <w:suppressAutoHyphens/>
        <w:rPr>
          <w:lang w:val="es-EC"/>
        </w:rPr>
      </w:pPr>
      <w:r w:rsidRPr="006B5133">
        <w:tab/>
      </w:r>
      <w:r>
        <w:rPr>
          <w:rStyle w:val="Refdenotaalpie"/>
        </w:rPr>
        <w:footnoteRef/>
      </w:r>
      <w:r w:rsidRPr="006B5133">
        <w:rPr>
          <w:lang w:val="es-EC"/>
        </w:rPr>
        <w:tab/>
      </w:r>
      <w:hyperlink r:id="rId3" w:history="1">
        <w:r w:rsidRPr="006B5133">
          <w:rPr>
            <w:rStyle w:val="Hipervnculo"/>
            <w:lang w:val="es-EC"/>
          </w:rPr>
          <w:t>CED/C/MEX/CO/1</w:t>
        </w:r>
      </w:hyperlink>
      <w:r w:rsidRPr="006B5133">
        <w:rPr>
          <w:lang w:val="es-EC"/>
        </w:rPr>
        <w:t xml:space="preserve"> y </w:t>
      </w:r>
      <w:hyperlink r:id="rId4" w:history="1">
        <w:r w:rsidRPr="006B5133">
          <w:rPr>
            <w:rStyle w:val="Hipervnculo"/>
            <w:lang w:val="es-EC"/>
          </w:rPr>
          <w:t>CED/C/MEX/</w:t>
        </w:r>
        <w:proofErr w:type="spellStart"/>
        <w:r w:rsidR="00B30E0A" w:rsidRPr="006B5133">
          <w:rPr>
            <w:rStyle w:val="Hipervnculo"/>
            <w:lang w:val="es-EC"/>
          </w:rPr>
          <w:t>O</w:t>
        </w:r>
        <w:r w:rsidRPr="006B5133">
          <w:rPr>
            <w:rStyle w:val="Hipervnculo"/>
            <w:lang w:val="es-EC"/>
          </w:rPr>
          <w:t>AI</w:t>
        </w:r>
        <w:proofErr w:type="spellEnd"/>
        <w:r w:rsidRPr="006B5133">
          <w:rPr>
            <w:rStyle w:val="Hipervnculo"/>
            <w:lang w:val="es-EC"/>
          </w:rPr>
          <w:t>/1</w:t>
        </w:r>
      </w:hyperlink>
      <w:r w:rsidRPr="006B5133">
        <w:rPr>
          <w:lang w:val="es-EC"/>
        </w:rPr>
        <w:t>.</w:t>
      </w:r>
    </w:p>
  </w:footnote>
  <w:footnote w:id="7">
    <w:p w14:paraId="716271C0" w14:textId="67CA5463" w:rsidR="001872B1" w:rsidRDefault="00DA35B1" w:rsidP="00EB7D9C">
      <w:pPr>
        <w:pStyle w:val="Textonotapie"/>
      </w:pPr>
      <w:r w:rsidRPr="006B5133">
        <w:rPr>
          <w:lang w:val="es-EC"/>
        </w:rPr>
        <w:tab/>
      </w:r>
      <w:r w:rsidR="001872B1">
        <w:rPr>
          <w:rStyle w:val="Refdenotaalpie"/>
        </w:rPr>
        <w:footnoteRef/>
      </w:r>
      <w:r>
        <w:tab/>
      </w:r>
      <w:r w:rsidR="001872B1">
        <w:t xml:space="preserve">Sentencia de 16 de junio de 2021, amparo en revisión 1077/2019, párr. 122. Disponible en </w:t>
      </w:r>
      <w:hyperlink r:id="rId5" w:history="1">
        <w:r w:rsidR="001872B1" w:rsidRPr="00DD100A">
          <w:rPr>
            <w:rStyle w:val="Hipervnculo"/>
          </w:rPr>
          <w:t>https://www.idheas.org.mx/wp-content/uploads/2021/07/VERSION-PUBLICA.pdf</w:t>
        </w:r>
      </w:hyperlink>
      <w:r w:rsidR="001872B1">
        <w:t>.</w:t>
      </w:r>
    </w:p>
  </w:footnote>
  <w:footnote w:id="8">
    <w:p w14:paraId="68B2C5B0" w14:textId="678F6A60" w:rsidR="001872B1" w:rsidRDefault="00DA35B1">
      <w:pPr>
        <w:pStyle w:val="Textonotapie"/>
      </w:pPr>
      <w:r>
        <w:tab/>
      </w:r>
      <w:r w:rsidR="001872B1">
        <w:rPr>
          <w:rStyle w:val="Refdenotaalpie"/>
        </w:rPr>
        <w:footnoteRef/>
      </w:r>
      <w:r>
        <w:tab/>
      </w:r>
      <w:r w:rsidR="001872B1" w:rsidRPr="00C43B75">
        <w:rPr>
          <w:i/>
          <w:iCs/>
        </w:rPr>
        <w:t>Ibid</w:t>
      </w:r>
      <w:r w:rsidR="001872B1">
        <w:t>., párr. 72.</w:t>
      </w:r>
    </w:p>
  </w:footnote>
  <w:footnote w:id="9">
    <w:p w14:paraId="2D56E35B" w14:textId="77777777" w:rsidR="001872B1" w:rsidRDefault="001872B1" w:rsidP="00925017">
      <w:pPr>
        <w:pStyle w:val="Textonotaalfinal"/>
      </w:pPr>
      <w:r w:rsidRPr="00613FA6">
        <w:tab/>
      </w:r>
      <w:r w:rsidRPr="00DD03D3">
        <w:rPr>
          <w:rStyle w:val="Refdenotaalpie"/>
        </w:rPr>
        <w:footnoteRef/>
      </w:r>
      <w:r w:rsidRPr="00DD03D3">
        <w:tab/>
        <w:t>1.706 corresponden al per</w:t>
      </w:r>
      <w:r w:rsidRPr="00630F7A">
        <w:t>í</w:t>
      </w:r>
      <w:r w:rsidRPr="00650023">
        <w:t>odo de 1964</w:t>
      </w:r>
      <w:r w:rsidRPr="00C43B75">
        <w:t xml:space="preserve"> a </w:t>
      </w:r>
      <w:r w:rsidRPr="00650023">
        <w:t>2005.</w:t>
      </w:r>
    </w:p>
  </w:footnote>
  <w:footnote w:id="10">
    <w:p w14:paraId="7A5F5A41" w14:textId="77777777" w:rsidR="001872B1" w:rsidRDefault="001872B1" w:rsidP="00925017">
      <w:pPr>
        <w:pStyle w:val="Textonotaalfinal"/>
      </w:pPr>
      <w:r w:rsidRPr="006B5133">
        <w:rPr>
          <w:lang w:val="es-EC"/>
        </w:rPr>
        <w:tab/>
      </w:r>
      <w:r>
        <w:rPr>
          <w:rStyle w:val="Refdenotaalpie"/>
        </w:rPr>
        <w:footnoteRef/>
      </w:r>
      <w:r>
        <w:tab/>
        <w:t>En algunas entidades federativas, la desaparición de mujeres supera ampliamente el promedio nacional (25 %), porcentaje que alcanza el 67 % en Campeche y más del 60 % en Chiapas, Tabasco y Yucatán (en su mayoría casos de niñas y adolescentes de 10 a 19 años).</w:t>
      </w:r>
    </w:p>
  </w:footnote>
  <w:footnote w:id="11">
    <w:p w14:paraId="37166C12" w14:textId="77777777" w:rsidR="001872B1" w:rsidRDefault="001872B1" w:rsidP="00925017">
      <w:pPr>
        <w:pStyle w:val="Textonotaalfinal"/>
      </w:pPr>
      <w:r>
        <w:tab/>
      </w:r>
      <w:r>
        <w:rPr>
          <w:rStyle w:val="Refdenotaalpie"/>
        </w:rPr>
        <w:footnoteRef/>
      </w:r>
      <w:r>
        <w:tab/>
        <w:t>De las más de 1.500 personas beneficiarias del Mecanismo de Protección para Defensores, el 70 % son defensoras de los derechos humanos y el 15 % se dedican a la búsqueda de personas desaparecidas.</w:t>
      </w:r>
    </w:p>
  </w:footnote>
  <w:footnote w:id="12">
    <w:p w14:paraId="723CBD23" w14:textId="373BB016" w:rsidR="001872B1" w:rsidRPr="006B5133" w:rsidRDefault="001872B1" w:rsidP="00925017">
      <w:pPr>
        <w:pStyle w:val="Textonotaalfinal"/>
        <w:rPr>
          <w:szCs w:val="18"/>
        </w:rPr>
      </w:pPr>
      <w:r>
        <w:tab/>
      </w:r>
      <w:r>
        <w:rPr>
          <w:rStyle w:val="Refdenotaalpie"/>
        </w:rPr>
        <w:footnoteRef/>
      </w:r>
      <w:r>
        <w:tab/>
      </w:r>
      <w:r w:rsidRPr="006B5133">
        <w:rPr>
          <w:szCs w:val="18"/>
        </w:rPr>
        <w:t>Según la Clasificación Mundial de la Libertad de Prensa 2021, de Reporteros sin Fronteras, México se ubica en el puesto 143 de 180 países. Véase</w:t>
      </w:r>
      <w:hyperlink r:id="rId6" w:history="1">
        <w:r w:rsidRPr="006B5133">
          <w:rPr>
            <w:rStyle w:val="Hipervnculo"/>
            <w:szCs w:val="18"/>
          </w:rPr>
          <w:t xml:space="preserve"> </w:t>
        </w:r>
      </w:hyperlink>
      <w:hyperlink r:id="rId7">
        <w:r w:rsidRPr="006B5133">
          <w:rPr>
            <w:color w:val="1155CC"/>
            <w:szCs w:val="18"/>
          </w:rPr>
          <w:t>https://</w:t>
        </w:r>
        <w:proofErr w:type="spellStart"/>
        <w:r w:rsidRPr="006B5133">
          <w:rPr>
            <w:color w:val="1155CC"/>
            <w:szCs w:val="18"/>
          </w:rPr>
          <w:t>rsf.org</w:t>
        </w:r>
        <w:proofErr w:type="spellEnd"/>
        <w:r w:rsidRPr="006B5133">
          <w:rPr>
            <w:color w:val="1155CC"/>
            <w:szCs w:val="18"/>
          </w:rPr>
          <w:t>/es/</w:t>
        </w:r>
        <w:proofErr w:type="spellStart"/>
        <w:r w:rsidRPr="006B5133">
          <w:rPr>
            <w:color w:val="1155CC"/>
            <w:szCs w:val="18"/>
          </w:rPr>
          <w:t>clasificacion</w:t>
        </w:r>
        <w:proofErr w:type="spellEnd"/>
      </w:hyperlink>
      <w:r w:rsidRPr="006B5133">
        <w:rPr>
          <w:szCs w:val="18"/>
        </w:rPr>
        <w:t xml:space="preserve">. Véase también </w:t>
      </w:r>
      <w:hyperlink r:id="rId8" w:history="1">
        <w:r w:rsidR="000A66C7" w:rsidRPr="006B5133">
          <w:rPr>
            <w:rStyle w:val="Hipervnculo"/>
            <w:szCs w:val="18"/>
          </w:rPr>
          <w:t>A/HRC/38/35/</w:t>
        </w:r>
        <w:proofErr w:type="spellStart"/>
        <w:r w:rsidR="000A66C7" w:rsidRPr="006B5133">
          <w:rPr>
            <w:rStyle w:val="Hipervnculo"/>
            <w:szCs w:val="18"/>
          </w:rPr>
          <w:t>Add.2</w:t>
        </w:r>
        <w:proofErr w:type="spellEnd"/>
      </w:hyperlink>
      <w:r w:rsidRPr="006B5133">
        <w:rPr>
          <w:szCs w:val="18"/>
        </w:rPr>
        <w:t>, párr. 46.</w:t>
      </w:r>
    </w:p>
  </w:footnote>
  <w:footnote w:id="13">
    <w:p w14:paraId="1F30D650" w14:textId="07DF1A7B" w:rsidR="001872B1" w:rsidRDefault="001872B1" w:rsidP="00925017">
      <w:pPr>
        <w:pStyle w:val="Textonotaalfinal"/>
      </w:pPr>
      <w:r>
        <w:tab/>
      </w:r>
      <w:r>
        <w:rPr>
          <w:rStyle w:val="Refdenotaalpie"/>
        </w:rPr>
        <w:footnoteRef/>
      </w:r>
      <w:r>
        <w:tab/>
      </w:r>
      <w:r w:rsidRPr="0074709F">
        <w:rPr>
          <w:i/>
        </w:rPr>
        <w:t xml:space="preserve">Yrusta </w:t>
      </w:r>
      <w:r>
        <w:rPr>
          <w:i/>
        </w:rPr>
        <w:t>y</w:t>
      </w:r>
      <w:r w:rsidRPr="0074709F">
        <w:rPr>
          <w:i/>
        </w:rPr>
        <w:t xml:space="preserve"> </w:t>
      </w:r>
      <w:r>
        <w:rPr>
          <w:i/>
        </w:rPr>
        <w:t>D</w:t>
      </w:r>
      <w:r w:rsidRPr="0074709F">
        <w:rPr>
          <w:i/>
        </w:rPr>
        <w:t xml:space="preserve">el Valle Yrusta </w:t>
      </w:r>
      <w:r>
        <w:rPr>
          <w:i/>
        </w:rPr>
        <w:t>c</w:t>
      </w:r>
      <w:r w:rsidRPr="0074709F">
        <w:rPr>
          <w:i/>
        </w:rPr>
        <w:t>. Argentina</w:t>
      </w:r>
      <w:r w:rsidRPr="0074709F">
        <w:t xml:space="preserve"> </w:t>
      </w:r>
      <w:r>
        <w:t>(</w:t>
      </w:r>
      <w:hyperlink r:id="rId9" w:history="1">
        <w:r w:rsidRPr="000A66C7">
          <w:rPr>
            <w:rStyle w:val="Hipervnculo"/>
          </w:rPr>
          <w:t>CED/C/10/D/1/2013</w:t>
        </w:r>
      </w:hyperlink>
      <w:r>
        <w:t>), párr. 10.3.</w:t>
      </w:r>
    </w:p>
  </w:footnote>
  <w:footnote w:id="14">
    <w:p w14:paraId="2F9A7270" w14:textId="77777777" w:rsidR="001872B1" w:rsidRDefault="001872B1" w:rsidP="00925017">
      <w:pPr>
        <w:pStyle w:val="Textonotaalfinal"/>
      </w:pPr>
      <w:r>
        <w:tab/>
      </w:r>
      <w:r>
        <w:rPr>
          <w:rStyle w:val="Refdenotaalpie"/>
        </w:rPr>
        <w:footnoteRef/>
      </w:r>
      <w:r>
        <w:tab/>
        <w:t>Estas alegaciones se refieren principalmente a hechos ocurridos en Jalisco, Michoacán</w:t>
      </w:r>
      <w:r w:rsidRPr="000E51A9">
        <w:t xml:space="preserve"> </w:t>
      </w:r>
      <w:r>
        <w:t>y</w:t>
      </w:r>
      <w:r w:rsidRPr="000E51A9">
        <w:t xml:space="preserve"> </w:t>
      </w:r>
      <w:r>
        <w:t>Veracruz.</w:t>
      </w:r>
    </w:p>
  </w:footnote>
  <w:footnote w:id="15">
    <w:p w14:paraId="5324EF14" w14:textId="5F139755" w:rsidR="001872B1" w:rsidRPr="006B5133" w:rsidRDefault="001872B1" w:rsidP="005B7AD8">
      <w:pPr>
        <w:pStyle w:val="Textonotaalfinal"/>
        <w:rPr>
          <w:szCs w:val="18"/>
        </w:rPr>
      </w:pPr>
      <w:r>
        <w:tab/>
      </w:r>
      <w:r>
        <w:rPr>
          <w:rStyle w:val="Refdenotaalpie"/>
        </w:rPr>
        <w:footnoteRef/>
      </w:r>
      <w:r w:rsidRPr="00C43B75">
        <w:rPr>
          <w:lang w:val="en-US"/>
        </w:rPr>
        <w:tab/>
      </w:r>
      <w:hyperlink r:id="rId10" w:history="1">
        <w:r w:rsidR="000A66C7" w:rsidRPr="006B5133">
          <w:rPr>
            <w:rStyle w:val="Hipervnculo"/>
            <w:szCs w:val="18"/>
          </w:rPr>
          <w:t>CED/C/MEX/CO/1</w:t>
        </w:r>
      </w:hyperlink>
      <w:r w:rsidRPr="006B5133">
        <w:rPr>
          <w:szCs w:val="18"/>
          <w:lang w:val="en-US"/>
        </w:rPr>
        <w:t xml:space="preserve">, </w:t>
      </w:r>
      <w:proofErr w:type="spellStart"/>
      <w:r w:rsidRPr="006B5133">
        <w:rPr>
          <w:szCs w:val="18"/>
          <w:lang w:val="en-US"/>
        </w:rPr>
        <w:t>párr</w:t>
      </w:r>
      <w:proofErr w:type="spellEnd"/>
      <w:r w:rsidRPr="006B5133">
        <w:rPr>
          <w:szCs w:val="18"/>
          <w:lang w:val="en-US"/>
        </w:rPr>
        <w:t xml:space="preserve">. </w:t>
      </w:r>
      <w:r w:rsidRPr="006B5133">
        <w:rPr>
          <w:szCs w:val="18"/>
        </w:rPr>
        <w:t xml:space="preserve">10; y </w:t>
      </w:r>
      <w:hyperlink r:id="rId11" w:history="1">
        <w:r w:rsidR="000A66C7" w:rsidRPr="006B5133">
          <w:rPr>
            <w:rStyle w:val="Hipervnculo"/>
            <w:szCs w:val="18"/>
          </w:rPr>
          <w:t>CED/C/MEX/</w:t>
        </w:r>
        <w:proofErr w:type="spellStart"/>
        <w:r w:rsidR="000A66C7" w:rsidRPr="006B5133">
          <w:rPr>
            <w:rStyle w:val="Hipervnculo"/>
            <w:szCs w:val="18"/>
          </w:rPr>
          <w:t>OAI</w:t>
        </w:r>
        <w:proofErr w:type="spellEnd"/>
        <w:r w:rsidR="000A66C7" w:rsidRPr="006B5133">
          <w:rPr>
            <w:rStyle w:val="Hipervnculo"/>
            <w:szCs w:val="18"/>
          </w:rPr>
          <w:t>/1</w:t>
        </w:r>
      </w:hyperlink>
      <w:r w:rsidRPr="006B5133">
        <w:rPr>
          <w:szCs w:val="18"/>
        </w:rPr>
        <w:t>, párr. 3.</w:t>
      </w:r>
    </w:p>
  </w:footnote>
  <w:footnote w:id="16">
    <w:p w14:paraId="29CB7ED7" w14:textId="08BA8808" w:rsidR="001872B1" w:rsidRDefault="001872B1" w:rsidP="00925017">
      <w:pPr>
        <w:pStyle w:val="Textonotaalfinal"/>
      </w:pPr>
      <w:r w:rsidRPr="000E51A9">
        <w:tab/>
      </w:r>
      <w:r w:rsidRPr="00630F7A">
        <w:rPr>
          <w:rStyle w:val="Refdenotaalpie"/>
        </w:rPr>
        <w:footnoteRef/>
      </w:r>
      <w:r w:rsidRPr="00630F7A">
        <w:tab/>
        <w:t xml:space="preserve">Informe de la </w:t>
      </w:r>
      <w:r w:rsidRPr="000E51A9">
        <w:t>Comisión</w:t>
      </w:r>
      <w:r>
        <w:t xml:space="preserve"> Nacional de Búsqueda al Comité contra la Desaparición Forzada, págs. 39 y</w:t>
      </w:r>
      <w:r w:rsidR="000A66C7">
        <w:t> </w:t>
      </w:r>
      <w:r>
        <w:t>40.</w:t>
      </w:r>
    </w:p>
  </w:footnote>
  <w:footnote w:id="17">
    <w:p w14:paraId="7AD1032F" w14:textId="0751FD79" w:rsidR="009F4661" w:rsidRPr="00913472" w:rsidRDefault="00030A39" w:rsidP="006B5133">
      <w:pPr>
        <w:pStyle w:val="Textonotaalfinal"/>
      </w:pPr>
      <w:r>
        <w:tab/>
      </w:r>
      <w:r w:rsidR="009F4661">
        <w:rPr>
          <w:rStyle w:val="Refdenotaalpie"/>
        </w:rPr>
        <w:footnoteRef/>
      </w:r>
      <w:r>
        <w:tab/>
      </w:r>
      <w:r w:rsidR="0045173D" w:rsidRPr="007B0FE8">
        <w:t>Movimiento por nuestros desaparecidos en México</w:t>
      </w:r>
      <w:r w:rsidR="0045173D">
        <w:t xml:space="preserve">, </w:t>
      </w:r>
      <w:hyperlink r:id="rId12" w:history="1">
        <w:r w:rsidR="00913472" w:rsidRPr="007B0FE8">
          <w:t>“La Crisis Forense en México: más de 52 mil personas fallecidas sin identificar”</w:t>
        </w:r>
      </w:hyperlink>
      <w:r w:rsidR="00913472" w:rsidRPr="007B0FE8">
        <w:t>, pág. 4</w:t>
      </w:r>
      <w:r>
        <w:t>.</w:t>
      </w:r>
      <w:r w:rsidR="0045173D">
        <w:t xml:space="preserve"> Disponible en </w:t>
      </w:r>
      <w:hyperlink r:id="rId13" w:history="1">
        <w:r w:rsidR="0045173D" w:rsidRPr="006B5133">
          <w:rPr>
            <w:rStyle w:val="Hipervnculo"/>
          </w:rPr>
          <w:t>https://movndmx.org/wp-content/uploads/2021/08/Informe-La-Crisis-Forense-en-Me%CC%81xico.pdf</w:t>
        </w:r>
      </w:hyperlink>
      <w:r w:rsidR="0045173D">
        <w:t>.</w:t>
      </w:r>
    </w:p>
  </w:footnote>
  <w:footnote w:id="18">
    <w:p w14:paraId="7ECDD28C" w14:textId="6F75CB65" w:rsidR="001872B1" w:rsidRPr="006B5133" w:rsidRDefault="009D7D59" w:rsidP="00630F7A">
      <w:pPr>
        <w:pStyle w:val="Textonotapie"/>
        <w:rPr>
          <w:szCs w:val="18"/>
        </w:rPr>
      </w:pPr>
      <w:r>
        <w:tab/>
      </w:r>
      <w:r w:rsidR="001872B1">
        <w:rPr>
          <w:rStyle w:val="Refdenotaalpie"/>
        </w:rPr>
        <w:footnoteRef/>
      </w:r>
      <w:r>
        <w:tab/>
      </w:r>
      <w:r w:rsidR="001872B1" w:rsidRPr="006B5133">
        <w:rPr>
          <w:szCs w:val="18"/>
        </w:rPr>
        <w:t xml:space="preserve">Contenidas en el presente informe y en </w:t>
      </w:r>
      <w:hyperlink r:id="rId14" w:history="1">
        <w:r w:rsidR="006B5133" w:rsidRPr="006B5133">
          <w:rPr>
            <w:rStyle w:val="Hipervnculo"/>
            <w:szCs w:val="18"/>
          </w:rPr>
          <w:t>CED/C/MEX/VR/1 (</w:t>
        </w:r>
        <w:proofErr w:type="spellStart"/>
        <w:r w:rsidR="006B5133" w:rsidRPr="006B5133">
          <w:rPr>
            <w:rStyle w:val="Hipervnculo"/>
            <w:szCs w:val="18"/>
          </w:rPr>
          <w:t>Recommendations</w:t>
        </w:r>
        <w:proofErr w:type="spellEnd"/>
        <w:r w:rsidR="006B5133" w:rsidRPr="006B5133">
          <w:rPr>
            <w:rStyle w:val="Hipervnculo"/>
            <w:szCs w:val="18"/>
          </w:rPr>
          <w:t>)</w:t>
        </w:r>
      </w:hyperlink>
      <w:r w:rsidR="001872B1" w:rsidRPr="006B5133">
        <w:rPr>
          <w:szCs w:val="18"/>
          <w:lang w:val="es-EC" w:eastAsia="zh-CN"/>
        </w:rPr>
        <w:t>.</w:t>
      </w:r>
    </w:p>
  </w:footnote>
  <w:footnote w:id="19">
    <w:p w14:paraId="31A0FBE8" w14:textId="1508C3A0" w:rsidR="001872B1" w:rsidRPr="007747B5" w:rsidRDefault="009D7D59" w:rsidP="001D10D2">
      <w:pPr>
        <w:pStyle w:val="Textonotaalfinal"/>
      </w:pPr>
      <w:r>
        <w:tab/>
      </w:r>
      <w:r w:rsidR="001872B1">
        <w:rPr>
          <w:rStyle w:val="Refdenotaalpie"/>
        </w:rPr>
        <w:footnoteRef/>
      </w:r>
      <w:r w:rsidR="001872B1">
        <w:tab/>
      </w:r>
      <w:hyperlink r:id="rId15" w:history="1">
        <w:r w:rsidR="001872B1" w:rsidRPr="000A66C7">
          <w:rPr>
            <w:rStyle w:val="Hipervnculo"/>
          </w:rPr>
          <w:t>A/69/56</w:t>
        </w:r>
      </w:hyperlink>
      <w:r w:rsidR="001872B1">
        <w:t xml:space="preserve">, anexo V, </w:t>
      </w:r>
      <w:proofErr w:type="spellStart"/>
      <w:r w:rsidR="001872B1">
        <w:t>párrs</w:t>
      </w:r>
      <w:proofErr w:type="spellEnd"/>
      <w:r w:rsidR="001872B1">
        <w:t xml:space="preserve">. 3 y 4; y Corte Interamericana de Derechos Humanos, </w:t>
      </w:r>
      <w:r w:rsidR="001872B1">
        <w:rPr>
          <w:i/>
        </w:rPr>
        <w:t xml:space="preserve">Rosendo Radilla vs. </w:t>
      </w:r>
      <w:r w:rsidR="001872B1" w:rsidRPr="007747B5">
        <w:rPr>
          <w:i/>
        </w:rPr>
        <w:t>México</w:t>
      </w:r>
      <w:r w:rsidR="001872B1" w:rsidRPr="007747B5">
        <w:t>, sentencia de 23 de noviembre de 2009, Serie C núm. 209, párrs.140 y ss.</w:t>
      </w:r>
    </w:p>
  </w:footnote>
  <w:footnote w:id="20">
    <w:p w14:paraId="07ECB479" w14:textId="0C459430" w:rsidR="001872B1" w:rsidRPr="006B5133" w:rsidRDefault="001872B1" w:rsidP="00C43B75">
      <w:pPr>
        <w:pStyle w:val="Textonotapie"/>
        <w:widowControl w:val="0"/>
        <w:suppressAutoHyphens/>
        <w:rPr>
          <w:szCs w:val="18"/>
          <w:lang w:val="en-GB"/>
        </w:rPr>
      </w:pPr>
      <w:r w:rsidRPr="006B5133">
        <w:rPr>
          <w:szCs w:val="18"/>
        </w:rPr>
        <w:tab/>
      </w:r>
      <w:r w:rsidRPr="006B5133">
        <w:rPr>
          <w:rStyle w:val="Refdenotaalpie"/>
          <w:szCs w:val="18"/>
        </w:rPr>
        <w:footnoteRef/>
      </w:r>
      <w:r w:rsidRPr="006B5133">
        <w:rPr>
          <w:szCs w:val="18"/>
          <w:lang w:val="en-US"/>
        </w:rPr>
        <w:tab/>
      </w:r>
      <w:hyperlink r:id="rId16" w:history="1">
        <w:r w:rsidR="000A66C7" w:rsidRPr="006B5133">
          <w:rPr>
            <w:rStyle w:val="Hipervnculo"/>
            <w:szCs w:val="18"/>
          </w:rPr>
          <w:t>CED/C/MEX/</w:t>
        </w:r>
        <w:proofErr w:type="spellStart"/>
        <w:r w:rsidR="000A66C7" w:rsidRPr="006B5133">
          <w:rPr>
            <w:rStyle w:val="Hipervnculo"/>
            <w:szCs w:val="18"/>
          </w:rPr>
          <w:t>VR.1</w:t>
        </w:r>
        <w:proofErr w:type="spellEnd"/>
        <w:r w:rsidR="000A66C7" w:rsidRPr="006B5133">
          <w:rPr>
            <w:rStyle w:val="Hipervnculo"/>
            <w:szCs w:val="18"/>
          </w:rPr>
          <w:t xml:space="preserve"> (</w:t>
        </w:r>
        <w:proofErr w:type="spellStart"/>
        <w:r w:rsidR="000A66C7" w:rsidRPr="006B5133">
          <w:rPr>
            <w:rStyle w:val="Hipervnculo"/>
            <w:szCs w:val="18"/>
          </w:rPr>
          <w:t>Recommendations</w:t>
        </w:r>
        <w:proofErr w:type="spellEnd"/>
        <w:r w:rsidR="000A66C7" w:rsidRPr="006B5133">
          <w:rPr>
            <w:rStyle w:val="Hipervnculo"/>
            <w:szCs w:val="18"/>
          </w:rPr>
          <w:t>)</w:t>
        </w:r>
      </w:hyperlink>
      <w:bookmarkStart w:id="5" w:name="_Hlk103157943"/>
      <w:r w:rsidRPr="006B5133">
        <w:rPr>
          <w:szCs w:val="18"/>
          <w:lang w:val="en-US"/>
        </w:rPr>
        <w:t xml:space="preserve">, párrs. </w:t>
      </w:r>
      <w:r w:rsidRPr="006B5133">
        <w:rPr>
          <w:szCs w:val="18"/>
          <w:lang w:val="en-GB"/>
        </w:rPr>
        <w:t>1 a 11</w:t>
      </w:r>
      <w:r w:rsidR="0014415B" w:rsidRPr="006B5133">
        <w:rPr>
          <w:szCs w:val="18"/>
          <w:lang w:val="en-GB"/>
        </w:rPr>
        <w:t>7</w:t>
      </w:r>
      <w:r w:rsidRPr="006B5133">
        <w:rPr>
          <w:szCs w:val="18"/>
          <w:lang w:val="en-GB"/>
        </w:rPr>
        <w:t xml:space="preserve">. </w:t>
      </w:r>
      <w:bookmarkEnd w:id="5"/>
    </w:p>
  </w:footnote>
  <w:footnote w:id="21">
    <w:p w14:paraId="08B2E273" w14:textId="14104CC9" w:rsidR="00484299" w:rsidRPr="001331E7" w:rsidRDefault="00484299" w:rsidP="002D3967">
      <w:pPr>
        <w:pStyle w:val="Textonotapie"/>
        <w:rPr>
          <w:sz w:val="24"/>
          <w:szCs w:val="24"/>
          <w:lang w:val="es-EC"/>
        </w:rPr>
      </w:pPr>
      <w:r>
        <w:rPr>
          <w:lang w:val="en-GB"/>
        </w:rPr>
        <w:tab/>
      </w:r>
      <w:r>
        <w:rPr>
          <w:rStyle w:val="Refdenotaalpie"/>
        </w:rPr>
        <w:footnoteRef/>
      </w:r>
      <w:r w:rsidRPr="006B5133">
        <w:tab/>
      </w:r>
      <w:r w:rsidR="00976F99" w:rsidRPr="006B5133">
        <w:t>Tribunal Europeo de Derechos Humanos</w:t>
      </w:r>
      <w:r w:rsidR="007747B5">
        <w:t>,</w:t>
      </w:r>
      <w:r w:rsidRPr="006B5133">
        <w:t xml:space="preserve"> </w:t>
      </w:r>
      <w:r w:rsidRPr="006B5133">
        <w:rPr>
          <w:i/>
        </w:rPr>
        <w:t>Taniş and others v. Turkey</w:t>
      </w:r>
      <w:r w:rsidRPr="006B5133">
        <w:t xml:space="preserve">, </w:t>
      </w:r>
      <w:r w:rsidR="00EA4326">
        <w:t>demanda</w:t>
      </w:r>
      <w:r w:rsidR="007747B5">
        <w:t> </w:t>
      </w:r>
      <w:r w:rsidRPr="006B5133">
        <w:t xml:space="preserve">65899/01, </w:t>
      </w:r>
      <w:r w:rsidR="003700F0" w:rsidRPr="001F4FEE">
        <w:t xml:space="preserve">2 de agosto de 2005, </w:t>
      </w:r>
      <w:r w:rsidR="00EA4326" w:rsidRPr="006B5133">
        <w:t>párrs.</w:t>
      </w:r>
      <w:r w:rsidRPr="006B5133">
        <w:t xml:space="preserve"> 206</w:t>
      </w:r>
      <w:r w:rsidR="00EA4326" w:rsidRPr="006B5133">
        <w:t xml:space="preserve"> a </w:t>
      </w:r>
      <w:r w:rsidRPr="006B5133">
        <w:t xml:space="preserve">210; </w:t>
      </w:r>
      <w:r w:rsidRPr="006B5133">
        <w:rPr>
          <w:i/>
        </w:rPr>
        <w:t xml:space="preserve">Er and others v. Turkey, </w:t>
      </w:r>
      <w:r w:rsidR="000D5740">
        <w:t xml:space="preserve">demanda </w:t>
      </w:r>
      <w:r w:rsidRPr="006B5133">
        <w:t xml:space="preserve">23016/04, </w:t>
      </w:r>
      <w:r w:rsidR="003700F0" w:rsidRPr="001F4FEE">
        <w:t xml:space="preserve">31 de julio de 2012, </w:t>
      </w:r>
      <w:r w:rsidR="006349D9">
        <w:t>párrs. </w:t>
      </w:r>
      <w:r w:rsidRPr="006B5133">
        <w:t>66</w:t>
      </w:r>
      <w:r w:rsidR="00E0447F">
        <w:t xml:space="preserve"> a </w:t>
      </w:r>
      <w:r w:rsidRPr="006B5133">
        <w:t xml:space="preserve">79; </w:t>
      </w:r>
      <w:r w:rsidRPr="006B5133">
        <w:rPr>
          <w:i/>
        </w:rPr>
        <w:t xml:space="preserve">Meryem Çelik and others v. Turkey, </w:t>
      </w:r>
      <w:r w:rsidR="006349D9">
        <w:t xml:space="preserve">demanda </w:t>
      </w:r>
      <w:r w:rsidRPr="006B5133">
        <w:t>3598/03,</w:t>
      </w:r>
      <w:r w:rsidR="003700F0" w:rsidRPr="003700F0">
        <w:t xml:space="preserve"> </w:t>
      </w:r>
      <w:r w:rsidR="003700F0" w:rsidRPr="001F4FEE">
        <w:t>16 de abril de 2013,</w:t>
      </w:r>
      <w:r w:rsidR="006349D9">
        <w:t xml:space="preserve"> pár</w:t>
      </w:r>
      <w:r w:rsidR="00B05B58">
        <w:t>r</w:t>
      </w:r>
      <w:r w:rsidR="006349D9">
        <w:t>s.</w:t>
      </w:r>
      <w:r w:rsidRPr="006B5133">
        <w:t xml:space="preserve"> 48</w:t>
      </w:r>
      <w:r w:rsidR="006349D9">
        <w:t xml:space="preserve"> a </w:t>
      </w:r>
      <w:r w:rsidRPr="006B5133">
        <w:t xml:space="preserve">60; </w:t>
      </w:r>
      <w:r w:rsidRPr="006B5133">
        <w:rPr>
          <w:i/>
        </w:rPr>
        <w:t>Imakayeva v. Russia</w:t>
      </w:r>
      <w:r w:rsidRPr="006B5133">
        <w:t xml:space="preserve">, </w:t>
      </w:r>
      <w:r w:rsidR="006349D9" w:rsidRPr="002A6799">
        <w:t xml:space="preserve">demanda </w:t>
      </w:r>
      <w:r w:rsidRPr="006B5133">
        <w:t xml:space="preserve">7615/02, </w:t>
      </w:r>
      <w:r w:rsidR="004279ED" w:rsidRPr="001F4FEE">
        <w:t>9 de noviembre de 2006</w:t>
      </w:r>
      <w:r w:rsidR="004279ED" w:rsidRPr="002A6799">
        <w:t xml:space="preserve">, </w:t>
      </w:r>
      <w:r w:rsidR="006349D9" w:rsidRPr="002A6799">
        <w:t xml:space="preserve">párrs. </w:t>
      </w:r>
      <w:r w:rsidRPr="006B5133">
        <w:t>139</w:t>
      </w:r>
      <w:r w:rsidR="006349D9" w:rsidRPr="002A6799">
        <w:t xml:space="preserve"> a </w:t>
      </w:r>
      <w:r w:rsidRPr="006B5133">
        <w:t>143;</w:t>
      </w:r>
      <w:r w:rsidR="007747B5" w:rsidRPr="002A6799">
        <w:t xml:space="preserve"> </w:t>
      </w:r>
      <w:r w:rsidRPr="006B5133">
        <w:rPr>
          <w:i/>
        </w:rPr>
        <w:t>Alikhanovy v</w:t>
      </w:r>
      <w:r w:rsidRPr="006B5133">
        <w:t xml:space="preserve">. </w:t>
      </w:r>
      <w:r w:rsidRPr="006B5133">
        <w:rPr>
          <w:i/>
        </w:rPr>
        <w:t xml:space="preserve">Russia, </w:t>
      </w:r>
      <w:r w:rsidR="0023200B">
        <w:t>demanda</w:t>
      </w:r>
      <w:r w:rsidRPr="006B5133">
        <w:t xml:space="preserve"> 17054/06, </w:t>
      </w:r>
      <w:r w:rsidR="004279ED" w:rsidRPr="001F4FEE">
        <w:t xml:space="preserve">28 </w:t>
      </w:r>
      <w:r w:rsidR="004279ED" w:rsidRPr="002A6799">
        <w:t>de</w:t>
      </w:r>
      <w:r w:rsidR="004279ED">
        <w:t xml:space="preserve"> agosto de</w:t>
      </w:r>
      <w:r w:rsidR="004279ED" w:rsidRPr="001F4FEE">
        <w:t xml:space="preserve"> 2018</w:t>
      </w:r>
      <w:r w:rsidR="004279ED">
        <w:t>,</w:t>
      </w:r>
      <w:r w:rsidR="004279ED" w:rsidRPr="001F4FEE">
        <w:rPr>
          <w:i/>
        </w:rPr>
        <w:t xml:space="preserve"> </w:t>
      </w:r>
      <w:r w:rsidR="0023200B">
        <w:t>pár</w:t>
      </w:r>
      <w:r w:rsidR="002F66B0">
        <w:t>r</w:t>
      </w:r>
      <w:r w:rsidR="0023200B">
        <w:t>s. </w:t>
      </w:r>
      <w:r w:rsidRPr="006B5133">
        <w:t>70</w:t>
      </w:r>
      <w:r w:rsidR="0023200B">
        <w:t xml:space="preserve"> a </w:t>
      </w:r>
      <w:r w:rsidRPr="006B5133">
        <w:t xml:space="preserve">75; </w:t>
      </w:r>
      <w:r w:rsidRPr="006B5133">
        <w:rPr>
          <w:i/>
        </w:rPr>
        <w:t>Tsakoyevy v. Russia,</w:t>
      </w:r>
      <w:r w:rsidRPr="006B5133">
        <w:t xml:space="preserve"> </w:t>
      </w:r>
      <w:r w:rsidR="00446487">
        <w:t>demanda</w:t>
      </w:r>
      <w:r w:rsidR="007747B5">
        <w:t> </w:t>
      </w:r>
      <w:r w:rsidRPr="006B5133">
        <w:t xml:space="preserve">16397/07, </w:t>
      </w:r>
      <w:r w:rsidR="004279ED" w:rsidRPr="001F4FEE">
        <w:t xml:space="preserve">2 de octubre de 2018, </w:t>
      </w:r>
      <w:r w:rsidR="00446487">
        <w:t>párrs.</w:t>
      </w:r>
      <w:r w:rsidRPr="006B5133">
        <w:t xml:space="preserve"> 115</w:t>
      </w:r>
      <w:r w:rsidR="00446487">
        <w:t xml:space="preserve"> a </w:t>
      </w:r>
      <w:r w:rsidRPr="006B5133">
        <w:t>121.</w:t>
      </w:r>
      <w:r w:rsidR="006349D9">
        <w:t xml:space="preserve"> Véase también </w:t>
      </w:r>
      <w:r>
        <w:rPr>
          <w:lang w:val="es-EC"/>
        </w:rPr>
        <w:t>Comité de Derechos Humanos</w:t>
      </w:r>
      <w:r w:rsidRPr="00B7531E">
        <w:rPr>
          <w:lang w:val="es-EC"/>
        </w:rPr>
        <w:t xml:space="preserve">, </w:t>
      </w:r>
      <w:r w:rsidRPr="001331E7">
        <w:rPr>
          <w:i/>
          <w:lang w:val="es-EC"/>
        </w:rPr>
        <w:t>Molina Arias</w:t>
      </w:r>
      <w:r w:rsidR="0023200B">
        <w:rPr>
          <w:i/>
          <w:lang w:val="es-EC"/>
        </w:rPr>
        <w:t xml:space="preserve"> et al. c</w:t>
      </w:r>
      <w:r w:rsidRPr="001331E7">
        <w:rPr>
          <w:i/>
          <w:lang w:val="es-EC"/>
        </w:rPr>
        <w:t>. Colombia</w:t>
      </w:r>
      <w:r w:rsidR="0023200B">
        <w:rPr>
          <w:i/>
          <w:lang w:val="es-EC"/>
        </w:rPr>
        <w:t xml:space="preserve"> </w:t>
      </w:r>
      <w:r w:rsidR="0023200B" w:rsidRPr="006B5133">
        <w:rPr>
          <w:iCs/>
          <w:lang w:val="es-EC"/>
        </w:rPr>
        <w:t>(</w:t>
      </w:r>
      <w:proofErr w:type="spellStart"/>
      <w:r w:rsidR="001125F6">
        <w:fldChar w:fldCharType="begin"/>
      </w:r>
      <w:r w:rsidR="001125F6">
        <w:instrText xml:space="preserve"> HYPERLINK "https://undocs.org/es/CCPR/C/114/D/2134/2012" </w:instrText>
      </w:r>
      <w:r w:rsidR="001125F6">
        <w:fldChar w:fldCharType="separate"/>
      </w:r>
      <w:r w:rsidR="0023200B" w:rsidRPr="006B5133">
        <w:rPr>
          <w:rStyle w:val="Hipervnculo"/>
          <w:iCs/>
          <w:lang w:val="es-EC"/>
        </w:rPr>
        <w:t>CCPR</w:t>
      </w:r>
      <w:proofErr w:type="spellEnd"/>
      <w:r w:rsidR="0023200B" w:rsidRPr="006B5133">
        <w:rPr>
          <w:rStyle w:val="Hipervnculo"/>
          <w:iCs/>
          <w:lang w:val="es-EC"/>
        </w:rPr>
        <w:t>/C/114/D/2134/2012</w:t>
      </w:r>
      <w:r w:rsidR="001125F6">
        <w:rPr>
          <w:rStyle w:val="Hipervnculo"/>
          <w:iCs/>
          <w:lang w:val="es-EC"/>
        </w:rPr>
        <w:fldChar w:fldCharType="end"/>
      </w:r>
      <w:r w:rsidR="0023200B">
        <w:rPr>
          <w:lang w:val="es-EC"/>
        </w:rPr>
        <w:t>)</w:t>
      </w:r>
      <w:r w:rsidR="00942C26">
        <w:rPr>
          <w:lang w:val="es-EC"/>
        </w:rPr>
        <w:t xml:space="preserve"> y</w:t>
      </w:r>
      <w:r>
        <w:rPr>
          <w:lang w:val="es-EC"/>
        </w:rPr>
        <w:t xml:space="preserve"> </w:t>
      </w:r>
      <w:r w:rsidRPr="00B7531E">
        <w:rPr>
          <w:i/>
          <w:lang w:val="es-EC" w:eastAsia="ja-JP"/>
        </w:rPr>
        <w:t>Padilla García</w:t>
      </w:r>
      <w:r w:rsidR="00942C26">
        <w:rPr>
          <w:i/>
          <w:lang w:val="es-EC" w:eastAsia="ja-JP"/>
        </w:rPr>
        <w:t xml:space="preserve"> et al.</w:t>
      </w:r>
      <w:r w:rsidRPr="00B7531E">
        <w:rPr>
          <w:i/>
          <w:lang w:val="es-EC" w:eastAsia="ja-JP"/>
        </w:rPr>
        <w:t xml:space="preserve"> </w:t>
      </w:r>
      <w:r w:rsidR="00942C26">
        <w:rPr>
          <w:i/>
          <w:lang w:val="es-EC" w:eastAsia="ja-JP"/>
        </w:rPr>
        <w:t>c</w:t>
      </w:r>
      <w:r w:rsidRPr="00B7531E">
        <w:rPr>
          <w:i/>
          <w:lang w:val="es-EC" w:eastAsia="ja-JP"/>
        </w:rPr>
        <w:t>. M</w:t>
      </w:r>
      <w:r w:rsidR="00942C26">
        <w:rPr>
          <w:i/>
          <w:lang w:val="es-EC" w:eastAsia="ja-JP"/>
        </w:rPr>
        <w:t xml:space="preserve">éxico </w:t>
      </w:r>
      <w:r w:rsidR="00942C26" w:rsidRPr="006B5133">
        <w:rPr>
          <w:iCs/>
          <w:lang w:val="es-EC" w:eastAsia="ja-JP"/>
        </w:rPr>
        <w:t>(</w:t>
      </w:r>
      <w:proofErr w:type="spellStart"/>
      <w:r w:rsidR="001125F6">
        <w:fldChar w:fldCharType="begin"/>
      </w:r>
      <w:r w:rsidR="001125F6">
        <w:instrText xml:space="preserve"> HYPERLINK "https://undocs.org/es/CCPR/C/126/D/2750/2016" </w:instrText>
      </w:r>
      <w:r w:rsidR="001125F6">
        <w:fldChar w:fldCharType="separate"/>
      </w:r>
      <w:r w:rsidR="00942C26" w:rsidRPr="006B5133">
        <w:rPr>
          <w:rStyle w:val="Hipervnculo"/>
          <w:iCs/>
          <w:lang w:val="es-EC" w:eastAsia="ja-JP"/>
        </w:rPr>
        <w:t>CCPR</w:t>
      </w:r>
      <w:proofErr w:type="spellEnd"/>
      <w:r w:rsidR="00942C26" w:rsidRPr="006B5133">
        <w:rPr>
          <w:rStyle w:val="Hipervnculo"/>
          <w:iCs/>
          <w:lang w:val="es-EC" w:eastAsia="ja-JP"/>
        </w:rPr>
        <w:t>/C/126/D/2750/2016</w:t>
      </w:r>
      <w:r w:rsidR="001125F6">
        <w:rPr>
          <w:rStyle w:val="Hipervnculo"/>
          <w:iCs/>
          <w:lang w:val="es-EC" w:eastAsia="ja-JP"/>
        </w:rPr>
        <w:fldChar w:fldCharType="end"/>
      </w:r>
      <w:r w:rsidR="00942C26" w:rsidRPr="006B5133">
        <w:rPr>
          <w:iCs/>
          <w:lang w:val="es-EC" w:eastAsia="ja-JP"/>
        </w:rPr>
        <w:t>)</w:t>
      </w:r>
      <w:r w:rsidRPr="00B7531E">
        <w:rPr>
          <w:lang w:val="es-EC" w:eastAsia="ja-JP"/>
        </w:rPr>
        <w:t xml:space="preserve">; </w:t>
      </w:r>
      <w:r w:rsidRPr="00B7531E">
        <w:rPr>
          <w:i/>
          <w:lang w:val="es-EC"/>
        </w:rPr>
        <w:t xml:space="preserve">Valdez Cantú </w:t>
      </w:r>
      <w:r w:rsidR="00942C26">
        <w:rPr>
          <w:i/>
          <w:lang w:val="es-EC"/>
        </w:rPr>
        <w:t>et al.</w:t>
      </w:r>
      <w:r w:rsidRPr="00B7531E">
        <w:rPr>
          <w:i/>
          <w:lang w:val="es-EC"/>
        </w:rPr>
        <w:t xml:space="preserve"> </w:t>
      </w:r>
      <w:r w:rsidR="00942C26">
        <w:rPr>
          <w:i/>
          <w:lang w:val="es-EC"/>
        </w:rPr>
        <w:t>c</w:t>
      </w:r>
      <w:r w:rsidRPr="00B7531E">
        <w:rPr>
          <w:i/>
          <w:lang w:val="es-EC"/>
        </w:rPr>
        <w:t>. M</w:t>
      </w:r>
      <w:r w:rsidR="00942C26">
        <w:rPr>
          <w:i/>
          <w:lang w:val="es-EC"/>
        </w:rPr>
        <w:t>é</w:t>
      </w:r>
      <w:r w:rsidRPr="00B7531E">
        <w:rPr>
          <w:i/>
          <w:lang w:val="es-EC"/>
        </w:rPr>
        <w:t>xico</w:t>
      </w:r>
      <w:r w:rsidRPr="00B7531E">
        <w:rPr>
          <w:lang w:val="es-EC"/>
        </w:rPr>
        <w:t xml:space="preserve"> </w:t>
      </w:r>
      <w:r w:rsidR="00942C26">
        <w:rPr>
          <w:lang w:val="es-EC"/>
        </w:rPr>
        <w:t>(</w:t>
      </w:r>
      <w:proofErr w:type="spellStart"/>
      <w:r w:rsidR="001125F6">
        <w:fldChar w:fldCharType="begin"/>
      </w:r>
      <w:r w:rsidR="001125F6">
        <w:instrText xml:space="preserve"> HYPERLINK "https://undocs.org/es/CCPR/C/127/D/2766/2016" </w:instrText>
      </w:r>
      <w:r w:rsidR="001125F6">
        <w:fldChar w:fldCharType="separate"/>
      </w:r>
      <w:r w:rsidR="00942C26" w:rsidRPr="006B5133">
        <w:rPr>
          <w:rStyle w:val="Hipervnculo"/>
          <w:lang w:val="es-EC"/>
        </w:rPr>
        <w:t>CCPR</w:t>
      </w:r>
      <w:proofErr w:type="spellEnd"/>
      <w:r w:rsidR="00942C26" w:rsidRPr="006B5133">
        <w:rPr>
          <w:rStyle w:val="Hipervnculo"/>
          <w:lang w:val="es-EC"/>
        </w:rPr>
        <w:t>/C/127/D/2766/2016</w:t>
      </w:r>
      <w:r w:rsidR="001125F6">
        <w:rPr>
          <w:rStyle w:val="Hipervnculo"/>
          <w:lang w:val="es-EC"/>
        </w:rPr>
        <w:fldChar w:fldCharType="end"/>
      </w:r>
      <w:r w:rsidR="00942C26">
        <w:rPr>
          <w:lang w:val="es-EC"/>
        </w:rPr>
        <w:t>)</w:t>
      </w:r>
      <w:r w:rsidRPr="00B7531E">
        <w:rPr>
          <w:lang w:val="es-EC"/>
        </w:rPr>
        <w:t>.</w:t>
      </w:r>
      <w:r>
        <w:rPr>
          <w:lang w:val="es-EC"/>
        </w:rPr>
        <w:t xml:space="preserve"> </w:t>
      </w:r>
      <w:r w:rsidR="00942C26">
        <w:rPr>
          <w:lang w:val="es-EC"/>
        </w:rPr>
        <w:t xml:space="preserve">Véase también </w:t>
      </w:r>
      <w:r w:rsidR="00942C26" w:rsidRPr="00DA7D36">
        <w:t>Corte Interamericana de Derechos Humanos</w:t>
      </w:r>
      <w:r w:rsidRPr="001331E7">
        <w:rPr>
          <w:lang w:val="es-EC"/>
        </w:rPr>
        <w:t xml:space="preserve">, </w:t>
      </w:r>
      <w:r w:rsidR="00942C26" w:rsidRPr="000B54AA">
        <w:rPr>
          <w:i/>
          <w:iCs/>
        </w:rPr>
        <w:t>Masacre de Pueblo Bello vs. Colombia</w:t>
      </w:r>
      <w:r w:rsidR="00942C26">
        <w:t>, sentencia de 31 de enero de 2006, Serie C núm. 140, párr. 123</w:t>
      </w:r>
      <w:r w:rsidRPr="001331E7">
        <w:rPr>
          <w:lang w:val="es-EC"/>
        </w:rPr>
        <w:t xml:space="preserve">; </w:t>
      </w:r>
      <w:r w:rsidRPr="001331E7">
        <w:rPr>
          <w:i/>
          <w:lang w:val="es-EC"/>
        </w:rPr>
        <w:t xml:space="preserve">González </w:t>
      </w:r>
      <w:r w:rsidR="00942C26">
        <w:rPr>
          <w:i/>
          <w:lang w:val="es-EC"/>
        </w:rPr>
        <w:t>y otras</w:t>
      </w:r>
      <w:r w:rsidRPr="001331E7">
        <w:rPr>
          <w:i/>
          <w:lang w:val="es-EC"/>
        </w:rPr>
        <w:t xml:space="preserve"> (</w:t>
      </w:r>
      <w:r w:rsidR="006B5133">
        <w:rPr>
          <w:i/>
          <w:lang w:val="es-EC"/>
        </w:rPr>
        <w:t>“</w:t>
      </w:r>
      <w:r w:rsidR="00942C26">
        <w:rPr>
          <w:i/>
          <w:lang w:val="es-EC"/>
        </w:rPr>
        <w:t>Campo Algodonero</w:t>
      </w:r>
      <w:r w:rsidR="006B5133">
        <w:rPr>
          <w:i/>
          <w:lang w:val="es-EC"/>
        </w:rPr>
        <w:t>”</w:t>
      </w:r>
      <w:r w:rsidRPr="001331E7">
        <w:rPr>
          <w:i/>
          <w:lang w:val="es-EC"/>
        </w:rPr>
        <w:t>) v</w:t>
      </w:r>
      <w:r w:rsidR="00942C26">
        <w:rPr>
          <w:i/>
          <w:lang w:val="es-EC"/>
        </w:rPr>
        <w:t>s</w:t>
      </w:r>
      <w:r w:rsidRPr="001331E7">
        <w:rPr>
          <w:i/>
          <w:lang w:val="es-EC"/>
        </w:rPr>
        <w:t>. M</w:t>
      </w:r>
      <w:r w:rsidR="00942C26">
        <w:rPr>
          <w:i/>
          <w:lang w:val="es-EC"/>
        </w:rPr>
        <w:t>é</w:t>
      </w:r>
      <w:r w:rsidRPr="001331E7">
        <w:rPr>
          <w:i/>
          <w:lang w:val="es-EC"/>
        </w:rPr>
        <w:t xml:space="preserve">xico, </w:t>
      </w:r>
      <w:r>
        <w:rPr>
          <w:lang w:val="es-EC"/>
        </w:rPr>
        <w:t xml:space="preserve">sentencia de 16 </w:t>
      </w:r>
      <w:r w:rsidR="00942C26">
        <w:rPr>
          <w:lang w:val="es-EC"/>
        </w:rPr>
        <w:t>de noviembre de</w:t>
      </w:r>
      <w:r>
        <w:rPr>
          <w:lang w:val="es-EC"/>
        </w:rPr>
        <w:t xml:space="preserve"> 2009, </w:t>
      </w:r>
      <w:r w:rsidR="00942C26">
        <w:rPr>
          <w:lang w:val="es-EC"/>
        </w:rPr>
        <w:t>Serie C núm. 205, párrs.</w:t>
      </w:r>
      <w:r w:rsidRPr="001331E7">
        <w:rPr>
          <w:lang w:val="es-EC"/>
        </w:rPr>
        <w:t xml:space="preserve"> 280</w:t>
      </w:r>
      <w:r w:rsidR="00942C26">
        <w:rPr>
          <w:lang w:val="es-EC"/>
        </w:rPr>
        <w:t xml:space="preserve"> a </w:t>
      </w:r>
      <w:r w:rsidRPr="001331E7">
        <w:rPr>
          <w:lang w:val="es-EC"/>
        </w:rPr>
        <w:t>283;</w:t>
      </w:r>
      <w:r w:rsidR="00942C26">
        <w:rPr>
          <w:lang w:val="es-EC"/>
        </w:rPr>
        <w:t xml:space="preserve"> y</w:t>
      </w:r>
      <w:r w:rsidRPr="001331E7">
        <w:rPr>
          <w:lang w:val="es-EC"/>
        </w:rPr>
        <w:t xml:space="preserve"> </w:t>
      </w:r>
      <w:r w:rsidR="00942C26" w:rsidRPr="000B54AA">
        <w:rPr>
          <w:i/>
          <w:iCs/>
        </w:rPr>
        <w:t>Velásquez Paiz y otros vs. Guatemala</w:t>
      </w:r>
      <w:r w:rsidR="00942C26">
        <w:t xml:space="preserve">, sentencia de 19 de noviembre de 2015, Serie C núm. 307, </w:t>
      </w:r>
      <w:r w:rsidR="00942C26" w:rsidRPr="00C86E33">
        <w:t>párr.</w:t>
      </w:r>
      <w:r w:rsidR="00942C26">
        <w:t xml:space="preserve"> 109.</w:t>
      </w:r>
    </w:p>
  </w:footnote>
  <w:footnote w:id="22">
    <w:p w14:paraId="75DA759B" w14:textId="505E832D" w:rsidR="001872B1" w:rsidRPr="006B5133" w:rsidRDefault="001872B1">
      <w:pPr>
        <w:pStyle w:val="Textonotapie"/>
      </w:pPr>
      <w:r>
        <w:tab/>
      </w:r>
      <w:r>
        <w:rPr>
          <w:rStyle w:val="Refdenotaalpie"/>
        </w:rPr>
        <w:footnoteRef/>
      </w:r>
      <w:r>
        <w:tab/>
      </w:r>
      <w:r w:rsidRPr="00F463DA">
        <w:t xml:space="preserve">Suprema Corte de Justicia de la Nación, </w:t>
      </w:r>
      <w:r w:rsidR="00F463DA" w:rsidRPr="006B5133">
        <w:t xml:space="preserve">sentencia de </w:t>
      </w:r>
      <w:r w:rsidRPr="00F463DA">
        <w:t xml:space="preserve">21 de octubre de 2021, </w:t>
      </w:r>
      <w:r w:rsidR="00F463DA" w:rsidRPr="006B5133">
        <w:t>núm.</w:t>
      </w:r>
      <w:r w:rsidRPr="00F463DA">
        <w:t xml:space="preserve"> 326/2021</w:t>
      </w:r>
      <w:r w:rsidR="00F463DA" w:rsidRPr="006B5133">
        <w:t>. Disponible en</w:t>
      </w:r>
      <w:r w:rsidRPr="002A6799">
        <w:t xml:space="preserve"> </w:t>
      </w:r>
      <w:hyperlink r:id="rId17" w:history="1">
        <w:r w:rsidRPr="002A6799">
          <w:rPr>
            <w:rStyle w:val="Hipervnculo"/>
          </w:rPr>
          <w:t>https://www.internet2.scjn.gob.mx/red2/comunicados/noticia.asp?id=6634</w:t>
        </w:r>
      </w:hyperlink>
      <w:r w:rsidR="00F463DA">
        <w:rPr>
          <w:rStyle w:val="Hipervnculo"/>
        </w:rPr>
        <w:t>.</w:t>
      </w:r>
      <w:r w:rsidRPr="002A6799">
        <w:t xml:space="preserve"> </w:t>
      </w:r>
    </w:p>
  </w:footnote>
  <w:footnote w:id="23">
    <w:p w14:paraId="58DEA27C" w14:textId="54DB2C1D" w:rsidR="001872B1" w:rsidRPr="00B453AB" w:rsidRDefault="001872B1">
      <w:pPr>
        <w:pStyle w:val="Textonotapie"/>
        <w:rPr>
          <w:lang w:val="es-EC"/>
        </w:rPr>
      </w:pPr>
      <w:r w:rsidRPr="002A6799">
        <w:tab/>
      </w:r>
      <w:r>
        <w:rPr>
          <w:rStyle w:val="Refdenotaalpie"/>
        </w:rPr>
        <w:footnoteRef/>
      </w:r>
      <w:r w:rsidR="00A234DD">
        <w:tab/>
      </w:r>
      <w:r w:rsidR="0011503B" w:rsidRPr="00DA7D36">
        <w:t xml:space="preserve">Comisión Nacional de </w:t>
      </w:r>
      <w:r w:rsidR="0011503B">
        <w:t xml:space="preserve">los </w:t>
      </w:r>
      <w:r w:rsidR="0011503B" w:rsidRPr="00DA7D36">
        <w:t>Derechos Humanos</w:t>
      </w:r>
      <w:r w:rsidRPr="000374A8">
        <w:t xml:space="preserve">, Informe </w:t>
      </w:r>
      <w:r>
        <w:t xml:space="preserve">de Actividades 2021, disponible </w:t>
      </w:r>
      <w:r w:rsidRPr="000374A8">
        <w:t>en </w:t>
      </w:r>
      <w:hyperlink r:id="rId18" w:tgtFrame="_blank" w:tooltip="https://informe.cndh.org.mx/uploads/principal/2021/ia_2021.pdf" w:history="1">
        <w:r w:rsidRPr="000374A8">
          <w:rPr>
            <w:rStyle w:val="Hipervnculo"/>
          </w:rPr>
          <w:t>https://informe.cndh.org.mx/uploads/principal/2021/IA_2021.pdf</w:t>
        </w:r>
      </w:hyperlink>
      <w:r w:rsidR="000F4A62">
        <w:rPr>
          <w:rStyle w:val="Hipervnculo"/>
        </w:rPr>
        <w:t>.</w:t>
      </w:r>
    </w:p>
  </w:footnote>
  <w:footnote w:id="24">
    <w:p w14:paraId="700C4D87" w14:textId="77383B69" w:rsidR="001872B1" w:rsidRPr="004970B1" w:rsidRDefault="001872B1">
      <w:pPr>
        <w:pStyle w:val="Textonotapie"/>
        <w:rPr>
          <w:lang w:val="es-EC"/>
        </w:rPr>
      </w:pPr>
      <w:r>
        <w:tab/>
      </w:r>
      <w:r>
        <w:rPr>
          <w:rStyle w:val="Refdenotaalpie"/>
        </w:rPr>
        <w:footnoteRef/>
      </w:r>
      <w:r>
        <w:tab/>
      </w:r>
      <w:hyperlink r:id="rId19" w:history="1">
        <w:r w:rsidR="000F4A62">
          <w:rPr>
            <w:rStyle w:val="Hipervnculo"/>
          </w:rPr>
          <w:t xml:space="preserve">Secretaría de Gobernación, </w:t>
        </w:r>
        <w:r>
          <w:rPr>
            <w:rStyle w:val="Hipervnculo"/>
          </w:rPr>
          <w:t>Diario Oficial de la Federación</w:t>
        </w:r>
      </w:hyperlink>
      <w:r w:rsidR="000F4A62">
        <w:rPr>
          <w:rStyle w:val="Hipervnculo"/>
        </w:rPr>
        <w:t>.</w:t>
      </w:r>
    </w:p>
  </w:footnote>
  <w:footnote w:id="25">
    <w:p w14:paraId="2307361F" w14:textId="434C140B" w:rsidR="001872B1" w:rsidRPr="006B5133" w:rsidRDefault="001872B1" w:rsidP="0091763F">
      <w:pPr>
        <w:pStyle w:val="Textonotaalfinal"/>
      </w:pPr>
      <w:r>
        <w:tab/>
      </w:r>
      <w:r>
        <w:rPr>
          <w:rStyle w:val="Refdenotaalpie"/>
        </w:rPr>
        <w:footnoteRef/>
      </w:r>
      <w:r>
        <w:tab/>
        <w:t xml:space="preserve">Oficina del Alto Comisionado de las Naciones Unidas para los Derechos </w:t>
      </w:r>
      <w:r w:rsidRPr="004279ED">
        <w:t xml:space="preserve">Humanos, </w:t>
      </w:r>
      <w:r w:rsidR="004279ED" w:rsidRPr="006B5133">
        <w:t>c</w:t>
      </w:r>
      <w:r w:rsidRPr="004279ED">
        <w:t>omunicado</w:t>
      </w:r>
      <w:r>
        <w:t xml:space="preserve"> del 13 de mayo de 2020. </w:t>
      </w:r>
      <w:r w:rsidRPr="006B5133">
        <w:t xml:space="preserve">Disponible en: </w:t>
      </w:r>
      <w:hyperlink r:id="rId20" w:history="1">
        <w:r w:rsidRPr="006B5133">
          <w:rPr>
            <w:rStyle w:val="Hipervnculo"/>
          </w:rPr>
          <w:t>https://hchr.org.mx/wp/wp-content/themes/hchr/images/Comunicados/2020/20200513_ComPrensa-AcuerdoFuerzasArmadas.pdf</w:t>
        </w:r>
      </w:hyperlink>
      <w:r w:rsidRPr="006B5133">
        <w:rPr>
          <w:rStyle w:val="Hipervnculo"/>
        </w:rPr>
        <w:t>.</w:t>
      </w:r>
    </w:p>
  </w:footnote>
  <w:footnote w:id="26">
    <w:p w14:paraId="66B40353" w14:textId="057FA6C3" w:rsidR="001872B1" w:rsidRPr="00322A44" w:rsidRDefault="001872B1" w:rsidP="002C6EE7">
      <w:pPr>
        <w:pStyle w:val="Textonotaalfinal"/>
      </w:pPr>
      <w:r w:rsidRPr="006B5133">
        <w:tab/>
      </w:r>
      <w:r w:rsidRPr="00322A44">
        <w:rPr>
          <w:rStyle w:val="Refdenotaalpie"/>
        </w:rPr>
        <w:footnoteRef/>
      </w:r>
      <w:r w:rsidRPr="006B5133">
        <w:tab/>
      </w:r>
      <w:hyperlink r:id="rId21" w:history="1">
        <w:r w:rsidR="000A66C7">
          <w:rPr>
            <w:rStyle w:val="Hipervnculo"/>
            <w:sz w:val="20"/>
          </w:rPr>
          <w:t>CED/C/MEX/</w:t>
        </w:r>
        <w:proofErr w:type="spellStart"/>
        <w:r w:rsidR="000A66C7">
          <w:rPr>
            <w:rStyle w:val="Hipervnculo"/>
            <w:sz w:val="20"/>
          </w:rPr>
          <w:t>OAI</w:t>
        </w:r>
        <w:proofErr w:type="spellEnd"/>
        <w:r w:rsidR="000A66C7">
          <w:rPr>
            <w:rStyle w:val="Hipervnculo"/>
            <w:sz w:val="20"/>
          </w:rPr>
          <w:t>/1</w:t>
        </w:r>
      </w:hyperlink>
      <w:r w:rsidRPr="00B453AB">
        <w:t>,</w:t>
      </w:r>
      <w:r w:rsidRPr="006B5133">
        <w:t xml:space="preserve"> </w:t>
      </w:r>
      <w:proofErr w:type="spellStart"/>
      <w:r w:rsidRPr="006B5133">
        <w:t>párrs</w:t>
      </w:r>
      <w:proofErr w:type="spellEnd"/>
      <w:r w:rsidR="000A66C7" w:rsidRPr="006B5133">
        <w:t>.</w:t>
      </w:r>
      <w:r w:rsidR="000A66C7">
        <w:t xml:space="preserve"> </w:t>
      </w:r>
      <w:r w:rsidRPr="00322A44">
        <w:t xml:space="preserve">34 y 35; y </w:t>
      </w:r>
      <w:hyperlink r:id="rId22" w:history="1">
        <w:proofErr w:type="spellStart"/>
        <w:r w:rsidR="000A66C7">
          <w:rPr>
            <w:rStyle w:val="Hipervnculo"/>
            <w:sz w:val="20"/>
          </w:rPr>
          <w:t>CCPR</w:t>
        </w:r>
        <w:proofErr w:type="spellEnd"/>
        <w:r w:rsidR="000A66C7">
          <w:rPr>
            <w:rStyle w:val="Hipervnculo"/>
            <w:sz w:val="20"/>
          </w:rPr>
          <w:t>/C/MEX/CO/6</w:t>
        </w:r>
      </w:hyperlink>
      <w:r w:rsidRPr="00322A44">
        <w:t>, párr</w:t>
      </w:r>
      <w:r w:rsidR="000A66C7" w:rsidRPr="00322A44">
        <w:t>.</w:t>
      </w:r>
      <w:r w:rsidR="000A66C7">
        <w:t xml:space="preserve"> </w:t>
      </w:r>
      <w:r w:rsidRPr="00322A44">
        <w:t>19.</w:t>
      </w:r>
    </w:p>
  </w:footnote>
  <w:footnote w:id="27">
    <w:p w14:paraId="22F06C9B" w14:textId="77777777" w:rsidR="001872B1" w:rsidRDefault="001872B1" w:rsidP="0091763F">
      <w:pPr>
        <w:pStyle w:val="Textonotaalfinal"/>
      </w:pPr>
      <w:r w:rsidRPr="00322A44">
        <w:rPr>
          <w:sz w:val="24"/>
          <w:szCs w:val="24"/>
        </w:rPr>
        <w:tab/>
      </w:r>
      <w:r w:rsidRPr="00322A44">
        <w:rPr>
          <w:rStyle w:val="Refdenotaalpie"/>
        </w:rPr>
        <w:footnoteRef/>
      </w:r>
      <w:r w:rsidRPr="00322A44">
        <w:rPr>
          <w:sz w:val="24"/>
          <w:szCs w:val="24"/>
        </w:rPr>
        <w:tab/>
      </w:r>
      <w:r w:rsidRPr="00322A44">
        <w:t>Según la información recibida, en 2020 el 47,5 % (9.306,8) de los 19.603 registros contaron con campos vacíos. Por ejemplo, el campo relacionado con la pregunta</w:t>
      </w:r>
      <w:r>
        <w:t xml:space="preserve"> “¿Cuenta con huellas dactilares que pueda proporcionar?” quedó vacío en el 99,9 % de los casos. </w:t>
      </w:r>
    </w:p>
  </w:footnote>
  <w:footnote w:id="28">
    <w:p w14:paraId="7C834DE5" w14:textId="77777777" w:rsidR="001872B1" w:rsidRDefault="001872B1" w:rsidP="00564662">
      <w:pPr>
        <w:pStyle w:val="Textonotaalfinal"/>
      </w:pPr>
      <w:r>
        <w:tab/>
      </w:r>
      <w:r>
        <w:rPr>
          <w:rStyle w:val="Refdenotaalpie"/>
        </w:rPr>
        <w:footnoteRef/>
      </w:r>
      <w:r>
        <w:tab/>
        <w:t>Por ejemplo, obras de teatro, murales, ilustraciones, publicaciones realizadas por la sociedad civil o campañas de información institucionales, como “Chuchi Cacomixtle” (Comisión Nacional de Búsqueda).</w:t>
      </w:r>
    </w:p>
  </w:footnote>
  <w:footnote w:id="29">
    <w:p w14:paraId="5450575B" w14:textId="77777777" w:rsidR="001872B1" w:rsidRDefault="001872B1" w:rsidP="00564662">
      <w:pPr>
        <w:pStyle w:val="Textonotaalfinal"/>
      </w:pPr>
      <w:r>
        <w:tab/>
      </w:r>
      <w:r>
        <w:rPr>
          <w:rStyle w:val="Refdenotaalpie"/>
        </w:rPr>
        <w:footnoteRef/>
      </w:r>
      <w:r>
        <w:tab/>
        <w:t>Los testimonios recibidos ilustraron la estigmatización que las víctimas de desaparición enfrentan diariamente: “en algo estaba metido” o “su actuar lo explica todo” son el tipo de comentarios que reciben, incluso por parte de las autoridades.</w:t>
      </w:r>
    </w:p>
  </w:footnote>
  <w:footnote w:id="30">
    <w:p w14:paraId="29341FFE" w14:textId="4D583EFB" w:rsidR="001872B1" w:rsidRDefault="00A234DD" w:rsidP="00564662">
      <w:pPr>
        <w:pBdr>
          <w:top w:val="nil"/>
          <w:left w:val="nil"/>
          <w:bottom w:val="nil"/>
          <w:right w:val="nil"/>
          <w:between w:val="nil"/>
        </w:pBdr>
        <w:tabs>
          <w:tab w:val="right" w:pos="1021"/>
        </w:tabs>
        <w:spacing w:line="220" w:lineRule="exact"/>
        <w:ind w:left="1134" w:right="1134" w:hanging="1134"/>
        <w:rPr>
          <w:color w:val="000000"/>
          <w:sz w:val="18"/>
          <w:szCs w:val="18"/>
        </w:rPr>
      </w:pPr>
      <w:r>
        <w:rPr>
          <w:color w:val="000000"/>
          <w:sz w:val="18"/>
          <w:szCs w:val="18"/>
        </w:rPr>
        <w:tab/>
      </w:r>
      <w:r w:rsidR="001872B1">
        <w:rPr>
          <w:rStyle w:val="Refdenotaalpie"/>
        </w:rPr>
        <w:footnoteRef/>
      </w:r>
      <w:r w:rsidR="001872B1">
        <w:rPr>
          <w:color w:val="000000"/>
          <w:sz w:val="18"/>
          <w:szCs w:val="18"/>
        </w:rPr>
        <w:tab/>
      </w:r>
      <w:r w:rsidR="001872B1">
        <w:rPr>
          <w:color w:val="000000"/>
          <w:sz w:val="18"/>
          <w:szCs w:val="18"/>
        </w:rPr>
        <w:tab/>
        <w:t xml:space="preserve">Véase por ejemplo la Ley Orgánica de la Fiscalía General de la República de 2021, incompatible con varias disposiciones de la Ley General y del </w:t>
      </w:r>
      <w:sdt>
        <w:sdtPr>
          <w:tag w:val="goog_rdk_552"/>
          <w:id w:val="677087727"/>
        </w:sdtPr>
        <w:sdtEndPr/>
        <w:sdtContent>
          <w:r w:rsidR="00DD46E4">
            <w:rPr>
              <w:color w:val="000000"/>
              <w:sz w:val="18"/>
              <w:szCs w:val="18"/>
            </w:rPr>
            <w:t>Sistema Nacional de Búsqueda de Personas</w:t>
          </w:r>
        </w:sdtContent>
      </w:sdt>
      <w:r w:rsidR="001872B1">
        <w:rPr>
          <w:color w:val="000000"/>
          <w:sz w:val="18"/>
          <w:szCs w:val="18"/>
        </w:rPr>
        <w:t xml:space="preserve"> y de la Ley General de Víctimas.</w:t>
      </w:r>
    </w:p>
  </w:footnote>
  <w:footnote w:id="31">
    <w:p w14:paraId="4FBC1642" w14:textId="4AB497A7" w:rsidR="001872B1" w:rsidRDefault="00A234DD" w:rsidP="006B5133">
      <w:pPr>
        <w:pBdr>
          <w:top w:val="nil"/>
          <w:left w:val="nil"/>
          <w:bottom w:val="nil"/>
          <w:right w:val="nil"/>
          <w:between w:val="nil"/>
        </w:pBdr>
        <w:tabs>
          <w:tab w:val="right" w:pos="1021"/>
        </w:tabs>
        <w:spacing w:line="220" w:lineRule="exact"/>
        <w:ind w:left="1134" w:right="1134" w:hanging="1134"/>
        <w:rPr>
          <w:color w:val="000000"/>
          <w:sz w:val="18"/>
          <w:szCs w:val="18"/>
        </w:rPr>
      </w:pPr>
      <w:r>
        <w:rPr>
          <w:color w:val="000000"/>
          <w:sz w:val="18"/>
          <w:szCs w:val="18"/>
        </w:rPr>
        <w:tab/>
      </w:r>
      <w:r w:rsidR="001872B1">
        <w:rPr>
          <w:rStyle w:val="Refdenotaalpie"/>
        </w:rPr>
        <w:footnoteRef/>
      </w:r>
      <w:r w:rsidR="001872B1">
        <w:rPr>
          <w:color w:val="000000"/>
          <w:sz w:val="18"/>
          <w:szCs w:val="18"/>
        </w:rPr>
        <w:tab/>
      </w:r>
      <w:r w:rsidR="001872B1">
        <w:rPr>
          <w:color w:val="000000"/>
          <w:sz w:val="18"/>
          <w:szCs w:val="18"/>
        </w:rPr>
        <w:tab/>
      </w:r>
      <w:r w:rsidR="00E14B4C">
        <w:rPr>
          <w:color w:val="000000"/>
          <w:sz w:val="18"/>
          <w:szCs w:val="18"/>
        </w:rPr>
        <w:t xml:space="preserve">Comisión </w:t>
      </w:r>
      <w:r w:rsidR="001872B1">
        <w:rPr>
          <w:color w:val="000000"/>
          <w:sz w:val="18"/>
          <w:szCs w:val="18"/>
        </w:rPr>
        <w:t xml:space="preserve">Nacional de Búsqueda y Agencia de los Estados Unidos para el Desarrollo Internacional, </w:t>
      </w:r>
      <w:r w:rsidR="001872B1">
        <w:rPr>
          <w:i/>
          <w:color w:val="000000"/>
          <w:sz w:val="18"/>
          <w:szCs w:val="18"/>
        </w:rPr>
        <w:t>El</w:t>
      </w:r>
      <w:r w:rsidR="000A66C7">
        <w:rPr>
          <w:i/>
          <w:color w:val="000000"/>
          <w:sz w:val="18"/>
          <w:szCs w:val="18"/>
        </w:rPr>
        <w:t> </w:t>
      </w:r>
      <w:r w:rsidR="001872B1">
        <w:rPr>
          <w:i/>
          <w:color w:val="000000"/>
          <w:sz w:val="18"/>
          <w:szCs w:val="18"/>
        </w:rPr>
        <w:t>amparo buscador: una herramienta contra la desaparición forzada de personas, guía para familiares y personas juzgadoras</w:t>
      </w:r>
      <w:r w:rsidR="001872B1">
        <w:rPr>
          <w:color w:val="000000"/>
          <w:sz w:val="18"/>
          <w:szCs w:val="18"/>
        </w:rPr>
        <w:t xml:space="preserve"> (México, 2021).</w:t>
      </w:r>
    </w:p>
  </w:footnote>
  <w:footnote w:id="32">
    <w:p w14:paraId="7DAECAA6" w14:textId="25C3EB77" w:rsidR="001872B1" w:rsidRDefault="001872B1" w:rsidP="006B5133">
      <w:pPr>
        <w:pBdr>
          <w:top w:val="nil"/>
          <w:left w:val="nil"/>
          <w:bottom w:val="nil"/>
          <w:right w:val="nil"/>
          <w:between w:val="nil"/>
        </w:pBdr>
        <w:tabs>
          <w:tab w:val="right" w:pos="1021"/>
        </w:tabs>
        <w:spacing w:line="220" w:lineRule="exact"/>
        <w:ind w:left="1134" w:right="1134" w:hanging="1134"/>
        <w:rPr>
          <w:color w:val="000000"/>
          <w:sz w:val="18"/>
          <w:szCs w:val="18"/>
        </w:rPr>
      </w:pPr>
      <w:r>
        <w:rPr>
          <w:color w:val="000000"/>
          <w:sz w:val="18"/>
          <w:szCs w:val="18"/>
        </w:rPr>
        <w:tab/>
      </w:r>
      <w:r>
        <w:rPr>
          <w:rStyle w:val="Refdenotaalpie"/>
        </w:rPr>
        <w:footnoteRef/>
      </w:r>
      <w:r>
        <w:rPr>
          <w:color w:val="000000"/>
          <w:sz w:val="18"/>
          <w:szCs w:val="18"/>
        </w:rPr>
        <w:tab/>
      </w:r>
      <w:r>
        <w:rPr>
          <w:color w:val="000000"/>
          <w:sz w:val="18"/>
          <w:szCs w:val="18"/>
        </w:rPr>
        <w:tab/>
        <w:t xml:space="preserve">Por ejemplo, la </w:t>
      </w:r>
      <w:sdt>
        <w:sdtPr>
          <w:tag w:val="goog_rdk_553"/>
          <w:id w:val="12977381"/>
        </w:sdtPr>
        <w:sdtEndPr/>
        <w:sdtContent>
          <w:r>
            <w:rPr>
              <w:color w:val="000000"/>
              <w:sz w:val="18"/>
              <w:szCs w:val="18"/>
            </w:rPr>
            <w:t>Comisión Nacional de los Derechos Humanos</w:t>
          </w:r>
        </w:sdtContent>
      </w:sdt>
      <w:r>
        <w:rPr>
          <w:color w:val="000000"/>
          <w:sz w:val="18"/>
          <w:szCs w:val="18"/>
        </w:rPr>
        <w:t xml:space="preserve"> decidió cerrar la investigación respecto de la desaparición de Daniel Ramos en contra de una solicitud expresa del </w:t>
      </w:r>
      <w:sdt>
        <w:sdtPr>
          <w:tag w:val="goog_rdk_556"/>
          <w:id w:val="1217851533"/>
        </w:sdtPr>
        <w:sdtEndPr/>
        <w:sdtContent>
          <w:r>
            <w:rPr>
              <w:color w:val="000000"/>
              <w:sz w:val="18"/>
              <w:szCs w:val="18"/>
            </w:rPr>
            <w:t>Comité contra la Desaparición Forzada</w:t>
          </w:r>
        </w:sdtContent>
      </w:sdt>
      <w:r>
        <w:rPr>
          <w:color w:val="000000"/>
          <w:sz w:val="18"/>
          <w:szCs w:val="18"/>
        </w:rPr>
        <w:t xml:space="preserve"> en el marco de la petición de acción urgente núm.</w:t>
      </w:r>
      <w:r w:rsidR="000A66C7">
        <w:rPr>
          <w:color w:val="000000"/>
          <w:sz w:val="18"/>
          <w:szCs w:val="18"/>
        </w:rPr>
        <w:t xml:space="preserve"> </w:t>
      </w:r>
      <w:r>
        <w:rPr>
          <w:color w:val="000000"/>
          <w:sz w:val="18"/>
          <w:szCs w:val="18"/>
        </w:rPr>
        <w:t xml:space="preserve">10 (2013). Un juicio de amparo está en curso al respecto. </w:t>
      </w:r>
    </w:p>
  </w:footnote>
  <w:footnote w:id="33">
    <w:p w14:paraId="35A138FE" w14:textId="0C8323E7" w:rsidR="001872B1" w:rsidRPr="00265CFA" w:rsidRDefault="001872B1" w:rsidP="006B5133">
      <w:pPr>
        <w:pStyle w:val="Textonotapie"/>
        <w:rPr>
          <w:highlight w:val="yellow"/>
          <w:lang w:val="es-EC"/>
        </w:rPr>
      </w:pPr>
      <w:r>
        <w:tab/>
      </w:r>
      <w:r>
        <w:rPr>
          <w:rStyle w:val="Refdenotaalpie"/>
        </w:rPr>
        <w:footnoteRef/>
      </w:r>
      <w:r>
        <w:t xml:space="preserve"> </w:t>
      </w:r>
      <w:r>
        <w:tab/>
      </w:r>
      <w:r w:rsidRPr="006B5133">
        <w:rPr>
          <w:i/>
          <w:iCs/>
          <w:color w:val="000000"/>
          <w:szCs w:val="18"/>
        </w:rPr>
        <w:t>Hidalgo Rea</w:t>
      </w:r>
      <w:r w:rsidR="00A72202" w:rsidRPr="006B5133">
        <w:rPr>
          <w:i/>
          <w:iCs/>
          <w:color w:val="000000"/>
          <w:szCs w:val="18"/>
        </w:rPr>
        <w:t xml:space="preserve"> y Rivera Hidalgo </w:t>
      </w:r>
      <w:r w:rsidR="007747B5">
        <w:rPr>
          <w:i/>
          <w:iCs/>
          <w:color w:val="000000"/>
          <w:szCs w:val="18"/>
        </w:rPr>
        <w:t>c</w:t>
      </w:r>
      <w:r w:rsidR="00A72202" w:rsidRPr="006B5133">
        <w:rPr>
          <w:i/>
          <w:iCs/>
          <w:color w:val="000000"/>
          <w:szCs w:val="18"/>
        </w:rPr>
        <w:t>. México</w:t>
      </w:r>
      <w:r w:rsidR="00A72202">
        <w:rPr>
          <w:color w:val="000000"/>
          <w:szCs w:val="18"/>
        </w:rPr>
        <w:t xml:space="preserve"> (</w:t>
      </w:r>
      <w:proofErr w:type="spellStart"/>
      <w:r w:rsidR="001125F6">
        <w:fldChar w:fldCharType="begin"/>
      </w:r>
      <w:r w:rsidR="001125F6">
        <w:instrText xml:space="preserve"> HYPERLINK "https://undocs.org/es/CCPR/C/131/D/3259/2018" </w:instrText>
      </w:r>
      <w:r w:rsidR="001125F6">
        <w:fldChar w:fldCharType="separate"/>
      </w:r>
      <w:r w:rsidR="00A72202" w:rsidRPr="000A66C7">
        <w:rPr>
          <w:rStyle w:val="Hipervnculo"/>
          <w:szCs w:val="18"/>
        </w:rPr>
        <w:t>CCPR</w:t>
      </w:r>
      <w:proofErr w:type="spellEnd"/>
      <w:r w:rsidR="00A72202" w:rsidRPr="000A66C7">
        <w:rPr>
          <w:rStyle w:val="Hipervnculo"/>
          <w:szCs w:val="18"/>
        </w:rPr>
        <w:t>/C/131/D/3259/2018</w:t>
      </w:r>
      <w:r w:rsidR="001125F6">
        <w:rPr>
          <w:rStyle w:val="Hipervnculo"/>
          <w:szCs w:val="18"/>
        </w:rPr>
        <w:fldChar w:fldCharType="end"/>
      </w:r>
      <w:r w:rsidR="00A72202">
        <w:rPr>
          <w:color w:val="000000"/>
          <w:szCs w:val="18"/>
        </w:rPr>
        <w:t>)</w:t>
      </w:r>
      <w:r w:rsidRPr="009D7282">
        <w:rPr>
          <w:color w:val="000000"/>
          <w:szCs w:val="18"/>
        </w:rPr>
        <w:t xml:space="preserve">; </w:t>
      </w:r>
      <w:r w:rsidR="005F5CCD" w:rsidRPr="006B5133">
        <w:rPr>
          <w:i/>
          <w:iCs/>
          <w:color w:val="000000"/>
          <w:szCs w:val="18"/>
        </w:rPr>
        <w:t xml:space="preserve">Valdez Cantú et al. </w:t>
      </w:r>
      <w:r w:rsidR="007747B5">
        <w:rPr>
          <w:i/>
          <w:iCs/>
          <w:color w:val="000000"/>
          <w:szCs w:val="18"/>
        </w:rPr>
        <w:t>c</w:t>
      </w:r>
      <w:r w:rsidR="005F5CCD" w:rsidRPr="006B5133">
        <w:rPr>
          <w:i/>
          <w:iCs/>
          <w:color w:val="000000"/>
          <w:szCs w:val="18"/>
        </w:rPr>
        <w:t>. México</w:t>
      </w:r>
      <w:r w:rsidR="005F5CCD">
        <w:rPr>
          <w:color w:val="000000"/>
          <w:szCs w:val="18"/>
        </w:rPr>
        <w:t xml:space="preserve"> (</w:t>
      </w:r>
      <w:proofErr w:type="spellStart"/>
      <w:r w:rsidR="001125F6">
        <w:fldChar w:fldCharType="begin"/>
      </w:r>
      <w:r w:rsidR="001125F6">
        <w:instrText xml:space="preserve"> HYPERLINK "https://undocs.org/es/CCPR/C/127/D/2766/2016" </w:instrText>
      </w:r>
      <w:r w:rsidR="001125F6">
        <w:fldChar w:fldCharType="separate"/>
      </w:r>
      <w:r w:rsidR="005F5CCD" w:rsidRPr="000A66C7">
        <w:rPr>
          <w:rStyle w:val="Hipervnculo"/>
          <w:szCs w:val="18"/>
        </w:rPr>
        <w:t>CCPR</w:t>
      </w:r>
      <w:proofErr w:type="spellEnd"/>
      <w:r w:rsidR="005F5CCD" w:rsidRPr="000A66C7">
        <w:rPr>
          <w:rStyle w:val="Hipervnculo"/>
          <w:szCs w:val="18"/>
        </w:rPr>
        <w:t>/C/127/D/2766/2016</w:t>
      </w:r>
      <w:r w:rsidR="001125F6">
        <w:rPr>
          <w:rStyle w:val="Hipervnculo"/>
          <w:szCs w:val="18"/>
        </w:rPr>
        <w:fldChar w:fldCharType="end"/>
      </w:r>
      <w:r w:rsidR="005F5CCD">
        <w:rPr>
          <w:color w:val="000000"/>
          <w:szCs w:val="18"/>
        </w:rPr>
        <w:t>)</w:t>
      </w:r>
      <w:r w:rsidRPr="009D7282">
        <w:rPr>
          <w:color w:val="000000"/>
          <w:szCs w:val="18"/>
        </w:rPr>
        <w:t xml:space="preserve">; </w:t>
      </w:r>
      <w:r w:rsidR="005F5CCD" w:rsidRPr="00B7531E">
        <w:rPr>
          <w:i/>
          <w:lang w:val="es-EC" w:eastAsia="ja-JP"/>
        </w:rPr>
        <w:t>Padilla García</w:t>
      </w:r>
      <w:r w:rsidR="005F5CCD">
        <w:rPr>
          <w:i/>
          <w:lang w:val="es-EC" w:eastAsia="ja-JP"/>
        </w:rPr>
        <w:t xml:space="preserve"> et al.</w:t>
      </w:r>
      <w:r w:rsidR="005F5CCD" w:rsidRPr="00B7531E">
        <w:rPr>
          <w:i/>
          <w:lang w:val="es-EC" w:eastAsia="ja-JP"/>
        </w:rPr>
        <w:t xml:space="preserve"> </w:t>
      </w:r>
      <w:r w:rsidR="005F5CCD">
        <w:rPr>
          <w:i/>
          <w:lang w:val="es-EC" w:eastAsia="ja-JP"/>
        </w:rPr>
        <w:t>c</w:t>
      </w:r>
      <w:r w:rsidR="005F5CCD" w:rsidRPr="00B7531E">
        <w:rPr>
          <w:i/>
          <w:lang w:val="es-EC" w:eastAsia="ja-JP"/>
        </w:rPr>
        <w:t>. M</w:t>
      </w:r>
      <w:r w:rsidR="005F5CCD">
        <w:rPr>
          <w:i/>
          <w:lang w:val="es-EC" w:eastAsia="ja-JP"/>
        </w:rPr>
        <w:t xml:space="preserve">éxico </w:t>
      </w:r>
      <w:r w:rsidR="005F5CCD" w:rsidRPr="001F4FEE">
        <w:rPr>
          <w:iCs/>
          <w:lang w:val="es-EC" w:eastAsia="ja-JP"/>
        </w:rPr>
        <w:t>(</w:t>
      </w:r>
      <w:proofErr w:type="spellStart"/>
      <w:r w:rsidR="001125F6">
        <w:fldChar w:fldCharType="begin"/>
      </w:r>
      <w:r w:rsidR="001125F6">
        <w:instrText xml:space="preserve"> HYPERLINK "https://undocs.org/es/CCPR/C/126/D/2750/2016" </w:instrText>
      </w:r>
      <w:r w:rsidR="001125F6">
        <w:fldChar w:fldCharType="separate"/>
      </w:r>
      <w:r w:rsidR="005F5CCD" w:rsidRPr="000A66C7">
        <w:rPr>
          <w:rStyle w:val="Hipervnculo"/>
          <w:iCs/>
          <w:lang w:val="es-EC" w:eastAsia="ja-JP"/>
        </w:rPr>
        <w:t>CCPR</w:t>
      </w:r>
      <w:proofErr w:type="spellEnd"/>
      <w:r w:rsidR="005F5CCD" w:rsidRPr="000A66C7">
        <w:rPr>
          <w:rStyle w:val="Hipervnculo"/>
          <w:iCs/>
          <w:lang w:val="es-EC" w:eastAsia="ja-JP"/>
        </w:rPr>
        <w:t>/C/126/D/2750/2016</w:t>
      </w:r>
      <w:r w:rsidR="001125F6">
        <w:rPr>
          <w:rStyle w:val="Hipervnculo"/>
          <w:iCs/>
          <w:lang w:val="es-EC" w:eastAsia="ja-JP"/>
        </w:rPr>
        <w:fldChar w:fldCharType="end"/>
      </w:r>
      <w:r w:rsidR="005F5CCD" w:rsidRPr="001F4FEE">
        <w:rPr>
          <w:iCs/>
          <w:lang w:val="es-EC" w:eastAsia="ja-JP"/>
        </w:rPr>
        <w:t>)</w:t>
      </w:r>
      <w:r w:rsidRPr="009D7282">
        <w:rPr>
          <w:color w:val="000000"/>
          <w:szCs w:val="18"/>
        </w:rPr>
        <w:t xml:space="preserve">; </w:t>
      </w:r>
      <w:r w:rsidRPr="006B5133">
        <w:rPr>
          <w:i/>
          <w:iCs/>
          <w:color w:val="000000"/>
          <w:szCs w:val="18"/>
        </w:rPr>
        <w:t xml:space="preserve">Moreno </w:t>
      </w:r>
      <w:r w:rsidR="005F5CCD" w:rsidRPr="006B5133">
        <w:rPr>
          <w:i/>
          <w:iCs/>
          <w:color w:val="000000"/>
          <w:szCs w:val="18"/>
        </w:rPr>
        <w:t xml:space="preserve">Zamora et al. </w:t>
      </w:r>
      <w:r w:rsidR="007747B5">
        <w:rPr>
          <w:i/>
          <w:iCs/>
          <w:color w:val="000000"/>
          <w:szCs w:val="18"/>
        </w:rPr>
        <w:t>c</w:t>
      </w:r>
      <w:r w:rsidR="005F5CCD" w:rsidRPr="006B5133">
        <w:rPr>
          <w:i/>
          <w:iCs/>
          <w:color w:val="000000"/>
          <w:szCs w:val="18"/>
        </w:rPr>
        <w:t>. México</w:t>
      </w:r>
      <w:r w:rsidRPr="009D7282">
        <w:rPr>
          <w:color w:val="000000"/>
          <w:szCs w:val="18"/>
        </w:rPr>
        <w:t xml:space="preserve"> </w:t>
      </w:r>
      <w:r w:rsidR="005F5CCD">
        <w:rPr>
          <w:color w:val="000000"/>
          <w:szCs w:val="18"/>
        </w:rPr>
        <w:t>(</w:t>
      </w:r>
      <w:proofErr w:type="spellStart"/>
      <w:r w:rsidR="001125F6">
        <w:fldChar w:fldCharType="begin"/>
      </w:r>
      <w:r w:rsidR="001125F6">
        <w:instrText xml:space="preserve"> HYPERLINK "https:/</w:instrText>
      </w:r>
      <w:r w:rsidR="001125F6">
        <w:instrText xml:space="preserve">/undocs.org/es/CCPR/C/127/D/2760/2016" </w:instrText>
      </w:r>
      <w:r w:rsidR="001125F6">
        <w:fldChar w:fldCharType="separate"/>
      </w:r>
      <w:r w:rsidR="005F5CCD" w:rsidRPr="000A66C7">
        <w:rPr>
          <w:rStyle w:val="Hipervnculo"/>
          <w:szCs w:val="18"/>
        </w:rPr>
        <w:t>CCPR</w:t>
      </w:r>
      <w:proofErr w:type="spellEnd"/>
      <w:r w:rsidR="005F5CCD" w:rsidRPr="000A66C7">
        <w:rPr>
          <w:rStyle w:val="Hipervnculo"/>
          <w:szCs w:val="18"/>
        </w:rPr>
        <w:t>/C/127/D/2760/2016</w:t>
      </w:r>
      <w:r w:rsidR="001125F6">
        <w:rPr>
          <w:rStyle w:val="Hipervnculo"/>
          <w:szCs w:val="18"/>
        </w:rPr>
        <w:fldChar w:fldCharType="end"/>
      </w:r>
      <w:r w:rsidR="005F5CCD">
        <w:rPr>
          <w:color w:val="000000"/>
          <w:szCs w:val="18"/>
        </w:rPr>
        <w:t>)</w:t>
      </w:r>
      <w:r w:rsidRPr="009D7282">
        <w:rPr>
          <w:color w:val="000000"/>
          <w:szCs w:val="18"/>
        </w:rPr>
        <w:t>.</w:t>
      </w:r>
    </w:p>
  </w:footnote>
  <w:footnote w:id="34">
    <w:p w14:paraId="739B36D4" w14:textId="0962B0E0" w:rsidR="001872B1" w:rsidRDefault="001872B1" w:rsidP="006B5133">
      <w:pPr>
        <w:pBdr>
          <w:top w:val="nil"/>
          <w:left w:val="nil"/>
          <w:bottom w:val="nil"/>
          <w:right w:val="nil"/>
          <w:between w:val="nil"/>
        </w:pBdr>
        <w:tabs>
          <w:tab w:val="right" w:pos="1021"/>
        </w:tabs>
        <w:spacing w:line="220" w:lineRule="exact"/>
        <w:ind w:left="1134" w:right="1134" w:hanging="1134"/>
        <w:rPr>
          <w:color w:val="000000"/>
          <w:sz w:val="18"/>
          <w:szCs w:val="18"/>
        </w:rPr>
      </w:pPr>
      <w:r>
        <w:rPr>
          <w:color w:val="000000"/>
          <w:sz w:val="18"/>
          <w:szCs w:val="18"/>
          <w:lang w:val="es-EC"/>
        </w:rPr>
        <w:tab/>
      </w:r>
      <w:r>
        <w:rPr>
          <w:rStyle w:val="Refdenotaalpie"/>
        </w:rPr>
        <w:footnoteRef/>
      </w:r>
      <w:r>
        <w:rPr>
          <w:color w:val="000000"/>
          <w:sz w:val="18"/>
          <w:szCs w:val="18"/>
        </w:rPr>
        <w:tab/>
      </w:r>
      <w:r>
        <w:rPr>
          <w:color w:val="000000"/>
          <w:sz w:val="18"/>
          <w:szCs w:val="18"/>
        </w:rPr>
        <w:tab/>
        <w:t xml:space="preserve">El </w:t>
      </w:r>
      <w:sdt>
        <w:sdtPr>
          <w:tag w:val="goog_rdk_557"/>
          <w:id w:val="-979997307"/>
        </w:sdtPr>
        <w:sdtEndPr/>
        <w:sdtContent>
          <w:r>
            <w:rPr>
              <w:color w:val="000000"/>
              <w:sz w:val="18"/>
              <w:szCs w:val="18"/>
            </w:rPr>
            <w:t xml:space="preserve">Comité </w:t>
          </w:r>
          <w:r w:rsidR="00EB5560">
            <w:rPr>
              <w:color w:val="000000"/>
              <w:sz w:val="18"/>
              <w:szCs w:val="18"/>
            </w:rPr>
            <w:t>observa</w:t>
          </w:r>
          <w:r>
            <w:rPr>
              <w:color w:val="000000"/>
              <w:sz w:val="18"/>
              <w:szCs w:val="18"/>
            </w:rPr>
            <w:t xml:space="preserve"> que el </w:t>
          </w:r>
        </w:sdtContent>
      </w:sdt>
      <w:r>
        <w:rPr>
          <w:color w:val="000000"/>
          <w:sz w:val="18"/>
          <w:szCs w:val="18"/>
        </w:rPr>
        <w:t>7 de diciembre del 2021 el Senado de la República nombró a los nueve nuevos miembros del Consejo Consultivo.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AA4" w14:textId="6B14131A" w:rsidR="001872B1" w:rsidRPr="00C43B75" w:rsidRDefault="001872B1" w:rsidP="006B5133">
    <w:pPr>
      <w:pStyle w:val="Encabezado"/>
      <w:rPr>
        <w:lang w:val="en-US"/>
      </w:rPr>
    </w:pPr>
    <w:r w:rsidRPr="006B5133">
      <w:rPr>
        <w:lang w:val="en-GB"/>
      </w:rPr>
      <w:t>CED/C/</w:t>
    </w:r>
    <w:r w:rsidR="009038C1" w:rsidRPr="006B5133">
      <w:rPr>
        <w:lang w:val="en-GB"/>
      </w:rPr>
      <w:t>MEX/VR/1</w:t>
    </w:r>
    <w:r w:rsidRPr="006B5133">
      <w:rPr>
        <w:lang w:val="en-GB"/>
      </w:rPr>
      <w:t xml:space="preserve"> (Findings)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AA89" w14:textId="2830D329" w:rsidR="001872B1" w:rsidRPr="006B5133" w:rsidRDefault="001872B1" w:rsidP="009038C1">
    <w:pPr>
      <w:pStyle w:val="Encabezado"/>
      <w:jc w:val="right"/>
      <w:rPr>
        <w:u w:val="double"/>
        <w:lang w:val="en-GB"/>
      </w:rPr>
    </w:pPr>
    <w:r w:rsidRPr="006B5133">
      <w:rPr>
        <w:lang w:val="en-GB"/>
      </w:rPr>
      <w:t>CED/C</w:t>
    </w:r>
    <w:r w:rsidR="009038C1" w:rsidRPr="006B5133">
      <w:rPr>
        <w:lang w:val="en-GB"/>
      </w:rPr>
      <w:t>/MEX/VR/1</w:t>
    </w:r>
    <w:r w:rsidRPr="006B5133">
      <w:rPr>
        <w:lang w:val="en-GB"/>
      </w:rPr>
      <w:t xml:space="preserve"> (Findings)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EE9EB7D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9BA027C" w:tentative="1">
      <w:start w:val="1"/>
      <w:numFmt w:val="lowerLetter"/>
      <w:lvlText w:val="%2."/>
      <w:lvlJc w:val="left"/>
      <w:pPr>
        <w:tabs>
          <w:tab w:val="num" w:pos="1440"/>
        </w:tabs>
        <w:ind w:left="1440" w:hanging="360"/>
      </w:pPr>
    </w:lvl>
    <w:lvl w:ilvl="2" w:tplc="890AEAF4" w:tentative="1">
      <w:start w:val="1"/>
      <w:numFmt w:val="lowerRoman"/>
      <w:lvlText w:val="%3."/>
      <w:lvlJc w:val="right"/>
      <w:pPr>
        <w:tabs>
          <w:tab w:val="num" w:pos="2160"/>
        </w:tabs>
        <w:ind w:left="2160" w:hanging="180"/>
      </w:pPr>
    </w:lvl>
    <w:lvl w:ilvl="3" w:tplc="5244901A" w:tentative="1">
      <w:start w:val="1"/>
      <w:numFmt w:val="decimal"/>
      <w:lvlText w:val="%4."/>
      <w:lvlJc w:val="left"/>
      <w:pPr>
        <w:tabs>
          <w:tab w:val="num" w:pos="2880"/>
        </w:tabs>
        <w:ind w:left="2880" w:hanging="360"/>
      </w:pPr>
    </w:lvl>
    <w:lvl w:ilvl="4" w:tplc="9D4CE04A" w:tentative="1">
      <w:start w:val="1"/>
      <w:numFmt w:val="lowerLetter"/>
      <w:lvlText w:val="%5."/>
      <w:lvlJc w:val="left"/>
      <w:pPr>
        <w:tabs>
          <w:tab w:val="num" w:pos="3600"/>
        </w:tabs>
        <w:ind w:left="3600" w:hanging="360"/>
      </w:pPr>
    </w:lvl>
    <w:lvl w:ilvl="5" w:tplc="308029B2" w:tentative="1">
      <w:start w:val="1"/>
      <w:numFmt w:val="lowerRoman"/>
      <w:lvlText w:val="%6."/>
      <w:lvlJc w:val="right"/>
      <w:pPr>
        <w:tabs>
          <w:tab w:val="num" w:pos="4320"/>
        </w:tabs>
        <w:ind w:left="4320" w:hanging="180"/>
      </w:pPr>
    </w:lvl>
    <w:lvl w:ilvl="6" w:tplc="FB0A518C" w:tentative="1">
      <w:start w:val="1"/>
      <w:numFmt w:val="decimal"/>
      <w:lvlText w:val="%7."/>
      <w:lvlJc w:val="left"/>
      <w:pPr>
        <w:tabs>
          <w:tab w:val="num" w:pos="5040"/>
        </w:tabs>
        <w:ind w:left="5040" w:hanging="360"/>
      </w:pPr>
    </w:lvl>
    <w:lvl w:ilvl="7" w:tplc="CAAA6D82" w:tentative="1">
      <w:start w:val="1"/>
      <w:numFmt w:val="lowerLetter"/>
      <w:lvlText w:val="%8."/>
      <w:lvlJc w:val="left"/>
      <w:pPr>
        <w:tabs>
          <w:tab w:val="num" w:pos="5760"/>
        </w:tabs>
        <w:ind w:left="5760" w:hanging="360"/>
      </w:pPr>
    </w:lvl>
    <w:lvl w:ilvl="8" w:tplc="A300D40C" w:tentative="1">
      <w:start w:val="1"/>
      <w:numFmt w:val="lowerRoman"/>
      <w:lvlText w:val="%9."/>
      <w:lvlJc w:val="right"/>
      <w:pPr>
        <w:tabs>
          <w:tab w:val="num" w:pos="6480"/>
        </w:tabs>
        <w:ind w:left="6480" w:hanging="180"/>
      </w:pPr>
    </w:lvl>
  </w:abstractNum>
  <w:abstractNum w:abstractNumId="11" w15:restartNumberingAfterBreak="0">
    <w:nsid w:val="1B6A567A"/>
    <w:multiLevelType w:val="hybridMultilevel"/>
    <w:tmpl w:val="62921730"/>
    <w:lvl w:ilvl="0" w:tplc="040A000F">
      <w:start w:val="2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C8470AB"/>
    <w:multiLevelType w:val="hybridMultilevel"/>
    <w:tmpl w:val="587AD104"/>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7743B"/>
    <w:multiLevelType w:val="hybridMultilevel"/>
    <w:tmpl w:val="165289D8"/>
    <w:lvl w:ilvl="0" w:tplc="7C32ED64">
      <w:start w:val="1"/>
      <w:numFmt w:val="bullet"/>
      <w:pStyle w:val="Bullet2G"/>
      <w:lvlText w:val="•"/>
      <w:lvlJc w:val="left"/>
      <w:pPr>
        <w:tabs>
          <w:tab w:val="num" w:pos="2268"/>
        </w:tabs>
        <w:ind w:left="2268" w:hanging="170"/>
      </w:pPr>
      <w:rPr>
        <w:rFonts w:ascii="Times New Roman" w:hAnsi="Times New Roman" w:cs="Times New Roman" w:hint="default"/>
      </w:rPr>
    </w:lvl>
    <w:lvl w:ilvl="1" w:tplc="CE4238A2" w:tentative="1">
      <w:start w:val="1"/>
      <w:numFmt w:val="bullet"/>
      <w:lvlText w:val="o"/>
      <w:lvlJc w:val="left"/>
      <w:pPr>
        <w:tabs>
          <w:tab w:val="num" w:pos="1440"/>
        </w:tabs>
        <w:ind w:left="1440" w:hanging="360"/>
      </w:pPr>
      <w:rPr>
        <w:rFonts w:ascii="Courier New" w:hAnsi="Courier New" w:hint="default"/>
      </w:rPr>
    </w:lvl>
    <w:lvl w:ilvl="2" w:tplc="320A0248" w:tentative="1">
      <w:start w:val="1"/>
      <w:numFmt w:val="bullet"/>
      <w:lvlText w:val=""/>
      <w:lvlJc w:val="left"/>
      <w:pPr>
        <w:tabs>
          <w:tab w:val="num" w:pos="2160"/>
        </w:tabs>
        <w:ind w:left="2160" w:hanging="360"/>
      </w:pPr>
      <w:rPr>
        <w:rFonts w:ascii="Wingdings" w:hAnsi="Wingdings" w:hint="default"/>
      </w:rPr>
    </w:lvl>
    <w:lvl w:ilvl="3" w:tplc="DECE295C" w:tentative="1">
      <w:start w:val="1"/>
      <w:numFmt w:val="bullet"/>
      <w:lvlText w:val=""/>
      <w:lvlJc w:val="left"/>
      <w:pPr>
        <w:tabs>
          <w:tab w:val="num" w:pos="2880"/>
        </w:tabs>
        <w:ind w:left="2880" w:hanging="360"/>
      </w:pPr>
      <w:rPr>
        <w:rFonts w:ascii="Symbol" w:hAnsi="Symbol" w:hint="default"/>
      </w:rPr>
    </w:lvl>
    <w:lvl w:ilvl="4" w:tplc="0E8C59C2" w:tentative="1">
      <w:start w:val="1"/>
      <w:numFmt w:val="bullet"/>
      <w:lvlText w:val="o"/>
      <w:lvlJc w:val="left"/>
      <w:pPr>
        <w:tabs>
          <w:tab w:val="num" w:pos="3600"/>
        </w:tabs>
        <w:ind w:left="3600" w:hanging="360"/>
      </w:pPr>
      <w:rPr>
        <w:rFonts w:ascii="Courier New" w:hAnsi="Courier New" w:hint="default"/>
      </w:rPr>
    </w:lvl>
    <w:lvl w:ilvl="5" w:tplc="EEFAA26A" w:tentative="1">
      <w:start w:val="1"/>
      <w:numFmt w:val="bullet"/>
      <w:lvlText w:val=""/>
      <w:lvlJc w:val="left"/>
      <w:pPr>
        <w:tabs>
          <w:tab w:val="num" w:pos="4320"/>
        </w:tabs>
        <w:ind w:left="4320" w:hanging="360"/>
      </w:pPr>
      <w:rPr>
        <w:rFonts w:ascii="Wingdings" w:hAnsi="Wingdings" w:hint="default"/>
      </w:rPr>
    </w:lvl>
    <w:lvl w:ilvl="6" w:tplc="5A24A4BA" w:tentative="1">
      <w:start w:val="1"/>
      <w:numFmt w:val="bullet"/>
      <w:lvlText w:val=""/>
      <w:lvlJc w:val="left"/>
      <w:pPr>
        <w:tabs>
          <w:tab w:val="num" w:pos="5040"/>
        </w:tabs>
        <w:ind w:left="5040" w:hanging="360"/>
      </w:pPr>
      <w:rPr>
        <w:rFonts w:ascii="Symbol" w:hAnsi="Symbol" w:hint="default"/>
      </w:rPr>
    </w:lvl>
    <w:lvl w:ilvl="7" w:tplc="09D6924A" w:tentative="1">
      <w:start w:val="1"/>
      <w:numFmt w:val="bullet"/>
      <w:lvlText w:val="o"/>
      <w:lvlJc w:val="left"/>
      <w:pPr>
        <w:tabs>
          <w:tab w:val="num" w:pos="5760"/>
        </w:tabs>
        <w:ind w:left="5760" w:hanging="360"/>
      </w:pPr>
      <w:rPr>
        <w:rFonts w:ascii="Courier New" w:hAnsi="Courier New" w:hint="default"/>
      </w:rPr>
    </w:lvl>
    <w:lvl w:ilvl="8" w:tplc="C74AE0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81CD1"/>
    <w:multiLevelType w:val="multilevel"/>
    <w:tmpl w:val="69A2CF4E"/>
    <w:lvl w:ilvl="0">
      <w:start w:val="1"/>
      <w:numFmt w:val="decimal"/>
      <w:lvlText w:val="%1."/>
      <w:lvlJc w:val="left"/>
      <w:pPr>
        <w:ind w:left="1210" w:hanging="360"/>
      </w:pPr>
      <w:rPr>
        <w:sz w:val="20"/>
        <w:szCs w:val="2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86D5E0E"/>
    <w:multiLevelType w:val="hybridMultilevel"/>
    <w:tmpl w:val="8188B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D3DE4"/>
    <w:multiLevelType w:val="hybridMultilevel"/>
    <w:tmpl w:val="569E52D4"/>
    <w:lvl w:ilvl="0" w:tplc="78420BB4">
      <w:start w:val="1"/>
      <w:numFmt w:val="bullet"/>
      <w:pStyle w:val="Bullet1G"/>
      <w:lvlText w:val="•"/>
      <w:lvlJc w:val="left"/>
      <w:pPr>
        <w:tabs>
          <w:tab w:val="num" w:pos="1701"/>
        </w:tabs>
        <w:ind w:left="1701" w:hanging="170"/>
      </w:pPr>
      <w:rPr>
        <w:rFonts w:ascii="Times New Roman" w:hAnsi="Times New Roman" w:cs="Times New Roman" w:hint="default"/>
      </w:rPr>
    </w:lvl>
    <w:lvl w:ilvl="1" w:tplc="4E96550A" w:tentative="1">
      <w:start w:val="1"/>
      <w:numFmt w:val="bullet"/>
      <w:lvlText w:val="o"/>
      <w:lvlJc w:val="left"/>
      <w:pPr>
        <w:tabs>
          <w:tab w:val="num" w:pos="1440"/>
        </w:tabs>
        <w:ind w:left="1440" w:hanging="360"/>
      </w:pPr>
      <w:rPr>
        <w:rFonts w:ascii="Courier New" w:hAnsi="Courier New" w:hint="default"/>
      </w:rPr>
    </w:lvl>
    <w:lvl w:ilvl="2" w:tplc="D6BEB64E" w:tentative="1">
      <w:start w:val="1"/>
      <w:numFmt w:val="bullet"/>
      <w:lvlText w:val=""/>
      <w:lvlJc w:val="left"/>
      <w:pPr>
        <w:tabs>
          <w:tab w:val="num" w:pos="2160"/>
        </w:tabs>
        <w:ind w:left="2160" w:hanging="360"/>
      </w:pPr>
      <w:rPr>
        <w:rFonts w:ascii="Wingdings" w:hAnsi="Wingdings" w:hint="default"/>
      </w:rPr>
    </w:lvl>
    <w:lvl w:ilvl="3" w:tplc="5212E9C2" w:tentative="1">
      <w:start w:val="1"/>
      <w:numFmt w:val="bullet"/>
      <w:lvlText w:val=""/>
      <w:lvlJc w:val="left"/>
      <w:pPr>
        <w:tabs>
          <w:tab w:val="num" w:pos="2880"/>
        </w:tabs>
        <w:ind w:left="2880" w:hanging="360"/>
      </w:pPr>
      <w:rPr>
        <w:rFonts w:ascii="Symbol" w:hAnsi="Symbol" w:hint="default"/>
      </w:rPr>
    </w:lvl>
    <w:lvl w:ilvl="4" w:tplc="7FE85AB0" w:tentative="1">
      <w:start w:val="1"/>
      <w:numFmt w:val="bullet"/>
      <w:lvlText w:val="o"/>
      <w:lvlJc w:val="left"/>
      <w:pPr>
        <w:tabs>
          <w:tab w:val="num" w:pos="3600"/>
        </w:tabs>
        <w:ind w:left="3600" w:hanging="360"/>
      </w:pPr>
      <w:rPr>
        <w:rFonts w:ascii="Courier New" w:hAnsi="Courier New" w:hint="default"/>
      </w:rPr>
    </w:lvl>
    <w:lvl w:ilvl="5" w:tplc="889C6096" w:tentative="1">
      <w:start w:val="1"/>
      <w:numFmt w:val="bullet"/>
      <w:lvlText w:val=""/>
      <w:lvlJc w:val="left"/>
      <w:pPr>
        <w:tabs>
          <w:tab w:val="num" w:pos="4320"/>
        </w:tabs>
        <w:ind w:left="4320" w:hanging="360"/>
      </w:pPr>
      <w:rPr>
        <w:rFonts w:ascii="Wingdings" w:hAnsi="Wingdings" w:hint="default"/>
      </w:rPr>
    </w:lvl>
    <w:lvl w:ilvl="6" w:tplc="C53AFBEC" w:tentative="1">
      <w:start w:val="1"/>
      <w:numFmt w:val="bullet"/>
      <w:lvlText w:val=""/>
      <w:lvlJc w:val="left"/>
      <w:pPr>
        <w:tabs>
          <w:tab w:val="num" w:pos="5040"/>
        </w:tabs>
        <w:ind w:left="5040" w:hanging="360"/>
      </w:pPr>
      <w:rPr>
        <w:rFonts w:ascii="Symbol" w:hAnsi="Symbol" w:hint="default"/>
      </w:rPr>
    </w:lvl>
    <w:lvl w:ilvl="7" w:tplc="0F101F42" w:tentative="1">
      <w:start w:val="1"/>
      <w:numFmt w:val="bullet"/>
      <w:lvlText w:val="o"/>
      <w:lvlJc w:val="left"/>
      <w:pPr>
        <w:tabs>
          <w:tab w:val="num" w:pos="5760"/>
        </w:tabs>
        <w:ind w:left="5760" w:hanging="360"/>
      </w:pPr>
      <w:rPr>
        <w:rFonts w:ascii="Courier New" w:hAnsi="Courier New" w:hint="default"/>
      </w:rPr>
    </w:lvl>
    <w:lvl w:ilvl="8" w:tplc="9D16F5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A15DF1"/>
    <w:multiLevelType w:val="hybridMultilevel"/>
    <w:tmpl w:val="00621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3"/>
  </w:num>
  <w:num w:numId="3">
    <w:abstractNumId w:val="20"/>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20"/>
  </w:num>
  <w:num w:numId="19">
    <w:abstractNumId w:val="18"/>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1"/>
  </w:num>
  <w:num w:numId="33">
    <w:abstractNumId w:val="14"/>
  </w:num>
  <w:num w:numId="34">
    <w:abstractNumId w:val="12"/>
  </w:num>
  <w:num w:numId="35">
    <w:abstractNumId w:val="16"/>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419" w:vendorID="64" w:dllVersion="6" w:nlCheck="1" w:checkStyle="0"/>
  <w:activeWritingStyle w:appName="MSWord" w:lang="fr-F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EC" w:vendorID="64" w:dllVersion="6"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activeWritingStyle w:appName="MSWord" w:lang="en-US" w:vendorID="64" w:dllVersion="6" w:nlCheck="1" w:checkStyle="1"/>
  <w:activeWritingStyle w:appName="MSWord" w:lang="es-PA" w:vendorID="64" w:dllVersion="6" w:nlCheck="1" w:checkStyle="0"/>
  <w:activeWritingStyle w:appName="MSWord" w:lang="es-MX" w:vendorID="64" w:dllVersion="6"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1847"/>
    <w:rsid w:val="00001AFC"/>
    <w:rsid w:val="00005FF1"/>
    <w:rsid w:val="00007BCB"/>
    <w:rsid w:val="000107AA"/>
    <w:rsid w:val="00012DBC"/>
    <w:rsid w:val="00015416"/>
    <w:rsid w:val="00021C99"/>
    <w:rsid w:val="000256B6"/>
    <w:rsid w:val="00030A39"/>
    <w:rsid w:val="0003125A"/>
    <w:rsid w:val="00032051"/>
    <w:rsid w:val="00033EE1"/>
    <w:rsid w:val="000374A8"/>
    <w:rsid w:val="00042B72"/>
    <w:rsid w:val="00044C8B"/>
    <w:rsid w:val="000469AF"/>
    <w:rsid w:val="00046ACE"/>
    <w:rsid w:val="00051299"/>
    <w:rsid w:val="000558BD"/>
    <w:rsid w:val="0005794B"/>
    <w:rsid w:val="00063C67"/>
    <w:rsid w:val="00066501"/>
    <w:rsid w:val="00070155"/>
    <w:rsid w:val="00072699"/>
    <w:rsid w:val="00072E39"/>
    <w:rsid w:val="00080190"/>
    <w:rsid w:val="00084364"/>
    <w:rsid w:val="00085ACB"/>
    <w:rsid w:val="00087C03"/>
    <w:rsid w:val="000914D4"/>
    <w:rsid w:val="0009161A"/>
    <w:rsid w:val="00093CC3"/>
    <w:rsid w:val="00097529"/>
    <w:rsid w:val="000A2ACC"/>
    <w:rsid w:val="000A41D9"/>
    <w:rsid w:val="000A66C7"/>
    <w:rsid w:val="000B19FA"/>
    <w:rsid w:val="000B53EA"/>
    <w:rsid w:val="000B57E7"/>
    <w:rsid w:val="000B5E61"/>
    <w:rsid w:val="000B6373"/>
    <w:rsid w:val="000C0F61"/>
    <w:rsid w:val="000C453D"/>
    <w:rsid w:val="000C4735"/>
    <w:rsid w:val="000D1525"/>
    <w:rsid w:val="000D3664"/>
    <w:rsid w:val="000D4126"/>
    <w:rsid w:val="000D5740"/>
    <w:rsid w:val="000D5D2C"/>
    <w:rsid w:val="000E3B0F"/>
    <w:rsid w:val="000E51A9"/>
    <w:rsid w:val="000E715A"/>
    <w:rsid w:val="000F00A2"/>
    <w:rsid w:val="000F07E4"/>
    <w:rsid w:val="000F09DF"/>
    <w:rsid w:val="000F12F4"/>
    <w:rsid w:val="000F3FBB"/>
    <w:rsid w:val="000F4A62"/>
    <w:rsid w:val="000F61B2"/>
    <w:rsid w:val="000F688F"/>
    <w:rsid w:val="0010221C"/>
    <w:rsid w:val="001035A4"/>
    <w:rsid w:val="00103880"/>
    <w:rsid w:val="001042C2"/>
    <w:rsid w:val="00104303"/>
    <w:rsid w:val="001069D9"/>
    <w:rsid w:val="001075E9"/>
    <w:rsid w:val="00112445"/>
    <w:rsid w:val="001125F6"/>
    <w:rsid w:val="00112A27"/>
    <w:rsid w:val="001145BF"/>
    <w:rsid w:val="0011503B"/>
    <w:rsid w:val="00125508"/>
    <w:rsid w:val="00126604"/>
    <w:rsid w:val="001271D0"/>
    <w:rsid w:val="00127493"/>
    <w:rsid w:val="001331E7"/>
    <w:rsid w:val="0013594E"/>
    <w:rsid w:val="00136E55"/>
    <w:rsid w:val="0014379A"/>
    <w:rsid w:val="0014415B"/>
    <w:rsid w:val="00164189"/>
    <w:rsid w:val="00167E0B"/>
    <w:rsid w:val="0017423D"/>
    <w:rsid w:val="00177F64"/>
    <w:rsid w:val="00177FAA"/>
    <w:rsid w:val="00180183"/>
    <w:rsid w:val="0018024D"/>
    <w:rsid w:val="00181411"/>
    <w:rsid w:val="001831CC"/>
    <w:rsid w:val="0018649F"/>
    <w:rsid w:val="00186AA0"/>
    <w:rsid w:val="00187198"/>
    <w:rsid w:val="001872B1"/>
    <w:rsid w:val="001905A9"/>
    <w:rsid w:val="001914B5"/>
    <w:rsid w:val="00192D6A"/>
    <w:rsid w:val="00193916"/>
    <w:rsid w:val="00194929"/>
    <w:rsid w:val="00196389"/>
    <w:rsid w:val="001971D3"/>
    <w:rsid w:val="001A3063"/>
    <w:rsid w:val="001A4396"/>
    <w:rsid w:val="001B2989"/>
    <w:rsid w:val="001B3EF6"/>
    <w:rsid w:val="001B44DD"/>
    <w:rsid w:val="001B68D6"/>
    <w:rsid w:val="001C1888"/>
    <w:rsid w:val="001C2052"/>
    <w:rsid w:val="001C49F8"/>
    <w:rsid w:val="001C73F0"/>
    <w:rsid w:val="001C7A89"/>
    <w:rsid w:val="001D0974"/>
    <w:rsid w:val="001D10D2"/>
    <w:rsid w:val="001D113E"/>
    <w:rsid w:val="001D4D8A"/>
    <w:rsid w:val="001D6A76"/>
    <w:rsid w:val="001D6B8E"/>
    <w:rsid w:val="001E7166"/>
    <w:rsid w:val="001F0963"/>
    <w:rsid w:val="001F2886"/>
    <w:rsid w:val="00201537"/>
    <w:rsid w:val="002016BC"/>
    <w:rsid w:val="00201B10"/>
    <w:rsid w:val="002035C0"/>
    <w:rsid w:val="00207E19"/>
    <w:rsid w:val="00214A90"/>
    <w:rsid w:val="002157BB"/>
    <w:rsid w:val="00224BB0"/>
    <w:rsid w:val="0022765A"/>
    <w:rsid w:val="00231355"/>
    <w:rsid w:val="0023200B"/>
    <w:rsid w:val="00232D2F"/>
    <w:rsid w:val="00242F74"/>
    <w:rsid w:val="0024511F"/>
    <w:rsid w:val="00246C76"/>
    <w:rsid w:val="00262A81"/>
    <w:rsid w:val="00263CA5"/>
    <w:rsid w:val="00265CFA"/>
    <w:rsid w:val="00267189"/>
    <w:rsid w:val="00272C61"/>
    <w:rsid w:val="00276E61"/>
    <w:rsid w:val="00283A05"/>
    <w:rsid w:val="00284188"/>
    <w:rsid w:val="00284B98"/>
    <w:rsid w:val="002903D6"/>
    <w:rsid w:val="00290483"/>
    <w:rsid w:val="00290D22"/>
    <w:rsid w:val="00294A0D"/>
    <w:rsid w:val="00297A36"/>
    <w:rsid w:val="002A02C6"/>
    <w:rsid w:val="002A1774"/>
    <w:rsid w:val="002A2EFC"/>
    <w:rsid w:val="002A497A"/>
    <w:rsid w:val="002A6799"/>
    <w:rsid w:val="002B1227"/>
    <w:rsid w:val="002B71B0"/>
    <w:rsid w:val="002C00CA"/>
    <w:rsid w:val="002C0E18"/>
    <w:rsid w:val="002C15C2"/>
    <w:rsid w:val="002C2B93"/>
    <w:rsid w:val="002C3864"/>
    <w:rsid w:val="002C46FB"/>
    <w:rsid w:val="002C6EE7"/>
    <w:rsid w:val="002C7923"/>
    <w:rsid w:val="002D00E7"/>
    <w:rsid w:val="002D0452"/>
    <w:rsid w:val="002D32FB"/>
    <w:rsid w:val="002D3967"/>
    <w:rsid w:val="002D4172"/>
    <w:rsid w:val="002D5AAC"/>
    <w:rsid w:val="002D6360"/>
    <w:rsid w:val="002D7668"/>
    <w:rsid w:val="002E2070"/>
    <w:rsid w:val="002E277B"/>
    <w:rsid w:val="002E2F1C"/>
    <w:rsid w:val="002E3D60"/>
    <w:rsid w:val="002E3E3E"/>
    <w:rsid w:val="002E623A"/>
    <w:rsid w:val="002F012E"/>
    <w:rsid w:val="002F0347"/>
    <w:rsid w:val="002F32D4"/>
    <w:rsid w:val="002F405F"/>
    <w:rsid w:val="002F5A61"/>
    <w:rsid w:val="002F66B0"/>
    <w:rsid w:val="003006AD"/>
    <w:rsid w:val="00301299"/>
    <w:rsid w:val="00302F82"/>
    <w:rsid w:val="003054AD"/>
    <w:rsid w:val="00305978"/>
    <w:rsid w:val="00307FB6"/>
    <w:rsid w:val="00310F28"/>
    <w:rsid w:val="00312747"/>
    <w:rsid w:val="00312A81"/>
    <w:rsid w:val="00313A9E"/>
    <w:rsid w:val="00317339"/>
    <w:rsid w:val="00317B88"/>
    <w:rsid w:val="00322004"/>
    <w:rsid w:val="00322A44"/>
    <w:rsid w:val="0032337C"/>
    <w:rsid w:val="003238CE"/>
    <w:rsid w:val="00325BE4"/>
    <w:rsid w:val="00335D0C"/>
    <w:rsid w:val="00335DDA"/>
    <w:rsid w:val="00340072"/>
    <w:rsid w:val="003402C2"/>
    <w:rsid w:val="00341A3C"/>
    <w:rsid w:val="003449AD"/>
    <w:rsid w:val="0034536F"/>
    <w:rsid w:val="00347F08"/>
    <w:rsid w:val="00347F34"/>
    <w:rsid w:val="00350EBB"/>
    <w:rsid w:val="00354C22"/>
    <w:rsid w:val="00357C2A"/>
    <w:rsid w:val="003630AC"/>
    <w:rsid w:val="00364808"/>
    <w:rsid w:val="003700F0"/>
    <w:rsid w:val="00374537"/>
    <w:rsid w:val="0037471B"/>
    <w:rsid w:val="00375B98"/>
    <w:rsid w:val="00376E4E"/>
    <w:rsid w:val="00377E6E"/>
    <w:rsid w:val="00381C24"/>
    <w:rsid w:val="0038251E"/>
    <w:rsid w:val="003958D0"/>
    <w:rsid w:val="00397045"/>
    <w:rsid w:val="003A2205"/>
    <w:rsid w:val="003A30B3"/>
    <w:rsid w:val="003A3CE4"/>
    <w:rsid w:val="003A4923"/>
    <w:rsid w:val="003A5754"/>
    <w:rsid w:val="003A6642"/>
    <w:rsid w:val="003B00E5"/>
    <w:rsid w:val="003B27ED"/>
    <w:rsid w:val="003C185E"/>
    <w:rsid w:val="003C5951"/>
    <w:rsid w:val="003C7A9A"/>
    <w:rsid w:val="003D31D3"/>
    <w:rsid w:val="003D3526"/>
    <w:rsid w:val="003D4A7B"/>
    <w:rsid w:val="003D4BC7"/>
    <w:rsid w:val="003D4FEE"/>
    <w:rsid w:val="003D69A1"/>
    <w:rsid w:val="003E0332"/>
    <w:rsid w:val="003F23F5"/>
    <w:rsid w:val="003F43D1"/>
    <w:rsid w:val="003F6A5D"/>
    <w:rsid w:val="003F6C2A"/>
    <w:rsid w:val="003F6FF0"/>
    <w:rsid w:val="00401CCB"/>
    <w:rsid w:val="00404977"/>
    <w:rsid w:val="00405277"/>
    <w:rsid w:val="00407B78"/>
    <w:rsid w:val="0041149C"/>
    <w:rsid w:val="004122C8"/>
    <w:rsid w:val="00420244"/>
    <w:rsid w:val="004236D2"/>
    <w:rsid w:val="0042384E"/>
    <w:rsid w:val="00424203"/>
    <w:rsid w:val="004279ED"/>
    <w:rsid w:val="004316A2"/>
    <w:rsid w:val="00432023"/>
    <w:rsid w:val="0043263B"/>
    <w:rsid w:val="0043774B"/>
    <w:rsid w:val="004411A8"/>
    <w:rsid w:val="004452DE"/>
    <w:rsid w:val="00446487"/>
    <w:rsid w:val="00447ABD"/>
    <w:rsid w:val="0045173D"/>
    <w:rsid w:val="00453475"/>
    <w:rsid w:val="00454E07"/>
    <w:rsid w:val="004622EA"/>
    <w:rsid w:val="00467610"/>
    <w:rsid w:val="00472265"/>
    <w:rsid w:val="00472AEE"/>
    <w:rsid w:val="004762AD"/>
    <w:rsid w:val="00477062"/>
    <w:rsid w:val="00482502"/>
    <w:rsid w:val="00484299"/>
    <w:rsid w:val="00486909"/>
    <w:rsid w:val="0049126E"/>
    <w:rsid w:val="004970B1"/>
    <w:rsid w:val="004A2EF1"/>
    <w:rsid w:val="004A456F"/>
    <w:rsid w:val="004B095B"/>
    <w:rsid w:val="004B17A0"/>
    <w:rsid w:val="004B1EB4"/>
    <w:rsid w:val="004B5B69"/>
    <w:rsid w:val="004B63BA"/>
    <w:rsid w:val="004B6408"/>
    <w:rsid w:val="004B7440"/>
    <w:rsid w:val="004C19F2"/>
    <w:rsid w:val="004C1B1E"/>
    <w:rsid w:val="004C2E37"/>
    <w:rsid w:val="004D1764"/>
    <w:rsid w:val="004D1828"/>
    <w:rsid w:val="004D380B"/>
    <w:rsid w:val="004D3BBB"/>
    <w:rsid w:val="004D5748"/>
    <w:rsid w:val="004D5D49"/>
    <w:rsid w:val="004D6D26"/>
    <w:rsid w:val="004E0504"/>
    <w:rsid w:val="004E76E9"/>
    <w:rsid w:val="004F0DF5"/>
    <w:rsid w:val="004F1145"/>
    <w:rsid w:val="004F34E8"/>
    <w:rsid w:val="004F705E"/>
    <w:rsid w:val="004F74DA"/>
    <w:rsid w:val="0050108D"/>
    <w:rsid w:val="00504ACF"/>
    <w:rsid w:val="00513081"/>
    <w:rsid w:val="00513B3B"/>
    <w:rsid w:val="00513B4F"/>
    <w:rsid w:val="00515440"/>
    <w:rsid w:val="00517901"/>
    <w:rsid w:val="005210BC"/>
    <w:rsid w:val="00521DC1"/>
    <w:rsid w:val="005256C0"/>
    <w:rsid w:val="00526683"/>
    <w:rsid w:val="0053536A"/>
    <w:rsid w:val="005358B9"/>
    <w:rsid w:val="005372CF"/>
    <w:rsid w:val="00537A01"/>
    <w:rsid w:val="00545992"/>
    <w:rsid w:val="00545BB9"/>
    <w:rsid w:val="0054685F"/>
    <w:rsid w:val="00551AD1"/>
    <w:rsid w:val="005601EF"/>
    <w:rsid w:val="00564662"/>
    <w:rsid w:val="005709E0"/>
    <w:rsid w:val="00572A9E"/>
    <w:rsid w:val="00572DA8"/>
    <w:rsid w:val="00572E19"/>
    <w:rsid w:val="005767AB"/>
    <w:rsid w:val="00577A81"/>
    <w:rsid w:val="00582272"/>
    <w:rsid w:val="00582621"/>
    <w:rsid w:val="00584AF5"/>
    <w:rsid w:val="00590E60"/>
    <w:rsid w:val="005961C8"/>
    <w:rsid w:val="00597BD5"/>
    <w:rsid w:val="005A289E"/>
    <w:rsid w:val="005A57D8"/>
    <w:rsid w:val="005B103B"/>
    <w:rsid w:val="005B170E"/>
    <w:rsid w:val="005B2F90"/>
    <w:rsid w:val="005B3572"/>
    <w:rsid w:val="005B7AD8"/>
    <w:rsid w:val="005C18F5"/>
    <w:rsid w:val="005C48C7"/>
    <w:rsid w:val="005C55F5"/>
    <w:rsid w:val="005C7785"/>
    <w:rsid w:val="005D0983"/>
    <w:rsid w:val="005D17CD"/>
    <w:rsid w:val="005D26D7"/>
    <w:rsid w:val="005D361A"/>
    <w:rsid w:val="005D3FAD"/>
    <w:rsid w:val="005D7914"/>
    <w:rsid w:val="005E1769"/>
    <w:rsid w:val="005E7D83"/>
    <w:rsid w:val="005F04BB"/>
    <w:rsid w:val="005F0B42"/>
    <w:rsid w:val="005F0DAF"/>
    <w:rsid w:val="005F5507"/>
    <w:rsid w:val="005F5CCD"/>
    <w:rsid w:val="005F5D2D"/>
    <w:rsid w:val="005F6ADB"/>
    <w:rsid w:val="00600C80"/>
    <w:rsid w:val="00605948"/>
    <w:rsid w:val="00613FA6"/>
    <w:rsid w:val="00614F81"/>
    <w:rsid w:val="00615628"/>
    <w:rsid w:val="006161E5"/>
    <w:rsid w:val="00617793"/>
    <w:rsid w:val="00617CF5"/>
    <w:rsid w:val="00621949"/>
    <w:rsid w:val="00622E38"/>
    <w:rsid w:val="0062446D"/>
    <w:rsid w:val="00625744"/>
    <w:rsid w:val="00627618"/>
    <w:rsid w:val="006304FB"/>
    <w:rsid w:val="00630F7A"/>
    <w:rsid w:val="006349D9"/>
    <w:rsid w:val="00635F7D"/>
    <w:rsid w:val="00640FA2"/>
    <w:rsid w:val="006419C6"/>
    <w:rsid w:val="0064296F"/>
    <w:rsid w:val="00643C38"/>
    <w:rsid w:val="0064414C"/>
    <w:rsid w:val="00645409"/>
    <w:rsid w:val="00650023"/>
    <w:rsid w:val="00654756"/>
    <w:rsid w:val="0067146B"/>
    <w:rsid w:val="00672711"/>
    <w:rsid w:val="006732F5"/>
    <w:rsid w:val="0067385F"/>
    <w:rsid w:val="006769E2"/>
    <w:rsid w:val="00681A10"/>
    <w:rsid w:val="00685716"/>
    <w:rsid w:val="00687080"/>
    <w:rsid w:val="00691042"/>
    <w:rsid w:val="00692855"/>
    <w:rsid w:val="0069543C"/>
    <w:rsid w:val="00696ABC"/>
    <w:rsid w:val="006A3C5C"/>
    <w:rsid w:val="006A4C2D"/>
    <w:rsid w:val="006A7D52"/>
    <w:rsid w:val="006B4D3B"/>
    <w:rsid w:val="006B5133"/>
    <w:rsid w:val="006C1F55"/>
    <w:rsid w:val="006C2031"/>
    <w:rsid w:val="006C2D1A"/>
    <w:rsid w:val="006C56B8"/>
    <w:rsid w:val="006D1DC9"/>
    <w:rsid w:val="006D4270"/>
    <w:rsid w:val="006D461A"/>
    <w:rsid w:val="006D52FE"/>
    <w:rsid w:val="006D6786"/>
    <w:rsid w:val="006D6ED1"/>
    <w:rsid w:val="006E33AD"/>
    <w:rsid w:val="006E3C21"/>
    <w:rsid w:val="006E46AE"/>
    <w:rsid w:val="006E6315"/>
    <w:rsid w:val="006F04CA"/>
    <w:rsid w:val="006F130B"/>
    <w:rsid w:val="006F2B28"/>
    <w:rsid w:val="006F3232"/>
    <w:rsid w:val="006F35EE"/>
    <w:rsid w:val="00700A66"/>
    <w:rsid w:val="007021FF"/>
    <w:rsid w:val="00703336"/>
    <w:rsid w:val="0070417C"/>
    <w:rsid w:val="00706BC6"/>
    <w:rsid w:val="0070703C"/>
    <w:rsid w:val="00710E97"/>
    <w:rsid w:val="00712895"/>
    <w:rsid w:val="00713BD9"/>
    <w:rsid w:val="00720AF9"/>
    <w:rsid w:val="00726A2B"/>
    <w:rsid w:val="00736D33"/>
    <w:rsid w:val="00742F6D"/>
    <w:rsid w:val="00742FD8"/>
    <w:rsid w:val="007508E4"/>
    <w:rsid w:val="00750DB0"/>
    <w:rsid w:val="00751873"/>
    <w:rsid w:val="007547AC"/>
    <w:rsid w:val="00754B77"/>
    <w:rsid w:val="00755E94"/>
    <w:rsid w:val="00756987"/>
    <w:rsid w:val="0075730E"/>
    <w:rsid w:val="00757357"/>
    <w:rsid w:val="00765034"/>
    <w:rsid w:val="007665FB"/>
    <w:rsid w:val="00766629"/>
    <w:rsid w:val="00773DCC"/>
    <w:rsid w:val="007747B5"/>
    <w:rsid w:val="00774F84"/>
    <w:rsid w:val="007753D2"/>
    <w:rsid w:val="00780930"/>
    <w:rsid w:val="007841CB"/>
    <w:rsid w:val="00795EC5"/>
    <w:rsid w:val="007A3C66"/>
    <w:rsid w:val="007B0A22"/>
    <w:rsid w:val="007B0C03"/>
    <w:rsid w:val="007B466C"/>
    <w:rsid w:val="007C0D12"/>
    <w:rsid w:val="007C228A"/>
    <w:rsid w:val="007C273A"/>
    <w:rsid w:val="007C333F"/>
    <w:rsid w:val="007D2E9F"/>
    <w:rsid w:val="007E072F"/>
    <w:rsid w:val="007E092F"/>
    <w:rsid w:val="007E0E7C"/>
    <w:rsid w:val="007E0F2A"/>
    <w:rsid w:val="007E2C6D"/>
    <w:rsid w:val="007E5B78"/>
    <w:rsid w:val="007E6029"/>
    <w:rsid w:val="007F1266"/>
    <w:rsid w:val="007F2641"/>
    <w:rsid w:val="007F33B2"/>
    <w:rsid w:val="007F5392"/>
    <w:rsid w:val="00802A0A"/>
    <w:rsid w:val="00802D67"/>
    <w:rsid w:val="00805D1C"/>
    <w:rsid w:val="008079D0"/>
    <w:rsid w:val="00820021"/>
    <w:rsid w:val="00823234"/>
    <w:rsid w:val="00825DFB"/>
    <w:rsid w:val="00825F8D"/>
    <w:rsid w:val="00832A75"/>
    <w:rsid w:val="00834B71"/>
    <w:rsid w:val="00841CBA"/>
    <w:rsid w:val="00842618"/>
    <w:rsid w:val="0084408C"/>
    <w:rsid w:val="00844133"/>
    <w:rsid w:val="008511ED"/>
    <w:rsid w:val="0085196E"/>
    <w:rsid w:val="00855CF8"/>
    <w:rsid w:val="008566DB"/>
    <w:rsid w:val="00856A0D"/>
    <w:rsid w:val="00857187"/>
    <w:rsid w:val="00857825"/>
    <w:rsid w:val="00860DF5"/>
    <w:rsid w:val="0086445C"/>
    <w:rsid w:val="00865180"/>
    <w:rsid w:val="00866D97"/>
    <w:rsid w:val="00874153"/>
    <w:rsid w:val="0087733D"/>
    <w:rsid w:val="00880EC4"/>
    <w:rsid w:val="00891B37"/>
    <w:rsid w:val="00891D89"/>
    <w:rsid w:val="00894693"/>
    <w:rsid w:val="0089523B"/>
    <w:rsid w:val="00895872"/>
    <w:rsid w:val="008A08D7"/>
    <w:rsid w:val="008A17F8"/>
    <w:rsid w:val="008A18EE"/>
    <w:rsid w:val="008A3067"/>
    <w:rsid w:val="008B1AB6"/>
    <w:rsid w:val="008B1E23"/>
    <w:rsid w:val="008B679B"/>
    <w:rsid w:val="008B6909"/>
    <w:rsid w:val="008B7D98"/>
    <w:rsid w:val="008C086C"/>
    <w:rsid w:val="008C5D26"/>
    <w:rsid w:val="008C7623"/>
    <w:rsid w:val="008D32FE"/>
    <w:rsid w:val="008D4EE9"/>
    <w:rsid w:val="008D7964"/>
    <w:rsid w:val="008E3860"/>
    <w:rsid w:val="008E4A7A"/>
    <w:rsid w:val="008E5747"/>
    <w:rsid w:val="008E63C4"/>
    <w:rsid w:val="008F088F"/>
    <w:rsid w:val="008F1A70"/>
    <w:rsid w:val="008F4337"/>
    <w:rsid w:val="008F4D0D"/>
    <w:rsid w:val="008F5C5A"/>
    <w:rsid w:val="009038C1"/>
    <w:rsid w:val="009061C1"/>
    <w:rsid w:val="00906890"/>
    <w:rsid w:val="00906FF3"/>
    <w:rsid w:val="009101A7"/>
    <w:rsid w:val="00911BE4"/>
    <w:rsid w:val="00913472"/>
    <w:rsid w:val="00913B48"/>
    <w:rsid w:val="0091763F"/>
    <w:rsid w:val="00920099"/>
    <w:rsid w:val="0092033F"/>
    <w:rsid w:val="00925017"/>
    <w:rsid w:val="00926437"/>
    <w:rsid w:val="00926BAD"/>
    <w:rsid w:val="009273CB"/>
    <w:rsid w:val="00932DD9"/>
    <w:rsid w:val="009335FB"/>
    <w:rsid w:val="00934B7D"/>
    <w:rsid w:val="00935A0B"/>
    <w:rsid w:val="00942C26"/>
    <w:rsid w:val="00944667"/>
    <w:rsid w:val="0094629E"/>
    <w:rsid w:val="00951972"/>
    <w:rsid w:val="009520E1"/>
    <w:rsid w:val="00953B31"/>
    <w:rsid w:val="0095682A"/>
    <w:rsid w:val="009608F3"/>
    <w:rsid w:val="00960DD7"/>
    <w:rsid w:val="009622B2"/>
    <w:rsid w:val="00964B98"/>
    <w:rsid w:val="00970978"/>
    <w:rsid w:val="00971E0A"/>
    <w:rsid w:val="0097276B"/>
    <w:rsid w:val="00972D1F"/>
    <w:rsid w:val="00973FA2"/>
    <w:rsid w:val="00974F3C"/>
    <w:rsid w:val="00976F99"/>
    <w:rsid w:val="00977E79"/>
    <w:rsid w:val="00985A7A"/>
    <w:rsid w:val="00992427"/>
    <w:rsid w:val="009929C5"/>
    <w:rsid w:val="009952DE"/>
    <w:rsid w:val="00996943"/>
    <w:rsid w:val="009A4DCD"/>
    <w:rsid w:val="009A55F2"/>
    <w:rsid w:val="009A751C"/>
    <w:rsid w:val="009A7D59"/>
    <w:rsid w:val="009B08DA"/>
    <w:rsid w:val="009B35EB"/>
    <w:rsid w:val="009B58AA"/>
    <w:rsid w:val="009C0378"/>
    <w:rsid w:val="009C1469"/>
    <w:rsid w:val="009C3962"/>
    <w:rsid w:val="009C6ABC"/>
    <w:rsid w:val="009C7325"/>
    <w:rsid w:val="009D28EB"/>
    <w:rsid w:val="009D4956"/>
    <w:rsid w:val="009D5E91"/>
    <w:rsid w:val="009D7282"/>
    <w:rsid w:val="009D7D59"/>
    <w:rsid w:val="009E1106"/>
    <w:rsid w:val="009E141F"/>
    <w:rsid w:val="009E76FE"/>
    <w:rsid w:val="009F43E7"/>
    <w:rsid w:val="009F4661"/>
    <w:rsid w:val="009F545C"/>
    <w:rsid w:val="00A010E0"/>
    <w:rsid w:val="00A048F1"/>
    <w:rsid w:val="00A06CE4"/>
    <w:rsid w:val="00A10F1F"/>
    <w:rsid w:val="00A112A5"/>
    <w:rsid w:val="00A128DE"/>
    <w:rsid w:val="00A15A31"/>
    <w:rsid w:val="00A21EC3"/>
    <w:rsid w:val="00A234DD"/>
    <w:rsid w:val="00A32382"/>
    <w:rsid w:val="00A35956"/>
    <w:rsid w:val="00A4427A"/>
    <w:rsid w:val="00A44B2D"/>
    <w:rsid w:val="00A501E9"/>
    <w:rsid w:val="00A578FA"/>
    <w:rsid w:val="00A62862"/>
    <w:rsid w:val="00A67C12"/>
    <w:rsid w:val="00A700D0"/>
    <w:rsid w:val="00A72202"/>
    <w:rsid w:val="00A82F68"/>
    <w:rsid w:val="00A83570"/>
    <w:rsid w:val="00A8392E"/>
    <w:rsid w:val="00A84021"/>
    <w:rsid w:val="00A84179"/>
    <w:rsid w:val="00A86F80"/>
    <w:rsid w:val="00A90C2B"/>
    <w:rsid w:val="00A917B3"/>
    <w:rsid w:val="00A9685C"/>
    <w:rsid w:val="00A97DAB"/>
    <w:rsid w:val="00AA3DEA"/>
    <w:rsid w:val="00AB16EC"/>
    <w:rsid w:val="00AB3160"/>
    <w:rsid w:val="00AB3FB3"/>
    <w:rsid w:val="00AB4B51"/>
    <w:rsid w:val="00AB667B"/>
    <w:rsid w:val="00AC07A5"/>
    <w:rsid w:val="00AC0FA6"/>
    <w:rsid w:val="00AC1B09"/>
    <w:rsid w:val="00AC2537"/>
    <w:rsid w:val="00AC4AB1"/>
    <w:rsid w:val="00AC698D"/>
    <w:rsid w:val="00AD01D6"/>
    <w:rsid w:val="00AD183B"/>
    <w:rsid w:val="00AD67BE"/>
    <w:rsid w:val="00AD6B76"/>
    <w:rsid w:val="00AE0547"/>
    <w:rsid w:val="00AE4D70"/>
    <w:rsid w:val="00AE52D7"/>
    <w:rsid w:val="00AE5F3B"/>
    <w:rsid w:val="00AF1D5D"/>
    <w:rsid w:val="00AF32E7"/>
    <w:rsid w:val="00AF53FC"/>
    <w:rsid w:val="00AF63D2"/>
    <w:rsid w:val="00B004BE"/>
    <w:rsid w:val="00B02723"/>
    <w:rsid w:val="00B05B58"/>
    <w:rsid w:val="00B07F97"/>
    <w:rsid w:val="00B10CC7"/>
    <w:rsid w:val="00B213FE"/>
    <w:rsid w:val="00B245B7"/>
    <w:rsid w:val="00B30E0A"/>
    <w:rsid w:val="00B316C6"/>
    <w:rsid w:val="00B33EA4"/>
    <w:rsid w:val="00B357A9"/>
    <w:rsid w:val="00B35B95"/>
    <w:rsid w:val="00B378E6"/>
    <w:rsid w:val="00B43315"/>
    <w:rsid w:val="00B453AB"/>
    <w:rsid w:val="00B5040C"/>
    <w:rsid w:val="00B539E7"/>
    <w:rsid w:val="00B54114"/>
    <w:rsid w:val="00B55074"/>
    <w:rsid w:val="00B56327"/>
    <w:rsid w:val="00B563EB"/>
    <w:rsid w:val="00B5647A"/>
    <w:rsid w:val="00B5720B"/>
    <w:rsid w:val="00B61D7B"/>
    <w:rsid w:val="00B62458"/>
    <w:rsid w:val="00B6369F"/>
    <w:rsid w:val="00B6550C"/>
    <w:rsid w:val="00B661F3"/>
    <w:rsid w:val="00B6764D"/>
    <w:rsid w:val="00B716C7"/>
    <w:rsid w:val="00B716E5"/>
    <w:rsid w:val="00B724B6"/>
    <w:rsid w:val="00B746B3"/>
    <w:rsid w:val="00B80A93"/>
    <w:rsid w:val="00B900AB"/>
    <w:rsid w:val="00B91115"/>
    <w:rsid w:val="00BA072B"/>
    <w:rsid w:val="00BA52EB"/>
    <w:rsid w:val="00BA5A60"/>
    <w:rsid w:val="00BB25F7"/>
    <w:rsid w:val="00BB3491"/>
    <w:rsid w:val="00BB417A"/>
    <w:rsid w:val="00BB4534"/>
    <w:rsid w:val="00BB5704"/>
    <w:rsid w:val="00BB7224"/>
    <w:rsid w:val="00BB774A"/>
    <w:rsid w:val="00BC246D"/>
    <w:rsid w:val="00BC3A80"/>
    <w:rsid w:val="00BC576A"/>
    <w:rsid w:val="00BD33EE"/>
    <w:rsid w:val="00BD4E6F"/>
    <w:rsid w:val="00BE3F10"/>
    <w:rsid w:val="00BE4CE4"/>
    <w:rsid w:val="00BE74A4"/>
    <w:rsid w:val="00BF2BB9"/>
    <w:rsid w:val="00BF2E5C"/>
    <w:rsid w:val="00BF3793"/>
    <w:rsid w:val="00BF5F18"/>
    <w:rsid w:val="00C03127"/>
    <w:rsid w:val="00C04E87"/>
    <w:rsid w:val="00C056C6"/>
    <w:rsid w:val="00C07D8E"/>
    <w:rsid w:val="00C1043F"/>
    <w:rsid w:val="00C106D6"/>
    <w:rsid w:val="00C11477"/>
    <w:rsid w:val="00C15A6B"/>
    <w:rsid w:val="00C214C9"/>
    <w:rsid w:val="00C223BF"/>
    <w:rsid w:val="00C22C2F"/>
    <w:rsid w:val="00C232FF"/>
    <w:rsid w:val="00C23328"/>
    <w:rsid w:val="00C23841"/>
    <w:rsid w:val="00C24949"/>
    <w:rsid w:val="00C24E6D"/>
    <w:rsid w:val="00C262CE"/>
    <w:rsid w:val="00C30D64"/>
    <w:rsid w:val="00C40E50"/>
    <w:rsid w:val="00C43B75"/>
    <w:rsid w:val="00C46F7E"/>
    <w:rsid w:val="00C51E18"/>
    <w:rsid w:val="00C52855"/>
    <w:rsid w:val="00C53E6E"/>
    <w:rsid w:val="00C60F0C"/>
    <w:rsid w:val="00C644C3"/>
    <w:rsid w:val="00C65069"/>
    <w:rsid w:val="00C67911"/>
    <w:rsid w:val="00C716DF"/>
    <w:rsid w:val="00C7182C"/>
    <w:rsid w:val="00C73C0B"/>
    <w:rsid w:val="00C767AE"/>
    <w:rsid w:val="00C805C9"/>
    <w:rsid w:val="00C81E99"/>
    <w:rsid w:val="00C8273A"/>
    <w:rsid w:val="00C84DC6"/>
    <w:rsid w:val="00C86E33"/>
    <w:rsid w:val="00C8763F"/>
    <w:rsid w:val="00C92939"/>
    <w:rsid w:val="00C9316D"/>
    <w:rsid w:val="00C94A47"/>
    <w:rsid w:val="00C96E89"/>
    <w:rsid w:val="00CA018F"/>
    <w:rsid w:val="00CA1559"/>
    <w:rsid w:val="00CA1679"/>
    <w:rsid w:val="00CA37F2"/>
    <w:rsid w:val="00CA4106"/>
    <w:rsid w:val="00CB038E"/>
    <w:rsid w:val="00CB151C"/>
    <w:rsid w:val="00CB242B"/>
    <w:rsid w:val="00CB2900"/>
    <w:rsid w:val="00CB4561"/>
    <w:rsid w:val="00CB6B04"/>
    <w:rsid w:val="00CC00EE"/>
    <w:rsid w:val="00CC3FB6"/>
    <w:rsid w:val="00CD6BCA"/>
    <w:rsid w:val="00CE02E8"/>
    <w:rsid w:val="00CE2C73"/>
    <w:rsid w:val="00CE3942"/>
    <w:rsid w:val="00CE47CA"/>
    <w:rsid w:val="00CE50E0"/>
    <w:rsid w:val="00CE5A1A"/>
    <w:rsid w:val="00CE70D7"/>
    <w:rsid w:val="00CF33D0"/>
    <w:rsid w:val="00CF3E5D"/>
    <w:rsid w:val="00CF55F6"/>
    <w:rsid w:val="00CF659B"/>
    <w:rsid w:val="00CF78ED"/>
    <w:rsid w:val="00D04040"/>
    <w:rsid w:val="00D04407"/>
    <w:rsid w:val="00D04755"/>
    <w:rsid w:val="00D0796F"/>
    <w:rsid w:val="00D12DBD"/>
    <w:rsid w:val="00D13460"/>
    <w:rsid w:val="00D1629C"/>
    <w:rsid w:val="00D17A1E"/>
    <w:rsid w:val="00D17E1C"/>
    <w:rsid w:val="00D20338"/>
    <w:rsid w:val="00D22E6C"/>
    <w:rsid w:val="00D26BBF"/>
    <w:rsid w:val="00D27921"/>
    <w:rsid w:val="00D27CC1"/>
    <w:rsid w:val="00D3172A"/>
    <w:rsid w:val="00D33D63"/>
    <w:rsid w:val="00D379FF"/>
    <w:rsid w:val="00D40D5C"/>
    <w:rsid w:val="00D426A2"/>
    <w:rsid w:val="00D47711"/>
    <w:rsid w:val="00D4778E"/>
    <w:rsid w:val="00D50696"/>
    <w:rsid w:val="00D53CA7"/>
    <w:rsid w:val="00D5517E"/>
    <w:rsid w:val="00D556D9"/>
    <w:rsid w:val="00D55944"/>
    <w:rsid w:val="00D6169E"/>
    <w:rsid w:val="00D6528C"/>
    <w:rsid w:val="00D6685A"/>
    <w:rsid w:val="00D67961"/>
    <w:rsid w:val="00D70522"/>
    <w:rsid w:val="00D71864"/>
    <w:rsid w:val="00D71A8D"/>
    <w:rsid w:val="00D740AE"/>
    <w:rsid w:val="00D7433E"/>
    <w:rsid w:val="00D80F09"/>
    <w:rsid w:val="00D82740"/>
    <w:rsid w:val="00D8352A"/>
    <w:rsid w:val="00D84ACC"/>
    <w:rsid w:val="00D85BB3"/>
    <w:rsid w:val="00D90138"/>
    <w:rsid w:val="00D93EEA"/>
    <w:rsid w:val="00D96FA9"/>
    <w:rsid w:val="00DA35B1"/>
    <w:rsid w:val="00DA3B91"/>
    <w:rsid w:val="00DA3E4C"/>
    <w:rsid w:val="00DA4218"/>
    <w:rsid w:val="00DA4720"/>
    <w:rsid w:val="00DA567D"/>
    <w:rsid w:val="00DB1497"/>
    <w:rsid w:val="00DB4C51"/>
    <w:rsid w:val="00DC0746"/>
    <w:rsid w:val="00DC6BA9"/>
    <w:rsid w:val="00DC7986"/>
    <w:rsid w:val="00DD03D3"/>
    <w:rsid w:val="00DD100A"/>
    <w:rsid w:val="00DD46E4"/>
    <w:rsid w:val="00DD5B20"/>
    <w:rsid w:val="00DE0921"/>
    <w:rsid w:val="00DE389D"/>
    <w:rsid w:val="00DE75CF"/>
    <w:rsid w:val="00DE7695"/>
    <w:rsid w:val="00DF0904"/>
    <w:rsid w:val="00DF29EC"/>
    <w:rsid w:val="00DF5A88"/>
    <w:rsid w:val="00E0142D"/>
    <w:rsid w:val="00E0447F"/>
    <w:rsid w:val="00E052D7"/>
    <w:rsid w:val="00E053F4"/>
    <w:rsid w:val="00E072E7"/>
    <w:rsid w:val="00E078A1"/>
    <w:rsid w:val="00E110FA"/>
    <w:rsid w:val="00E11686"/>
    <w:rsid w:val="00E14B4C"/>
    <w:rsid w:val="00E154DA"/>
    <w:rsid w:val="00E15ACC"/>
    <w:rsid w:val="00E22CE3"/>
    <w:rsid w:val="00E2665B"/>
    <w:rsid w:val="00E30572"/>
    <w:rsid w:val="00E31CF9"/>
    <w:rsid w:val="00E36AE5"/>
    <w:rsid w:val="00E45AFA"/>
    <w:rsid w:val="00E46FFF"/>
    <w:rsid w:val="00E501E1"/>
    <w:rsid w:val="00E53268"/>
    <w:rsid w:val="00E538F9"/>
    <w:rsid w:val="00E5397A"/>
    <w:rsid w:val="00E56928"/>
    <w:rsid w:val="00E56EE3"/>
    <w:rsid w:val="00E624E2"/>
    <w:rsid w:val="00E63FC9"/>
    <w:rsid w:val="00E6615D"/>
    <w:rsid w:val="00E66DB1"/>
    <w:rsid w:val="00E73F76"/>
    <w:rsid w:val="00E834A6"/>
    <w:rsid w:val="00E83567"/>
    <w:rsid w:val="00E84FB0"/>
    <w:rsid w:val="00E85ADF"/>
    <w:rsid w:val="00E85B48"/>
    <w:rsid w:val="00E86371"/>
    <w:rsid w:val="00E94B6D"/>
    <w:rsid w:val="00E96B8F"/>
    <w:rsid w:val="00E978E1"/>
    <w:rsid w:val="00EA04AC"/>
    <w:rsid w:val="00EA2C9F"/>
    <w:rsid w:val="00EA2D12"/>
    <w:rsid w:val="00EA4326"/>
    <w:rsid w:val="00EB175A"/>
    <w:rsid w:val="00EB20B8"/>
    <w:rsid w:val="00EB5560"/>
    <w:rsid w:val="00EB673B"/>
    <w:rsid w:val="00EB6D7D"/>
    <w:rsid w:val="00EB738D"/>
    <w:rsid w:val="00EB7D9C"/>
    <w:rsid w:val="00EC0A8C"/>
    <w:rsid w:val="00EC4307"/>
    <w:rsid w:val="00EC4A73"/>
    <w:rsid w:val="00ED0BDA"/>
    <w:rsid w:val="00ED1C15"/>
    <w:rsid w:val="00ED3E29"/>
    <w:rsid w:val="00ED6290"/>
    <w:rsid w:val="00ED7320"/>
    <w:rsid w:val="00ED7CB1"/>
    <w:rsid w:val="00EE0639"/>
    <w:rsid w:val="00EE1459"/>
    <w:rsid w:val="00EE2644"/>
    <w:rsid w:val="00EE7443"/>
    <w:rsid w:val="00EE7654"/>
    <w:rsid w:val="00EF1360"/>
    <w:rsid w:val="00EF21E0"/>
    <w:rsid w:val="00EF3220"/>
    <w:rsid w:val="00EF4233"/>
    <w:rsid w:val="00EF6C4D"/>
    <w:rsid w:val="00F00E9D"/>
    <w:rsid w:val="00F01CC2"/>
    <w:rsid w:val="00F03FCB"/>
    <w:rsid w:val="00F15D18"/>
    <w:rsid w:val="00F163F0"/>
    <w:rsid w:val="00F16E5C"/>
    <w:rsid w:val="00F21A74"/>
    <w:rsid w:val="00F27406"/>
    <w:rsid w:val="00F27457"/>
    <w:rsid w:val="00F360A5"/>
    <w:rsid w:val="00F40A9A"/>
    <w:rsid w:val="00F43810"/>
    <w:rsid w:val="00F44EB0"/>
    <w:rsid w:val="00F45286"/>
    <w:rsid w:val="00F463DA"/>
    <w:rsid w:val="00F478A3"/>
    <w:rsid w:val="00F5318D"/>
    <w:rsid w:val="00F5365C"/>
    <w:rsid w:val="00F53DAD"/>
    <w:rsid w:val="00F54039"/>
    <w:rsid w:val="00F54127"/>
    <w:rsid w:val="00F568A4"/>
    <w:rsid w:val="00F63772"/>
    <w:rsid w:val="00F67D7E"/>
    <w:rsid w:val="00F7012C"/>
    <w:rsid w:val="00F71850"/>
    <w:rsid w:val="00F76A49"/>
    <w:rsid w:val="00F80ECC"/>
    <w:rsid w:val="00F83B2B"/>
    <w:rsid w:val="00F84BDB"/>
    <w:rsid w:val="00F867EF"/>
    <w:rsid w:val="00F87CA5"/>
    <w:rsid w:val="00F91526"/>
    <w:rsid w:val="00F91B8E"/>
    <w:rsid w:val="00F9377E"/>
    <w:rsid w:val="00F94155"/>
    <w:rsid w:val="00FA005D"/>
    <w:rsid w:val="00FA5D9D"/>
    <w:rsid w:val="00FB3FAA"/>
    <w:rsid w:val="00FB6516"/>
    <w:rsid w:val="00FC128C"/>
    <w:rsid w:val="00FC4344"/>
    <w:rsid w:val="00FC4D3D"/>
    <w:rsid w:val="00FD007C"/>
    <w:rsid w:val="00FD234F"/>
    <w:rsid w:val="00FD2EF7"/>
    <w:rsid w:val="00FD7309"/>
    <w:rsid w:val="00FE447E"/>
    <w:rsid w:val="00FE793B"/>
    <w:rsid w:val="00FF0DB7"/>
    <w:rsid w:val="00FF2A8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1AE1C"/>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tabs>
        <w:tab w:val="left" w:pos="1701"/>
        <w:tab w:val="left" w:pos="2268"/>
        <w:tab w:val="left" w:pos="2835"/>
      </w:tabs>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3"/>
      </w:numPr>
    </w:pPr>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uiPriority w:val="20"/>
    <w:qFormat/>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uiPriority w:val="99"/>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21"/>
      </w:numPr>
    </w:pPr>
  </w:style>
  <w:style w:type="paragraph" w:styleId="Listaconnmeros2">
    <w:name w:val="List Number 2"/>
    <w:basedOn w:val="Normal"/>
    <w:semiHidden/>
    <w:rsid w:val="00521DC1"/>
    <w:pPr>
      <w:numPr>
        <w:numId w:val="22"/>
      </w:numPr>
    </w:pPr>
  </w:style>
  <w:style w:type="paragraph" w:styleId="Listaconnmeros3">
    <w:name w:val="List Number 3"/>
    <w:basedOn w:val="Normal"/>
    <w:semiHidden/>
    <w:rsid w:val="00521DC1"/>
    <w:pPr>
      <w:numPr>
        <w:numId w:val="23"/>
      </w:numPr>
    </w:pPr>
  </w:style>
  <w:style w:type="paragraph" w:styleId="Listaconnmeros4">
    <w:name w:val="List Number 4"/>
    <w:basedOn w:val="Normal"/>
    <w:semiHidden/>
    <w:rsid w:val="00521DC1"/>
    <w:pPr>
      <w:numPr>
        <w:numId w:val="24"/>
      </w:numPr>
    </w:pPr>
  </w:style>
  <w:style w:type="paragraph" w:styleId="Listaconnmeros5">
    <w:name w:val="List Number 5"/>
    <w:basedOn w:val="Normal"/>
    <w:semiHidden/>
    <w:rsid w:val="00521DC1"/>
    <w:pPr>
      <w:numPr>
        <w:numId w:val="25"/>
      </w:numPr>
    </w:pPr>
  </w:style>
  <w:style w:type="paragraph" w:styleId="Listaconvietas">
    <w:name w:val="List Bullet"/>
    <w:basedOn w:val="Normal"/>
    <w:semiHidden/>
    <w:rsid w:val="00521DC1"/>
    <w:pPr>
      <w:numPr>
        <w:numId w:val="26"/>
      </w:numPr>
    </w:pPr>
  </w:style>
  <w:style w:type="paragraph" w:styleId="Listaconvietas2">
    <w:name w:val="List Bullet 2"/>
    <w:basedOn w:val="Normal"/>
    <w:semiHidden/>
    <w:rsid w:val="00521DC1"/>
    <w:pPr>
      <w:numPr>
        <w:numId w:val="27"/>
      </w:numPr>
    </w:pPr>
  </w:style>
  <w:style w:type="paragraph" w:styleId="Listaconvietas3">
    <w:name w:val="List Bullet 3"/>
    <w:basedOn w:val="Normal"/>
    <w:semiHidden/>
    <w:rsid w:val="00521DC1"/>
    <w:pPr>
      <w:numPr>
        <w:numId w:val="28"/>
      </w:numPr>
    </w:pPr>
  </w:style>
  <w:style w:type="paragraph" w:styleId="Listaconvietas4">
    <w:name w:val="List Bullet 4"/>
    <w:basedOn w:val="Normal"/>
    <w:semiHidden/>
    <w:rsid w:val="00521DC1"/>
    <w:pPr>
      <w:numPr>
        <w:numId w:val="29"/>
      </w:numPr>
    </w:pPr>
  </w:style>
  <w:style w:type="paragraph" w:styleId="Listaconvietas5">
    <w:name w:val="List Bullet 5"/>
    <w:basedOn w:val="Normal"/>
    <w:semiHidden/>
    <w:rsid w:val="00521DC1"/>
    <w:pPr>
      <w:numPr>
        <w:numId w:val="30"/>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uiPriority w:val="22"/>
    <w:qFormat/>
    <w:rsid w:val="00021C99"/>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D5E91"/>
    <w:rPr>
      <w:lang w:val="es-ES" w:eastAsia="es-ES"/>
    </w:rPr>
  </w:style>
  <w:style w:type="character" w:customStyle="1" w:styleId="TextonotapieCar">
    <w:name w:val="Texto nota pie Car"/>
    <w:aliases w:val="5_G Car"/>
    <w:basedOn w:val="Fuentedeprrafopredeter"/>
    <w:link w:val="Textonotapie"/>
    <w:uiPriority w:val="99"/>
    <w:rsid w:val="002C00CA"/>
    <w:rPr>
      <w:sz w:val="18"/>
      <w:lang w:val="es-ES" w:eastAsia="es-ES"/>
    </w:rPr>
  </w:style>
  <w:style w:type="character" w:customStyle="1" w:styleId="Ninguno">
    <w:name w:val="Ninguno"/>
    <w:rsid w:val="002C00CA"/>
    <w:rPr>
      <w:lang w:val="de-DE"/>
    </w:rPr>
  </w:style>
  <w:style w:type="paragraph" w:customStyle="1" w:styleId="ParaNoG">
    <w:name w:val="_ParaNo._G"/>
    <w:basedOn w:val="Normal"/>
    <w:rsid w:val="002C00CA"/>
    <w:pPr>
      <w:tabs>
        <w:tab w:val="num" w:pos="0"/>
        <w:tab w:val="left" w:pos="1701"/>
        <w:tab w:val="left" w:pos="2268"/>
        <w:tab w:val="left" w:pos="2835"/>
      </w:tabs>
      <w:suppressAutoHyphens/>
      <w:spacing w:after="120"/>
      <w:ind w:left="1134" w:right="1134"/>
      <w:jc w:val="both"/>
    </w:pPr>
    <w:rPr>
      <w:rFonts w:eastAsia="SimSun"/>
      <w:lang w:val="en-GB" w:eastAsia="zh-CN"/>
    </w:rPr>
  </w:style>
  <w:style w:type="paragraph" w:styleId="Revisin">
    <w:name w:val="Revision"/>
    <w:hidden/>
    <w:uiPriority w:val="99"/>
    <w:semiHidden/>
    <w:rsid w:val="009C1469"/>
    <w:rPr>
      <w:lang w:val="es-ES" w:eastAsia="es-ES"/>
    </w:rPr>
  </w:style>
  <w:style w:type="character" w:styleId="Refdecomentario">
    <w:name w:val="annotation reference"/>
    <w:basedOn w:val="Fuentedeprrafopredeter"/>
    <w:semiHidden/>
    <w:unhideWhenUsed/>
    <w:rsid w:val="00F54039"/>
    <w:rPr>
      <w:sz w:val="16"/>
      <w:szCs w:val="16"/>
    </w:rPr>
  </w:style>
  <w:style w:type="paragraph" w:styleId="Textocomentario">
    <w:name w:val="annotation text"/>
    <w:basedOn w:val="Normal"/>
    <w:link w:val="TextocomentarioCar"/>
    <w:unhideWhenUsed/>
    <w:rsid w:val="00F54039"/>
    <w:pPr>
      <w:spacing w:line="240" w:lineRule="auto"/>
    </w:pPr>
  </w:style>
  <w:style w:type="character" w:customStyle="1" w:styleId="TextocomentarioCar">
    <w:name w:val="Texto comentario Car"/>
    <w:basedOn w:val="Fuentedeprrafopredeter"/>
    <w:link w:val="Textocomentario"/>
    <w:rsid w:val="00F54039"/>
    <w:rPr>
      <w:lang w:val="es-ES" w:eastAsia="es-ES"/>
    </w:rPr>
  </w:style>
  <w:style w:type="paragraph" w:styleId="Asuntodelcomentario">
    <w:name w:val="annotation subject"/>
    <w:basedOn w:val="Textocomentario"/>
    <w:next w:val="Textocomentario"/>
    <w:link w:val="AsuntodelcomentarioCar"/>
    <w:semiHidden/>
    <w:unhideWhenUsed/>
    <w:rsid w:val="00F54039"/>
    <w:rPr>
      <w:b/>
      <w:bCs/>
    </w:rPr>
  </w:style>
  <w:style w:type="character" w:customStyle="1" w:styleId="AsuntodelcomentarioCar">
    <w:name w:val="Asunto del comentario Car"/>
    <w:basedOn w:val="TextocomentarioCar"/>
    <w:link w:val="Asuntodelcomentario"/>
    <w:semiHidden/>
    <w:rsid w:val="00F54039"/>
    <w:rPr>
      <w:b/>
      <w:bCs/>
      <w:lang w:val="es-ES" w:eastAsia="es-ES"/>
    </w:rPr>
  </w:style>
  <w:style w:type="character" w:customStyle="1" w:styleId="PiedepginaCar">
    <w:name w:val="Pie de página Car"/>
    <w:aliases w:val="3_G Car"/>
    <w:basedOn w:val="Fuentedeprrafopredeter"/>
    <w:link w:val="Piedepgina"/>
    <w:rsid w:val="00971E0A"/>
    <w:rPr>
      <w:sz w:val="16"/>
      <w:lang w:val="es-ES" w:eastAsia="es-ES"/>
    </w:rPr>
  </w:style>
  <w:style w:type="character" w:customStyle="1" w:styleId="UnresolvedMention1">
    <w:name w:val="Unresolved Mention1"/>
    <w:basedOn w:val="Fuentedeprrafopredeter"/>
    <w:uiPriority w:val="99"/>
    <w:semiHidden/>
    <w:unhideWhenUsed/>
    <w:rsid w:val="00063C67"/>
    <w:rPr>
      <w:color w:val="605E5C"/>
      <w:shd w:val="clear" w:color="auto" w:fill="E1DFDD"/>
    </w:rPr>
  </w:style>
  <w:style w:type="character" w:customStyle="1" w:styleId="es">
    <w:name w:val="es"/>
    <w:basedOn w:val="Fuentedeprrafopredeter"/>
    <w:rsid w:val="00E53268"/>
  </w:style>
  <w:style w:type="character" w:customStyle="1" w:styleId="Mencinsinresolver1">
    <w:name w:val="Mención sin resolver1"/>
    <w:basedOn w:val="Fuentedeprrafopredeter"/>
    <w:uiPriority w:val="99"/>
    <w:semiHidden/>
    <w:unhideWhenUsed/>
    <w:rsid w:val="00DD100A"/>
    <w:rPr>
      <w:color w:val="605E5C"/>
      <w:shd w:val="clear" w:color="auto" w:fill="E1DFDD"/>
    </w:rPr>
  </w:style>
  <w:style w:type="character" w:customStyle="1" w:styleId="apple-tab-span">
    <w:name w:val="apple-tab-span"/>
    <w:basedOn w:val="Fuentedeprrafopredeter"/>
    <w:rsid w:val="00DB4C51"/>
  </w:style>
  <w:style w:type="paragraph" w:styleId="Prrafodelista">
    <w:name w:val="List Paragraph"/>
    <w:basedOn w:val="Normal"/>
    <w:uiPriority w:val="1"/>
    <w:qFormat/>
    <w:rsid w:val="00687080"/>
    <w:pPr>
      <w:spacing w:after="200" w:line="276" w:lineRule="auto"/>
      <w:ind w:left="720"/>
      <w:contextualSpacing/>
    </w:pPr>
    <w:rPr>
      <w:rFonts w:ascii="Calibri" w:eastAsia="Calibri" w:hAnsi="Calibri"/>
      <w:sz w:val="22"/>
      <w:szCs w:val="22"/>
      <w:lang w:val="en-GB" w:eastAsia="en-US"/>
    </w:rPr>
  </w:style>
  <w:style w:type="character" w:customStyle="1" w:styleId="UnresolvedMention2">
    <w:name w:val="Unresolved Mention2"/>
    <w:basedOn w:val="Fuentedeprrafopredeter"/>
    <w:uiPriority w:val="99"/>
    <w:semiHidden/>
    <w:unhideWhenUsed/>
    <w:rsid w:val="0023200B"/>
    <w:rPr>
      <w:color w:val="605E5C"/>
      <w:shd w:val="clear" w:color="auto" w:fill="E1DFDD"/>
    </w:rPr>
  </w:style>
  <w:style w:type="character" w:styleId="Mencinsinresolver">
    <w:name w:val="Unresolved Mention"/>
    <w:basedOn w:val="Fuentedeprrafopredeter"/>
    <w:uiPriority w:val="99"/>
    <w:semiHidden/>
    <w:unhideWhenUsed/>
    <w:rsid w:val="000A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777">
      <w:bodyDiv w:val="1"/>
      <w:marLeft w:val="0"/>
      <w:marRight w:val="0"/>
      <w:marTop w:val="0"/>
      <w:marBottom w:val="0"/>
      <w:divBdr>
        <w:top w:val="none" w:sz="0" w:space="0" w:color="auto"/>
        <w:left w:val="none" w:sz="0" w:space="0" w:color="auto"/>
        <w:bottom w:val="none" w:sz="0" w:space="0" w:color="auto"/>
        <w:right w:val="none" w:sz="0" w:space="0" w:color="auto"/>
      </w:divBdr>
    </w:div>
    <w:div w:id="195390498">
      <w:bodyDiv w:val="1"/>
      <w:marLeft w:val="0"/>
      <w:marRight w:val="0"/>
      <w:marTop w:val="0"/>
      <w:marBottom w:val="0"/>
      <w:divBdr>
        <w:top w:val="none" w:sz="0" w:space="0" w:color="auto"/>
        <w:left w:val="none" w:sz="0" w:space="0" w:color="auto"/>
        <w:bottom w:val="none" w:sz="0" w:space="0" w:color="auto"/>
        <w:right w:val="none" w:sz="0" w:space="0" w:color="auto"/>
      </w:divBdr>
      <w:divsChild>
        <w:div w:id="724649218">
          <w:marLeft w:val="0"/>
          <w:marRight w:val="0"/>
          <w:marTop w:val="0"/>
          <w:marBottom w:val="0"/>
          <w:divBdr>
            <w:top w:val="none" w:sz="0" w:space="0" w:color="auto"/>
            <w:left w:val="none" w:sz="0" w:space="0" w:color="auto"/>
            <w:bottom w:val="none" w:sz="0" w:space="0" w:color="auto"/>
            <w:right w:val="none" w:sz="0" w:space="0" w:color="auto"/>
          </w:divBdr>
          <w:divsChild>
            <w:div w:id="1119954214">
              <w:marLeft w:val="0"/>
              <w:marRight w:val="0"/>
              <w:marTop w:val="0"/>
              <w:marBottom w:val="0"/>
              <w:divBdr>
                <w:top w:val="none" w:sz="0" w:space="0" w:color="auto"/>
                <w:left w:val="none" w:sz="0" w:space="0" w:color="auto"/>
                <w:bottom w:val="none" w:sz="0" w:space="0" w:color="auto"/>
                <w:right w:val="none" w:sz="0" w:space="0" w:color="auto"/>
              </w:divBdr>
              <w:divsChild>
                <w:div w:id="856312148">
                  <w:marLeft w:val="0"/>
                  <w:marRight w:val="0"/>
                  <w:marTop w:val="0"/>
                  <w:marBottom w:val="0"/>
                  <w:divBdr>
                    <w:top w:val="none" w:sz="0" w:space="0" w:color="auto"/>
                    <w:left w:val="none" w:sz="0" w:space="0" w:color="auto"/>
                    <w:bottom w:val="none" w:sz="0" w:space="0" w:color="auto"/>
                    <w:right w:val="none" w:sz="0" w:space="0" w:color="auto"/>
                  </w:divBdr>
                  <w:divsChild>
                    <w:div w:id="1000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4394">
      <w:bodyDiv w:val="1"/>
      <w:marLeft w:val="0"/>
      <w:marRight w:val="0"/>
      <w:marTop w:val="0"/>
      <w:marBottom w:val="0"/>
      <w:divBdr>
        <w:top w:val="none" w:sz="0" w:space="0" w:color="auto"/>
        <w:left w:val="none" w:sz="0" w:space="0" w:color="auto"/>
        <w:bottom w:val="none" w:sz="0" w:space="0" w:color="auto"/>
        <w:right w:val="none" w:sz="0" w:space="0" w:color="auto"/>
      </w:divBdr>
    </w:div>
    <w:div w:id="509150744">
      <w:bodyDiv w:val="1"/>
      <w:marLeft w:val="0"/>
      <w:marRight w:val="0"/>
      <w:marTop w:val="0"/>
      <w:marBottom w:val="0"/>
      <w:divBdr>
        <w:top w:val="none" w:sz="0" w:space="0" w:color="auto"/>
        <w:left w:val="none" w:sz="0" w:space="0" w:color="auto"/>
        <w:bottom w:val="none" w:sz="0" w:space="0" w:color="auto"/>
        <w:right w:val="none" w:sz="0" w:space="0" w:color="auto"/>
      </w:divBdr>
    </w:div>
    <w:div w:id="517472320">
      <w:bodyDiv w:val="1"/>
      <w:marLeft w:val="0"/>
      <w:marRight w:val="0"/>
      <w:marTop w:val="0"/>
      <w:marBottom w:val="0"/>
      <w:divBdr>
        <w:top w:val="none" w:sz="0" w:space="0" w:color="auto"/>
        <w:left w:val="none" w:sz="0" w:space="0" w:color="auto"/>
        <w:bottom w:val="none" w:sz="0" w:space="0" w:color="auto"/>
        <w:right w:val="none" w:sz="0" w:space="0" w:color="auto"/>
      </w:divBdr>
    </w:div>
    <w:div w:id="558246080">
      <w:bodyDiv w:val="1"/>
      <w:marLeft w:val="0"/>
      <w:marRight w:val="0"/>
      <w:marTop w:val="0"/>
      <w:marBottom w:val="0"/>
      <w:divBdr>
        <w:top w:val="none" w:sz="0" w:space="0" w:color="auto"/>
        <w:left w:val="none" w:sz="0" w:space="0" w:color="auto"/>
        <w:bottom w:val="none" w:sz="0" w:space="0" w:color="auto"/>
        <w:right w:val="none" w:sz="0" w:space="0" w:color="auto"/>
      </w:divBdr>
    </w:div>
    <w:div w:id="687176004">
      <w:bodyDiv w:val="1"/>
      <w:marLeft w:val="0"/>
      <w:marRight w:val="0"/>
      <w:marTop w:val="0"/>
      <w:marBottom w:val="0"/>
      <w:divBdr>
        <w:top w:val="none" w:sz="0" w:space="0" w:color="auto"/>
        <w:left w:val="none" w:sz="0" w:space="0" w:color="auto"/>
        <w:bottom w:val="none" w:sz="0" w:space="0" w:color="auto"/>
        <w:right w:val="none" w:sz="0" w:space="0" w:color="auto"/>
      </w:divBdr>
    </w:div>
    <w:div w:id="754980699">
      <w:bodyDiv w:val="1"/>
      <w:marLeft w:val="0"/>
      <w:marRight w:val="0"/>
      <w:marTop w:val="0"/>
      <w:marBottom w:val="0"/>
      <w:divBdr>
        <w:top w:val="none" w:sz="0" w:space="0" w:color="auto"/>
        <w:left w:val="none" w:sz="0" w:space="0" w:color="auto"/>
        <w:bottom w:val="none" w:sz="0" w:space="0" w:color="auto"/>
        <w:right w:val="none" w:sz="0" w:space="0" w:color="auto"/>
      </w:divBdr>
    </w:div>
    <w:div w:id="836337157">
      <w:bodyDiv w:val="1"/>
      <w:marLeft w:val="0"/>
      <w:marRight w:val="0"/>
      <w:marTop w:val="0"/>
      <w:marBottom w:val="0"/>
      <w:divBdr>
        <w:top w:val="none" w:sz="0" w:space="0" w:color="auto"/>
        <w:left w:val="none" w:sz="0" w:space="0" w:color="auto"/>
        <w:bottom w:val="none" w:sz="0" w:space="0" w:color="auto"/>
        <w:right w:val="none" w:sz="0" w:space="0" w:color="auto"/>
      </w:divBdr>
      <w:divsChild>
        <w:div w:id="977418936">
          <w:blockQuote w:val="1"/>
          <w:marLeft w:val="150"/>
          <w:marRight w:val="0"/>
          <w:marTop w:val="0"/>
          <w:marBottom w:val="300"/>
          <w:divBdr>
            <w:top w:val="none" w:sz="0" w:space="0" w:color="auto"/>
            <w:left w:val="single" w:sz="48" w:space="15" w:color="BCBCBC"/>
            <w:bottom w:val="none" w:sz="0" w:space="0" w:color="auto"/>
            <w:right w:val="none" w:sz="0" w:space="0" w:color="auto"/>
          </w:divBdr>
        </w:div>
      </w:divsChild>
    </w:div>
    <w:div w:id="851603351">
      <w:bodyDiv w:val="1"/>
      <w:marLeft w:val="0"/>
      <w:marRight w:val="0"/>
      <w:marTop w:val="0"/>
      <w:marBottom w:val="0"/>
      <w:divBdr>
        <w:top w:val="none" w:sz="0" w:space="0" w:color="auto"/>
        <w:left w:val="none" w:sz="0" w:space="0" w:color="auto"/>
        <w:bottom w:val="none" w:sz="0" w:space="0" w:color="auto"/>
        <w:right w:val="none" w:sz="0" w:space="0" w:color="auto"/>
      </w:divBdr>
    </w:div>
    <w:div w:id="1000161244">
      <w:bodyDiv w:val="1"/>
      <w:marLeft w:val="0"/>
      <w:marRight w:val="0"/>
      <w:marTop w:val="0"/>
      <w:marBottom w:val="0"/>
      <w:divBdr>
        <w:top w:val="none" w:sz="0" w:space="0" w:color="auto"/>
        <w:left w:val="none" w:sz="0" w:space="0" w:color="auto"/>
        <w:bottom w:val="none" w:sz="0" w:space="0" w:color="auto"/>
        <w:right w:val="none" w:sz="0" w:space="0" w:color="auto"/>
      </w:divBdr>
    </w:div>
    <w:div w:id="1230382982">
      <w:bodyDiv w:val="1"/>
      <w:marLeft w:val="0"/>
      <w:marRight w:val="0"/>
      <w:marTop w:val="0"/>
      <w:marBottom w:val="0"/>
      <w:divBdr>
        <w:top w:val="none" w:sz="0" w:space="0" w:color="auto"/>
        <w:left w:val="none" w:sz="0" w:space="0" w:color="auto"/>
        <w:bottom w:val="none" w:sz="0" w:space="0" w:color="auto"/>
        <w:right w:val="none" w:sz="0" w:space="0" w:color="auto"/>
      </w:divBdr>
      <w:divsChild>
        <w:div w:id="623997268">
          <w:marLeft w:val="0"/>
          <w:marRight w:val="0"/>
          <w:marTop w:val="0"/>
          <w:marBottom w:val="0"/>
          <w:divBdr>
            <w:top w:val="none" w:sz="0" w:space="0" w:color="auto"/>
            <w:left w:val="none" w:sz="0" w:space="0" w:color="auto"/>
            <w:bottom w:val="none" w:sz="0" w:space="0" w:color="auto"/>
            <w:right w:val="none" w:sz="0" w:space="0" w:color="auto"/>
          </w:divBdr>
          <w:divsChild>
            <w:div w:id="663975782">
              <w:marLeft w:val="0"/>
              <w:marRight w:val="0"/>
              <w:marTop w:val="0"/>
              <w:marBottom w:val="0"/>
              <w:divBdr>
                <w:top w:val="none" w:sz="0" w:space="0" w:color="auto"/>
                <w:left w:val="none" w:sz="0" w:space="0" w:color="auto"/>
                <w:bottom w:val="none" w:sz="0" w:space="0" w:color="auto"/>
                <w:right w:val="none" w:sz="0" w:space="0" w:color="auto"/>
              </w:divBdr>
              <w:divsChild>
                <w:div w:id="961961134">
                  <w:marLeft w:val="0"/>
                  <w:marRight w:val="0"/>
                  <w:marTop w:val="0"/>
                  <w:marBottom w:val="0"/>
                  <w:divBdr>
                    <w:top w:val="none" w:sz="0" w:space="0" w:color="auto"/>
                    <w:left w:val="none" w:sz="0" w:space="0" w:color="auto"/>
                    <w:bottom w:val="none" w:sz="0" w:space="0" w:color="auto"/>
                    <w:right w:val="none" w:sz="0" w:space="0" w:color="auto"/>
                  </w:divBdr>
                  <w:divsChild>
                    <w:div w:id="11007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695">
      <w:bodyDiv w:val="1"/>
      <w:marLeft w:val="0"/>
      <w:marRight w:val="0"/>
      <w:marTop w:val="0"/>
      <w:marBottom w:val="0"/>
      <w:divBdr>
        <w:top w:val="none" w:sz="0" w:space="0" w:color="auto"/>
        <w:left w:val="none" w:sz="0" w:space="0" w:color="auto"/>
        <w:bottom w:val="none" w:sz="0" w:space="0" w:color="auto"/>
        <w:right w:val="none" w:sz="0" w:space="0" w:color="auto"/>
      </w:divBdr>
    </w:div>
    <w:div w:id="1590189420">
      <w:bodyDiv w:val="1"/>
      <w:marLeft w:val="0"/>
      <w:marRight w:val="0"/>
      <w:marTop w:val="0"/>
      <w:marBottom w:val="0"/>
      <w:divBdr>
        <w:top w:val="none" w:sz="0" w:space="0" w:color="auto"/>
        <w:left w:val="none" w:sz="0" w:space="0" w:color="auto"/>
        <w:bottom w:val="none" w:sz="0" w:space="0" w:color="auto"/>
        <w:right w:val="none" w:sz="0" w:space="0" w:color="auto"/>
      </w:divBdr>
    </w:div>
    <w:div w:id="1815366257">
      <w:bodyDiv w:val="1"/>
      <w:marLeft w:val="0"/>
      <w:marRight w:val="0"/>
      <w:marTop w:val="0"/>
      <w:marBottom w:val="0"/>
      <w:divBdr>
        <w:top w:val="none" w:sz="0" w:space="0" w:color="auto"/>
        <w:left w:val="none" w:sz="0" w:space="0" w:color="auto"/>
        <w:bottom w:val="none" w:sz="0" w:space="0" w:color="auto"/>
        <w:right w:val="none" w:sz="0" w:space="0" w:color="auto"/>
      </w:divBdr>
    </w:div>
    <w:div w:id="18929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wikipedia.org/wiki/201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HRC/38/35/Add.2" TargetMode="External"/><Relationship Id="rId13" Type="http://schemas.openxmlformats.org/officeDocument/2006/relationships/hyperlink" Target="https://movndmx.org/wp-content/uploads/2021/08/Informe-La-Crisis-Forense-en-Me%CC%81xico.pdf" TargetMode="External"/><Relationship Id="rId18" Type="http://schemas.openxmlformats.org/officeDocument/2006/relationships/hyperlink" Target="https://informe.cndh.org.mx/uploads/principal/2021/IA_2021.pdf" TargetMode="External"/><Relationship Id="rId3" Type="http://schemas.openxmlformats.org/officeDocument/2006/relationships/hyperlink" Target="https://undocs.org/es/CED/C/MEX/CO/1" TargetMode="External"/><Relationship Id="rId21" Type="http://schemas.openxmlformats.org/officeDocument/2006/relationships/hyperlink" Target="https://undocs.org/es/CED/C/MEX/OAI/1" TargetMode="External"/><Relationship Id="rId7" Type="http://schemas.openxmlformats.org/officeDocument/2006/relationships/hyperlink" Target="https://rsf.org/es/clasificacion" TargetMode="External"/><Relationship Id="rId12" Type="http://schemas.openxmlformats.org/officeDocument/2006/relationships/hyperlink" Target="https://bit.ly/3yhR659" TargetMode="External"/><Relationship Id="rId17" Type="http://schemas.openxmlformats.org/officeDocument/2006/relationships/hyperlink" Target="https://www.internet2.scjn.gob.mx/red2/comunicados/noticia.asp?id=6634" TargetMode="External"/><Relationship Id="rId2" Type="http://schemas.openxmlformats.org/officeDocument/2006/relationships/hyperlink" Target="https://www.ohchr.org/SP/NewsEvents/Pages/DisplayNews.aspx?NewsID=27877&amp;LangID=S" TargetMode="External"/><Relationship Id="rId16" Type="http://schemas.openxmlformats.org/officeDocument/2006/relationships/hyperlink" Target="https://undocs.org/es/CED/C/MEX/VR.1%20(Recommendations)" TargetMode="External"/><Relationship Id="rId20" Type="http://schemas.openxmlformats.org/officeDocument/2006/relationships/hyperlink" Target="https://hchr.org.mx/wp/wp-content/themes/hchr/images/Comunicados/2020/20200513_ComPrensa-AcuerdoFuerzasArmadas.pdf" TargetMode="External"/><Relationship Id="rId1" Type="http://schemas.openxmlformats.org/officeDocument/2006/relationships/hyperlink" Target="https://undocs.org/es/CED/C/MEX/VR/1%20(Recommendations)" TargetMode="External"/><Relationship Id="rId6" Type="http://schemas.openxmlformats.org/officeDocument/2006/relationships/hyperlink" Target="file:///\\fshq.ad.ohchr.org\redirected$\Prophette-Pallasco\My%20Documents\CED%20SECRETARIAT\SESSIONS\SESSION%2022\Mexico\%20" TargetMode="External"/><Relationship Id="rId11" Type="http://schemas.openxmlformats.org/officeDocument/2006/relationships/hyperlink" Target="https://undocs.org/es/CED/C/MEX/OAI/1" TargetMode="External"/><Relationship Id="rId5" Type="http://schemas.openxmlformats.org/officeDocument/2006/relationships/hyperlink" Target="https://www.idheas.org.mx/wp-content/uploads/2021/07/VERSION-PUBLICA.pdf" TargetMode="External"/><Relationship Id="rId15" Type="http://schemas.openxmlformats.org/officeDocument/2006/relationships/hyperlink" Target="https://undocs.org/es/A/69/56" TargetMode="External"/><Relationship Id="rId10" Type="http://schemas.openxmlformats.org/officeDocument/2006/relationships/hyperlink" Target="https://undocs.org/es/CED/C/MEX/CO/1" TargetMode="External"/><Relationship Id="rId19" Type="http://schemas.openxmlformats.org/officeDocument/2006/relationships/hyperlink" Target="https://dof.gob.mx/nota_detalle.php?codigo=5593105&amp;fecha=11/05/2020" TargetMode="External"/><Relationship Id="rId4" Type="http://schemas.openxmlformats.org/officeDocument/2006/relationships/hyperlink" Target="https://undocs.org/es/CED/C/MEX/OAI/1" TargetMode="External"/><Relationship Id="rId9" Type="http://schemas.openxmlformats.org/officeDocument/2006/relationships/hyperlink" Target="https://undocs.org/es/CED/C/10/D/1/2013" TargetMode="External"/><Relationship Id="rId14" Type="http://schemas.openxmlformats.org/officeDocument/2006/relationships/hyperlink" Target="https://undocs.org/es/CED/C/MEX/VR/1%20(Recommendations)" TargetMode="External"/><Relationship Id="rId22" Type="http://schemas.openxmlformats.org/officeDocument/2006/relationships/hyperlink" Target="https://undocs.org/es/CCPR/C/MEX/CO/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9" ma:contentTypeDescription="Create a new document." ma:contentTypeScope="" ma:versionID="3569a949129b6458c286f2bc72319190">
  <xsd:schema xmlns:xsd="http://www.w3.org/2001/XMLSchema" xmlns:xs="http://www.w3.org/2001/XMLSchema" xmlns:p="http://schemas.microsoft.com/office/2006/metadata/properties" xmlns:ns3="f4ad8cc1-a6e6-4857-9710-b93853386e53" targetNamespace="http://schemas.microsoft.com/office/2006/metadata/properties" ma:root="true" ma:fieldsID="2a5c75a344b0988fe0500edc35e8ebde" ns3:_="">
    <xsd:import namespace="f4ad8cc1-a6e6-4857-9710-b93853386e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A8DD4-7A10-4F57-ABA3-71A5E233A38D}">
  <ds:schemaRefs>
    <ds:schemaRef ds:uri="http://schemas.openxmlformats.org/officeDocument/2006/bibliography"/>
  </ds:schemaRefs>
</ds:datastoreItem>
</file>

<file path=customXml/itemProps2.xml><?xml version="1.0" encoding="utf-8"?>
<ds:datastoreItem xmlns:ds="http://schemas.openxmlformats.org/officeDocument/2006/customXml" ds:itemID="{1A7814C2-6112-45CF-AD81-35D44DB14FA2}">
  <ds:schemaRefs>
    <ds:schemaRef ds:uri="http://schemas.microsoft.com/sharepoint/v3/contenttype/forms"/>
  </ds:schemaRefs>
</ds:datastoreItem>
</file>

<file path=customXml/itemProps3.xml><?xml version="1.0" encoding="utf-8"?>
<ds:datastoreItem xmlns:ds="http://schemas.openxmlformats.org/officeDocument/2006/customXml" ds:itemID="{54FA8DE5-21A7-4331-B895-98E67415F1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94B24F-C96A-47B3-9AB0-87F30E65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6771</Words>
  <Characters>37413</Characters>
  <Application>Microsoft Office Word</Application>
  <DocSecurity>0</DocSecurity>
  <Lines>558</Lines>
  <Paragraphs>93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CED/C/CRI/Q/1</vt:lpstr>
      <vt:lpstr>CED/C/CRI/Q/1</vt:lpstr>
      <vt:lpstr>CAT/C/XXX/Y</vt:lpstr>
    </vt:vector>
  </TitlesOfParts>
  <Company>DCM</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CED/C/MEX/VR/1 (Findings)</dc:title>
  <dc:subject/>
  <dc:creator>Gloria</dc:creator>
  <cp:keywords/>
  <cp:lastModifiedBy>Juan Korol</cp:lastModifiedBy>
  <cp:revision>3</cp:revision>
  <cp:lastPrinted>2022-05-18T16:53:00Z</cp:lastPrinted>
  <dcterms:created xsi:type="dcterms:W3CDTF">2022-05-18T16:53:00Z</dcterms:created>
  <dcterms:modified xsi:type="dcterms:W3CDTF">2022-05-18T16:55:00Z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de Costa Rica</vt:lpwstr>
  </property>
  <property fmtid="{D5CDD505-2E9C-101B-9397-08002B2CF9AE}" pid="8" name="countw">
    <vt:lpwstr>Costa Rica</vt:lpwstr>
  </property>
  <property fmtid="{D5CDD505-2E9C-101B-9397-08002B2CF9AE}" pid="9" name="countwd">
    <vt:lpwstr>Costa Rica</vt:lpwstr>
  </property>
  <property fmtid="{D5CDD505-2E9C-101B-9397-08002B2CF9AE}" pid="10" name="date">
    <vt:lpwstr>21 de julio de 2021</vt:lpwstr>
  </property>
  <property fmtid="{D5CDD505-2E9C-101B-9397-08002B2CF9AE}" pid="11" name="Date-Generated">
    <vt:filetime>2021-07-21T15:30:48Z</vt:filetime>
  </property>
  <property fmtid="{D5CDD505-2E9C-101B-9397-08002B2CF9AE}" pid="12" name="dist">
    <vt:lpwstr>limitada</vt:lpwstr>
  </property>
  <property fmtid="{D5CDD505-2E9C-101B-9397-08002B2CF9AE}" pid="13" name="doctype">
    <vt:lpwstr>Draft</vt:lpwstr>
  </property>
  <property fmtid="{D5CDD505-2E9C-101B-9397-08002B2CF9AE}" pid="14" name="Entity">
    <vt:lpwstr>List of issues - Para. 1</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informe inicial de Costa Rica</vt:lpwstr>
  </property>
  <property fmtid="{D5CDD505-2E9C-101B-9397-08002B2CF9AE}" pid="21" name="preps">
    <vt:lpwstr>informe inicial de Costa Rica</vt:lpwstr>
  </property>
  <property fmtid="{D5CDD505-2E9C-101B-9397-08002B2CF9AE}" pid="22" name="prepw">
    <vt:lpwstr>al informe inicial </vt:lpwstr>
  </property>
  <property fmtid="{D5CDD505-2E9C-101B-9397-08002B2CF9AE}" pid="23" name="prepwc">
    <vt:lpwstr>Informe inicial </vt:lpwstr>
  </property>
  <property fmtid="{D5CDD505-2E9C-101B-9397-08002B2CF9AE}" pid="24" name="prepws">
    <vt:lpwstr>informe inicial</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C/CRI/Q/R.1</vt:lpwstr>
  </property>
  <property fmtid="{D5CDD505-2E9C-101B-9397-08002B2CF9AE}" pid="29" name="symh">
    <vt:lpwstr>CED/C/CRI/Q/R.1</vt:lpwstr>
  </property>
  <property fmtid="{D5CDD505-2E9C-101B-9397-08002B2CF9AE}" pid="30" name="Title">
    <vt:lpwstr>CED/C/CRI/Q/R.1</vt:lpwstr>
  </property>
  <property fmtid="{D5CDD505-2E9C-101B-9397-08002B2CF9AE}" pid="31" name="tlang">
    <vt:lpwstr/>
  </property>
  <property fmtid="{D5CDD505-2E9C-101B-9397-08002B2CF9AE}" pid="32" name="virs">
    <vt:lpwstr>Español, francés e inglés únicamente</vt:lpwstr>
  </property>
  <property fmtid="{D5CDD505-2E9C-101B-9397-08002B2CF9AE}" pid="33" name="ContentTypeId">
    <vt:lpwstr>0x01010090485B4FDE2E244A8ABB633E9862E484</vt:lpwstr>
  </property>
</Properties>
</file>