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EFFB" w14:textId="77777777" w:rsidR="00995751" w:rsidRDefault="00995751" w:rsidP="00995751">
      <w:pPr>
        <w:spacing w:line="240" w:lineRule="auto"/>
        <w:rPr>
          <w:sz w:val="2"/>
        </w:rPr>
        <w:sectPr w:rsidR="00995751" w:rsidSect="007E41FF">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07F6A0A9" w14:textId="21455514" w:rsidR="007E41FF" w:rsidRPr="007E41FF" w:rsidRDefault="007E41FF" w:rsidP="00DE1F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20"/>
        <w:rPr>
          <w:lang w:val="fr-FR"/>
        </w:rPr>
      </w:pPr>
      <w:r w:rsidRPr="007E41FF">
        <w:rPr>
          <w:lang w:val="fr-FR"/>
        </w:rPr>
        <w:t>Comité pour l</w:t>
      </w:r>
      <w:r w:rsidR="00DE1F39">
        <w:rPr>
          <w:lang w:val="fr-FR"/>
        </w:rPr>
        <w:t>’</w:t>
      </w:r>
      <w:r w:rsidRPr="007E41FF">
        <w:rPr>
          <w:lang w:val="fr-FR"/>
        </w:rPr>
        <w:t>élimination de la discrimination à l</w:t>
      </w:r>
      <w:r w:rsidR="00DE1F39">
        <w:rPr>
          <w:lang w:val="fr-FR"/>
        </w:rPr>
        <w:t>’</w:t>
      </w:r>
      <w:r w:rsidRPr="007E41FF">
        <w:rPr>
          <w:lang w:val="fr-FR"/>
        </w:rPr>
        <w:t>égard des femmes</w:t>
      </w:r>
    </w:p>
    <w:p w14:paraId="1B7E3795" w14:textId="77777777" w:rsidR="007E41FF" w:rsidRPr="007E41FF" w:rsidRDefault="007E41FF" w:rsidP="007E41FF">
      <w:pPr>
        <w:pStyle w:val="Session"/>
      </w:pPr>
      <w:r w:rsidRPr="007E41FF">
        <w:t xml:space="preserve">Soixante douzième session </w:t>
      </w:r>
    </w:p>
    <w:p w14:paraId="54270DD8" w14:textId="31E0123B" w:rsidR="007E41FF" w:rsidRPr="007E41FF" w:rsidRDefault="00DE1F39" w:rsidP="007E41FF">
      <w:pPr>
        <w:rPr>
          <w:lang w:val="fr-FR"/>
        </w:rPr>
      </w:pPr>
      <w:r>
        <w:rPr>
          <w:lang w:val="fr-FR"/>
        </w:rPr>
        <w:t>18 février-</w:t>
      </w:r>
      <w:r w:rsidR="007E41FF" w:rsidRPr="007E41FF">
        <w:rPr>
          <w:lang w:val="fr-FR"/>
        </w:rPr>
        <w:t>8 mars 2019</w:t>
      </w:r>
    </w:p>
    <w:p w14:paraId="794AF294" w14:textId="7F5147FE" w:rsidR="007E41FF" w:rsidRPr="007E41FF" w:rsidRDefault="007E41FF" w:rsidP="007E41FF">
      <w:pPr>
        <w:pStyle w:val="AgendaItemNorma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7E41FF">
        <w:rPr>
          <w:lang w:val="fr-FR"/>
        </w:rPr>
        <w:t>Point 4 de l</w:t>
      </w:r>
      <w:r w:rsidR="00DE1F39">
        <w:rPr>
          <w:lang w:val="fr-FR"/>
        </w:rPr>
        <w:t>’</w:t>
      </w:r>
      <w:r w:rsidRPr="007E41FF">
        <w:rPr>
          <w:lang w:val="fr-FR"/>
        </w:rPr>
        <w:t>ordre du jour provisoire</w:t>
      </w:r>
    </w:p>
    <w:p w14:paraId="4B49132C" w14:textId="041559E0" w:rsidR="007E41FF" w:rsidRDefault="007E41FF" w:rsidP="007E41FF">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20"/>
        <w:rPr>
          <w:lang w:val="fr-FR"/>
        </w:rPr>
      </w:pPr>
      <w:r w:rsidRPr="007E41FF">
        <w:rPr>
          <w:lang w:val="fr-FR"/>
        </w:rPr>
        <w:t>Examen des rapports soumis</w:t>
      </w:r>
      <w:r>
        <w:rPr>
          <w:lang w:val="fr-FR"/>
        </w:rPr>
        <w:t xml:space="preserve"> par les États parties au titre </w:t>
      </w:r>
      <w:r w:rsidRPr="007E41FF">
        <w:rPr>
          <w:lang w:val="fr-FR"/>
        </w:rPr>
        <w:t>de l</w:t>
      </w:r>
      <w:r w:rsidR="00DE1F39">
        <w:rPr>
          <w:lang w:val="fr-FR"/>
        </w:rPr>
        <w:t>’</w:t>
      </w:r>
      <w:r w:rsidRPr="007E41FF">
        <w:rPr>
          <w:lang w:val="fr-FR"/>
        </w:rPr>
        <w:t>article 18 de la Convention sur l</w:t>
      </w:r>
      <w:r w:rsidR="00DE1F39">
        <w:rPr>
          <w:lang w:val="fr-FR"/>
        </w:rPr>
        <w:t>’</w:t>
      </w:r>
      <w:r w:rsidRPr="007E41FF">
        <w:rPr>
          <w:lang w:val="fr-FR"/>
        </w:rPr>
        <w:t xml:space="preserve">élimination de toutes les formes </w:t>
      </w:r>
      <w:r>
        <w:rPr>
          <w:lang w:val="fr-FR"/>
        </w:rPr>
        <w:t>de discrimination à l</w:t>
      </w:r>
      <w:r w:rsidR="00DE1F39">
        <w:rPr>
          <w:lang w:val="fr-FR"/>
        </w:rPr>
        <w:t>’</w:t>
      </w:r>
      <w:r>
        <w:rPr>
          <w:lang w:val="fr-FR"/>
        </w:rPr>
        <w:t>égard des </w:t>
      </w:r>
      <w:r w:rsidRPr="007E41FF">
        <w:rPr>
          <w:lang w:val="fr-FR"/>
        </w:rPr>
        <w:t>femmes</w:t>
      </w:r>
    </w:p>
    <w:p w14:paraId="461BB74B" w14:textId="30537FCE" w:rsidR="007E41FF" w:rsidRPr="007E41FF" w:rsidRDefault="007E41FF" w:rsidP="007E41FF">
      <w:pPr>
        <w:pStyle w:val="SingleTxt"/>
        <w:spacing w:after="0" w:line="120" w:lineRule="exact"/>
        <w:rPr>
          <w:sz w:val="10"/>
          <w:lang w:val="fr-FR"/>
        </w:rPr>
      </w:pPr>
    </w:p>
    <w:p w14:paraId="0E5AC739" w14:textId="4B9990D3" w:rsidR="007E41FF" w:rsidRPr="007E41FF" w:rsidRDefault="007E41FF" w:rsidP="007E41FF">
      <w:pPr>
        <w:pStyle w:val="SingleTxt"/>
        <w:spacing w:after="0" w:line="120" w:lineRule="exact"/>
        <w:rPr>
          <w:sz w:val="10"/>
          <w:lang w:val="fr-FR"/>
        </w:rPr>
      </w:pPr>
    </w:p>
    <w:p w14:paraId="5D55D48E" w14:textId="40C826A0" w:rsidR="007E41FF" w:rsidRPr="007E41FF" w:rsidRDefault="007E41FF" w:rsidP="007E41FF">
      <w:pPr>
        <w:pStyle w:val="SingleTxt"/>
        <w:spacing w:after="0" w:line="120" w:lineRule="exact"/>
        <w:rPr>
          <w:sz w:val="10"/>
          <w:lang w:val="fr-FR"/>
        </w:rPr>
      </w:pPr>
    </w:p>
    <w:p w14:paraId="4D715F1E" w14:textId="36781E49" w:rsidR="007E41FF" w:rsidRDefault="007E41FF" w:rsidP="007E41FF">
      <w:pPr>
        <w:pStyle w:val="TitleHCH"/>
        <w:ind w:right="1260"/>
        <w:rPr>
          <w:lang w:val="fr-FR"/>
        </w:rPr>
      </w:pPr>
      <w:r>
        <w:rPr>
          <w:lang w:val="fr-FR"/>
        </w:rPr>
        <w:tab/>
      </w:r>
      <w:r>
        <w:rPr>
          <w:lang w:val="fr-FR"/>
        </w:rPr>
        <w:tab/>
      </w:r>
      <w:r w:rsidRPr="007E41FF">
        <w:rPr>
          <w:lang w:val="fr-FR"/>
        </w:rPr>
        <w:t>Liste des points et q</w:t>
      </w:r>
      <w:r>
        <w:rPr>
          <w:lang w:val="fr-FR"/>
        </w:rPr>
        <w:t>uestions concernant l</w:t>
      </w:r>
      <w:r w:rsidR="00DE1F39">
        <w:rPr>
          <w:lang w:val="fr-FR"/>
        </w:rPr>
        <w:t>’</w:t>
      </w:r>
      <w:r>
        <w:rPr>
          <w:lang w:val="fr-FR"/>
        </w:rPr>
        <w:t>examen du </w:t>
      </w:r>
      <w:r w:rsidRPr="007E41FF">
        <w:rPr>
          <w:lang w:val="fr-FR"/>
        </w:rPr>
        <w:t>quatrième rapport périodique de la Serbie</w:t>
      </w:r>
    </w:p>
    <w:p w14:paraId="047AFBD9" w14:textId="7D1C6F8C" w:rsidR="007E41FF" w:rsidRPr="007E41FF" w:rsidRDefault="007E41FF" w:rsidP="007E41FF">
      <w:pPr>
        <w:pStyle w:val="SingleTxt"/>
        <w:spacing w:after="0" w:line="120" w:lineRule="exact"/>
        <w:rPr>
          <w:sz w:val="10"/>
          <w:lang w:val="fr-FR"/>
        </w:rPr>
      </w:pPr>
    </w:p>
    <w:p w14:paraId="46F04525" w14:textId="0A997CE1" w:rsidR="007E41FF" w:rsidRPr="007E41FF" w:rsidRDefault="007E41FF" w:rsidP="007E41FF">
      <w:pPr>
        <w:pStyle w:val="SingleTxt"/>
        <w:spacing w:after="0" w:line="120" w:lineRule="exact"/>
        <w:rPr>
          <w:sz w:val="10"/>
          <w:lang w:val="fr-FR"/>
        </w:rPr>
      </w:pPr>
    </w:p>
    <w:p w14:paraId="115ADD77" w14:textId="0491F9CA" w:rsidR="007E41FF" w:rsidRDefault="007E41FF" w:rsidP="00DE1F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E41FF">
        <w:rPr>
          <w:lang w:val="fr-FR"/>
        </w:rPr>
        <w:tab/>
      </w:r>
      <w:r w:rsidRPr="007E41FF">
        <w:rPr>
          <w:lang w:val="fr-FR"/>
        </w:rPr>
        <w:tab/>
        <w:t>Additif</w:t>
      </w:r>
    </w:p>
    <w:p w14:paraId="6F285CD9" w14:textId="7A7EDFF3" w:rsidR="007E41FF" w:rsidRPr="007E41FF" w:rsidRDefault="007E41FF" w:rsidP="007E41FF">
      <w:pPr>
        <w:pStyle w:val="SingleTxt"/>
        <w:spacing w:after="0" w:line="120" w:lineRule="exact"/>
        <w:rPr>
          <w:b/>
          <w:sz w:val="10"/>
          <w:lang w:val="fr-FR"/>
        </w:rPr>
      </w:pPr>
    </w:p>
    <w:p w14:paraId="70625580" w14:textId="077702D2" w:rsidR="007E41FF" w:rsidRPr="007E41FF" w:rsidRDefault="007E41FF" w:rsidP="007E41FF">
      <w:pPr>
        <w:pStyle w:val="SingleTxt"/>
        <w:spacing w:after="0" w:line="120" w:lineRule="exact"/>
        <w:rPr>
          <w:b/>
          <w:sz w:val="10"/>
          <w:lang w:val="fr-FR"/>
        </w:rPr>
      </w:pPr>
    </w:p>
    <w:p w14:paraId="65EED05B" w14:textId="7C283AD2" w:rsidR="007E41FF" w:rsidRDefault="007E41FF" w:rsidP="007E41FF">
      <w:pPr>
        <w:pStyle w:val="TitleH1"/>
        <w:ind w:right="1260"/>
        <w:rPr>
          <w:lang w:val="fr-FR"/>
        </w:rPr>
      </w:pPr>
      <w:r w:rsidRPr="007E41FF">
        <w:rPr>
          <w:lang w:val="fr-FR"/>
        </w:rPr>
        <w:tab/>
      </w:r>
      <w:r w:rsidRPr="007E41FF">
        <w:rPr>
          <w:lang w:val="fr-FR"/>
        </w:rPr>
        <w:tab/>
        <w:t>Réponses de la Serbie à la liste des points et questions</w:t>
      </w:r>
      <w:r w:rsidRPr="00DE1F39">
        <w:rPr>
          <w:b w:val="0"/>
          <w:bCs/>
          <w:sz w:val="20"/>
          <w:szCs w:val="20"/>
          <w:lang w:val="fr-FR"/>
        </w:rPr>
        <w:tab/>
      </w:r>
      <w:r w:rsidR="00DE1F39" w:rsidRPr="00DE1F39">
        <w:rPr>
          <w:b w:val="0"/>
          <w:bCs/>
          <w:sz w:val="20"/>
          <w:szCs w:val="20"/>
          <w:lang w:val="fr-FR"/>
        </w:rPr>
        <w:t>*</w:t>
      </w:r>
    </w:p>
    <w:p w14:paraId="1821B149" w14:textId="5F9AE920" w:rsidR="007E41FF" w:rsidRPr="007E41FF" w:rsidRDefault="007E41FF" w:rsidP="007E41FF">
      <w:pPr>
        <w:pStyle w:val="SingleTxt"/>
        <w:spacing w:after="0" w:line="120" w:lineRule="exact"/>
        <w:rPr>
          <w:sz w:val="10"/>
          <w:lang w:val="fr-FR"/>
        </w:rPr>
      </w:pPr>
    </w:p>
    <w:p w14:paraId="54EE65E3" w14:textId="58C79991" w:rsidR="007E41FF" w:rsidRPr="007E41FF" w:rsidRDefault="007E41FF" w:rsidP="007E41FF">
      <w:pPr>
        <w:pStyle w:val="SingleTxt"/>
        <w:spacing w:after="0" w:line="120" w:lineRule="exact"/>
        <w:rPr>
          <w:sz w:val="10"/>
          <w:lang w:val="fr-FR"/>
        </w:rPr>
      </w:pPr>
    </w:p>
    <w:p w14:paraId="15BC20C2" w14:textId="52C1B0AC" w:rsidR="007E41FF" w:rsidRPr="007E41FF" w:rsidRDefault="007E41FF" w:rsidP="007E41FF">
      <w:pPr>
        <w:pStyle w:val="SingleTxt"/>
        <w:jc w:val="right"/>
        <w:rPr>
          <w:lang w:val="fr-FR"/>
        </w:rPr>
      </w:pPr>
      <w:r w:rsidRPr="00DE1F39">
        <w:rPr>
          <w:lang w:val="fr-FR"/>
        </w:rPr>
        <w:footnoteReference w:customMarkFollows="1" w:id="1"/>
        <w:t>[</w:t>
      </w:r>
      <w:r>
        <w:rPr>
          <w:lang w:val="fr-FR"/>
        </w:rPr>
        <w:t>Date de réception </w:t>
      </w:r>
      <w:r w:rsidRPr="007E41FF">
        <w:rPr>
          <w:lang w:val="fr-FR"/>
        </w:rPr>
        <w:t>: 28 novembre 2018]</w:t>
      </w:r>
    </w:p>
    <w:p w14:paraId="32421360" w14:textId="6BA38A2E" w:rsidR="007E41FF" w:rsidRDefault="007E41FF">
      <w:pPr>
        <w:spacing w:after="200" w:line="276" w:lineRule="auto"/>
      </w:pPr>
      <w:r>
        <w:br w:type="page"/>
      </w:r>
    </w:p>
    <w:p w14:paraId="6E2C6F87" w14:textId="735958CB" w:rsidR="007E41FF" w:rsidRDefault="007E41FF" w:rsidP="007E41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Pr="007E41FF">
        <w:rPr>
          <w:lang w:val="fr-FR"/>
        </w:rPr>
        <w:t>Cadre constitutionnel, législatif et institutionnel, et définition de la discrimination</w:t>
      </w:r>
    </w:p>
    <w:p w14:paraId="45B05317" w14:textId="18707033" w:rsidR="007E41FF" w:rsidRPr="007E41FF" w:rsidRDefault="007E41FF" w:rsidP="007E41FF">
      <w:pPr>
        <w:pStyle w:val="SingleTxt"/>
        <w:spacing w:after="0" w:line="120" w:lineRule="exact"/>
        <w:rPr>
          <w:sz w:val="10"/>
          <w:lang w:val="fr-FR"/>
        </w:rPr>
      </w:pPr>
    </w:p>
    <w:p w14:paraId="39BF72F9" w14:textId="538BA05F" w:rsidR="007E41FF" w:rsidRPr="007E41FF" w:rsidRDefault="007E41FF" w:rsidP="00172AC5">
      <w:pPr>
        <w:pStyle w:val="SingleTxt"/>
        <w:numPr>
          <w:ilvl w:val="0"/>
          <w:numId w:val="5"/>
        </w:numPr>
        <w:spacing w:line="240" w:lineRule="exact"/>
        <w:ind w:left="1267"/>
        <w:rPr>
          <w:lang w:val="fr-FR"/>
        </w:rPr>
      </w:pPr>
      <w:r w:rsidRPr="007E41FF">
        <w:rPr>
          <w:lang w:val="fr-FR"/>
        </w:rPr>
        <w:t xml:space="preserve">Selon le </w:t>
      </w:r>
      <w:r w:rsidRPr="007E41FF">
        <w:rPr>
          <w:i/>
          <w:lang w:val="fr-FR"/>
        </w:rPr>
        <w:t>projet de loi portant modification de la loi sur l</w:t>
      </w:r>
      <w:r w:rsidR="00DE1F39">
        <w:rPr>
          <w:i/>
          <w:lang w:val="fr-FR"/>
        </w:rPr>
        <w:t>’</w:t>
      </w:r>
      <w:r w:rsidRPr="007E41FF">
        <w:rPr>
          <w:i/>
          <w:lang w:val="fr-FR"/>
        </w:rPr>
        <w:t xml:space="preserve">interdiction de la discrimination, </w:t>
      </w:r>
      <w:r w:rsidRPr="007E41FF">
        <w:rPr>
          <w:lang w:val="fr-FR"/>
        </w:rPr>
        <w:t xml:space="preserve">il y a </w:t>
      </w:r>
      <w:r w:rsidRPr="007E41FF">
        <w:rPr>
          <w:i/>
          <w:lang w:val="fr-FR"/>
        </w:rPr>
        <w:t>discrimination indirecte</w:t>
      </w:r>
      <w:r w:rsidRPr="007E41FF">
        <w:rPr>
          <w:lang w:val="fr-FR"/>
        </w:rPr>
        <w:t xml:space="preserve"> lorsqu</w:t>
      </w:r>
      <w:r w:rsidR="00DE1F39">
        <w:rPr>
          <w:lang w:val="fr-FR"/>
        </w:rPr>
        <w:t>’</w:t>
      </w:r>
      <w:r w:rsidRPr="007E41FF">
        <w:rPr>
          <w:lang w:val="fr-FR"/>
        </w:rPr>
        <w:t>une disposition, un critère ou une pratique neutre place ou semble placer une personne ou un groupe de personnes dans une position moins favorable par rapport à d</w:t>
      </w:r>
      <w:r w:rsidR="00DE1F39">
        <w:rPr>
          <w:lang w:val="fr-FR"/>
        </w:rPr>
        <w:t>’</w:t>
      </w:r>
      <w:r w:rsidRPr="007E41FF">
        <w:rPr>
          <w:lang w:val="fr-FR"/>
        </w:rPr>
        <w:t>autres personnes dans une situation identique ou similaire, en raison de caractéristiques personnelles, à moins que cela soit justifié par un objectif légal, et que les moyens d</w:t>
      </w:r>
      <w:r w:rsidR="00DE1F39">
        <w:rPr>
          <w:lang w:val="fr-FR"/>
        </w:rPr>
        <w:t>’</w:t>
      </w:r>
      <w:r w:rsidRPr="007E41FF">
        <w:rPr>
          <w:lang w:val="fr-FR"/>
        </w:rPr>
        <w:t xml:space="preserve">atteindre cet objectif soient appropriés et nécessaires. </w:t>
      </w:r>
    </w:p>
    <w:p w14:paraId="00AA87B6" w14:textId="1C94367E" w:rsidR="007E41FF" w:rsidRPr="007E41FF" w:rsidRDefault="007E41FF" w:rsidP="00172AC5">
      <w:pPr>
        <w:pStyle w:val="SingleTxt"/>
        <w:numPr>
          <w:ilvl w:val="0"/>
          <w:numId w:val="5"/>
        </w:numPr>
        <w:spacing w:line="240" w:lineRule="exact"/>
        <w:ind w:left="1267"/>
        <w:rPr>
          <w:lang w:val="fr-FR"/>
        </w:rPr>
      </w:pPr>
      <w:r w:rsidRPr="007E41FF">
        <w:rPr>
          <w:lang w:val="fr-FR"/>
        </w:rPr>
        <w:t>Ce projet de loi interdit les comportements perturbants, le harcèlement sexuel et les traitements humiliants visant une personne ou un groupe de personnes en raison de caractéristiques personnelles, et plus particulièrement s</w:t>
      </w:r>
      <w:r w:rsidR="00DE1F39">
        <w:rPr>
          <w:lang w:val="fr-FR"/>
        </w:rPr>
        <w:t>’</w:t>
      </w:r>
      <w:r w:rsidRPr="007E41FF">
        <w:rPr>
          <w:lang w:val="fr-FR"/>
        </w:rPr>
        <w:t>ils suscitent la peur ou créent un environnement hostile, humiliant ou offensant. Il définit également le harcèlement sexuel comme étant tout comportement verbal, non verbal ou physique indésirable dans le cadre de la vie sexuelle, visant une personne ou constituant une violation de sa dignité ou de son intégrité physique. Le caractère complet de la loi en ce qui concerne les personnes qu</w:t>
      </w:r>
      <w:r w:rsidR="00DE1F39">
        <w:rPr>
          <w:lang w:val="fr-FR"/>
        </w:rPr>
        <w:t>’</w:t>
      </w:r>
      <w:r w:rsidRPr="007E41FF">
        <w:rPr>
          <w:lang w:val="fr-FR"/>
        </w:rPr>
        <w:t xml:space="preserve">elle protège, est exprimé dans la manière dont « une personne » et « toute personne » font référence aux personnes résidant sur le territoire serbe, ou sur le territoire relevant de sa juridiction, et tous les termes utilisés au masculin dans le texte de cette loi seront également mentionnés au féminin. </w:t>
      </w:r>
    </w:p>
    <w:p w14:paraId="29250F02" w14:textId="650BD9C5" w:rsidR="007E41FF" w:rsidRDefault="007E41FF" w:rsidP="00172AC5">
      <w:pPr>
        <w:pStyle w:val="SingleTxt"/>
        <w:numPr>
          <w:ilvl w:val="0"/>
          <w:numId w:val="6"/>
        </w:numPr>
        <w:spacing w:line="240" w:lineRule="exact"/>
        <w:ind w:left="1267"/>
        <w:rPr>
          <w:lang w:val="fr-FR"/>
        </w:rPr>
      </w:pPr>
      <w:r w:rsidRPr="007E41FF">
        <w:rPr>
          <w:lang w:val="fr-FR"/>
        </w:rPr>
        <w:t>En août 2018, le</w:t>
      </w:r>
      <w:r w:rsidRPr="007E41FF">
        <w:rPr>
          <w:i/>
          <w:lang w:val="fr-FR"/>
        </w:rPr>
        <w:t xml:space="preserve"> projet de loi sur l</w:t>
      </w:r>
      <w:r w:rsidR="00DE1F39">
        <w:rPr>
          <w:i/>
          <w:lang w:val="fr-FR"/>
        </w:rPr>
        <w:t>’</w:t>
      </w:r>
      <w:r w:rsidRPr="007E41FF">
        <w:rPr>
          <w:i/>
          <w:lang w:val="fr-FR"/>
        </w:rPr>
        <w:t xml:space="preserve">égalité des sexes </w:t>
      </w:r>
      <w:r w:rsidRPr="007E41FF">
        <w:rPr>
          <w:lang w:val="fr-FR"/>
        </w:rPr>
        <w:t>a été communiqué aux autorités publiques compétentes pour avis, et devrait être adopté d</w:t>
      </w:r>
      <w:r w:rsidR="00DE1F39">
        <w:rPr>
          <w:lang w:val="fr-FR"/>
        </w:rPr>
        <w:t>’</w:t>
      </w:r>
      <w:r w:rsidRPr="007E41FF">
        <w:rPr>
          <w:lang w:val="fr-FR"/>
        </w:rPr>
        <w:t>ici la fin de 2018. Cette loi définit les attributions du bureau d</w:t>
      </w:r>
      <w:r w:rsidR="00DE1F39">
        <w:rPr>
          <w:lang w:val="fr-FR"/>
        </w:rPr>
        <w:t>’</w:t>
      </w:r>
      <w:r w:rsidRPr="007E41FF">
        <w:rPr>
          <w:lang w:val="fr-FR"/>
        </w:rPr>
        <w:t>aide juridictionnelle gratuite et la protection judiciaire conformément à la loi réglementant l</w:t>
      </w:r>
      <w:r w:rsidR="00DE1F39">
        <w:rPr>
          <w:lang w:val="fr-FR"/>
        </w:rPr>
        <w:t>’</w:t>
      </w:r>
      <w:r w:rsidRPr="007E41FF">
        <w:rPr>
          <w:lang w:val="fr-FR"/>
        </w:rPr>
        <w:t>interdiction de la discrimination. Elle contient une section spéciale qui réglemente la prévention et la lutte contre la violence sexiste, la violence domestique et la violence à l</w:t>
      </w:r>
      <w:r w:rsidR="00DE1F39">
        <w:rPr>
          <w:lang w:val="fr-FR"/>
        </w:rPr>
        <w:t>’</w:t>
      </w:r>
      <w:r w:rsidRPr="007E41FF">
        <w:rPr>
          <w:lang w:val="fr-FR"/>
        </w:rPr>
        <w:t>égard des femmes, et définit les mécanismes mis en place pour une protection efficace et les services de protection spécialisés. Elle ne contient pas une interdiction explicite de la discrimination à l</w:t>
      </w:r>
      <w:r w:rsidR="00DE1F39">
        <w:rPr>
          <w:lang w:val="fr-FR"/>
        </w:rPr>
        <w:t>’</w:t>
      </w:r>
      <w:r w:rsidRPr="007E41FF">
        <w:rPr>
          <w:lang w:val="fr-FR"/>
        </w:rPr>
        <w:t>égard des lesbiennes, des bisexuels et des transgenres ou intersexes, mais elle interdit la discrimination fondée sur le genre, et le terme « genre » est défini conformém</w:t>
      </w:r>
      <w:r>
        <w:rPr>
          <w:lang w:val="fr-FR"/>
        </w:rPr>
        <w:t>ent à la Convention d</w:t>
      </w:r>
      <w:r w:rsidR="00DE1F39">
        <w:rPr>
          <w:lang w:val="fr-FR"/>
        </w:rPr>
        <w:t>’</w:t>
      </w:r>
      <w:r>
        <w:rPr>
          <w:lang w:val="fr-FR"/>
        </w:rPr>
        <w:t>Istanbul.</w:t>
      </w:r>
    </w:p>
    <w:p w14:paraId="5D8C5358" w14:textId="6B66390C" w:rsidR="007E41FF" w:rsidRPr="007E41FF" w:rsidRDefault="007E41FF" w:rsidP="007E41FF">
      <w:pPr>
        <w:pStyle w:val="SingleTxt"/>
        <w:spacing w:after="0" w:line="120" w:lineRule="exact"/>
        <w:rPr>
          <w:sz w:val="10"/>
          <w:lang w:val="fr-FR"/>
        </w:rPr>
      </w:pPr>
    </w:p>
    <w:p w14:paraId="0DBD9AEB" w14:textId="72CC325F" w:rsidR="007E41FF" w:rsidRDefault="007E41FF" w:rsidP="007E41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E41FF">
        <w:rPr>
          <w:lang w:val="fr-FR"/>
        </w:rPr>
        <w:tab/>
      </w:r>
      <w:r w:rsidRPr="007E41FF">
        <w:rPr>
          <w:lang w:val="fr-FR"/>
        </w:rPr>
        <w:tab/>
        <w:t xml:space="preserve">Accès à la justice </w:t>
      </w:r>
    </w:p>
    <w:p w14:paraId="1EB55DF3" w14:textId="2EE1FB6F" w:rsidR="007E41FF" w:rsidRPr="007E41FF" w:rsidRDefault="007E41FF" w:rsidP="007E41FF">
      <w:pPr>
        <w:pStyle w:val="SingleTxt"/>
        <w:spacing w:after="0" w:line="120" w:lineRule="exact"/>
        <w:rPr>
          <w:sz w:val="10"/>
          <w:lang w:val="fr-FR"/>
        </w:rPr>
      </w:pPr>
    </w:p>
    <w:p w14:paraId="3DECEA86" w14:textId="63DF78CD" w:rsidR="007E41FF" w:rsidRPr="007E41FF" w:rsidRDefault="007E41FF" w:rsidP="00172AC5">
      <w:pPr>
        <w:pStyle w:val="SingleTxt"/>
        <w:numPr>
          <w:ilvl w:val="0"/>
          <w:numId w:val="7"/>
        </w:numPr>
        <w:spacing w:line="240" w:lineRule="exact"/>
        <w:ind w:left="1267"/>
        <w:rPr>
          <w:lang w:val="fr-FR"/>
        </w:rPr>
      </w:pPr>
      <w:r w:rsidRPr="007E41FF">
        <w:rPr>
          <w:lang w:val="fr-FR"/>
        </w:rPr>
        <w:t>Le projet de loi relatif à l</w:t>
      </w:r>
      <w:r w:rsidR="00DE1F39">
        <w:rPr>
          <w:lang w:val="fr-FR"/>
        </w:rPr>
        <w:t>’</w:t>
      </w:r>
      <w:r w:rsidRPr="007E41FF">
        <w:rPr>
          <w:lang w:val="fr-FR"/>
        </w:rPr>
        <w:t>aide juridictionnelle gratuite et celui sur l</w:t>
      </w:r>
      <w:r w:rsidR="00DE1F39">
        <w:rPr>
          <w:lang w:val="fr-FR"/>
        </w:rPr>
        <w:t>’</w:t>
      </w:r>
      <w:r w:rsidRPr="007E41FF">
        <w:rPr>
          <w:lang w:val="fr-FR"/>
        </w:rPr>
        <w:t xml:space="preserve">égalité des sexes ne se chevauchent pas. </w:t>
      </w:r>
    </w:p>
    <w:p w14:paraId="44EDDAE7" w14:textId="60B87811" w:rsidR="007E41FF" w:rsidRPr="007E41FF" w:rsidRDefault="007E41FF" w:rsidP="00172AC5">
      <w:pPr>
        <w:pStyle w:val="SingleTxt"/>
        <w:numPr>
          <w:ilvl w:val="0"/>
          <w:numId w:val="7"/>
        </w:numPr>
        <w:spacing w:line="240" w:lineRule="exact"/>
        <w:ind w:left="1267"/>
        <w:rPr>
          <w:bCs/>
          <w:iCs/>
          <w:lang w:val="fr-FR"/>
        </w:rPr>
      </w:pPr>
      <w:r w:rsidRPr="007E41FF">
        <w:rPr>
          <w:lang w:val="fr-FR"/>
        </w:rPr>
        <w:t>Le projet de loi relatif à l</w:t>
      </w:r>
      <w:r w:rsidR="00DE1F39">
        <w:rPr>
          <w:lang w:val="fr-FR"/>
        </w:rPr>
        <w:t>’</w:t>
      </w:r>
      <w:r w:rsidRPr="007E41FF">
        <w:rPr>
          <w:lang w:val="fr-FR"/>
        </w:rPr>
        <w:t>aide juridictionnelle gratuite précise que l</w:t>
      </w:r>
      <w:r w:rsidR="00DE1F39">
        <w:rPr>
          <w:lang w:val="fr-FR"/>
        </w:rPr>
        <w:t>’</w:t>
      </w:r>
      <w:r w:rsidRPr="007E41FF">
        <w:rPr>
          <w:lang w:val="fr-FR"/>
        </w:rPr>
        <w:t>aide juridictionnelle est gratuite pour les citoyens uniquement dans les cas où le bénéficiaire n</w:t>
      </w:r>
      <w:r w:rsidR="00DE1F39">
        <w:rPr>
          <w:lang w:val="fr-FR"/>
        </w:rPr>
        <w:t>’</w:t>
      </w:r>
      <w:r w:rsidRPr="007E41FF">
        <w:rPr>
          <w:lang w:val="fr-FR"/>
        </w:rPr>
        <w:t>exerce pas son droit à l</w:t>
      </w:r>
      <w:r w:rsidR="00DE1F39">
        <w:rPr>
          <w:lang w:val="fr-FR"/>
        </w:rPr>
        <w:t>’</w:t>
      </w:r>
      <w:r w:rsidRPr="007E41FF">
        <w:rPr>
          <w:lang w:val="fr-FR"/>
        </w:rPr>
        <w:t>aide juridictionnelle gratuite conformément aux dispositions d</w:t>
      </w:r>
      <w:r w:rsidR="00DE1F39">
        <w:rPr>
          <w:lang w:val="fr-FR"/>
        </w:rPr>
        <w:t>’</w:t>
      </w:r>
      <w:r w:rsidRPr="007E41FF">
        <w:rPr>
          <w:lang w:val="fr-FR"/>
        </w:rPr>
        <w:t>autres lois. Chaque personne bénéficiera d</w:t>
      </w:r>
      <w:r w:rsidR="00DE1F39">
        <w:rPr>
          <w:lang w:val="fr-FR"/>
        </w:rPr>
        <w:t>’</w:t>
      </w:r>
      <w:r w:rsidRPr="007E41FF">
        <w:rPr>
          <w:lang w:val="fr-FR"/>
        </w:rPr>
        <w:t>un accès égal à la justice conformément aux principes de la primauté du droit et de l</w:t>
      </w:r>
      <w:r w:rsidR="00DE1F39">
        <w:rPr>
          <w:lang w:val="fr-FR"/>
        </w:rPr>
        <w:t>’</w:t>
      </w:r>
      <w:r w:rsidRPr="007E41FF">
        <w:rPr>
          <w:lang w:val="fr-FR"/>
        </w:rPr>
        <w:t>égalité des personnes lors d</w:t>
      </w:r>
      <w:r w:rsidR="00DE1F39">
        <w:rPr>
          <w:lang w:val="fr-FR"/>
        </w:rPr>
        <w:t>’</w:t>
      </w:r>
      <w:r w:rsidRPr="007E41FF">
        <w:rPr>
          <w:lang w:val="fr-FR"/>
        </w:rPr>
        <w:t xml:space="preserve">une procédure devant un tribunal, une administration ou toute autre autorité publique, et la Cour constitutionnelle. </w:t>
      </w:r>
    </w:p>
    <w:p w14:paraId="73F3A555" w14:textId="23EEB363" w:rsidR="007E41FF" w:rsidRPr="007E41FF" w:rsidRDefault="007E41FF" w:rsidP="00172AC5">
      <w:pPr>
        <w:pStyle w:val="SingleTxt"/>
        <w:numPr>
          <w:ilvl w:val="0"/>
          <w:numId w:val="8"/>
        </w:numPr>
        <w:spacing w:line="240" w:lineRule="exact"/>
        <w:ind w:left="1267"/>
        <w:rPr>
          <w:lang w:val="fr-FR"/>
        </w:rPr>
      </w:pPr>
      <w:r w:rsidRPr="007E41FF">
        <w:rPr>
          <w:lang w:val="fr-FR"/>
        </w:rPr>
        <w:t>Selon les dispositions de ce projet de loi, la réglementation nécessaire à l</w:t>
      </w:r>
      <w:r w:rsidR="00DE1F39">
        <w:rPr>
          <w:lang w:val="fr-FR"/>
        </w:rPr>
        <w:t>’</w:t>
      </w:r>
      <w:r w:rsidRPr="007E41FF">
        <w:rPr>
          <w:lang w:val="fr-FR"/>
        </w:rPr>
        <w:t>application de la loi sera adoptée dans les six mois à compter de la date de son entrée en vigueur, prévue pour le 1</w:t>
      </w:r>
      <w:r w:rsidRPr="007E41FF">
        <w:rPr>
          <w:vertAlign w:val="superscript"/>
          <w:lang w:val="fr-FR"/>
        </w:rPr>
        <w:t xml:space="preserve">er </w:t>
      </w:r>
      <w:r w:rsidRPr="007E41FF">
        <w:rPr>
          <w:lang w:val="fr-FR"/>
        </w:rPr>
        <w:t>octobre 2019. Dans les douze mois à compter de l</w:t>
      </w:r>
      <w:r w:rsidR="00DE1F39">
        <w:rPr>
          <w:lang w:val="fr-FR"/>
        </w:rPr>
        <w:t>’</w:t>
      </w:r>
      <w:r w:rsidRPr="007E41FF">
        <w:rPr>
          <w:lang w:val="fr-FR"/>
        </w:rPr>
        <w:t>entrée en vigueur de cette loi, le service d</w:t>
      </w:r>
      <w:r w:rsidR="00DE1F39">
        <w:rPr>
          <w:lang w:val="fr-FR"/>
        </w:rPr>
        <w:t>’</w:t>
      </w:r>
      <w:r w:rsidRPr="007E41FF">
        <w:rPr>
          <w:lang w:val="fr-FR"/>
        </w:rPr>
        <w:t xml:space="preserve">aide juridictionnelle sera mis en place. </w:t>
      </w:r>
    </w:p>
    <w:p w14:paraId="651AB0C7" w14:textId="54133DAC" w:rsidR="007E41FF" w:rsidRPr="007E41FF" w:rsidRDefault="007E41FF" w:rsidP="00172AC5">
      <w:pPr>
        <w:pStyle w:val="SingleTxt"/>
        <w:numPr>
          <w:ilvl w:val="0"/>
          <w:numId w:val="9"/>
        </w:numPr>
        <w:spacing w:line="240" w:lineRule="exact"/>
        <w:ind w:left="1267"/>
        <w:rPr>
          <w:lang w:val="fr-FR"/>
        </w:rPr>
      </w:pPr>
      <w:r w:rsidRPr="007E41FF">
        <w:rPr>
          <w:lang w:val="fr-FR"/>
        </w:rPr>
        <w:t>En ce qui concerne les ressources humaines et financières, il est prévu de renforcer les capacités du ministère de la Justice qui sera chargé de surveiller l</w:t>
      </w:r>
      <w:r w:rsidR="00DE1F39">
        <w:rPr>
          <w:lang w:val="fr-FR"/>
        </w:rPr>
        <w:t>’</w:t>
      </w:r>
      <w:r w:rsidRPr="007E41FF">
        <w:rPr>
          <w:lang w:val="fr-FR"/>
        </w:rPr>
        <w:t>application de la loi, puis de former toutes les personnes qui assureront le service d</w:t>
      </w:r>
      <w:r w:rsidR="00DE1F39">
        <w:rPr>
          <w:lang w:val="fr-FR"/>
        </w:rPr>
        <w:t>’</w:t>
      </w:r>
      <w:r w:rsidRPr="007E41FF">
        <w:rPr>
          <w:lang w:val="fr-FR"/>
        </w:rPr>
        <w:t>aide juridictionnelle gratuite et le personnel des administrations. Le montant final des fonds alloués dans le budget sera défini par le ministère des Finances lors de la préparation et de l</w:t>
      </w:r>
      <w:r w:rsidR="00DE1F39">
        <w:rPr>
          <w:lang w:val="fr-FR"/>
        </w:rPr>
        <w:t>’</w:t>
      </w:r>
      <w:r w:rsidRPr="007E41FF">
        <w:rPr>
          <w:lang w:val="fr-FR"/>
        </w:rPr>
        <w:t xml:space="preserve">adoption de la loi de finance. </w:t>
      </w:r>
    </w:p>
    <w:p w14:paraId="4BFCA8B8" w14:textId="6D6CEDAD" w:rsidR="007E41FF" w:rsidRPr="007E41FF" w:rsidRDefault="007E41FF" w:rsidP="00172AC5">
      <w:pPr>
        <w:pStyle w:val="SingleTxt"/>
        <w:numPr>
          <w:ilvl w:val="0"/>
          <w:numId w:val="10"/>
        </w:numPr>
        <w:spacing w:line="240" w:lineRule="exact"/>
        <w:ind w:left="1267"/>
        <w:rPr>
          <w:lang w:val="fr-FR"/>
        </w:rPr>
      </w:pPr>
      <w:r w:rsidRPr="007E41FF">
        <w:rPr>
          <w:lang w:val="fr-FR"/>
        </w:rPr>
        <w:lastRenderedPageBreak/>
        <w:t>Selon la législation serbe, les actes criminels comprenant des éléments de discrimination exposent d</w:t>
      </w:r>
      <w:r w:rsidR="00DE1F39">
        <w:rPr>
          <w:lang w:val="fr-FR"/>
        </w:rPr>
        <w:t>’</w:t>
      </w:r>
      <w:r w:rsidRPr="007E41FF">
        <w:rPr>
          <w:lang w:val="fr-FR"/>
        </w:rPr>
        <w:t>office à des poursuites au pénal</w:t>
      </w:r>
      <w:r w:rsidRPr="007E41FF">
        <w:rPr>
          <w:i/>
          <w:lang w:val="fr-FR"/>
        </w:rPr>
        <w:t>.</w:t>
      </w:r>
    </w:p>
    <w:p w14:paraId="106273DC" w14:textId="2C038BBA" w:rsidR="007E41FF" w:rsidRPr="007E41FF" w:rsidRDefault="007E41FF" w:rsidP="007E41FF">
      <w:pPr>
        <w:pStyle w:val="SingleTxt"/>
        <w:spacing w:after="0" w:line="120" w:lineRule="exact"/>
        <w:rPr>
          <w:i/>
          <w:sz w:val="10"/>
          <w:lang w:val="fr-FR"/>
        </w:rPr>
      </w:pPr>
    </w:p>
    <w:p w14:paraId="36E1804C" w14:textId="660B7303" w:rsidR="007E41FF" w:rsidRDefault="007E41FF" w:rsidP="007E41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E41FF">
        <w:rPr>
          <w:lang w:val="fr-FR"/>
        </w:rPr>
        <w:tab/>
      </w:r>
      <w:r w:rsidRPr="007E41FF">
        <w:rPr>
          <w:lang w:val="fr-FR"/>
        </w:rPr>
        <w:tab/>
        <w:t>Mécanismes nationaux d</w:t>
      </w:r>
      <w:r w:rsidR="00DE1F39">
        <w:rPr>
          <w:lang w:val="fr-FR"/>
        </w:rPr>
        <w:t>’</w:t>
      </w:r>
      <w:r w:rsidRPr="007E41FF">
        <w:rPr>
          <w:lang w:val="fr-FR"/>
        </w:rPr>
        <w:t xml:space="preserve">amélioration de la situation des femmes </w:t>
      </w:r>
    </w:p>
    <w:p w14:paraId="50720C20" w14:textId="424818B1" w:rsidR="007E41FF" w:rsidRPr="007E41FF" w:rsidRDefault="007E41FF" w:rsidP="007E41FF">
      <w:pPr>
        <w:pStyle w:val="SingleTxt"/>
        <w:spacing w:after="0" w:line="120" w:lineRule="exact"/>
        <w:rPr>
          <w:sz w:val="10"/>
          <w:lang w:val="fr-FR"/>
        </w:rPr>
      </w:pPr>
    </w:p>
    <w:p w14:paraId="0403BB34" w14:textId="2E4F790A" w:rsidR="007E41FF" w:rsidRPr="007E41FF" w:rsidRDefault="007E41FF" w:rsidP="00172AC5">
      <w:pPr>
        <w:pStyle w:val="SingleTxt"/>
        <w:numPr>
          <w:ilvl w:val="0"/>
          <w:numId w:val="11"/>
        </w:numPr>
        <w:spacing w:line="240" w:lineRule="exact"/>
        <w:ind w:left="1267"/>
        <w:rPr>
          <w:lang w:val="fr-FR"/>
        </w:rPr>
      </w:pPr>
      <w:r w:rsidRPr="007E41FF">
        <w:rPr>
          <w:lang w:val="fr-FR"/>
        </w:rPr>
        <w:t>En juillet 2017, le Département de la politique anti-discrimination et de l</w:t>
      </w:r>
      <w:r w:rsidR="00DE1F39">
        <w:rPr>
          <w:lang w:val="fr-FR"/>
        </w:rPr>
        <w:t>’</w:t>
      </w:r>
      <w:r w:rsidRPr="007E41FF">
        <w:rPr>
          <w:lang w:val="fr-FR"/>
        </w:rPr>
        <w:t>amélioration de l</w:t>
      </w:r>
      <w:r w:rsidR="00DE1F39">
        <w:rPr>
          <w:lang w:val="fr-FR"/>
        </w:rPr>
        <w:t>’</w:t>
      </w:r>
      <w:r w:rsidRPr="007E41FF">
        <w:rPr>
          <w:lang w:val="fr-FR"/>
        </w:rPr>
        <w:t>égalité des sexes du Ministère du travail, de l</w:t>
      </w:r>
      <w:r w:rsidR="00DE1F39">
        <w:rPr>
          <w:lang w:val="fr-FR"/>
        </w:rPr>
        <w:t>’</w:t>
      </w:r>
      <w:r w:rsidRPr="007E41FF">
        <w:rPr>
          <w:lang w:val="fr-FR"/>
        </w:rPr>
        <w:t>emploi, des anciens combattants et des affaires sociales a commencé ses travaux. Le projet de loi sur l</w:t>
      </w:r>
      <w:r w:rsidR="00DE1F39">
        <w:rPr>
          <w:lang w:val="fr-FR"/>
        </w:rPr>
        <w:t>’</w:t>
      </w:r>
      <w:r w:rsidRPr="007E41FF">
        <w:rPr>
          <w:lang w:val="fr-FR"/>
        </w:rPr>
        <w:t>égalité des sexes définit l</w:t>
      </w:r>
      <w:r w:rsidR="00DE1F39">
        <w:rPr>
          <w:lang w:val="fr-FR"/>
        </w:rPr>
        <w:t>’</w:t>
      </w:r>
      <w:r w:rsidRPr="007E41FF">
        <w:rPr>
          <w:lang w:val="fr-FR"/>
        </w:rPr>
        <w:t xml:space="preserve">existence de </w:t>
      </w:r>
      <w:r w:rsidRPr="007E41FF">
        <w:rPr>
          <w:i/>
          <w:lang w:val="fr-FR"/>
        </w:rPr>
        <w:t>Conseils pour l</w:t>
      </w:r>
      <w:r w:rsidR="00DE1F39">
        <w:rPr>
          <w:i/>
          <w:lang w:val="fr-FR"/>
        </w:rPr>
        <w:t>’</w:t>
      </w:r>
      <w:r w:rsidRPr="007E41FF">
        <w:rPr>
          <w:i/>
          <w:lang w:val="fr-FR"/>
        </w:rPr>
        <w:t xml:space="preserve">égalité des sexes </w:t>
      </w:r>
      <w:r w:rsidRPr="007E41FF">
        <w:rPr>
          <w:lang w:val="fr-FR"/>
        </w:rPr>
        <w:t>et de l</w:t>
      </w:r>
      <w:r w:rsidR="00DE1F39">
        <w:rPr>
          <w:lang w:val="fr-FR"/>
        </w:rPr>
        <w:t>’</w:t>
      </w:r>
      <w:r w:rsidRPr="007E41FF">
        <w:rPr>
          <w:i/>
          <w:lang w:val="fr-FR"/>
        </w:rPr>
        <w:t>Organisme de coordination pour l</w:t>
      </w:r>
      <w:r w:rsidR="00DE1F39">
        <w:rPr>
          <w:i/>
          <w:lang w:val="fr-FR"/>
        </w:rPr>
        <w:t>’</w:t>
      </w:r>
      <w:r w:rsidRPr="007E41FF">
        <w:rPr>
          <w:i/>
          <w:lang w:val="fr-FR"/>
        </w:rPr>
        <w:t>égalité des sexes</w:t>
      </w:r>
      <w:r w:rsidRPr="007E41FF">
        <w:rPr>
          <w:lang w:val="fr-FR"/>
        </w:rPr>
        <w:t xml:space="preserve"> qui agira au niveau du pouvoir exécutif comme un organisme consultatif et opérationnel. En outre, ce projet de loi définit l</w:t>
      </w:r>
      <w:r w:rsidR="00DE1F39">
        <w:rPr>
          <w:lang w:val="fr-FR"/>
        </w:rPr>
        <w:t>’</w:t>
      </w:r>
      <w:r w:rsidRPr="007E41FF">
        <w:rPr>
          <w:lang w:val="fr-FR"/>
        </w:rPr>
        <w:t>existence de conseils pour l</w:t>
      </w:r>
      <w:r w:rsidR="00DE1F39">
        <w:rPr>
          <w:lang w:val="fr-FR"/>
        </w:rPr>
        <w:t>’</w:t>
      </w:r>
      <w:r w:rsidRPr="007E41FF">
        <w:rPr>
          <w:lang w:val="fr-FR"/>
        </w:rPr>
        <w:t>égalité des sexes dans toutes les collectivités locales et la désignation d</w:t>
      </w:r>
      <w:r w:rsidR="00DE1F39">
        <w:rPr>
          <w:lang w:val="fr-FR"/>
        </w:rPr>
        <w:t>’</w:t>
      </w:r>
      <w:r w:rsidRPr="007E41FF">
        <w:rPr>
          <w:lang w:val="fr-FR"/>
        </w:rPr>
        <w:t>interlocuteurs en charge des questions d</w:t>
      </w:r>
      <w:r w:rsidR="00DE1F39">
        <w:rPr>
          <w:lang w:val="fr-FR"/>
        </w:rPr>
        <w:t>’</w:t>
      </w:r>
      <w:r w:rsidRPr="007E41FF">
        <w:rPr>
          <w:lang w:val="fr-FR"/>
        </w:rPr>
        <w:t xml:space="preserve">égalité des sexes. </w:t>
      </w:r>
    </w:p>
    <w:p w14:paraId="1E317A55" w14:textId="5686755D" w:rsidR="007E41FF" w:rsidRPr="007E41FF" w:rsidRDefault="007E41FF" w:rsidP="00172AC5">
      <w:pPr>
        <w:pStyle w:val="SingleTxt"/>
        <w:numPr>
          <w:ilvl w:val="0"/>
          <w:numId w:val="11"/>
        </w:numPr>
        <w:spacing w:line="240" w:lineRule="exact"/>
        <w:ind w:left="1267"/>
        <w:rPr>
          <w:lang w:val="fr-FR"/>
        </w:rPr>
      </w:pPr>
      <w:r w:rsidRPr="007E41FF">
        <w:rPr>
          <w:lang w:val="fr-FR"/>
        </w:rPr>
        <w:t xml:space="preserve">Pour la mise en </w:t>
      </w:r>
      <w:r w:rsidR="0015207D" w:rsidRPr="007E41FF">
        <w:rPr>
          <w:lang w:val="fr-FR"/>
        </w:rPr>
        <w:t>œuvre</w:t>
      </w:r>
      <w:r w:rsidRPr="007E41FF">
        <w:rPr>
          <w:lang w:val="fr-FR"/>
        </w:rPr>
        <w:t xml:space="preserve"> de la Stratégie nationale en faveur de l</w:t>
      </w:r>
      <w:r w:rsidR="00DE1F39">
        <w:rPr>
          <w:lang w:val="fr-FR"/>
        </w:rPr>
        <w:t>’</w:t>
      </w:r>
      <w:r w:rsidRPr="007E41FF">
        <w:rPr>
          <w:lang w:val="fr-FR"/>
        </w:rPr>
        <w:t>égalité des sexes pour la période 2016-2020, des interlocuteurs ont été désignés parmi les autorités publiques aux niveaux national et provincial. La Conférence permanente des villes et municipalités a créé le modèle de règlement sur l</w:t>
      </w:r>
      <w:r w:rsidR="00DE1F39">
        <w:rPr>
          <w:lang w:val="fr-FR"/>
        </w:rPr>
        <w:t>’</w:t>
      </w:r>
      <w:r w:rsidRPr="007E41FF">
        <w:rPr>
          <w:lang w:val="fr-FR"/>
        </w:rPr>
        <w:t>organisation et la systématisation des fonctions dans les administrations urbaines et municipales, les services spécialisés et les organisations spéciales, qui contient également la description des postes dans le domaine de l</w:t>
      </w:r>
      <w:r w:rsidR="00DE1F39">
        <w:rPr>
          <w:lang w:val="fr-FR"/>
        </w:rPr>
        <w:t>’</w:t>
      </w:r>
      <w:r w:rsidRPr="007E41FF">
        <w:rPr>
          <w:lang w:val="fr-FR"/>
        </w:rPr>
        <w:t>égalité des sexes. L</w:t>
      </w:r>
      <w:r w:rsidR="00DE1F39">
        <w:rPr>
          <w:lang w:val="fr-FR"/>
        </w:rPr>
        <w:t>’</w:t>
      </w:r>
      <w:r w:rsidRPr="007E41FF">
        <w:rPr>
          <w:lang w:val="fr-FR"/>
        </w:rPr>
        <w:t>Organisme de coordination pour l</w:t>
      </w:r>
      <w:r w:rsidR="00DE1F39">
        <w:rPr>
          <w:lang w:val="fr-FR"/>
        </w:rPr>
        <w:t>’</w:t>
      </w:r>
      <w:r w:rsidRPr="007E41FF">
        <w:rPr>
          <w:lang w:val="fr-FR"/>
        </w:rPr>
        <w:t>égalité des sexes a organisé des réunions et des conférences avec les interlocuteurs concernés aux niveaux national et provincial, dans le but de collecter des données, d</w:t>
      </w:r>
      <w:r w:rsidR="00DE1F39">
        <w:rPr>
          <w:lang w:val="fr-FR"/>
        </w:rPr>
        <w:t>’</w:t>
      </w:r>
      <w:r w:rsidRPr="007E41FF">
        <w:rPr>
          <w:lang w:val="fr-FR"/>
        </w:rPr>
        <w:t>apporter un soutien, de renforcer la collaboration et les capacités, et de faciliter la mise en réseau des mécanismes locaux d</w:t>
      </w:r>
      <w:r w:rsidR="00DE1F39">
        <w:rPr>
          <w:lang w:val="fr-FR"/>
        </w:rPr>
        <w:t>’</w:t>
      </w:r>
      <w:r w:rsidRPr="007E41FF">
        <w:rPr>
          <w:lang w:val="fr-FR"/>
        </w:rPr>
        <w:t>égalité des sexes</w:t>
      </w:r>
      <w:r>
        <w:rPr>
          <w:lang w:val="fr-FR"/>
        </w:rPr>
        <w:t> </w:t>
      </w:r>
      <w:r w:rsidRPr="007E41FF">
        <w:rPr>
          <w:lang w:val="fr-FR"/>
        </w:rPr>
        <w:t>; en 2016 et 2017, plus de 100 personnes y ont participé. L</w:t>
      </w:r>
      <w:r w:rsidR="00DE1F39">
        <w:rPr>
          <w:lang w:val="fr-FR"/>
        </w:rPr>
        <w:t>’</w:t>
      </w:r>
      <w:r w:rsidRPr="007E41FF">
        <w:rPr>
          <w:lang w:val="fr-FR"/>
        </w:rPr>
        <w:t xml:space="preserve">évaluation finale de la mise en </w:t>
      </w:r>
      <w:r w:rsidR="0015207D" w:rsidRPr="007E41FF">
        <w:rPr>
          <w:lang w:val="fr-FR"/>
        </w:rPr>
        <w:t>œuvre</w:t>
      </w:r>
      <w:r w:rsidRPr="007E41FF">
        <w:rPr>
          <w:lang w:val="fr-FR"/>
        </w:rPr>
        <w:t xml:space="preserve"> de ce document stratégique est en cours. </w:t>
      </w:r>
    </w:p>
    <w:p w14:paraId="6B2ECA72" w14:textId="4503E199" w:rsidR="007E41FF" w:rsidRPr="007E41FF" w:rsidRDefault="007E41FF" w:rsidP="00172AC5">
      <w:pPr>
        <w:pStyle w:val="SingleTxt"/>
        <w:numPr>
          <w:ilvl w:val="0"/>
          <w:numId w:val="12"/>
        </w:numPr>
        <w:spacing w:line="240" w:lineRule="exact"/>
        <w:ind w:left="1267"/>
        <w:rPr>
          <w:lang w:val="fr-FR"/>
        </w:rPr>
      </w:pPr>
      <w:r w:rsidRPr="007E41FF">
        <w:rPr>
          <w:lang w:val="fr-FR"/>
        </w:rPr>
        <w:t>Dans le domaine de la sécurité, plusieurs mécanismes de promotion et de surveillance de l</w:t>
      </w:r>
      <w:r w:rsidR="00DE1F39">
        <w:rPr>
          <w:lang w:val="fr-FR"/>
        </w:rPr>
        <w:t>’</w:t>
      </w:r>
      <w:r w:rsidRPr="007E41FF">
        <w:rPr>
          <w:lang w:val="fr-FR"/>
        </w:rPr>
        <w:t xml:space="preserve">égalité des sexes ont été créés : un groupe analytique qui suit, planifie et lance la mise en </w:t>
      </w:r>
      <w:r w:rsidR="0015207D" w:rsidRPr="007E41FF">
        <w:rPr>
          <w:lang w:val="fr-FR"/>
        </w:rPr>
        <w:t>œuvre</w:t>
      </w:r>
      <w:r w:rsidRPr="007E41FF">
        <w:rPr>
          <w:lang w:val="fr-FR"/>
        </w:rPr>
        <w:t xml:space="preserve"> du plan d</w:t>
      </w:r>
      <w:r w:rsidR="00DE1F39">
        <w:rPr>
          <w:lang w:val="fr-FR"/>
        </w:rPr>
        <w:t>’</w:t>
      </w:r>
      <w:r w:rsidRPr="007E41FF">
        <w:rPr>
          <w:lang w:val="fr-FR"/>
        </w:rPr>
        <w:t>action national au niveau du ministère de la Défense, des « personnes de confiance » et un conseiller du ministre pour l</w:t>
      </w:r>
      <w:r w:rsidR="00DE1F39">
        <w:rPr>
          <w:lang w:val="fr-FR"/>
        </w:rPr>
        <w:t>’</w:t>
      </w:r>
      <w:r w:rsidRPr="007E41FF">
        <w:rPr>
          <w:lang w:val="fr-FR"/>
        </w:rPr>
        <w:t xml:space="preserve">égalité des sexes. Le ministère de la Défense participe activement à la mise en </w:t>
      </w:r>
      <w:r w:rsidR="0015207D" w:rsidRPr="007E41FF">
        <w:rPr>
          <w:lang w:val="fr-FR"/>
        </w:rPr>
        <w:t>œuvre</w:t>
      </w:r>
      <w:r w:rsidRPr="007E41FF">
        <w:rPr>
          <w:lang w:val="fr-FR"/>
        </w:rPr>
        <w:t xml:space="preserve"> du plan d</w:t>
      </w:r>
      <w:r w:rsidR="00DE1F39">
        <w:rPr>
          <w:lang w:val="fr-FR"/>
        </w:rPr>
        <w:t>’</w:t>
      </w:r>
      <w:r w:rsidRPr="007E41FF">
        <w:rPr>
          <w:lang w:val="fr-FR"/>
        </w:rPr>
        <w:t>action national pour l</w:t>
      </w:r>
      <w:r w:rsidR="00DE1F39">
        <w:rPr>
          <w:lang w:val="fr-FR"/>
        </w:rPr>
        <w:t>’</w:t>
      </w:r>
      <w:r w:rsidRPr="007E41FF">
        <w:rPr>
          <w:lang w:val="fr-FR"/>
        </w:rPr>
        <w:t>application de la Résolutio</w:t>
      </w:r>
      <w:r>
        <w:rPr>
          <w:lang w:val="fr-FR"/>
        </w:rPr>
        <w:t xml:space="preserve">n 1325 du Conseil de </w:t>
      </w:r>
      <w:r w:rsidRPr="0008204D">
        <w:rPr>
          <w:lang w:val="fr-FR"/>
        </w:rPr>
        <w:t>sécurité – Les femmes, la paix et la sécurité » pour</w:t>
      </w:r>
      <w:r w:rsidRPr="007E41FF">
        <w:rPr>
          <w:lang w:val="fr-FR"/>
        </w:rPr>
        <w:t xml:space="preserve"> la période (2017-2020). Les organisations de la société civile sont présentes et actives, et ce depuis le début du processus ; leur initiative a lancé l</w:t>
      </w:r>
      <w:r w:rsidR="00DE1F39">
        <w:rPr>
          <w:lang w:val="fr-FR"/>
        </w:rPr>
        <w:t>’</w:t>
      </w:r>
      <w:r w:rsidRPr="007E41FF">
        <w:rPr>
          <w:lang w:val="fr-FR"/>
        </w:rPr>
        <w:t xml:space="preserve">élaboration du présent document. Pendant la mise en </w:t>
      </w:r>
      <w:r w:rsidR="0015207D" w:rsidRPr="007E41FF">
        <w:rPr>
          <w:lang w:val="fr-FR"/>
        </w:rPr>
        <w:t>œuvre</w:t>
      </w:r>
      <w:r w:rsidRPr="007E41FF">
        <w:rPr>
          <w:lang w:val="fr-FR"/>
        </w:rPr>
        <w:t xml:space="preserve"> du plan d</w:t>
      </w:r>
      <w:r w:rsidR="00DE1F39">
        <w:rPr>
          <w:lang w:val="fr-FR"/>
        </w:rPr>
        <w:t>’</w:t>
      </w:r>
      <w:r w:rsidRPr="007E41FF">
        <w:rPr>
          <w:lang w:val="fr-FR"/>
        </w:rPr>
        <w:t>action national, la collaboration avec les organisations de la société civile a pris une plus grande ampleur, en particulier dans le domaine de la recherche et de l</w:t>
      </w:r>
      <w:r w:rsidR="00DE1F39">
        <w:rPr>
          <w:lang w:val="fr-FR"/>
        </w:rPr>
        <w:t>’</w:t>
      </w:r>
      <w:r w:rsidRPr="007E41FF">
        <w:rPr>
          <w:lang w:val="fr-FR"/>
        </w:rPr>
        <w:t xml:space="preserve">éducation. </w:t>
      </w:r>
    </w:p>
    <w:p w14:paraId="7D1960C3" w14:textId="047CF2AD" w:rsidR="007E41FF" w:rsidRDefault="007E41FF" w:rsidP="00172AC5">
      <w:pPr>
        <w:pStyle w:val="SingleTxt"/>
        <w:numPr>
          <w:ilvl w:val="0"/>
          <w:numId w:val="13"/>
        </w:numPr>
        <w:spacing w:line="240" w:lineRule="exact"/>
        <w:ind w:left="1267"/>
        <w:rPr>
          <w:lang w:val="fr-FR"/>
        </w:rPr>
      </w:pPr>
      <w:r w:rsidRPr="007E41FF">
        <w:rPr>
          <w:lang w:val="fr-FR"/>
        </w:rPr>
        <w:t>Un cadre juridique adéquat a été établi et des fonds suffisants ont été alloués pour les activités du Défenseur des citoyens, ainsi que pour la bonne exécution de son mandat dans le but de renforcer sa légitimité et sa crédibilité. Les fonds alloués à ces activités sur le budget de la République de Serbie ont été augmentés de manière constante. En outre, cet organe a été dispensé de l</w:t>
      </w:r>
      <w:r w:rsidR="00DE1F39">
        <w:rPr>
          <w:lang w:val="fr-FR"/>
        </w:rPr>
        <w:t>’</w:t>
      </w:r>
      <w:r w:rsidRPr="007E41FF">
        <w:rPr>
          <w:lang w:val="fr-FR"/>
        </w:rPr>
        <w:t>application de la loi sur la détermination du nombre maximum d</w:t>
      </w:r>
      <w:r w:rsidR="00DE1F39">
        <w:rPr>
          <w:lang w:val="fr-FR"/>
        </w:rPr>
        <w:t>’</w:t>
      </w:r>
      <w:r w:rsidRPr="007E41FF">
        <w:rPr>
          <w:lang w:val="fr-FR"/>
        </w:rPr>
        <w:t>employés dans le secteur public. Le Défenseur des citoyens a été élu le 20 juillet 2017 lors de la session du Parlement serbe. Cet organe comprend trois députés, dont un est chargé des questions relatives aux droits des enfants et à l</w:t>
      </w:r>
      <w:r w:rsidR="00DE1F39">
        <w:rPr>
          <w:lang w:val="fr-FR"/>
        </w:rPr>
        <w:t>’</w:t>
      </w:r>
      <w:r w:rsidRPr="007E41FF">
        <w:rPr>
          <w:lang w:val="fr-FR"/>
        </w:rPr>
        <w:t>égalité des sexes. Le Bureau du Défenseur des citoyens fonctionne conformément aux Principes de Paris. L</w:t>
      </w:r>
      <w:r w:rsidR="00DE1F39">
        <w:rPr>
          <w:lang w:val="fr-FR"/>
        </w:rPr>
        <w:t>’</w:t>
      </w:r>
      <w:r w:rsidRPr="007E41FF">
        <w:rPr>
          <w:lang w:val="fr-FR"/>
        </w:rPr>
        <w:t>alliance mondiale des institutions de défense des droits de l</w:t>
      </w:r>
      <w:r w:rsidR="00DE1F39">
        <w:rPr>
          <w:lang w:val="fr-FR"/>
        </w:rPr>
        <w:t>’</w:t>
      </w:r>
      <w:r w:rsidRPr="007E41FF">
        <w:rPr>
          <w:lang w:val="fr-FR"/>
        </w:rPr>
        <w:t>homme a accrédité le Défenseur des citoy</w:t>
      </w:r>
      <w:r>
        <w:rPr>
          <w:lang w:val="fr-FR"/>
        </w:rPr>
        <w:t>ens en lui attribuant le statut </w:t>
      </w:r>
      <w:r w:rsidRPr="007E41FF">
        <w:rPr>
          <w:lang w:val="fr-FR"/>
        </w:rPr>
        <w:t>A.</w:t>
      </w:r>
    </w:p>
    <w:p w14:paraId="0C817C63" w14:textId="5E8D919E" w:rsidR="007E41FF" w:rsidRPr="007E41FF" w:rsidRDefault="007E41FF" w:rsidP="007E41FF">
      <w:pPr>
        <w:pStyle w:val="SingleTxt"/>
        <w:spacing w:after="0" w:line="120" w:lineRule="exact"/>
        <w:rPr>
          <w:sz w:val="10"/>
          <w:lang w:val="fr-FR"/>
        </w:rPr>
      </w:pPr>
    </w:p>
    <w:p w14:paraId="51A201AA" w14:textId="569B372C" w:rsidR="007E41FF" w:rsidRDefault="007E41FF" w:rsidP="00A441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E41FF">
        <w:rPr>
          <w:lang w:val="fr-FR"/>
        </w:rPr>
        <w:tab/>
      </w:r>
      <w:r w:rsidRPr="007E41FF">
        <w:rPr>
          <w:lang w:val="fr-FR"/>
        </w:rPr>
        <w:tab/>
        <w:t xml:space="preserve">Mesures temporaires spéciales </w:t>
      </w:r>
    </w:p>
    <w:p w14:paraId="1BA0749E" w14:textId="75A69EDF" w:rsidR="007E41FF" w:rsidRPr="007E41FF" w:rsidRDefault="007E41FF" w:rsidP="00A44199">
      <w:pPr>
        <w:pStyle w:val="SingleTxt"/>
        <w:keepNext/>
        <w:spacing w:after="0" w:line="120" w:lineRule="exact"/>
        <w:rPr>
          <w:sz w:val="10"/>
          <w:lang w:val="fr-FR"/>
        </w:rPr>
      </w:pPr>
    </w:p>
    <w:p w14:paraId="4F26B518" w14:textId="555DE0BA" w:rsidR="007E41FF" w:rsidRPr="007E41FF" w:rsidRDefault="007E41FF" w:rsidP="00A44199">
      <w:pPr>
        <w:pStyle w:val="SingleTxt"/>
        <w:keepNext/>
        <w:numPr>
          <w:ilvl w:val="0"/>
          <w:numId w:val="14"/>
        </w:numPr>
        <w:spacing w:line="240" w:lineRule="exact"/>
        <w:ind w:left="1267"/>
        <w:rPr>
          <w:lang w:val="fr-FR"/>
        </w:rPr>
      </w:pPr>
      <w:r w:rsidRPr="007E41FF">
        <w:rPr>
          <w:lang w:val="fr-FR"/>
        </w:rPr>
        <w:t xml:space="preserve">Le </w:t>
      </w:r>
      <w:r w:rsidRPr="007E41FF">
        <w:rPr>
          <w:i/>
          <w:lang w:val="fr-FR"/>
        </w:rPr>
        <w:t>projet de loi sur l</w:t>
      </w:r>
      <w:r w:rsidR="00DE1F39">
        <w:rPr>
          <w:i/>
          <w:lang w:val="fr-FR"/>
        </w:rPr>
        <w:t>’</w:t>
      </w:r>
      <w:r w:rsidRPr="007E41FF">
        <w:rPr>
          <w:i/>
          <w:lang w:val="fr-FR"/>
        </w:rPr>
        <w:t>égalité des sexes</w:t>
      </w:r>
      <w:r w:rsidRPr="007E41FF">
        <w:rPr>
          <w:lang w:val="fr-FR"/>
        </w:rPr>
        <w:t xml:space="preserve"> prévoit également des mesures spéciales.</w:t>
      </w:r>
      <w:r w:rsidRPr="007E41FF">
        <w:rPr>
          <w:i/>
          <w:lang w:val="fr-FR"/>
        </w:rPr>
        <w:t xml:space="preserve"> </w:t>
      </w:r>
      <w:r w:rsidRPr="007E41FF">
        <w:rPr>
          <w:lang w:val="fr-FR"/>
        </w:rPr>
        <w:t>La nouvelle mesure la plus importante définie par cette loi est l</w:t>
      </w:r>
      <w:r w:rsidR="00DE1F39">
        <w:rPr>
          <w:lang w:val="fr-FR"/>
        </w:rPr>
        <w:t>’</w:t>
      </w:r>
      <w:r w:rsidRPr="007E41FF">
        <w:rPr>
          <w:lang w:val="fr-FR"/>
        </w:rPr>
        <w:t>instauration d</w:t>
      </w:r>
      <w:r w:rsidR="00DE1F39">
        <w:rPr>
          <w:lang w:val="fr-FR"/>
        </w:rPr>
        <w:t>’</w:t>
      </w:r>
      <w:r w:rsidRPr="007E41FF">
        <w:rPr>
          <w:lang w:val="fr-FR"/>
        </w:rPr>
        <w:t xml:space="preserve">un </w:t>
      </w:r>
      <w:r w:rsidRPr="007E41FF">
        <w:rPr>
          <w:lang w:val="fr-FR"/>
        </w:rPr>
        <w:lastRenderedPageBreak/>
        <w:t xml:space="preserve">quota de 40 % pour la représentation des femmes dans plusieurs domaines de la vie sociale en République de Serbie où les femmes sont largement sous-représentées. </w:t>
      </w:r>
    </w:p>
    <w:p w14:paraId="1AFE277F" w14:textId="40F29667" w:rsidR="007E41FF" w:rsidRPr="007E41FF" w:rsidRDefault="007E41FF" w:rsidP="00172AC5">
      <w:pPr>
        <w:pStyle w:val="SingleTxt"/>
        <w:numPr>
          <w:ilvl w:val="0"/>
          <w:numId w:val="14"/>
        </w:numPr>
        <w:spacing w:line="240" w:lineRule="exact"/>
        <w:ind w:left="1267"/>
        <w:rPr>
          <w:lang w:val="fr-FR"/>
        </w:rPr>
      </w:pPr>
      <w:r w:rsidRPr="007E41FF">
        <w:rPr>
          <w:lang w:val="fr-FR"/>
        </w:rPr>
        <w:t>Le ministère de l</w:t>
      </w:r>
      <w:r w:rsidR="00DE1F39">
        <w:rPr>
          <w:lang w:val="fr-FR"/>
        </w:rPr>
        <w:t>’</w:t>
      </w:r>
      <w:r w:rsidRPr="007E41FF">
        <w:rPr>
          <w:lang w:val="fr-FR"/>
        </w:rPr>
        <w:t xml:space="preserve">Éducation, des sciences et du développement technologique met en </w:t>
      </w:r>
      <w:r w:rsidR="0015207D" w:rsidRPr="007E41FF">
        <w:rPr>
          <w:lang w:val="fr-FR"/>
        </w:rPr>
        <w:t>œuvre</w:t>
      </w:r>
      <w:r w:rsidRPr="007E41FF">
        <w:rPr>
          <w:lang w:val="fr-FR"/>
        </w:rPr>
        <w:t xml:space="preserve"> le </w:t>
      </w:r>
      <w:r w:rsidRPr="007E41FF">
        <w:rPr>
          <w:i/>
          <w:lang w:val="fr-FR"/>
        </w:rPr>
        <w:t xml:space="preserve">projet « Bibliothèque de jouets » </w:t>
      </w:r>
      <w:r w:rsidRPr="007E41FF">
        <w:rPr>
          <w:lang w:val="fr-FR"/>
        </w:rPr>
        <w:t>en collaboration avec le Fonds pour l</w:t>
      </w:r>
      <w:r w:rsidR="00DE1F39">
        <w:rPr>
          <w:lang w:val="fr-FR"/>
        </w:rPr>
        <w:t>’</w:t>
      </w:r>
      <w:r w:rsidRPr="007E41FF">
        <w:rPr>
          <w:lang w:val="fr-FR"/>
        </w:rPr>
        <w:t>éducation des Roms, dont l</w:t>
      </w:r>
      <w:r w:rsidR="00DE1F39">
        <w:rPr>
          <w:lang w:val="fr-FR"/>
        </w:rPr>
        <w:t>’</w:t>
      </w:r>
      <w:r w:rsidRPr="007E41FF">
        <w:rPr>
          <w:lang w:val="fr-FR"/>
        </w:rPr>
        <w:t>objectif est d</w:t>
      </w:r>
      <w:r w:rsidR="00DE1F39">
        <w:rPr>
          <w:lang w:val="fr-FR"/>
        </w:rPr>
        <w:t>’</w:t>
      </w:r>
      <w:r w:rsidRPr="007E41FF">
        <w:rPr>
          <w:lang w:val="fr-FR"/>
        </w:rPr>
        <w:t>appuyer l</w:t>
      </w:r>
      <w:r w:rsidR="00DE1F39">
        <w:rPr>
          <w:lang w:val="fr-FR"/>
        </w:rPr>
        <w:t>’</w:t>
      </w:r>
      <w:r w:rsidRPr="007E41FF">
        <w:rPr>
          <w:lang w:val="fr-FR"/>
        </w:rPr>
        <w:t>amélioration des résultats scolaires des enfants roms. Ce projet cible entre autres le groupe des mères roms d</w:t>
      </w:r>
      <w:r w:rsidR="00DE1F39">
        <w:rPr>
          <w:lang w:val="fr-FR"/>
        </w:rPr>
        <w:t>’</w:t>
      </w:r>
      <w:r>
        <w:rPr>
          <w:lang w:val="fr-FR"/>
        </w:rPr>
        <w:t>enfants de moins de 6 </w:t>
      </w:r>
      <w:r w:rsidRPr="007E41FF">
        <w:rPr>
          <w:lang w:val="fr-FR"/>
        </w:rPr>
        <w:t xml:space="preserve">ans. </w:t>
      </w:r>
    </w:p>
    <w:p w14:paraId="233DFB72" w14:textId="1CF319BF" w:rsidR="007E41FF" w:rsidRPr="007E41FF" w:rsidRDefault="007E41FF" w:rsidP="00172AC5">
      <w:pPr>
        <w:pStyle w:val="SingleTxt"/>
        <w:numPr>
          <w:ilvl w:val="0"/>
          <w:numId w:val="15"/>
        </w:numPr>
        <w:spacing w:line="240" w:lineRule="exact"/>
        <w:ind w:left="1267"/>
        <w:rPr>
          <w:lang w:val="fr-FR"/>
        </w:rPr>
      </w:pPr>
      <w:r w:rsidRPr="007E41FF">
        <w:rPr>
          <w:lang w:val="fr-FR"/>
        </w:rPr>
        <w:t xml:space="preserve">Le projet </w:t>
      </w:r>
      <w:r w:rsidRPr="007E41FF">
        <w:rPr>
          <w:i/>
          <w:lang w:val="fr-FR"/>
        </w:rPr>
        <w:t xml:space="preserve">Enseignement et éducation préscolaires inclusifs </w:t>
      </w:r>
      <w:r w:rsidRPr="007E41FF">
        <w:rPr>
          <w:lang w:val="fr-FR"/>
        </w:rPr>
        <w:t>a démarré. Le troisième volet du projet comprendra des activités de soutien à l</w:t>
      </w:r>
      <w:r w:rsidR="00DE1F39">
        <w:rPr>
          <w:lang w:val="fr-FR"/>
        </w:rPr>
        <w:t>’</w:t>
      </w:r>
      <w:r w:rsidRPr="007E41FF">
        <w:rPr>
          <w:lang w:val="fr-FR"/>
        </w:rPr>
        <w:t>autonomisation des parents et autres représentants légaux afin de leur permettre de comprendre le rôle éducatif d</w:t>
      </w:r>
      <w:r w:rsidR="00DE1F39">
        <w:rPr>
          <w:lang w:val="fr-FR"/>
        </w:rPr>
        <w:t>’</w:t>
      </w:r>
      <w:r w:rsidRPr="007E41FF">
        <w:rPr>
          <w:lang w:val="fr-FR"/>
        </w:rPr>
        <w:t xml:space="preserve">une famille, des subventions pour les programmes destinés aux municipalités moins développées et le cofinancement du préscolaire pour les enfants des familles les plus vulnérables. Dans le cadre du projet, le </w:t>
      </w:r>
      <w:r w:rsidRPr="007E41FF">
        <w:rPr>
          <w:i/>
          <w:lang w:val="fr-FR"/>
        </w:rPr>
        <w:t>Catalogue des ressource</w:t>
      </w:r>
      <w:r>
        <w:rPr>
          <w:i/>
          <w:lang w:val="fr-FR"/>
        </w:rPr>
        <w:t>s de soutien à la parentalité – </w:t>
      </w:r>
      <w:r w:rsidRPr="007E41FF">
        <w:rPr>
          <w:i/>
          <w:lang w:val="fr-FR"/>
        </w:rPr>
        <w:t xml:space="preserve">recensement des ressources nationales et exemples internationaux de bonnes pratiques </w:t>
      </w:r>
      <w:r w:rsidRPr="007E41FF">
        <w:rPr>
          <w:lang w:val="fr-FR"/>
        </w:rPr>
        <w:t xml:space="preserve">a été créé. </w:t>
      </w:r>
    </w:p>
    <w:p w14:paraId="1BE402C2" w14:textId="3580D5DE" w:rsidR="007E41FF" w:rsidRPr="007E41FF" w:rsidRDefault="007E41FF" w:rsidP="00172AC5">
      <w:pPr>
        <w:pStyle w:val="SingleTxt"/>
        <w:numPr>
          <w:ilvl w:val="0"/>
          <w:numId w:val="16"/>
        </w:numPr>
        <w:spacing w:line="240" w:lineRule="exact"/>
        <w:ind w:left="1267"/>
        <w:rPr>
          <w:lang w:val="fr-FR"/>
        </w:rPr>
      </w:pPr>
      <w:r w:rsidRPr="007E41FF">
        <w:rPr>
          <w:lang w:val="fr-FR"/>
        </w:rPr>
        <w:t>En tant que partenaire d</w:t>
      </w:r>
      <w:r w:rsidR="00DE1F39">
        <w:rPr>
          <w:lang w:val="fr-FR"/>
        </w:rPr>
        <w:t>’</w:t>
      </w:r>
      <w:r w:rsidRPr="007E41FF">
        <w:rPr>
          <w:lang w:val="fr-FR"/>
        </w:rPr>
        <w:t>exécution, l</w:t>
      </w:r>
      <w:r w:rsidR="00DE1F39">
        <w:rPr>
          <w:lang w:val="fr-FR"/>
        </w:rPr>
        <w:t>’</w:t>
      </w:r>
      <w:r w:rsidRPr="007E41FF">
        <w:rPr>
          <w:lang w:val="fr-FR"/>
        </w:rPr>
        <w:t>Organisme de coordination pour l</w:t>
      </w:r>
      <w:r w:rsidR="00DE1F39">
        <w:rPr>
          <w:lang w:val="fr-FR"/>
        </w:rPr>
        <w:t>’</w:t>
      </w:r>
      <w:r w:rsidRPr="007E41FF">
        <w:rPr>
          <w:lang w:val="fr-FR"/>
        </w:rPr>
        <w:t xml:space="preserve">égalité des sexes met en </w:t>
      </w:r>
      <w:r w:rsidR="0015207D" w:rsidRPr="007E41FF">
        <w:rPr>
          <w:lang w:val="fr-FR"/>
        </w:rPr>
        <w:t>œuvre</w:t>
      </w:r>
      <w:r w:rsidRPr="007E41FF">
        <w:rPr>
          <w:lang w:val="fr-FR"/>
        </w:rPr>
        <w:t xml:space="preserve"> les activités du programme IAP 2016 « Très grandes avancées sur la voie de l</w:t>
      </w:r>
      <w:r w:rsidR="00DE1F39">
        <w:rPr>
          <w:lang w:val="fr-FR"/>
        </w:rPr>
        <w:t>’</w:t>
      </w:r>
      <w:r w:rsidRPr="007E41FF">
        <w:rPr>
          <w:lang w:val="fr-FR"/>
        </w:rPr>
        <w:t>égalité des sexes en Serbie », dont le budget est de 2 millions d</w:t>
      </w:r>
      <w:r w:rsidR="00DE1F39">
        <w:rPr>
          <w:lang w:val="fr-FR"/>
        </w:rPr>
        <w:t>’</w:t>
      </w:r>
      <w:r w:rsidRPr="007E41FF">
        <w:rPr>
          <w:lang w:val="fr-FR"/>
        </w:rPr>
        <w:t>euros, en collaboration avec le Ministère de l</w:t>
      </w:r>
      <w:r w:rsidR="00DE1F39">
        <w:rPr>
          <w:lang w:val="fr-FR"/>
        </w:rPr>
        <w:t>’</w:t>
      </w:r>
      <w:r w:rsidRPr="007E41FF">
        <w:rPr>
          <w:lang w:val="fr-FR"/>
        </w:rPr>
        <w:t>intégration européenne et ONU-Femmes, et avec l</w:t>
      </w:r>
      <w:r w:rsidR="00DE1F39">
        <w:rPr>
          <w:lang w:val="fr-FR"/>
        </w:rPr>
        <w:t>’</w:t>
      </w:r>
      <w:r w:rsidRPr="007E41FF">
        <w:rPr>
          <w:lang w:val="fr-FR"/>
        </w:rPr>
        <w:t>appui de la délégation de l</w:t>
      </w:r>
      <w:r w:rsidR="00DE1F39">
        <w:rPr>
          <w:lang w:val="fr-FR"/>
        </w:rPr>
        <w:t>’</w:t>
      </w:r>
      <w:r w:rsidRPr="007E41FF">
        <w:rPr>
          <w:lang w:val="fr-FR"/>
        </w:rPr>
        <w:t>UE en Serbie. L</w:t>
      </w:r>
      <w:r w:rsidR="00DE1F39">
        <w:rPr>
          <w:lang w:val="fr-FR"/>
        </w:rPr>
        <w:t>’</w:t>
      </w:r>
      <w:r w:rsidRPr="007E41FF">
        <w:rPr>
          <w:lang w:val="fr-FR"/>
        </w:rPr>
        <w:t>objectif de ce programme est d</w:t>
      </w:r>
      <w:r w:rsidR="00DE1F39">
        <w:rPr>
          <w:lang w:val="fr-FR"/>
        </w:rPr>
        <w:t>’</w:t>
      </w:r>
      <w:r w:rsidRPr="007E41FF">
        <w:rPr>
          <w:lang w:val="fr-FR"/>
        </w:rPr>
        <w:t>apporter un appui, de renforcer les capacités du mécanisme d</w:t>
      </w:r>
      <w:r w:rsidR="00DE1F39">
        <w:rPr>
          <w:lang w:val="fr-FR"/>
        </w:rPr>
        <w:t>’</w:t>
      </w:r>
      <w:r w:rsidRPr="007E41FF">
        <w:rPr>
          <w:lang w:val="fr-FR"/>
        </w:rPr>
        <w:t>égalité des sexes aux niveaux national, provincial et local, et de veiller à la réalisation des objectifs stratégiques dans ce domaine (amélioration de la situation des femmes sur le marché du travail, femmes chefs d</w:t>
      </w:r>
      <w:r w:rsidR="00DE1F39">
        <w:rPr>
          <w:lang w:val="fr-FR"/>
        </w:rPr>
        <w:t>’</w:t>
      </w:r>
      <w:r w:rsidRPr="007E41FF">
        <w:rPr>
          <w:lang w:val="fr-FR"/>
        </w:rPr>
        <w:t xml:space="preserve">entreprise, autonomisation économique des femmes rurales). </w:t>
      </w:r>
    </w:p>
    <w:p w14:paraId="154A84C0" w14:textId="5A26D60F" w:rsidR="007E41FF" w:rsidRPr="007E41FF" w:rsidRDefault="007E41FF" w:rsidP="00172AC5">
      <w:pPr>
        <w:pStyle w:val="SingleTxt"/>
        <w:numPr>
          <w:ilvl w:val="0"/>
          <w:numId w:val="17"/>
        </w:numPr>
        <w:spacing w:line="240" w:lineRule="exact"/>
        <w:ind w:left="1267"/>
        <w:rPr>
          <w:lang w:val="fr-FR"/>
        </w:rPr>
      </w:pPr>
      <w:r w:rsidRPr="007E41FF">
        <w:rPr>
          <w:lang w:val="fr-FR"/>
        </w:rPr>
        <w:t>En juin 2017, sous l</w:t>
      </w:r>
      <w:r w:rsidR="00DE1F39">
        <w:rPr>
          <w:lang w:val="fr-FR"/>
        </w:rPr>
        <w:t>’</w:t>
      </w:r>
      <w:r w:rsidRPr="007E41FF">
        <w:rPr>
          <w:lang w:val="fr-FR"/>
        </w:rPr>
        <w:t>égide de l</w:t>
      </w:r>
      <w:r w:rsidR="00DE1F39">
        <w:rPr>
          <w:lang w:val="fr-FR"/>
        </w:rPr>
        <w:t>’</w:t>
      </w:r>
      <w:r w:rsidRPr="007E41FF">
        <w:rPr>
          <w:lang w:val="fr-FR"/>
        </w:rPr>
        <w:t>Organisme de coordination pour l</w:t>
      </w:r>
      <w:r w:rsidR="00DE1F39">
        <w:rPr>
          <w:lang w:val="fr-FR"/>
        </w:rPr>
        <w:t>’</w:t>
      </w:r>
      <w:r w:rsidRPr="007E41FF">
        <w:rPr>
          <w:lang w:val="fr-FR"/>
        </w:rPr>
        <w:t>égalité des sexes et du Vice-Premier ministre, en collaboration avec le réseau Ethno et l</w:t>
      </w:r>
      <w:r w:rsidR="00DE1F39">
        <w:rPr>
          <w:lang w:val="fr-FR"/>
        </w:rPr>
        <w:t>’</w:t>
      </w:r>
      <w:r w:rsidRPr="007E41FF">
        <w:rPr>
          <w:lang w:val="fr-FR"/>
        </w:rPr>
        <w:t>Alliance nationale pour le développement économique local, une initiative a été lancée pour employer 1 000 femmes et jeunes des zones rurales dans des activités de création d</w:t>
      </w:r>
      <w:r w:rsidR="00DE1F39">
        <w:rPr>
          <w:lang w:val="fr-FR"/>
        </w:rPr>
        <w:t>’</w:t>
      </w:r>
      <w:r w:rsidRPr="007E41FF">
        <w:rPr>
          <w:lang w:val="fr-FR"/>
        </w:rPr>
        <w:t>objets artisanaux traditionnels destinés à des cadeaux d</w:t>
      </w:r>
      <w:r w:rsidR="00DE1F39">
        <w:rPr>
          <w:lang w:val="fr-FR"/>
        </w:rPr>
        <w:t>’</w:t>
      </w:r>
      <w:r w:rsidRPr="007E41FF">
        <w:rPr>
          <w:lang w:val="fr-FR"/>
        </w:rPr>
        <w:t>entreprise et diplomatiques. Son objectif est d</w:t>
      </w:r>
      <w:r w:rsidR="00DE1F39">
        <w:rPr>
          <w:lang w:val="fr-FR"/>
        </w:rPr>
        <w:t>’</w:t>
      </w:r>
      <w:r w:rsidRPr="007E41FF">
        <w:rPr>
          <w:lang w:val="fr-FR"/>
        </w:rPr>
        <w:t>employer 1 000 femmes et jeunes pendant trois mois. Jusqu</w:t>
      </w:r>
      <w:r w:rsidR="00DE1F39">
        <w:rPr>
          <w:lang w:val="fr-FR"/>
        </w:rPr>
        <w:t>’</w:t>
      </w:r>
      <w:r w:rsidRPr="007E41FF">
        <w:rPr>
          <w:lang w:val="fr-FR"/>
        </w:rPr>
        <w:t>à présent, 459 personnes en ont bénéficié.</w:t>
      </w:r>
    </w:p>
    <w:p w14:paraId="7BF8F36E" w14:textId="32E60053" w:rsidR="00995751" w:rsidRPr="007E41FF" w:rsidRDefault="00995751" w:rsidP="007E41FF">
      <w:pPr>
        <w:pStyle w:val="SingleTxt"/>
        <w:spacing w:after="0" w:line="120" w:lineRule="exact"/>
        <w:rPr>
          <w:sz w:val="10"/>
        </w:rPr>
      </w:pPr>
    </w:p>
    <w:tbl>
      <w:tblPr>
        <w:tblStyle w:val="TableGrid"/>
        <w:tblW w:w="7322"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6"/>
        <w:gridCol w:w="1046"/>
        <w:gridCol w:w="1046"/>
        <w:gridCol w:w="1046"/>
        <w:gridCol w:w="1046"/>
        <w:gridCol w:w="80"/>
        <w:gridCol w:w="966"/>
        <w:gridCol w:w="1046"/>
      </w:tblGrid>
      <w:tr w:rsidR="007455E7" w:rsidRPr="007455E7" w14:paraId="6E67A45C" w14:textId="77777777" w:rsidTr="007455E7">
        <w:trPr>
          <w:trHeight w:val="101"/>
          <w:tblHeader/>
        </w:trPr>
        <w:tc>
          <w:tcPr>
            <w:tcW w:w="7322" w:type="dxa"/>
            <w:gridSpan w:val="8"/>
            <w:tcBorders>
              <w:top w:val="single" w:sz="4" w:space="0" w:color="auto"/>
              <w:bottom w:val="single" w:sz="4" w:space="0" w:color="auto"/>
            </w:tcBorders>
            <w:shd w:val="clear" w:color="auto" w:fill="auto"/>
            <w:noWrap/>
            <w:vAlign w:val="bottom"/>
          </w:tcPr>
          <w:p w14:paraId="770DFB1E" w14:textId="177FE41C" w:rsidR="007455E7" w:rsidRPr="007455E7" w:rsidRDefault="007455E7" w:rsidP="007455E7">
            <w:pPr>
              <w:spacing w:before="81" w:after="81" w:line="160" w:lineRule="exact"/>
              <w:ind w:left="144" w:right="43"/>
              <w:jc w:val="center"/>
              <w:rPr>
                <w:i/>
                <w:sz w:val="14"/>
              </w:rPr>
            </w:pPr>
            <w:r w:rsidRPr="007455E7">
              <w:rPr>
                <w:i/>
                <w:sz w:val="14"/>
              </w:rPr>
              <w:t>Nombre total de personnes figurant dans le registre de l’Agence nationale pour l’emploi et concernées par les mesures de la politique en faveur de l’emploi*</w:t>
            </w:r>
          </w:p>
        </w:tc>
      </w:tr>
      <w:tr w:rsidR="007455E7" w:rsidRPr="007455E7" w14:paraId="2B6A8EDA" w14:textId="77777777" w:rsidTr="007455E7">
        <w:trPr>
          <w:trHeight w:val="100"/>
          <w:tblHeader/>
        </w:trPr>
        <w:tc>
          <w:tcPr>
            <w:tcW w:w="1046" w:type="dxa"/>
            <w:tcBorders>
              <w:top w:val="single" w:sz="4" w:space="0" w:color="auto"/>
            </w:tcBorders>
            <w:shd w:val="clear" w:color="auto" w:fill="auto"/>
            <w:noWrap/>
            <w:vAlign w:val="bottom"/>
          </w:tcPr>
          <w:p w14:paraId="19193E02" w14:textId="77777777" w:rsidR="007455E7" w:rsidRPr="007455E7" w:rsidRDefault="007455E7" w:rsidP="007455E7">
            <w:pPr>
              <w:spacing w:before="81" w:after="81" w:line="160" w:lineRule="exact"/>
              <w:ind w:right="40"/>
              <w:rPr>
                <w:i/>
                <w:sz w:val="14"/>
              </w:rPr>
            </w:pPr>
          </w:p>
        </w:tc>
        <w:tc>
          <w:tcPr>
            <w:tcW w:w="1046" w:type="dxa"/>
            <w:tcBorders>
              <w:top w:val="single" w:sz="4" w:space="0" w:color="auto"/>
            </w:tcBorders>
            <w:shd w:val="clear" w:color="auto" w:fill="auto"/>
            <w:noWrap/>
            <w:vAlign w:val="bottom"/>
          </w:tcPr>
          <w:p w14:paraId="786C8B72" w14:textId="77777777" w:rsidR="007455E7" w:rsidRPr="007455E7" w:rsidRDefault="007455E7" w:rsidP="007455E7">
            <w:pPr>
              <w:spacing w:before="81" w:after="81" w:line="160" w:lineRule="exact"/>
              <w:ind w:left="144" w:right="43"/>
              <w:jc w:val="right"/>
              <w:rPr>
                <w:i/>
                <w:sz w:val="14"/>
              </w:rPr>
            </w:pPr>
          </w:p>
        </w:tc>
        <w:tc>
          <w:tcPr>
            <w:tcW w:w="1046" w:type="dxa"/>
            <w:tcBorders>
              <w:top w:val="single" w:sz="4" w:space="0" w:color="auto"/>
            </w:tcBorders>
            <w:shd w:val="clear" w:color="auto" w:fill="auto"/>
            <w:noWrap/>
            <w:vAlign w:val="bottom"/>
          </w:tcPr>
          <w:p w14:paraId="772E8182" w14:textId="77777777" w:rsidR="007455E7" w:rsidRPr="007455E7" w:rsidRDefault="007455E7" w:rsidP="007455E7">
            <w:pPr>
              <w:spacing w:before="81" w:after="81" w:line="160" w:lineRule="exact"/>
              <w:ind w:left="144" w:right="43"/>
              <w:jc w:val="right"/>
              <w:rPr>
                <w:i/>
                <w:sz w:val="14"/>
              </w:rPr>
            </w:pPr>
          </w:p>
        </w:tc>
        <w:tc>
          <w:tcPr>
            <w:tcW w:w="2092" w:type="dxa"/>
            <w:gridSpan w:val="2"/>
            <w:tcBorders>
              <w:top w:val="single" w:sz="4" w:space="0" w:color="auto"/>
              <w:bottom w:val="single" w:sz="4" w:space="0" w:color="auto"/>
            </w:tcBorders>
            <w:shd w:val="clear" w:color="auto" w:fill="auto"/>
            <w:noWrap/>
            <w:vAlign w:val="bottom"/>
          </w:tcPr>
          <w:p w14:paraId="4E2B440C" w14:textId="2816E463" w:rsidR="007455E7" w:rsidRPr="007455E7" w:rsidRDefault="007455E7" w:rsidP="007455E7">
            <w:pPr>
              <w:spacing w:before="81" w:after="81" w:line="160" w:lineRule="exact"/>
              <w:ind w:left="144" w:right="43"/>
              <w:jc w:val="center"/>
              <w:rPr>
                <w:i/>
                <w:sz w:val="14"/>
              </w:rPr>
            </w:pPr>
            <w:r w:rsidRPr="007455E7">
              <w:rPr>
                <w:i/>
                <w:sz w:val="14"/>
              </w:rPr>
              <w:t>Roms</w:t>
            </w:r>
          </w:p>
        </w:tc>
        <w:tc>
          <w:tcPr>
            <w:tcW w:w="80" w:type="dxa"/>
            <w:tcBorders>
              <w:top w:val="single" w:sz="4" w:space="0" w:color="auto"/>
            </w:tcBorders>
            <w:shd w:val="clear" w:color="auto" w:fill="auto"/>
            <w:noWrap/>
            <w:vAlign w:val="bottom"/>
          </w:tcPr>
          <w:p w14:paraId="34F593E5" w14:textId="77777777" w:rsidR="007455E7" w:rsidRPr="007455E7" w:rsidRDefault="007455E7" w:rsidP="007455E7">
            <w:pPr>
              <w:spacing w:before="81" w:after="81" w:line="160" w:lineRule="exact"/>
              <w:ind w:left="144" w:right="43"/>
              <w:jc w:val="center"/>
              <w:rPr>
                <w:i/>
                <w:sz w:val="14"/>
              </w:rPr>
            </w:pPr>
          </w:p>
        </w:tc>
        <w:tc>
          <w:tcPr>
            <w:tcW w:w="2012" w:type="dxa"/>
            <w:gridSpan w:val="2"/>
            <w:tcBorders>
              <w:top w:val="single" w:sz="4" w:space="0" w:color="auto"/>
              <w:bottom w:val="single" w:sz="4" w:space="0" w:color="auto"/>
            </w:tcBorders>
            <w:shd w:val="clear" w:color="auto" w:fill="auto"/>
            <w:vAlign w:val="bottom"/>
          </w:tcPr>
          <w:p w14:paraId="6CDE68E2" w14:textId="32A9A743" w:rsidR="007455E7" w:rsidRPr="007455E7" w:rsidRDefault="007455E7" w:rsidP="007455E7">
            <w:pPr>
              <w:spacing w:before="81" w:after="81" w:line="160" w:lineRule="exact"/>
              <w:ind w:left="144" w:right="43"/>
              <w:jc w:val="center"/>
              <w:rPr>
                <w:i/>
                <w:sz w:val="14"/>
              </w:rPr>
            </w:pPr>
            <w:r w:rsidRPr="007455E7">
              <w:rPr>
                <w:i/>
                <w:sz w:val="14"/>
              </w:rPr>
              <w:t>Personnes handicapées</w:t>
            </w:r>
          </w:p>
        </w:tc>
      </w:tr>
      <w:tr w:rsidR="007455E7" w:rsidRPr="007455E7" w14:paraId="4EB865F9" w14:textId="77777777" w:rsidTr="007455E7">
        <w:trPr>
          <w:trHeight w:val="100"/>
          <w:tblHeader/>
        </w:trPr>
        <w:tc>
          <w:tcPr>
            <w:tcW w:w="1046" w:type="dxa"/>
            <w:tcBorders>
              <w:bottom w:val="single" w:sz="12" w:space="0" w:color="auto"/>
            </w:tcBorders>
            <w:shd w:val="clear" w:color="auto" w:fill="auto"/>
            <w:noWrap/>
            <w:vAlign w:val="bottom"/>
          </w:tcPr>
          <w:p w14:paraId="31F718A3" w14:textId="77777777" w:rsidR="007E41FF" w:rsidRPr="007455E7" w:rsidRDefault="007E41FF" w:rsidP="007455E7">
            <w:pPr>
              <w:spacing w:before="81" w:after="81" w:line="160" w:lineRule="exact"/>
              <w:ind w:right="40"/>
              <w:rPr>
                <w:i/>
                <w:sz w:val="14"/>
              </w:rPr>
            </w:pPr>
          </w:p>
        </w:tc>
        <w:tc>
          <w:tcPr>
            <w:tcW w:w="1046" w:type="dxa"/>
            <w:tcBorders>
              <w:bottom w:val="single" w:sz="12" w:space="0" w:color="auto"/>
            </w:tcBorders>
            <w:shd w:val="clear" w:color="auto" w:fill="auto"/>
            <w:noWrap/>
            <w:vAlign w:val="bottom"/>
          </w:tcPr>
          <w:p w14:paraId="6F78FE14" w14:textId="77777777" w:rsidR="007E41FF" w:rsidRPr="007455E7" w:rsidRDefault="007E41FF" w:rsidP="007455E7">
            <w:pPr>
              <w:spacing w:before="81" w:after="81" w:line="160" w:lineRule="exact"/>
              <w:ind w:left="144" w:right="43"/>
              <w:jc w:val="right"/>
              <w:rPr>
                <w:i/>
                <w:sz w:val="14"/>
              </w:rPr>
            </w:pPr>
            <w:r w:rsidRPr="007455E7">
              <w:rPr>
                <w:i/>
                <w:sz w:val="14"/>
              </w:rPr>
              <w:t>Total</w:t>
            </w:r>
          </w:p>
        </w:tc>
        <w:tc>
          <w:tcPr>
            <w:tcW w:w="1046" w:type="dxa"/>
            <w:tcBorders>
              <w:bottom w:val="single" w:sz="12" w:space="0" w:color="auto"/>
            </w:tcBorders>
            <w:shd w:val="clear" w:color="auto" w:fill="auto"/>
            <w:noWrap/>
            <w:vAlign w:val="bottom"/>
          </w:tcPr>
          <w:p w14:paraId="0FB82F71" w14:textId="77777777" w:rsidR="007E41FF" w:rsidRPr="007455E7" w:rsidRDefault="007E41FF" w:rsidP="007455E7">
            <w:pPr>
              <w:spacing w:before="81" w:after="81" w:line="160" w:lineRule="exact"/>
              <w:ind w:left="144" w:right="43"/>
              <w:jc w:val="right"/>
              <w:rPr>
                <w:i/>
                <w:sz w:val="14"/>
              </w:rPr>
            </w:pPr>
            <w:r w:rsidRPr="007455E7">
              <w:rPr>
                <w:i/>
                <w:sz w:val="14"/>
              </w:rPr>
              <w:t>Femmes</w:t>
            </w:r>
          </w:p>
        </w:tc>
        <w:tc>
          <w:tcPr>
            <w:tcW w:w="1046" w:type="dxa"/>
            <w:tcBorders>
              <w:bottom w:val="single" w:sz="12" w:space="0" w:color="auto"/>
            </w:tcBorders>
            <w:shd w:val="clear" w:color="auto" w:fill="auto"/>
            <w:noWrap/>
            <w:vAlign w:val="bottom"/>
          </w:tcPr>
          <w:p w14:paraId="2800C45D" w14:textId="77777777" w:rsidR="007E41FF" w:rsidRPr="007455E7" w:rsidRDefault="007E41FF" w:rsidP="007455E7">
            <w:pPr>
              <w:spacing w:before="81" w:after="81" w:line="160" w:lineRule="exact"/>
              <w:ind w:left="144" w:right="43"/>
              <w:jc w:val="right"/>
              <w:rPr>
                <w:i/>
                <w:sz w:val="14"/>
              </w:rPr>
            </w:pPr>
            <w:r w:rsidRPr="007455E7">
              <w:rPr>
                <w:i/>
                <w:sz w:val="14"/>
              </w:rPr>
              <w:t>Total</w:t>
            </w:r>
          </w:p>
        </w:tc>
        <w:tc>
          <w:tcPr>
            <w:tcW w:w="1046" w:type="dxa"/>
            <w:tcBorders>
              <w:bottom w:val="single" w:sz="12" w:space="0" w:color="auto"/>
            </w:tcBorders>
            <w:shd w:val="clear" w:color="auto" w:fill="auto"/>
            <w:noWrap/>
            <w:vAlign w:val="bottom"/>
          </w:tcPr>
          <w:p w14:paraId="4079F41C" w14:textId="77777777" w:rsidR="007E41FF" w:rsidRPr="007455E7" w:rsidRDefault="007E41FF" w:rsidP="007455E7">
            <w:pPr>
              <w:spacing w:before="81" w:after="81" w:line="160" w:lineRule="exact"/>
              <w:ind w:left="144" w:right="43"/>
              <w:jc w:val="right"/>
              <w:rPr>
                <w:i/>
                <w:sz w:val="14"/>
              </w:rPr>
            </w:pPr>
            <w:r w:rsidRPr="007455E7">
              <w:rPr>
                <w:i/>
                <w:sz w:val="14"/>
              </w:rPr>
              <w:t>Femmes</w:t>
            </w:r>
          </w:p>
        </w:tc>
        <w:tc>
          <w:tcPr>
            <w:tcW w:w="1046" w:type="dxa"/>
            <w:gridSpan w:val="2"/>
            <w:tcBorders>
              <w:bottom w:val="single" w:sz="12" w:space="0" w:color="auto"/>
            </w:tcBorders>
            <w:shd w:val="clear" w:color="auto" w:fill="auto"/>
            <w:noWrap/>
            <w:vAlign w:val="bottom"/>
          </w:tcPr>
          <w:p w14:paraId="2196A539" w14:textId="77777777" w:rsidR="007E41FF" w:rsidRPr="007455E7" w:rsidRDefault="007E41FF" w:rsidP="007455E7">
            <w:pPr>
              <w:spacing w:before="81" w:after="81" w:line="160" w:lineRule="exact"/>
              <w:ind w:left="144" w:right="43"/>
              <w:jc w:val="right"/>
              <w:rPr>
                <w:i/>
                <w:sz w:val="14"/>
              </w:rPr>
            </w:pPr>
            <w:r w:rsidRPr="007455E7">
              <w:rPr>
                <w:i/>
                <w:sz w:val="14"/>
              </w:rPr>
              <w:t>Total</w:t>
            </w:r>
          </w:p>
        </w:tc>
        <w:tc>
          <w:tcPr>
            <w:tcW w:w="1046" w:type="dxa"/>
            <w:tcBorders>
              <w:bottom w:val="single" w:sz="12" w:space="0" w:color="auto"/>
            </w:tcBorders>
            <w:shd w:val="clear" w:color="auto" w:fill="auto"/>
            <w:noWrap/>
            <w:vAlign w:val="bottom"/>
          </w:tcPr>
          <w:p w14:paraId="2B4D4763" w14:textId="77777777" w:rsidR="007E41FF" w:rsidRPr="007455E7" w:rsidRDefault="007E41FF" w:rsidP="007455E7">
            <w:pPr>
              <w:spacing w:before="81" w:after="81" w:line="160" w:lineRule="exact"/>
              <w:ind w:left="144" w:right="43"/>
              <w:jc w:val="right"/>
              <w:rPr>
                <w:i/>
                <w:sz w:val="14"/>
              </w:rPr>
            </w:pPr>
            <w:r w:rsidRPr="007455E7">
              <w:rPr>
                <w:i/>
                <w:sz w:val="14"/>
              </w:rPr>
              <w:t>Femmes</w:t>
            </w:r>
          </w:p>
        </w:tc>
      </w:tr>
      <w:tr w:rsidR="007455E7" w:rsidRPr="007455E7" w14:paraId="636D305B" w14:textId="77777777" w:rsidTr="007455E7">
        <w:trPr>
          <w:trHeight w:hRule="exact" w:val="115"/>
          <w:tblHeader/>
        </w:trPr>
        <w:tc>
          <w:tcPr>
            <w:tcW w:w="1046" w:type="dxa"/>
            <w:tcBorders>
              <w:top w:val="single" w:sz="12" w:space="0" w:color="auto"/>
            </w:tcBorders>
            <w:shd w:val="clear" w:color="auto" w:fill="auto"/>
            <w:noWrap/>
            <w:vAlign w:val="bottom"/>
          </w:tcPr>
          <w:p w14:paraId="61A5908B" w14:textId="77777777" w:rsidR="007455E7" w:rsidRPr="007455E7" w:rsidRDefault="007455E7" w:rsidP="007455E7">
            <w:pPr>
              <w:spacing w:before="40" w:after="40" w:line="210" w:lineRule="exact"/>
              <w:ind w:right="40"/>
              <w:rPr>
                <w:sz w:val="17"/>
              </w:rPr>
            </w:pPr>
          </w:p>
        </w:tc>
        <w:tc>
          <w:tcPr>
            <w:tcW w:w="1046" w:type="dxa"/>
            <w:tcBorders>
              <w:top w:val="single" w:sz="12" w:space="0" w:color="auto"/>
            </w:tcBorders>
            <w:shd w:val="clear" w:color="auto" w:fill="auto"/>
            <w:noWrap/>
            <w:vAlign w:val="bottom"/>
          </w:tcPr>
          <w:p w14:paraId="27A7212E" w14:textId="77777777" w:rsidR="007455E7" w:rsidRPr="007455E7" w:rsidRDefault="007455E7" w:rsidP="007455E7">
            <w:pPr>
              <w:spacing w:before="40" w:after="40" w:line="210" w:lineRule="exact"/>
              <w:ind w:left="144" w:right="43"/>
              <w:jc w:val="right"/>
              <w:rPr>
                <w:sz w:val="17"/>
              </w:rPr>
            </w:pPr>
          </w:p>
        </w:tc>
        <w:tc>
          <w:tcPr>
            <w:tcW w:w="1046" w:type="dxa"/>
            <w:tcBorders>
              <w:top w:val="single" w:sz="12" w:space="0" w:color="auto"/>
            </w:tcBorders>
            <w:shd w:val="clear" w:color="auto" w:fill="auto"/>
            <w:noWrap/>
            <w:vAlign w:val="bottom"/>
          </w:tcPr>
          <w:p w14:paraId="51B09EC7" w14:textId="77777777" w:rsidR="007455E7" w:rsidRPr="007455E7" w:rsidRDefault="007455E7" w:rsidP="007455E7">
            <w:pPr>
              <w:spacing w:before="40" w:after="40" w:line="210" w:lineRule="exact"/>
              <w:ind w:left="144" w:right="43"/>
              <w:jc w:val="right"/>
              <w:rPr>
                <w:sz w:val="17"/>
              </w:rPr>
            </w:pPr>
          </w:p>
        </w:tc>
        <w:tc>
          <w:tcPr>
            <w:tcW w:w="1046" w:type="dxa"/>
            <w:tcBorders>
              <w:top w:val="single" w:sz="12" w:space="0" w:color="auto"/>
            </w:tcBorders>
            <w:shd w:val="clear" w:color="auto" w:fill="auto"/>
            <w:noWrap/>
            <w:vAlign w:val="bottom"/>
          </w:tcPr>
          <w:p w14:paraId="7FC8138D" w14:textId="77777777" w:rsidR="007455E7" w:rsidRPr="007455E7" w:rsidRDefault="007455E7" w:rsidP="007455E7">
            <w:pPr>
              <w:spacing w:before="40" w:after="40" w:line="210" w:lineRule="exact"/>
              <w:ind w:left="144" w:right="43"/>
              <w:jc w:val="right"/>
              <w:rPr>
                <w:sz w:val="17"/>
              </w:rPr>
            </w:pPr>
          </w:p>
        </w:tc>
        <w:tc>
          <w:tcPr>
            <w:tcW w:w="1046" w:type="dxa"/>
            <w:tcBorders>
              <w:top w:val="single" w:sz="12" w:space="0" w:color="auto"/>
            </w:tcBorders>
            <w:shd w:val="clear" w:color="auto" w:fill="auto"/>
            <w:noWrap/>
            <w:vAlign w:val="bottom"/>
          </w:tcPr>
          <w:p w14:paraId="39A31191" w14:textId="77777777" w:rsidR="007455E7" w:rsidRPr="007455E7" w:rsidRDefault="007455E7" w:rsidP="007455E7">
            <w:pPr>
              <w:spacing w:before="40" w:after="40" w:line="210" w:lineRule="exact"/>
              <w:ind w:left="144" w:right="43"/>
              <w:jc w:val="right"/>
              <w:rPr>
                <w:sz w:val="17"/>
              </w:rPr>
            </w:pPr>
          </w:p>
        </w:tc>
        <w:tc>
          <w:tcPr>
            <w:tcW w:w="1046" w:type="dxa"/>
            <w:gridSpan w:val="2"/>
            <w:tcBorders>
              <w:top w:val="single" w:sz="12" w:space="0" w:color="auto"/>
            </w:tcBorders>
            <w:shd w:val="clear" w:color="auto" w:fill="auto"/>
            <w:noWrap/>
            <w:vAlign w:val="bottom"/>
          </w:tcPr>
          <w:p w14:paraId="3FE5BF91" w14:textId="77777777" w:rsidR="007455E7" w:rsidRPr="007455E7" w:rsidRDefault="007455E7" w:rsidP="007455E7">
            <w:pPr>
              <w:spacing w:before="40" w:after="40" w:line="210" w:lineRule="exact"/>
              <w:ind w:left="144" w:right="43"/>
              <w:jc w:val="right"/>
              <w:rPr>
                <w:sz w:val="17"/>
              </w:rPr>
            </w:pPr>
          </w:p>
        </w:tc>
        <w:tc>
          <w:tcPr>
            <w:tcW w:w="1046" w:type="dxa"/>
            <w:tcBorders>
              <w:top w:val="single" w:sz="12" w:space="0" w:color="auto"/>
            </w:tcBorders>
            <w:shd w:val="clear" w:color="auto" w:fill="auto"/>
            <w:noWrap/>
            <w:vAlign w:val="bottom"/>
          </w:tcPr>
          <w:p w14:paraId="6BF2F9FC" w14:textId="77777777" w:rsidR="007455E7" w:rsidRPr="007455E7" w:rsidRDefault="007455E7" w:rsidP="007455E7">
            <w:pPr>
              <w:spacing w:before="40" w:after="40" w:line="210" w:lineRule="exact"/>
              <w:ind w:left="144" w:right="43"/>
              <w:jc w:val="right"/>
              <w:rPr>
                <w:sz w:val="17"/>
              </w:rPr>
            </w:pPr>
          </w:p>
        </w:tc>
      </w:tr>
      <w:tr w:rsidR="007455E7" w:rsidRPr="007455E7" w14:paraId="466A442F" w14:textId="77777777" w:rsidTr="007455E7">
        <w:tc>
          <w:tcPr>
            <w:tcW w:w="1046" w:type="dxa"/>
            <w:shd w:val="clear" w:color="auto" w:fill="auto"/>
            <w:noWrap/>
            <w:vAlign w:val="bottom"/>
          </w:tcPr>
          <w:p w14:paraId="132CE677" w14:textId="6F09728F" w:rsidR="007E41FF" w:rsidRPr="0076728C" w:rsidRDefault="0015207D" w:rsidP="007455E7">
            <w:pPr>
              <w:tabs>
                <w:tab w:val="left" w:pos="288"/>
                <w:tab w:val="left" w:pos="576"/>
                <w:tab w:val="left" w:pos="864"/>
                <w:tab w:val="left" w:pos="1152"/>
              </w:tabs>
              <w:spacing w:before="40" w:after="40" w:line="210" w:lineRule="exact"/>
              <w:ind w:right="40"/>
              <w:rPr>
                <w:sz w:val="16"/>
                <w:szCs w:val="16"/>
              </w:rPr>
            </w:pPr>
            <w:hyperlink r:id="rId15" w:history="1">
              <w:r w:rsidR="007E41FF" w:rsidRPr="0076728C">
                <w:rPr>
                  <w:sz w:val="16"/>
                  <w:szCs w:val="16"/>
                </w:rPr>
                <w:t>01/01</w:t>
              </w:r>
            </w:hyperlink>
            <w:r w:rsidR="007E41FF" w:rsidRPr="0076728C">
              <w:rPr>
                <w:sz w:val="16"/>
                <w:szCs w:val="16"/>
              </w:rPr>
              <w:t xml:space="preserve"> </w:t>
            </w:r>
            <w:r w:rsidR="007455E7" w:rsidRPr="0076728C">
              <w:rPr>
                <w:sz w:val="16"/>
                <w:szCs w:val="16"/>
              </w:rPr>
              <w:t>– </w:t>
            </w:r>
            <w:r w:rsidRPr="0076728C">
              <w:rPr>
                <w:sz w:val="16"/>
                <w:szCs w:val="16"/>
              </w:rPr>
              <w:t>31/12</w:t>
            </w:r>
            <w:r w:rsidR="007E41FF" w:rsidRPr="0076728C">
              <w:rPr>
                <w:sz w:val="16"/>
                <w:szCs w:val="16"/>
              </w:rPr>
              <w:t>/2017</w:t>
            </w:r>
          </w:p>
        </w:tc>
        <w:tc>
          <w:tcPr>
            <w:tcW w:w="1046" w:type="dxa"/>
            <w:shd w:val="clear" w:color="auto" w:fill="auto"/>
            <w:noWrap/>
            <w:vAlign w:val="bottom"/>
          </w:tcPr>
          <w:p w14:paraId="3C921103" w14:textId="77777777" w:rsidR="007E41FF" w:rsidRPr="007455E7" w:rsidRDefault="007E41FF" w:rsidP="007455E7">
            <w:pPr>
              <w:tabs>
                <w:tab w:val="left" w:pos="288"/>
                <w:tab w:val="left" w:pos="576"/>
                <w:tab w:val="left" w:pos="864"/>
                <w:tab w:val="left" w:pos="1152"/>
              </w:tabs>
              <w:spacing w:before="40" w:after="40" w:line="210" w:lineRule="exact"/>
              <w:ind w:left="144" w:right="43"/>
              <w:jc w:val="right"/>
              <w:rPr>
                <w:sz w:val="17"/>
              </w:rPr>
            </w:pPr>
            <w:r w:rsidRPr="007455E7">
              <w:rPr>
                <w:sz w:val="17"/>
              </w:rPr>
              <w:t>154 236</w:t>
            </w:r>
          </w:p>
        </w:tc>
        <w:tc>
          <w:tcPr>
            <w:tcW w:w="1046" w:type="dxa"/>
            <w:shd w:val="clear" w:color="auto" w:fill="auto"/>
            <w:noWrap/>
            <w:vAlign w:val="bottom"/>
          </w:tcPr>
          <w:p w14:paraId="4AA37941" w14:textId="77777777" w:rsidR="007E41FF" w:rsidRPr="007455E7" w:rsidRDefault="007E41FF" w:rsidP="007455E7">
            <w:pPr>
              <w:tabs>
                <w:tab w:val="left" w:pos="288"/>
                <w:tab w:val="left" w:pos="576"/>
                <w:tab w:val="left" w:pos="864"/>
                <w:tab w:val="left" w:pos="1152"/>
              </w:tabs>
              <w:spacing w:before="40" w:after="40" w:line="210" w:lineRule="exact"/>
              <w:ind w:left="144" w:right="43"/>
              <w:jc w:val="right"/>
              <w:rPr>
                <w:sz w:val="17"/>
              </w:rPr>
            </w:pPr>
            <w:r w:rsidRPr="007455E7">
              <w:rPr>
                <w:sz w:val="17"/>
              </w:rPr>
              <w:t>84 158</w:t>
            </w:r>
          </w:p>
        </w:tc>
        <w:tc>
          <w:tcPr>
            <w:tcW w:w="1046" w:type="dxa"/>
            <w:shd w:val="clear" w:color="auto" w:fill="auto"/>
            <w:noWrap/>
            <w:vAlign w:val="bottom"/>
          </w:tcPr>
          <w:p w14:paraId="7C6F924B" w14:textId="77777777" w:rsidR="007E41FF" w:rsidRPr="007455E7" w:rsidRDefault="007E41FF" w:rsidP="007455E7">
            <w:pPr>
              <w:tabs>
                <w:tab w:val="left" w:pos="288"/>
                <w:tab w:val="left" w:pos="576"/>
                <w:tab w:val="left" w:pos="864"/>
                <w:tab w:val="left" w:pos="1152"/>
              </w:tabs>
              <w:spacing w:before="40" w:after="40" w:line="210" w:lineRule="exact"/>
              <w:ind w:left="144" w:right="43"/>
              <w:jc w:val="right"/>
              <w:rPr>
                <w:sz w:val="17"/>
              </w:rPr>
            </w:pPr>
            <w:r w:rsidRPr="007455E7">
              <w:rPr>
                <w:sz w:val="17"/>
              </w:rPr>
              <w:t>5 479</w:t>
            </w:r>
          </w:p>
        </w:tc>
        <w:tc>
          <w:tcPr>
            <w:tcW w:w="1046" w:type="dxa"/>
            <w:shd w:val="clear" w:color="auto" w:fill="auto"/>
            <w:noWrap/>
            <w:vAlign w:val="bottom"/>
          </w:tcPr>
          <w:p w14:paraId="5F4C45B9" w14:textId="77777777" w:rsidR="007E41FF" w:rsidRPr="007455E7" w:rsidRDefault="007E41FF" w:rsidP="007455E7">
            <w:pPr>
              <w:tabs>
                <w:tab w:val="left" w:pos="288"/>
                <w:tab w:val="left" w:pos="576"/>
                <w:tab w:val="left" w:pos="864"/>
                <w:tab w:val="left" w:pos="1152"/>
              </w:tabs>
              <w:spacing w:before="40" w:after="40" w:line="210" w:lineRule="exact"/>
              <w:ind w:left="144" w:right="43"/>
              <w:jc w:val="right"/>
              <w:rPr>
                <w:sz w:val="17"/>
              </w:rPr>
            </w:pPr>
            <w:r w:rsidRPr="007455E7">
              <w:rPr>
                <w:sz w:val="17"/>
              </w:rPr>
              <w:t>2 421</w:t>
            </w:r>
          </w:p>
        </w:tc>
        <w:tc>
          <w:tcPr>
            <w:tcW w:w="1046" w:type="dxa"/>
            <w:gridSpan w:val="2"/>
            <w:shd w:val="clear" w:color="auto" w:fill="auto"/>
            <w:noWrap/>
            <w:vAlign w:val="bottom"/>
          </w:tcPr>
          <w:p w14:paraId="0C1BBB6D" w14:textId="77777777" w:rsidR="007E41FF" w:rsidRPr="007455E7" w:rsidRDefault="007E41FF" w:rsidP="007455E7">
            <w:pPr>
              <w:tabs>
                <w:tab w:val="left" w:pos="288"/>
                <w:tab w:val="left" w:pos="576"/>
                <w:tab w:val="left" w:pos="864"/>
                <w:tab w:val="left" w:pos="1152"/>
              </w:tabs>
              <w:spacing w:before="40" w:after="40" w:line="210" w:lineRule="exact"/>
              <w:ind w:left="144" w:right="43"/>
              <w:jc w:val="right"/>
              <w:rPr>
                <w:sz w:val="17"/>
              </w:rPr>
            </w:pPr>
            <w:r w:rsidRPr="007455E7">
              <w:rPr>
                <w:sz w:val="17"/>
              </w:rPr>
              <w:t>8 621</w:t>
            </w:r>
          </w:p>
        </w:tc>
        <w:tc>
          <w:tcPr>
            <w:tcW w:w="1046" w:type="dxa"/>
            <w:shd w:val="clear" w:color="auto" w:fill="auto"/>
            <w:noWrap/>
            <w:vAlign w:val="bottom"/>
          </w:tcPr>
          <w:p w14:paraId="1EF209AF" w14:textId="77777777" w:rsidR="007E41FF" w:rsidRPr="007455E7" w:rsidRDefault="007E41FF" w:rsidP="007455E7">
            <w:pPr>
              <w:tabs>
                <w:tab w:val="left" w:pos="288"/>
                <w:tab w:val="left" w:pos="576"/>
                <w:tab w:val="left" w:pos="864"/>
                <w:tab w:val="left" w:pos="1152"/>
              </w:tabs>
              <w:spacing w:before="40" w:after="40" w:line="210" w:lineRule="exact"/>
              <w:ind w:left="144" w:right="43"/>
              <w:jc w:val="right"/>
              <w:rPr>
                <w:sz w:val="17"/>
              </w:rPr>
            </w:pPr>
            <w:r w:rsidRPr="007455E7">
              <w:rPr>
                <w:sz w:val="17"/>
              </w:rPr>
              <w:t>3 670</w:t>
            </w:r>
          </w:p>
        </w:tc>
      </w:tr>
      <w:tr w:rsidR="007455E7" w:rsidRPr="007455E7" w14:paraId="1ACBB495" w14:textId="77777777" w:rsidTr="007455E7">
        <w:tc>
          <w:tcPr>
            <w:tcW w:w="1046" w:type="dxa"/>
            <w:tcBorders>
              <w:bottom w:val="single" w:sz="12" w:space="0" w:color="auto"/>
            </w:tcBorders>
            <w:shd w:val="clear" w:color="auto" w:fill="auto"/>
            <w:noWrap/>
            <w:vAlign w:val="bottom"/>
          </w:tcPr>
          <w:p w14:paraId="75C68F18" w14:textId="587CB8D5" w:rsidR="007E41FF" w:rsidRPr="0076728C" w:rsidRDefault="0015207D" w:rsidP="007455E7">
            <w:pPr>
              <w:tabs>
                <w:tab w:val="left" w:pos="288"/>
                <w:tab w:val="left" w:pos="576"/>
                <w:tab w:val="left" w:pos="864"/>
                <w:tab w:val="left" w:pos="1152"/>
              </w:tabs>
              <w:spacing w:before="40" w:after="40" w:line="210" w:lineRule="exact"/>
              <w:ind w:right="40"/>
              <w:rPr>
                <w:sz w:val="16"/>
                <w:szCs w:val="16"/>
              </w:rPr>
            </w:pPr>
            <w:hyperlink r:id="rId16" w:history="1">
              <w:r w:rsidR="007E41FF" w:rsidRPr="0076728C">
                <w:rPr>
                  <w:sz w:val="16"/>
                  <w:szCs w:val="16"/>
                </w:rPr>
                <w:t>01/01</w:t>
              </w:r>
            </w:hyperlink>
            <w:r w:rsidR="007E41FF" w:rsidRPr="0076728C">
              <w:rPr>
                <w:sz w:val="16"/>
                <w:szCs w:val="16"/>
              </w:rPr>
              <w:t xml:space="preserve"> –</w:t>
            </w:r>
            <w:r w:rsidR="007455E7" w:rsidRPr="0076728C">
              <w:rPr>
                <w:sz w:val="16"/>
                <w:szCs w:val="16"/>
              </w:rPr>
              <w:t> </w:t>
            </w:r>
            <w:r w:rsidRPr="0076728C">
              <w:rPr>
                <w:sz w:val="16"/>
                <w:szCs w:val="16"/>
              </w:rPr>
              <w:t>30/06</w:t>
            </w:r>
            <w:r w:rsidR="007E41FF" w:rsidRPr="0076728C">
              <w:rPr>
                <w:sz w:val="16"/>
                <w:szCs w:val="16"/>
              </w:rPr>
              <w:t>/2018</w:t>
            </w:r>
          </w:p>
        </w:tc>
        <w:tc>
          <w:tcPr>
            <w:tcW w:w="1046" w:type="dxa"/>
            <w:tcBorders>
              <w:bottom w:val="single" w:sz="12" w:space="0" w:color="auto"/>
            </w:tcBorders>
            <w:shd w:val="clear" w:color="auto" w:fill="auto"/>
            <w:noWrap/>
            <w:vAlign w:val="bottom"/>
          </w:tcPr>
          <w:p w14:paraId="5D6C8B9F" w14:textId="77777777" w:rsidR="007E41FF" w:rsidRPr="007455E7" w:rsidRDefault="007E41FF" w:rsidP="007455E7">
            <w:pPr>
              <w:tabs>
                <w:tab w:val="left" w:pos="288"/>
                <w:tab w:val="left" w:pos="576"/>
                <w:tab w:val="left" w:pos="864"/>
                <w:tab w:val="left" w:pos="1152"/>
              </w:tabs>
              <w:spacing w:before="40" w:after="40" w:line="210" w:lineRule="exact"/>
              <w:ind w:left="144" w:right="43"/>
              <w:jc w:val="right"/>
              <w:rPr>
                <w:sz w:val="17"/>
              </w:rPr>
            </w:pPr>
            <w:r w:rsidRPr="007455E7">
              <w:rPr>
                <w:sz w:val="17"/>
              </w:rPr>
              <w:t>93 067</w:t>
            </w:r>
          </w:p>
        </w:tc>
        <w:tc>
          <w:tcPr>
            <w:tcW w:w="1046" w:type="dxa"/>
            <w:tcBorders>
              <w:bottom w:val="single" w:sz="12" w:space="0" w:color="auto"/>
            </w:tcBorders>
            <w:shd w:val="clear" w:color="auto" w:fill="auto"/>
            <w:noWrap/>
            <w:vAlign w:val="bottom"/>
          </w:tcPr>
          <w:p w14:paraId="28352F00" w14:textId="77777777" w:rsidR="007E41FF" w:rsidRPr="007455E7" w:rsidRDefault="007E41FF" w:rsidP="007455E7">
            <w:pPr>
              <w:tabs>
                <w:tab w:val="left" w:pos="288"/>
                <w:tab w:val="left" w:pos="576"/>
                <w:tab w:val="left" w:pos="864"/>
                <w:tab w:val="left" w:pos="1152"/>
              </w:tabs>
              <w:spacing w:before="40" w:after="40" w:line="210" w:lineRule="exact"/>
              <w:ind w:left="144" w:right="43"/>
              <w:jc w:val="right"/>
              <w:rPr>
                <w:sz w:val="17"/>
              </w:rPr>
            </w:pPr>
            <w:r w:rsidRPr="007455E7">
              <w:rPr>
                <w:sz w:val="17"/>
              </w:rPr>
              <w:t>50 072</w:t>
            </w:r>
          </w:p>
        </w:tc>
        <w:tc>
          <w:tcPr>
            <w:tcW w:w="1046" w:type="dxa"/>
            <w:tcBorders>
              <w:bottom w:val="single" w:sz="12" w:space="0" w:color="auto"/>
            </w:tcBorders>
            <w:shd w:val="clear" w:color="auto" w:fill="auto"/>
            <w:noWrap/>
            <w:vAlign w:val="bottom"/>
          </w:tcPr>
          <w:p w14:paraId="1B58DD7B" w14:textId="77777777" w:rsidR="007E41FF" w:rsidRPr="007455E7" w:rsidRDefault="007E41FF" w:rsidP="007455E7">
            <w:pPr>
              <w:tabs>
                <w:tab w:val="left" w:pos="288"/>
                <w:tab w:val="left" w:pos="576"/>
                <w:tab w:val="left" w:pos="864"/>
                <w:tab w:val="left" w:pos="1152"/>
              </w:tabs>
              <w:spacing w:before="40" w:after="40" w:line="210" w:lineRule="exact"/>
              <w:ind w:left="144" w:right="43"/>
              <w:jc w:val="right"/>
              <w:rPr>
                <w:sz w:val="17"/>
              </w:rPr>
            </w:pPr>
            <w:r w:rsidRPr="007455E7">
              <w:rPr>
                <w:sz w:val="17"/>
              </w:rPr>
              <w:t>3 356</w:t>
            </w:r>
          </w:p>
        </w:tc>
        <w:tc>
          <w:tcPr>
            <w:tcW w:w="1046" w:type="dxa"/>
            <w:tcBorders>
              <w:bottom w:val="single" w:sz="12" w:space="0" w:color="auto"/>
            </w:tcBorders>
            <w:shd w:val="clear" w:color="auto" w:fill="auto"/>
            <w:noWrap/>
            <w:vAlign w:val="bottom"/>
          </w:tcPr>
          <w:p w14:paraId="3B35804A" w14:textId="77777777" w:rsidR="007E41FF" w:rsidRPr="007455E7" w:rsidRDefault="007E41FF" w:rsidP="007455E7">
            <w:pPr>
              <w:tabs>
                <w:tab w:val="left" w:pos="288"/>
                <w:tab w:val="left" w:pos="576"/>
                <w:tab w:val="left" w:pos="864"/>
                <w:tab w:val="left" w:pos="1152"/>
              </w:tabs>
              <w:spacing w:before="40" w:after="40" w:line="210" w:lineRule="exact"/>
              <w:ind w:left="144" w:right="43"/>
              <w:jc w:val="right"/>
              <w:rPr>
                <w:sz w:val="17"/>
              </w:rPr>
            </w:pPr>
            <w:r w:rsidRPr="007455E7">
              <w:rPr>
                <w:sz w:val="17"/>
              </w:rPr>
              <w:t>1 427</w:t>
            </w:r>
          </w:p>
        </w:tc>
        <w:tc>
          <w:tcPr>
            <w:tcW w:w="1046" w:type="dxa"/>
            <w:gridSpan w:val="2"/>
            <w:tcBorders>
              <w:bottom w:val="single" w:sz="12" w:space="0" w:color="auto"/>
            </w:tcBorders>
            <w:shd w:val="clear" w:color="auto" w:fill="auto"/>
            <w:noWrap/>
            <w:vAlign w:val="bottom"/>
          </w:tcPr>
          <w:p w14:paraId="0E87711A" w14:textId="77777777" w:rsidR="007E41FF" w:rsidRPr="007455E7" w:rsidRDefault="007E41FF" w:rsidP="007455E7">
            <w:pPr>
              <w:tabs>
                <w:tab w:val="left" w:pos="288"/>
                <w:tab w:val="left" w:pos="576"/>
                <w:tab w:val="left" w:pos="864"/>
                <w:tab w:val="left" w:pos="1152"/>
              </w:tabs>
              <w:spacing w:before="40" w:after="40" w:line="210" w:lineRule="exact"/>
              <w:ind w:left="144" w:right="43"/>
              <w:jc w:val="right"/>
              <w:rPr>
                <w:sz w:val="17"/>
              </w:rPr>
            </w:pPr>
            <w:r w:rsidRPr="007455E7">
              <w:rPr>
                <w:sz w:val="17"/>
              </w:rPr>
              <w:t>6 603</w:t>
            </w:r>
          </w:p>
        </w:tc>
        <w:tc>
          <w:tcPr>
            <w:tcW w:w="1046" w:type="dxa"/>
            <w:tcBorders>
              <w:bottom w:val="single" w:sz="12" w:space="0" w:color="auto"/>
            </w:tcBorders>
            <w:shd w:val="clear" w:color="auto" w:fill="auto"/>
            <w:noWrap/>
            <w:vAlign w:val="bottom"/>
          </w:tcPr>
          <w:p w14:paraId="7D0A9A3B" w14:textId="77777777" w:rsidR="007E41FF" w:rsidRPr="007455E7" w:rsidRDefault="007E41FF" w:rsidP="007455E7">
            <w:pPr>
              <w:tabs>
                <w:tab w:val="left" w:pos="288"/>
                <w:tab w:val="left" w:pos="576"/>
                <w:tab w:val="left" w:pos="864"/>
                <w:tab w:val="left" w:pos="1152"/>
              </w:tabs>
              <w:spacing w:before="40" w:after="40" w:line="210" w:lineRule="exact"/>
              <w:ind w:left="144" w:right="43"/>
              <w:jc w:val="right"/>
              <w:rPr>
                <w:sz w:val="17"/>
              </w:rPr>
            </w:pPr>
            <w:r w:rsidRPr="007455E7">
              <w:rPr>
                <w:sz w:val="17"/>
              </w:rPr>
              <w:t>2 990</w:t>
            </w:r>
          </w:p>
        </w:tc>
      </w:tr>
    </w:tbl>
    <w:p w14:paraId="3CA73E4E" w14:textId="13DB8861" w:rsidR="007E41FF" w:rsidRPr="007E41FF" w:rsidRDefault="007E41FF" w:rsidP="007E41FF">
      <w:pPr>
        <w:pStyle w:val="SingleTxt"/>
        <w:spacing w:after="0" w:line="120" w:lineRule="exact"/>
        <w:rPr>
          <w:sz w:val="10"/>
        </w:rPr>
      </w:pPr>
    </w:p>
    <w:p w14:paraId="370AE7AE" w14:textId="72CB22E7" w:rsidR="007E41FF" w:rsidRDefault="007E41FF" w:rsidP="007E41FF">
      <w:pPr>
        <w:pStyle w:val="FootnoteText"/>
        <w:tabs>
          <w:tab w:val="right" w:pos="1476"/>
          <w:tab w:val="left" w:pos="1548"/>
          <w:tab w:val="right" w:pos="1836"/>
          <w:tab w:val="left" w:pos="1908"/>
        </w:tabs>
        <w:ind w:left="1548" w:right="1267" w:hanging="288"/>
      </w:pPr>
      <w:r>
        <w:tab/>
        <w:t>*</w:t>
      </w:r>
      <w:r>
        <w:tab/>
        <w:t>Il s</w:t>
      </w:r>
      <w:r w:rsidR="00DE1F39">
        <w:t>’</w:t>
      </w:r>
      <w:r>
        <w:t>agit du nombre total de personnes concernées par les mesures de la politique en faveur de l</w:t>
      </w:r>
      <w:r w:rsidR="00DE1F39">
        <w:t>’</w:t>
      </w:r>
      <w:r>
        <w:t>emploi conformément aux accords sur les résultats de l</w:t>
      </w:r>
      <w:r w:rsidR="00DE1F39">
        <w:t>’</w:t>
      </w:r>
      <w:r>
        <w:t>Agence nationale pour l</w:t>
      </w:r>
      <w:r w:rsidR="00DE1F39">
        <w:t>’</w:t>
      </w:r>
      <w:r>
        <w:t>emploi pour 2017 et 2018, et du nombre de personnes concernées par les mesures de la politique en faveur de l</w:t>
      </w:r>
      <w:r w:rsidR="00DE1F39">
        <w:t>’</w:t>
      </w:r>
      <w:r>
        <w:t>emploi dans le cadre des projets IAP 2012 et 2013.</w:t>
      </w:r>
    </w:p>
    <w:p w14:paraId="680BB951" w14:textId="7A42C392" w:rsidR="007E41FF" w:rsidRDefault="007E41FF" w:rsidP="007E41FF">
      <w:pPr>
        <w:pStyle w:val="SingleTxt"/>
        <w:spacing w:after="0" w:line="120" w:lineRule="exact"/>
        <w:rPr>
          <w:sz w:val="10"/>
        </w:rPr>
      </w:pPr>
    </w:p>
    <w:p w14:paraId="6E55B5B1" w14:textId="692838AA" w:rsidR="007E41FF" w:rsidRDefault="007E41FF" w:rsidP="007E41FF">
      <w:pPr>
        <w:pStyle w:val="SingleTxt"/>
        <w:spacing w:after="0" w:line="120" w:lineRule="exact"/>
        <w:rPr>
          <w:sz w:val="10"/>
        </w:rPr>
      </w:pPr>
    </w:p>
    <w:tbl>
      <w:tblPr>
        <w:tblStyle w:val="TableGrid"/>
        <w:tblW w:w="7244"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440"/>
        <w:gridCol w:w="1394"/>
      </w:tblGrid>
      <w:tr w:rsidR="007455E7" w:rsidRPr="007455E7" w14:paraId="7D1479D3" w14:textId="77777777" w:rsidTr="00F04216">
        <w:trPr>
          <w:trHeight w:val="151"/>
          <w:tblHeader/>
        </w:trPr>
        <w:tc>
          <w:tcPr>
            <w:tcW w:w="7244" w:type="dxa"/>
            <w:gridSpan w:val="3"/>
            <w:tcBorders>
              <w:top w:val="single" w:sz="4" w:space="0" w:color="auto"/>
              <w:bottom w:val="single" w:sz="4" w:space="0" w:color="auto"/>
            </w:tcBorders>
            <w:shd w:val="clear" w:color="auto" w:fill="auto"/>
            <w:noWrap/>
            <w:vAlign w:val="bottom"/>
          </w:tcPr>
          <w:p w14:paraId="7DF00C4A" w14:textId="25557552" w:rsidR="007455E7" w:rsidRPr="007455E7" w:rsidRDefault="007455E7" w:rsidP="007455E7">
            <w:pPr>
              <w:spacing w:before="81" w:after="81" w:line="160" w:lineRule="exact"/>
              <w:ind w:left="144" w:right="43"/>
              <w:jc w:val="center"/>
              <w:rPr>
                <w:i/>
                <w:sz w:val="14"/>
              </w:rPr>
            </w:pPr>
            <w:r w:rsidRPr="007455E7">
              <w:rPr>
                <w:i/>
                <w:sz w:val="14"/>
              </w:rPr>
              <w:lastRenderedPageBreak/>
              <w:t>Pourcentage de femmes concernées par les mesures de la politique en faveur de l’emploi, Agence nationale pour l’emploi</w:t>
            </w:r>
          </w:p>
        </w:tc>
      </w:tr>
      <w:tr w:rsidR="0015207D" w:rsidRPr="007455E7" w14:paraId="3C328EF6" w14:textId="77777777" w:rsidTr="00F04216">
        <w:trPr>
          <w:trHeight w:val="150"/>
          <w:tblHeader/>
        </w:trPr>
        <w:tc>
          <w:tcPr>
            <w:tcW w:w="4410" w:type="dxa"/>
            <w:tcBorders>
              <w:top w:val="single" w:sz="4" w:space="0" w:color="auto"/>
              <w:bottom w:val="single" w:sz="12" w:space="0" w:color="auto"/>
            </w:tcBorders>
            <w:shd w:val="clear" w:color="auto" w:fill="auto"/>
            <w:noWrap/>
            <w:vAlign w:val="bottom"/>
          </w:tcPr>
          <w:p w14:paraId="1592991A" w14:textId="77777777" w:rsidR="007E41FF" w:rsidRPr="007455E7" w:rsidRDefault="007E41FF" w:rsidP="007455E7">
            <w:pPr>
              <w:spacing w:before="81" w:after="81" w:line="160" w:lineRule="exact"/>
              <w:ind w:right="40"/>
              <w:rPr>
                <w:i/>
                <w:sz w:val="14"/>
              </w:rPr>
            </w:pPr>
          </w:p>
        </w:tc>
        <w:tc>
          <w:tcPr>
            <w:tcW w:w="1440" w:type="dxa"/>
            <w:tcBorders>
              <w:top w:val="single" w:sz="4" w:space="0" w:color="auto"/>
              <w:bottom w:val="single" w:sz="12" w:space="0" w:color="auto"/>
            </w:tcBorders>
            <w:shd w:val="clear" w:color="auto" w:fill="auto"/>
            <w:noWrap/>
            <w:vAlign w:val="bottom"/>
          </w:tcPr>
          <w:p w14:paraId="34084141" w14:textId="43CB97F9" w:rsidR="007E41FF" w:rsidRPr="0076728C" w:rsidRDefault="0015207D" w:rsidP="007455E7">
            <w:pPr>
              <w:spacing w:before="81" w:after="81" w:line="160" w:lineRule="exact"/>
              <w:ind w:left="144" w:right="43"/>
              <w:jc w:val="right"/>
              <w:rPr>
                <w:i/>
                <w:sz w:val="14"/>
                <w:szCs w:val="14"/>
              </w:rPr>
            </w:pPr>
            <w:r w:rsidRPr="0076728C">
              <w:rPr>
                <w:sz w:val="14"/>
                <w:szCs w:val="14"/>
              </w:rPr>
              <w:t>01/01</w:t>
            </w:r>
            <w:r w:rsidR="007E41FF" w:rsidRPr="0076728C">
              <w:rPr>
                <w:i/>
                <w:sz w:val="14"/>
                <w:szCs w:val="14"/>
              </w:rPr>
              <w:t xml:space="preserve"> – </w:t>
            </w:r>
            <w:hyperlink r:id="rId17" w:history="1">
              <w:r w:rsidR="007E41FF" w:rsidRPr="0076728C">
                <w:rPr>
                  <w:sz w:val="14"/>
                  <w:szCs w:val="14"/>
                </w:rPr>
                <w:t>31/12</w:t>
              </w:r>
            </w:hyperlink>
            <w:r w:rsidR="007E41FF" w:rsidRPr="0076728C">
              <w:rPr>
                <w:i/>
                <w:sz w:val="14"/>
                <w:szCs w:val="14"/>
              </w:rPr>
              <w:t>/2017</w:t>
            </w:r>
          </w:p>
        </w:tc>
        <w:tc>
          <w:tcPr>
            <w:tcW w:w="1394" w:type="dxa"/>
            <w:tcBorders>
              <w:top w:val="single" w:sz="4" w:space="0" w:color="auto"/>
              <w:bottom w:val="single" w:sz="12" w:space="0" w:color="auto"/>
            </w:tcBorders>
            <w:shd w:val="clear" w:color="auto" w:fill="auto"/>
            <w:noWrap/>
            <w:vAlign w:val="bottom"/>
          </w:tcPr>
          <w:p w14:paraId="3BBC270A" w14:textId="4EA9DBDD" w:rsidR="007E41FF" w:rsidRPr="0076728C" w:rsidRDefault="0015207D" w:rsidP="007455E7">
            <w:pPr>
              <w:spacing w:before="81" w:after="81" w:line="160" w:lineRule="exact"/>
              <w:ind w:left="144" w:right="43"/>
              <w:jc w:val="right"/>
              <w:rPr>
                <w:i/>
                <w:sz w:val="14"/>
                <w:szCs w:val="14"/>
              </w:rPr>
            </w:pPr>
            <w:r w:rsidRPr="0076728C">
              <w:rPr>
                <w:sz w:val="14"/>
                <w:szCs w:val="14"/>
              </w:rPr>
              <w:t>01/01</w:t>
            </w:r>
            <w:r w:rsidR="007E41FF" w:rsidRPr="0076728C">
              <w:rPr>
                <w:i/>
                <w:sz w:val="14"/>
                <w:szCs w:val="14"/>
              </w:rPr>
              <w:t xml:space="preserve"> – </w:t>
            </w:r>
            <w:r w:rsidRPr="0076728C">
              <w:rPr>
                <w:sz w:val="14"/>
                <w:szCs w:val="14"/>
              </w:rPr>
              <w:t>30/06</w:t>
            </w:r>
            <w:r w:rsidR="007E41FF" w:rsidRPr="0076728C">
              <w:rPr>
                <w:i/>
                <w:sz w:val="14"/>
                <w:szCs w:val="14"/>
              </w:rPr>
              <w:t>/2018</w:t>
            </w:r>
          </w:p>
        </w:tc>
      </w:tr>
      <w:tr w:rsidR="007455E7" w:rsidRPr="007455E7" w14:paraId="620602D6" w14:textId="77777777" w:rsidTr="007455E7">
        <w:trPr>
          <w:trHeight w:hRule="exact" w:val="115"/>
          <w:tblHeader/>
        </w:trPr>
        <w:tc>
          <w:tcPr>
            <w:tcW w:w="4410" w:type="dxa"/>
            <w:tcBorders>
              <w:top w:val="single" w:sz="12" w:space="0" w:color="auto"/>
            </w:tcBorders>
            <w:shd w:val="clear" w:color="auto" w:fill="auto"/>
            <w:noWrap/>
            <w:vAlign w:val="bottom"/>
          </w:tcPr>
          <w:p w14:paraId="33F98F5F" w14:textId="77777777" w:rsidR="007455E7" w:rsidRPr="007455E7" w:rsidRDefault="007455E7" w:rsidP="007455E7">
            <w:pPr>
              <w:spacing w:before="40" w:after="40" w:line="210" w:lineRule="exact"/>
              <w:ind w:right="40"/>
              <w:rPr>
                <w:sz w:val="17"/>
              </w:rPr>
            </w:pPr>
          </w:p>
        </w:tc>
        <w:tc>
          <w:tcPr>
            <w:tcW w:w="1440" w:type="dxa"/>
            <w:tcBorders>
              <w:top w:val="single" w:sz="12" w:space="0" w:color="auto"/>
            </w:tcBorders>
            <w:shd w:val="clear" w:color="auto" w:fill="auto"/>
            <w:noWrap/>
            <w:vAlign w:val="bottom"/>
          </w:tcPr>
          <w:p w14:paraId="07FDF07A" w14:textId="77777777" w:rsidR="007455E7" w:rsidRPr="007455E7" w:rsidRDefault="007455E7" w:rsidP="007455E7">
            <w:pPr>
              <w:spacing w:before="40" w:after="40" w:line="210" w:lineRule="exact"/>
              <w:ind w:left="144" w:right="43"/>
              <w:jc w:val="right"/>
              <w:rPr>
                <w:sz w:val="17"/>
              </w:rPr>
            </w:pPr>
          </w:p>
        </w:tc>
        <w:tc>
          <w:tcPr>
            <w:tcW w:w="1394" w:type="dxa"/>
            <w:tcBorders>
              <w:top w:val="single" w:sz="12" w:space="0" w:color="auto"/>
            </w:tcBorders>
            <w:shd w:val="clear" w:color="auto" w:fill="auto"/>
            <w:noWrap/>
            <w:vAlign w:val="bottom"/>
          </w:tcPr>
          <w:p w14:paraId="33FF3E4E" w14:textId="77777777" w:rsidR="007455E7" w:rsidRPr="007455E7" w:rsidRDefault="007455E7" w:rsidP="007455E7">
            <w:pPr>
              <w:spacing w:before="40" w:after="40" w:line="210" w:lineRule="exact"/>
              <w:ind w:left="144" w:right="43"/>
              <w:jc w:val="right"/>
              <w:rPr>
                <w:sz w:val="17"/>
              </w:rPr>
            </w:pPr>
          </w:p>
        </w:tc>
      </w:tr>
      <w:tr w:rsidR="0015207D" w:rsidRPr="007455E7" w14:paraId="5C77CC03" w14:textId="77777777" w:rsidTr="007455E7">
        <w:tc>
          <w:tcPr>
            <w:tcW w:w="4410" w:type="dxa"/>
            <w:shd w:val="clear" w:color="auto" w:fill="auto"/>
            <w:noWrap/>
            <w:vAlign w:val="bottom"/>
          </w:tcPr>
          <w:p w14:paraId="7AA35585" w14:textId="284DEA58" w:rsidR="007E41FF" w:rsidRPr="007455E7" w:rsidRDefault="007E41FF" w:rsidP="007455E7">
            <w:pPr>
              <w:tabs>
                <w:tab w:val="left" w:pos="288"/>
                <w:tab w:val="left" w:pos="576"/>
                <w:tab w:val="left" w:pos="864"/>
                <w:tab w:val="left" w:pos="1152"/>
              </w:tabs>
              <w:spacing w:before="40" w:after="40" w:line="210" w:lineRule="exact"/>
              <w:ind w:right="40"/>
              <w:rPr>
                <w:sz w:val="17"/>
              </w:rPr>
            </w:pPr>
            <w:r w:rsidRPr="007455E7">
              <w:rPr>
                <w:sz w:val="17"/>
              </w:rPr>
              <w:t>Proportion des femmes dans le nombre total de personnes concernées par les mesures</w:t>
            </w:r>
            <w:r w:rsidR="004D2D2F">
              <w:rPr>
                <w:sz w:val="17"/>
              </w:rPr>
              <w:t xml:space="preserve"> </w:t>
            </w:r>
            <w:r w:rsidRPr="007455E7">
              <w:rPr>
                <w:sz w:val="17"/>
              </w:rPr>
              <w:t>de la politique en faveur de l</w:t>
            </w:r>
            <w:r w:rsidR="00DE1F39" w:rsidRPr="007455E7">
              <w:rPr>
                <w:sz w:val="17"/>
              </w:rPr>
              <w:t>’</w:t>
            </w:r>
            <w:r w:rsidRPr="007455E7">
              <w:rPr>
                <w:sz w:val="17"/>
              </w:rPr>
              <w:t xml:space="preserve">emploi </w:t>
            </w:r>
          </w:p>
        </w:tc>
        <w:tc>
          <w:tcPr>
            <w:tcW w:w="1440" w:type="dxa"/>
            <w:shd w:val="clear" w:color="auto" w:fill="auto"/>
            <w:noWrap/>
            <w:vAlign w:val="bottom"/>
          </w:tcPr>
          <w:p w14:paraId="6714CD92" w14:textId="77777777" w:rsidR="007E41FF" w:rsidRPr="007455E7" w:rsidRDefault="007E41FF" w:rsidP="007455E7">
            <w:pPr>
              <w:tabs>
                <w:tab w:val="left" w:pos="288"/>
                <w:tab w:val="left" w:pos="576"/>
                <w:tab w:val="left" w:pos="864"/>
                <w:tab w:val="left" w:pos="1152"/>
              </w:tabs>
              <w:spacing w:before="40" w:after="40" w:line="210" w:lineRule="exact"/>
              <w:ind w:left="144" w:right="43"/>
              <w:jc w:val="right"/>
              <w:rPr>
                <w:sz w:val="17"/>
              </w:rPr>
            </w:pPr>
            <w:r w:rsidRPr="007455E7">
              <w:rPr>
                <w:sz w:val="17"/>
              </w:rPr>
              <w:t>54,56 %</w:t>
            </w:r>
          </w:p>
        </w:tc>
        <w:tc>
          <w:tcPr>
            <w:tcW w:w="1394" w:type="dxa"/>
            <w:shd w:val="clear" w:color="auto" w:fill="auto"/>
            <w:noWrap/>
            <w:vAlign w:val="bottom"/>
          </w:tcPr>
          <w:p w14:paraId="241F366D" w14:textId="77777777" w:rsidR="007E41FF" w:rsidRPr="007455E7" w:rsidRDefault="007E41FF" w:rsidP="007455E7">
            <w:pPr>
              <w:tabs>
                <w:tab w:val="left" w:pos="288"/>
                <w:tab w:val="left" w:pos="576"/>
                <w:tab w:val="left" w:pos="864"/>
                <w:tab w:val="left" w:pos="1152"/>
              </w:tabs>
              <w:spacing w:before="40" w:after="40" w:line="210" w:lineRule="exact"/>
              <w:ind w:left="144" w:right="43"/>
              <w:jc w:val="right"/>
              <w:rPr>
                <w:sz w:val="17"/>
              </w:rPr>
            </w:pPr>
            <w:r w:rsidRPr="007455E7">
              <w:rPr>
                <w:sz w:val="17"/>
              </w:rPr>
              <w:t>53,80 %</w:t>
            </w:r>
          </w:p>
        </w:tc>
      </w:tr>
      <w:tr w:rsidR="0015207D" w:rsidRPr="007455E7" w14:paraId="39E0DADE" w14:textId="77777777" w:rsidTr="007455E7">
        <w:tc>
          <w:tcPr>
            <w:tcW w:w="4410" w:type="dxa"/>
            <w:shd w:val="clear" w:color="auto" w:fill="auto"/>
            <w:noWrap/>
            <w:vAlign w:val="bottom"/>
          </w:tcPr>
          <w:p w14:paraId="7ADA75D0" w14:textId="0D7948D4" w:rsidR="007E41FF" w:rsidRPr="007455E7" w:rsidRDefault="007E41FF" w:rsidP="007455E7">
            <w:pPr>
              <w:tabs>
                <w:tab w:val="left" w:pos="288"/>
                <w:tab w:val="left" w:pos="576"/>
                <w:tab w:val="left" w:pos="864"/>
                <w:tab w:val="left" w:pos="1152"/>
              </w:tabs>
              <w:spacing w:before="40" w:after="40" w:line="210" w:lineRule="exact"/>
              <w:ind w:right="40"/>
              <w:rPr>
                <w:sz w:val="17"/>
              </w:rPr>
            </w:pPr>
            <w:r w:rsidRPr="007455E7">
              <w:rPr>
                <w:sz w:val="17"/>
              </w:rPr>
              <w:t>Proportion des femmes dans le nombre total de Roms concernés par les mesures</w:t>
            </w:r>
            <w:r w:rsidR="004D2D2F">
              <w:rPr>
                <w:sz w:val="17"/>
              </w:rPr>
              <w:t xml:space="preserve"> </w:t>
            </w:r>
            <w:r w:rsidRPr="007455E7">
              <w:rPr>
                <w:sz w:val="17"/>
              </w:rPr>
              <w:t>de la politique en faveur de l</w:t>
            </w:r>
            <w:r w:rsidR="00DE1F39" w:rsidRPr="007455E7">
              <w:rPr>
                <w:sz w:val="17"/>
              </w:rPr>
              <w:t>’</w:t>
            </w:r>
            <w:r w:rsidRPr="007455E7">
              <w:rPr>
                <w:sz w:val="17"/>
              </w:rPr>
              <w:t>emploi</w:t>
            </w:r>
          </w:p>
        </w:tc>
        <w:tc>
          <w:tcPr>
            <w:tcW w:w="1440" w:type="dxa"/>
            <w:shd w:val="clear" w:color="auto" w:fill="auto"/>
            <w:noWrap/>
            <w:vAlign w:val="bottom"/>
          </w:tcPr>
          <w:p w14:paraId="29E6ADE4" w14:textId="77777777" w:rsidR="007E41FF" w:rsidRPr="007455E7" w:rsidRDefault="007E41FF" w:rsidP="007455E7">
            <w:pPr>
              <w:tabs>
                <w:tab w:val="left" w:pos="288"/>
                <w:tab w:val="left" w:pos="576"/>
                <w:tab w:val="left" w:pos="864"/>
                <w:tab w:val="left" w:pos="1152"/>
              </w:tabs>
              <w:spacing w:before="40" w:after="40" w:line="210" w:lineRule="exact"/>
              <w:ind w:left="144" w:right="43"/>
              <w:jc w:val="right"/>
              <w:rPr>
                <w:sz w:val="17"/>
              </w:rPr>
            </w:pPr>
            <w:r w:rsidRPr="007455E7">
              <w:rPr>
                <w:sz w:val="17"/>
              </w:rPr>
              <w:t>44,19 %</w:t>
            </w:r>
          </w:p>
        </w:tc>
        <w:tc>
          <w:tcPr>
            <w:tcW w:w="1394" w:type="dxa"/>
            <w:shd w:val="clear" w:color="auto" w:fill="auto"/>
            <w:noWrap/>
            <w:vAlign w:val="bottom"/>
          </w:tcPr>
          <w:p w14:paraId="11A9CB17" w14:textId="77777777" w:rsidR="007E41FF" w:rsidRPr="007455E7" w:rsidRDefault="007E41FF" w:rsidP="007455E7">
            <w:pPr>
              <w:tabs>
                <w:tab w:val="left" w:pos="288"/>
                <w:tab w:val="left" w:pos="576"/>
                <w:tab w:val="left" w:pos="864"/>
                <w:tab w:val="left" w:pos="1152"/>
              </w:tabs>
              <w:spacing w:before="40" w:after="40" w:line="210" w:lineRule="exact"/>
              <w:ind w:left="144" w:right="43"/>
              <w:jc w:val="right"/>
              <w:rPr>
                <w:sz w:val="17"/>
              </w:rPr>
            </w:pPr>
            <w:r w:rsidRPr="007455E7">
              <w:rPr>
                <w:sz w:val="17"/>
              </w:rPr>
              <w:t>42,52 %</w:t>
            </w:r>
          </w:p>
        </w:tc>
      </w:tr>
      <w:tr w:rsidR="0015207D" w:rsidRPr="007455E7" w14:paraId="68910684" w14:textId="77777777" w:rsidTr="007455E7">
        <w:tc>
          <w:tcPr>
            <w:tcW w:w="4410" w:type="dxa"/>
            <w:tcBorders>
              <w:bottom w:val="single" w:sz="12" w:space="0" w:color="auto"/>
            </w:tcBorders>
            <w:shd w:val="clear" w:color="auto" w:fill="auto"/>
            <w:noWrap/>
            <w:vAlign w:val="bottom"/>
          </w:tcPr>
          <w:p w14:paraId="02394241" w14:textId="77777777" w:rsidR="007E41FF" w:rsidRPr="007455E7" w:rsidRDefault="007E41FF" w:rsidP="007455E7">
            <w:pPr>
              <w:tabs>
                <w:tab w:val="left" w:pos="288"/>
                <w:tab w:val="left" w:pos="576"/>
                <w:tab w:val="left" w:pos="864"/>
                <w:tab w:val="left" w:pos="1152"/>
              </w:tabs>
              <w:spacing w:before="40" w:after="40" w:line="210" w:lineRule="exact"/>
              <w:ind w:right="40"/>
              <w:rPr>
                <w:sz w:val="17"/>
              </w:rPr>
            </w:pPr>
            <w:r w:rsidRPr="007455E7">
              <w:rPr>
                <w:sz w:val="17"/>
              </w:rPr>
              <w:t xml:space="preserve">Proportion des femmes dans le nombre total de personnes handicapées </w:t>
            </w:r>
          </w:p>
        </w:tc>
        <w:tc>
          <w:tcPr>
            <w:tcW w:w="1440" w:type="dxa"/>
            <w:tcBorders>
              <w:bottom w:val="single" w:sz="12" w:space="0" w:color="auto"/>
            </w:tcBorders>
            <w:shd w:val="clear" w:color="auto" w:fill="auto"/>
            <w:noWrap/>
            <w:vAlign w:val="bottom"/>
          </w:tcPr>
          <w:p w14:paraId="69AF75A7" w14:textId="77777777" w:rsidR="007E41FF" w:rsidRPr="007455E7" w:rsidRDefault="007E41FF" w:rsidP="007455E7">
            <w:pPr>
              <w:tabs>
                <w:tab w:val="left" w:pos="288"/>
                <w:tab w:val="left" w:pos="576"/>
                <w:tab w:val="left" w:pos="864"/>
                <w:tab w:val="left" w:pos="1152"/>
              </w:tabs>
              <w:spacing w:before="40" w:after="40" w:line="210" w:lineRule="exact"/>
              <w:ind w:left="144" w:right="43"/>
              <w:jc w:val="right"/>
              <w:rPr>
                <w:sz w:val="17"/>
              </w:rPr>
            </w:pPr>
            <w:r w:rsidRPr="007455E7">
              <w:rPr>
                <w:sz w:val="17"/>
              </w:rPr>
              <w:t>42,57 %</w:t>
            </w:r>
          </w:p>
        </w:tc>
        <w:tc>
          <w:tcPr>
            <w:tcW w:w="1394" w:type="dxa"/>
            <w:tcBorders>
              <w:bottom w:val="single" w:sz="12" w:space="0" w:color="auto"/>
            </w:tcBorders>
            <w:shd w:val="clear" w:color="auto" w:fill="auto"/>
            <w:noWrap/>
            <w:vAlign w:val="bottom"/>
          </w:tcPr>
          <w:p w14:paraId="0B4170CC" w14:textId="77777777" w:rsidR="007E41FF" w:rsidRPr="007455E7" w:rsidRDefault="007E41FF" w:rsidP="007455E7">
            <w:pPr>
              <w:tabs>
                <w:tab w:val="left" w:pos="288"/>
                <w:tab w:val="left" w:pos="576"/>
                <w:tab w:val="left" w:pos="864"/>
                <w:tab w:val="left" w:pos="1152"/>
              </w:tabs>
              <w:spacing w:before="40" w:after="40" w:line="210" w:lineRule="exact"/>
              <w:ind w:left="144" w:right="43"/>
              <w:jc w:val="right"/>
              <w:rPr>
                <w:sz w:val="17"/>
              </w:rPr>
            </w:pPr>
            <w:r w:rsidRPr="007455E7">
              <w:rPr>
                <w:sz w:val="17"/>
              </w:rPr>
              <w:t>45,28 %</w:t>
            </w:r>
          </w:p>
        </w:tc>
      </w:tr>
    </w:tbl>
    <w:p w14:paraId="0CC0BB7E" w14:textId="1EB3EFF0" w:rsidR="007E41FF" w:rsidRPr="007E41FF" w:rsidRDefault="007E41FF" w:rsidP="007E41FF">
      <w:pPr>
        <w:pStyle w:val="SingleTxt"/>
        <w:spacing w:after="0" w:line="120" w:lineRule="exact"/>
        <w:rPr>
          <w:sz w:val="10"/>
        </w:rPr>
      </w:pPr>
    </w:p>
    <w:p w14:paraId="780898EF" w14:textId="7CE0055A" w:rsidR="007E41FF" w:rsidRPr="007E41FF" w:rsidRDefault="007E41FF" w:rsidP="007E41FF">
      <w:pPr>
        <w:pStyle w:val="SingleTxt"/>
        <w:spacing w:after="0" w:line="120" w:lineRule="exact"/>
        <w:rPr>
          <w:sz w:val="10"/>
        </w:rPr>
      </w:pPr>
    </w:p>
    <w:p w14:paraId="393A49B4" w14:textId="0C2A498C" w:rsidR="007E41FF" w:rsidRPr="007E41FF" w:rsidRDefault="007E41FF" w:rsidP="007E41FF">
      <w:pPr>
        <w:pStyle w:val="SingleTxt"/>
        <w:spacing w:after="0" w:line="120" w:lineRule="exact"/>
        <w:rPr>
          <w:sz w:val="10"/>
        </w:rPr>
      </w:pPr>
    </w:p>
    <w:p w14:paraId="57FE5756" w14:textId="60D0176B" w:rsidR="007E41FF" w:rsidRDefault="007E41FF" w:rsidP="007E41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Stéréotypes</w:t>
      </w:r>
    </w:p>
    <w:p w14:paraId="2A1F5889" w14:textId="0F94527E" w:rsidR="007E41FF" w:rsidRPr="007E41FF" w:rsidRDefault="007E41FF" w:rsidP="007E41FF">
      <w:pPr>
        <w:pStyle w:val="SingleTxt"/>
        <w:spacing w:after="0" w:line="120" w:lineRule="exact"/>
        <w:rPr>
          <w:sz w:val="10"/>
          <w:lang w:val="fr-FR"/>
        </w:rPr>
      </w:pPr>
    </w:p>
    <w:p w14:paraId="53696C9C" w14:textId="790A3192" w:rsidR="007E41FF" w:rsidRPr="007E41FF" w:rsidRDefault="007E41FF" w:rsidP="00172AC5">
      <w:pPr>
        <w:pStyle w:val="SingleTxt"/>
        <w:numPr>
          <w:ilvl w:val="0"/>
          <w:numId w:val="19"/>
        </w:numPr>
        <w:tabs>
          <w:tab w:val="left" w:pos="1742"/>
        </w:tabs>
        <w:spacing w:line="240" w:lineRule="exact"/>
        <w:rPr>
          <w:lang w:val="fr-FR"/>
        </w:rPr>
      </w:pPr>
      <w:r w:rsidRPr="007E41FF">
        <w:rPr>
          <w:lang w:val="fr-FR"/>
        </w:rPr>
        <w:t>L</w:t>
      </w:r>
      <w:r w:rsidR="00DE1F39">
        <w:rPr>
          <w:lang w:val="fr-FR"/>
        </w:rPr>
        <w:t>’</w:t>
      </w:r>
      <w:r w:rsidRPr="007E41FF">
        <w:rPr>
          <w:lang w:val="fr-FR"/>
        </w:rPr>
        <w:t>objectif du Gouvernement est de créer les conditions nécessaires pour que les parents puissent prendre plus facilement la décision d</w:t>
      </w:r>
      <w:r w:rsidR="00DE1F39">
        <w:rPr>
          <w:lang w:val="fr-FR"/>
        </w:rPr>
        <w:t>’</w:t>
      </w:r>
      <w:r w:rsidRPr="007E41FF">
        <w:rPr>
          <w:lang w:val="fr-FR"/>
        </w:rPr>
        <w:t xml:space="preserve">avoir un premier, un deuxième ou un autre enfant, mais chaque femme a le droit de décider du bon moment pour devenir mère et fonder une famille. </w:t>
      </w:r>
    </w:p>
    <w:p w14:paraId="0E788BDE" w14:textId="1FD1A5E6" w:rsidR="007E41FF" w:rsidRPr="007E41FF" w:rsidRDefault="007E41FF" w:rsidP="00172AC5">
      <w:pPr>
        <w:pStyle w:val="SingleTxt"/>
        <w:numPr>
          <w:ilvl w:val="0"/>
          <w:numId w:val="18"/>
        </w:numPr>
        <w:tabs>
          <w:tab w:val="left" w:pos="1742"/>
        </w:tabs>
        <w:spacing w:line="240" w:lineRule="exact"/>
        <w:rPr>
          <w:lang w:val="fr-FR"/>
        </w:rPr>
      </w:pPr>
      <w:r w:rsidRPr="007E41FF">
        <w:rPr>
          <w:lang w:val="fr-FR"/>
        </w:rPr>
        <w:t xml:space="preserve">Dans la </w:t>
      </w:r>
      <w:r w:rsidRPr="007E41FF">
        <w:rPr>
          <w:i/>
          <w:lang w:val="fr-FR"/>
        </w:rPr>
        <w:t>stratégie d</w:t>
      </w:r>
      <w:r w:rsidR="00DE1F39">
        <w:rPr>
          <w:i/>
          <w:lang w:val="fr-FR"/>
        </w:rPr>
        <w:t>’</w:t>
      </w:r>
      <w:r w:rsidRPr="007E41FF">
        <w:rPr>
          <w:i/>
          <w:lang w:val="fr-FR"/>
        </w:rPr>
        <w:t xml:space="preserve">encouragement à la natalité </w:t>
      </w:r>
      <w:r w:rsidRPr="007E41FF">
        <w:rPr>
          <w:lang w:val="fr-FR"/>
        </w:rPr>
        <w:t>adoptée en mars 2018, donner naissance est considéré comme un choix libre exercé par des femmes émancipées. Cette stratégie encourage les hommes à plus s</w:t>
      </w:r>
      <w:r w:rsidR="00DE1F39">
        <w:rPr>
          <w:lang w:val="fr-FR"/>
        </w:rPr>
        <w:t>’</w:t>
      </w:r>
      <w:r w:rsidRPr="007E41FF">
        <w:rPr>
          <w:lang w:val="fr-FR"/>
        </w:rPr>
        <w:t>impliquer dans les activités liées à l</w:t>
      </w:r>
      <w:r w:rsidR="00DE1F39">
        <w:rPr>
          <w:lang w:val="fr-FR"/>
        </w:rPr>
        <w:t>’</w:t>
      </w:r>
      <w:r w:rsidRPr="007E41FF">
        <w:rPr>
          <w:lang w:val="fr-FR"/>
        </w:rPr>
        <w:t>éducation des enfants et à participer aux soins du ménage, et définit les mesures de soutien des organismes publics à la parentalité dans le cadre de la politique démographique : baisse des frais liés à l</w:t>
      </w:r>
      <w:r w:rsidR="00DE1F39">
        <w:rPr>
          <w:lang w:val="fr-FR"/>
        </w:rPr>
        <w:t>’</w:t>
      </w:r>
      <w:r w:rsidRPr="007E41FF">
        <w:rPr>
          <w:lang w:val="fr-FR"/>
        </w:rPr>
        <w:t>éducation des enfants, conciliation entre vie professionnelle et vie familiale, réduction de la charge psychologique de la parentalité, préservation et amélioration de la santé de la procréation, solutions aux problèmes d</w:t>
      </w:r>
      <w:r w:rsidR="00DE1F39">
        <w:rPr>
          <w:lang w:val="fr-FR"/>
        </w:rPr>
        <w:t>’</w:t>
      </w:r>
      <w:r w:rsidRPr="007E41FF">
        <w:rPr>
          <w:lang w:val="fr-FR"/>
        </w:rPr>
        <w:t>infertilité, maternité sans risques, éducation de la population et mobilisation des collectivités locales. Un appui financier est apporté aux associations qui travaillent sur l</w:t>
      </w:r>
      <w:r w:rsidR="00DE1F39">
        <w:rPr>
          <w:lang w:val="fr-FR"/>
        </w:rPr>
        <w:t>’</w:t>
      </w:r>
      <w:r w:rsidRPr="007E41FF">
        <w:rPr>
          <w:lang w:val="fr-FR"/>
        </w:rPr>
        <w:t xml:space="preserve">autonomisation économique des femmes. </w:t>
      </w:r>
    </w:p>
    <w:p w14:paraId="419A8C67" w14:textId="44287396" w:rsidR="007E41FF" w:rsidRPr="007E41FF" w:rsidRDefault="007E41FF" w:rsidP="00172AC5">
      <w:pPr>
        <w:pStyle w:val="SingleTxt"/>
        <w:numPr>
          <w:ilvl w:val="0"/>
          <w:numId w:val="18"/>
        </w:numPr>
        <w:tabs>
          <w:tab w:val="left" w:pos="1742"/>
        </w:tabs>
        <w:spacing w:line="240" w:lineRule="exact"/>
        <w:rPr>
          <w:lang w:val="fr-FR"/>
        </w:rPr>
      </w:pPr>
      <w:r w:rsidRPr="007E41FF">
        <w:rPr>
          <w:lang w:val="fr-FR"/>
        </w:rPr>
        <w:t>En avril 2018, une étude sur la conciliation entre la vie professionnelle et la vie familiale a été publiée. Elle montre qu</w:t>
      </w:r>
      <w:r w:rsidR="00DE1F39">
        <w:rPr>
          <w:lang w:val="fr-FR"/>
        </w:rPr>
        <w:t>’</w:t>
      </w:r>
      <w:r w:rsidRPr="007E41FF">
        <w:rPr>
          <w:lang w:val="fr-FR"/>
        </w:rPr>
        <w:t>un grand nombre d</w:t>
      </w:r>
      <w:r w:rsidR="00DE1F39">
        <w:rPr>
          <w:lang w:val="fr-FR"/>
        </w:rPr>
        <w:t>’</w:t>
      </w:r>
      <w:r w:rsidRPr="007E41FF">
        <w:rPr>
          <w:lang w:val="fr-FR"/>
        </w:rPr>
        <w:t>employeurs en Serbie n</w:t>
      </w:r>
      <w:r w:rsidR="00DE1F39">
        <w:rPr>
          <w:lang w:val="fr-FR"/>
        </w:rPr>
        <w:t>’</w:t>
      </w:r>
      <w:r w:rsidRPr="007E41FF">
        <w:rPr>
          <w:lang w:val="fr-FR"/>
        </w:rPr>
        <w:t>apporte aucun type d</w:t>
      </w:r>
      <w:r w:rsidR="00DE1F39">
        <w:rPr>
          <w:lang w:val="fr-FR"/>
        </w:rPr>
        <w:t>’</w:t>
      </w:r>
      <w:r w:rsidRPr="007E41FF">
        <w:rPr>
          <w:lang w:val="fr-FR"/>
        </w:rPr>
        <w:t>aide financière aux parents employés, et que la plupart de ces employeurs sont prêts à leur apporter un soutien s</w:t>
      </w:r>
      <w:r w:rsidR="00DE1F39">
        <w:rPr>
          <w:lang w:val="fr-FR"/>
        </w:rPr>
        <w:t>’</w:t>
      </w:r>
      <w:r w:rsidRPr="007E41FF">
        <w:rPr>
          <w:lang w:val="fr-FR"/>
        </w:rPr>
        <w:t>ils reçoivent certaines aides des pouvoirs publics. Environ 48 % des employeurs participent financièrement aux frais médicaux des enfants de leurs employés, 28 % versent une indemnité ponctuelle pour chaque naissance et seulement 5,5 % versent une aide ponctuelle pour l</w:t>
      </w:r>
      <w:r w:rsidR="00DE1F39">
        <w:rPr>
          <w:lang w:val="fr-FR"/>
        </w:rPr>
        <w:t>’</w:t>
      </w:r>
      <w:r w:rsidRPr="007E41FF">
        <w:rPr>
          <w:lang w:val="fr-FR"/>
        </w:rPr>
        <w:t>inscription d</w:t>
      </w:r>
      <w:r w:rsidR="00DE1F39">
        <w:rPr>
          <w:lang w:val="fr-FR"/>
        </w:rPr>
        <w:t>’</w:t>
      </w:r>
      <w:r w:rsidRPr="007E41FF">
        <w:rPr>
          <w:lang w:val="fr-FR"/>
        </w:rPr>
        <w:t>un enfant à l</w:t>
      </w:r>
      <w:r w:rsidR="00DE1F39">
        <w:rPr>
          <w:lang w:val="fr-FR"/>
        </w:rPr>
        <w:t>’</w:t>
      </w:r>
      <w:r w:rsidRPr="007E41FF">
        <w:rPr>
          <w:lang w:val="fr-FR"/>
        </w:rPr>
        <w:t>école. De plus, la plupart des employés ne sont pas informés de leurs droits en matière d</w:t>
      </w:r>
      <w:r w:rsidR="00DE1F39">
        <w:rPr>
          <w:lang w:val="fr-FR"/>
        </w:rPr>
        <w:t>’</w:t>
      </w:r>
      <w:r w:rsidRPr="007E41FF">
        <w:rPr>
          <w:lang w:val="fr-FR"/>
        </w:rPr>
        <w:t xml:space="preserve">horaires de travail flexibles et rares sont ceux qui exercent ces droits. </w:t>
      </w:r>
    </w:p>
    <w:p w14:paraId="61093391" w14:textId="2A6212BA" w:rsidR="007E41FF" w:rsidRPr="007E41FF" w:rsidRDefault="007E41FF" w:rsidP="00172AC5">
      <w:pPr>
        <w:pStyle w:val="SingleTxt"/>
        <w:numPr>
          <w:ilvl w:val="0"/>
          <w:numId w:val="20"/>
        </w:numPr>
        <w:tabs>
          <w:tab w:val="left" w:pos="1742"/>
        </w:tabs>
        <w:rPr>
          <w:lang w:val="fr-FR"/>
        </w:rPr>
      </w:pPr>
      <w:r w:rsidRPr="007E41FF">
        <w:rPr>
          <w:lang w:val="fr-FR"/>
        </w:rPr>
        <w:t>Des mesures ont été prises pour sensibiliser l</w:t>
      </w:r>
      <w:r w:rsidR="00DE1F39">
        <w:rPr>
          <w:lang w:val="fr-FR"/>
        </w:rPr>
        <w:t>’</w:t>
      </w:r>
      <w:r w:rsidRPr="007E41FF">
        <w:rPr>
          <w:lang w:val="fr-FR"/>
        </w:rPr>
        <w:t>opinion sur l</w:t>
      </w:r>
      <w:r w:rsidR="00DE1F39">
        <w:rPr>
          <w:lang w:val="fr-FR"/>
        </w:rPr>
        <w:t>’</w:t>
      </w:r>
      <w:r w:rsidRPr="007E41FF">
        <w:rPr>
          <w:lang w:val="fr-FR"/>
        </w:rPr>
        <w:t>égalité des sexes et lutter contre les stéréotypes sexistes, notamment l</w:t>
      </w:r>
      <w:r w:rsidR="00DE1F39">
        <w:rPr>
          <w:lang w:val="fr-FR"/>
        </w:rPr>
        <w:t>’</w:t>
      </w:r>
      <w:r w:rsidRPr="007E41FF">
        <w:rPr>
          <w:lang w:val="fr-FR"/>
        </w:rPr>
        <w:t>organisation de campagnes et de formations pour les professionnels des médias, et l</w:t>
      </w:r>
      <w:r w:rsidR="00DE1F39">
        <w:rPr>
          <w:lang w:val="fr-FR"/>
        </w:rPr>
        <w:t>’</w:t>
      </w:r>
      <w:r w:rsidRPr="007E41FF">
        <w:rPr>
          <w:lang w:val="fr-FR"/>
        </w:rPr>
        <w:t>appui apporté aux contenus médiatiques en faveur de l</w:t>
      </w:r>
      <w:r w:rsidR="00DE1F39">
        <w:rPr>
          <w:lang w:val="fr-FR"/>
        </w:rPr>
        <w:t>’</w:t>
      </w:r>
      <w:r w:rsidRPr="007E41FF">
        <w:rPr>
          <w:lang w:val="fr-FR"/>
        </w:rPr>
        <w:t>égalité des sexes. En 2017, le ministère de la Culture et de l</w:t>
      </w:r>
      <w:r w:rsidR="00DE1F39">
        <w:rPr>
          <w:lang w:val="fr-FR"/>
        </w:rPr>
        <w:t>’</w:t>
      </w:r>
      <w:r w:rsidRPr="007E41FF">
        <w:rPr>
          <w:lang w:val="fr-FR"/>
        </w:rPr>
        <w:t>information a cofinancé 14 projets qui contribuent à l</w:t>
      </w:r>
      <w:r w:rsidR="00DE1F39">
        <w:rPr>
          <w:lang w:val="fr-FR"/>
        </w:rPr>
        <w:t>’</w:t>
      </w:r>
      <w:r w:rsidRPr="007E41FF">
        <w:rPr>
          <w:lang w:val="fr-FR"/>
        </w:rPr>
        <w:t>égalité des sexes, pour un montant total de 6 050 000 dinars serbes. L</w:t>
      </w:r>
      <w:r w:rsidR="00DE1F39">
        <w:rPr>
          <w:lang w:val="fr-FR"/>
        </w:rPr>
        <w:t>’</w:t>
      </w:r>
      <w:r w:rsidRPr="007E41FF">
        <w:rPr>
          <w:lang w:val="fr-FR"/>
        </w:rPr>
        <w:t>équipe chargée de l</w:t>
      </w:r>
      <w:r w:rsidR="00DE1F39">
        <w:rPr>
          <w:lang w:val="fr-FR"/>
        </w:rPr>
        <w:t>’</w:t>
      </w:r>
      <w:r w:rsidRPr="007E41FF">
        <w:rPr>
          <w:lang w:val="fr-FR"/>
        </w:rPr>
        <w:t>inclusion sociale et de la réduction de la pauvreté, en collaboration avec l</w:t>
      </w:r>
      <w:r w:rsidR="00DE1F39">
        <w:rPr>
          <w:lang w:val="fr-FR"/>
        </w:rPr>
        <w:t>’</w:t>
      </w:r>
      <w:r w:rsidRPr="007E41FF">
        <w:rPr>
          <w:lang w:val="fr-FR"/>
        </w:rPr>
        <w:t>Organisme de coordination pour l</w:t>
      </w:r>
      <w:r w:rsidR="00DE1F39">
        <w:rPr>
          <w:lang w:val="fr-FR"/>
        </w:rPr>
        <w:t>’</w:t>
      </w:r>
      <w:r w:rsidRPr="007E41FF">
        <w:rPr>
          <w:lang w:val="fr-FR"/>
        </w:rPr>
        <w:t xml:space="preserve">égalité des sexes, a organisé une formation pour les journalistes sur la communication faisant place aux femmes dans les médias et la présentation positive des groupes vulnérables, et plusieurs articles sur des femmes et des filles exemplaires et divers sujets ont été rédigés et publiés. </w:t>
      </w:r>
    </w:p>
    <w:p w14:paraId="390C2DF3" w14:textId="0E19D92C" w:rsidR="007E41FF" w:rsidRPr="007E41FF" w:rsidRDefault="007E41FF" w:rsidP="00172AC5">
      <w:pPr>
        <w:pStyle w:val="SingleTxt"/>
        <w:numPr>
          <w:ilvl w:val="0"/>
          <w:numId w:val="20"/>
        </w:numPr>
        <w:tabs>
          <w:tab w:val="left" w:pos="1742"/>
        </w:tabs>
        <w:rPr>
          <w:lang w:val="fr-FR"/>
        </w:rPr>
      </w:pPr>
      <w:r w:rsidRPr="007E41FF">
        <w:rPr>
          <w:lang w:val="fr-FR"/>
        </w:rPr>
        <w:lastRenderedPageBreak/>
        <w:t>Grâce à des rapports, des conférences de presse et sa participation à des manifestations publiques, l</w:t>
      </w:r>
      <w:r w:rsidR="00DE1F39">
        <w:rPr>
          <w:lang w:val="fr-FR"/>
        </w:rPr>
        <w:t>’</w:t>
      </w:r>
      <w:r w:rsidRPr="007E41FF">
        <w:rPr>
          <w:lang w:val="fr-FR"/>
        </w:rPr>
        <w:t>Organisme de coordination pour l</w:t>
      </w:r>
      <w:r w:rsidR="00DE1F39">
        <w:rPr>
          <w:lang w:val="fr-FR"/>
        </w:rPr>
        <w:t>’</w:t>
      </w:r>
      <w:r w:rsidRPr="007E41FF">
        <w:rPr>
          <w:lang w:val="fr-FR"/>
        </w:rPr>
        <w:t>égalité des sexes a fait avancer la question de l</w:t>
      </w:r>
      <w:r w:rsidR="00DE1F39">
        <w:rPr>
          <w:lang w:val="fr-FR"/>
        </w:rPr>
        <w:t>’</w:t>
      </w:r>
      <w:r w:rsidRPr="007E41FF">
        <w:rPr>
          <w:lang w:val="fr-FR"/>
        </w:rPr>
        <w:t>égalité des sexes et les politiques de la République de Serbie dans ce domaine : table ronde « Femmes et travail, deux emplois » lors de la célébration du 8 mars</w:t>
      </w:r>
      <w:r w:rsidR="00F04216">
        <w:rPr>
          <w:lang w:val="fr-FR"/>
        </w:rPr>
        <w:t> </w:t>
      </w:r>
      <w:r w:rsidRPr="007E41FF">
        <w:rPr>
          <w:lang w:val="fr-FR"/>
        </w:rPr>
        <w:t>; célébration des femmes et des filles lors de la Journée de la science et des filles lors de la Journée des TIC</w:t>
      </w:r>
      <w:r w:rsidR="00F04216">
        <w:rPr>
          <w:lang w:val="fr-FR"/>
        </w:rPr>
        <w:t> </w:t>
      </w:r>
      <w:r w:rsidRPr="007E41FF">
        <w:rPr>
          <w:lang w:val="fr-FR"/>
        </w:rPr>
        <w:t>; appui à la campagne « Filles sources d</w:t>
      </w:r>
      <w:r w:rsidR="00DE1F39">
        <w:rPr>
          <w:lang w:val="fr-FR"/>
        </w:rPr>
        <w:t>’</w:t>
      </w:r>
      <w:r w:rsidRPr="007E41FF">
        <w:rPr>
          <w:lang w:val="fr-FR"/>
        </w:rPr>
        <w:t>inspiration »</w:t>
      </w:r>
      <w:r>
        <w:rPr>
          <w:lang w:val="fr-FR"/>
        </w:rPr>
        <w:t> </w:t>
      </w:r>
      <w:r w:rsidRPr="007E41FF">
        <w:rPr>
          <w:lang w:val="fr-FR"/>
        </w:rPr>
        <w:t>; conférence « Femmes dirigeant</w:t>
      </w:r>
      <w:r>
        <w:rPr>
          <w:lang w:val="fr-FR"/>
        </w:rPr>
        <w:t>es contre la discrimination » – </w:t>
      </w:r>
      <w:r w:rsidRPr="007E41FF">
        <w:rPr>
          <w:lang w:val="fr-FR"/>
        </w:rPr>
        <w:t>conférence finale du programme « Exercice de responsabilités par les femmes universitaires »</w:t>
      </w:r>
      <w:r>
        <w:rPr>
          <w:lang w:val="fr-FR"/>
        </w:rPr>
        <w:t> </w:t>
      </w:r>
      <w:r w:rsidRPr="007E41FF">
        <w:rPr>
          <w:lang w:val="fr-FR"/>
        </w:rPr>
        <w:t>; conférence « Femmes roms en Serbie : réalisations, difficultés et perspectives » lors de la Journée mondiale des Roms</w:t>
      </w:r>
      <w:r w:rsidR="00F04216">
        <w:rPr>
          <w:lang w:val="fr-FR"/>
        </w:rPr>
        <w:t> </w:t>
      </w:r>
      <w:r w:rsidRPr="007E41FF">
        <w:rPr>
          <w:lang w:val="fr-FR"/>
        </w:rPr>
        <w:t>; table ronde « Propositions de politiques régionales pour les migrations illégales », lutte contre la traite des personnes et recommandations pour les futures stratégies nationales de prévention et d</w:t>
      </w:r>
      <w:r w:rsidR="00DE1F39">
        <w:rPr>
          <w:lang w:val="fr-FR"/>
        </w:rPr>
        <w:t>’</w:t>
      </w:r>
      <w:r w:rsidRPr="007E41FF">
        <w:rPr>
          <w:lang w:val="fr-FR"/>
        </w:rPr>
        <w:t>élimination de la violence à l</w:t>
      </w:r>
      <w:r w:rsidR="00DE1F39">
        <w:rPr>
          <w:lang w:val="fr-FR"/>
        </w:rPr>
        <w:t>’</w:t>
      </w:r>
      <w:r w:rsidRPr="007E41FF">
        <w:rPr>
          <w:lang w:val="fr-FR"/>
        </w:rPr>
        <w:t>égard des femmes au sein de la famille et du couple, et stratégie de prévention de la traite des personnes</w:t>
      </w:r>
      <w:r>
        <w:rPr>
          <w:lang w:val="fr-FR"/>
        </w:rPr>
        <w:t> </w:t>
      </w:r>
      <w:r w:rsidRPr="007E41FF">
        <w:rPr>
          <w:lang w:val="fr-FR"/>
        </w:rPr>
        <w:t>; conférence « Femmes entrepreneurs : un potentiel inutilisé en Europe centrale et de l</w:t>
      </w:r>
      <w:r w:rsidR="00DE1F39">
        <w:rPr>
          <w:lang w:val="fr-FR"/>
        </w:rPr>
        <w:t>’</w:t>
      </w:r>
      <w:r w:rsidRPr="007E41FF">
        <w:rPr>
          <w:lang w:val="fr-FR"/>
        </w:rPr>
        <w:t>Est » organisée par l</w:t>
      </w:r>
      <w:r w:rsidR="00DE1F39">
        <w:rPr>
          <w:lang w:val="fr-FR"/>
        </w:rPr>
        <w:t>’</w:t>
      </w:r>
      <w:r w:rsidRPr="007E41FF">
        <w:rPr>
          <w:lang w:val="fr-FR"/>
        </w:rPr>
        <w:t>Union des femmes d</w:t>
      </w:r>
      <w:r w:rsidR="00DE1F39">
        <w:rPr>
          <w:lang w:val="fr-FR"/>
        </w:rPr>
        <w:t>’</w:t>
      </w:r>
      <w:r w:rsidRPr="007E41FF">
        <w:rPr>
          <w:lang w:val="fr-FR"/>
        </w:rPr>
        <w:t>affaires de Serbie, et appui aux initiatives de développement de l</w:t>
      </w:r>
      <w:r w:rsidR="00DE1F39">
        <w:rPr>
          <w:lang w:val="fr-FR"/>
        </w:rPr>
        <w:t>’</w:t>
      </w:r>
      <w:r w:rsidRPr="007E41FF">
        <w:rPr>
          <w:lang w:val="fr-FR"/>
        </w:rPr>
        <w:t>esprit d</w:t>
      </w:r>
      <w:r w:rsidR="00DE1F39">
        <w:rPr>
          <w:lang w:val="fr-FR"/>
        </w:rPr>
        <w:t>’</w:t>
      </w:r>
      <w:r w:rsidRPr="007E41FF">
        <w:rPr>
          <w:lang w:val="fr-FR"/>
        </w:rPr>
        <w:t>entreprise chez les femmes</w:t>
      </w:r>
      <w:r w:rsidR="00F04216">
        <w:rPr>
          <w:lang w:val="fr-FR"/>
        </w:rPr>
        <w:t> </w:t>
      </w:r>
      <w:r w:rsidRPr="007E41FF">
        <w:rPr>
          <w:lang w:val="fr-FR"/>
        </w:rPr>
        <w:t>; conférence du Réseau des femmes d</w:t>
      </w:r>
      <w:r w:rsidR="00DE1F39">
        <w:rPr>
          <w:lang w:val="fr-FR"/>
        </w:rPr>
        <w:t>’</w:t>
      </w:r>
      <w:r>
        <w:rPr>
          <w:lang w:val="fr-FR"/>
        </w:rPr>
        <w:t>influence « Femmes d</w:t>
      </w:r>
      <w:r w:rsidR="00DE1F39">
        <w:rPr>
          <w:lang w:val="fr-FR"/>
        </w:rPr>
        <w:t>’</w:t>
      </w:r>
      <w:r>
        <w:rPr>
          <w:lang w:val="fr-FR"/>
        </w:rPr>
        <w:t xml:space="preserve">influence </w:t>
      </w:r>
      <w:r w:rsidRPr="007E41FF">
        <w:rPr>
          <w:lang w:val="fr-FR"/>
        </w:rPr>
        <w:t>–</w:t>
      </w:r>
      <w:r>
        <w:rPr>
          <w:lang w:val="fr-FR"/>
        </w:rPr>
        <w:t> </w:t>
      </w:r>
      <w:r w:rsidRPr="007E41FF">
        <w:rPr>
          <w:lang w:val="fr-FR"/>
        </w:rPr>
        <w:t xml:space="preserve">les femmes peuvent-elles changer la Serbie ? ». </w:t>
      </w:r>
    </w:p>
    <w:p w14:paraId="234B88D0" w14:textId="22BC6552" w:rsidR="007E41FF" w:rsidRPr="007E41FF" w:rsidRDefault="007E41FF" w:rsidP="00172AC5">
      <w:pPr>
        <w:pStyle w:val="SingleTxt"/>
        <w:numPr>
          <w:ilvl w:val="0"/>
          <w:numId w:val="20"/>
        </w:numPr>
        <w:tabs>
          <w:tab w:val="left" w:pos="1742"/>
        </w:tabs>
        <w:rPr>
          <w:b/>
          <w:u w:val="single"/>
          <w:lang w:val="fr-FR"/>
        </w:rPr>
      </w:pPr>
      <w:r w:rsidRPr="007E41FF">
        <w:rPr>
          <w:lang w:val="fr-FR"/>
        </w:rPr>
        <w:t>Les résultats de l</w:t>
      </w:r>
      <w:r w:rsidR="00DE1F39">
        <w:rPr>
          <w:lang w:val="fr-FR"/>
        </w:rPr>
        <w:t>’</w:t>
      </w:r>
      <w:r w:rsidRPr="007E41FF">
        <w:rPr>
          <w:lang w:val="fr-FR"/>
        </w:rPr>
        <w:t xml:space="preserve">enquête </w:t>
      </w:r>
      <w:r>
        <w:rPr>
          <w:i/>
          <w:lang w:val="fr-FR"/>
        </w:rPr>
        <w:t>Hommes en Serbie </w:t>
      </w:r>
      <w:r w:rsidRPr="007E41FF">
        <w:rPr>
          <w:i/>
          <w:lang w:val="fr-FR"/>
        </w:rPr>
        <w:t xml:space="preserve">: résistance et enjeux </w:t>
      </w:r>
      <w:r w:rsidRPr="007E41FF">
        <w:rPr>
          <w:lang w:val="fr-FR"/>
        </w:rPr>
        <w:t xml:space="preserve">ont été présentés lors de la conférence organisée à Belgrade le 17 mai 2018, et lors de conférences promotionnelles à Novi Sad, Čačak, Kragujevac et Niš. </w:t>
      </w:r>
    </w:p>
    <w:p w14:paraId="23CC5C9F" w14:textId="0B25A847" w:rsidR="007E41FF" w:rsidRPr="007E41FF" w:rsidRDefault="007E41FF" w:rsidP="00172AC5">
      <w:pPr>
        <w:pStyle w:val="SingleTxt"/>
        <w:numPr>
          <w:ilvl w:val="0"/>
          <w:numId w:val="20"/>
        </w:numPr>
        <w:tabs>
          <w:tab w:val="left" w:pos="1742"/>
        </w:tabs>
        <w:rPr>
          <w:lang w:val="fr-FR"/>
        </w:rPr>
      </w:pPr>
      <w:r w:rsidRPr="007E41FF">
        <w:rPr>
          <w:lang w:val="fr-FR"/>
        </w:rPr>
        <w:t xml:space="preserve">Le </w:t>
      </w:r>
      <w:r w:rsidRPr="007E41FF">
        <w:rPr>
          <w:i/>
          <w:lang w:val="fr-FR"/>
        </w:rPr>
        <w:t>Règlement sur la formation professionnelle continue des enseignants du préscolaire, des enseignants et de leurs auxiliaires</w:t>
      </w:r>
      <w:r w:rsidRPr="00DE1F39">
        <w:rPr>
          <w:vertAlign w:val="superscript"/>
          <w:lang w:val="fr-FR"/>
        </w:rPr>
        <w:footnoteReference w:id="2"/>
      </w:r>
      <w:r w:rsidRPr="007E41FF">
        <w:rPr>
          <w:lang w:val="fr-FR"/>
        </w:rPr>
        <w:t xml:space="preserve"> définit les cinq domaines prioritaires de la formation obligatoire des enseignants ; l</w:t>
      </w:r>
      <w:r w:rsidR="00DE1F39">
        <w:rPr>
          <w:lang w:val="fr-FR"/>
        </w:rPr>
        <w:t>’</w:t>
      </w:r>
      <w:r w:rsidRPr="007E41FF">
        <w:rPr>
          <w:lang w:val="fr-FR"/>
        </w:rPr>
        <w:t>un de ces domaines prioritaires est la création d</w:t>
      </w:r>
      <w:r w:rsidR="00DE1F39">
        <w:rPr>
          <w:lang w:val="fr-FR"/>
        </w:rPr>
        <w:t>’</w:t>
      </w:r>
      <w:r w:rsidRPr="007E41FF">
        <w:rPr>
          <w:lang w:val="fr-FR"/>
        </w:rPr>
        <w:t>un environnement tolérant et non-discriminatoire pour chaque personne, ainsi que la prévention de la violence, la prévention de la discrimination et l</w:t>
      </w:r>
      <w:r w:rsidR="00DE1F39">
        <w:rPr>
          <w:lang w:val="fr-FR"/>
        </w:rPr>
        <w:t>’</w:t>
      </w:r>
      <w:r w:rsidRPr="007E41FF">
        <w:rPr>
          <w:lang w:val="fr-FR"/>
        </w:rPr>
        <w:t>inclusion des enfants appartenant à des groupes victimes d</w:t>
      </w:r>
      <w:r w:rsidR="00DE1F39">
        <w:rPr>
          <w:lang w:val="fr-FR"/>
        </w:rPr>
        <w:t>’</w:t>
      </w:r>
      <w:r w:rsidRPr="007E41FF">
        <w:rPr>
          <w:lang w:val="fr-FR"/>
        </w:rPr>
        <w:t xml:space="preserve">exclusion sociale. </w:t>
      </w:r>
    </w:p>
    <w:p w14:paraId="7209F70E" w14:textId="74920811" w:rsidR="007E41FF" w:rsidRPr="007E41FF" w:rsidRDefault="007E41FF" w:rsidP="00172AC5">
      <w:pPr>
        <w:pStyle w:val="SingleTxt"/>
        <w:numPr>
          <w:ilvl w:val="0"/>
          <w:numId w:val="20"/>
        </w:numPr>
        <w:tabs>
          <w:tab w:val="left" w:pos="1742"/>
        </w:tabs>
        <w:rPr>
          <w:lang w:val="fr-FR"/>
        </w:rPr>
      </w:pPr>
      <w:r w:rsidRPr="007E41FF">
        <w:rPr>
          <w:lang w:val="fr-FR"/>
        </w:rPr>
        <w:t xml:space="preserve">Le </w:t>
      </w:r>
      <w:r w:rsidRPr="007E41FF">
        <w:rPr>
          <w:i/>
          <w:lang w:val="fr-FR"/>
        </w:rPr>
        <w:t xml:space="preserve">Catalogue du programme de formation professionnelle continue des enseignants du préscolaire, des enseignants et de leurs auxiliaires pour les années </w:t>
      </w:r>
      <w:r w:rsidRPr="0076728C">
        <w:rPr>
          <w:i/>
          <w:iCs/>
          <w:lang w:val="fr-FR"/>
        </w:rPr>
        <w:t xml:space="preserve">scolaires </w:t>
      </w:r>
      <w:hyperlink r:id="rId18" w:history="1">
        <w:r w:rsidRPr="0076728C">
          <w:t>2015/16</w:t>
        </w:r>
      </w:hyperlink>
      <w:r w:rsidRPr="0015207D">
        <w:rPr>
          <w:i/>
          <w:iCs/>
          <w:lang w:val="fr-FR"/>
        </w:rPr>
        <w:t>, 2016/</w:t>
      </w:r>
      <w:r w:rsidRPr="007E41FF">
        <w:rPr>
          <w:i/>
          <w:iCs/>
          <w:lang w:val="fr-FR"/>
        </w:rPr>
        <w:t>2017 et 2017/2018</w:t>
      </w:r>
      <w:r w:rsidRPr="00DE1F39">
        <w:rPr>
          <w:i/>
          <w:iCs/>
          <w:vertAlign w:val="superscript"/>
          <w:lang w:val="fr-FR"/>
        </w:rPr>
        <w:footnoteReference w:id="3"/>
      </w:r>
      <w:r w:rsidRPr="007E41FF">
        <w:rPr>
          <w:lang w:val="fr-FR"/>
        </w:rPr>
        <w:t xml:space="preserve"> comprend 19 programmes validés dans le domaine de l</w:t>
      </w:r>
      <w:r w:rsidR="00DE1F39">
        <w:rPr>
          <w:lang w:val="fr-FR"/>
        </w:rPr>
        <w:t>’</w:t>
      </w:r>
      <w:r w:rsidRPr="007E41FF">
        <w:rPr>
          <w:lang w:val="fr-FR"/>
        </w:rPr>
        <w:t xml:space="preserve">égalité des sexes et de la protection contre la violence et la discrimination. </w:t>
      </w:r>
    </w:p>
    <w:p w14:paraId="0357D63E" w14:textId="7E8972EE" w:rsidR="007E41FF" w:rsidRPr="007E41FF" w:rsidRDefault="007E41FF" w:rsidP="00172AC5">
      <w:pPr>
        <w:pStyle w:val="SingleTxt"/>
        <w:numPr>
          <w:ilvl w:val="0"/>
          <w:numId w:val="20"/>
        </w:numPr>
        <w:tabs>
          <w:tab w:val="left" w:pos="1742"/>
        </w:tabs>
        <w:rPr>
          <w:lang w:val="fr-FR"/>
        </w:rPr>
      </w:pPr>
      <w:r w:rsidRPr="007E41FF">
        <w:rPr>
          <w:lang w:val="fr-FR"/>
        </w:rPr>
        <w:t>L</w:t>
      </w:r>
      <w:r w:rsidR="00DE1F39">
        <w:rPr>
          <w:lang w:val="fr-FR"/>
        </w:rPr>
        <w:t>’</w:t>
      </w:r>
      <w:r w:rsidRPr="007E41FF">
        <w:rPr>
          <w:lang w:val="fr-FR"/>
        </w:rPr>
        <w:t>équipe chargée de l</w:t>
      </w:r>
      <w:r w:rsidR="00DE1F39">
        <w:rPr>
          <w:lang w:val="fr-FR"/>
        </w:rPr>
        <w:t>’</w:t>
      </w:r>
      <w:r w:rsidRPr="007E41FF">
        <w:rPr>
          <w:lang w:val="fr-FR"/>
        </w:rPr>
        <w:t>inclusion sociale et de la réduction de la pauvreté, en collaboration avec l</w:t>
      </w:r>
      <w:r w:rsidR="00DE1F39">
        <w:rPr>
          <w:lang w:val="fr-FR"/>
        </w:rPr>
        <w:t>’</w:t>
      </w:r>
      <w:r w:rsidRPr="007E41FF">
        <w:rPr>
          <w:lang w:val="fr-FR"/>
        </w:rPr>
        <w:t>Organisme de coordination pour l</w:t>
      </w:r>
      <w:r w:rsidR="00DE1F39">
        <w:rPr>
          <w:lang w:val="fr-FR"/>
        </w:rPr>
        <w:t>’</w:t>
      </w:r>
      <w:r w:rsidRPr="007E41FF">
        <w:rPr>
          <w:lang w:val="fr-FR"/>
        </w:rPr>
        <w:t>égalité des sexes, a effectué une analyse des programmes et des manuels d</w:t>
      </w:r>
      <w:r w:rsidR="00DE1F39">
        <w:rPr>
          <w:lang w:val="fr-FR"/>
        </w:rPr>
        <w:t>’</w:t>
      </w:r>
      <w:r w:rsidRPr="007E41FF">
        <w:rPr>
          <w:lang w:val="fr-FR"/>
        </w:rPr>
        <w:t>enseignement de la langue serbe de la première à la quatrième années du cycle primaire, afin de définir la prise en compte de l</w:t>
      </w:r>
      <w:r w:rsidR="00DE1F39">
        <w:rPr>
          <w:lang w:val="fr-FR"/>
        </w:rPr>
        <w:t>’</w:t>
      </w:r>
      <w:r w:rsidRPr="007E41FF">
        <w:rPr>
          <w:lang w:val="fr-FR"/>
        </w:rPr>
        <w:t>égalité des sexes dans les supports d</w:t>
      </w:r>
      <w:r w:rsidR="00DE1F39">
        <w:rPr>
          <w:lang w:val="fr-FR"/>
        </w:rPr>
        <w:t>’</w:t>
      </w:r>
      <w:r w:rsidRPr="007E41FF">
        <w:rPr>
          <w:lang w:val="fr-FR"/>
        </w:rPr>
        <w:t xml:space="preserve">enseignement et les documents qui définissent les enseignements. </w:t>
      </w:r>
    </w:p>
    <w:p w14:paraId="5BC2A944" w14:textId="6525A5A5" w:rsidR="007E41FF" w:rsidRPr="007E41FF" w:rsidRDefault="007E41FF" w:rsidP="00172AC5">
      <w:pPr>
        <w:pStyle w:val="SingleTxt"/>
        <w:numPr>
          <w:ilvl w:val="0"/>
          <w:numId w:val="20"/>
        </w:numPr>
        <w:tabs>
          <w:tab w:val="left" w:pos="1742"/>
        </w:tabs>
        <w:rPr>
          <w:b/>
          <w:lang w:val="fr-FR"/>
        </w:rPr>
      </w:pPr>
      <w:r w:rsidRPr="007E41FF">
        <w:rPr>
          <w:lang w:val="fr-FR"/>
        </w:rPr>
        <w:t>L</w:t>
      </w:r>
      <w:r w:rsidR="00DE1F39">
        <w:rPr>
          <w:lang w:val="fr-FR"/>
        </w:rPr>
        <w:t>’</w:t>
      </w:r>
      <w:r w:rsidRPr="007E41FF">
        <w:rPr>
          <w:i/>
          <w:lang w:val="fr-FR"/>
        </w:rPr>
        <w:t xml:space="preserve">éducation civique </w:t>
      </w:r>
      <w:r w:rsidRPr="007E41FF">
        <w:rPr>
          <w:lang w:val="fr-FR"/>
        </w:rPr>
        <w:t>dans l</w:t>
      </w:r>
      <w:r w:rsidR="00DE1F39">
        <w:rPr>
          <w:lang w:val="fr-FR"/>
        </w:rPr>
        <w:t>’</w:t>
      </w:r>
      <w:r w:rsidRPr="007E41FF">
        <w:rPr>
          <w:lang w:val="fr-FR"/>
        </w:rPr>
        <w:t>enseignement et l</w:t>
      </w:r>
      <w:r w:rsidR="00DE1F39">
        <w:rPr>
          <w:lang w:val="fr-FR"/>
        </w:rPr>
        <w:t>’</w:t>
      </w:r>
      <w:r w:rsidRPr="007E41FF">
        <w:rPr>
          <w:lang w:val="fr-FR"/>
        </w:rPr>
        <w:t>éducation primaires et secondaires comprend des unités thématiques qui font référence à l</w:t>
      </w:r>
      <w:r w:rsidR="00DE1F39">
        <w:rPr>
          <w:lang w:val="fr-FR"/>
        </w:rPr>
        <w:t>’</w:t>
      </w:r>
      <w:r w:rsidRPr="007E41FF">
        <w:rPr>
          <w:lang w:val="fr-FR"/>
        </w:rPr>
        <w:t>égalité des sexes et à toutes les autres égalités, dans le but d</w:t>
      </w:r>
      <w:r w:rsidR="00DE1F39">
        <w:rPr>
          <w:lang w:val="fr-FR"/>
        </w:rPr>
        <w:t>’</w:t>
      </w:r>
      <w:r w:rsidRPr="007E41FF">
        <w:rPr>
          <w:lang w:val="fr-FR"/>
        </w:rPr>
        <w:t>apprendre aux élèves à identifier les différentes formes de violation des droits, à comprendre leurs causes et à savoir comment réagir. L</w:t>
      </w:r>
      <w:r w:rsidR="00DE1F39">
        <w:rPr>
          <w:lang w:val="fr-FR"/>
        </w:rPr>
        <w:t>’</w:t>
      </w:r>
      <w:r w:rsidRPr="007E41FF">
        <w:rPr>
          <w:lang w:val="fr-FR"/>
        </w:rPr>
        <w:t xml:space="preserve">égalité entre les sexes et les droits des femmes font partie de ces thématiques. </w:t>
      </w:r>
    </w:p>
    <w:p w14:paraId="55E47E01" w14:textId="4F433D1C" w:rsidR="007E41FF" w:rsidRPr="007E41FF" w:rsidRDefault="007E41FF" w:rsidP="00172AC5">
      <w:pPr>
        <w:pStyle w:val="SingleTxt"/>
        <w:numPr>
          <w:ilvl w:val="0"/>
          <w:numId w:val="20"/>
        </w:numPr>
        <w:tabs>
          <w:tab w:val="left" w:pos="1742"/>
        </w:tabs>
        <w:rPr>
          <w:lang w:val="fr-FR"/>
        </w:rPr>
      </w:pPr>
      <w:r w:rsidRPr="007E41FF">
        <w:rPr>
          <w:lang w:val="fr-FR"/>
        </w:rPr>
        <w:t xml:space="preserve">Dans le </w:t>
      </w:r>
      <w:r w:rsidRPr="007E41FF">
        <w:rPr>
          <w:i/>
          <w:lang w:val="fr-FR"/>
        </w:rPr>
        <w:t>programme d</w:t>
      </w:r>
      <w:r w:rsidR="00DE1F39">
        <w:rPr>
          <w:i/>
          <w:lang w:val="fr-FR"/>
        </w:rPr>
        <w:t>’</w:t>
      </w:r>
      <w:r w:rsidRPr="007E41FF">
        <w:rPr>
          <w:i/>
          <w:lang w:val="fr-FR"/>
        </w:rPr>
        <w:t>enseignement et d</w:t>
      </w:r>
      <w:r w:rsidR="00DE1F39">
        <w:rPr>
          <w:i/>
          <w:lang w:val="fr-FR"/>
        </w:rPr>
        <w:t>’</w:t>
      </w:r>
      <w:r w:rsidRPr="007E41FF">
        <w:rPr>
          <w:i/>
          <w:lang w:val="fr-FR"/>
        </w:rPr>
        <w:t xml:space="preserve">apprentissage </w:t>
      </w:r>
      <w:r w:rsidRPr="007E41FF">
        <w:rPr>
          <w:lang w:val="fr-FR"/>
        </w:rPr>
        <w:t>pour la cinquième année de primaire, les objectifs et les notations des matières prennent en compte la culture de tolérance, l</w:t>
      </w:r>
      <w:r w:rsidR="00DE1F39">
        <w:rPr>
          <w:lang w:val="fr-FR"/>
        </w:rPr>
        <w:t>’</w:t>
      </w:r>
      <w:r w:rsidRPr="007E41FF">
        <w:rPr>
          <w:lang w:val="fr-FR"/>
        </w:rPr>
        <w:t xml:space="preserve">égalité des sexes et toutes les autres égalités, les droits et les devoirs civiques, le respect de la culture serbe et des autres cultures, le développement de </w:t>
      </w:r>
      <w:r w:rsidRPr="007E41FF">
        <w:rPr>
          <w:lang w:val="fr-FR"/>
        </w:rPr>
        <w:lastRenderedPageBreak/>
        <w:t>l</w:t>
      </w:r>
      <w:r w:rsidR="00DE1F39">
        <w:rPr>
          <w:lang w:val="fr-FR"/>
        </w:rPr>
        <w:t>’</w:t>
      </w:r>
      <w:r w:rsidRPr="007E41FF">
        <w:rPr>
          <w:lang w:val="fr-FR"/>
        </w:rPr>
        <w:t>interculturalisme comme étant une valeur fondamentale d</w:t>
      </w:r>
      <w:r w:rsidR="00DE1F39">
        <w:rPr>
          <w:lang w:val="fr-FR"/>
        </w:rPr>
        <w:t>’</w:t>
      </w:r>
      <w:r w:rsidRPr="007E41FF">
        <w:rPr>
          <w:lang w:val="fr-FR"/>
        </w:rPr>
        <w:t>une société démocratique, l</w:t>
      </w:r>
      <w:r w:rsidR="00DE1F39">
        <w:rPr>
          <w:lang w:val="fr-FR"/>
        </w:rPr>
        <w:t>’</w:t>
      </w:r>
      <w:r w:rsidRPr="007E41FF">
        <w:rPr>
          <w:lang w:val="fr-FR"/>
        </w:rPr>
        <w:t>attitude positive à l</w:t>
      </w:r>
      <w:r w:rsidR="00DE1F39">
        <w:rPr>
          <w:lang w:val="fr-FR"/>
        </w:rPr>
        <w:t>’</w:t>
      </w:r>
      <w:r w:rsidRPr="007E41FF">
        <w:rPr>
          <w:lang w:val="fr-FR"/>
        </w:rPr>
        <w:t>égard des autres langues et cultures, ainsi qu</w:t>
      </w:r>
      <w:r w:rsidR="00DE1F39">
        <w:rPr>
          <w:lang w:val="fr-FR"/>
        </w:rPr>
        <w:t>’</w:t>
      </w:r>
      <w:r w:rsidRPr="007E41FF">
        <w:rPr>
          <w:lang w:val="fr-FR"/>
        </w:rPr>
        <w:t>à l</w:t>
      </w:r>
      <w:r w:rsidR="00DE1F39">
        <w:rPr>
          <w:lang w:val="fr-FR"/>
        </w:rPr>
        <w:t>’</w:t>
      </w:r>
      <w:r w:rsidRPr="007E41FF">
        <w:rPr>
          <w:lang w:val="fr-FR"/>
        </w:rPr>
        <w:t xml:space="preserve">égard de son propre héritage linguistique et culturel. </w:t>
      </w:r>
    </w:p>
    <w:p w14:paraId="39C2C035" w14:textId="10AD1347" w:rsidR="007E41FF" w:rsidRPr="007E41FF" w:rsidRDefault="007E41FF" w:rsidP="00172AC5">
      <w:pPr>
        <w:pStyle w:val="SingleTxt"/>
        <w:numPr>
          <w:ilvl w:val="0"/>
          <w:numId w:val="20"/>
        </w:numPr>
        <w:tabs>
          <w:tab w:val="left" w:pos="1742"/>
        </w:tabs>
        <w:rPr>
          <w:lang w:val="fr-FR"/>
        </w:rPr>
      </w:pPr>
      <w:r w:rsidRPr="007E41FF">
        <w:rPr>
          <w:lang w:val="fr-FR"/>
        </w:rPr>
        <w:t>Le projet « </w:t>
      </w:r>
      <w:r w:rsidRPr="007E41FF">
        <w:rPr>
          <w:i/>
          <w:lang w:val="fr-FR"/>
        </w:rPr>
        <w:t>Encourager la culture démocratique dans les écoles</w:t>
      </w:r>
      <w:r w:rsidRPr="007E41FF">
        <w:rPr>
          <w:lang w:val="fr-FR"/>
        </w:rPr>
        <w:t xml:space="preserve"> » organise des activités pendant deux ans </w:t>
      </w:r>
      <w:r>
        <w:rPr>
          <w:lang w:val="fr-FR"/>
        </w:rPr>
        <w:t>au sein de l</w:t>
      </w:r>
      <w:r w:rsidR="00DE1F39">
        <w:rPr>
          <w:lang w:val="fr-FR"/>
        </w:rPr>
        <w:t>’</w:t>
      </w:r>
      <w:r>
        <w:rPr>
          <w:lang w:val="fr-FR"/>
        </w:rPr>
        <w:t>Union européenne – </w:t>
      </w:r>
      <w:r w:rsidRPr="007E41FF">
        <w:rPr>
          <w:lang w:val="fr-FR"/>
        </w:rPr>
        <w:t>Programme « Facilité horizontale pour les Balkans occidentaux et la Turquie » du Conseil de l</w:t>
      </w:r>
      <w:r w:rsidR="00DE1F39">
        <w:rPr>
          <w:lang w:val="fr-FR"/>
        </w:rPr>
        <w:t>’</w:t>
      </w:r>
      <w:r w:rsidRPr="007E41FF">
        <w:rPr>
          <w:lang w:val="fr-FR"/>
        </w:rPr>
        <w:t>Europe. L</w:t>
      </w:r>
      <w:r w:rsidR="00DE1F39">
        <w:rPr>
          <w:lang w:val="fr-FR"/>
        </w:rPr>
        <w:t>’</w:t>
      </w:r>
      <w:r w:rsidRPr="007E41FF">
        <w:rPr>
          <w:lang w:val="fr-FR"/>
        </w:rPr>
        <w:t>objectif général de ce projet est d</w:t>
      </w:r>
      <w:r w:rsidR="00DE1F39">
        <w:rPr>
          <w:lang w:val="fr-FR"/>
        </w:rPr>
        <w:t>’</w:t>
      </w:r>
      <w:r w:rsidRPr="007E41FF">
        <w:rPr>
          <w:lang w:val="fr-FR"/>
        </w:rPr>
        <w:t>améliorer la qualité de l</w:t>
      </w:r>
      <w:r w:rsidR="00DE1F39">
        <w:rPr>
          <w:lang w:val="fr-FR"/>
        </w:rPr>
        <w:t>’</w:t>
      </w:r>
      <w:r w:rsidRPr="007E41FF">
        <w:rPr>
          <w:lang w:val="fr-FR"/>
        </w:rPr>
        <w:t>éducation en encourageant la culture démocratique dans le système d</w:t>
      </w:r>
      <w:r w:rsidR="00DE1F39">
        <w:rPr>
          <w:lang w:val="fr-FR"/>
        </w:rPr>
        <w:t>’</w:t>
      </w:r>
      <w:r w:rsidRPr="007E41FF">
        <w:rPr>
          <w:lang w:val="fr-FR"/>
        </w:rPr>
        <w:t>enseignement formel, grâce à l</w:t>
      </w:r>
      <w:r w:rsidR="00DE1F39">
        <w:rPr>
          <w:lang w:val="fr-FR"/>
        </w:rPr>
        <w:t>’</w:t>
      </w:r>
      <w:r w:rsidRPr="007E41FF">
        <w:rPr>
          <w:lang w:val="fr-FR"/>
        </w:rPr>
        <w:t>application de mesures de lutte contre la discrimination fondées sur les normes et les pratiques du Conseil de l</w:t>
      </w:r>
      <w:r w:rsidR="00DE1F39">
        <w:rPr>
          <w:lang w:val="fr-FR"/>
        </w:rPr>
        <w:t>’</w:t>
      </w:r>
      <w:r w:rsidRPr="007E41FF">
        <w:rPr>
          <w:lang w:val="fr-FR"/>
        </w:rPr>
        <w:t>Europe. Les objectifs spécifiques du projet sont les suivants : améliorer les compétences des enseignants, des élèves et des citoyens sur le concept, la politique, la pratique et les avantages de l</w:t>
      </w:r>
      <w:r w:rsidR="00DE1F39">
        <w:rPr>
          <w:lang w:val="fr-FR"/>
        </w:rPr>
        <w:t>’</w:t>
      </w:r>
      <w:r w:rsidRPr="007E41FF">
        <w:rPr>
          <w:lang w:val="fr-FR"/>
        </w:rPr>
        <w:t>éducation inclusive et de la culture démocratique dans les écoles</w:t>
      </w:r>
      <w:r w:rsidR="00F04216">
        <w:rPr>
          <w:lang w:val="fr-FR"/>
        </w:rPr>
        <w:t> </w:t>
      </w:r>
      <w:r w:rsidRPr="007E41FF">
        <w:rPr>
          <w:lang w:val="fr-FR"/>
        </w:rPr>
        <w:t xml:space="preserve">; doter les écoles pilotes des moyens nécessaires et augmenter leurs ressources, et réduire le nombre de cas de violence dans les écoles. </w:t>
      </w:r>
    </w:p>
    <w:p w14:paraId="7F5494E8" w14:textId="088E15D7" w:rsidR="007E41FF" w:rsidRPr="007E41FF" w:rsidRDefault="007E41FF" w:rsidP="00172AC5">
      <w:pPr>
        <w:pStyle w:val="SingleTxt"/>
        <w:numPr>
          <w:ilvl w:val="0"/>
          <w:numId w:val="20"/>
        </w:numPr>
        <w:tabs>
          <w:tab w:val="left" w:pos="1742"/>
        </w:tabs>
        <w:rPr>
          <w:lang w:val="fr-FR"/>
        </w:rPr>
      </w:pPr>
      <w:r w:rsidRPr="007E41FF">
        <w:rPr>
          <w:lang w:val="fr-FR"/>
        </w:rPr>
        <w:t>En République de Serbie, il n</w:t>
      </w:r>
      <w:r w:rsidR="00DE1F39">
        <w:rPr>
          <w:lang w:val="fr-FR"/>
        </w:rPr>
        <w:t>’</w:t>
      </w:r>
      <w:r w:rsidRPr="007E41FF">
        <w:rPr>
          <w:lang w:val="fr-FR"/>
        </w:rPr>
        <w:t>existe pas d</w:t>
      </w:r>
      <w:r w:rsidR="00DE1F39">
        <w:rPr>
          <w:lang w:val="fr-FR"/>
        </w:rPr>
        <w:t>’</w:t>
      </w:r>
      <w:r w:rsidRPr="007E41FF">
        <w:rPr>
          <w:lang w:val="fr-FR"/>
        </w:rPr>
        <w:t>obstacles formels empêchant les hommes et les femmes de recevoir les mêmes formations pour toutes les professions, et pour faire avancer leurs carrières. La Stratégie nationale pour l</w:t>
      </w:r>
      <w:r w:rsidR="00DE1F39">
        <w:rPr>
          <w:lang w:val="fr-FR"/>
        </w:rPr>
        <w:t>’</w:t>
      </w:r>
      <w:r w:rsidRPr="007E41FF">
        <w:rPr>
          <w:lang w:val="fr-FR"/>
        </w:rPr>
        <w:t>emploi pour la période 2010-2020 comprend également des mesures destinées à encourager les femmes entrepreneurs, l</w:t>
      </w:r>
      <w:r w:rsidR="00DE1F39">
        <w:rPr>
          <w:lang w:val="fr-FR"/>
        </w:rPr>
        <w:t>’</w:t>
      </w:r>
      <w:r w:rsidRPr="007E41FF">
        <w:rPr>
          <w:lang w:val="fr-FR"/>
        </w:rPr>
        <w:t>emploi indépendant et l</w:t>
      </w:r>
      <w:r w:rsidR="00DE1F39">
        <w:rPr>
          <w:lang w:val="fr-FR"/>
        </w:rPr>
        <w:t>’</w:t>
      </w:r>
      <w:r w:rsidRPr="007E41FF">
        <w:rPr>
          <w:lang w:val="fr-FR"/>
        </w:rPr>
        <w:t xml:space="preserve">emploi des femmes, et la réduction des inégalités économiques. </w:t>
      </w:r>
    </w:p>
    <w:p w14:paraId="6AE17872" w14:textId="3DE0A18A" w:rsidR="007E41FF" w:rsidRDefault="007E41FF" w:rsidP="00172AC5">
      <w:pPr>
        <w:pStyle w:val="SingleTxt"/>
        <w:numPr>
          <w:ilvl w:val="0"/>
          <w:numId w:val="20"/>
        </w:numPr>
        <w:tabs>
          <w:tab w:val="left" w:pos="1742"/>
        </w:tabs>
        <w:rPr>
          <w:lang w:val="fr-FR"/>
        </w:rPr>
      </w:pPr>
      <w:r w:rsidRPr="007E41FF">
        <w:rPr>
          <w:lang w:val="fr-FR"/>
        </w:rPr>
        <w:t>À la Faculté de droit de Belgrade, la première conférence « </w:t>
      </w:r>
      <w:r w:rsidRPr="007E41FF">
        <w:rPr>
          <w:i/>
          <w:lang w:val="fr-FR"/>
        </w:rPr>
        <w:t>Égalité des sexes dans l</w:t>
      </w:r>
      <w:r w:rsidR="00DE1F39">
        <w:rPr>
          <w:i/>
          <w:lang w:val="fr-FR"/>
        </w:rPr>
        <w:t>’</w:t>
      </w:r>
      <w:r w:rsidRPr="007E41FF">
        <w:rPr>
          <w:i/>
          <w:lang w:val="fr-FR"/>
        </w:rPr>
        <w:t>enseignement supérieur : bonnes pratiques internationales et contexte local</w:t>
      </w:r>
      <w:r w:rsidRPr="007E41FF">
        <w:rPr>
          <w:lang w:val="fr-FR"/>
        </w:rPr>
        <w:t> » a été organisée avec l</w:t>
      </w:r>
      <w:r w:rsidR="00DE1F39">
        <w:rPr>
          <w:lang w:val="fr-FR"/>
        </w:rPr>
        <w:t>’</w:t>
      </w:r>
      <w:r w:rsidRPr="007E41FF">
        <w:rPr>
          <w:lang w:val="fr-FR"/>
        </w:rPr>
        <w:t>appui de la Mission de l</w:t>
      </w:r>
      <w:r w:rsidR="00DE1F39">
        <w:rPr>
          <w:lang w:val="fr-FR"/>
        </w:rPr>
        <w:t>’</w:t>
      </w:r>
      <w:r w:rsidRPr="007E41FF">
        <w:rPr>
          <w:lang w:val="fr-FR"/>
        </w:rPr>
        <w:t>OSCE et la collaboration de l</w:t>
      </w:r>
      <w:r w:rsidR="00DE1F39">
        <w:rPr>
          <w:lang w:val="fr-FR"/>
        </w:rPr>
        <w:t>’</w:t>
      </w:r>
      <w:r w:rsidRPr="007E41FF">
        <w:rPr>
          <w:lang w:val="fr-FR"/>
        </w:rPr>
        <w:t>Organisme de coordination pour l</w:t>
      </w:r>
      <w:r w:rsidR="00DE1F39">
        <w:rPr>
          <w:lang w:val="fr-FR"/>
        </w:rPr>
        <w:t>’</w:t>
      </w:r>
      <w:r w:rsidRPr="007E41FF">
        <w:rPr>
          <w:lang w:val="fr-FR"/>
        </w:rPr>
        <w:t>égalité des sexes</w:t>
      </w:r>
      <w:r w:rsidRPr="007E41FF">
        <w:rPr>
          <w:i/>
          <w:lang w:val="fr-FR"/>
        </w:rPr>
        <w:t xml:space="preserve">. </w:t>
      </w:r>
      <w:r w:rsidRPr="007E41FF">
        <w:rPr>
          <w:lang w:val="fr-FR"/>
        </w:rPr>
        <w:t>L</w:t>
      </w:r>
      <w:r w:rsidR="00DE1F39">
        <w:rPr>
          <w:lang w:val="fr-FR"/>
        </w:rPr>
        <w:t>’</w:t>
      </w:r>
      <w:r w:rsidRPr="007E41FF">
        <w:rPr>
          <w:lang w:val="fr-FR"/>
        </w:rPr>
        <w:t>organisme de coordination a apporté son appui et a participé activement à l</w:t>
      </w:r>
      <w:r w:rsidR="00DE1F39">
        <w:rPr>
          <w:lang w:val="fr-FR"/>
        </w:rPr>
        <w:t>’</w:t>
      </w:r>
      <w:r w:rsidRPr="007E41FF">
        <w:rPr>
          <w:lang w:val="fr-FR"/>
        </w:rPr>
        <w:t>étude « </w:t>
      </w:r>
      <w:r w:rsidRPr="007E41FF">
        <w:rPr>
          <w:i/>
          <w:lang w:val="fr-FR"/>
        </w:rPr>
        <w:t>Universités de Serbie : les femmes et le pouvoir d</w:t>
      </w:r>
      <w:r w:rsidR="00DE1F39">
        <w:rPr>
          <w:i/>
          <w:lang w:val="fr-FR"/>
        </w:rPr>
        <w:t>’</w:t>
      </w:r>
      <w:r w:rsidRPr="007E41FF">
        <w:rPr>
          <w:i/>
          <w:lang w:val="fr-FR"/>
        </w:rPr>
        <w:t>action</w:t>
      </w:r>
      <w:r w:rsidRPr="007E41FF">
        <w:rPr>
          <w:lang w:val="fr-FR"/>
        </w:rPr>
        <w:t> » menée en 2018 dans cinq universités d</w:t>
      </w:r>
      <w:r w:rsidR="00DE1F39">
        <w:rPr>
          <w:lang w:val="fr-FR"/>
        </w:rPr>
        <w:t>’</w:t>
      </w:r>
      <w:r w:rsidRPr="007E41FF">
        <w:rPr>
          <w:lang w:val="fr-FR"/>
        </w:rPr>
        <w:t>État.</w:t>
      </w:r>
      <w:r w:rsidRPr="00DE1F39">
        <w:rPr>
          <w:vertAlign w:val="superscript"/>
          <w:lang w:val="fr-FR"/>
        </w:rPr>
        <w:footnoteReference w:id="4"/>
      </w:r>
      <w:r w:rsidRPr="007E41FF">
        <w:rPr>
          <w:lang w:val="fr-FR"/>
        </w:rPr>
        <w:t xml:space="preserve"> Ses conclusions ont été présentées par le Bureau du recteur de Belgrade, et elles devraient promouvoir le principe de l</w:t>
      </w:r>
      <w:r w:rsidR="00DE1F39">
        <w:rPr>
          <w:lang w:val="fr-FR"/>
        </w:rPr>
        <w:t>’</w:t>
      </w:r>
      <w:r w:rsidRPr="007E41FF">
        <w:rPr>
          <w:lang w:val="fr-FR"/>
        </w:rPr>
        <w:t>égalité des sexes et l</w:t>
      </w:r>
      <w:r w:rsidR="00DE1F39">
        <w:rPr>
          <w:lang w:val="fr-FR"/>
        </w:rPr>
        <w:t>’</w:t>
      </w:r>
      <w:r w:rsidRPr="007E41FF">
        <w:rPr>
          <w:lang w:val="fr-FR"/>
        </w:rPr>
        <w:t>amélioration de la situation des femmes dans le secteur des sciences et de l</w:t>
      </w:r>
      <w:r w:rsidR="00DE1F39">
        <w:rPr>
          <w:lang w:val="fr-FR"/>
        </w:rPr>
        <w:t>’</w:t>
      </w:r>
      <w:r w:rsidRPr="007E41FF">
        <w:rPr>
          <w:lang w:val="fr-FR"/>
        </w:rPr>
        <w:t>enseignement supérieur, en particulier les femmes recrutées dans le domaine des sciences naturelles et des science</w:t>
      </w:r>
      <w:r>
        <w:rPr>
          <w:lang w:val="fr-FR"/>
        </w:rPr>
        <w:t>s techniques et technologiques.</w:t>
      </w:r>
    </w:p>
    <w:p w14:paraId="0BF137A7" w14:textId="3FF0B78B" w:rsidR="007E41FF" w:rsidRPr="007E41FF" w:rsidRDefault="007E41FF" w:rsidP="007E41FF">
      <w:pPr>
        <w:pStyle w:val="SingleTxt"/>
        <w:spacing w:after="0" w:line="120" w:lineRule="exact"/>
        <w:rPr>
          <w:sz w:val="10"/>
          <w:lang w:val="fr-FR"/>
        </w:rPr>
      </w:pPr>
    </w:p>
    <w:p w14:paraId="66D6AA78" w14:textId="7B85F78C" w:rsidR="007E41FF" w:rsidRDefault="007E41FF" w:rsidP="007E41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E41FF">
        <w:rPr>
          <w:lang w:val="fr-FR"/>
        </w:rPr>
        <w:tab/>
      </w:r>
      <w:r w:rsidRPr="007E41FF">
        <w:rPr>
          <w:lang w:val="fr-FR"/>
        </w:rPr>
        <w:tab/>
        <w:t>Violence à l</w:t>
      </w:r>
      <w:r w:rsidR="00DE1F39">
        <w:rPr>
          <w:lang w:val="fr-FR"/>
        </w:rPr>
        <w:t>’</w:t>
      </w:r>
      <w:r w:rsidRPr="007E41FF">
        <w:rPr>
          <w:lang w:val="fr-FR"/>
        </w:rPr>
        <w:t>égard des femmes</w:t>
      </w:r>
    </w:p>
    <w:p w14:paraId="166EB3D0" w14:textId="2FF500B7" w:rsidR="007E41FF" w:rsidRPr="007E41FF" w:rsidRDefault="007E41FF" w:rsidP="007E41FF">
      <w:pPr>
        <w:pStyle w:val="SingleTxt"/>
        <w:spacing w:after="0" w:line="120" w:lineRule="exact"/>
        <w:rPr>
          <w:sz w:val="10"/>
          <w:lang w:val="fr-FR"/>
        </w:rPr>
      </w:pPr>
    </w:p>
    <w:p w14:paraId="54569D93" w14:textId="2F304A2E" w:rsidR="007E41FF" w:rsidRPr="007E41FF" w:rsidRDefault="007E41FF" w:rsidP="00172AC5">
      <w:pPr>
        <w:pStyle w:val="SingleTxt"/>
        <w:numPr>
          <w:ilvl w:val="0"/>
          <w:numId w:val="21"/>
        </w:numPr>
        <w:tabs>
          <w:tab w:val="left" w:pos="1742"/>
        </w:tabs>
        <w:spacing w:line="240" w:lineRule="exact"/>
        <w:rPr>
          <w:lang w:val="fr-FR"/>
        </w:rPr>
      </w:pPr>
      <w:r w:rsidRPr="007E41FF">
        <w:rPr>
          <w:lang w:val="fr-FR"/>
        </w:rPr>
        <w:t>Le Conseil pour l</w:t>
      </w:r>
      <w:r w:rsidR="00DE1F39">
        <w:rPr>
          <w:lang w:val="fr-FR"/>
        </w:rPr>
        <w:t>’</w:t>
      </w:r>
      <w:r w:rsidRPr="007E41FF">
        <w:rPr>
          <w:lang w:val="fr-FR"/>
        </w:rPr>
        <w:t>élimination de la violence domestique</w:t>
      </w:r>
      <w:r>
        <w:rPr>
          <w:lang w:val="fr-FR"/>
        </w:rPr>
        <w:t xml:space="preserve"> a été créé le 13 juillet 2017.</w:t>
      </w:r>
    </w:p>
    <w:p w14:paraId="19E80465" w14:textId="1FB3B1A4" w:rsidR="007E41FF" w:rsidRPr="007E41FF" w:rsidRDefault="007E41FF" w:rsidP="00172AC5">
      <w:pPr>
        <w:pStyle w:val="SingleTxt"/>
        <w:numPr>
          <w:ilvl w:val="0"/>
          <w:numId w:val="21"/>
        </w:numPr>
        <w:tabs>
          <w:tab w:val="left" w:pos="1742"/>
        </w:tabs>
        <w:rPr>
          <w:lang w:val="fr-FR"/>
        </w:rPr>
      </w:pPr>
      <w:r w:rsidRPr="007E41FF">
        <w:rPr>
          <w:lang w:val="fr-FR"/>
        </w:rPr>
        <w:t>Le ministère de la Justice, en collaboration avec le Centre des femmes autonomes et le Centre de défense des droits des enfants, appuyé par le PNUD et l</w:t>
      </w:r>
      <w:r w:rsidR="00DE1F39">
        <w:rPr>
          <w:lang w:val="fr-FR"/>
        </w:rPr>
        <w:t>’</w:t>
      </w:r>
      <w:r w:rsidRPr="007E41FF">
        <w:rPr>
          <w:lang w:val="fr-FR"/>
        </w:rPr>
        <w:t xml:space="preserve">UNICEF, a élaboré et mis en </w:t>
      </w:r>
      <w:r w:rsidR="0015207D" w:rsidRPr="007E41FF">
        <w:rPr>
          <w:lang w:val="fr-FR"/>
        </w:rPr>
        <w:t>œuvre</w:t>
      </w:r>
      <w:r w:rsidRPr="007E41FF">
        <w:rPr>
          <w:lang w:val="fr-FR"/>
        </w:rPr>
        <w:t xml:space="preserve"> de nombreux programmes destinés aux professionnels afin de prévenir toutes les difficultés possibles dans l</w:t>
      </w:r>
      <w:r w:rsidR="00DE1F39">
        <w:rPr>
          <w:lang w:val="fr-FR"/>
        </w:rPr>
        <w:t>’</w:t>
      </w:r>
      <w:r w:rsidRPr="007E41FF">
        <w:rPr>
          <w:lang w:val="fr-FR"/>
        </w:rPr>
        <w:t xml:space="preserve">application de la loi sur la prévention de la violence domestique. De février à mai 2017, un programme pilote a été élaboré et mis en </w:t>
      </w:r>
      <w:r w:rsidR="0015207D" w:rsidRPr="007E41FF">
        <w:rPr>
          <w:lang w:val="fr-FR"/>
        </w:rPr>
        <w:t>œuvre</w:t>
      </w:r>
      <w:r w:rsidRPr="007E41FF">
        <w:rPr>
          <w:lang w:val="fr-FR"/>
        </w:rPr>
        <w:t xml:space="preserve"> dans les parquets de Kruševac, Čačak et Užice, à savoir les parquets de première, de deuxième et de troisième instances de Belgrade. Entre autres, </w:t>
      </w:r>
      <w:r w:rsidRPr="007E41FF">
        <w:rPr>
          <w:i/>
          <w:lang w:val="fr-FR"/>
        </w:rPr>
        <w:t>une liste unique de risques a été établie</w:t>
      </w:r>
      <w:r w:rsidRPr="007E41FF">
        <w:rPr>
          <w:lang w:val="fr-FR"/>
        </w:rPr>
        <w:t xml:space="preserve"> dans ce programme et envoyée à tous les parquets du pays. Le ministère de l</w:t>
      </w:r>
      <w:r w:rsidR="00DE1F39">
        <w:rPr>
          <w:lang w:val="fr-FR"/>
        </w:rPr>
        <w:t>’</w:t>
      </w:r>
      <w:r w:rsidRPr="007E41FF">
        <w:rPr>
          <w:lang w:val="fr-FR"/>
        </w:rPr>
        <w:t xml:space="preserve">Intérieur a établi la </w:t>
      </w:r>
      <w:r w:rsidRPr="007E41FF">
        <w:rPr>
          <w:i/>
          <w:lang w:val="fr-FR"/>
        </w:rPr>
        <w:t>liste unique étendue des risques</w:t>
      </w:r>
      <w:r w:rsidRPr="007E41FF">
        <w:rPr>
          <w:lang w:val="fr-FR"/>
        </w:rPr>
        <w:t xml:space="preserve"> à l</w:t>
      </w:r>
      <w:r w:rsidR="00DE1F39">
        <w:rPr>
          <w:lang w:val="fr-FR"/>
        </w:rPr>
        <w:t>’</w:t>
      </w:r>
      <w:r w:rsidRPr="007E41FF">
        <w:rPr>
          <w:lang w:val="fr-FR"/>
        </w:rPr>
        <w:t xml:space="preserve">intention des agents de police. Entre décembre 2017 et mars 2018, ce programme a été mis en </w:t>
      </w:r>
      <w:r w:rsidR="0015207D" w:rsidRPr="007E41FF">
        <w:rPr>
          <w:lang w:val="fr-FR"/>
        </w:rPr>
        <w:t>œuvre</w:t>
      </w:r>
      <w:r w:rsidRPr="007E41FF">
        <w:rPr>
          <w:lang w:val="fr-FR"/>
        </w:rPr>
        <w:t xml:space="preserve"> dans les parquets de première instance de Niš, Kragujevac et Sombor, et se poursuivra entre octobre et décembre 2018 dans celui de </w:t>
      </w:r>
      <w:r w:rsidRPr="007E41FF">
        <w:rPr>
          <w:lang w:val="fr-FR"/>
        </w:rPr>
        <w:lastRenderedPageBreak/>
        <w:t xml:space="preserve">Prijepolje, dans le département de Priboj, ainsi que dans ceux de Leskovac, Negotin et Bor. </w:t>
      </w:r>
    </w:p>
    <w:p w14:paraId="74FD510F" w14:textId="6E405FB9" w:rsidR="007E41FF" w:rsidRPr="007E41FF" w:rsidRDefault="007E41FF" w:rsidP="00172AC5">
      <w:pPr>
        <w:pStyle w:val="SingleTxt"/>
        <w:numPr>
          <w:ilvl w:val="0"/>
          <w:numId w:val="21"/>
        </w:numPr>
        <w:tabs>
          <w:tab w:val="left" w:pos="1742"/>
        </w:tabs>
        <w:rPr>
          <w:lang w:val="fr-FR"/>
        </w:rPr>
      </w:pPr>
      <w:r w:rsidRPr="007E41FF">
        <w:rPr>
          <w:lang w:val="fr-FR"/>
        </w:rPr>
        <w:t>En mai 2017, avec les fonds collectés grâce à l</w:t>
      </w:r>
      <w:r w:rsidR="00DE1F39">
        <w:rPr>
          <w:lang w:val="fr-FR"/>
        </w:rPr>
        <w:t>’</w:t>
      </w:r>
      <w:r w:rsidRPr="007E41FF">
        <w:rPr>
          <w:lang w:val="fr-FR"/>
        </w:rPr>
        <w:t>application du principe de l</w:t>
      </w:r>
      <w:r w:rsidR="00DE1F39">
        <w:rPr>
          <w:lang w:val="fr-FR"/>
        </w:rPr>
        <w:t>’</w:t>
      </w:r>
      <w:r w:rsidRPr="007E41FF">
        <w:rPr>
          <w:lang w:val="fr-FR"/>
        </w:rPr>
        <w:t>égalité des chances, le ministère de la Justice a appuyé le projet « Aide juridictionnelle gratuite pour les femmes victimes de violence domestique ou au sein du couple » du Centre des femmes autonomes en le finançant à hauteur de 1 094 400 dinars serbes (8 823,07 euros).</w:t>
      </w:r>
    </w:p>
    <w:p w14:paraId="351B9965" w14:textId="0FD09DDD" w:rsidR="007E41FF" w:rsidRPr="007E41FF" w:rsidRDefault="007E41FF" w:rsidP="00172AC5">
      <w:pPr>
        <w:pStyle w:val="SingleTxt"/>
        <w:numPr>
          <w:ilvl w:val="0"/>
          <w:numId w:val="21"/>
        </w:numPr>
        <w:tabs>
          <w:tab w:val="left" w:pos="1742"/>
        </w:tabs>
        <w:rPr>
          <w:lang w:val="fr-FR"/>
        </w:rPr>
      </w:pPr>
      <w:r w:rsidRPr="007E41FF">
        <w:rPr>
          <w:lang w:val="fr-FR"/>
        </w:rPr>
        <w:t>En un an d</w:t>
      </w:r>
      <w:r w:rsidR="00DE1F39">
        <w:rPr>
          <w:lang w:val="fr-FR"/>
        </w:rPr>
        <w:t>’</w:t>
      </w:r>
      <w:r w:rsidRPr="007E41FF">
        <w:rPr>
          <w:lang w:val="fr-FR"/>
        </w:rPr>
        <w:t>application de la loi par les tribunaux, 15 617 mesures d</w:t>
      </w:r>
      <w:r w:rsidR="00DE1F39">
        <w:rPr>
          <w:lang w:val="fr-FR"/>
        </w:rPr>
        <w:t>’</w:t>
      </w:r>
      <w:r w:rsidRPr="007E41FF">
        <w:rPr>
          <w:lang w:val="fr-FR"/>
        </w:rPr>
        <w:t xml:space="preserve">urgence ont été ordonnées. </w:t>
      </w:r>
    </w:p>
    <w:p w14:paraId="7ED895B9" w14:textId="050649AF" w:rsidR="007E41FF" w:rsidRPr="007E41FF" w:rsidRDefault="007E41FF" w:rsidP="00172AC5">
      <w:pPr>
        <w:pStyle w:val="SingleTxt"/>
        <w:numPr>
          <w:ilvl w:val="0"/>
          <w:numId w:val="21"/>
        </w:numPr>
        <w:tabs>
          <w:tab w:val="left" w:pos="1742"/>
        </w:tabs>
        <w:rPr>
          <w:lang w:val="fr-FR"/>
        </w:rPr>
      </w:pPr>
      <w:r w:rsidRPr="007E41FF">
        <w:rPr>
          <w:lang w:val="fr-FR"/>
        </w:rPr>
        <w:t>Le ministère de l</w:t>
      </w:r>
      <w:r w:rsidR="00DE1F39">
        <w:rPr>
          <w:lang w:val="fr-FR"/>
        </w:rPr>
        <w:t>’</w:t>
      </w:r>
      <w:r w:rsidRPr="007E41FF">
        <w:rPr>
          <w:lang w:val="fr-FR"/>
        </w:rPr>
        <w:t>Intérieur a lancé d</w:t>
      </w:r>
      <w:r w:rsidR="00DE1F39">
        <w:rPr>
          <w:lang w:val="fr-FR"/>
        </w:rPr>
        <w:t>’</w:t>
      </w:r>
      <w:r w:rsidRPr="007E41FF">
        <w:rPr>
          <w:lang w:val="fr-FR"/>
        </w:rPr>
        <w:t>office la procédure de saisie des armes chaque fois que des poursuites pénales ont été engagées pour violence domestique. En 2016, 97 armes ont été saisies chez des personnes physiques poursuivies au pénal pour violence dom</w:t>
      </w:r>
      <w:r>
        <w:rPr>
          <w:lang w:val="fr-FR"/>
        </w:rPr>
        <w:t xml:space="preserve">estique, et en 2017, </w:t>
      </w:r>
      <w:r w:rsidRPr="007E41FF">
        <w:rPr>
          <w:lang w:val="fr-FR"/>
        </w:rPr>
        <w:t>159 armes ont été saisies pour les mêmes raisons. La nouvelle stratégie de contrôle des armes à feu et légères pour la période 2019-2024 est en cours d</w:t>
      </w:r>
      <w:r w:rsidR="00DE1F39">
        <w:rPr>
          <w:lang w:val="fr-FR"/>
        </w:rPr>
        <w:t>’</w:t>
      </w:r>
      <w:r w:rsidRPr="007E41FF">
        <w:rPr>
          <w:lang w:val="fr-FR"/>
        </w:rPr>
        <w:t>élaboration, en même temps que le plan d</w:t>
      </w:r>
      <w:r w:rsidR="00DE1F39">
        <w:rPr>
          <w:lang w:val="fr-FR"/>
        </w:rPr>
        <w:t>’</w:t>
      </w:r>
      <w:r w:rsidRPr="007E41FF">
        <w:rPr>
          <w:lang w:val="fr-FR"/>
        </w:rPr>
        <w:t xml:space="preserve">action. </w:t>
      </w:r>
    </w:p>
    <w:p w14:paraId="55F4D8D6" w14:textId="76A77D69" w:rsidR="007E41FF" w:rsidRPr="007E41FF" w:rsidRDefault="007E41FF" w:rsidP="00172AC5">
      <w:pPr>
        <w:pStyle w:val="SingleTxt"/>
        <w:numPr>
          <w:ilvl w:val="0"/>
          <w:numId w:val="21"/>
        </w:numPr>
        <w:tabs>
          <w:tab w:val="left" w:pos="1742"/>
        </w:tabs>
        <w:rPr>
          <w:lang w:val="fr-FR"/>
        </w:rPr>
      </w:pPr>
      <w:r w:rsidRPr="007E41FF">
        <w:rPr>
          <w:lang w:val="fr-FR"/>
        </w:rPr>
        <w:t>Dans chaque parquet, un groupe de coordination et de collaboration a été créé et comprend un procureur, un agent du centre d</w:t>
      </w:r>
      <w:r w:rsidR="00DE1F39">
        <w:rPr>
          <w:lang w:val="fr-FR"/>
        </w:rPr>
        <w:t>’</w:t>
      </w:r>
      <w:r w:rsidRPr="007E41FF">
        <w:rPr>
          <w:lang w:val="fr-FR"/>
        </w:rPr>
        <w:t>action sociale et un agent de police qualifié. Ces groupes ont examiné 44 728 affaires de violence domestique et établi 10 503 plans individuels de protection et de soutien de victimes. Entre le 1er juin 2017 et le 31 juillet 2018, les parquets ont fait des propositions de mesures d</w:t>
      </w:r>
      <w:r w:rsidR="00DE1F39">
        <w:rPr>
          <w:lang w:val="fr-FR"/>
        </w:rPr>
        <w:t>’</w:t>
      </w:r>
      <w:r w:rsidRPr="007E41FF">
        <w:rPr>
          <w:lang w:val="fr-FR"/>
        </w:rPr>
        <w:t xml:space="preserve">urgence concernant 17 674 individus et les tribunaux en ont accepté 17 069. </w:t>
      </w:r>
    </w:p>
    <w:p w14:paraId="2D2F62AF" w14:textId="77777777" w:rsidR="007E41FF" w:rsidRPr="007E41FF" w:rsidRDefault="007E41FF" w:rsidP="00172AC5">
      <w:pPr>
        <w:pStyle w:val="SingleTxt"/>
        <w:numPr>
          <w:ilvl w:val="0"/>
          <w:numId w:val="21"/>
        </w:numPr>
        <w:tabs>
          <w:tab w:val="left" w:pos="1742"/>
        </w:tabs>
        <w:rPr>
          <w:lang w:val="fr-FR"/>
        </w:rPr>
      </w:pPr>
      <w:r w:rsidRPr="007E41FF">
        <w:rPr>
          <w:lang w:val="fr-FR"/>
        </w:rPr>
        <w:t xml:space="preserve">La loi garantit la même protection pour toutes les victimes, et les données statistiques collectées au niveau des parquets ne contiennent pas de données classées selon les catégories de groupes sociaux vulnérables. </w:t>
      </w:r>
    </w:p>
    <w:p w14:paraId="0DE99E5B" w14:textId="0ECEE1AB" w:rsidR="007E41FF" w:rsidRPr="007E41FF" w:rsidRDefault="007E41FF" w:rsidP="00172AC5">
      <w:pPr>
        <w:pStyle w:val="SingleTxt"/>
        <w:numPr>
          <w:ilvl w:val="0"/>
          <w:numId w:val="21"/>
        </w:numPr>
        <w:tabs>
          <w:tab w:val="left" w:pos="1742"/>
        </w:tabs>
        <w:rPr>
          <w:b/>
          <w:i/>
          <w:lang w:val="fr-FR"/>
        </w:rPr>
      </w:pPr>
      <w:r w:rsidRPr="007E41FF">
        <w:rPr>
          <w:i/>
          <w:lang w:val="fr-FR"/>
        </w:rPr>
        <w:t>La peine infligée pour rapport sexuel avec une personne souffrant d</w:t>
      </w:r>
      <w:r w:rsidR="00DE1F39">
        <w:rPr>
          <w:i/>
          <w:lang w:val="fr-FR"/>
        </w:rPr>
        <w:t>’</w:t>
      </w:r>
      <w:r w:rsidRPr="007E41FF">
        <w:rPr>
          <w:i/>
          <w:lang w:val="fr-FR"/>
        </w:rPr>
        <w:t>une certaine forme d</w:t>
      </w:r>
      <w:r w:rsidR="00DE1F39">
        <w:rPr>
          <w:i/>
          <w:lang w:val="fr-FR"/>
        </w:rPr>
        <w:t>’</w:t>
      </w:r>
      <w:r w:rsidRPr="007E41FF">
        <w:rPr>
          <w:i/>
          <w:lang w:val="fr-FR"/>
        </w:rPr>
        <w:t xml:space="preserve">incapacité est désormais la même que celle imposée pour viol </w:t>
      </w:r>
      <w:r w:rsidRPr="007E41FF">
        <w:rPr>
          <w:lang w:val="fr-FR"/>
        </w:rPr>
        <w:t xml:space="preserve">(paragraphe 94 du rapport). </w:t>
      </w:r>
    </w:p>
    <w:p w14:paraId="566CC72C" w14:textId="66E6D04A" w:rsidR="007E41FF" w:rsidRPr="007E41FF" w:rsidRDefault="007E41FF" w:rsidP="00172AC5">
      <w:pPr>
        <w:pStyle w:val="SingleTxt"/>
        <w:numPr>
          <w:ilvl w:val="0"/>
          <w:numId w:val="21"/>
        </w:numPr>
        <w:tabs>
          <w:tab w:val="left" w:pos="1742"/>
        </w:tabs>
        <w:rPr>
          <w:lang w:val="fr-FR"/>
        </w:rPr>
      </w:pPr>
      <w:r w:rsidRPr="007E41FF">
        <w:rPr>
          <w:lang w:val="fr-FR"/>
        </w:rPr>
        <w:t>Le ministère de la Construction, des infrastructures et des transports a financé la reconstruction de 10 refuges à hauteur de 10 000 000 dinars serbes et, en collaboration avec l</w:t>
      </w:r>
      <w:r w:rsidR="00DE1F39">
        <w:rPr>
          <w:lang w:val="fr-FR"/>
        </w:rPr>
        <w:t>’</w:t>
      </w:r>
      <w:r>
        <w:rPr>
          <w:lang w:val="fr-FR"/>
        </w:rPr>
        <w:t>organisation « Hors du cercle – </w:t>
      </w:r>
      <w:r w:rsidRPr="007E41FF">
        <w:rPr>
          <w:lang w:val="fr-FR"/>
        </w:rPr>
        <w:t>Voïvodine », il a appuyé le projet d</w:t>
      </w:r>
      <w:r w:rsidR="00DE1F39">
        <w:rPr>
          <w:lang w:val="fr-FR"/>
        </w:rPr>
        <w:t>’</w:t>
      </w:r>
      <w:r w:rsidRPr="007E41FF">
        <w:rPr>
          <w:lang w:val="fr-FR"/>
        </w:rPr>
        <w:t>accessibilité par les femmes handicapées du Refuge pour femmes à Novi Sad. L</w:t>
      </w:r>
      <w:r w:rsidR="00DE1F39">
        <w:rPr>
          <w:lang w:val="fr-FR"/>
        </w:rPr>
        <w:t>’</w:t>
      </w:r>
      <w:r w:rsidRPr="007E41FF">
        <w:rPr>
          <w:lang w:val="fr-FR"/>
        </w:rPr>
        <w:t>Organisme de coordination pour l</w:t>
      </w:r>
      <w:r w:rsidR="00DE1F39">
        <w:rPr>
          <w:lang w:val="fr-FR"/>
        </w:rPr>
        <w:t>’</w:t>
      </w:r>
      <w:r w:rsidRPr="007E41FF">
        <w:rPr>
          <w:lang w:val="fr-FR"/>
        </w:rPr>
        <w:t>égalité des sexes a également soutenu la création du Centre d</w:t>
      </w:r>
      <w:r w:rsidR="00DE1F39">
        <w:rPr>
          <w:lang w:val="fr-FR"/>
        </w:rPr>
        <w:t>’</w:t>
      </w:r>
      <w:r w:rsidRPr="007E41FF">
        <w:rPr>
          <w:lang w:val="fr-FR"/>
        </w:rPr>
        <w:t>autonomisation des femmes victimes de violence domestique à Sremska Mitrovica (deuxième du genre en Serbie après celui de Sombor). Avec l</w:t>
      </w:r>
      <w:r w:rsidR="00DE1F39">
        <w:rPr>
          <w:lang w:val="fr-FR"/>
        </w:rPr>
        <w:t>’</w:t>
      </w:r>
      <w:r w:rsidRPr="007E41FF">
        <w:rPr>
          <w:lang w:val="fr-FR"/>
        </w:rPr>
        <w:t>appui d</w:t>
      </w:r>
      <w:r w:rsidR="00DE1F39">
        <w:rPr>
          <w:lang w:val="fr-FR"/>
        </w:rPr>
        <w:t>’</w:t>
      </w:r>
      <w:r w:rsidRPr="007E41FF">
        <w:rPr>
          <w:lang w:val="fr-FR"/>
        </w:rPr>
        <w:t xml:space="preserve">ONU Femmes, 60 systèmes anti-panique ont été fournis à des centres de soins de santé et des services sociaux. </w:t>
      </w:r>
    </w:p>
    <w:p w14:paraId="2621D314" w14:textId="7EFA5436" w:rsidR="007E41FF" w:rsidRPr="007E41FF" w:rsidRDefault="007E41FF" w:rsidP="00172AC5">
      <w:pPr>
        <w:pStyle w:val="SingleTxt"/>
        <w:numPr>
          <w:ilvl w:val="0"/>
          <w:numId w:val="21"/>
        </w:numPr>
        <w:tabs>
          <w:tab w:val="left" w:pos="1742"/>
        </w:tabs>
        <w:rPr>
          <w:lang w:val="fr-FR"/>
        </w:rPr>
      </w:pPr>
      <w:r w:rsidRPr="007E41FF">
        <w:rPr>
          <w:lang w:val="fr-FR"/>
        </w:rPr>
        <w:t>L</w:t>
      </w:r>
      <w:r w:rsidR="00DE1F39">
        <w:rPr>
          <w:lang w:val="fr-FR"/>
        </w:rPr>
        <w:t>’</w:t>
      </w:r>
      <w:r w:rsidRPr="007E41FF">
        <w:rPr>
          <w:lang w:val="fr-FR"/>
        </w:rPr>
        <w:t>Organisme de coordination pour l</w:t>
      </w:r>
      <w:r w:rsidR="00DE1F39">
        <w:rPr>
          <w:lang w:val="fr-FR"/>
        </w:rPr>
        <w:t>’</w:t>
      </w:r>
      <w:r w:rsidRPr="007E41FF">
        <w:rPr>
          <w:lang w:val="fr-FR"/>
        </w:rPr>
        <w:t>égalité des sexes a commencé à collaborer avec le « Réseau des femmes contre la violence » et les organisations de femmes pour l</w:t>
      </w:r>
      <w:r w:rsidR="00DE1F39">
        <w:rPr>
          <w:lang w:val="fr-FR"/>
        </w:rPr>
        <w:t>’</w:t>
      </w:r>
      <w:r w:rsidRPr="007E41FF">
        <w:rPr>
          <w:lang w:val="fr-FR"/>
        </w:rPr>
        <w:t>élaboration du rapport indépendant sur l</w:t>
      </w:r>
      <w:r w:rsidR="00DE1F39">
        <w:rPr>
          <w:lang w:val="fr-FR"/>
        </w:rPr>
        <w:t>’</w:t>
      </w:r>
      <w:r w:rsidRPr="007E41FF">
        <w:rPr>
          <w:lang w:val="fr-FR"/>
        </w:rPr>
        <w:t>application de la loi sur la prévention de la violence domestique. Le Gouvernement a adopté la proposition de l</w:t>
      </w:r>
      <w:r w:rsidR="00DE1F39">
        <w:rPr>
          <w:lang w:val="fr-FR"/>
        </w:rPr>
        <w:t>’</w:t>
      </w:r>
      <w:r w:rsidRPr="007E41FF">
        <w:rPr>
          <w:lang w:val="fr-FR"/>
        </w:rPr>
        <w:t>Organisme de coordination pour l</w:t>
      </w:r>
      <w:r w:rsidR="00DE1F39">
        <w:rPr>
          <w:lang w:val="fr-FR"/>
        </w:rPr>
        <w:t>’</w:t>
      </w:r>
      <w:r w:rsidRPr="007E41FF">
        <w:rPr>
          <w:lang w:val="fr-FR"/>
        </w:rPr>
        <w:t xml:space="preserve">égalité des sexes de </w:t>
      </w:r>
      <w:r w:rsidRPr="007E41FF">
        <w:rPr>
          <w:i/>
          <w:lang w:val="fr-FR"/>
        </w:rPr>
        <w:t>choisir la date du 18 mai comme Journée du souvenir dédiée aux femmes victimes de violence domestique</w:t>
      </w:r>
      <w:r w:rsidRPr="007E41FF">
        <w:rPr>
          <w:lang w:val="fr-FR"/>
        </w:rPr>
        <w:t>. Cette proposition résultait d</w:t>
      </w:r>
      <w:r w:rsidR="00DE1F39">
        <w:rPr>
          <w:lang w:val="fr-FR"/>
        </w:rPr>
        <w:t>’</w:t>
      </w:r>
      <w:r w:rsidRPr="007E41FF">
        <w:rPr>
          <w:lang w:val="fr-FR"/>
        </w:rPr>
        <w:t>une initiative conjointe de cet organisme avec le « Réseau des femmes contre la violence » qui avait organisé la signature d</w:t>
      </w:r>
      <w:r w:rsidR="00DE1F39">
        <w:rPr>
          <w:lang w:val="fr-FR"/>
        </w:rPr>
        <w:t>’</w:t>
      </w:r>
      <w:r w:rsidRPr="007E41FF">
        <w:rPr>
          <w:lang w:val="fr-FR"/>
        </w:rPr>
        <w:t>une pétition et transmis les 25 000 signatures au président de l</w:t>
      </w:r>
      <w:r w:rsidR="00DE1F39">
        <w:rPr>
          <w:lang w:val="fr-FR"/>
        </w:rPr>
        <w:t>’</w:t>
      </w:r>
      <w:r w:rsidRPr="007E41FF">
        <w:rPr>
          <w:lang w:val="fr-FR"/>
        </w:rPr>
        <w:t>Organisme de coordination pour l</w:t>
      </w:r>
      <w:r w:rsidR="00DE1F39">
        <w:rPr>
          <w:lang w:val="fr-FR"/>
        </w:rPr>
        <w:t>’</w:t>
      </w:r>
      <w:r w:rsidRPr="007E41FF">
        <w:rPr>
          <w:lang w:val="fr-FR"/>
        </w:rPr>
        <w:t xml:space="preserve">égalité des sexes. </w:t>
      </w:r>
    </w:p>
    <w:p w14:paraId="7AAB75E9" w14:textId="5807BFF6" w:rsidR="007E41FF" w:rsidRPr="007E41FF" w:rsidRDefault="007E41FF" w:rsidP="00172AC5">
      <w:pPr>
        <w:pStyle w:val="SingleTxt"/>
        <w:numPr>
          <w:ilvl w:val="0"/>
          <w:numId w:val="21"/>
        </w:numPr>
        <w:tabs>
          <w:tab w:val="left" w:pos="1742"/>
        </w:tabs>
        <w:rPr>
          <w:b/>
          <w:lang w:val="fr-FR"/>
        </w:rPr>
      </w:pPr>
      <w:r w:rsidRPr="007E41FF">
        <w:rPr>
          <w:lang w:val="fr-FR"/>
        </w:rPr>
        <w:t>Conformément à la loi sur la prévention de la violence domestique, les policiers, les représentants du parquet et leurs adjoints, et les juges qui appliquent cette loi ont l</w:t>
      </w:r>
      <w:r w:rsidR="00DE1F39">
        <w:rPr>
          <w:lang w:val="fr-FR"/>
        </w:rPr>
        <w:t>’</w:t>
      </w:r>
      <w:r w:rsidRPr="007E41FF">
        <w:rPr>
          <w:lang w:val="fr-FR"/>
        </w:rPr>
        <w:t>obligation de suivre les formations dispensées par l</w:t>
      </w:r>
      <w:r w:rsidR="00DE1F39">
        <w:rPr>
          <w:lang w:val="fr-FR"/>
        </w:rPr>
        <w:t>’</w:t>
      </w:r>
      <w:r w:rsidRPr="007E41FF">
        <w:rPr>
          <w:lang w:val="fr-FR"/>
        </w:rPr>
        <w:t>École de la magistrature et l</w:t>
      </w:r>
      <w:r w:rsidR="00DE1F39">
        <w:rPr>
          <w:lang w:val="fr-FR"/>
        </w:rPr>
        <w:t>’</w:t>
      </w:r>
      <w:r w:rsidRPr="007E41FF">
        <w:rPr>
          <w:lang w:val="fr-FR"/>
        </w:rPr>
        <w:t>École d</w:t>
      </w:r>
      <w:r w:rsidR="00DE1F39">
        <w:rPr>
          <w:lang w:val="fr-FR"/>
        </w:rPr>
        <w:t>’</w:t>
      </w:r>
      <w:r w:rsidRPr="007E41FF">
        <w:rPr>
          <w:lang w:val="fr-FR"/>
        </w:rPr>
        <w:t xml:space="preserve">études criminologiques et policières. </w:t>
      </w:r>
    </w:p>
    <w:p w14:paraId="1ED76F12" w14:textId="7917D59A" w:rsidR="007E41FF" w:rsidRPr="007E41FF" w:rsidRDefault="007E41FF" w:rsidP="00172AC5">
      <w:pPr>
        <w:pStyle w:val="SingleTxt"/>
        <w:numPr>
          <w:ilvl w:val="0"/>
          <w:numId w:val="21"/>
        </w:numPr>
        <w:tabs>
          <w:tab w:val="left" w:pos="1742"/>
        </w:tabs>
        <w:rPr>
          <w:lang w:val="fr-FR"/>
        </w:rPr>
      </w:pPr>
      <w:r w:rsidRPr="007E41FF">
        <w:rPr>
          <w:lang w:val="fr-FR"/>
        </w:rPr>
        <w:lastRenderedPageBreak/>
        <w:t>Détenteurs des pouvoir</w:t>
      </w:r>
      <w:r>
        <w:rPr>
          <w:lang w:val="fr-FR"/>
        </w:rPr>
        <w:t>s de représentants du parquet – </w:t>
      </w:r>
      <w:r w:rsidRPr="007E41FF">
        <w:rPr>
          <w:lang w:val="fr-FR"/>
        </w:rPr>
        <w:t>un interlocuteur a été désigné et sera chargé des tâches, du suivi et de la collaboration avec d</w:t>
      </w:r>
      <w:r w:rsidR="00DE1F39">
        <w:rPr>
          <w:lang w:val="fr-FR"/>
        </w:rPr>
        <w:t>’</w:t>
      </w:r>
      <w:r w:rsidRPr="007E41FF">
        <w:rPr>
          <w:lang w:val="fr-FR"/>
        </w:rPr>
        <w:t>autres institutions et organismes concernés par les actes criminels à l</w:t>
      </w:r>
      <w:r w:rsidR="00DE1F39">
        <w:rPr>
          <w:lang w:val="fr-FR"/>
        </w:rPr>
        <w:t>’</w:t>
      </w:r>
      <w:r w:rsidRPr="007E41FF">
        <w:rPr>
          <w:lang w:val="fr-FR"/>
        </w:rPr>
        <w:t>encontre de la liberté de genre ou qui touchent au mariage et à la famille.</w:t>
      </w:r>
    </w:p>
    <w:p w14:paraId="4D543A74" w14:textId="564783FE" w:rsidR="007E41FF" w:rsidRPr="007E41FF" w:rsidRDefault="007E41FF" w:rsidP="007E41FF">
      <w:pPr>
        <w:pStyle w:val="SingleTxt"/>
        <w:spacing w:after="0" w:line="120" w:lineRule="exact"/>
        <w:rPr>
          <w:sz w:val="10"/>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4680"/>
        <w:gridCol w:w="760"/>
        <w:gridCol w:w="760"/>
        <w:gridCol w:w="760"/>
      </w:tblGrid>
      <w:tr w:rsidR="00585BF5" w:rsidRPr="00585BF5" w14:paraId="11185929" w14:textId="77777777" w:rsidTr="00C22329">
        <w:trPr>
          <w:trHeight w:val="151"/>
          <w:tblHeader/>
        </w:trPr>
        <w:tc>
          <w:tcPr>
            <w:tcW w:w="7320" w:type="dxa"/>
            <w:gridSpan w:val="5"/>
            <w:tcBorders>
              <w:top w:val="single" w:sz="4" w:space="0" w:color="auto"/>
            </w:tcBorders>
            <w:shd w:val="clear" w:color="auto" w:fill="auto"/>
            <w:noWrap/>
            <w:vAlign w:val="bottom"/>
          </w:tcPr>
          <w:p w14:paraId="512EF275" w14:textId="025BC8E5" w:rsidR="00585BF5" w:rsidRPr="00585BF5" w:rsidRDefault="00585BF5" w:rsidP="00585BF5">
            <w:pPr>
              <w:spacing w:before="81" w:after="81" w:line="160" w:lineRule="exact"/>
              <w:ind w:right="43"/>
              <w:jc w:val="right"/>
              <w:rPr>
                <w:i/>
                <w:sz w:val="14"/>
              </w:rPr>
            </w:pPr>
            <w:r w:rsidRPr="00585BF5">
              <w:rPr>
                <w:i/>
                <w:sz w:val="14"/>
              </w:rPr>
              <w:t>Nombre de signalements d’actes de violence à l’égard de femmes dans le système de soins de santé en 2017</w:t>
            </w:r>
          </w:p>
        </w:tc>
      </w:tr>
      <w:tr w:rsidR="0015207D" w:rsidRPr="00585BF5" w14:paraId="15CE5741" w14:textId="77777777" w:rsidTr="00585BF5">
        <w:trPr>
          <w:trHeight w:val="150"/>
          <w:tblHeader/>
        </w:trPr>
        <w:tc>
          <w:tcPr>
            <w:tcW w:w="360" w:type="dxa"/>
            <w:tcBorders>
              <w:bottom w:val="single" w:sz="12" w:space="0" w:color="auto"/>
            </w:tcBorders>
            <w:shd w:val="clear" w:color="auto" w:fill="auto"/>
            <w:noWrap/>
            <w:vAlign w:val="bottom"/>
          </w:tcPr>
          <w:p w14:paraId="6E212786" w14:textId="77777777" w:rsidR="007E41FF" w:rsidRPr="00585BF5" w:rsidRDefault="007E41FF" w:rsidP="00585BF5">
            <w:pPr>
              <w:spacing w:before="81" w:after="81" w:line="160" w:lineRule="exact"/>
              <w:ind w:right="40"/>
              <w:rPr>
                <w:i/>
                <w:sz w:val="14"/>
              </w:rPr>
            </w:pPr>
            <w:r w:rsidRPr="00585BF5">
              <w:rPr>
                <w:i/>
                <w:sz w:val="14"/>
              </w:rPr>
              <w:t>No</w:t>
            </w:r>
          </w:p>
        </w:tc>
        <w:tc>
          <w:tcPr>
            <w:tcW w:w="4680" w:type="dxa"/>
            <w:tcBorders>
              <w:bottom w:val="single" w:sz="12" w:space="0" w:color="auto"/>
            </w:tcBorders>
            <w:shd w:val="clear" w:color="auto" w:fill="auto"/>
            <w:noWrap/>
            <w:vAlign w:val="bottom"/>
          </w:tcPr>
          <w:p w14:paraId="08F63146" w14:textId="77777777" w:rsidR="007E41FF" w:rsidRPr="00585BF5" w:rsidRDefault="007E41FF" w:rsidP="00585BF5">
            <w:pPr>
              <w:spacing w:before="81" w:after="81" w:line="160" w:lineRule="exact"/>
              <w:ind w:left="144" w:right="43"/>
              <w:jc w:val="right"/>
              <w:rPr>
                <w:i/>
                <w:sz w:val="14"/>
              </w:rPr>
            </w:pPr>
            <w:r w:rsidRPr="00585BF5">
              <w:rPr>
                <w:i/>
                <w:sz w:val="14"/>
              </w:rPr>
              <w:t>Problème</w:t>
            </w:r>
          </w:p>
        </w:tc>
        <w:tc>
          <w:tcPr>
            <w:tcW w:w="760" w:type="dxa"/>
            <w:tcBorders>
              <w:bottom w:val="single" w:sz="12" w:space="0" w:color="auto"/>
            </w:tcBorders>
            <w:shd w:val="clear" w:color="auto" w:fill="auto"/>
            <w:noWrap/>
            <w:vAlign w:val="bottom"/>
          </w:tcPr>
          <w:p w14:paraId="67CD0BFD" w14:textId="77777777" w:rsidR="007E41FF" w:rsidRPr="00585BF5" w:rsidRDefault="007E41FF" w:rsidP="00585BF5">
            <w:pPr>
              <w:spacing w:before="81" w:after="81" w:line="160" w:lineRule="exact"/>
              <w:ind w:right="43"/>
              <w:jc w:val="right"/>
              <w:rPr>
                <w:i/>
                <w:sz w:val="14"/>
              </w:rPr>
            </w:pPr>
            <w:r w:rsidRPr="00585BF5">
              <w:rPr>
                <w:i/>
                <w:sz w:val="14"/>
              </w:rPr>
              <w:t>Voïvodine</w:t>
            </w:r>
          </w:p>
        </w:tc>
        <w:tc>
          <w:tcPr>
            <w:tcW w:w="760" w:type="dxa"/>
            <w:tcBorders>
              <w:bottom w:val="single" w:sz="12" w:space="0" w:color="auto"/>
            </w:tcBorders>
            <w:shd w:val="clear" w:color="auto" w:fill="auto"/>
            <w:noWrap/>
            <w:vAlign w:val="bottom"/>
          </w:tcPr>
          <w:p w14:paraId="4051E6A4" w14:textId="77777777" w:rsidR="007E41FF" w:rsidRPr="00585BF5" w:rsidRDefault="007E41FF" w:rsidP="00585BF5">
            <w:pPr>
              <w:spacing w:before="81" w:after="81" w:line="160" w:lineRule="exact"/>
              <w:ind w:right="43"/>
              <w:jc w:val="right"/>
              <w:rPr>
                <w:i/>
                <w:sz w:val="14"/>
              </w:rPr>
            </w:pPr>
            <w:r w:rsidRPr="00585BF5">
              <w:rPr>
                <w:i/>
                <w:sz w:val="14"/>
              </w:rPr>
              <w:t>Serbie centrale</w:t>
            </w:r>
          </w:p>
        </w:tc>
        <w:tc>
          <w:tcPr>
            <w:tcW w:w="760" w:type="dxa"/>
            <w:tcBorders>
              <w:bottom w:val="single" w:sz="12" w:space="0" w:color="auto"/>
            </w:tcBorders>
            <w:shd w:val="clear" w:color="auto" w:fill="auto"/>
            <w:noWrap/>
            <w:vAlign w:val="bottom"/>
          </w:tcPr>
          <w:p w14:paraId="2109F37A" w14:textId="77777777" w:rsidR="007E41FF" w:rsidRPr="00585BF5" w:rsidRDefault="007E41FF" w:rsidP="00585BF5">
            <w:pPr>
              <w:spacing w:before="81" w:after="81" w:line="160" w:lineRule="exact"/>
              <w:ind w:right="43"/>
              <w:jc w:val="right"/>
              <w:rPr>
                <w:i/>
                <w:sz w:val="14"/>
              </w:rPr>
            </w:pPr>
            <w:r w:rsidRPr="00585BF5">
              <w:rPr>
                <w:i/>
                <w:sz w:val="14"/>
              </w:rPr>
              <w:t>Serbie et Kosovo</w:t>
            </w:r>
          </w:p>
        </w:tc>
      </w:tr>
      <w:tr w:rsidR="00585BF5" w:rsidRPr="00585BF5" w14:paraId="5B6E8A1B" w14:textId="77777777" w:rsidTr="00585BF5">
        <w:trPr>
          <w:trHeight w:hRule="exact" w:val="115"/>
          <w:tblHeader/>
        </w:trPr>
        <w:tc>
          <w:tcPr>
            <w:tcW w:w="360" w:type="dxa"/>
            <w:tcBorders>
              <w:top w:val="single" w:sz="12" w:space="0" w:color="auto"/>
            </w:tcBorders>
            <w:shd w:val="clear" w:color="auto" w:fill="auto"/>
            <w:noWrap/>
            <w:vAlign w:val="bottom"/>
          </w:tcPr>
          <w:p w14:paraId="7B3F2E1B" w14:textId="77777777" w:rsidR="00585BF5" w:rsidRPr="00585BF5" w:rsidRDefault="00585BF5" w:rsidP="00585BF5">
            <w:pPr>
              <w:spacing w:before="40" w:after="40" w:line="210" w:lineRule="exact"/>
              <w:ind w:right="40"/>
              <w:rPr>
                <w:sz w:val="17"/>
              </w:rPr>
            </w:pPr>
          </w:p>
        </w:tc>
        <w:tc>
          <w:tcPr>
            <w:tcW w:w="4680" w:type="dxa"/>
            <w:tcBorders>
              <w:top w:val="single" w:sz="12" w:space="0" w:color="auto"/>
            </w:tcBorders>
            <w:shd w:val="clear" w:color="auto" w:fill="auto"/>
            <w:noWrap/>
            <w:vAlign w:val="bottom"/>
          </w:tcPr>
          <w:p w14:paraId="41D8CB4D" w14:textId="77777777" w:rsidR="00585BF5" w:rsidRPr="00585BF5" w:rsidRDefault="00585BF5" w:rsidP="00585BF5">
            <w:pPr>
              <w:spacing w:before="40" w:after="40" w:line="210" w:lineRule="exact"/>
              <w:ind w:left="144" w:right="43"/>
              <w:jc w:val="right"/>
              <w:rPr>
                <w:sz w:val="17"/>
              </w:rPr>
            </w:pPr>
          </w:p>
        </w:tc>
        <w:tc>
          <w:tcPr>
            <w:tcW w:w="760" w:type="dxa"/>
            <w:tcBorders>
              <w:top w:val="single" w:sz="12" w:space="0" w:color="auto"/>
            </w:tcBorders>
            <w:shd w:val="clear" w:color="auto" w:fill="auto"/>
            <w:noWrap/>
            <w:vAlign w:val="bottom"/>
          </w:tcPr>
          <w:p w14:paraId="34FC2ECD" w14:textId="77777777" w:rsidR="00585BF5" w:rsidRPr="00585BF5" w:rsidRDefault="00585BF5" w:rsidP="00585BF5">
            <w:pPr>
              <w:spacing w:before="40" w:after="40" w:line="210" w:lineRule="exact"/>
              <w:ind w:left="144" w:right="43"/>
              <w:jc w:val="right"/>
              <w:rPr>
                <w:sz w:val="17"/>
              </w:rPr>
            </w:pPr>
          </w:p>
        </w:tc>
        <w:tc>
          <w:tcPr>
            <w:tcW w:w="760" w:type="dxa"/>
            <w:tcBorders>
              <w:top w:val="single" w:sz="12" w:space="0" w:color="auto"/>
            </w:tcBorders>
            <w:shd w:val="clear" w:color="auto" w:fill="auto"/>
            <w:noWrap/>
            <w:vAlign w:val="bottom"/>
          </w:tcPr>
          <w:p w14:paraId="499C428B" w14:textId="77777777" w:rsidR="00585BF5" w:rsidRPr="00585BF5" w:rsidRDefault="00585BF5" w:rsidP="00585BF5">
            <w:pPr>
              <w:spacing w:before="40" w:after="40" w:line="210" w:lineRule="exact"/>
              <w:ind w:left="144" w:right="43"/>
              <w:jc w:val="right"/>
              <w:rPr>
                <w:sz w:val="17"/>
              </w:rPr>
            </w:pPr>
          </w:p>
        </w:tc>
        <w:tc>
          <w:tcPr>
            <w:tcW w:w="760" w:type="dxa"/>
            <w:tcBorders>
              <w:top w:val="single" w:sz="12" w:space="0" w:color="auto"/>
            </w:tcBorders>
            <w:shd w:val="clear" w:color="auto" w:fill="auto"/>
            <w:noWrap/>
            <w:vAlign w:val="bottom"/>
          </w:tcPr>
          <w:p w14:paraId="0AB1A0B2" w14:textId="77777777" w:rsidR="00585BF5" w:rsidRPr="00585BF5" w:rsidRDefault="00585BF5" w:rsidP="00585BF5">
            <w:pPr>
              <w:spacing w:before="40" w:after="40" w:line="210" w:lineRule="exact"/>
              <w:ind w:left="144" w:right="43"/>
              <w:jc w:val="right"/>
              <w:rPr>
                <w:sz w:val="17"/>
              </w:rPr>
            </w:pPr>
          </w:p>
        </w:tc>
      </w:tr>
      <w:tr w:rsidR="00585BF5" w:rsidRPr="00585BF5" w14:paraId="4933F3DA" w14:textId="77777777" w:rsidTr="00585BF5">
        <w:tc>
          <w:tcPr>
            <w:tcW w:w="360" w:type="dxa"/>
            <w:shd w:val="clear" w:color="auto" w:fill="auto"/>
            <w:noWrap/>
          </w:tcPr>
          <w:p w14:paraId="27F61A7A" w14:textId="77777777" w:rsidR="007E41FF" w:rsidRPr="00585BF5" w:rsidRDefault="007E41FF" w:rsidP="00585BF5">
            <w:pPr>
              <w:tabs>
                <w:tab w:val="left" w:pos="288"/>
                <w:tab w:val="left" w:pos="576"/>
                <w:tab w:val="left" w:pos="864"/>
                <w:tab w:val="left" w:pos="1152"/>
              </w:tabs>
              <w:spacing w:before="40" w:after="40" w:line="210" w:lineRule="exact"/>
              <w:ind w:right="40"/>
              <w:rPr>
                <w:sz w:val="17"/>
              </w:rPr>
            </w:pPr>
            <w:r w:rsidRPr="00585BF5">
              <w:rPr>
                <w:sz w:val="17"/>
              </w:rPr>
              <w:t>1</w:t>
            </w:r>
          </w:p>
        </w:tc>
        <w:tc>
          <w:tcPr>
            <w:tcW w:w="4680" w:type="dxa"/>
            <w:shd w:val="clear" w:color="auto" w:fill="auto"/>
            <w:noWrap/>
          </w:tcPr>
          <w:p w14:paraId="27628733" w14:textId="2E2F57FE" w:rsidR="007E41FF" w:rsidRPr="00585BF5" w:rsidRDefault="007E41FF" w:rsidP="00585BF5">
            <w:pPr>
              <w:tabs>
                <w:tab w:val="left" w:pos="288"/>
                <w:tab w:val="left" w:pos="576"/>
                <w:tab w:val="left" w:pos="864"/>
                <w:tab w:val="left" w:pos="1152"/>
              </w:tabs>
              <w:spacing w:before="40" w:after="40" w:line="210" w:lineRule="exact"/>
              <w:ind w:left="144" w:right="43"/>
              <w:rPr>
                <w:sz w:val="17"/>
              </w:rPr>
            </w:pPr>
            <w:r w:rsidRPr="00585BF5">
              <w:rPr>
                <w:sz w:val="17"/>
              </w:rPr>
              <w:t>Nombre de signalements d</w:t>
            </w:r>
            <w:r w:rsidR="00DE1F39" w:rsidRPr="00585BF5">
              <w:rPr>
                <w:sz w:val="17"/>
              </w:rPr>
              <w:t>’</w:t>
            </w:r>
            <w:r w:rsidRPr="00585BF5">
              <w:rPr>
                <w:sz w:val="17"/>
              </w:rPr>
              <w:t>actes de violence au sein du couple ou de violence sexiste</w:t>
            </w:r>
          </w:p>
        </w:tc>
        <w:tc>
          <w:tcPr>
            <w:tcW w:w="760" w:type="dxa"/>
            <w:shd w:val="clear" w:color="auto" w:fill="auto"/>
            <w:noWrap/>
            <w:vAlign w:val="bottom"/>
          </w:tcPr>
          <w:p w14:paraId="5B9E96FB" w14:textId="77777777" w:rsidR="007E41FF" w:rsidRPr="00585BF5" w:rsidRDefault="007E41FF" w:rsidP="00585BF5">
            <w:pPr>
              <w:tabs>
                <w:tab w:val="left" w:pos="288"/>
                <w:tab w:val="left" w:pos="576"/>
                <w:tab w:val="left" w:pos="864"/>
                <w:tab w:val="left" w:pos="1152"/>
              </w:tabs>
              <w:spacing w:before="40" w:after="40" w:line="210" w:lineRule="exact"/>
              <w:ind w:left="144" w:right="43"/>
              <w:jc w:val="right"/>
              <w:rPr>
                <w:sz w:val="17"/>
              </w:rPr>
            </w:pPr>
            <w:r w:rsidRPr="00585BF5">
              <w:rPr>
                <w:sz w:val="17"/>
              </w:rPr>
              <w:t>1 025</w:t>
            </w:r>
          </w:p>
        </w:tc>
        <w:tc>
          <w:tcPr>
            <w:tcW w:w="760" w:type="dxa"/>
            <w:shd w:val="clear" w:color="auto" w:fill="auto"/>
            <w:noWrap/>
            <w:vAlign w:val="bottom"/>
          </w:tcPr>
          <w:p w14:paraId="685A3855" w14:textId="77777777" w:rsidR="007E41FF" w:rsidRPr="00585BF5" w:rsidRDefault="007E41FF" w:rsidP="00585BF5">
            <w:pPr>
              <w:tabs>
                <w:tab w:val="left" w:pos="288"/>
                <w:tab w:val="left" w:pos="576"/>
                <w:tab w:val="left" w:pos="864"/>
                <w:tab w:val="left" w:pos="1152"/>
              </w:tabs>
              <w:spacing w:before="40" w:after="40" w:line="210" w:lineRule="exact"/>
              <w:ind w:left="144" w:right="43"/>
              <w:jc w:val="right"/>
              <w:rPr>
                <w:sz w:val="17"/>
              </w:rPr>
            </w:pPr>
            <w:r w:rsidRPr="00585BF5">
              <w:rPr>
                <w:sz w:val="17"/>
              </w:rPr>
              <w:t>2 895</w:t>
            </w:r>
          </w:p>
        </w:tc>
        <w:tc>
          <w:tcPr>
            <w:tcW w:w="760" w:type="dxa"/>
            <w:shd w:val="clear" w:color="auto" w:fill="auto"/>
            <w:noWrap/>
            <w:vAlign w:val="bottom"/>
          </w:tcPr>
          <w:p w14:paraId="1521B546" w14:textId="77777777" w:rsidR="007E41FF" w:rsidRPr="00585BF5" w:rsidRDefault="007E41FF" w:rsidP="00585BF5">
            <w:pPr>
              <w:tabs>
                <w:tab w:val="left" w:pos="288"/>
                <w:tab w:val="left" w:pos="576"/>
                <w:tab w:val="left" w:pos="864"/>
                <w:tab w:val="left" w:pos="1152"/>
              </w:tabs>
              <w:spacing w:before="40" w:after="40" w:line="210" w:lineRule="exact"/>
              <w:ind w:left="144" w:right="43"/>
              <w:jc w:val="right"/>
              <w:rPr>
                <w:sz w:val="17"/>
              </w:rPr>
            </w:pPr>
            <w:r w:rsidRPr="00585BF5">
              <w:rPr>
                <w:sz w:val="17"/>
              </w:rPr>
              <w:t>3 962</w:t>
            </w:r>
          </w:p>
        </w:tc>
      </w:tr>
      <w:tr w:rsidR="0015207D" w:rsidRPr="00585BF5" w14:paraId="6A08CEAF" w14:textId="77777777" w:rsidTr="00585BF5">
        <w:tc>
          <w:tcPr>
            <w:tcW w:w="360" w:type="dxa"/>
            <w:shd w:val="clear" w:color="auto" w:fill="auto"/>
            <w:noWrap/>
          </w:tcPr>
          <w:p w14:paraId="691EDF97" w14:textId="77777777" w:rsidR="007E41FF" w:rsidRPr="00585BF5" w:rsidRDefault="007E41FF" w:rsidP="00585BF5">
            <w:pPr>
              <w:tabs>
                <w:tab w:val="left" w:pos="288"/>
                <w:tab w:val="left" w:pos="576"/>
                <w:tab w:val="left" w:pos="864"/>
                <w:tab w:val="left" w:pos="1152"/>
              </w:tabs>
              <w:spacing w:before="40" w:after="40" w:line="210" w:lineRule="exact"/>
              <w:ind w:right="40"/>
              <w:rPr>
                <w:sz w:val="17"/>
              </w:rPr>
            </w:pPr>
            <w:r w:rsidRPr="00585BF5">
              <w:rPr>
                <w:sz w:val="17"/>
              </w:rPr>
              <w:t>2</w:t>
            </w:r>
          </w:p>
        </w:tc>
        <w:tc>
          <w:tcPr>
            <w:tcW w:w="4680" w:type="dxa"/>
            <w:shd w:val="clear" w:color="auto" w:fill="auto"/>
            <w:noWrap/>
          </w:tcPr>
          <w:p w14:paraId="60748530" w14:textId="77777777" w:rsidR="007E41FF" w:rsidRPr="00585BF5" w:rsidRDefault="007E41FF" w:rsidP="00585BF5">
            <w:pPr>
              <w:tabs>
                <w:tab w:val="left" w:pos="288"/>
                <w:tab w:val="left" w:pos="576"/>
                <w:tab w:val="left" w:pos="864"/>
                <w:tab w:val="left" w:pos="1152"/>
              </w:tabs>
              <w:spacing w:before="40" w:after="40" w:line="210" w:lineRule="exact"/>
              <w:ind w:left="144" w:right="43"/>
              <w:rPr>
                <w:sz w:val="17"/>
              </w:rPr>
            </w:pPr>
            <w:r w:rsidRPr="00585BF5">
              <w:rPr>
                <w:sz w:val="17"/>
              </w:rPr>
              <w:t>Nombre de cas où la police a été informée</w:t>
            </w:r>
          </w:p>
        </w:tc>
        <w:tc>
          <w:tcPr>
            <w:tcW w:w="760" w:type="dxa"/>
            <w:shd w:val="clear" w:color="auto" w:fill="auto"/>
            <w:noWrap/>
            <w:vAlign w:val="bottom"/>
          </w:tcPr>
          <w:p w14:paraId="676704B2" w14:textId="77777777" w:rsidR="007E41FF" w:rsidRPr="00585BF5" w:rsidRDefault="007E41FF" w:rsidP="00585BF5">
            <w:pPr>
              <w:tabs>
                <w:tab w:val="left" w:pos="288"/>
                <w:tab w:val="left" w:pos="576"/>
                <w:tab w:val="left" w:pos="864"/>
                <w:tab w:val="left" w:pos="1152"/>
              </w:tabs>
              <w:spacing w:before="40" w:after="40" w:line="210" w:lineRule="exact"/>
              <w:ind w:left="144" w:right="43"/>
              <w:jc w:val="right"/>
              <w:rPr>
                <w:sz w:val="17"/>
              </w:rPr>
            </w:pPr>
            <w:r w:rsidRPr="00585BF5">
              <w:rPr>
                <w:sz w:val="17"/>
              </w:rPr>
              <w:t>944</w:t>
            </w:r>
          </w:p>
        </w:tc>
        <w:tc>
          <w:tcPr>
            <w:tcW w:w="760" w:type="dxa"/>
            <w:shd w:val="clear" w:color="auto" w:fill="auto"/>
            <w:noWrap/>
            <w:vAlign w:val="bottom"/>
          </w:tcPr>
          <w:p w14:paraId="14188BCB" w14:textId="77777777" w:rsidR="007E41FF" w:rsidRPr="00585BF5" w:rsidRDefault="007E41FF" w:rsidP="00585BF5">
            <w:pPr>
              <w:tabs>
                <w:tab w:val="left" w:pos="288"/>
                <w:tab w:val="left" w:pos="576"/>
                <w:tab w:val="left" w:pos="864"/>
                <w:tab w:val="left" w:pos="1152"/>
              </w:tabs>
              <w:spacing w:before="40" w:after="40" w:line="210" w:lineRule="exact"/>
              <w:ind w:left="144" w:right="43"/>
              <w:jc w:val="right"/>
              <w:rPr>
                <w:sz w:val="17"/>
              </w:rPr>
            </w:pPr>
            <w:r w:rsidRPr="00585BF5">
              <w:rPr>
                <w:sz w:val="17"/>
              </w:rPr>
              <w:t>2 537</w:t>
            </w:r>
          </w:p>
        </w:tc>
        <w:tc>
          <w:tcPr>
            <w:tcW w:w="760" w:type="dxa"/>
            <w:shd w:val="clear" w:color="auto" w:fill="auto"/>
            <w:noWrap/>
            <w:vAlign w:val="bottom"/>
          </w:tcPr>
          <w:p w14:paraId="7A354E46" w14:textId="77777777" w:rsidR="007E41FF" w:rsidRPr="00585BF5" w:rsidRDefault="007E41FF" w:rsidP="00585BF5">
            <w:pPr>
              <w:tabs>
                <w:tab w:val="left" w:pos="288"/>
                <w:tab w:val="left" w:pos="576"/>
                <w:tab w:val="left" w:pos="864"/>
                <w:tab w:val="left" w:pos="1152"/>
              </w:tabs>
              <w:spacing w:before="40" w:after="40" w:line="210" w:lineRule="exact"/>
              <w:ind w:left="144" w:right="43"/>
              <w:jc w:val="right"/>
              <w:rPr>
                <w:sz w:val="17"/>
              </w:rPr>
            </w:pPr>
            <w:r w:rsidRPr="00585BF5">
              <w:rPr>
                <w:sz w:val="17"/>
              </w:rPr>
              <w:t>3 515</w:t>
            </w:r>
          </w:p>
        </w:tc>
      </w:tr>
      <w:tr w:rsidR="0015207D" w:rsidRPr="00585BF5" w14:paraId="4ADA0BC8" w14:textId="77777777" w:rsidTr="00585BF5">
        <w:tc>
          <w:tcPr>
            <w:tcW w:w="360" w:type="dxa"/>
            <w:shd w:val="clear" w:color="auto" w:fill="auto"/>
            <w:noWrap/>
          </w:tcPr>
          <w:p w14:paraId="6EEE0822" w14:textId="77777777" w:rsidR="007E41FF" w:rsidRPr="00585BF5" w:rsidRDefault="007E41FF" w:rsidP="00585BF5">
            <w:pPr>
              <w:tabs>
                <w:tab w:val="left" w:pos="288"/>
                <w:tab w:val="left" w:pos="576"/>
                <w:tab w:val="left" w:pos="864"/>
                <w:tab w:val="left" w:pos="1152"/>
              </w:tabs>
              <w:spacing w:before="40" w:after="40" w:line="210" w:lineRule="exact"/>
              <w:ind w:right="40"/>
              <w:rPr>
                <w:sz w:val="17"/>
              </w:rPr>
            </w:pPr>
            <w:r w:rsidRPr="00585BF5">
              <w:rPr>
                <w:sz w:val="17"/>
              </w:rPr>
              <w:t>3</w:t>
            </w:r>
          </w:p>
        </w:tc>
        <w:tc>
          <w:tcPr>
            <w:tcW w:w="4680" w:type="dxa"/>
            <w:shd w:val="clear" w:color="auto" w:fill="auto"/>
            <w:noWrap/>
          </w:tcPr>
          <w:p w14:paraId="3CBAE428" w14:textId="77777777" w:rsidR="007E41FF" w:rsidRPr="00585BF5" w:rsidRDefault="007E41FF" w:rsidP="00585BF5">
            <w:pPr>
              <w:tabs>
                <w:tab w:val="left" w:pos="288"/>
                <w:tab w:val="left" w:pos="576"/>
                <w:tab w:val="left" w:pos="864"/>
                <w:tab w:val="left" w:pos="1152"/>
              </w:tabs>
              <w:spacing w:before="40" w:after="40" w:line="210" w:lineRule="exact"/>
              <w:ind w:left="144" w:right="43"/>
              <w:rPr>
                <w:sz w:val="17"/>
              </w:rPr>
            </w:pPr>
            <w:r w:rsidRPr="00585BF5">
              <w:rPr>
                <w:sz w:val="17"/>
              </w:rPr>
              <w:t xml:space="preserve">Nombre de cas où un parquet a été informé </w:t>
            </w:r>
          </w:p>
        </w:tc>
        <w:tc>
          <w:tcPr>
            <w:tcW w:w="760" w:type="dxa"/>
            <w:shd w:val="clear" w:color="auto" w:fill="auto"/>
            <w:noWrap/>
            <w:vAlign w:val="bottom"/>
          </w:tcPr>
          <w:p w14:paraId="68CFAA45" w14:textId="77777777" w:rsidR="007E41FF" w:rsidRPr="00585BF5" w:rsidRDefault="007E41FF" w:rsidP="00585BF5">
            <w:pPr>
              <w:tabs>
                <w:tab w:val="left" w:pos="288"/>
                <w:tab w:val="left" w:pos="576"/>
                <w:tab w:val="left" w:pos="864"/>
                <w:tab w:val="left" w:pos="1152"/>
              </w:tabs>
              <w:spacing w:before="40" w:after="40" w:line="210" w:lineRule="exact"/>
              <w:ind w:left="144" w:right="43"/>
              <w:jc w:val="right"/>
              <w:rPr>
                <w:sz w:val="17"/>
              </w:rPr>
            </w:pPr>
            <w:r w:rsidRPr="00585BF5">
              <w:rPr>
                <w:sz w:val="17"/>
              </w:rPr>
              <w:t>131</w:t>
            </w:r>
          </w:p>
        </w:tc>
        <w:tc>
          <w:tcPr>
            <w:tcW w:w="760" w:type="dxa"/>
            <w:shd w:val="clear" w:color="auto" w:fill="auto"/>
            <w:noWrap/>
            <w:vAlign w:val="bottom"/>
          </w:tcPr>
          <w:p w14:paraId="01C40DCF" w14:textId="77777777" w:rsidR="007E41FF" w:rsidRPr="00585BF5" w:rsidRDefault="007E41FF" w:rsidP="00585BF5">
            <w:pPr>
              <w:tabs>
                <w:tab w:val="left" w:pos="288"/>
                <w:tab w:val="left" w:pos="576"/>
                <w:tab w:val="left" w:pos="864"/>
                <w:tab w:val="left" w:pos="1152"/>
              </w:tabs>
              <w:spacing w:before="40" w:after="40" w:line="210" w:lineRule="exact"/>
              <w:ind w:left="144" w:right="43"/>
              <w:jc w:val="right"/>
              <w:rPr>
                <w:sz w:val="17"/>
              </w:rPr>
            </w:pPr>
            <w:r w:rsidRPr="00585BF5">
              <w:rPr>
                <w:sz w:val="17"/>
              </w:rPr>
              <w:t>289</w:t>
            </w:r>
          </w:p>
        </w:tc>
        <w:tc>
          <w:tcPr>
            <w:tcW w:w="760" w:type="dxa"/>
            <w:shd w:val="clear" w:color="auto" w:fill="auto"/>
            <w:noWrap/>
            <w:vAlign w:val="bottom"/>
          </w:tcPr>
          <w:p w14:paraId="59527186" w14:textId="77777777" w:rsidR="007E41FF" w:rsidRPr="00585BF5" w:rsidRDefault="007E41FF" w:rsidP="00585BF5">
            <w:pPr>
              <w:tabs>
                <w:tab w:val="left" w:pos="288"/>
                <w:tab w:val="left" w:pos="576"/>
                <w:tab w:val="left" w:pos="864"/>
                <w:tab w:val="left" w:pos="1152"/>
              </w:tabs>
              <w:spacing w:before="40" w:after="40" w:line="210" w:lineRule="exact"/>
              <w:ind w:left="144" w:right="43"/>
              <w:jc w:val="right"/>
              <w:rPr>
                <w:sz w:val="17"/>
              </w:rPr>
            </w:pPr>
            <w:r w:rsidRPr="00585BF5">
              <w:rPr>
                <w:sz w:val="17"/>
              </w:rPr>
              <w:t>420</w:t>
            </w:r>
          </w:p>
        </w:tc>
      </w:tr>
      <w:tr w:rsidR="0015207D" w:rsidRPr="00585BF5" w14:paraId="66CAC607" w14:textId="77777777" w:rsidTr="00585BF5">
        <w:tc>
          <w:tcPr>
            <w:tcW w:w="360" w:type="dxa"/>
            <w:shd w:val="clear" w:color="auto" w:fill="auto"/>
            <w:noWrap/>
          </w:tcPr>
          <w:p w14:paraId="2A02C9EE" w14:textId="77777777" w:rsidR="007E41FF" w:rsidRPr="00585BF5" w:rsidRDefault="007E41FF" w:rsidP="00585BF5">
            <w:pPr>
              <w:tabs>
                <w:tab w:val="left" w:pos="288"/>
                <w:tab w:val="left" w:pos="576"/>
                <w:tab w:val="left" w:pos="864"/>
                <w:tab w:val="left" w:pos="1152"/>
              </w:tabs>
              <w:spacing w:before="40" w:after="40" w:line="210" w:lineRule="exact"/>
              <w:ind w:right="40"/>
              <w:rPr>
                <w:sz w:val="17"/>
              </w:rPr>
            </w:pPr>
            <w:r w:rsidRPr="00585BF5">
              <w:rPr>
                <w:sz w:val="17"/>
              </w:rPr>
              <w:t>4</w:t>
            </w:r>
          </w:p>
        </w:tc>
        <w:tc>
          <w:tcPr>
            <w:tcW w:w="4680" w:type="dxa"/>
            <w:shd w:val="clear" w:color="auto" w:fill="auto"/>
            <w:noWrap/>
          </w:tcPr>
          <w:p w14:paraId="480973DF" w14:textId="26544D84" w:rsidR="007E41FF" w:rsidRPr="00585BF5" w:rsidRDefault="007E41FF" w:rsidP="00585BF5">
            <w:pPr>
              <w:tabs>
                <w:tab w:val="left" w:pos="288"/>
                <w:tab w:val="left" w:pos="576"/>
                <w:tab w:val="left" w:pos="864"/>
                <w:tab w:val="left" w:pos="1152"/>
              </w:tabs>
              <w:spacing w:before="40" w:after="40" w:line="210" w:lineRule="exact"/>
              <w:ind w:left="144" w:right="43"/>
              <w:rPr>
                <w:sz w:val="17"/>
              </w:rPr>
            </w:pPr>
            <w:r w:rsidRPr="00585BF5">
              <w:rPr>
                <w:sz w:val="17"/>
              </w:rPr>
              <w:t>Nombre de cas où un centre d</w:t>
            </w:r>
            <w:r w:rsidR="00DE1F39" w:rsidRPr="00585BF5">
              <w:rPr>
                <w:sz w:val="17"/>
              </w:rPr>
              <w:t>’</w:t>
            </w:r>
            <w:r w:rsidRPr="00585BF5">
              <w:rPr>
                <w:sz w:val="17"/>
              </w:rPr>
              <w:t>action sociale a été informé</w:t>
            </w:r>
          </w:p>
        </w:tc>
        <w:tc>
          <w:tcPr>
            <w:tcW w:w="760" w:type="dxa"/>
            <w:shd w:val="clear" w:color="auto" w:fill="auto"/>
            <w:noWrap/>
            <w:vAlign w:val="bottom"/>
          </w:tcPr>
          <w:p w14:paraId="2DAF05A2" w14:textId="77777777" w:rsidR="007E41FF" w:rsidRPr="00585BF5" w:rsidRDefault="007E41FF" w:rsidP="00585BF5">
            <w:pPr>
              <w:tabs>
                <w:tab w:val="left" w:pos="288"/>
                <w:tab w:val="left" w:pos="576"/>
                <w:tab w:val="left" w:pos="864"/>
                <w:tab w:val="left" w:pos="1152"/>
              </w:tabs>
              <w:spacing w:before="40" w:after="40" w:line="210" w:lineRule="exact"/>
              <w:ind w:left="144" w:right="43"/>
              <w:jc w:val="right"/>
              <w:rPr>
                <w:sz w:val="17"/>
              </w:rPr>
            </w:pPr>
            <w:r w:rsidRPr="00585BF5">
              <w:rPr>
                <w:sz w:val="17"/>
              </w:rPr>
              <w:t>478</w:t>
            </w:r>
          </w:p>
        </w:tc>
        <w:tc>
          <w:tcPr>
            <w:tcW w:w="760" w:type="dxa"/>
            <w:shd w:val="clear" w:color="auto" w:fill="auto"/>
            <w:noWrap/>
            <w:vAlign w:val="bottom"/>
          </w:tcPr>
          <w:p w14:paraId="2E77E69A" w14:textId="77777777" w:rsidR="007E41FF" w:rsidRPr="00585BF5" w:rsidRDefault="007E41FF" w:rsidP="00585BF5">
            <w:pPr>
              <w:tabs>
                <w:tab w:val="left" w:pos="288"/>
                <w:tab w:val="left" w:pos="576"/>
                <w:tab w:val="left" w:pos="864"/>
                <w:tab w:val="left" w:pos="1152"/>
              </w:tabs>
              <w:spacing w:before="40" w:after="40" w:line="210" w:lineRule="exact"/>
              <w:ind w:left="144" w:right="43"/>
              <w:jc w:val="right"/>
              <w:rPr>
                <w:sz w:val="17"/>
              </w:rPr>
            </w:pPr>
            <w:r w:rsidRPr="00585BF5">
              <w:rPr>
                <w:sz w:val="17"/>
              </w:rPr>
              <w:t>1122</w:t>
            </w:r>
          </w:p>
        </w:tc>
        <w:tc>
          <w:tcPr>
            <w:tcW w:w="760" w:type="dxa"/>
            <w:shd w:val="clear" w:color="auto" w:fill="auto"/>
            <w:noWrap/>
            <w:vAlign w:val="bottom"/>
          </w:tcPr>
          <w:p w14:paraId="48D6781D" w14:textId="77777777" w:rsidR="007E41FF" w:rsidRPr="00585BF5" w:rsidRDefault="007E41FF" w:rsidP="00585BF5">
            <w:pPr>
              <w:tabs>
                <w:tab w:val="left" w:pos="288"/>
                <w:tab w:val="left" w:pos="576"/>
                <w:tab w:val="left" w:pos="864"/>
                <w:tab w:val="left" w:pos="1152"/>
              </w:tabs>
              <w:spacing w:before="40" w:after="40" w:line="210" w:lineRule="exact"/>
              <w:ind w:left="144" w:right="43"/>
              <w:jc w:val="right"/>
              <w:rPr>
                <w:sz w:val="17"/>
              </w:rPr>
            </w:pPr>
            <w:r w:rsidRPr="00585BF5">
              <w:rPr>
                <w:sz w:val="17"/>
              </w:rPr>
              <w:t>1 612</w:t>
            </w:r>
          </w:p>
        </w:tc>
      </w:tr>
      <w:tr w:rsidR="0015207D" w:rsidRPr="00585BF5" w14:paraId="3B3B42AA" w14:textId="77777777" w:rsidTr="00585BF5">
        <w:tc>
          <w:tcPr>
            <w:tcW w:w="360" w:type="dxa"/>
            <w:shd w:val="clear" w:color="auto" w:fill="auto"/>
            <w:noWrap/>
          </w:tcPr>
          <w:p w14:paraId="0C1BDE0D" w14:textId="77777777" w:rsidR="007E41FF" w:rsidRPr="00585BF5" w:rsidRDefault="007E41FF" w:rsidP="00585BF5">
            <w:pPr>
              <w:tabs>
                <w:tab w:val="left" w:pos="288"/>
                <w:tab w:val="left" w:pos="576"/>
                <w:tab w:val="left" w:pos="864"/>
                <w:tab w:val="left" w:pos="1152"/>
              </w:tabs>
              <w:spacing w:before="40" w:after="40" w:line="210" w:lineRule="exact"/>
              <w:ind w:right="40"/>
              <w:rPr>
                <w:sz w:val="17"/>
              </w:rPr>
            </w:pPr>
            <w:r w:rsidRPr="00585BF5">
              <w:rPr>
                <w:sz w:val="17"/>
              </w:rPr>
              <w:t>5</w:t>
            </w:r>
          </w:p>
        </w:tc>
        <w:tc>
          <w:tcPr>
            <w:tcW w:w="4680" w:type="dxa"/>
            <w:shd w:val="clear" w:color="auto" w:fill="auto"/>
            <w:noWrap/>
          </w:tcPr>
          <w:p w14:paraId="24225498" w14:textId="14AA9E4B" w:rsidR="007E41FF" w:rsidRPr="00585BF5" w:rsidRDefault="007E41FF" w:rsidP="00585BF5">
            <w:pPr>
              <w:tabs>
                <w:tab w:val="left" w:pos="288"/>
                <w:tab w:val="left" w:pos="576"/>
                <w:tab w:val="left" w:pos="864"/>
                <w:tab w:val="left" w:pos="1152"/>
              </w:tabs>
              <w:spacing w:before="40" w:after="40" w:line="210" w:lineRule="exact"/>
              <w:ind w:left="144" w:right="43"/>
              <w:rPr>
                <w:sz w:val="17"/>
              </w:rPr>
            </w:pPr>
            <w:r w:rsidRPr="00585BF5">
              <w:rPr>
                <w:sz w:val="17"/>
              </w:rPr>
              <w:t>Nombre de cas où aucune autre autorité n</w:t>
            </w:r>
            <w:r w:rsidR="00DE1F39" w:rsidRPr="00585BF5">
              <w:rPr>
                <w:sz w:val="17"/>
              </w:rPr>
              <w:t>’</w:t>
            </w:r>
            <w:r w:rsidRPr="00585BF5">
              <w:rPr>
                <w:sz w:val="17"/>
              </w:rPr>
              <w:t>a été informée</w:t>
            </w:r>
          </w:p>
        </w:tc>
        <w:tc>
          <w:tcPr>
            <w:tcW w:w="760" w:type="dxa"/>
            <w:shd w:val="clear" w:color="auto" w:fill="auto"/>
            <w:noWrap/>
            <w:vAlign w:val="bottom"/>
          </w:tcPr>
          <w:p w14:paraId="541403B7" w14:textId="77777777" w:rsidR="007E41FF" w:rsidRPr="00585BF5" w:rsidRDefault="007E41FF" w:rsidP="00585BF5">
            <w:pPr>
              <w:tabs>
                <w:tab w:val="left" w:pos="288"/>
                <w:tab w:val="left" w:pos="576"/>
                <w:tab w:val="left" w:pos="864"/>
                <w:tab w:val="left" w:pos="1152"/>
              </w:tabs>
              <w:spacing w:before="40" w:after="40" w:line="210" w:lineRule="exact"/>
              <w:ind w:left="144" w:right="43"/>
              <w:jc w:val="right"/>
              <w:rPr>
                <w:sz w:val="17"/>
              </w:rPr>
            </w:pPr>
            <w:r w:rsidRPr="00585BF5">
              <w:rPr>
                <w:sz w:val="17"/>
              </w:rPr>
              <w:t>16</w:t>
            </w:r>
          </w:p>
        </w:tc>
        <w:tc>
          <w:tcPr>
            <w:tcW w:w="760" w:type="dxa"/>
            <w:shd w:val="clear" w:color="auto" w:fill="auto"/>
            <w:noWrap/>
            <w:vAlign w:val="bottom"/>
          </w:tcPr>
          <w:p w14:paraId="1EDF5BAC" w14:textId="77777777" w:rsidR="007E41FF" w:rsidRPr="00585BF5" w:rsidRDefault="007E41FF" w:rsidP="00585BF5">
            <w:pPr>
              <w:tabs>
                <w:tab w:val="left" w:pos="288"/>
                <w:tab w:val="left" w:pos="576"/>
                <w:tab w:val="left" w:pos="864"/>
                <w:tab w:val="left" w:pos="1152"/>
              </w:tabs>
              <w:spacing w:before="40" w:after="40" w:line="210" w:lineRule="exact"/>
              <w:ind w:left="144" w:right="43"/>
              <w:jc w:val="right"/>
              <w:rPr>
                <w:sz w:val="17"/>
              </w:rPr>
            </w:pPr>
            <w:r w:rsidRPr="00585BF5">
              <w:rPr>
                <w:sz w:val="17"/>
              </w:rPr>
              <w:t>286</w:t>
            </w:r>
          </w:p>
        </w:tc>
        <w:tc>
          <w:tcPr>
            <w:tcW w:w="760" w:type="dxa"/>
            <w:shd w:val="clear" w:color="auto" w:fill="auto"/>
            <w:noWrap/>
            <w:vAlign w:val="bottom"/>
          </w:tcPr>
          <w:p w14:paraId="79CCA74E" w14:textId="77777777" w:rsidR="007E41FF" w:rsidRPr="00585BF5" w:rsidRDefault="007E41FF" w:rsidP="00585BF5">
            <w:pPr>
              <w:tabs>
                <w:tab w:val="left" w:pos="288"/>
                <w:tab w:val="left" w:pos="576"/>
                <w:tab w:val="left" w:pos="864"/>
                <w:tab w:val="left" w:pos="1152"/>
              </w:tabs>
              <w:spacing w:before="40" w:after="40" w:line="210" w:lineRule="exact"/>
              <w:ind w:left="144" w:right="43"/>
              <w:jc w:val="right"/>
              <w:rPr>
                <w:sz w:val="17"/>
              </w:rPr>
            </w:pPr>
            <w:r w:rsidRPr="00585BF5">
              <w:rPr>
                <w:sz w:val="17"/>
              </w:rPr>
              <w:t>303</w:t>
            </w:r>
          </w:p>
        </w:tc>
      </w:tr>
      <w:tr w:rsidR="0015207D" w:rsidRPr="00585BF5" w14:paraId="46E92E58" w14:textId="77777777" w:rsidTr="00585BF5">
        <w:tc>
          <w:tcPr>
            <w:tcW w:w="360" w:type="dxa"/>
            <w:shd w:val="clear" w:color="auto" w:fill="auto"/>
            <w:noWrap/>
          </w:tcPr>
          <w:p w14:paraId="6B7939D0" w14:textId="77777777" w:rsidR="007E41FF" w:rsidRPr="00585BF5" w:rsidRDefault="007E41FF" w:rsidP="00585BF5">
            <w:pPr>
              <w:tabs>
                <w:tab w:val="left" w:pos="288"/>
                <w:tab w:val="left" w:pos="576"/>
                <w:tab w:val="left" w:pos="864"/>
                <w:tab w:val="left" w:pos="1152"/>
              </w:tabs>
              <w:spacing w:before="40" w:after="40" w:line="210" w:lineRule="exact"/>
              <w:ind w:right="40"/>
              <w:rPr>
                <w:sz w:val="17"/>
              </w:rPr>
            </w:pPr>
            <w:r w:rsidRPr="00585BF5">
              <w:rPr>
                <w:sz w:val="17"/>
              </w:rPr>
              <w:t>6</w:t>
            </w:r>
          </w:p>
        </w:tc>
        <w:tc>
          <w:tcPr>
            <w:tcW w:w="4680" w:type="dxa"/>
            <w:shd w:val="clear" w:color="auto" w:fill="auto"/>
            <w:noWrap/>
          </w:tcPr>
          <w:p w14:paraId="24ABDA66" w14:textId="150DD240" w:rsidR="007E41FF" w:rsidRPr="00585BF5" w:rsidRDefault="007E41FF" w:rsidP="00585BF5">
            <w:pPr>
              <w:tabs>
                <w:tab w:val="left" w:pos="288"/>
                <w:tab w:val="left" w:pos="576"/>
                <w:tab w:val="left" w:pos="864"/>
                <w:tab w:val="left" w:pos="1152"/>
              </w:tabs>
              <w:spacing w:before="40" w:after="40" w:line="210" w:lineRule="exact"/>
              <w:ind w:left="144" w:right="43"/>
              <w:rPr>
                <w:sz w:val="17"/>
              </w:rPr>
            </w:pPr>
            <w:r w:rsidRPr="00585BF5">
              <w:rPr>
                <w:sz w:val="17"/>
              </w:rPr>
              <w:t>Nombre de parties lésées demandant de l</w:t>
            </w:r>
            <w:r w:rsidR="00DE1F39" w:rsidRPr="00585BF5">
              <w:rPr>
                <w:sz w:val="17"/>
              </w:rPr>
              <w:t>’</w:t>
            </w:r>
            <w:r w:rsidRPr="00585BF5">
              <w:rPr>
                <w:sz w:val="17"/>
              </w:rPr>
              <w:t>aide dans un centre de santé communautaire ou un centre de soins de santé</w:t>
            </w:r>
          </w:p>
        </w:tc>
        <w:tc>
          <w:tcPr>
            <w:tcW w:w="760" w:type="dxa"/>
            <w:shd w:val="clear" w:color="auto" w:fill="auto"/>
            <w:noWrap/>
            <w:vAlign w:val="bottom"/>
          </w:tcPr>
          <w:p w14:paraId="6E9951CC" w14:textId="77777777" w:rsidR="007E41FF" w:rsidRPr="00585BF5" w:rsidRDefault="007E41FF" w:rsidP="00585BF5">
            <w:pPr>
              <w:tabs>
                <w:tab w:val="left" w:pos="288"/>
                <w:tab w:val="left" w:pos="576"/>
                <w:tab w:val="left" w:pos="864"/>
                <w:tab w:val="left" w:pos="1152"/>
              </w:tabs>
              <w:spacing w:before="40" w:after="40" w:line="210" w:lineRule="exact"/>
              <w:ind w:left="144" w:right="43"/>
              <w:jc w:val="right"/>
              <w:rPr>
                <w:sz w:val="17"/>
              </w:rPr>
            </w:pPr>
            <w:r w:rsidRPr="00585BF5">
              <w:rPr>
                <w:sz w:val="17"/>
              </w:rPr>
              <w:t>943</w:t>
            </w:r>
          </w:p>
        </w:tc>
        <w:tc>
          <w:tcPr>
            <w:tcW w:w="760" w:type="dxa"/>
            <w:shd w:val="clear" w:color="auto" w:fill="auto"/>
            <w:noWrap/>
            <w:vAlign w:val="bottom"/>
          </w:tcPr>
          <w:p w14:paraId="65CC8892" w14:textId="77777777" w:rsidR="007E41FF" w:rsidRPr="00585BF5" w:rsidRDefault="007E41FF" w:rsidP="00585BF5">
            <w:pPr>
              <w:tabs>
                <w:tab w:val="left" w:pos="288"/>
                <w:tab w:val="left" w:pos="576"/>
                <w:tab w:val="left" w:pos="864"/>
                <w:tab w:val="left" w:pos="1152"/>
              </w:tabs>
              <w:spacing w:before="40" w:after="40" w:line="210" w:lineRule="exact"/>
              <w:ind w:left="144" w:right="43"/>
              <w:jc w:val="right"/>
              <w:rPr>
                <w:sz w:val="17"/>
              </w:rPr>
            </w:pPr>
            <w:r w:rsidRPr="00585BF5">
              <w:rPr>
                <w:sz w:val="17"/>
              </w:rPr>
              <w:t>1 906</w:t>
            </w:r>
          </w:p>
        </w:tc>
        <w:tc>
          <w:tcPr>
            <w:tcW w:w="760" w:type="dxa"/>
            <w:shd w:val="clear" w:color="auto" w:fill="auto"/>
            <w:noWrap/>
            <w:vAlign w:val="bottom"/>
          </w:tcPr>
          <w:p w14:paraId="04D6FE5F" w14:textId="77777777" w:rsidR="007E41FF" w:rsidRPr="00585BF5" w:rsidRDefault="007E41FF" w:rsidP="00585BF5">
            <w:pPr>
              <w:tabs>
                <w:tab w:val="left" w:pos="288"/>
                <w:tab w:val="left" w:pos="576"/>
                <w:tab w:val="left" w:pos="864"/>
                <w:tab w:val="left" w:pos="1152"/>
              </w:tabs>
              <w:spacing w:before="40" w:after="40" w:line="210" w:lineRule="exact"/>
              <w:ind w:left="144" w:right="43"/>
              <w:jc w:val="right"/>
              <w:rPr>
                <w:sz w:val="17"/>
              </w:rPr>
            </w:pPr>
            <w:r w:rsidRPr="00585BF5">
              <w:rPr>
                <w:sz w:val="17"/>
              </w:rPr>
              <w:t>2 875</w:t>
            </w:r>
          </w:p>
        </w:tc>
      </w:tr>
      <w:tr w:rsidR="0015207D" w:rsidRPr="00585BF5" w14:paraId="6B334B26" w14:textId="77777777" w:rsidTr="00585BF5">
        <w:tc>
          <w:tcPr>
            <w:tcW w:w="360" w:type="dxa"/>
            <w:shd w:val="clear" w:color="auto" w:fill="auto"/>
            <w:noWrap/>
          </w:tcPr>
          <w:p w14:paraId="7AA3C9C5" w14:textId="77777777" w:rsidR="007E41FF" w:rsidRPr="00585BF5" w:rsidRDefault="007E41FF" w:rsidP="00585BF5">
            <w:pPr>
              <w:tabs>
                <w:tab w:val="left" w:pos="288"/>
                <w:tab w:val="left" w:pos="576"/>
                <w:tab w:val="left" w:pos="864"/>
                <w:tab w:val="left" w:pos="1152"/>
              </w:tabs>
              <w:spacing w:before="40" w:after="40" w:line="210" w:lineRule="exact"/>
              <w:ind w:right="40"/>
              <w:rPr>
                <w:sz w:val="17"/>
              </w:rPr>
            </w:pPr>
            <w:r w:rsidRPr="00585BF5">
              <w:rPr>
                <w:sz w:val="17"/>
              </w:rPr>
              <w:t>7</w:t>
            </w:r>
          </w:p>
        </w:tc>
        <w:tc>
          <w:tcPr>
            <w:tcW w:w="4680" w:type="dxa"/>
            <w:shd w:val="clear" w:color="auto" w:fill="auto"/>
            <w:noWrap/>
          </w:tcPr>
          <w:p w14:paraId="788088AB" w14:textId="2C3B2892" w:rsidR="007E41FF" w:rsidRPr="00585BF5" w:rsidRDefault="007E41FF" w:rsidP="00585BF5">
            <w:pPr>
              <w:tabs>
                <w:tab w:val="left" w:pos="288"/>
                <w:tab w:val="left" w:pos="576"/>
                <w:tab w:val="left" w:pos="864"/>
                <w:tab w:val="left" w:pos="1152"/>
              </w:tabs>
              <w:spacing w:before="40" w:after="40" w:line="210" w:lineRule="exact"/>
              <w:ind w:left="144" w:right="43"/>
              <w:rPr>
                <w:sz w:val="17"/>
              </w:rPr>
            </w:pPr>
            <w:r w:rsidRPr="00585BF5">
              <w:rPr>
                <w:sz w:val="17"/>
              </w:rPr>
              <w:t>Nombre de parties lésées qui sont des femmes handicapées, des femmes enceintes, des femmes qui viennent d</w:t>
            </w:r>
            <w:r w:rsidR="00DE1F39" w:rsidRPr="00585BF5">
              <w:rPr>
                <w:sz w:val="17"/>
              </w:rPr>
              <w:t>’</w:t>
            </w:r>
            <w:r w:rsidRPr="00585BF5">
              <w:rPr>
                <w:sz w:val="17"/>
              </w:rPr>
              <w:t>accoucher ou des femmes âgées</w:t>
            </w:r>
          </w:p>
        </w:tc>
        <w:tc>
          <w:tcPr>
            <w:tcW w:w="760" w:type="dxa"/>
            <w:shd w:val="clear" w:color="auto" w:fill="auto"/>
            <w:noWrap/>
            <w:vAlign w:val="bottom"/>
          </w:tcPr>
          <w:p w14:paraId="2B7F3D8F" w14:textId="77777777" w:rsidR="007E41FF" w:rsidRPr="00585BF5" w:rsidRDefault="007E41FF" w:rsidP="00585BF5">
            <w:pPr>
              <w:tabs>
                <w:tab w:val="left" w:pos="288"/>
                <w:tab w:val="left" w:pos="576"/>
                <w:tab w:val="left" w:pos="864"/>
                <w:tab w:val="left" w:pos="1152"/>
              </w:tabs>
              <w:spacing w:before="40" w:after="40" w:line="210" w:lineRule="exact"/>
              <w:ind w:left="144" w:right="43"/>
              <w:jc w:val="right"/>
              <w:rPr>
                <w:sz w:val="17"/>
              </w:rPr>
            </w:pPr>
            <w:r w:rsidRPr="00585BF5">
              <w:rPr>
                <w:sz w:val="17"/>
              </w:rPr>
              <w:t>102</w:t>
            </w:r>
          </w:p>
        </w:tc>
        <w:tc>
          <w:tcPr>
            <w:tcW w:w="760" w:type="dxa"/>
            <w:shd w:val="clear" w:color="auto" w:fill="auto"/>
            <w:noWrap/>
            <w:vAlign w:val="bottom"/>
          </w:tcPr>
          <w:p w14:paraId="2438E82A" w14:textId="77777777" w:rsidR="007E41FF" w:rsidRPr="00585BF5" w:rsidRDefault="007E41FF" w:rsidP="00585BF5">
            <w:pPr>
              <w:tabs>
                <w:tab w:val="left" w:pos="288"/>
                <w:tab w:val="left" w:pos="576"/>
                <w:tab w:val="left" w:pos="864"/>
                <w:tab w:val="left" w:pos="1152"/>
              </w:tabs>
              <w:spacing w:before="40" w:after="40" w:line="210" w:lineRule="exact"/>
              <w:ind w:left="144" w:right="43"/>
              <w:jc w:val="right"/>
              <w:rPr>
                <w:sz w:val="17"/>
              </w:rPr>
            </w:pPr>
            <w:r w:rsidRPr="00585BF5">
              <w:rPr>
                <w:sz w:val="17"/>
              </w:rPr>
              <w:t>220</w:t>
            </w:r>
          </w:p>
        </w:tc>
        <w:tc>
          <w:tcPr>
            <w:tcW w:w="760" w:type="dxa"/>
            <w:shd w:val="clear" w:color="auto" w:fill="auto"/>
            <w:noWrap/>
            <w:vAlign w:val="bottom"/>
          </w:tcPr>
          <w:p w14:paraId="51880BA3" w14:textId="77777777" w:rsidR="007E41FF" w:rsidRPr="00585BF5" w:rsidRDefault="007E41FF" w:rsidP="00585BF5">
            <w:pPr>
              <w:tabs>
                <w:tab w:val="left" w:pos="288"/>
                <w:tab w:val="left" w:pos="576"/>
                <w:tab w:val="left" w:pos="864"/>
                <w:tab w:val="left" w:pos="1152"/>
              </w:tabs>
              <w:spacing w:before="40" w:after="40" w:line="210" w:lineRule="exact"/>
              <w:ind w:left="144" w:right="43"/>
              <w:jc w:val="right"/>
              <w:rPr>
                <w:sz w:val="17"/>
              </w:rPr>
            </w:pPr>
            <w:r w:rsidRPr="00585BF5">
              <w:rPr>
                <w:sz w:val="17"/>
              </w:rPr>
              <w:t>323</w:t>
            </w:r>
          </w:p>
        </w:tc>
      </w:tr>
      <w:tr w:rsidR="0015207D" w:rsidRPr="00585BF5" w14:paraId="3F5B83B0" w14:textId="77777777" w:rsidTr="00585BF5">
        <w:tc>
          <w:tcPr>
            <w:tcW w:w="360" w:type="dxa"/>
            <w:shd w:val="clear" w:color="auto" w:fill="auto"/>
            <w:noWrap/>
          </w:tcPr>
          <w:p w14:paraId="29D6CFF7" w14:textId="77777777" w:rsidR="007E41FF" w:rsidRPr="00585BF5" w:rsidRDefault="007E41FF" w:rsidP="00585BF5">
            <w:pPr>
              <w:tabs>
                <w:tab w:val="left" w:pos="288"/>
                <w:tab w:val="left" w:pos="576"/>
                <w:tab w:val="left" w:pos="864"/>
                <w:tab w:val="left" w:pos="1152"/>
              </w:tabs>
              <w:spacing w:before="40" w:after="40" w:line="210" w:lineRule="exact"/>
              <w:ind w:right="40"/>
              <w:rPr>
                <w:sz w:val="17"/>
              </w:rPr>
            </w:pPr>
            <w:r w:rsidRPr="00585BF5">
              <w:rPr>
                <w:sz w:val="17"/>
              </w:rPr>
              <w:t>8</w:t>
            </w:r>
          </w:p>
        </w:tc>
        <w:tc>
          <w:tcPr>
            <w:tcW w:w="4680" w:type="dxa"/>
            <w:shd w:val="clear" w:color="auto" w:fill="auto"/>
            <w:noWrap/>
          </w:tcPr>
          <w:p w14:paraId="30F50495" w14:textId="6E7099C5" w:rsidR="007E41FF" w:rsidRPr="00585BF5" w:rsidRDefault="007E41FF" w:rsidP="00585BF5">
            <w:pPr>
              <w:tabs>
                <w:tab w:val="left" w:pos="288"/>
                <w:tab w:val="left" w:pos="576"/>
                <w:tab w:val="left" w:pos="864"/>
                <w:tab w:val="left" w:pos="1152"/>
              </w:tabs>
              <w:spacing w:before="40" w:after="40" w:line="210" w:lineRule="exact"/>
              <w:ind w:left="144" w:right="43"/>
              <w:rPr>
                <w:sz w:val="17"/>
              </w:rPr>
            </w:pPr>
            <w:r w:rsidRPr="00585BF5">
              <w:rPr>
                <w:sz w:val="17"/>
              </w:rPr>
              <w:t>Nombre de parties lésées qui ont déclaré appartenir à la minorité rom, s</w:t>
            </w:r>
            <w:r w:rsidR="00DE1F39" w:rsidRPr="00585BF5">
              <w:rPr>
                <w:sz w:val="17"/>
              </w:rPr>
              <w:t>’</w:t>
            </w:r>
            <w:r w:rsidRPr="00585BF5">
              <w:rPr>
                <w:sz w:val="17"/>
              </w:rPr>
              <w:t>il est possible d</w:t>
            </w:r>
            <w:r w:rsidR="00DE1F39" w:rsidRPr="00585BF5">
              <w:rPr>
                <w:sz w:val="17"/>
              </w:rPr>
              <w:t>’</w:t>
            </w:r>
            <w:r w:rsidRPr="00585BF5">
              <w:rPr>
                <w:sz w:val="17"/>
              </w:rPr>
              <w:t>obtenir ces données</w:t>
            </w:r>
          </w:p>
        </w:tc>
        <w:tc>
          <w:tcPr>
            <w:tcW w:w="760" w:type="dxa"/>
            <w:shd w:val="clear" w:color="auto" w:fill="auto"/>
            <w:noWrap/>
            <w:vAlign w:val="bottom"/>
          </w:tcPr>
          <w:p w14:paraId="7E662AFF" w14:textId="77777777" w:rsidR="007E41FF" w:rsidRPr="00585BF5" w:rsidRDefault="007E41FF" w:rsidP="00585BF5">
            <w:pPr>
              <w:tabs>
                <w:tab w:val="left" w:pos="288"/>
                <w:tab w:val="left" w:pos="576"/>
                <w:tab w:val="left" w:pos="864"/>
                <w:tab w:val="left" w:pos="1152"/>
              </w:tabs>
              <w:spacing w:before="40" w:after="40" w:line="210" w:lineRule="exact"/>
              <w:ind w:left="144" w:right="43"/>
              <w:jc w:val="right"/>
              <w:rPr>
                <w:sz w:val="17"/>
              </w:rPr>
            </w:pPr>
            <w:r w:rsidRPr="00585BF5">
              <w:rPr>
                <w:sz w:val="17"/>
              </w:rPr>
              <w:t>77</w:t>
            </w:r>
          </w:p>
        </w:tc>
        <w:tc>
          <w:tcPr>
            <w:tcW w:w="760" w:type="dxa"/>
            <w:shd w:val="clear" w:color="auto" w:fill="auto"/>
            <w:noWrap/>
            <w:vAlign w:val="bottom"/>
          </w:tcPr>
          <w:p w14:paraId="18CAF8DB" w14:textId="77777777" w:rsidR="007E41FF" w:rsidRPr="00585BF5" w:rsidRDefault="007E41FF" w:rsidP="00585BF5">
            <w:pPr>
              <w:tabs>
                <w:tab w:val="left" w:pos="288"/>
                <w:tab w:val="left" w:pos="576"/>
                <w:tab w:val="left" w:pos="864"/>
                <w:tab w:val="left" w:pos="1152"/>
              </w:tabs>
              <w:spacing w:before="40" w:after="40" w:line="210" w:lineRule="exact"/>
              <w:ind w:left="144" w:right="43"/>
              <w:jc w:val="right"/>
              <w:rPr>
                <w:sz w:val="17"/>
              </w:rPr>
            </w:pPr>
            <w:r w:rsidRPr="00585BF5">
              <w:rPr>
                <w:sz w:val="17"/>
              </w:rPr>
              <w:t>84</w:t>
            </w:r>
          </w:p>
        </w:tc>
        <w:tc>
          <w:tcPr>
            <w:tcW w:w="760" w:type="dxa"/>
            <w:shd w:val="clear" w:color="auto" w:fill="auto"/>
            <w:noWrap/>
            <w:vAlign w:val="bottom"/>
          </w:tcPr>
          <w:p w14:paraId="181A2DCB" w14:textId="77777777" w:rsidR="007E41FF" w:rsidRPr="00585BF5" w:rsidRDefault="007E41FF" w:rsidP="00585BF5">
            <w:pPr>
              <w:tabs>
                <w:tab w:val="left" w:pos="288"/>
                <w:tab w:val="left" w:pos="576"/>
                <w:tab w:val="left" w:pos="864"/>
                <w:tab w:val="left" w:pos="1152"/>
              </w:tabs>
              <w:spacing w:before="40" w:after="40" w:line="210" w:lineRule="exact"/>
              <w:ind w:left="144" w:right="43"/>
              <w:jc w:val="right"/>
              <w:rPr>
                <w:sz w:val="17"/>
              </w:rPr>
            </w:pPr>
            <w:r w:rsidRPr="00585BF5">
              <w:rPr>
                <w:sz w:val="17"/>
              </w:rPr>
              <w:t>166</w:t>
            </w:r>
          </w:p>
        </w:tc>
      </w:tr>
      <w:tr w:rsidR="0015207D" w:rsidRPr="00585BF5" w14:paraId="4389B895" w14:textId="77777777" w:rsidTr="00585BF5">
        <w:tc>
          <w:tcPr>
            <w:tcW w:w="360" w:type="dxa"/>
            <w:shd w:val="clear" w:color="auto" w:fill="auto"/>
            <w:noWrap/>
          </w:tcPr>
          <w:p w14:paraId="34D7C098" w14:textId="77777777" w:rsidR="007E41FF" w:rsidRPr="00585BF5" w:rsidRDefault="007E41FF" w:rsidP="00585BF5">
            <w:pPr>
              <w:tabs>
                <w:tab w:val="left" w:pos="288"/>
                <w:tab w:val="left" w:pos="576"/>
                <w:tab w:val="left" w:pos="864"/>
                <w:tab w:val="left" w:pos="1152"/>
              </w:tabs>
              <w:spacing w:before="40" w:after="40" w:line="210" w:lineRule="exact"/>
              <w:ind w:right="40"/>
              <w:rPr>
                <w:sz w:val="17"/>
              </w:rPr>
            </w:pPr>
            <w:r w:rsidRPr="00585BF5">
              <w:rPr>
                <w:sz w:val="17"/>
              </w:rPr>
              <w:t>9</w:t>
            </w:r>
          </w:p>
        </w:tc>
        <w:tc>
          <w:tcPr>
            <w:tcW w:w="4680" w:type="dxa"/>
            <w:shd w:val="clear" w:color="auto" w:fill="auto"/>
            <w:noWrap/>
          </w:tcPr>
          <w:p w14:paraId="54044FE6" w14:textId="464D999C" w:rsidR="007E41FF" w:rsidRPr="00585BF5" w:rsidRDefault="007E41FF" w:rsidP="00585BF5">
            <w:pPr>
              <w:tabs>
                <w:tab w:val="left" w:pos="288"/>
                <w:tab w:val="left" w:pos="576"/>
                <w:tab w:val="left" w:pos="864"/>
                <w:tab w:val="left" w:pos="1152"/>
              </w:tabs>
              <w:spacing w:before="40" w:after="40" w:line="210" w:lineRule="exact"/>
              <w:ind w:left="144" w:right="43"/>
              <w:rPr>
                <w:sz w:val="17"/>
              </w:rPr>
            </w:pPr>
            <w:r w:rsidRPr="00585BF5">
              <w:rPr>
                <w:sz w:val="17"/>
              </w:rPr>
              <w:t>Nombre de signalements où un médecin a signalé à la police, au parquet ou à un centre d</w:t>
            </w:r>
            <w:r w:rsidR="00DE1F39" w:rsidRPr="00585BF5">
              <w:rPr>
                <w:sz w:val="17"/>
              </w:rPr>
              <w:t>’</w:t>
            </w:r>
            <w:r w:rsidRPr="00585BF5">
              <w:rPr>
                <w:sz w:val="17"/>
              </w:rPr>
              <w:t xml:space="preserve">action sociale un cas de violence au sein du couple ou de violence sexiste </w:t>
            </w:r>
          </w:p>
        </w:tc>
        <w:tc>
          <w:tcPr>
            <w:tcW w:w="760" w:type="dxa"/>
            <w:shd w:val="clear" w:color="auto" w:fill="auto"/>
            <w:noWrap/>
            <w:vAlign w:val="bottom"/>
          </w:tcPr>
          <w:p w14:paraId="26301A76" w14:textId="77777777" w:rsidR="007E41FF" w:rsidRPr="00585BF5" w:rsidRDefault="007E41FF" w:rsidP="00585BF5">
            <w:pPr>
              <w:tabs>
                <w:tab w:val="left" w:pos="288"/>
                <w:tab w:val="left" w:pos="576"/>
                <w:tab w:val="left" w:pos="864"/>
                <w:tab w:val="left" w:pos="1152"/>
              </w:tabs>
              <w:spacing w:before="40" w:after="40" w:line="210" w:lineRule="exact"/>
              <w:ind w:left="144" w:right="43"/>
              <w:jc w:val="right"/>
              <w:rPr>
                <w:sz w:val="17"/>
              </w:rPr>
            </w:pPr>
            <w:r w:rsidRPr="00585BF5">
              <w:rPr>
                <w:sz w:val="17"/>
              </w:rPr>
              <w:t>686</w:t>
            </w:r>
          </w:p>
        </w:tc>
        <w:tc>
          <w:tcPr>
            <w:tcW w:w="760" w:type="dxa"/>
            <w:shd w:val="clear" w:color="auto" w:fill="auto"/>
            <w:noWrap/>
            <w:vAlign w:val="bottom"/>
          </w:tcPr>
          <w:p w14:paraId="3657CF57" w14:textId="77777777" w:rsidR="007E41FF" w:rsidRPr="00585BF5" w:rsidRDefault="007E41FF" w:rsidP="00585BF5">
            <w:pPr>
              <w:tabs>
                <w:tab w:val="left" w:pos="288"/>
                <w:tab w:val="left" w:pos="576"/>
                <w:tab w:val="left" w:pos="864"/>
                <w:tab w:val="left" w:pos="1152"/>
              </w:tabs>
              <w:spacing w:before="40" w:after="40" w:line="210" w:lineRule="exact"/>
              <w:ind w:left="144" w:right="43"/>
              <w:jc w:val="right"/>
              <w:rPr>
                <w:sz w:val="17"/>
              </w:rPr>
            </w:pPr>
            <w:r w:rsidRPr="00585BF5">
              <w:rPr>
                <w:sz w:val="17"/>
              </w:rPr>
              <w:t>1361</w:t>
            </w:r>
          </w:p>
        </w:tc>
        <w:tc>
          <w:tcPr>
            <w:tcW w:w="760" w:type="dxa"/>
            <w:shd w:val="clear" w:color="auto" w:fill="auto"/>
            <w:noWrap/>
            <w:vAlign w:val="bottom"/>
          </w:tcPr>
          <w:p w14:paraId="0829B822" w14:textId="77777777" w:rsidR="007E41FF" w:rsidRPr="00585BF5" w:rsidRDefault="007E41FF" w:rsidP="00585BF5">
            <w:pPr>
              <w:tabs>
                <w:tab w:val="left" w:pos="288"/>
                <w:tab w:val="left" w:pos="576"/>
                <w:tab w:val="left" w:pos="864"/>
                <w:tab w:val="left" w:pos="1152"/>
              </w:tabs>
              <w:spacing w:before="40" w:after="40" w:line="210" w:lineRule="exact"/>
              <w:ind w:left="144" w:right="43"/>
              <w:jc w:val="right"/>
              <w:rPr>
                <w:sz w:val="17"/>
              </w:rPr>
            </w:pPr>
            <w:r w:rsidRPr="00585BF5">
              <w:rPr>
                <w:sz w:val="17"/>
              </w:rPr>
              <w:t>2 062</w:t>
            </w:r>
          </w:p>
        </w:tc>
      </w:tr>
      <w:tr w:rsidR="00585BF5" w:rsidRPr="00585BF5" w14:paraId="281646D0" w14:textId="77777777" w:rsidTr="00585BF5">
        <w:tc>
          <w:tcPr>
            <w:tcW w:w="360" w:type="dxa"/>
            <w:tcBorders>
              <w:bottom w:val="single" w:sz="12" w:space="0" w:color="auto"/>
            </w:tcBorders>
            <w:shd w:val="clear" w:color="auto" w:fill="auto"/>
            <w:noWrap/>
          </w:tcPr>
          <w:p w14:paraId="157B09DE" w14:textId="77777777" w:rsidR="007E41FF" w:rsidRPr="00585BF5" w:rsidRDefault="007E41FF" w:rsidP="00585BF5">
            <w:pPr>
              <w:tabs>
                <w:tab w:val="left" w:pos="288"/>
                <w:tab w:val="left" w:pos="576"/>
                <w:tab w:val="left" w:pos="864"/>
                <w:tab w:val="left" w:pos="1152"/>
              </w:tabs>
              <w:spacing w:before="40" w:after="40" w:line="210" w:lineRule="exact"/>
              <w:ind w:right="40"/>
              <w:rPr>
                <w:sz w:val="17"/>
              </w:rPr>
            </w:pPr>
            <w:r w:rsidRPr="00585BF5">
              <w:rPr>
                <w:sz w:val="17"/>
              </w:rPr>
              <w:t>10</w:t>
            </w:r>
          </w:p>
        </w:tc>
        <w:tc>
          <w:tcPr>
            <w:tcW w:w="4680" w:type="dxa"/>
            <w:tcBorders>
              <w:bottom w:val="single" w:sz="12" w:space="0" w:color="auto"/>
            </w:tcBorders>
            <w:shd w:val="clear" w:color="auto" w:fill="auto"/>
            <w:noWrap/>
          </w:tcPr>
          <w:p w14:paraId="2C36460B" w14:textId="7A1879A8" w:rsidR="007E41FF" w:rsidRPr="00585BF5" w:rsidRDefault="007E41FF" w:rsidP="00585BF5">
            <w:pPr>
              <w:tabs>
                <w:tab w:val="left" w:pos="288"/>
                <w:tab w:val="left" w:pos="576"/>
                <w:tab w:val="left" w:pos="864"/>
                <w:tab w:val="left" w:pos="1152"/>
              </w:tabs>
              <w:spacing w:before="40" w:after="40" w:line="210" w:lineRule="exact"/>
              <w:ind w:left="144" w:right="43"/>
              <w:rPr>
                <w:sz w:val="17"/>
              </w:rPr>
            </w:pPr>
            <w:r w:rsidRPr="00585BF5">
              <w:rPr>
                <w:sz w:val="17"/>
              </w:rPr>
              <w:t>Nombre de cas où un acte de violence a été reconnu mais le médecin ne l</w:t>
            </w:r>
            <w:r w:rsidR="00DE1F39" w:rsidRPr="00585BF5">
              <w:rPr>
                <w:sz w:val="17"/>
              </w:rPr>
              <w:t>’</w:t>
            </w:r>
            <w:r w:rsidRPr="00585BF5">
              <w:rPr>
                <w:sz w:val="17"/>
              </w:rPr>
              <w:t>a pas signalé aux services indiqués</w:t>
            </w:r>
          </w:p>
        </w:tc>
        <w:tc>
          <w:tcPr>
            <w:tcW w:w="760" w:type="dxa"/>
            <w:tcBorders>
              <w:bottom w:val="single" w:sz="12" w:space="0" w:color="auto"/>
            </w:tcBorders>
            <w:shd w:val="clear" w:color="auto" w:fill="auto"/>
            <w:noWrap/>
            <w:vAlign w:val="bottom"/>
          </w:tcPr>
          <w:p w14:paraId="152663FE" w14:textId="77777777" w:rsidR="007E41FF" w:rsidRPr="00585BF5" w:rsidRDefault="007E41FF" w:rsidP="00585BF5">
            <w:pPr>
              <w:tabs>
                <w:tab w:val="left" w:pos="288"/>
                <w:tab w:val="left" w:pos="576"/>
                <w:tab w:val="left" w:pos="864"/>
                <w:tab w:val="left" w:pos="1152"/>
              </w:tabs>
              <w:spacing w:before="40" w:after="40" w:line="210" w:lineRule="exact"/>
              <w:ind w:left="144" w:right="43"/>
              <w:jc w:val="right"/>
              <w:rPr>
                <w:sz w:val="17"/>
              </w:rPr>
            </w:pPr>
            <w:r w:rsidRPr="00585BF5">
              <w:rPr>
                <w:sz w:val="17"/>
              </w:rPr>
              <w:t>6</w:t>
            </w:r>
          </w:p>
        </w:tc>
        <w:tc>
          <w:tcPr>
            <w:tcW w:w="760" w:type="dxa"/>
            <w:tcBorders>
              <w:bottom w:val="single" w:sz="12" w:space="0" w:color="auto"/>
            </w:tcBorders>
            <w:shd w:val="clear" w:color="auto" w:fill="auto"/>
            <w:noWrap/>
            <w:vAlign w:val="bottom"/>
          </w:tcPr>
          <w:p w14:paraId="53F832BC" w14:textId="77777777" w:rsidR="007E41FF" w:rsidRPr="00585BF5" w:rsidRDefault="007E41FF" w:rsidP="00585BF5">
            <w:pPr>
              <w:tabs>
                <w:tab w:val="left" w:pos="288"/>
                <w:tab w:val="left" w:pos="576"/>
                <w:tab w:val="left" w:pos="864"/>
                <w:tab w:val="left" w:pos="1152"/>
              </w:tabs>
              <w:spacing w:before="40" w:after="40" w:line="210" w:lineRule="exact"/>
              <w:ind w:left="144" w:right="43"/>
              <w:jc w:val="right"/>
              <w:rPr>
                <w:sz w:val="17"/>
              </w:rPr>
            </w:pPr>
            <w:r w:rsidRPr="00585BF5">
              <w:rPr>
                <w:sz w:val="17"/>
              </w:rPr>
              <w:t>90</w:t>
            </w:r>
          </w:p>
        </w:tc>
        <w:tc>
          <w:tcPr>
            <w:tcW w:w="760" w:type="dxa"/>
            <w:tcBorders>
              <w:bottom w:val="single" w:sz="12" w:space="0" w:color="auto"/>
            </w:tcBorders>
            <w:shd w:val="clear" w:color="auto" w:fill="auto"/>
            <w:noWrap/>
            <w:vAlign w:val="bottom"/>
          </w:tcPr>
          <w:p w14:paraId="0714127F" w14:textId="77777777" w:rsidR="007E41FF" w:rsidRPr="00585BF5" w:rsidRDefault="007E41FF" w:rsidP="00585BF5">
            <w:pPr>
              <w:tabs>
                <w:tab w:val="left" w:pos="288"/>
                <w:tab w:val="left" w:pos="576"/>
                <w:tab w:val="left" w:pos="864"/>
                <w:tab w:val="left" w:pos="1152"/>
              </w:tabs>
              <w:spacing w:before="40" w:after="40" w:line="210" w:lineRule="exact"/>
              <w:ind w:left="144" w:right="43"/>
              <w:jc w:val="right"/>
              <w:rPr>
                <w:sz w:val="17"/>
              </w:rPr>
            </w:pPr>
            <w:r w:rsidRPr="00585BF5">
              <w:rPr>
                <w:sz w:val="17"/>
              </w:rPr>
              <w:t>98</w:t>
            </w:r>
          </w:p>
        </w:tc>
      </w:tr>
    </w:tbl>
    <w:p w14:paraId="109F7A99" w14:textId="79A767A2" w:rsidR="007E41FF" w:rsidRPr="007E41FF" w:rsidRDefault="007E41FF" w:rsidP="007E41FF">
      <w:pPr>
        <w:pStyle w:val="SingleTxt"/>
        <w:spacing w:after="0" w:line="120" w:lineRule="exact"/>
        <w:rPr>
          <w:sz w:val="10"/>
        </w:rPr>
      </w:pPr>
    </w:p>
    <w:p w14:paraId="263FBC65" w14:textId="762B42FC" w:rsidR="007E41FF" w:rsidRPr="007E41FF" w:rsidRDefault="007E41FF" w:rsidP="007E41FF">
      <w:pPr>
        <w:pStyle w:val="SingleTxt"/>
        <w:spacing w:after="0" w:line="120" w:lineRule="exact"/>
        <w:rPr>
          <w:sz w:val="10"/>
        </w:rPr>
      </w:pPr>
    </w:p>
    <w:p w14:paraId="59BF8731" w14:textId="272A4F8A" w:rsidR="007E41FF" w:rsidRPr="007E41FF" w:rsidRDefault="007E41FF" w:rsidP="00172AC5">
      <w:pPr>
        <w:pStyle w:val="SingleTxt"/>
        <w:numPr>
          <w:ilvl w:val="0"/>
          <w:numId w:val="23"/>
        </w:numPr>
        <w:tabs>
          <w:tab w:val="left" w:pos="1742"/>
        </w:tabs>
        <w:spacing w:line="240" w:lineRule="exact"/>
        <w:rPr>
          <w:lang w:val="fr-FR"/>
        </w:rPr>
      </w:pPr>
      <w:r w:rsidRPr="007E41FF">
        <w:rPr>
          <w:lang w:val="fr-FR"/>
        </w:rPr>
        <w:t>En 2017, 11 671 personnes ont été signalées pour des actes criminels de violence domestique tels qu</w:t>
      </w:r>
      <w:r w:rsidR="00DE1F39">
        <w:rPr>
          <w:lang w:val="fr-FR"/>
        </w:rPr>
        <w:t>’</w:t>
      </w:r>
      <w:r w:rsidRPr="007E41FF">
        <w:rPr>
          <w:lang w:val="fr-FR"/>
        </w:rPr>
        <w:t>ils sont définis par l</w:t>
      </w:r>
      <w:r w:rsidR="00DE1F39">
        <w:rPr>
          <w:lang w:val="fr-FR"/>
        </w:rPr>
        <w:t>’</w:t>
      </w:r>
      <w:r w:rsidRPr="007E41FF">
        <w:rPr>
          <w:lang w:val="fr-FR"/>
        </w:rPr>
        <w:t>Article 194 du Code pénal. Par comparaison avec la même période de l</w:t>
      </w:r>
      <w:r w:rsidR="00DE1F39">
        <w:rPr>
          <w:lang w:val="fr-FR"/>
        </w:rPr>
        <w:t>’</w:t>
      </w:r>
      <w:r w:rsidRPr="007E41FF">
        <w:rPr>
          <w:lang w:val="fr-FR"/>
        </w:rPr>
        <w:t>année précédente où 10 245 personnes avaient été signalées, cela représente une augmentation de 13,92 %. Les parquets ont émis des ordonnances d</w:t>
      </w:r>
      <w:r w:rsidR="00DE1F39">
        <w:rPr>
          <w:lang w:val="fr-FR"/>
        </w:rPr>
        <w:t>’</w:t>
      </w:r>
      <w:r w:rsidRPr="007E41FF">
        <w:rPr>
          <w:lang w:val="fr-FR"/>
        </w:rPr>
        <w:t>ouverture d</w:t>
      </w:r>
      <w:r w:rsidR="00DE1F39">
        <w:rPr>
          <w:lang w:val="fr-FR"/>
        </w:rPr>
        <w:t>’</w:t>
      </w:r>
      <w:r w:rsidRPr="007E41FF">
        <w:rPr>
          <w:lang w:val="fr-FR"/>
        </w:rPr>
        <w:t>enquête à l</w:t>
      </w:r>
      <w:r w:rsidR="00DE1F39">
        <w:rPr>
          <w:lang w:val="fr-FR"/>
        </w:rPr>
        <w:t>’</w:t>
      </w:r>
      <w:r w:rsidRPr="007E41FF">
        <w:rPr>
          <w:lang w:val="fr-FR"/>
        </w:rPr>
        <w:t xml:space="preserve">encontre de 417 personnes. </w:t>
      </w:r>
    </w:p>
    <w:p w14:paraId="23B24EA0" w14:textId="77777777" w:rsidR="007E41FF" w:rsidRPr="007E41FF" w:rsidRDefault="007E41FF" w:rsidP="00172AC5">
      <w:pPr>
        <w:pStyle w:val="SingleTxt"/>
        <w:numPr>
          <w:ilvl w:val="0"/>
          <w:numId w:val="22"/>
        </w:numPr>
        <w:tabs>
          <w:tab w:val="left" w:pos="1742"/>
        </w:tabs>
        <w:spacing w:line="240" w:lineRule="exact"/>
        <w:rPr>
          <w:lang w:val="fr-FR"/>
        </w:rPr>
      </w:pPr>
      <w:r w:rsidRPr="007E41FF">
        <w:rPr>
          <w:lang w:val="fr-FR"/>
        </w:rPr>
        <w:t>Pendant la période considérée, 4 425 personnes ont été accusées (4 108 hommes et 317 femmes), soit 38,56 % du nombre total des personnes signalées selon les signalements maintenus après un non-lieu.</w:t>
      </w:r>
    </w:p>
    <w:p w14:paraId="74B5A4A5" w14:textId="68E6676A" w:rsidR="007E41FF" w:rsidRPr="007E41FF" w:rsidRDefault="007E41FF" w:rsidP="007E41FF">
      <w:pPr>
        <w:pStyle w:val="SingleTxt"/>
        <w:spacing w:after="0" w:line="120" w:lineRule="exact"/>
        <w:rPr>
          <w:sz w:val="10"/>
        </w:rPr>
      </w:pPr>
    </w:p>
    <w:tbl>
      <w:tblPr>
        <w:tblW w:w="7320" w:type="dxa"/>
        <w:tblInd w:w="1260" w:type="dxa"/>
        <w:tblLayout w:type="fixed"/>
        <w:tblCellMar>
          <w:left w:w="0" w:type="dxa"/>
          <w:right w:w="0" w:type="dxa"/>
        </w:tblCellMar>
        <w:tblLook w:val="00A0" w:firstRow="1" w:lastRow="0" w:firstColumn="1" w:lastColumn="0" w:noHBand="0" w:noVBand="0"/>
      </w:tblPr>
      <w:tblGrid>
        <w:gridCol w:w="3660"/>
        <w:gridCol w:w="3660"/>
      </w:tblGrid>
      <w:tr w:rsidR="00585BF5" w:rsidRPr="00585BF5" w14:paraId="1FBD6DE1" w14:textId="77777777" w:rsidTr="00585BF5">
        <w:trPr>
          <w:tblHeader/>
        </w:trPr>
        <w:tc>
          <w:tcPr>
            <w:tcW w:w="7320" w:type="dxa"/>
            <w:gridSpan w:val="2"/>
            <w:tcBorders>
              <w:top w:val="single" w:sz="4" w:space="0" w:color="auto"/>
              <w:bottom w:val="single" w:sz="12" w:space="0" w:color="auto"/>
            </w:tcBorders>
            <w:shd w:val="clear" w:color="auto" w:fill="auto"/>
            <w:noWrap/>
            <w:vAlign w:val="bottom"/>
          </w:tcPr>
          <w:p w14:paraId="02B2C85E" w14:textId="27C136C4" w:rsidR="00585BF5" w:rsidRPr="00585BF5" w:rsidRDefault="00585BF5" w:rsidP="00585BF5">
            <w:pPr>
              <w:suppressAutoHyphens/>
              <w:spacing w:before="81" w:after="81" w:line="160" w:lineRule="exact"/>
              <w:ind w:left="144" w:right="43"/>
              <w:jc w:val="center"/>
              <w:rPr>
                <w:i/>
                <w:sz w:val="14"/>
              </w:rPr>
            </w:pPr>
            <w:r w:rsidRPr="00585BF5">
              <w:rPr>
                <w:i/>
                <w:sz w:val="14"/>
              </w:rPr>
              <w:t>Décisions de justice concernant les poursuites pénales engagées en 2017</w:t>
            </w:r>
          </w:p>
        </w:tc>
      </w:tr>
      <w:tr w:rsidR="00585BF5" w:rsidRPr="00585BF5" w14:paraId="35481757" w14:textId="77777777" w:rsidTr="00585BF5">
        <w:trPr>
          <w:trHeight w:hRule="exact" w:val="115"/>
          <w:tblHeader/>
        </w:trPr>
        <w:tc>
          <w:tcPr>
            <w:tcW w:w="3660" w:type="dxa"/>
            <w:tcBorders>
              <w:top w:val="single" w:sz="12" w:space="0" w:color="auto"/>
            </w:tcBorders>
            <w:shd w:val="clear" w:color="auto" w:fill="auto"/>
            <w:noWrap/>
            <w:vAlign w:val="bottom"/>
          </w:tcPr>
          <w:p w14:paraId="263BACDE" w14:textId="77777777" w:rsidR="00585BF5" w:rsidRPr="00585BF5" w:rsidRDefault="00585BF5" w:rsidP="00585BF5">
            <w:pPr>
              <w:suppressAutoHyphens/>
              <w:spacing w:before="40" w:after="40" w:line="210" w:lineRule="exact"/>
              <w:ind w:right="40"/>
              <w:rPr>
                <w:sz w:val="17"/>
              </w:rPr>
            </w:pPr>
          </w:p>
        </w:tc>
        <w:tc>
          <w:tcPr>
            <w:tcW w:w="3660" w:type="dxa"/>
            <w:tcBorders>
              <w:top w:val="single" w:sz="12" w:space="0" w:color="auto"/>
            </w:tcBorders>
            <w:shd w:val="clear" w:color="auto" w:fill="auto"/>
            <w:noWrap/>
            <w:vAlign w:val="bottom"/>
          </w:tcPr>
          <w:p w14:paraId="5A6379E4" w14:textId="77777777" w:rsidR="00585BF5" w:rsidRPr="00585BF5" w:rsidRDefault="00585BF5" w:rsidP="00585BF5">
            <w:pPr>
              <w:suppressAutoHyphens/>
              <w:spacing w:before="40" w:after="40" w:line="210" w:lineRule="exact"/>
              <w:ind w:left="144" w:right="43"/>
              <w:jc w:val="right"/>
              <w:rPr>
                <w:sz w:val="17"/>
              </w:rPr>
            </w:pPr>
          </w:p>
        </w:tc>
      </w:tr>
      <w:tr w:rsidR="007E41FF" w:rsidRPr="00585BF5" w14:paraId="7B1041E1" w14:textId="77777777" w:rsidTr="00585BF5">
        <w:tc>
          <w:tcPr>
            <w:tcW w:w="3660" w:type="dxa"/>
            <w:shd w:val="clear" w:color="auto" w:fill="auto"/>
            <w:noWrap/>
            <w:vAlign w:val="bottom"/>
          </w:tcPr>
          <w:p w14:paraId="412D1F44" w14:textId="77777777" w:rsidR="007E41FF" w:rsidRPr="00585BF5" w:rsidRDefault="007E41FF" w:rsidP="00585BF5">
            <w:pPr>
              <w:tabs>
                <w:tab w:val="left" w:pos="288"/>
                <w:tab w:val="left" w:pos="576"/>
                <w:tab w:val="left" w:pos="864"/>
                <w:tab w:val="left" w:pos="1152"/>
              </w:tabs>
              <w:suppressAutoHyphens/>
              <w:spacing w:before="40" w:after="40" w:line="210" w:lineRule="exact"/>
              <w:ind w:right="40"/>
              <w:rPr>
                <w:sz w:val="17"/>
              </w:rPr>
            </w:pPr>
            <w:r w:rsidRPr="00585BF5">
              <w:rPr>
                <w:sz w:val="17"/>
              </w:rPr>
              <w:t>Total</w:t>
            </w:r>
          </w:p>
        </w:tc>
        <w:tc>
          <w:tcPr>
            <w:tcW w:w="3660" w:type="dxa"/>
            <w:shd w:val="clear" w:color="auto" w:fill="auto"/>
            <w:noWrap/>
            <w:vAlign w:val="bottom"/>
          </w:tcPr>
          <w:p w14:paraId="7B154BF7" w14:textId="77777777" w:rsidR="007E41FF" w:rsidRPr="00585BF5" w:rsidRDefault="007E41FF" w:rsidP="00585BF5">
            <w:pPr>
              <w:tabs>
                <w:tab w:val="left" w:pos="288"/>
                <w:tab w:val="left" w:pos="576"/>
                <w:tab w:val="left" w:pos="864"/>
                <w:tab w:val="left" w:pos="1152"/>
              </w:tabs>
              <w:suppressAutoHyphens/>
              <w:spacing w:before="40" w:after="40" w:line="210" w:lineRule="exact"/>
              <w:ind w:left="144" w:right="43"/>
              <w:jc w:val="right"/>
              <w:rPr>
                <w:sz w:val="17"/>
              </w:rPr>
            </w:pPr>
            <w:r w:rsidRPr="00585BF5">
              <w:rPr>
                <w:sz w:val="17"/>
              </w:rPr>
              <w:t>3 722</w:t>
            </w:r>
          </w:p>
        </w:tc>
      </w:tr>
      <w:tr w:rsidR="007E41FF" w:rsidRPr="00585BF5" w14:paraId="10E32932" w14:textId="77777777" w:rsidTr="00585BF5">
        <w:tc>
          <w:tcPr>
            <w:tcW w:w="3660" w:type="dxa"/>
            <w:shd w:val="clear" w:color="auto" w:fill="auto"/>
            <w:noWrap/>
            <w:vAlign w:val="bottom"/>
          </w:tcPr>
          <w:p w14:paraId="39BC5E62" w14:textId="77777777" w:rsidR="007E41FF" w:rsidRPr="00585BF5" w:rsidRDefault="007E41FF" w:rsidP="00585BF5">
            <w:pPr>
              <w:tabs>
                <w:tab w:val="left" w:pos="288"/>
                <w:tab w:val="left" w:pos="576"/>
                <w:tab w:val="left" w:pos="864"/>
                <w:tab w:val="left" w:pos="1152"/>
              </w:tabs>
              <w:suppressAutoHyphens/>
              <w:spacing w:before="40" w:after="40" w:line="210" w:lineRule="exact"/>
              <w:ind w:right="40"/>
              <w:rPr>
                <w:sz w:val="17"/>
              </w:rPr>
            </w:pPr>
            <w:r w:rsidRPr="00585BF5">
              <w:rPr>
                <w:sz w:val="17"/>
              </w:rPr>
              <w:t xml:space="preserve">Condamnation </w:t>
            </w:r>
          </w:p>
        </w:tc>
        <w:tc>
          <w:tcPr>
            <w:tcW w:w="3660" w:type="dxa"/>
            <w:shd w:val="clear" w:color="auto" w:fill="auto"/>
            <w:noWrap/>
            <w:vAlign w:val="bottom"/>
          </w:tcPr>
          <w:p w14:paraId="0A7DA302" w14:textId="77777777" w:rsidR="007E41FF" w:rsidRPr="00585BF5" w:rsidRDefault="007E41FF" w:rsidP="00585BF5">
            <w:pPr>
              <w:tabs>
                <w:tab w:val="left" w:pos="288"/>
                <w:tab w:val="left" w:pos="576"/>
                <w:tab w:val="left" w:pos="864"/>
                <w:tab w:val="left" w:pos="1152"/>
              </w:tabs>
              <w:suppressAutoHyphens/>
              <w:spacing w:before="40" w:after="40" w:line="210" w:lineRule="exact"/>
              <w:ind w:left="144" w:right="43"/>
              <w:jc w:val="right"/>
              <w:rPr>
                <w:sz w:val="17"/>
              </w:rPr>
            </w:pPr>
            <w:r w:rsidRPr="00585BF5">
              <w:rPr>
                <w:sz w:val="17"/>
              </w:rPr>
              <w:t>3 452 / 92,75 %</w:t>
            </w:r>
          </w:p>
        </w:tc>
      </w:tr>
      <w:tr w:rsidR="007E41FF" w:rsidRPr="00585BF5" w14:paraId="34DB59D9" w14:textId="77777777" w:rsidTr="00585BF5">
        <w:tc>
          <w:tcPr>
            <w:tcW w:w="3660" w:type="dxa"/>
            <w:shd w:val="clear" w:color="auto" w:fill="auto"/>
            <w:noWrap/>
            <w:vAlign w:val="bottom"/>
          </w:tcPr>
          <w:p w14:paraId="75B00FBE" w14:textId="77777777" w:rsidR="007E41FF" w:rsidRPr="00585BF5" w:rsidRDefault="007E41FF" w:rsidP="00585BF5">
            <w:pPr>
              <w:tabs>
                <w:tab w:val="left" w:pos="288"/>
                <w:tab w:val="left" w:pos="576"/>
                <w:tab w:val="left" w:pos="864"/>
                <w:tab w:val="left" w:pos="1152"/>
              </w:tabs>
              <w:suppressAutoHyphens/>
              <w:spacing w:before="40" w:after="40" w:line="210" w:lineRule="exact"/>
              <w:ind w:right="40"/>
              <w:rPr>
                <w:sz w:val="17"/>
              </w:rPr>
            </w:pPr>
            <w:r w:rsidRPr="00585BF5">
              <w:rPr>
                <w:sz w:val="17"/>
              </w:rPr>
              <w:t>Prison</w:t>
            </w:r>
          </w:p>
        </w:tc>
        <w:tc>
          <w:tcPr>
            <w:tcW w:w="3660" w:type="dxa"/>
            <w:shd w:val="clear" w:color="auto" w:fill="auto"/>
            <w:noWrap/>
            <w:vAlign w:val="bottom"/>
          </w:tcPr>
          <w:p w14:paraId="7E58EF25" w14:textId="77777777" w:rsidR="007E41FF" w:rsidRPr="00585BF5" w:rsidRDefault="007E41FF" w:rsidP="00585BF5">
            <w:pPr>
              <w:tabs>
                <w:tab w:val="left" w:pos="288"/>
                <w:tab w:val="left" w:pos="576"/>
                <w:tab w:val="left" w:pos="864"/>
                <w:tab w:val="left" w:pos="1152"/>
              </w:tabs>
              <w:suppressAutoHyphens/>
              <w:spacing w:before="40" w:after="40" w:line="210" w:lineRule="exact"/>
              <w:ind w:left="144" w:right="43"/>
              <w:jc w:val="right"/>
              <w:rPr>
                <w:sz w:val="17"/>
              </w:rPr>
            </w:pPr>
            <w:r w:rsidRPr="00585BF5">
              <w:rPr>
                <w:sz w:val="17"/>
              </w:rPr>
              <w:t>1 046</w:t>
            </w:r>
          </w:p>
        </w:tc>
      </w:tr>
      <w:tr w:rsidR="007E41FF" w:rsidRPr="00585BF5" w14:paraId="199859BD" w14:textId="77777777" w:rsidTr="00585BF5">
        <w:tc>
          <w:tcPr>
            <w:tcW w:w="3660" w:type="dxa"/>
            <w:shd w:val="clear" w:color="auto" w:fill="auto"/>
            <w:noWrap/>
            <w:vAlign w:val="bottom"/>
          </w:tcPr>
          <w:p w14:paraId="5E12B9F7" w14:textId="77777777" w:rsidR="007E41FF" w:rsidRPr="00585BF5" w:rsidRDefault="007E41FF" w:rsidP="00585BF5">
            <w:pPr>
              <w:tabs>
                <w:tab w:val="left" w:pos="288"/>
                <w:tab w:val="left" w:pos="576"/>
                <w:tab w:val="left" w:pos="864"/>
                <w:tab w:val="left" w:pos="1152"/>
              </w:tabs>
              <w:suppressAutoHyphens/>
              <w:spacing w:before="40" w:after="40" w:line="210" w:lineRule="exact"/>
              <w:ind w:right="40"/>
              <w:rPr>
                <w:sz w:val="17"/>
              </w:rPr>
            </w:pPr>
            <w:r w:rsidRPr="00585BF5">
              <w:rPr>
                <w:sz w:val="17"/>
              </w:rPr>
              <w:t>Amendes</w:t>
            </w:r>
          </w:p>
        </w:tc>
        <w:tc>
          <w:tcPr>
            <w:tcW w:w="3660" w:type="dxa"/>
            <w:shd w:val="clear" w:color="auto" w:fill="auto"/>
            <w:noWrap/>
            <w:vAlign w:val="bottom"/>
          </w:tcPr>
          <w:p w14:paraId="0F75144C" w14:textId="77777777" w:rsidR="007E41FF" w:rsidRPr="00585BF5" w:rsidRDefault="007E41FF" w:rsidP="00585BF5">
            <w:pPr>
              <w:tabs>
                <w:tab w:val="left" w:pos="288"/>
                <w:tab w:val="left" w:pos="576"/>
                <w:tab w:val="left" w:pos="864"/>
                <w:tab w:val="left" w:pos="1152"/>
              </w:tabs>
              <w:suppressAutoHyphens/>
              <w:spacing w:before="40" w:after="40" w:line="210" w:lineRule="exact"/>
              <w:ind w:left="144" w:right="43"/>
              <w:jc w:val="right"/>
              <w:rPr>
                <w:sz w:val="17"/>
              </w:rPr>
            </w:pPr>
            <w:r w:rsidRPr="00585BF5">
              <w:rPr>
                <w:sz w:val="17"/>
              </w:rPr>
              <w:t>20</w:t>
            </w:r>
          </w:p>
        </w:tc>
      </w:tr>
      <w:tr w:rsidR="007E41FF" w:rsidRPr="00585BF5" w14:paraId="3D148F61" w14:textId="77777777" w:rsidTr="00585BF5">
        <w:tc>
          <w:tcPr>
            <w:tcW w:w="3660" w:type="dxa"/>
            <w:shd w:val="clear" w:color="auto" w:fill="auto"/>
            <w:noWrap/>
            <w:vAlign w:val="bottom"/>
          </w:tcPr>
          <w:p w14:paraId="04B76EFF" w14:textId="5999E64E" w:rsidR="007E41FF" w:rsidRPr="00585BF5" w:rsidRDefault="007E41FF" w:rsidP="00585BF5">
            <w:pPr>
              <w:tabs>
                <w:tab w:val="left" w:pos="288"/>
                <w:tab w:val="left" w:pos="576"/>
                <w:tab w:val="left" w:pos="864"/>
                <w:tab w:val="left" w:pos="1152"/>
              </w:tabs>
              <w:suppressAutoHyphens/>
              <w:spacing w:before="40" w:after="40" w:line="210" w:lineRule="exact"/>
              <w:ind w:right="40"/>
              <w:rPr>
                <w:sz w:val="17"/>
              </w:rPr>
            </w:pPr>
            <w:r w:rsidRPr="00585BF5">
              <w:rPr>
                <w:sz w:val="17"/>
              </w:rPr>
              <w:t>Travaux d</w:t>
            </w:r>
            <w:r w:rsidR="00DE1F39" w:rsidRPr="00585BF5">
              <w:rPr>
                <w:sz w:val="17"/>
              </w:rPr>
              <w:t>’</w:t>
            </w:r>
            <w:r w:rsidRPr="00585BF5">
              <w:rPr>
                <w:sz w:val="17"/>
              </w:rPr>
              <w:t xml:space="preserve">intérêt général </w:t>
            </w:r>
          </w:p>
        </w:tc>
        <w:tc>
          <w:tcPr>
            <w:tcW w:w="3660" w:type="dxa"/>
            <w:shd w:val="clear" w:color="auto" w:fill="auto"/>
            <w:noWrap/>
            <w:vAlign w:val="bottom"/>
          </w:tcPr>
          <w:p w14:paraId="0C29DD1E" w14:textId="77777777" w:rsidR="007E41FF" w:rsidRPr="00585BF5" w:rsidRDefault="007E41FF" w:rsidP="00585BF5">
            <w:pPr>
              <w:tabs>
                <w:tab w:val="left" w:pos="288"/>
                <w:tab w:val="left" w:pos="576"/>
                <w:tab w:val="left" w:pos="864"/>
                <w:tab w:val="left" w:pos="1152"/>
              </w:tabs>
              <w:suppressAutoHyphens/>
              <w:spacing w:before="40" w:after="40" w:line="210" w:lineRule="exact"/>
              <w:ind w:left="144" w:right="43"/>
              <w:jc w:val="right"/>
              <w:rPr>
                <w:sz w:val="17"/>
              </w:rPr>
            </w:pPr>
            <w:r w:rsidRPr="00585BF5">
              <w:rPr>
                <w:sz w:val="17"/>
              </w:rPr>
              <w:t>13</w:t>
            </w:r>
          </w:p>
        </w:tc>
      </w:tr>
      <w:tr w:rsidR="007E41FF" w:rsidRPr="00585BF5" w14:paraId="28AE4A9E" w14:textId="77777777" w:rsidTr="00585BF5">
        <w:tc>
          <w:tcPr>
            <w:tcW w:w="3660" w:type="dxa"/>
            <w:shd w:val="clear" w:color="auto" w:fill="auto"/>
            <w:noWrap/>
            <w:vAlign w:val="bottom"/>
          </w:tcPr>
          <w:p w14:paraId="58CD6104" w14:textId="77777777" w:rsidR="007E41FF" w:rsidRPr="00585BF5" w:rsidRDefault="007E41FF" w:rsidP="00585BF5">
            <w:pPr>
              <w:tabs>
                <w:tab w:val="left" w:pos="288"/>
                <w:tab w:val="left" w:pos="576"/>
                <w:tab w:val="left" w:pos="864"/>
                <w:tab w:val="left" w:pos="1152"/>
              </w:tabs>
              <w:suppressAutoHyphens/>
              <w:spacing w:before="40" w:after="40" w:line="210" w:lineRule="exact"/>
              <w:ind w:right="40"/>
              <w:rPr>
                <w:sz w:val="17"/>
              </w:rPr>
            </w:pPr>
            <w:r w:rsidRPr="00585BF5">
              <w:rPr>
                <w:sz w:val="17"/>
              </w:rPr>
              <w:t>Jugement suspendu</w:t>
            </w:r>
          </w:p>
        </w:tc>
        <w:tc>
          <w:tcPr>
            <w:tcW w:w="3660" w:type="dxa"/>
            <w:shd w:val="clear" w:color="auto" w:fill="auto"/>
            <w:noWrap/>
            <w:vAlign w:val="bottom"/>
          </w:tcPr>
          <w:p w14:paraId="5A0FBC0E" w14:textId="77777777" w:rsidR="007E41FF" w:rsidRPr="00585BF5" w:rsidRDefault="007E41FF" w:rsidP="00585BF5">
            <w:pPr>
              <w:tabs>
                <w:tab w:val="left" w:pos="288"/>
                <w:tab w:val="left" w:pos="576"/>
                <w:tab w:val="left" w:pos="864"/>
                <w:tab w:val="left" w:pos="1152"/>
              </w:tabs>
              <w:suppressAutoHyphens/>
              <w:spacing w:before="40" w:after="40" w:line="210" w:lineRule="exact"/>
              <w:ind w:left="144" w:right="43"/>
              <w:jc w:val="right"/>
              <w:rPr>
                <w:sz w:val="17"/>
              </w:rPr>
            </w:pPr>
            <w:r w:rsidRPr="00585BF5">
              <w:rPr>
                <w:sz w:val="17"/>
              </w:rPr>
              <w:t>2 314</w:t>
            </w:r>
          </w:p>
        </w:tc>
      </w:tr>
      <w:tr w:rsidR="007E41FF" w:rsidRPr="00585BF5" w14:paraId="3E957DDC" w14:textId="77777777" w:rsidTr="00585BF5">
        <w:tc>
          <w:tcPr>
            <w:tcW w:w="3660" w:type="dxa"/>
            <w:shd w:val="clear" w:color="auto" w:fill="auto"/>
            <w:noWrap/>
            <w:vAlign w:val="bottom"/>
          </w:tcPr>
          <w:p w14:paraId="41714798" w14:textId="77777777" w:rsidR="007E41FF" w:rsidRPr="00585BF5" w:rsidRDefault="007E41FF" w:rsidP="00585BF5">
            <w:pPr>
              <w:tabs>
                <w:tab w:val="left" w:pos="288"/>
                <w:tab w:val="left" w:pos="576"/>
                <w:tab w:val="left" w:pos="864"/>
                <w:tab w:val="left" w:pos="1152"/>
              </w:tabs>
              <w:suppressAutoHyphens/>
              <w:spacing w:before="40" w:after="40" w:line="210" w:lineRule="exact"/>
              <w:ind w:right="40"/>
              <w:rPr>
                <w:sz w:val="17"/>
              </w:rPr>
            </w:pPr>
            <w:r w:rsidRPr="00585BF5">
              <w:rPr>
                <w:sz w:val="17"/>
              </w:rPr>
              <w:t xml:space="preserve">Avertissement du tribunal </w:t>
            </w:r>
          </w:p>
        </w:tc>
        <w:tc>
          <w:tcPr>
            <w:tcW w:w="3660" w:type="dxa"/>
            <w:shd w:val="clear" w:color="auto" w:fill="auto"/>
            <w:noWrap/>
            <w:vAlign w:val="bottom"/>
          </w:tcPr>
          <w:p w14:paraId="31D474E7" w14:textId="77777777" w:rsidR="007E41FF" w:rsidRPr="00585BF5" w:rsidRDefault="007E41FF" w:rsidP="00585BF5">
            <w:pPr>
              <w:tabs>
                <w:tab w:val="left" w:pos="288"/>
                <w:tab w:val="left" w:pos="576"/>
                <w:tab w:val="left" w:pos="864"/>
                <w:tab w:val="left" w:pos="1152"/>
              </w:tabs>
              <w:suppressAutoHyphens/>
              <w:spacing w:before="40" w:after="40" w:line="210" w:lineRule="exact"/>
              <w:ind w:left="144" w:right="43"/>
              <w:jc w:val="right"/>
              <w:rPr>
                <w:sz w:val="17"/>
              </w:rPr>
            </w:pPr>
            <w:r w:rsidRPr="00585BF5">
              <w:rPr>
                <w:sz w:val="17"/>
              </w:rPr>
              <w:t>6</w:t>
            </w:r>
          </w:p>
        </w:tc>
      </w:tr>
      <w:tr w:rsidR="007E41FF" w:rsidRPr="00585BF5" w14:paraId="45BDD57C" w14:textId="77777777" w:rsidTr="00585BF5">
        <w:tc>
          <w:tcPr>
            <w:tcW w:w="3660" w:type="dxa"/>
            <w:shd w:val="clear" w:color="auto" w:fill="auto"/>
            <w:noWrap/>
            <w:vAlign w:val="bottom"/>
          </w:tcPr>
          <w:p w14:paraId="080A46C1" w14:textId="77777777" w:rsidR="007E41FF" w:rsidRPr="00585BF5" w:rsidRDefault="007E41FF" w:rsidP="00585BF5">
            <w:pPr>
              <w:tabs>
                <w:tab w:val="left" w:pos="288"/>
                <w:tab w:val="left" w:pos="576"/>
                <w:tab w:val="left" w:pos="864"/>
                <w:tab w:val="left" w:pos="1152"/>
              </w:tabs>
              <w:suppressAutoHyphens/>
              <w:spacing w:before="40" w:after="40" w:line="210" w:lineRule="exact"/>
              <w:ind w:right="40"/>
              <w:rPr>
                <w:sz w:val="17"/>
              </w:rPr>
            </w:pPr>
            <w:r w:rsidRPr="00585BF5">
              <w:rPr>
                <w:sz w:val="17"/>
              </w:rPr>
              <w:t xml:space="preserve">Simple mesure de sûreté </w:t>
            </w:r>
          </w:p>
        </w:tc>
        <w:tc>
          <w:tcPr>
            <w:tcW w:w="3660" w:type="dxa"/>
            <w:shd w:val="clear" w:color="auto" w:fill="auto"/>
            <w:noWrap/>
            <w:vAlign w:val="bottom"/>
          </w:tcPr>
          <w:p w14:paraId="0D4907D3" w14:textId="77777777" w:rsidR="007E41FF" w:rsidRPr="00585BF5" w:rsidRDefault="007E41FF" w:rsidP="00585BF5">
            <w:pPr>
              <w:tabs>
                <w:tab w:val="left" w:pos="288"/>
                <w:tab w:val="left" w:pos="576"/>
                <w:tab w:val="left" w:pos="864"/>
                <w:tab w:val="left" w:pos="1152"/>
              </w:tabs>
              <w:suppressAutoHyphens/>
              <w:spacing w:before="40" w:after="40" w:line="210" w:lineRule="exact"/>
              <w:ind w:left="144" w:right="43"/>
              <w:jc w:val="right"/>
              <w:rPr>
                <w:sz w:val="17"/>
              </w:rPr>
            </w:pPr>
            <w:r w:rsidRPr="00585BF5">
              <w:rPr>
                <w:sz w:val="17"/>
              </w:rPr>
              <w:t>53</w:t>
            </w:r>
          </w:p>
        </w:tc>
      </w:tr>
      <w:tr w:rsidR="007E41FF" w:rsidRPr="00585BF5" w14:paraId="056F6091" w14:textId="77777777" w:rsidTr="00585BF5">
        <w:tc>
          <w:tcPr>
            <w:tcW w:w="3660" w:type="dxa"/>
            <w:shd w:val="clear" w:color="auto" w:fill="auto"/>
            <w:noWrap/>
            <w:vAlign w:val="bottom"/>
          </w:tcPr>
          <w:p w14:paraId="1EB3D9DB" w14:textId="77777777" w:rsidR="007E41FF" w:rsidRPr="00585BF5" w:rsidRDefault="007E41FF" w:rsidP="00585BF5">
            <w:pPr>
              <w:tabs>
                <w:tab w:val="left" w:pos="288"/>
                <w:tab w:val="left" w:pos="576"/>
                <w:tab w:val="left" w:pos="864"/>
                <w:tab w:val="left" w:pos="1152"/>
              </w:tabs>
              <w:suppressAutoHyphens/>
              <w:spacing w:before="40" w:after="40" w:line="210" w:lineRule="exact"/>
              <w:ind w:right="40"/>
              <w:rPr>
                <w:sz w:val="17"/>
              </w:rPr>
            </w:pPr>
            <w:r w:rsidRPr="00585BF5">
              <w:rPr>
                <w:sz w:val="17"/>
              </w:rPr>
              <w:t>Mesures de sûreté ajoutées à la peine principale</w:t>
            </w:r>
          </w:p>
        </w:tc>
        <w:tc>
          <w:tcPr>
            <w:tcW w:w="3660" w:type="dxa"/>
            <w:shd w:val="clear" w:color="auto" w:fill="auto"/>
            <w:noWrap/>
            <w:vAlign w:val="bottom"/>
          </w:tcPr>
          <w:p w14:paraId="74B957EF" w14:textId="77777777" w:rsidR="007E41FF" w:rsidRPr="00585BF5" w:rsidRDefault="007E41FF" w:rsidP="00585BF5">
            <w:pPr>
              <w:tabs>
                <w:tab w:val="left" w:pos="288"/>
                <w:tab w:val="left" w:pos="576"/>
                <w:tab w:val="left" w:pos="864"/>
                <w:tab w:val="left" w:pos="1152"/>
              </w:tabs>
              <w:suppressAutoHyphens/>
              <w:spacing w:before="40" w:after="40" w:line="210" w:lineRule="exact"/>
              <w:ind w:left="144" w:right="43"/>
              <w:jc w:val="right"/>
              <w:rPr>
                <w:sz w:val="17"/>
              </w:rPr>
            </w:pPr>
            <w:r w:rsidRPr="00585BF5">
              <w:rPr>
                <w:sz w:val="17"/>
              </w:rPr>
              <w:t>1 125</w:t>
            </w:r>
          </w:p>
        </w:tc>
      </w:tr>
      <w:tr w:rsidR="007E41FF" w:rsidRPr="00585BF5" w14:paraId="3F75B47F" w14:textId="77777777" w:rsidTr="00585BF5">
        <w:tc>
          <w:tcPr>
            <w:tcW w:w="3660" w:type="dxa"/>
            <w:shd w:val="clear" w:color="auto" w:fill="auto"/>
            <w:noWrap/>
            <w:vAlign w:val="bottom"/>
          </w:tcPr>
          <w:p w14:paraId="1CD84E27" w14:textId="77777777" w:rsidR="007E41FF" w:rsidRPr="00585BF5" w:rsidRDefault="007E41FF" w:rsidP="00585BF5">
            <w:pPr>
              <w:tabs>
                <w:tab w:val="left" w:pos="288"/>
                <w:tab w:val="left" w:pos="576"/>
                <w:tab w:val="left" w:pos="864"/>
                <w:tab w:val="left" w:pos="1152"/>
              </w:tabs>
              <w:suppressAutoHyphens/>
              <w:spacing w:before="40" w:after="40" w:line="210" w:lineRule="exact"/>
              <w:ind w:right="40"/>
              <w:rPr>
                <w:sz w:val="17"/>
              </w:rPr>
            </w:pPr>
            <w:r w:rsidRPr="00585BF5">
              <w:rPr>
                <w:sz w:val="17"/>
              </w:rPr>
              <w:t xml:space="preserve">Disculpation </w:t>
            </w:r>
          </w:p>
        </w:tc>
        <w:tc>
          <w:tcPr>
            <w:tcW w:w="3660" w:type="dxa"/>
            <w:shd w:val="clear" w:color="auto" w:fill="auto"/>
            <w:noWrap/>
            <w:vAlign w:val="bottom"/>
          </w:tcPr>
          <w:p w14:paraId="313AFFD7" w14:textId="77777777" w:rsidR="007E41FF" w:rsidRPr="00585BF5" w:rsidRDefault="007E41FF" w:rsidP="00585BF5">
            <w:pPr>
              <w:tabs>
                <w:tab w:val="left" w:pos="288"/>
                <w:tab w:val="left" w:pos="576"/>
                <w:tab w:val="left" w:pos="864"/>
                <w:tab w:val="left" w:pos="1152"/>
              </w:tabs>
              <w:suppressAutoHyphens/>
              <w:spacing w:before="40" w:after="40" w:line="210" w:lineRule="exact"/>
              <w:ind w:left="144" w:right="43"/>
              <w:jc w:val="right"/>
              <w:rPr>
                <w:sz w:val="17"/>
              </w:rPr>
            </w:pPr>
            <w:r w:rsidRPr="00585BF5">
              <w:rPr>
                <w:sz w:val="17"/>
              </w:rPr>
              <w:t>107 / 2,8 %</w:t>
            </w:r>
          </w:p>
        </w:tc>
      </w:tr>
      <w:tr w:rsidR="007E41FF" w:rsidRPr="00585BF5" w14:paraId="7082F31C" w14:textId="77777777" w:rsidTr="00585BF5">
        <w:tc>
          <w:tcPr>
            <w:tcW w:w="3660" w:type="dxa"/>
            <w:tcBorders>
              <w:bottom w:val="single" w:sz="12" w:space="0" w:color="auto"/>
            </w:tcBorders>
            <w:shd w:val="clear" w:color="auto" w:fill="auto"/>
            <w:noWrap/>
            <w:vAlign w:val="bottom"/>
          </w:tcPr>
          <w:p w14:paraId="219A3A5D" w14:textId="77777777" w:rsidR="007E41FF" w:rsidRPr="00585BF5" w:rsidRDefault="007E41FF" w:rsidP="00585BF5">
            <w:pPr>
              <w:tabs>
                <w:tab w:val="left" w:pos="288"/>
                <w:tab w:val="left" w:pos="576"/>
                <w:tab w:val="left" w:pos="864"/>
                <w:tab w:val="left" w:pos="1152"/>
              </w:tabs>
              <w:suppressAutoHyphens/>
              <w:spacing w:before="40" w:after="40" w:line="210" w:lineRule="exact"/>
              <w:ind w:right="40"/>
              <w:rPr>
                <w:sz w:val="17"/>
              </w:rPr>
            </w:pPr>
            <w:r w:rsidRPr="00585BF5">
              <w:rPr>
                <w:sz w:val="17"/>
              </w:rPr>
              <w:t xml:space="preserve">Non-lieu </w:t>
            </w:r>
          </w:p>
        </w:tc>
        <w:tc>
          <w:tcPr>
            <w:tcW w:w="3660" w:type="dxa"/>
            <w:tcBorders>
              <w:bottom w:val="single" w:sz="12" w:space="0" w:color="auto"/>
            </w:tcBorders>
            <w:shd w:val="clear" w:color="auto" w:fill="auto"/>
            <w:noWrap/>
            <w:vAlign w:val="bottom"/>
          </w:tcPr>
          <w:p w14:paraId="34BDCD8A" w14:textId="77777777" w:rsidR="007E41FF" w:rsidRPr="00585BF5" w:rsidRDefault="007E41FF" w:rsidP="00585BF5">
            <w:pPr>
              <w:tabs>
                <w:tab w:val="left" w:pos="288"/>
                <w:tab w:val="left" w:pos="576"/>
                <w:tab w:val="left" w:pos="864"/>
                <w:tab w:val="left" w:pos="1152"/>
              </w:tabs>
              <w:suppressAutoHyphens/>
              <w:spacing w:before="40" w:after="40" w:line="210" w:lineRule="exact"/>
              <w:ind w:left="144" w:right="43"/>
              <w:jc w:val="right"/>
              <w:rPr>
                <w:sz w:val="17"/>
              </w:rPr>
            </w:pPr>
            <w:r w:rsidRPr="00585BF5">
              <w:rPr>
                <w:sz w:val="17"/>
              </w:rPr>
              <w:t>163 / 4,38 %</w:t>
            </w:r>
          </w:p>
        </w:tc>
      </w:tr>
    </w:tbl>
    <w:tbl>
      <w:tblPr>
        <w:tblStyle w:val="TableGrid"/>
        <w:tblW w:w="861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990"/>
        <w:gridCol w:w="1800"/>
        <w:gridCol w:w="1757"/>
        <w:gridCol w:w="1033"/>
        <w:gridCol w:w="1590"/>
      </w:tblGrid>
      <w:tr w:rsidR="00E83FBF" w:rsidRPr="00585BF5" w14:paraId="286B1F33" w14:textId="77777777" w:rsidTr="00F04216">
        <w:trPr>
          <w:trHeight w:val="151"/>
          <w:tblHeader/>
        </w:trPr>
        <w:tc>
          <w:tcPr>
            <w:tcW w:w="8610" w:type="dxa"/>
            <w:gridSpan w:val="6"/>
            <w:tcBorders>
              <w:top w:val="single" w:sz="4" w:space="0" w:color="auto"/>
              <w:bottom w:val="single" w:sz="4" w:space="0" w:color="auto"/>
            </w:tcBorders>
            <w:shd w:val="clear" w:color="auto" w:fill="auto"/>
            <w:vAlign w:val="bottom"/>
          </w:tcPr>
          <w:p w14:paraId="3AD8C0D9" w14:textId="219838B4" w:rsidR="00E83FBF" w:rsidRPr="00585BF5" w:rsidRDefault="00E83FBF" w:rsidP="00E83FBF">
            <w:pPr>
              <w:spacing w:before="81" w:after="81" w:line="160" w:lineRule="exact"/>
              <w:ind w:right="43"/>
              <w:jc w:val="center"/>
              <w:rPr>
                <w:i/>
                <w:sz w:val="14"/>
              </w:rPr>
            </w:pPr>
            <w:r w:rsidRPr="00585BF5">
              <w:rPr>
                <w:i/>
                <w:sz w:val="14"/>
              </w:rPr>
              <w:lastRenderedPageBreak/>
              <w:t xml:space="preserve">Nombre total de mesures de sûreté prises conformément à la loi sur la prévention de la violence domestique pour la période </w:t>
            </w:r>
            <w:r w:rsidR="0015207D" w:rsidRPr="0076728C">
              <w:t>01/06</w:t>
            </w:r>
            <w:r w:rsidRPr="00585BF5">
              <w:rPr>
                <w:i/>
                <w:sz w:val="14"/>
              </w:rPr>
              <w:t>/2017-</w:t>
            </w:r>
            <w:r w:rsidR="0015207D" w:rsidRPr="0076728C">
              <w:t>30/06</w:t>
            </w:r>
            <w:r w:rsidRPr="00585BF5">
              <w:rPr>
                <w:i/>
                <w:sz w:val="14"/>
              </w:rPr>
              <w:t>/2018, ministère de l’Intérieur</w:t>
            </w:r>
          </w:p>
        </w:tc>
      </w:tr>
      <w:tr w:rsidR="00E83FBF" w:rsidRPr="00585BF5" w14:paraId="1E0905FE" w14:textId="77777777" w:rsidTr="00F04216">
        <w:trPr>
          <w:trHeight w:val="150"/>
          <w:tblHeader/>
        </w:trPr>
        <w:tc>
          <w:tcPr>
            <w:tcW w:w="1440" w:type="dxa"/>
            <w:tcBorders>
              <w:top w:val="single" w:sz="4" w:space="0" w:color="auto"/>
              <w:bottom w:val="single" w:sz="12" w:space="0" w:color="auto"/>
            </w:tcBorders>
            <w:shd w:val="clear" w:color="auto" w:fill="auto"/>
            <w:vAlign w:val="bottom"/>
          </w:tcPr>
          <w:p w14:paraId="30989D41" w14:textId="3FBED274" w:rsidR="007E41FF" w:rsidRPr="00585BF5" w:rsidRDefault="007E41FF" w:rsidP="00585BF5">
            <w:pPr>
              <w:spacing w:before="81" w:after="81" w:line="160" w:lineRule="exact"/>
              <w:ind w:right="40"/>
              <w:rPr>
                <w:i/>
                <w:sz w:val="14"/>
              </w:rPr>
            </w:pPr>
            <w:r w:rsidRPr="00585BF5">
              <w:rPr>
                <w:i/>
                <w:sz w:val="14"/>
              </w:rPr>
              <w:t>Mesures de sûreté prises conformément</w:t>
            </w:r>
            <w:r w:rsidR="00E83FBF">
              <w:rPr>
                <w:i/>
                <w:sz w:val="14"/>
              </w:rPr>
              <w:br/>
            </w:r>
            <w:r w:rsidRPr="00585BF5">
              <w:rPr>
                <w:i/>
                <w:sz w:val="14"/>
              </w:rPr>
              <w:t>à la loi sur la prévention de la violence domestique</w:t>
            </w:r>
          </w:p>
        </w:tc>
        <w:tc>
          <w:tcPr>
            <w:tcW w:w="990" w:type="dxa"/>
            <w:tcBorders>
              <w:top w:val="single" w:sz="4" w:space="0" w:color="auto"/>
              <w:bottom w:val="single" w:sz="12" w:space="0" w:color="auto"/>
            </w:tcBorders>
            <w:shd w:val="clear" w:color="auto" w:fill="auto"/>
            <w:vAlign w:val="bottom"/>
          </w:tcPr>
          <w:p w14:paraId="69D58327" w14:textId="77777777" w:rsidR="007E41FF" w:rsidRPr="00585BF5" w:rsidRDefault="007E41FF" w:rsidP="00E83FBF">
            <w:pPr>
              <w:spacing w:before="81" w:after="81" w:line="160" w:lineRule="exact"/>
              <w:ind w:right="43"/>
              <w:jc w:val="right"/>
              <w:rPr>
                <w:i/>
                <w:sz w:val="14"/>
              </w:rPr>
            </w:pPr>
            <w:r w:rsidRPr="00585BF5">
              <w:rPr>
                <w:i/>
                <w:sz w:val="14"/>
              </w:rPr>
              <w:t>Nombre total de mesures de sûreté</w:t>
            </w:r>
          </w:p>
        </w:tc>
        <w:tc>
          <w:tcPr>
            <w:tcW w:w="1800" w:type="dxa"/>
            <w:tcBorders>
              <w:top w:val="single" w:sz="4" w:space="0" w:color="auto"/>
              <w:bottom w:val="single" w:sz="12" w:space="0" w:color="auto"/>
            </w:tcBorders>
            <w:shd w:val="clear" w:color="auto" w:fill="auto"/>
            <w:vAlign w:val="bottom"/>
          </w:tcPr>
          <w:p w14:paraId="330570B4" w14:textId="34D4326A" w:rsidR="007E41FF" w:rsidRPr="00585BF5" w:rsidRDefault="007E41FF" w:rsidP="00E83FBF">
            <w:pPr>
              <w:spacing w:before="81" w:after="81" w:line="160" w:lineRule="exact"/>
              <w:ind w:right="43"/>
              <w:jc w:val="right"/>
              <w:rPr>
                <w:i/>
                <w:sz w:val="14"/>
              </w:rPr>
            </w:pPr>
            <w:r w:rsidRPr="00585BF5">
              <w:rPr>
                <w:i/>
                <w:sz w:val="14"/>
              </w:rPr>
              <w:t>I Mesure</w:t>
            </w:r>
            <w:r w:rsidR="00E83FBF">
              <w:rPr>
                <w:i/>
                <w:sz w:val="14"/>
              </w:rPr>
              <w:t xml:space="preserve"> </w:t>
            </w:r>
            <w:r w:rsidRPr="00585BF5">
              <w:rPr>
                <w:i/>
                <w:sz w:val="14"/>
              </w:rPr>
              <w:t>d</w:t>
            </w:r>
            <w:r w:rsidR="00DE1F39" w:rsidRPr="00585BF5">
              <w:rPr>
                <w:i/>
                <w:sz w:val="14"/>
              </w:rPr>
              <w:t>’</w:t>
            </w:r>
            <w:r w:rsidRPr="00585BF5">
              <w:rPr>
                <w:i/>
                <w:sz w:val="14"/>
              </w:rPr>
              <w:t>éloignement temporaire de l</w:t>
            </w:r>
            <w:r w:rsidR="00DE1F39" w:rsidRPr="00585BF5">
              <w:rPr>
                <w:i/>
                <w:sz w:val="14"/>
              </w:rPr>
              <w:t>’</w:t>
            </w:r>
            <w:r w:rsidRPr="00585BF5">
              <w:rPr>
                <w:i/>
                <w:sz w:val="14"/>
              </w:rPr>
              <w:t xml:space="preserve">auteur des violences du domicile </w:t>
            </w:r>
          </w:p>
        </w:tc>
        <w:tc>
          <w:tcPr>
            <w:tcW w:w="1757" w:type="dxa"/>
            <w:tcBorders>
              <w:top w:val="single" w:sz="4" w:space="0" w:color="auto"/>
              <w:bottom w:val="single" w:sz="12" w:space="0" w:color="auto"/>
            </w:tcBorders>
            <w:shd w:val="clear" w:color="auto" w:fill="auto"/>
            <w:vAlign w:val="bottom"/>
          </w:tcPr>
          <w:p w14:paraId="04220821" w14:textId="6C44BEC0" w:rsidR="007E41FF" w:rsidRPr="00585BF5" w:rsidRDefault="007E41FF" w:rsidP="00E83FBF">
            <w:pPr>
              <w:spacing w:before="81" w:after="81" w:line="160" w:lineRule="exact"/>
              <w:ind w:right="43"/>
              <w:jc w:val="right"/>
              <w:rPr>
                <w:i/>
                <w:sz w:val="14"/>
              </w:rPr>
            </w:pPr>
            <w:r w:rsidRPr="00585BF5">
              <w:rPr>
                <w:i/>
                <w:sz w:val="14"/>
              </w:rPr>
              <w:t>II Mesure</w:t>
            </w:r>
            <w:r w:rsidR="00E83FBF">
              <w:rPr>
                <w:i/>
                <w:sz w:val="14"/>
              </w:rPr>
              <w:t xml:space="preserve"> </w:t>
            </w:r>
            <w:r w:rsidRPr="00585BF5">
              <w:rPr>
                <w:i/>
                <w:sz w:val="14"/>
              </w:rPr>
              <w:t>d</w:t>
            </w:r>
            <w:r w:rsidR="00DE1F39" w:rsidRPr="00585BF5">
              <w:rPr>
                <w:i/>
                <w:sz w:val="14"/>
              </w:rPr>
              <w:t>’</w:t>
            </w:r>
            <w:r w:rsidRPr="00585BF5">
              <w:rPr>
                <w:i/>
                <w:sz w:val="14"/>
              </w:rPr>
              <w:t>interdiction temporaire pour l</w:t>
            </w:r>
            <w:r w:rsidR="00DE1F39" w:rsidRPr="00585BF5">
              <w:rPr>
                <w:i/>
                <w:sz w:val="14"/>
              </w:rPr>
              <w:t>’</w:t>
            </w:r>
            <w:r w:rsidRPr="00585BF5">
              <w:rPr>
                <w:i/>
                <w:sz w:val="14"/>
              </w:rPr>
              <w:t>auteur des violences de contacter ou d</w:t>
            </w:r>
            <w:r w:rsidR="00DE1F39" w:rsidRPr="00585BF5">
              <w:rPr>
                <w:i/>
                <w:sz w:val="14"/>
              </w:rPr>
              <w:t>’</w:t>
            </w:r>
            <w:r w:rsidRPr="00585BF5">
              <w:rPr>
                <w:i/>
                <w:sz w:val="14"/>
              </w:rPr>
              <w:t>approcher sa victime</w:t>
            </w:r>
            <w:r w:rsidR="004D2D2F">
              <w:rPr>
                <w:i/>
                <w:sz w:val="14"/>
              </w:rPr>
              <w:t xml:space="preserve"> </w:t>
            </w:r>
          </w:p>
        </w:tc>
        <w:tc>
          <w:tcPr>
            <w:tcW w:w="1033" w:type="dxa"/>
            <w:tcBorders>
              <w:top w:val="single" w:sz="4" w:space="0" w:color="auto"/>
              <w:bottom w:val="single" w:sz="12" w:space="0" w:color="auto"/>
            </w:tcBorders>
            <w:shd w:val="clear" w:color="auto" w:fill="auto"/>
            <w:vAlign w:val="bottom"/>
          </w:tcPr>
          <w:p w14:paraId="289E7FFB" w14:textId="77777777" w:rsidR="007E41FF" w:rsidRPr="00585BF5" w:rsidRDefault="007E41FF" w:rsidP="00E83FBF">
            <w:pPr>
              <w:spacing w:before="81" w:after="81" w:line="160" w:lineRule="exact"/>
              <w:ind w:right="43"/>
              <w:jc w:val="right"/>
              <w:rPr>
                <w:i/>
                <w:sz w:val="14"/>
              </w:rPr>
            </w:pPr>
            <w:r w:rsidRPr="00585BF5">
              <w:rPr>
                <w:i/>
                <w:sz w:val="14"/>
              </w:rPr>
              <w:t>Mesure de sûreté prolongée par le tribunal</w:t>
            </w:r>
          </w:p>
        </w:tc>
        <w:tc>
          <w:tcPr>
            <w:tcW w:w="1590" w:type="dxa"/>
            <w:tcBorders>
              <w:top w:val="single" w:sz="4" w:space="0" w:color="auto"/>
              <w:bottom w:val="single" w:sz="12" w:space="0" w:color="auto"/>
            </w:tcBorders>
            <w:shd w:val="clear" w:color="auto" w:fill="auto"/>
            <w:vAlign w:val="bottom"/>
          </w:tcPr>
          <w:p w14:paraId="63A0772E" w14:textId="77777777" w:rsidR="007E41FF" w:rsidRPr="00585BF5" w:rsidRDefault="007E41FF" w:rsidP="00E83FBF">
            <w:pPr>
              <w:spacing w:before="81" w:after="81" w:line="160" w:lineRule="exact"/>
              <w:ind w:right="43"/>
              <w:jc w:val="right"/>
              <w:rPr>
                <w:i/>
                <w:sz w:val="14"/>
              </w:rPr>
            </w:pPr>
            <w:r w:rsidRPr="00585BF5">
              <w:rPr>
                <w:i/>
                <w:sz w:val="14"/>
              </w:rPr>
              <w:t>Mesure de sûreté non respectée, un certain nombre de délits mineurs</w:t>
            </w:r>
          </w:p>
        </w:tc>
      </w:tr>
      <w:tr w:rsidR="0015207D" w:rsidRPr="00585BF5" w14:paraId="315C7187" w14:textId="77777777" w:rsidTr="00E83FBF">
        <w:trPr>
          <w:trHeight w:hRule="exact" w:val="115"/>
          <w:tblHeader/>
        </w:trPr>
        <w:tc>
          <w:tcPr>
            <w:tcW w:w="1440" w:type="dxa"/>
            <w:tcBorders>
              <w:top w:val="single" w:sz="12" w:space="0" w:color="auto"/>
            </w:tcBorders>
            <w:shd w:val="clear" w:color="auto" w:fill="auto"/>
            <w:vAlign w:val="bottom"/>
          </w:tcPr>
          <w:p w14:paraId="18DA1AF5" w14:textId="77777777" w:rsidR="00585BF5" w:rsidRPr="00585BF5" w:rsidRDefault="00585BF5" w:rsidP="00585BF5">
            <w:pPr>
              <w:spacing w:before="40" w:after="40" w:line="210" w:lineRule="exact"/>
              <w:ind w:right="40"/>
              <w:rPr>
                <w:sz w:val="17"/>
              </w:rPr>
            </w:pPr>
          </w:p>
        </w:tc>
        <w:tc>
          <w:tcPr>
            <w:tcW w:w="990" w:type="dxa"/>
            <w:tcBorders>
              <w:top w:val="single" w:sz="12" w:space="0" w:color="auto"/>
            </w:tcBorders>
            <w:shd w:val="clear" w:color="auto" w:fill="auto"/>
            <w:vAlign w:val="bottom"/>
          </w:tcPr>
          <w:p w14:paraId="0248DDE8" w14:textId="77777777" w:rsidR="00585BF5" w:rsidRPr="00585BF5" w:rsidRDefault="00585BF5" w:rsidP="00585BF5">
            <w:pPr>
              <w:spacing w:before="40" w:after="40" w:line="210" w:lineRule="exact"/>
              <w:ind w:left="144" w:right="43"/>
              <w:jc w:val="right"/>
              <w:rPr>
                <w:sz w:val="17"/>
              </w:rPr>
            </w:pPr>
          </w:p>
        </w:tc>
        <w:tc>
          <w:tcPr>
            <w:tcW w:w="1800" w:type="dxa"/>
            <w:tcBorders>
              <w:top w:val="single" w:sz="12" w:space="0" w:color="auto"/>
            </w:tcBorders>
            <w:shd w:val="clear" w:color="auto" w:fill="auto"/>
            <w:vAlign w:val="bottom"/>
          </w:tcPr>
          <w:p w14:paraId="4075C9E6" w14:textId="77777777" w:rsidR="00585BF5" w:rsidRPr="00585BF5" w:rsidRDefault="00585BF5" w:rsidP="00585BF5">
            <w:pPr>
              <w:spacing w:before="40" w:after="40" w:line="210" w:lineRule="exact"/>
              <w:ind w:left="144" w:right="43"/>
              <w:jc w:val="right"/>
              <w:rPr>
                <w:sz w:val="17"/>
              </w:rPr>
            </w:pPr>
          </w:p>
        </w:tc>
        <w:tc>
          <w:tcPr>
            <w:tcW w:w="1757" w:type="dxa"/>
            <w:tcBorders>
              <w:top w:val="single" w:sz="12" w:space="0" w:color="auto"/>
            </w:tcBorders>
            <w:shd w:val="clear" w:color="auto" w:fill="auto"/>
            <w:vAlign w:val="bottom"/>
          </w:tcPr>
          <w:p w14:paraId="01CF5461" w14:textId="77777777" w:rsidR="00585BF5" w:rsidRPr="00585BF5" w:rsidRDefault="00585BF5" w:rsidP="00585BF5">
            <w:pPr>
              <w:spacing w:before="40" w:after="40" w:line="210" w:lineRule="exact"/>
              <w:ind w:left="144" w:right="43"/>
              <w:jc w:val="right"/>
              <w:rPr>
                <w:sz w:val="17"/>
              </w:rPr>
            </w:pPr>
          </w:p>
        </w:tc>
        <w:tc>
          <w:tcPr>
            <w:tcW w:w="1033" w:type="dxa"/>
            <w:tcBorders>
              <w:top w:val="single" w:sz="12" w:space="0" w:color="auto"/>
            </w:tcBorders>
            <w:shd w:val="clear" w:color="auto" w:fill="auto"/>
            <w:vAlign w:val="bottom"/>
          </w:tcPr>
          <w:p w14:paraId="09E4ACDD" w14:textId="77777777" w:rsidR="00585BF5" w:rsidRPr="00585BF5" w:rsidRDefault="00585BF5" w:rsidP="00585BF5">
            <w:pPr>
              <w:spacing w:before="40" w:after="40" w:line="210" w:lineRule="exact"/>
              <w:ind w:left="144" w:right="43"/>
              <w:jc w:val="right"/>
              <w:rPr>
                <w:sz w:val="17"/>
              </w:rPr>
            </w:pPr>
          </w:p>
        </w:tc>
        <w:tc>
          <w:tcPr>
            <w:tcW w:w="1590" w:type="dxa"/>
            <w:tcBorders>
              <w:top w:val="single" w:sz="12" w:space="0" w:color="auto"/>
            </w:tcBorders>
            <w:shd w:val="clear" w:color="auto" w:fill="auto"/>
            <w:vAlign w:val="bottom"/>
          </w:tcPr>
          <w:p w14:paraId="24C8406E" w14:textId="77777777" w:rsidR="00585BF5" w:rsidRPr="00585BF5" w:rsidRDefault="00585BF5" w:rsidP="00585BF5">
            <w:pPr>
              <w:spacing w:before="40" w:after="40" w:line="210" w:lineRule="exact"/>
              <w:ind w:left="144" w:right="43"/>
              <w:jc w:val="right"/>
              <w:rPr>
                <w:sz w:val="17"/>
              </w:rPr>
            </w:pPr>
          </w:p>
        </w:tc>
      </w:tr>
      <w:tr w:rsidR="0015207D" w:rsidRPr="00585BF5" w14:paraId="23F1EA9D" w14:textId="77777777" w:rsidTr="00E83FBF">
        <w:tc>
          <w:tcPr>
            <w:tcW w:w="1440" w:type="dxa"/>
            <w:shd w:val="clear" w:color="auto" w:fill="auto"/>
            <w:vAlign w:val="bottom"/>
          </w:tcPr>
          <w:p w14:paraId="5B37926D" w14:textId="77777777" w:rsidR="007E41FF" w:rsidRPr="00585BF5" w:rsidRDefault="007E41FF" w:rsidP="00585BF5">
            <w:pPr>
              <w:tabs>
                <w:tab w:val="left" w:pos="288"/>
                <w:tab w:val="left" w:pos="576"/>
                <w:tab w:val="left" w:pos="864"/>
                <w:tab w:val="left" w:pos="1152"/>
              </w:tabs>
              <w:spacing w:before="40" w:after="40" w:line="210" w:lineRule="exact"/>
              <w:ind w:right="40"/>
              <w:rPr>
                <w:sz w:val="17"/>
              </w:rPr>
            </w:pPr>
            <w:r w:rsidRPr="00585BF5">
              <w:rPr>
                <w:sz w:val="17"/>
              </w:rPr>
              <w:t>2017</w:t>
            </w:r>
          </w:p>
        </w:tc>
        <w:tc>
          <w:tcPr>
            <w:tcW w:w="990" w:type="dxa"/>
            <w:shd w:val="clear" w:color="auto" w:fill="auto"/>
            <w:vAlign w:val="bottom"/>
          </w:tcPr>
          <w:p w14:paraId="7DF93F6D" w14:textId="77777777" w:rsidR="007E41FF" w:rsidRPr="00585BF5" w:rsidRDefault="007E41FF" w:rsidP="00585BF5">
            <w:pPr>
              <w:tabs>
                <w:tab w:val="left" w:pos="288"/>
                <w:tab w:val="left" w:pos="576"/>
                <w:tab w:val="left" w:pos="864"/>
                <w:tab w:val="left" w:pos="1152"/>
              </w:tabs>
              <w:spacing w:before="40" w:after="40" w:line="210" w:lineRule="exact"/>
              <w:ind w:left="144" w:right="43"/>
              <w:jc w:val="right"/>
              <w:rPr>
                <w:sz w:val="17"/>
              </w:rPr>
            </w:pPr>
            <w:r w:rsidRPr="00585BF5">
              <w:rPr>
                <w:sz w:val="17"/>
              </w:rPr>
              <w:t>13 808</w:t>
            </w:r>
          </w:p>
        </w:tc>
        <w:tc>
          <w:tcPr>
            <w:tcW w:w="1800" w:type="dxa"/>
            <w:shd w:val="clear" w:color="auto" w:fill="auto"/>
            <w:vAlign w:val="bottom"/>
          </w:tcPr>
          <w:p w14:paraId="5E034503" w14:textId="77777777" w:rsidR="007E41FF" w:rsidRPr="00585BF5" w:rsidRDefault="007E41FF" w:rsidP="00585BF5">
            <w:pPr>
              <w:tabs>
                <w:tab w:val="left" w:pos="288"/>
                <w:tab w:val="left" w:pos="576"/>
                <w:tab w:val="left" w:pos="864"/>
                <w:tab w:val="left" w:pos="1152"/>
              </w:tabs>
              <w:spacing w:before="40" w:after="40" w:line="210" w:lineRule="exact"/>
              <w:ind w:left="144" w:right="43"/>
              <w:jc w:val="right"/>
              <w:rPr>
                <w:sz w:val="17"/>
              </w:rPr>
            </w:pPr>
            <w:r w:rsidRPr="00585BF5">
              <w:rPr>
                <w:sz w:val="17"/>
              </w:rPr>
              <w:t>4 469</w:t>
            </w:r>
          </w:p>
        </w:tc>
        <w:tc>
          <w:tcPr>
            <w:tcW w:w="1757" w:type="dxa"/>
            <w:shd w:val="clear" w:color="auto" w:fill="auto"/>
            <w:vAlign w:val="bottom"/>
          </w:tcPr>
          <w:p w14:paraId="3E7B6D37" w14:textId="77777777" w:rsidR="007E41FF" w:rsidRPr="00585BF5" w:rsidRDefault="007E41FF" w:rsidP="00585BF5">
            <w:pPr>
              <w:tabs>
                <w:tab w:val="left" w:pos="288"/>
                <w:tab w:val="left" w:pos="576"/>
                <w:tab w:val="left" w:pos="864"/>
                <w:tab w:val="left" w:pos="1152"/>
              </w:tabs>
              <w:spacing w:before="40" w:after="40" w:line="210" w:lineRule="exact"/>
              <w:ind w:left="144" w:right="43"/>
              <w:jc w:val="right"/>
              <w:rPr>
                <w:sz w:val="17"/>
              </w:rPr>
            </w:pPr>
            <w:r w:rsidRPr="00585BF5">
              <w:rPr>
                <w:sz w:val="17"/>
              </w:rPr>
              <w:t>9 339</w:t>
            </w:r>
          </w:p>
        </w:tc>
        <w:tc>
          <w:tcPr>
            <w:tcW w:w="1033" w:type="dxa"/>
            <w:shd w:val="clear" w:color="auto" w:fill="auto"/>
            <w:vAlign w:val="bottom"/>
          </w:tcPr>
          <w:p w14:paraId="2019AAC1" w14:textId="77777777" w:rsidR="007E41FF" w:rsidRPr="00585BF5" w:rsidRDefault="007E41FF" w:rsidP="00585BF5">
            <w:pPr>
              <w:tabs>
                <w:tab w:val="left" w:pos="288"/>
                <w:tab w:val="left" w:pos="576"/>
                <w:tab w:val="left" w:pos="864"/>
                <w:tab w:val="left" w:pos="1152"/>
              </w:tabs>
              <w:spacing w:before="40" w:after="40" w:line="210" w:lineRule="exact"/>
              <w:ind w:left="144" w:right="43"/>
              <w:jc w:val="right"/>
              <w:rPr>
                <w:sz w:val="17"/>
              </w:rPr>
            </w:pPr>
            <w:r w:rsidRPr="00585BF5">
              <w:rPr>
                <w:sz w:val="17"/>
              </w:rPr>
              <w:t>7 762</w:t>
            </w:r>
          </w:p>
        </w:tc>
        <w:tc>
          <w:tcPr>
            <w:tcW w:w="1590" w:type="dxa"/>
            <w:shd w:val="clear" w:color="auto" w:fill="auto"/>
            <w:vAlign w:val="bottom"/>
          </w:tcPr>
          <w:p w14:paraId="13B86470" w14:textId="77777777" w:rsidR="007E41FF" w:rsidRPr="00585BF5" w:rsidRDefault="007E41FF" w:rsidP="00585BF5">
            <w:pPr>
              <w:tabs>
                <w:tab w:val="left" w:pos="288"/>
                <w:tab w:val="left" w:pos="576"/>
                <w:tab w:val="left" w:pos="864"/>
                <w:tab w:val="left" w:pos="1152"/>
              </w:tabs>
              <w:spacing w:before="40" w:after="40" w:line="210" w:lineRule="exact"/>
              <w:ind w:left="144" w:right="43"/>
              <w:jc w:val="right"/>
              <w:rPr>
                <w:sz w:val="17"/>
              </w:rPr>
            </w:pPr>
            <w:r w:rsidRPr="00585BF5">
              <w:rPr>
                <w:sz w:val="17"/>
              </w:rPr>
              <w:t>889</w:t>
            </w:r>
          </w:p>
        </w:tc>
      </w:tr>
      <w:tr w:rsidR="0015207D" w:rsidRPr="00585BF5" w14:paraId="3BA38894" w14:textId="77777777" w:rsidTr="00E83FBF">
        <w:tc>
          <w:tcPr>
            <w:tcW w:w="1440" w:type="dxa"/>
            <w:tcBorders>
              <w:bottom w:val="single" w:sz="4" w:space="0" w:color="auto"/>
            </w:tcBorders>
            <w:shd w:val="clear" w:color="auto" w:fill="auto"/>
            <w:vAlign w:val="bottom"/>
          </w:tcPr>
          <w:p w14:paraId="12C25F48" w14:textId="77777777" w:rsidR="007E41FF" w:rsidRPr="00585BF5" w:rsidRDefault="007E41FF" w:rsidP="00E83FBF">
            <w:pPr>
              <w:tabs>
                <w:tab w:val="left" w:pos="288"/>
                <w:tab w:val="left" w:pos="576"/>
                <w:tab w:val="left" w:pos="864"/>
                <w:tab w:val="left" w:pos="1152"/>
              </w:tabs>
              <w:spacing w:before="40" w:after="81" w:line="210" w:lineRule="exact"/>
              <w:ind w:right="40"/>
              <w:rPr>
                <w:sz w:val="17"/>
              </w:rPr>
            </w:pPr>
            <w:r w:rsidRPr="00585BF5">
              <w:rPr>
                <w:sz w:val="17"/>
              </w:rPr>
              <w:t>2018</w:t>
            </w:r>
          </w:p>
        </w:tc>
        <w:tc>
          <w:tcPr>
            <w:tcW w:w="990" w:type="dxa"/>
            <w:tcBorders>
              <w:bottom w:val="single" w:sz="4" w:space="0" w:color="auto"/>
            </w:tcBorders>
            <w:shd w:val="clear" w:color="auto" w:fill="auto"/>
            <w:vAlign w:val="bottom"/>
          </w:tcPr>
          <w:p w14:paraId="45CE0341" w14:textId="77777777" w:rsidR="007E41FF" w:rsidRPr="00585BF5" w:rsidRDefault="007E41FF" w:rsidP="00E83FBF">
            <w:pPr>
              <w:tabs>
                <w:tab w:val="left" w:pos="288"/>
                <w:tab w:val="left" w:pos="576"/>
                <w:tab w:val="left" w:pos="864"/>
                <w:tab w:val="left" w:pos="1152"/>
              </w:tabs>
              <w:spacing w:before="40" w:after="81" w:line="210" w:lineRule="exact"/>
              <w:ind w:left="144" w:right="43"/>
              <w:jc w:val="right"/>
              <w:rPr>
                <w:sz w:val="17"/>
              </w:rPr>
            </w:pPr>
            <w:r w:rsidRPr="00585BF5">
              <w:rPr>
                <w:sz w:val="17"/>
              </w:rPr>
              <w:t>13 244</w:t>
            </w:r>
          </w:p>
        </w:tc>
        <w:tc>
          <w:tcPr>
            <w:tcW w:w="1800" w:type="dxa"/>
            <w:tcBorders>
              <w:bottom w:val="single" w:sz="4" w:space="0" w:color="auto"/>
            </w:tcBorders>
            <w:shd w:val="clear" w:color="auto" w:fill="auto"/>
            <w:vAlign w:val="bottom"/>
          </w:tcPr>
          <w:p w14:paraId="0B5FB400" w14:textId="77777777" w:rsidR="007E41FF" w:rsidRPr="00585BF5" w:rsidRDefault="007E41FF" w:rsidP="00E83FBF">
            <w:pPr>
              <w:tabs>
                <w:tab w:val="left" w:pos="288"/>
                <w:tab w:val="left" w:pos="576"/>
                <w:tab w:val="left" w:pos="864"/>
                <w:tab w:val="left" w:pos="1152"/>
              </w:tabs>
              <w:spacing w:before="40" w:after="81" w:line="210" w:lineRule="exact"/>
              <w:ind w:left="144" w:right="43"/>
              <w:jc w:val="right"/>
              <w:rPr>
                <w:sz w:val="17"/>
              </w:rPr>
            </w:pPr>
            <w:r w:rsidRPr="00585BF5">
              <w:rPr>
                <w:sz w:val="17"/>
              </w:rPr>
              <w:t>3 986</w:t>
            </w:r>
          </w:p>
        </w:tc>
        <w:tc>
          <w:tcPr>
            <w:tcW w:w="1757" w:type="dxa"/>
            <w:tcBorders>
              <w:bottom w:val="single" w:sz="4" w:space="0" w:color="auto"/>
            </w:tcBorders>
            <w:shd w:val="clear" w:color="auto" w:fill="auto"/>
            <w:vAlign w:val="bottom"/>
          </w:tcPr>
          <w:p w14:paraId="7189203D" w14:textId="77777777" w:rsidR="007E41FF" w:rsidRPr="00585BF5" w:rsidRDefault="007E41FF" w:rsidP="00E83FBF">
            <w:pPr>
              <w:tabs>
                <w:tab w:val="left" w:pos="288"/>
                <w:tab w:val="left" w:pos="576"/>
                <w:tab w:val="left" w:pos="864"/>
                <w:tab w:val="left" w:pos="1152"/>
              </w:tabs>
              <w:spacing w:before="40" w:after="81" w:line="210" w:lineRule="exact"/>
              <w:ind w:left="144" w:right="43"/>
              <w:jc w:val="right"/>
              <w:rPr>
                <w:sz w:val="17"/>
              </w:rPr>
            </w:pPr>
            <w:r w:rsidRPr="00585BF5">
              <w:rPr>
                <w:sz w:val="17"/>
              </w:rPr>
              <w:t>9 258</w:t>
            </w:r>
          </w:p>
        </w:tc>
        <w:tc>
          <w:tcPr>
            <w:tcW w:w="1033" w:type="dxa"/>
            <w:tcBorders>
              <w:bottom w:val="single" w:sz="4" w:space="0" w:color="auto"/>
            </w:tcBorders>
            <w:shd w:val="clear" w:color="auto" w:fill="auto"/>
            <w:vAlign w:val="bottom"/>
          </w:tcPr>
          <w:p w14:paraId="34A6C5DD" w14:textId="77777777" w:rsidR="007E41FF" w:rsidRPr="00585BF5" w:rsidRDefault="007E41FF" w:rsidP="00E83FBF">
            <w:pPr>
              <w:tabs>
                <w:tab w:val="left" w:pos="288"/>
                <w:tab w:val="left" w:pos="576"/>
                <w:tab w:val="left" w:pos="864"/>
                <w:tab w:val="left" w:pos="1152"/>
              </w:tabs>
              <w:spacing w:before="40" w:after="81" w:line="210" w:lineRule="exact"/>
              <w:ind w:left="144" w:right="43"/>
              <w:jc w:val="right"/>
              <w:rPr>
                <w:sz w:val="17"/>
              </w:rPr>
            </w:pPr>
            <w:r w:rsidRPr="00585BF5">
              <w:rPr>
                <w:sz w:val="17"/>
              </w:rPr>
              <w:t>7 252</w:t>
            </w:r>
          </w:p>
        </w:tc>
        <w:tc>
          <w:tcPr>
            <w:tcW w:w="1590" w:type="dxa"/>
            <w:tcBorders>
              <w:bottom w:val="single" w:sz="4" w:space="0" w:color="auto"/>
            </w:tcBorders>
            <w:shd w:val="clear" w:color="auto" w:fill="auto"/>
            <w:vAlign w:val="bottom"/>
          </w:tcPr>
          <w:p w14:paraId="7D0172F1" w14:textId="77777777" w:rsidR="007E41FF" w:rsidRPr="00585BF5" w:rsidRDefault="007E41FF" w:rsidP="00E83FBF">
            <w:pPr>
              <w:tabs>
                <w:tab w:val="left" w:pos="288"/>
                <w:tab w:val="left" w:pos="576"/>
                <w:tab w:val="left" w:pos="864"/>
                <w:tab w:val="left" w:pos="1152"/>
              </w:tabs>
              <w:spacing w:before="40" w:after="81" w:line="210" w:lineRule="exact"/>
              <w:ind w:left="144" w:right="43"/>
              <w:jc w:val="right"/>
              <w:rPr>
                <w:sz w:val="17"/>
              </w:rPr>
            </w:pPr>
            <w:r w:rsidRPr="00585BF5">
              <w:rPr>
                <w:sz w:val="17"/>
              </w:rPr>
              <w:t>815</w:t>
            </w:r>
          </w:p>
        </w:tc>
      </w:tr>
      <w:tr w:rsidR="00E83FBF" w:rsidRPr="00E83FBF" w14:paraId="2E94CDB4" w14:textId="77777777" w:rsidTr="00E83FBF">
        <w:tc>
          <w:tcPr>
            <w:tcW w:w="1440" w:type="dxa"/>
            <w:tcBorders>
              <w:top w:val="single" w:sz="4" w:space="0" w:color="auto"/>
              <w:bottom w:val="single" w:sz="12" w:space="0" w:color="auto"/>
            </w:tcBorders>
            <w:shd w:val="clear" w:color="auto" w:fill="auto"/>
            <w:vAlign w:val="bottom"/>
          </w:tcPr>
          <w:p w14:paraId="0BBB6784" w14:textId="3AC1E70E" w:rsidR="007E41FF" w:rsidRPr="00E83FBF" w:rsidRDefault="00E83FBF" w:rsidP="00E83FBF">
            <w:pPr>
              <w:tabs>
                <w:tab w:val="left" w:pos="288"/>
                <w:tab w:val="left" w:pos="576"/>
                <w:tab w:val="left" w:pos="864"/>
                <w:tab w:val="left" w:pos="1152"/>
              </w:tabs>
              <w:spacing w:before="81" w:after="81" w:line="210" w:lineRule="exact"/>
              <w:ind w:right="40"/>
              <w:rPr>
                <w:b/>
                <w:sz w:val="17"/>
              </w:rPr>
            </w:pPr>
            <w:r>
              <w:rPr>
                <w:b/>
                <w:sz w:val="17"/>
              </w:rPr>
              <w:tab/>
            </w:r>
            <w:r w:rsidR="007E41FF" w:rsidRPr="00E83FBF">
              <w:rPr>
                <w:b/>
                <w:sz w:val="17"/>
              </w:rPr>
              <w:t>Total</w:t>
            </w:r>
          </w:p>
        </w:tc>
        <w:tc>
          <w:tcPr>
            <w:tcW w:w="990" w:type="dxa"/>
            <w:tcBorders>
              <w:top w:val="single" w:sz="4" w:space="0" w:color="auto"/>
              <w:bottom w:val="single" w:sz="12" w:space="0" w:color="auto"/>
            </w:tcBorders>
            <w:shd w:val="clear" w:color="auto" w:fill="auto"/>
            <w:vAlign w:val="bottom"/>
          </w:tcPr>
          <w:p w14:paraId="2F7EECF3" w14:textId="77777777" w:rsidR="007E41FF" w:rsidRPr="00E83FBF" w:rsidRDefault="007E41FF" w:rsidP="00E83FBF">
            <w:pPr>
              <w:tabs>
                <w:tab w:val="left" w:pos="288"/>
                <w:tab w:val="left" w:pos="576"/>
                <w:tab w:val="left" w:pos="864"/>
                <w:tab w:val="left" w:pos="1152"/>
              </w:tabs>
              <w:spacing w:before="81" w:after="81" w:line="210" w:lineRule="exact"/>
              <w:ind w:left="144" w:right="43"/>
              <w:jc w:val="right"/>
              <w:rPr>
                <w:b/>
                <w:sz w:val="17"/>
              </w:rPr>
            </w:pPr>
            <w:r w:rsidRPr="00E83FBF">
              <w:rPr>
                <w:b/>
                <w:sz w:val="17"/>
              </w:rPr>
              <w:t>27 052</w:t>
            </w:r>
          </w:p>
        </w:tc>
        <w:tc>
          <w:tcPr>
            <w:tcW w:w="1800" w:type="dxa"/>
            <w:tcBorders>
              <w:top w:val="single" w:sz="4" w:space="0" w:color="auto"/>
              <w:bottom w:val="single" w:sz="12" w:space="0" w:color="auto"/>
            </w:tcBorders>
            <w:shd w:val="clear" w:color="auto" w:fill="auto"/>
            <w:vAlign w:val="bottom"/>
          </w:tcPr>
          <w:p w14:paraId="3354F062" w14:textId="77777777" w:rsidR="007E41FF" w:rsidRPr="00E83FBF" w:rsidRDefault="007E41FF" w:rsidP="00E83FBF">
            <w:pPr>
              <w:tabs>
                <w:tab w:val="left" w:pos="288"/>
                <w:tab w:val="left" w:pos="576"/>
                <w:tab w:val="left" w:pos="864"/>
                <w:tab w:val="left" w:pos="1152"/>
              </w:tabs>
              <w:spacing w:before="81" w:after="81" w:line="210" w:lineRule="exact"/>
              <w:ind w:left="144" w:right="43"/>
              <w:jc w:val="right"/>
              <w:rPr>
                <w:b/>
                <w:sz w:val="17"/>
              </w:rPr>
            </w:pPr>
            <w:r w:rsidRPr="00E83FBF">
              <w:rPr>
                <w:b/>
                <w:sz w:val="17"/>
              </w:rPr>
              <w:t>8 455</w:t>
            </w:r>
          </w:p>
        </w:tc>
        <w:tc>
          <w:tcPr>
            <w:tcW w:w="1757" w:type="dxa"/>
            <w:tcBorders>
              <w:top w:val="single" w:sz="4" w:space="0" w:color="auto"/>
              <w:bottom w:val="single" w:sz="12" w:space="0" w:color="auto"/>
            </w:tcBorders>
            <w:shd w:val="clear" w:color="auto" w:fill="auto"/>
            <w:vAlign w:val="bottom"/>
          </w:tcPr>
          <w:p w14:paraId="5C96ABBA" w14:textId="77777777" w:rsidR="007E41FF" w:rsidRPr="00E83FBF" w:rsidRDefault="007E41FF" w:rsidP="00E83FBF">
            <w:pPr>
              <w:tabs>
                <w:tab w:val="left" w:pos="288"/>
                <w:tab w:val="left" w:pos="576"/>
                <w:tab w:val="left" w:pos="864"/>
                <w:tab w:val="left" w:pos="1152"/>
              </w:tabs>
              <w:spacing w:before="81" w:after="81" w:line="210" w:lineRule="exact"/>
              <w:ind w:left="144" w:right="43"/>
              <w:jc w:val="right"/>
              <w:rPr>
                <w:b/>
                <w:sz w:val="17"/>
              </w:rPr>
            </w:pPr>
            <w:r w:rsidRPr="00E83FBF">
              <w:rPr>
                <w:b/>
                <w:sz w:val="17"/>
              </w:rPr>
              <w:t>18 597</w:t>
            </w:r>
          </w:p>
        </w:tc>
        <w:tc>
          <w:tcPr>
            <w:tcW w:w="1033" w:type="dxa"/>
            <w:tcBorders>
              <w:top w:val="single" w:sz="4" w:space="0" w:color="auto"/>
              <w:bottom w:val="single" w:sz="12" w:space="0" w:color="auto"/>
            </w:tcBorders>
            <w:shd w:val="clear" w:color="auto" w:fill="auto"/>
            <w:vAlign w:val="bottom"/>
          </w:tcPr>
          <w:p w14:paraId="1B46ED64" w14:textId="77777777" w:rsidR="007E41FF" w:rsidRPr="00E83FBF" w:rsidRDefault="007E41FF" w:rsidP="00E83FBF">
            <w:pPr>
              <w:tabs>
                <w:tab w:val="left" w:pos="288"/>
                <w:tab w:val="left" w:pos="576"/>
                <w:tab w:val="left" w:pos="864"/>
                <w:tab w:val="left" w:pos="1152"/>
              </w:tabs>
              <w:spacing w:before="81" w:after="81" w:line="210" w:lineRule="exact"/>
              <w:ind w:left="144" w:right="43"/>
              <w:jc w:val="right"/>
              <w:rPr>
                <w:b/>
                <w:sz w:val="17"/>
              </w:rPr>
            </w:pPr>
            <w:r w:rsidRPr="00E83FBF">
              <w:rPr>
                <w:b/>
                <w:sz w:val="17"/>
              </w:rPr>
              <w:t>15 014</w:t>
            </w:r>
          </w:p>
        </w:tc>
        <w:tc>
          <w:tcPr>
            <w:tcW w:w="1590" w:type="dxa"/>
            <w:tcBorders>
              <w:top w:val="single" w:sz="4" w:space="0" w:color="auto"/>
              <w:bottom w:val="single" w:sz="12" w:space="0" w:color="auto"/>
            </w:tcBorders>
            <w:shd w:val="clear" w:color="auto" w:fill="auto"/>
            <w:vAlign w:val="bottom"/>
          </w:tcPr>
          <w:p w14:paraId="0B0DE19C" w14:textId="77777777" w:rsidR="007E41FF" w:rsidRPr="00E83FBF" w:rsidRDefault="007E41FF" w:rsidP="00E83FBF">
            <w:pPr>
              <w:tabs>
                <w:tab w:val="left" w:pos="288"/>
                <w:tab w:val="left" w:pos="576"/>
                <w:tab w:val="left" w:pos="864"/>
                <w:tab w:val="left" w:pos="1152"/>
              </w:tabs>
              <w:spacing w:before="81" w:after="81" w:line="210" w:lineRule="exact"/>
              <w:ind w:left="144" w:right="43"/>
              <w:jc w:val="right"/>
              <w:rPr>
                <w:b/>
                <w:sz w:val="17"/>
              </w:rPr>
            </w:pPr>
            <w:r w:rsidRPr="00E83FBF">
              <w:rPr>
                <w:b/>
                <w:sz w:val="17"/>
              </w:rPr>
              <w:t>1 704</w:t>
            </w:r>
          </w:p>
        </w:tc>
      </w:tr>
    </w:tbl>
    <w:p w14:paraId="22F00BF2" w14:textId="7F69E901" w:rsidR="007E41FF" w:rsidRPr="007E41FF" w:rsidRDefault="007E41FF" w:rsidP="007E41FF">
      <w:pPr>
        <w:pStyle w:val="SingleTxt"/>
        <w:spacing w:after="0" w:line="120" w:lineRule="exact"/>
        <w:rPr>
          <w:sz w:val="10"/>
        </w:rPr>
      </w:pPr>
    </w:p>
    <w:p w14:paraId="1D1CBF81" w14:textId="72EB8051" w:rsidR="007E41FF" w:rsidRPr="007E41FF" w:rsidRDefault="007E41FF" w:rsidP="007E41FF">
      <w:pPr>
        <w:pStyle w:val="SingleTxt"/>
        <w:spacing w:after="0" w:line="120" w:lineRule="exact"/>
        <w:rPr>
          <w:sz w:val="10"/>
        </w:rPr>
      </w:pPr>
    </w:p>
    <w:p w14:paraId="44D7E0B8" w14:textId="6397768B" w:rsidR="007E41FF" w:rsidRPr="002910D6" w:rsidRDefault="007E41FF" w:rsidP="00172AC5">
      <w:pPr>
        <w:pStyle w:val="SingleTxt"/>
        <w:numPr>
          <w:ilvl w:val="0"/>
          <w:numId w:val="24"/>
        </w:numPr>
        <w:spacing w:line="240" w:lineRule="exact"/>
      </w:pPr>
      <w:r>
        <w:t>Entre le 1</w:t>
      </w:r>
      <w:r w:rsidRPr="007E41FF">
        <w:rPr>
          <w:vertAlign w:val="superscript"/>
        </w:rPr>
        <w:t>er</w:t>
      </w:r>
      <w:r>
        <w:t xml:space="preserve"> juin 2017 et le 30 juin 2018, le nombre de signalements d</w:t>
      </w:r>
      <w:r w:rsidR="00DE1F39">
        <w:t>’</w:t>
      </w:r>
      <w:r>
        <w:t>actes criminels tels qu</w:t>
      </w:r>
      <w:r w:rsidR="00DE1F39">
        <w:t>’</w:t>
      </w:r>
      <w:r>
        <w:t>ils sont définis par l</w:t>
      </w:r>
      <w:r w:rsidR="00DE1F39">
        <w:t>’</w:t>
      </w:r>
      <w:r>
        <w:t>Article 194 du Code pénal de la République de Serbie a été de 8,7 % du nombre total d</w:t>
      </w:r>
      <w:r w:rsidR="00DE1F39">
        <w:t>’</w:t>
      </w:r>
      <w:r>
        <w:t>actes criminels.</w:t>
      </w:r>
    </w:p>
    <w:p w14:paraId="28D4C4D1" w14:textId="4C4C292C" w:rsidR="007E41FF" w:rsidRDefault="007E41FF" w:rsidP="00172AC5">
      <w:pPr>
        <w:pStyle w:val="SingleTxt"/>
        <w:numPr>
          <w:ilvl w:val="0"/>
          <w:numId w:val="24"/>
        </w:numPr>
        <w:spacing w:line="240" w:lineRule="exact"/>
      </w:pPr>
      <w:r>
        <w:t>Le site Web lancé par le ministère de la Justice dans le cadre de la campagne « Arrêter la violence » a reçu 70 000 visites. Les autres indicateurs du succès de cette campagne sont les suivants : 81 publications dans des organismes publics, 143 articles dans la presse imprimée, 288 articles dans les médias en ligne, 366 publications sur Internet et 700 000 visionnages de six vidéos sur YouTube et Facebook. En outre, étant donné qu</w:t>
      </w:r>
      <w:r w:rsidR="00DE1F39">
        <w:t>’</w:t>
      </w:r>
      <w:r>
        <w:t>il est peu probable que les femmes roms sont peu enclines à signaler les violences domestiques, en mars 2017, le ministère de la Justice, en collaboration avec l</w:t>
      </w:r>
      <w:r w:rsidR="00DE1F39">
        <w:t>’</w:t>
      </w:r>
      <w:r>
        <w:t>ONG Osvit</w:t>
      </w:r>
      <w:r w:rsidRPr="00DE1F39">
        <w:rPr>
          <w:vertAlign w:val="superscript"/>
        </w:rPr>
        <w:footnoteReference w:id="5"/>
      </w:r>
      <w:r>
        <w:t xml:space="preserve"> de Niš, a tourné une vidéo encourageant le grand public à signaler les </w:t>
      </w:r>
      <w:r w:rsidR="00AE698C">
        <w:t>violences à l</w:t>
      </w:r>
      <w:r w:rsidR="00DE1F39">
        <w:t>’</w:t>
      </w:r>
      <w:r w:rsidR="00AE698C">
        <w:t>égard des femmes.</w:t>
      </w:r>
    </w:p>
    <w:p w14:paraId="0DE2E69A" w14:textId="50E236A5" w:rsidR="00AE698C" w:rsidRPr="00AE698C" w:rsidRDefault="00AE698C" w:rsidP="00AE698C">
      <w:pPr>
        <w:pStyle w:val="SingleTxt"/>
        <w:spacing w:after="0" w:line="120" w:lineRule="exact"/>
        <w:rPr>
          <w:sz w:val="10"/>
        </w:rPr>
      </w:pPr>
    </w:p>
    <w:p w14:paraId="058F54D4" w14:textId="11573921" w:rsidR="007E41FF" w:rsidRDefault="007E41FF" w:rsidP="00AE698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 xml:space="preserve">Traite et exploitation à des fins de prostitution </w:t>
      </w:r>
    </w:p>
    <w:p w14:paraId="5A37590A" w14:textId="3D5A0413" w:rsidR="00AE698C" w:rsidRPr="00AE698C" w:rsidRDefault="00AE698C" w:rsidP="00AE698C">
      <w:pPr>
        <w:pStyle w:val="SingleTxt"/>
        <w:spacing w:after="0" w:line="120" w:lineRule="exact"/>
        <w:rPr>
          <w:sz w:val="10"/>
        </w:rPr>
      </w:pPr>
    </w:p>
    <w:p w14:paraId="66B606C1" w14:textId="60827659" w:rsidR="007E41FF" w:rsidRPr="002910D6" w:rsidRDefault="007E41FF" w:rsidP="00172AC5">
      <w:pPr>
        <w:pStyle w:val="SingleTxt"/>
        <w:numPr>
          <w:ilvl w:val="0"/>
          <w:numId w:val="25"/>
        </w:numPr>
        <w:spacing w:line="240" w:lineRule="exact"/>
      </w:pPr>
      <w:r>
        <w:t>La stratégie relative à la prévention et à l</w:t>
      </w:r>
      <w:r w:rsidR="00DE1F39">
        <w:t>’</w:t>
      </w:r>
      <w:r>
        <w:t>élimination de la traite des personnes, et plus particulièrement des femmes et des enfants, et à la protection des victimes pour la période 2017 à 2020 a été adoptée en août 2017 avec son plan d</w:t>
      </w:r>
      <w:r w:rsidR="00DE1F39">
        <w:t>’</w:t>
      </w:r>
      <w:r>
        <w:t xml:space="preserve">action connexe de deux ans. </w:t>
      </w:r>
    </w:p>
    <w:p w14:paraId="702E0DBA" w14:textId="67C40829" w:rsidR="007E41FF" w:rsidRPr="002910D6" w:rsidRDefault="007E41FF" w:rsidP="00172AC5">
      <w:pPr>
        <w:pStyle w:val="SingleTxt"/>
        <w:numPr>
          <w:ilvl w:val="0"/>
          <w:numId w:val="25"/>
        </w:numPr>
        <w:spacing w:line="240" w:lineRule="exact"/>
      </w:pPr>
      <w:r>
        <w:t xml:space="preserve">Dans le but de mettre en </w:t>
      </w:r>
      <w:r w:rsidR="0015207D">
        <w:t>œuvre</w:t>
      </w:r>
      <w:r>
        <w:t xml:space="preserve"> ce document stratégique, le </w:t>
      </w:r>
      <w:r>
        <w:rPr>
          <w:i/>
        </w:rPr>
        <w:t>Bureau de coordination des activités de lutte contre la traite des personnes</w:t>
      </w:r>
      <w:r>
        <w:t xml:space="preserve"> a été créé au sein de la Direction de la police. Le responsable de ce bureau occupe la fonction de </w:t>
      </w:r>
      <w:r>
        <w:rPr>
          <w:i/>
        </w:rPr>
        <w:t xml:space="preserve">Coordinateur national de la lutte contre la traite des personnes. </w:t>
      </w:r>
    </w:p>
    <w:p w14:paraId="31D17CD3" w14:textId="0858EA95" w:rsidR="007E41FF" w:rsidRPr="002910D6" w:rsidRDefault="007E41FF" w:rsidP="00172AC5">
      <w:pPr>
        <w:pStyle w:val="SingleTxt"/>
        <w:numPr>
          <w:ilvl w:val="0"/>
          <w:numId w:val="25"/>
        </w:numPr>
        <w:spacing w:line="240" w:lineRule="exact"/>
        <w:rPr>
          <w:bCs/>
        </w:rPr>
      </w:pPr>
      <w:r>
        <w:t xml:space="preserve">Le </w:t>
      </w:r>
      <w:r>
        <w:rPr>
          <w:bCs/>
          <w:i/>
        </w:rPr>
        <w:t xml:space="preserve">Conseil de lutte contre la traite des personnes </w:t>
      </w:r>
      <w:r>
        <w:t>présidé par le Vice-Premier ministre et le ministre de l</w:t>
      </w:r>
      <w:r w:rsidR="00DE1F39">
        <w:t>’</w:t>
      </w:r>
      <w:r>
        <w:t>Intérieur a été créé le 12 octobre 2017. Ses membres sont le ministre des Finances, le ministre de l</w:t>
      </w:r>
      <w:r w:rsidR="00DE1F39">
        <w:t>’</w:t>
      </w:r>
      <w:r>
        <w:t>Éducation, des sciences et du développement technologique, le ministre du Travail, de l</w:t>
      </w:r>
      <w:r w:rsidR="00DE1F39">
        <w:t>’</w:t>
      </w:r>
      <w:r>
        <w:t xml:space="preserve">emploi, des anciens combattants et des affaires sociales, le ministre de la Santé et le ministre de la Justice. </w:t>
      </w:r>
    </w:p>
    <w:p w14:paraId="4CAE85FD" w14:textId="667A04A1" w:rsidR="007E41FF" w:rsidRPr="002910D6" w:rsidRDefault="007E41FF" w:rsidP="00172AC5">
      <w:pPr>
        <w:pStyle w:val="SingleTxt"/>
        <w:numPr>
          <w:ilvl w:val="0"/>
          <w:numId w:val="25"/>
        </w:numPr>
        <w:spacing w:line="240" w:lineRule="exact"/>
        <w:rPr>
          <w:bCs/>
        </w:rPr>
      </w:pPr>
      <w:r>
        <w:t xml:space="preserve">En outre, le 17 octobre 2017, un groupe de travail spécial pour la mise en </w:t>
      </w:r>
      <w:r w:rsidR="0015207D">
        <w:t>œuvre</w:t>
      </w:r>
      <w:r>
        <w:t xml:space="preserve"> et le suivi de la stratégie relative à la prévention et à l</w:t>
      </w:r>
      <w:r w:rsidR="00DE1F39">
        <w:t>’</w:t>
      </w:r>
      <w:r>
        <w:t>élimination de la traite des personnes, et plus particulièrement des femmes et des enfants, et à la protection des victimes pour la période 2017 à 2020 a été créé. Ce groupe de travail est composé de représentants de 17 ministères et autorités publiques, de la Croix-Rouge serbe et de deux organisations de la société civile spécialisées, Atina et Astra. Jusqu</w:t>
      </w:r>
      <w:r w:rsidR="00DE1F39">
        <w:t>’</w:t>
      </w:r>
      <w:r>
        <w:t>à présent il s</w:t>
      </w:r>
      <w:r w:rsidR="00DE1F39">
        <w:t>’</w:t>
      </w:r>
      <w:r>
        <w:t xml:space="preserve">est réuni 3 fois. </w:t>
      </w:r>
    </w:p>
    <w:p w14:paraId="5E5724DB" w14:textId="2F9591D3" w:rsidR="007E41FF" w:rsidRPr="002910D6" w:rsidRDefault="007E41FF" w:rsidP="00172AC5">
      <w:pPr>
        <w:pStyle w:val="SingleTxt"/>
        <w:numPr>
          <w:ilvl w:val="0"/>
          <w:numId w:val="25"/>
        </w:numPr>
        <w:spacing w:line="240" w:lineRule="exact"/>
        <w:rPr>
          <w:bCs/>
        </w:rPr>
      </w:pPr>
      <w:r>
        <w:lastRenderedPageBreak/>
        <w:t xml:space="preserve">Dans 17 villes un peu partout en Serbie, des </w:t>
      </w:r>
      <w:r>
        <w:rPr>
          <w:i/>
        </w:rPr>
        <w:t>équipes locales de lutte contre la traite des personnes</w:t>
      </w:r>
      <w:r>
        <w:t xml:space="preserve"> ont été créées et organisées</w:t>
      </w:r>
      <w:r w:rsidRPr="00DE1F39">
        <w:rPr>
          <w:vertAlign w:val="superscript"/>
        </w:rPr>
        <w:footnoteReference w:id="6"/>
      </w:r>
      <w:r w:rsidR="00AE698C">
        <w:t>.</w:t>
      </w:r>
    </w:p>
    <w:p w14:paraId="502DDF9E" w14:textId="2FB5FA1E" w:rsidR="007E41FF" w:rsidRPr="002910D6" w:rsidRDefault="007E41FF" w:rsidP="00172AC5">
      <w:pPr>
        <w:pStyle w:val="SingleTxt"/>
        <w:numPr>
          <w:ilvl w:val="0"/>
          <w:numId w:val="25"/>
        </w:numPr>
        <w:spacing w:line="240" w:lineRule="exact"/>
      </w:pPr>
      <w:r>
        <w:t>Afin d</w:t>
      </w:r>
      <w:r w:rsidR="00DE1F39">
        <w:t>’</w:t>
      </w:r>
      <w:r>
        <w:t>améliorer le système proactif d</w:t>
      </w:r>
      <w:r w:rsidR="00DE1F39">
        <w:t>’</w:t>
      </w:r>
      <w:r>
        <w:t>identification des cas de traite des personnes, ainsi que l</w:t>
      </w:r>
      <w:r w:rsidR="00DE1F39">
        <w:t>’</w:t>
      </w:r>
      <w:r>
        <w:t xml:space="preserve">efficacité des poursuites judiciaires, un </w:t>
      </w:r>
      <w:r>
        <w:rPr>
          <w:i/>
        </w:rPr>
        <w:t>groupe de travail intersectoriel</w:t>
      </w:r>
      <w:r>
        <w:t xml:space="preserve"> a été créé, les mécanismes de collaboration existants entre les autorités compétentes ont été remaniés, et de nouveaux mécanismes ont été mis en place dans le cadre de l</w:t>
      </w:r>
      <w:r w:rsidR="00DE1F39">
        <w:t>’</w:t>
      </w:r>
      <w:r>
        <w:t>approche proactive des représentants du ministère de l</w:t>
      </w:r>
      <w:r w:rsidR="00DE1F39">
        <w:t>’</w:t>
      </w:r>
      <w:r>
        <w:t>Intérieur, du ministère de la Justice, du ministère du Travail, de l</w:t>
      </w:r>
      <w:r w:rsidR="00DE1F39">
        <w:t>’</w:t>
      </w:r>
      <w:r>
        <w:t>emploi, des anciens combattants et des affaires sociales, de l</w:t>
      </w:r>
      <w:r w:rsidR="00DE1F39">
        <w:t>’</w:t>
      </w:r>
      <w:r>
        <w:t>Inspection du travail, du Bureau du Procureur de la République, des parquets pour le crime organisé et de l</w:t>
      </w:r>
      <w:r w:rsidR="00DE1F39">
        <w:t>’</w:t>
      </w:r>
      <w:r>
        <w:t>École d</w:t>
      </w:r>
      <w:r w:rsidR="00DE1F39">
        <w:t>’</w:t>
      </w:r>
      <w:r>
        <w:t>études criminologiques et policières. Ce groupe de travail intersectoriel est chargé notamment d</w:t>
      </w:r>
      <w:r w:rsidR="00DE1F39">
        <w:t>’</w:t>
      </w:r>
      <w:r>
        <w:t>analyser l</w:t>
      </w:r>
      <w:r w:rsidR="00DE1F39">
        <w:t>’</w:t>
      </w:r>
      <w:r>
        <w:t>état d</w:t>
      </w:r>
      <w:r w:rsidR="00DE1F39">
        <w:t>’</w:t>
      </w:r>
      <w:r>
        <w:t>avancement des enquêtes sur la traite des personnes. En outre le 15 mars 2018,</w:t>
      </w:r>
      <w:r w:rsidR="004D2D2F">
        <w:t xml:space="preserve"> </w:t>
      </w:r>
      <w:r>
        <w:t xml:space="preserve">au niveau opérationnel, des </w:t>
      </w:r>
      <w:r>
        <w:rPr>
          <w:i/>
        </w:rPr>
        <w:t>équipes de policiers chargés de la lutte contre la traite des personnes</w:t>
      </w:r>
      <w:r>
        <w:t xml:space="preserve"> ont été créées. </w:t>
      </w:r>
    </w:p>
    <w:p w14:paraId="0AE8861F" w14:textId="100B0150" w:rsidR="007E41FF" w:rsidRPr="002910D6" w:rsidRDefault="007E41FF" w:rsidP="00172AC5">
      <w:pPr>
        <w:pStyle w:val="SingleTxt"/>
        <w:numPr>
          <w:ilvl w:val="0"/>
          <w:numId w:val="25"/>
        </w:numPr>
        <w:spacing w:line="240" w:lineRule="exact"/>
      </w:pPr>
      <w:r>
        <w:t>Le 28 juin 2018, le ministère de l</w:t>
      </w:r>
      <w:r w:rsidR="00DE1F39">
        <w:t>’</w:t>
      </w:r>
      <w:r>
        <w:t>Intérieur, le ministère du Travail, de l</w:t>
      </w:r>
      <w:r w:rsidR="00DE1F39">
        <w:t>’</w:t>
      </w:r>
      <w:r>
        <w:t xml:space="preserve">emploi, des anciens combattants et des affaires sociales, et le Bureau du Procureur de la République ont signé le </w:t>
      </w:r>
      <w:r>
        <w:rPr>
          <w:i/>
        </w:rPr>
        <w:t>protocole de collaboration dans le domaine de l</w:t>
      </w:r>
      <w:r w:rsidR="00DE1F39">
        <w:rPr>
          <w:i/>
        </w:rPr>
        <w:t>’</w:t>
      </w:r>
      <w:r>
        <w:rPr>
          <w:i/>
        </w:rPr>
        <w:t>identification des victimes de la traite des personnes</w:t>
      </w:r>
      <w:r>
        <w:t>, afin de fournir aide et protection aux victimes, de prévenir la traite des personnes, et de présenter des statistiques permettant d</w:t>
      </w:r>
      <w:r w:rsidR="00DE1F39">
        <w:t>’</w:t>
      </w:r>
      <w:r>
        <w:t xml:space="preserve">étudier le phénomène de la traite des personnes. </w:t>
      </w:r>
    </w:p>
    <w:p w14:paraId="156DFEF3" w14:textId="175D58FE" w:rsidR="007E41FF" w:rsidRPr="002910D6" w:rsidRDefault="007E41FF" w:rsidP="00172AC5">
      <w:pPr>
        <w:pStyle w:val="SingleTxt"/>
        <w:numPr>
          <w:ilvl w:val="0"/>
          <w:numId w:val="25"/>
        </w:numPr>
        <w:spacing w:line="240" w:lineRule="exact"/>
      </w:pPr>
      <w:r>
        <w:t>Entre septembre 2017 et juin 2018, dans le cadre du programme « Notions de base sur la sécurité des enfants », les membres du ministère de l</w:t>
      </w:r>
      <w:r w:rsidR="00DE1F39">
        <w:t>’</w:t>
      </w:r>
      <w:r>
        <w:t xml:space="preserve">Intérieur ont fait 6 021 conférences dans 1 140 écoles primaires sur la traite des personnes, devant environ 107 338 élèves de quatrième et sixième années. </w:t>
      </w:r>
    </w:p>
    <w:p w14:paraId="37DA5FC8" w14:textId="35D5E090" w:rsidR="007E41FF" w:rsidRPr="002910D6" w:rsidRDefault="007E41FF" w:rsidP="00172AC5">
      <w:pPr>
        <w:pStyle w:val="SingleTxt"/>
        <w:numPr>
          <w:ilvl w:val="0"/>
          <w:numId w:val="25"/>
        </w:numPr>
        <w:spacing w:line="240" w:lineRule="exact"/>
      </w:pPr>
      <w:r>
        <w:t>Le ministère de la Justice a créé le groupe de travail pour la création de la stratégie nationale qui devra réglementer la protection des droits des parties lésées (victimes) et des témoins d</w:t>
      </w:r>
      <w:r w:rsidR="00DE1F39">
        <w:t>’</w:t>
      </w:r>
      <w:r>
        <w:t>actes criminels, avec son plan d</w:t>
      </w:r>
      <w:r w:rsidR="00DE1F39">
        <w:t>’</w:t>
      </w:r>
      <w:r>
        <w:t xml:space="preserve">action. </w:t>
      </w:r>
    </w:p>
    <w:p w14:paraId="4F995BA4" w14:textId="34136754" w:rsidR="007E41FF" w:rsidRPr="002910D6" w:rsidRDefault="007E41FF" w:rsidP="00172AC5">
      <w:pPr>
        <w:pStyle w:val="SingleTxt"/>
        <w:numPr>
          <w:ilvl w:val="0"/>
          <w:numId w:val="25"/>
        </w:numPr>
        <w:spacing w:line="240" w:lineRule="exact"/>
      </w:pPr>
      <w:r>
        <w:t xml:space="preserve">Des </w:t>
      </w:r>
      <w:r>
        <w:rPr>
          <w:i/>
        </w:rPr>
        <w:t>services d</w:t>
      </w:r>
      <w:r w:rsidR="00DE1F39">
        <w:rPr>
          <w:i/>
        </w:rPr>
        <w:t>’</w:t>
      </w:r>
      <w:r>
        <w:rPr>
          <w:i/>
        </w:rPr>
        <w:t xml:space="preserve">information des victimes et des témoins </w:t>
      </w:r>
      <w:r>
        <w:t>ont été ouverts dans les parquets de niveau supérieur, renforçant de manière importante le réseau existant de services disponibles pour les victimes. En outre, le projet de loi relatif à l</w:t>
      </w:r>
      <w:r w:rsidR="00DE1F39">
        <w:t>’</w:t>
      </w:r>
      <w:r>
        <w:t>aide juridictionnelle gratuite stipule que les victimes d</w:t>
      </w:r>
      <w:r w:rsidR="00DE1F39">
        <w:t>’</w:t>
      </w:r>
      <w:r>
        <w:t xml:space="preserve">actes criminels sont bénéficiaires de cette aide par force de loi. </w:t>
      </w:r>
    </w:p>
    <w:p w14:paraId="495D7034" w14:textId="5AA685C9" w:rsidR="007E41FF" w:rsidRPr="002910D6" w:rsidRDefault="007E41FF" w:rsidP="00172AC5">
      <w:pPr>
        <w:pStyle w:val="SingleTxt"/>
        <w:numPr>
          <w:ilvl w:val="0"/>
          <w:numId w:val="25"/>
        </w:numPr>
        <w:spacing w:line="240" w:lineRule="exact"/>
      </w:pPr>
      <w:r>
        <w:t>Dans chacun des parquets de niveau supérieur, un procureur adjoint est chargé de la coordination et des mesures à prendre pour les cas de traite des personnes. Un représentant du parquet suit une formation continue. Le document « Cadre juridique et recommandations pour l</w:t>
      </w:r>
      <w:r w:rsidR="00DE1F39">
        <w:t>’</w:t>
      </w:r>
      <w:r>
        <w:t>application du principe d</w:t>
      </w:r>
      <w:r w:rsidR="00DE1F39">
        <w:t>’</w:t>
      </w:r>
      <w:r>
        <w:t>impunité pour les victimes de traite des personnes en République de Serbie » a été publié ; il contient également des directives à l</w:t>
      </w:r>
      <w:r w:rsidR="00DE1F39">
        <w:t>’</w:t>
      </w:r>
      <w:r>
        <w:t>intention des juges, des représentants du parquet et des policiers. Les procureurs adjoints qualifiés suivent des formations sur l</w:t>
      </w:r>
      <w:r w:rsidR="00DE1F39">
        <w:t>’</w:t>
      </w:r>
      <w:r>
        <w:t xml:space="preserve">application des directives mentionnées. </w:t>
      </w:r>
    </w:p>
    <w:p w14:paraId="20A65BA0" w14:textId="349A36CC" w:rsidR="007E41FF" w:rsidRPr="002910D6" w:rsidRDefault="007E41FF" w:rsidP="00172AC5">
      <w:pPr>
        <w:pStyle w:val="SingleTxt"/>
        <w:numPr>
          <w:ilvl w:val="0"/>
          <w:numId w:val="25"/>
        </w:numPr>
        <w:spacing w:line="240" w:lineRule="exact"/>
      </w:pPr>
      <w:r>
        <w:t>Le parquet a des contacts réguliers avec le ministère de l</w:t>
      </w:r>
      <w:r w:rsidR="00DE1F39">
        <w:t>’</w:t>
      </w:r>
      <w:r>
        <w:t xml:space="preserve">Intérieur et le Centre pour la protection des victimes de traite des personnes. Il collabore également avec les autres organismes publics et les organisations de la société civile, aux niveaux national et international, en particulier les organisations ASTRA et ATINA. </w:t>
      </w:r>
    </w:p>
    <w:p w14:paraId="2915CFB6" w14:textId="4AB4E3B3" w:rsidR="007E41FF" w:rsidRPr="002910D6" w:rsidRDefault="007E41FF" w:rsidP="00172AC5">
      <w:pPr>
        <w:pStyle w:val="SingleTxt"/>
        <w:numPr>
          <w:ilvl w:val="0"/>
          <w:numId w:val="25"/>
        </w:numPr>
        <w:spacing w:line="240" w:lineRule="exact"/>
        <w:rPr>
          <w:b/>
          <w:u w:val="single"/>
        </w:rPr>
      </w:pPr>
      <w:r>
        <w:t>La collaboration avec les pays de la région se renforce, en particulier pour ce qui est de l</w:t>
      </w:r>
      <w:r w:rsidR="00DE1F39">
        <w:t>’</w:t>
      </w:r>
      <w:r>
        <w:t>identification et de la protection des victimes. Le projet régional de l</w:t>
      </w:r>
      <w:r w:rsidR="00DE1F39">
        <w:t>’</w:t>
      </w:r>
      <w:r>
        <w:t xml:space="preserve">OIM (détenteur de la mission à Sarajevo) comprend des activités de modification et de </w:t>
      </w:r>
      <w:r>
        <w:lastRenderedPageBreak/>
        <w:t>modernisation des procédures opérationnelles standard pour le traitement des victimes de traite des personnes. La Serbie envisage d</w:t>
      </w:r>
      <w:r w:rsidR="00DE1F39">
        <w:t>’</w:t>
      </w:r>
      <w:r>
        <w:t>utiliser le modèle de mémorandum de coopération (qui est spécifique par comparaison avec celui des autres pays à cause de l</w:t>
      </w:r>
      <w:r w:rsidR="00DE1F39">
        <w:t>’</w:t>
      </w:r>
      <w:r>
        <w:t>existence de l</w:t>
      </w:r>
      <w:r w:rsidR="00DE1F39">
        <w:t>’</w:t>
      </w:r>
      <w:r>
        <w:t>institution nationale spécialisée qu</w:t>
      </w:r>
      <w:r w:rsidR="00DE1F39">
        <w:t>’</w:t>
      </w:r>
      <w:r>
        <w:t>est le Centre de protection des victimes de traite des personnes). Le mémorandum de coopération avec le Monténégro et la Macédoine est en cours d</w:t>
      </w:r>
      <w:r w:rsidR="00DE1F39">
        <w:t>’</w:t>
      </w:r>
      <w:r>
        <w:t xml:space="preserve">élaboration. </w:t>
      </w:r>
    </w:p>
    <w:p w14:paraId="44CE30A4" w14:textId="49375150" w:rsidR="007E41FF" w:rsidRPr="002910D6" w:rsidRDefault="007E41FF" w:rsidP="00172AC5">
      <w:pPr>
        <w:pStyle w:val="SingleTxt"/>
        <w:numPr>
          <w:ilvl w:val="0"/>
          <w:numId w:val="27"/>
        </w:numPr>
        <w:spacing w:line="240" w:lineRule="exact"/>
      </w:pPr>
      <w:r>
        <w:t xml:space="preserve">Le Code pénal </w:t>
      </w:r>
      <w:r>
        <w:rPr>
          <w:i/>
        </w:rPr>
        <w:t xml:space="preserve">érige désormais le proxénétisme en infraction. </w:t>
      </w:r>
      <w:r>
        <w:t>Quiconque pousse ou incite une autre personne à la prostitution, participe à la remise d</w:t>
      </w:r>
      <w:r w:rsidR="00DE1F39">
        <w:t>’</w:t>
      </w:r>
      <w:r>
        <w:t>une personne à une autre et ce à des fins de prostitution, ou grâce aux médias ou autrement, favorise ou promeut la prostitution, est passible d</w:t>
      </w:r>
      <w:r w:rsidR="00DE1F39">
        <w:t>’</w:t>
      </w:r>
      <w:r>
        <w:t>une peine d</w:t>
      </w:r>
      <w:r w:rsidR="00DE1F39">
        <w:t>’</w:t>
      </w:r>
      <w:r>
        <w:t>emprisonnement de six mois à cinq ans, et d</w:t>
      </w:r>
      <w:r w:rsidR="00DE1F39">
        <w:t>’</w:t>
      </w:r>
      <w:r>
        <w:t>une amende. Si l</w:t>
      </w:r>
      <w:r w:rsidR="00DE1F39">
        <w:t>’</w:t>
      </w:r>
      <w:r>
        <w:t>infraction visée est commise contre un mineur, le coupable est passible d</w:t>
      </w:r>
      <w:r w:rsidR="00DE1F39">
        <w:t>’</w:t>
      </w:r>
      <w:r>
        <w:t>une peine d</w:t>
      </w:r>
      <w:r w:rsidR="00DE1F39">
        <w:t>’</w:t>
      </w:r>
      <w:r>
        <w:t>emprisonnement de 1 à 10 ans et d</w:t>
      </w:r>
      <w:r w:rsidR="00DE1F39">
        <w:t>’</w:t>
      </w:r>
      <w:r>
        <w:t xml:space="preserve">une amende (Article 184). </w:t>
      </w:r>
    </w:p>
    <w:p w14:paraId="352CCDE8" w14:textId="06813093" w:rsidR="007E41FF" w:rsidRPr="002910D6" w:rsidRDefault="007E41FF" w:rsidP="00172AC5">
      <w:pPr>
        <w:pStyle w:val="SingleTxtG"/>
        <w:numPr>
          <w:ilvl w:val="0"/>
          <w:numId w:val="26"/>
        </w:numPr>
      </w:pPr>
      <w:r>
        <w:t>Le Code pénal définit également la prostitution forcée comme faisant partie des crimes contre l</w:t>
      </w:r>
      <w:r w:rsidR="00DE1F39">
        <w:t>’</w:t>
      </w:r>
      <w:r>
        <w:t>humanité (Article 371) et des crimes de guerre contr</w:t>
      </w:r>
      <w:r w:rsidR="00AE698C">
        <w:t>e la population civile (Article </w:t>
      </w:r>
      <w:r>
        <w:t>372). Dans la section portant sur la traite des personnes (Article 388), le Code pénal indique que la prostitution est l</w:t>
      </w:r>
      <w:r w:rsidR="00DE1F39">
        <w:t>’</w:t>
      </w:r>
      <w:r>
        <w:t>un des objectifs pour lesquels des mesures seront prises par l</w:t>
      </w:r>
      <w:r w:rsidR="00DE1F39">
        <w:t>’</w:t>
      </w:r>
      <w:r>
        <w:t xml:space="preserve">exécutif. </w:t>
      </w:r>
    </w:p>
    <w:p w14:paraId="12E41E51" w14:textId="10C47EAD" w:rsidR="007E41FF" w:rsidRPr="002910D6" w:rsidRDefault="007E41FF" w:rsidP="00172AC5">
      <w:pPr>
        <w:pStyle w:val="SingleTxt"/>
        <w:numPr>
          <w:ilvl w:val="0"/>
          <w:numId w:val="28"/>
        </w:numPr>
        <w:spacing w:line="240" w:lineRule="exact"/>
        <w:rPr>
          <w:b/>
        </w:rPr>
      </w:pPr>
      <w:r>
        <w:t xml:space="preserve">La </w:t>
      </w:r>
      <w:r>
        <w:rPr>
          <w:i/>
        </w:rPr>
        <w:t>loi sur l</w:t>
      </w:r>
      <w:r w:rsidR="00DE1F39">
        <w:rPr>
          <w:i/>
        </w:rPr>
        <w:t>’</w:t>
      </w:r>
      <w:r>
        <w:rPr>
          <w:i/>
        </w:rPr>
        <w:t xml:space="preserve">ordre public et sur la paix </w:t>
      </w:r>
      <w:r>
        <w:t xml:space="preserve">définit la </w:t>
      </w:r>
      <w:r>
        <w:rPr>
          <w:i/>
        </w:rPr>
        <w:t xml:space="preserve">prostitution comme étant un délit </w:t>
      </w:r>
      <w:r>
        <w:t>qu</w:t>
      </w:r>
      <w:r w:rsidR="00DE1F39">
        <w:t>’</w:t>
      </w:r>
      <w:r>
        <w:t>elle définit comme étant la fourniture de services sexuels contre de l</w:t>
      </w:r>
      <w:r w:rsidR="00DE1F39">
        <w:t>’</w:t>
      </w:r>
      <w:r>
        <w:t>argent ou d</w:t>
      </w:r>
      <w:r w:rsidR="00DE1F39">
        <w:t>’</w:t>
      </w:r>
      <w:r>
        <w:t>autres valeurs. Conformément à cette loi, quiconque se livre à la prostitution, utilise les services de prostitués ou met un local à disposition à des fins de prostitution est passible d</w:t>
      </w:r>
      <w:r w:rsidR="00DE1F39">
        <w:t>’</w:t>
      </w:r>
      <w:r>
        <w:t>une amende entre 50 000 et 150 000 dinars serbes ou d</w:t>
      </w:r>
      <w:r w:rsidR="00DE1F39">
        <w:t>’</w:t>
      </w:r>
      <w:r>
        <w:t>une peine d</w:t>
      </w:r>
      <w:r w:rsidR="00DE1F39">
        <w:t>’</w:t>
      </w:r>
      <w:r>
        <w:t>emprisonnement de 30 à 60 jours. Toute personne qui met un local à la disposition d</w:t>
      </w:r>
      <w:r w:rsidR="00DE1F39">
        <w:t>’</w:t>
      </w:r>
      <w:r>
        <w:t>un mineur à des fins de prostitution est passible d</w:t>
      </w:r>
      <w:r w:rsidR="00DE1F39">
        <w:t>’</w:t>
      </w:r>
      <w:r>
        <w:t>une peine d</w:t>
      </w:r>
      <w:r w:rsidR="00DE1F39">
        <w:t>’</w:t>
      </w:r>
      <w:r>
        <w:t xml:space="preserve">emprisonnement de 30 à 60 jours (Article 16). Il est important de préciser que le parquet est une partie dans la procédure pour délit. </w:t>
      </w:r>
    </w:p>
    <w:p w14:paraId="546BC584" w14:textId="7150CE45" w:rsidR="007E41FF" w:rsidRPr="002910D6" w:rsidRDefault="007E41FF" w:rsidP="00172AC5">
      <w:pPr>
        <w:pStyle w:val="SingleTxt"/>
        <w:numPr>
          <w:ilvl w:val="0"/>
          <w:numId w:val="29"/>
        </w:numPr>
        <w:spacing w:line="240" w:lineRule="exact"/>
      </w:pPr>
      <w:r>
        <w:t xml:space="preserve">En outre, le </w:t>
      </w:r>
      <w:r>
        <w:rPr>
          <w:i/>
        </w:rPr>
        <w:t>proxénétisme</w:t>
      </w:r>
      <w:r>
        <w:t xml:space="preserve"> est un délit auquel s</w:t>
      </w:r>
      <w:r w:rsidR="00DE1F39">
        <w:t>’</w:t>
      </w:r>
      <w:r>
        <w:t xml:space="preserve">appliquent des règles spéciales portant sur la collaboration dans la prévention de la violence domestique définie par la </w:t>
      </w:r>
      <w:r>
        <w:rPr>
          <w:i/>
        </w:rPr>
        <w:t xml:space="preserve">loi sur la prévention de la violence domestique. </w:t>
      </w:r>
    </w:p>
    <w:p w14:paraId="45854CB8" w14:textId="6FB5EA37" w:rsidR="007E41FF" w:rsidRPr="002910D6" w:rsidRDefault="007E41FF" w:rsidP="00172AC5">
      <w:pPr>
        <w:pStyle w:val="SingleTxt"/>
        <w:numPr>
          <w:ilvl w:val="0"/>
          <w:numId w:val="29"/>
        </w:numPr>
        <w:spacing w:line="240" w:lineRule="exact"/>
      </w:pPr>
      <w:r>
        <w:t>Toutes les victimes de traite des personnes ont accès à une protection sociale, une infrastructure d</w:t>
      </w:r>
      <w:r w:rsidR="00DE1F39">
        <w:t>’</w:t>
      </w:r>
      <w:r>
        <w:t>accueil, une représentation juridique, un accompagnement et une psychothérapie, une aide à la recherche d</w:t>
      </w:r>
      <w:r w:rsidR="00DE1F39">
        <w:t>’</w:t>
      </w:r>
      <w:r>
        <w:t>emploi et à la formation, et au développement des compétences de la vie quotidienne. Il est nécessaire de renforcer les services existants et d</w:t>
      </w:r>
      <w:r w:rsidR="00DE1F39">
        <w:t>’</w:t>
      </w:r>
      <w:r>
        <w:t>en créer de nouveaux qui permettront une prise en charge plus efficace, plus particulièrement en ce qui concerne l</w:t>
      </w:r>
      <w:r w:rsidR="00DE1F39">
        <w:t>’</w:t>
      </w:r>
      <w:r>
        <w:t>emploi et l</w:t>
      </w:r>
      <w:r w:rsidR="00DE1F39">
        <w:t>’</w:t>
      </w:r>
      <w:r>
        <w:t>autonomisation économique, ainsi que le fonctionnement de la famille. Le nombre de victimes considérées comme témoins particulièrement vulnérables a augmenté, en particulier le nombre d</w:t>
      </w:r>
      <w:r w:rsidR="00DE1F39">
        <w:t>’</w:t>
      </w:r>
      <w:r>
        <w:t>enfants. Les victimes étrangères doivent bénéficier de conditions de séjour humaines et de la possibilité d</w:t>
      </w:r>
      <w:r w:rsidR="00DE1F39">
        <w:t>’</w:t>
      </w:r>
      <w:r>
        <w:t>un retour volontaire dans les meilleures conditions de dignité et de sécurité. Le premier centre public d</w:t>
      </w:r>
      <w:r w:rsidR="00DE1F39">
        <w:t>’</w:t>
      </w:r>
      <w:r>
        <w:t>accueil d</w:t>
      </w:r>
      <w:r w:rsidR="00DE1F39">
        <w:t>’</w:t>
      </w:r>
      <w:r>
        <w:t>urgence pour les femmes victimes de traite des personnes (petites filles, jeunes filles et femmes de plus</w:t>
      </w:r>
      <w:r w:rsidR="00F04216">
        <w:t xml:space="preserve"> de 16 ans) sera bientôt ouvert </w:t>
      </w:r>
      <w:r>
        <w:t>; ce sera une unité d</w:t>
      </w:r>
      <w:r w:rsidR="00DE1F39">
        <w:t>’</w:t>
      </w:r>
      <w:r>
        <w:t xml:space="preserve">organisation du Centre de protection des victimes de traite des personnes. </w:t>
      </w:r>
    </w:p>
    <w:p w14:paraId="25DCFAAC" w14:textId="4F58ED7F" w:rsidR="007E41FF" w:rsidRPr="002910D6" w:rsidRDefault="007E41FF" w:rsidP="00172AC5">
      <w:pPr>
        <w:pStyle w:val="SingleTxt"/>
        <w:numPr>
          <w:ilvl w:val="0"/>
          <w:numId w:val="29"/>
        </w:numPr>
        <w:spacing w:line="240" w:lineRule="exact"/>
      </w:pPr>
      <w:r>
        <w:t>Ce centre a signé des mémorandums et des protocoles de coopération avec l</w:t>
      </w:r>
      <w:r w:rsidR="00DE1F39">
        <w:t>’</w:t>
      </w:r>
      <w:r>
        <w:t>Agence nationale pour l</w:t>
      </w:r>
      <w:r w:rsidR="00DE1F39">
        <w:t>’</w:t>
      </w:r>
      <w:r>
        <w:t>emploi, le centre de santé communautaire de Voždovac, l</w:t>
      </w:r>
      <w:r w:rsidR="00DE1F39">
        <w:t>’</w:t>
      </w:r>
      <w:r>
        <w:t>hôpital spécial pour les maladies liées à la dépendance, la clinique psychiatrique « Dr Laza Lazarević », la Fondation « Tijana Jurić » et la Croix-Rouge serbe. Un mémorandum de coopération a été signé entre le ministère de l</w:t>
      </w:r>
      <w:r w:rsidR="00DE1F39">
        <w:t>’</w:t>
      </w:r>
      <w:r>
        <w:t>Intérieur, le ministère du Travail, de l</w:t>
      </w:r>
      <w:r w:rsidR="00DE1F39">
        <w:t>’</w:t>
      </w:r>
      <w:r>
        <w:t xml:space="preserve">emploi, des anciens combattants et des affaires sociales, et le parquet de niveau supérieur. </w:t>
      </w:r>
    </w:p>
    <w:p w14:paraId="29896B6F" w14:textId="01F91B1E" w:rsidR="007E41FF" w:rsidRPr="002910D6" w:rsidRDefault="007E41FF" w:rsidP="00172AC5">
      <w:pPr>
        <w:pStyle w:val="SingleTxt"/>
        <w:numPr>
          <w:ilvl w:val="0"/>
          <w:numId w:val="29"/>
        </w:numPr>
        <w:spacing w:line="240" w:lineRule="exact"/>
      </w:pPr>
      <w:r>
        <w:lastRenderedPageBreak/>
        <w:t>Le Centre de protection des victimes de traite des personnes, en collaboration avec les organisations nationales de la société civile et les organisations internationales, aide ces femmes et ces enfants à surmonter les souffrances endurées, afin de leur éviter une revictimisation par une exploitation répétée aux fins de la prostitution. Sur le nombre total de victimes recensées pour la période 2012-2017, 39 % des victimes d</w:t>
      </w:r>
      <w:r w:rsidR="00DE1F39">
        <w:t>’</w:t>
      </w:r>
      <w:r>
        <w:t>exploitation sexuelle sont des femmes. Les filles représentent 38 % des victimes d</w:t>
      </w:r>
      <w:r w:rsidR="00DE1F39">
        <w:t>’</w:t>
      </w:r>
      <w:r>
        <w:t xml:space="preserve">exploitation sexuelle recensées. </w:t>
      </w:r>
    </w:p>
    <w:p w14:paraId="17EB37BA" w14:textId="7210785D" w:rsidR="007E41FF" w:rsidRDefault="007E41FF" w:rsidP="00172AC5">
      <w:pPr>
        <w:pStyle w:val="SingleTxt"/>
        <w:numPr>
          <w:ilvl w:val="0"/>
          <w:numId w:val="29"/>
        </w:numPr>
        <w:spacing w:line="240" w:lineRule="exact"/>
      </w:pPr>
      <w:r>
        <w:t>L</w:t>
      </w:r>
      <w:r w:rsidR="00DE1F39">
        <w:t>’</w:t>
      </w:r>
      <w:r>
        <w:t>Agence nationale pour l</w:t>
      </w:r>
      <w:r w:rsidR="00DE1F39">
        <w:t>’</w:t>
      </w:r>
      <w:r>
        <w:t xml:space="preserve">emploi met en </w:t>
      </w:r>
      <w:r w:rsidR="0015207D">
        <w:t>œuvre</w:t>
      </w:r>
      <w:r>
        <w:t xml:space="preserve"> un programme de soutien qui offre aux victimes un véritable accès et des possibilités d</w:t>
      </w:r>
      <w:r w:rsidR="00DE1F39">
        <w:t>’</w:t>
      </w:r>
      <w:r>
        <w:t>emploi. Tous les services existants de soins de santé et de protection sociale sont mis à la disposition des victimes d</w:t>
      </w:r>
      <w:r w:rsidR="00DE1F39">
        <w:t>’</w:t>
      </w:r>
      <w:r>
        <w:t>exploitatio</w:t>
      </w:r>
      <w:r w:rsidR="00AE698C">
        <w:t>n sexuelle sans discrimination.</w:t>
      </w:r>
    </w:p>
    <w:p w14:paraId="00EB3F8C" w14:textId="5BF19694" w:rsidR="00AE698C" w:rsidRPr="00AE698C" w:rsidRDefault="00AE698C" w:rsidP="00AE698C">
      <w:pPr>
        <w:pStyle w:val="SingleTxt"/>
        <w:spacing w:after="0" w:line="120" w:lineRule="exact"/>
        <w:rPr>
          <w:sz w:val="10"/>
        </w:rPr>
      </w:pPr>
    </w:p>
    <w:p w14:paraId="35C5891A" w14:textId="23372736" w:rsidR="007E41FF" w:rsidRDefault="007E41FF" w:rsidP="00AE698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 xml:space="preserve">Participation à la vie politique et à la vie publique </w:t>
      </w:r>
    </w:p>
    <w:p w14:paraId="15E7FCB1" w14:textId="13FB5BFE" w:rsidR="00AE698C" w:rsidRPr="00AE698C" w:rsidRDefault="00AE698C" w:rsidP="00AE698C">
      <w:pPr>
        <w:pStyle w:val="SingleTxt"/>
        <w:spacing w:after="0" w:line="120" w:lineRule="exact"/>
        <w:rPr>
          <w:sz w:val="10"/>
        </w:rPr>
      </w:pPr>
    </w:p>
    <w:p w14:paraId="76297C90" w14:textId="418D9CAF" w:rsidR="007E41FF" w:rsidRPr="002910D6" w:rsidRDefault="007E41FF" w:rsidP="00172AC5">
      <w:pPr>
        <w:pStyle w:val="SingleTxt"/>
        <w:numPr>
          <w:ilvl w:val="0"/>
          <w:numId w:val="30"/>
        </w:numPr>
        <w:spacing w:line="240" w:lineRule="exact"/>
      </w:pPr>
      <w:r>
        <w:t>Il n</w:t>
      </w:r>
      <w:r w:rsidR="00DE1F39">
        <w:t>’</w:t>
      </w:r>
      <w:r>
        <w:t>y a pas de changements dans les postes de direction au sein des pouvoirs législatif et exécutif, et les femmes sont majoritaires dans l</w:t>
      </w:r>
      <w:r w:rsidR="00DE1F39">
        <w:t>’</w:t>
      </w:r>
      <w:r>
        <w:t xml:space="preserve">appareil judiciaire. </w:t>
      </w:r>
    </w:p>
    <w:p w14:paraId="309CA383" w14:textId="2E00513B" w:rsidR="007E41FF" w:rsidRPr="002910D6" w:rsidRDefault="007E41FF" w:rsidP="00172AC5">
      <w:pPr>
        <w:pStyle w:val="SingleTxt"/>
        <w:numPr>
          <w:ilvl w:val="0"/>
          <w:numId w:val="30"/>
        </w:numPr>
        <w:spacing w:line="240" w:lineRule="exact"/>
      </w:pPr>
      <w:r>
        <w:t>La représentation des femmes dans la vie politique au niveau des collectivités locales est réglementée par la loi sur les élections locales</w:t>
      </w:r>
      <w:r w:rsidRPr="00DE1F39">
        <w:rPr>
          <w:vertAlign w:val="superscript"/>
        </w:rPr>
        <w:footnoteReference w:id="7"/>
      </w:r>
      <w:r>
        <w:t xml:space="preserve"> qui dispose que sur les listes électorales, au moins un candidat sur trois (trois premiers candidats, puis les trois suivants et ainsi de suite jusqu</w:t>
      </w:r>
      <w:r w:rsidR="00DE1F39">
        <w:t>’</w:t>
      </w:r>
      <w:r>
        <w:t xml:space="preserve">à la fin de la liste), doit être du sexe le moins représenté dans la liste (Article 20, paragraphe 3). En ce qui concerne les conseils municipaux et les assemblées des villes, 14,4 % des présidents et 23,5 % des présidents adjoints sont des femmes. Les femmes représentent 32,7 % des conseillers municipaux et 18,6 % des présidents des groupes de conseillers. Elles représentent 7,9 % des maires et présidents de municipalités, et 18,5 % des maires et présidents adjoints de municipalités. Elles représentent 11 % des membres des conseils de collectivités locales, et seulement 5 % des présidents des collectivités locales. </w:t>
      </w:r>
    </w:p>
    <w:p w14:paraId="0439B488" w14:textId="739031FF" w:rsidR="007E41FF" w:rsidRPr="002910D6" w:rsidRDefault="007E41FF" w:rsidP="00172AC5">
      <w:pPr>
        <w:pStyle w:val="SingleTxt"/>
        <w:numPr>
          <w:ilvl w:val="0"/>
          <w:numId w:val="30"/>
        </w:numPr>
        <w:spacing w:line="240" w:lineRule="exact"/>
      </w:pPr>
      <w:r>
        <w:t>Il n</w:t>
      </w:r>
      <w:r w:rsidR="00DE1F39">
        <w:t>’</w:t>
      </w:r>
      <w:r>
        <w:t xml:space="preserve">y a pas de données disponibles sur la nationalité des femmes occupant des postes de direction. </w:t>
      </w:r>
    </w:p>
    <w:p w14:paraId="34CF7403" w14:textId="52CB07E8" w:rsidR="007E41FF" w:rsidRPr="002910D6" w:rsidRDefault="007E41FF" w:rsidP="00172AC5">
      <w:pPr>
        <w:pStyle w:val="SingleTxt"/>
        <w:numPr>
          <w:ilvl w:val="0"/>
          <w:numId w:val="30"/>
        </w:numPr>
        <w:spacing w:line="240" w:lineRule="exact"/>
      </w:pPr>
      <w:r>
        <w:t>Fin 2016, dans le système de défense, le pourcentage de femmes était de 19,90 % dont 18,15 % occupaient des postes de direction, soit une augmentation de 0,75 % par rapport à l</w:t>
      </w:r>
      <w:r w:rsidR="00DE1F39">
        <w:t>’</w:t>
      </w:r>
      <w:r>
        <w:t xml:space="preserve">année précédente. Au ministère de la Défense et dans les forces armées serbes, les femmes peuvent êtres représentantes du corps diplomatique militaire de la République de Serbie dans les mêmes conditions que les hommes. </w:t>
      </w:r>
    </w:p>
    <w:p w14:paraId="15A2702F" w14:textId="72ED0DF9" w:rsidR="007E41FF" w:rsidRDefault="007E41FF" w:rsidP="00172AC5">
      <w:pPr>
        <w:pStyle w:val="SingleTxt"/>
        <w:numPr>
          <w:ilvl w:val="0"/>
          <w:numId w:val="30"/>
        </w:numPr>
        <w:spacing w:line="240" w:lineRule="exact"/>
      </w:pPr>
      <w:r>
        <w:t>Le 7 septembre 2018, 14 ambassadeurs sur 68 et cinq consuls généraux sur 19 son</w:t>
      </w:r>
      <w:r w:rsidR="00AE698C">
        <w:t>t des femmes, soit 19 au total.</w:t>
      </w:r>
    </w:p>
    <w:p w14:paraId="0B3E0AA3" w14:textId="662AC862" w:rsidR="00AE698C" w:rsidRPr="00AE698C" w:rsidRDefault="00AE698C" w:rsidP="00AE698C">
      <w:pPr>
        <w:pStyle w:val="SingleTxt"/>
        <w:spacing w:after="0" w:line="120" w:lineRule="exact"/>
        <w:rPr>
          <w:sz w:val="10"/>
        </w:rPr>
      </w:pPr>
    </w:p>
    <w:p w14:paraId="13B66D6E" w14:textId="131A868A" w:rsidR="007E41FF" w:rsidRDefault="007E41FF" w:rsidP="00AE698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Éducation</w:t>
      </w:r>
    </w:p>
    <w:p w14:paraId="1D960BD6" w14:textId="55F764D7" w:rsidR="00AE698C" w:rsidRPr="00AE698C" w:rsidRDefault="00AE698C" w:rsidP="00AE698C">
      <w:pPr>
        <w:pStyle w:val="SingleTxt"/>
        <w:spacing w:after="0" w:line="120" w:lineRule="exact"/>
        <w:rPr>
          <w:sz w:val="10"/>
        </w:rPr>
      </w:pPr>
    </w:p>
    <w:p w14:paraId="5890CAD5" w14:textId="3D9D0A56" w:rsidR="007E41FF" w:rsidRPr="002910D6" w:rsidRDefault="007E41FF" w:rsidP="00172AC5">
      <w:pPr>
        <w:pStyle w:val="SingleTxt"/>
        <w:numPr>
          <w:ilvl w:val="0"/>
          <w:numId w:val="31"/>
        </w:numPr>
        <w:spacing w:line="240" w:lineRule="exact"/>
      </w:pPr>
      <w:r>
        <w:t>Le ministère de l</w:t>
      </w:r>
      <w:r w:rsidR="00DE1F39">
        <w:t>’</w:t>
      </w:r>
      <w:r>
        <w:t>Éducation, des sciences et du développement technologique recueille les données à l</w:t>
      </w:r>
      <w:r w:rsidR="00DE1F39">
        <w:t>’</w:t>
      </w:r>
      <w:r>
        <w:t>aide du Système unique d</w:t>
      </w:r>
      <w:r w:rsidR="00DE1F39">
        <w:t>’</w:t>
      </w:r>
      <w:r>
        <w:t>informations sur l</w:t>
      </w:r>
      <w:r w:rsidR="00DE1F39">
        <w:t>’</w:t>
      </w:r>
      <w:r>
        <w:t>éducation (SUIE)</w:t>
      </w:r>
      <w:r w:rsidRPr="00DE1F39">
        <w:rPr>
          <w:vertAlign w:val="superscript"/>
        </w:rPr>
        <w:footnoteReference w:id="8"/>
      </w:r>
      <w:r>
        <w:t>. Le suivi des résultats scolaires a été amélioré par la mise en place du numéro d</w:t>
      </w:r>
      <w:r w:rsidR="00DE1F39">
        <w:t>’</w:t>
      </w:r>
      <w:r>
        <w:t>éducation unique (NEU) qui suit chaque personne dans toutes les étapes de son parcours scolaire et éducatif, et est indispensable pour relier entre elles toutes les données sur l</w:t>
      </w:r>
      <w:r w:rsidR="00DE1F39">
        <w:t>’</w:t>
      </w:r>
      <w:r>
        <w:t>enfant, l</w:t>
      </w:r>
      <w:r w:rsidR="00DE1F39">
        <w:t>’</w:t>
      </w:r>
      <w:r>
        <w:t>élève et l</w:t>
      </w:r>
      <w:r w:rsidR="00DE1F39">
        <w:t>’</w:t>
      </w:r>
      <w:r>
        <w:t>adulte dans le SUIE</w:t>
      </w:r>
      <w:r w:rsidRPr="00DE1F39">
        <w:rPr>
          <w:vertAlign w:val="superscript"/>
        </w:rPr>
        <w:footnoteReference w:id="9"/>
      </w:r>
      <w:r>
        <w:t>. Bien que la loi sur les bases du système éducatif stipule que la nationalité peut faire partie des éléments pris en compte dans le NEU, une note indique qu</w:t>
      </w:r>
      <w:r w:rsidR="00DE1F39">
        <w:t>’</w:t>
      </w:r>
      <w:r>
        <w:t>il n</w:t>
      </w:r>
      <w:r w:rsidR="00DE1F39">
        <w:t>’</w:t>
      </w:r>
      <w:r>
        <w:t xml:space="preserve">est pas obligatoire de préciser </w:t>
      </w:r>
      <w:r>
        <w:lastRenderedPageBreak/>
        <w:t>l</w:t>
      </w:r>
      <w:r w:rsidR="00DE1F39">
        <w:t>’</w:t>
      </w:r>
      <w:r>
        <w:t>appartenance nationale (Article 177), par conséquent il n</w:t>
      </w:r>
      <w:r w:rsidR="00DE1F39">
        <w:t>’</w:t>
      </w:r>
      <w:r>
        <w:t>existe pas de données sur l</w:t>
      </w:r>
      <w:r w:rsidR="00DE1F39">
        <w:t>’</w:t>
      </w:r>
      <w:r>
        <w:t xml:space="preserve">appartenance nationale des élèves et des enseignants. </w:t>
      </w:r>
    </w:p>
    <w:p w14:paraId="45C23E39" w14:textId="7CE68CDB" w:rsidR="007E41FF" w:rsidRDefault="007E41FF" w:rsidP="00172AC5">
      <w:pPr>
        <w:pStyle w:val="SingleTxt"/>
        <w:numPr>
          <w:ilvl w:val="0"/>
          <w:numId w:val="31"/>
        </w:numPr>
        <w:spacing w:line="240" w:lineRule="exact"/>
      </w:pPr>
      <w:r>
        <w:t>Selon l</w:t>
      </w:r>
      <w:r w:rsidR="00DE1F39">
        <w:t>’</w:t>
      </w:r>
      <w:r>
        <w:t>enquête sur la main d</w:t>
      </w:r>
      <w:r w:rsidR="00DE1F39">
        <w:t>’</w:t>
      </w:r>
      <w:r w:rsidR="0015207D">
        <w:t>œuvre</w:t>
      </w:r>
      <w:r>
        <w:t xml:space="preserve"> du Bureau national de statistique, le pourcentage d</w:t>
      </w:r>
      <w:r w:rsidR="00DE1F39">
        <w:t>’</w:t>
      </w:r>
      <w:r>
        <w:t>élèves qui ont abandonné l</w:t>
      </w:r>
      <w:r w:rsidR="00DE1F39">
        <w:t>’</w:t>
      </w:r>
      <w:r>
        <w:t>école précocement en République de Serbie est de 8,3 % (Bureau de statistique de Serbie, 2015).</w:t>
      </w:r>
    </w:p>
    <w:p w14:paraId="4FA69611" w14:textId="599A0314" w:rsidR="007E41FF" w:rsidRPr="00AE698C" w:rsidRDefault="007E41FF" w:rsidP="00AE698C">
      <w:pPr>
        <w:pStyle w:val="SingleTxt"/>
        <w:spacing w:after="0" w:line="120" w:lineRule="exact"/>
        <w:rPr>
          <w:sz w:val="10"/>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0"/>
        <w:gridCol w:w="1220"/>
        <w:gridCol w:w="1220"/>
        <w:gridCol w:w="1220"/>
        <w:gridCol w:w="1220"/>
        <w:gridCol w:w="1220"/>
      </w:tblGrid>
      <w:tr w:rsidR="00E83FBF" w:rsidRPr="00E83FBF" w14:paraId="0A701A05" w14:textId="77777777" w:rsidTr="00E83FBF">
        <w:trPr>
          <w:trHeight w:val="151"/>
          <w:tblHeader/>
        </w:trPr>
        <w:tc>
          <w:tcPr>
            <w:tcW w:w="7320" w:type="dxa"/>
            <w:gridSpan w:val="6"/>
            <w:tcBorders>
              <w:top w:val="single" w:sz="4" w:space="0" w:color="auto"/>
              <w:bottom w:val="single" w:sz="12" w:space="0" w:color="auto"/>
            </w:tcBorders>
            <w:shd w:val="clear" w:color="auto" w:fill="auto"/>
            <w:vAlign w:val="bottom"/>
          </w:tcPr>
          <w:p w14:paraId="186233F6" w14:textId="7FDEFE7C" w:rsidR="00E83FBF" w:rsidRPr="00E83FBF" w:rsidRDefault="00E83FBF" w:rsidP="00E83FBF">
            <w:pPr>
              <w:spacing w:before="81" w:after="81" w:line="160" w:lineRule="exact"/>
              <w:ind w:left="144" w:right="43"/>
              <w:jc w:val="center"/>
              <w:rPr>
                <w:i/>
                <w:sz w:val="14"/>
              </w:rPr>
            </w:pPr>
            <w:r w:rsidRPr="00E83FBF">
              <w:rPr>
                <w:i/>
                <w:sz w:val="14"/>
              </w:rPr>
              <w:t>Élèves inscrits au début et à la fin des années scolaires 20</w:t>
            </w:r>
            <w:r w:rsidR="0015207D" w:rsidRPr="0076728C">
              <w:t>15/201</w:t>
            </w:r>
            <w:r w:rsidRPr="00E83FBF">
              <w:rPr>
                <w:i/>
                <w:sz w:val="14"/>
              </w:rPr>
              <w:t>6 et 20</w:t>
            </w:r>
            <w:r w:rsidR="0015207D" w:rsidRPr="0076728C">
              <w:t>16/201</w:t>
            </w:r>
            <w:r w:rsidRPr="00E83FBF">
              <w:rPr>
                <w:i/>
                <w:sz w:val="14"/>
              </w:rPr>
              <w:t>7</w:t>
            </w:r>
          </w:p>
        </w:tc>
      </w:tr>
      <w:tr w:rsidR="00E83FBF" w:rsidRPr="00E83FBF" w14:paraId="2F19CC87" w14:textId="77777777" w:rsidTr="00E83FBF">
        <w:trPr>
          <w:trHeight w:hRule="exact" w:val="115"/>
          <w:tblHeader/>
        </w:trPr>
        <w:tc>
          <w:tcPr>
            <w:tcW w:w="1220" w:type="dxa"/>
            <w:tcBorders>
              <w:top w:val="single" w:sz="12" w:space="0" w:color="auto"/>
            </w:tcBorders>
            <w:shd w:val="clear" w:color="auto" w:fill="auto"/>
            <w:vAlign w:val="bottom"/>
          </w:tcPr>
          <w:p w14:paraId="25CA831F" w14:textId="77777777" w:rsidR="00E83FBF" w:rsidRPr="00E83FBF" w:rsidRDefault="00E83FBF" w:rsidP="00E83FBF">
            <w:pPr>
              <w:spacing w:before="40" w:after="40" w:line="210" w:lineRule="exact"/>
              <w:ind w:right="40"/>
              <w:rPr>
                <w:sz w:val="17"/>
              </w:rPr>
            </w:pPr>
          </w:p>
        </w:tc>
        <w:tc>
          <w:tcPr>
            <w:tcW w:w="1220" w:type="dxa"/>
            <w:tcBorders>
              <w:top w:val="single" w:sz="12" w:space="0" w:color="auto"/>
            </w:tcBorders>
            <w:shd w:val="clear" w:color="auto" w:fill="auto"/>
            <w:vAlign w:val="bottom"/>
          </w:tcPr>
          <w:p w14:paraId="651505D7" w14:textId="77777777" w:rsidR="00E83FBF" w:rsidRPr="00E83FBF" w:rsidRDefault="00E83FBF" w:rsidP="00E83FBF">
            <w:pPr>
              <w:spacing w:before="40" w:after="40" w:line="210" w:lineRule="exact"/>
              <w:ind w:left="144" w:right="43"/>
              <w:jc w:val="right"/>
              <w:rPr>
                <w:sz w:val="17"/>
              </w:rPr>
            </w:pPr>
          </w:p>
        </w:tc>
        <w:tc>
          <w:tcPr>
            <w:tcW w:w="1220" w:type="dxa"/>
            <w:tcBorders>
              <w:top w:val="single" w:sz="12" w:space="0" w:color="auto"/>
            </w:tcBorders>
            <w:shd w:val="clear" w:color="auto" w:fill="auto"/>
            <w:vAlign w:val="bottom"/>
          </w:tcPr>
          <w:p w14:paraId="728DF12E" w14:textId="77777777" w:rsidR="00E83FBF" w:rsidRPr="00E83FBF" w:rsidRDefault="00E83FBF" w:rsidP="00E83FBF">
            <w:pPr>
              <w:spacing w:before="40" w:after="40" w:line="210" w:lineRule="exact"/>
              <w:ind w:left="144" w:right="43"/>
              <w:jc w:val="right"/>
              <w:rPr>
                <w:sz w:val="17"/>
              </w:rPr>
            </w:pPr>
          </w:p>
        </w:tc>
        <w:tc>
          <w:tcPr>
            <w:tcW w:w="1220" w:type="dxa"/>
            <w:tcBorders>
              <w:top w:val="single" w:sz="12" w:space="0" w:color="auto"/>
            </w:tcBorders>
            <w:shd w:val="clear" w:color="auto" w:fill="auto"/>
            <w:vAlign w:val="bottom"/>
          </w:tcPr>
          <w:p w14:paraId="4A6A5704" w14:textId="77777777" w:rsidR="00E83FBF" w:rsidRPr="00E83FBF" w:rsidRDefault="00E83FBF" w:rsidP="00E83FBF">
            <w:pPr>
              <w:spacing w:before="40" w:after="40" w:line="210" w:lineRule="exact"/>
              <w:ind w:left="144" w:right="43"/>
              <w:jc w:val="right"/>
              <w:rPr>
                <w:sz w:val="17"/>
              </w:rPr>
            </w:pPr>
          </w:p>
        </w:tc>
        <w:tc>
          <w:tcPr>
            <w:tcW w:w="1220" w:type="dxa"/>
            <w:tcBorders>
              <w:top w:val="single" w:sz="12" w:space="0" w:color="auto"/>
            </w:tcBorders>
            <w:shd w:val="clear" w:color="auto" w:fill="auto"/>
            <w:vAlign w:val="bottom"/>
          </w:tcPr>
          <w:p w14:paraId="6C98FE1B" w14:textId="77777777" w:rsidR="00E83FBF" w:rsidRPr="00E83FBF" w:rsidRDefault="00E83FBF" w:rsidP="00E83FBF">
            <w:pPr>
              <w:spacing w:before="40" w:after="40" w:line="210" w:lineRule="exact"/>
              <w:ind w:left="144" w:right="43"/>
              <w:jc w:val="right"/>
              <w:rPr>
                <w:sz w:val="17"/>
              </w:rPr>
            </w:pPr>
          </w:p>
        </w:tc>
        <w:tc>
          <w:tcPr>
            <w:tcW w:w="1220" w:type="dxa"/>
            <w:tcBorders>
              <w:top w:val="single" w:sz="12" w:space="0" w:color="auto"/>
            </w:tcBorders>
            <w:shd w:val="clear" w:color="auto" w:fill="auto"/>
            <w:vAlign w:val="bottom"/>
          </w:tcPr>
          <w:p w14:paraId="445940DA" w14:textId="77777777" w:rsidR="00E83FBF" w:rsidRPr="00E83FBF" w:rsidRDefault="00E83FBF" w:rsidP="00E83FBF">
            <w:pPr>
              <w:spacing w:before="40" w:after="40" w:line="210" w:lineRule="exact"/>
              <w:ind w:left="144" w:right="43"/>
              <w:jc w:val="right"/>
              <w:rPr>
                <w:sz w:val="17"/>
              </w:rPr>
            </w:pPr>
          </w:p>
        </w:tc>
      </w:tr>
      <w:tr w:rsidR="00E83FBF" w:rsidRPr="00E83FBF" w14:paraId="43AB88B3" w14:textId="77777777" w:rsidTr="00E83FBF">
        <w:trPr>
          <w:trHeight w:val="150"/>
        </w:trPr>
        <w:tc>
          <w:tcPr>
            <w:tcW w:w="3660" w:type="dxa"/>
            <w:gridSpan w:val="3"/>
            <w:shd w:val="clear" w:color="auto" w:fill="auto"/>
            <w:vAlign w:val="center"/>
          </w:tcPr>
          <w:p w14:paraId="09A2E765" w14:textId="214C6180" w:rsidR="00E83FBF" w:rsidRPr="00E83FBF" w:rsidRDefault="00E83FBF" w:rsidP="00E83FBF">
            <w:pPr>
              <w:tabs>
                <w:tab w:val="left" w:pos="288"/>
                <w:tab w:val="left" w:pos="576"/>
                <w:tab w:val="left" w:pos="864"/>
                <w:tab w:val="left" w:pos="1152"/>
              </w:tabs>
              <w:spacing w:before="40" w:after="40" w:line="210" w:lineRule="exact"/>
              <w:ind w:left="144" w:right="43"/>
              <w:jc w:val="center"/>
              <w:rPr>
                <w:i/>
                <w:iCs/>
                <w:sz w:val="17"/>
              </w:rPr>
            </w:pPr>
            <w:r w:rsidRPr="00E83FBF">
              <w:rPr>
                <w:i/>
                <w:iCs/>
                <w:sz w:val="17"/>
              </w:rPr>
              <w:t>Nombre d’élèves au début de l’année scolaire 20</w:t>
            </w:r>
            <w:hyperlink r:id="rId19" w:history="1">
              <w:r w:rsidRPr="0076728C">
                <w:t>15/201</w:t>
              </w:r>
            </w:hyperlink>
            <w:r w:rsidRPr="00E83FBF">
              <w:rPr>
                <w:i/>
                <w:iCs/>
                <w:sz w:val="17"/>
              </w:rPr>
              <w:t>6</w:t>
            </w:r>
          </w:p>
        </w:tc>
        <w:tc>
          <w:tcPr>
            <w:tcW w:w="3660" w:type="dxa"/>
            <w:gridSpan w:val="3"/>
            <w:shd w:val="clear" w:color="auto" w:fill="auto"/>
            <w:vAlign w:val="center"/>
          </w:tcPr>
          <w:p w14:paraId="4993BC4C" w14:textId="0A451F94" w:rsidR="00E83FBF" w:rsidRPr="00E83FBF" w:rsidRDefault="00E83FBF" w:rsidP="00E83FBF">
            <w:pPr>
              <w:tabs>
                <w:tab w:val="left" w:pos="288"/>
                <w:tab w:val="left" w:pos="576"/>
                <w:tab w:val="left" w:pos="864"/>
                <w:tab w:val="left" w:pos="1152"/>
              </w:tabs>
              <w:spacing w:before="40" w:after="40" w:line="210" w:lineRule="exact"/>
              <w:ind w:left="144" w:right="43"/>
              <w:jc w:val="center"/>
              <w:rPr>
                <w:i/>
                <w:iCs/>
                <w:sz w:val="17"/>
              </w:rPr>
            </w:pPr>
            <w:r w:rsidRPr="00E83FBF">
              <w:rPr>
                <w:i/>
                <w:iCs/>
                <w:sz w:val="17"/>
              </w:rPr>
              <w:t>Nombre d’élèves ayant terminé l’année scolaire 20</w:t>
            </w:r>
            <w:hyperlink r:id="rId20" w:history="1">
              <w:r w:rsidRPr="0076728C">
                <w:t>15/201</w:t>
              </w:r>
            </w:hyperlink>
            <w:r w:rsidRPr="00E83FBF">
              <w:rPr>
                <w:i/>
                <w:iCs/>
                <w:sz w:val="17"/>
              </w:rPr>
              <w:t>6</w:t>
            </w:r>
          </w:p>
        </w:tc>
      </w:tr>
      <w:tr w:rsidR="00AE698C" w:rsidRPr="00E83FBF" w14:paraId="0C502F9D" w14:textId="77777777" w:rsidTr="00E83FBF">
        <w:tc>
          <w:tcPr>
            <w:tcW w:w="1220" w:type="dxa"/>
            <w:shd w:val="clear" w:color="auto" w:fill="auto"/>
            <w:vAlign w:val="bottom"/>
          </w:tcPr>
          <w:p w14:paraId="26A813BF" w14:textId="77777777" w:rsidR="00AE698C" w:rsidRPr="00E83FBF" w:rsidRDefault="00AE698C" w:rsidP="00E83FBF">
            <w:pPr>
              <w:tabs>
                <w:tab w:val="left" w:pos="288"/>
                <w:tab w:val="left" w:pos="576"/>
                <w:tab w:val="left" w:pos="864"/>
                <w:tab w:val="left" w:pos="1152"/>
              </w:tabs>
              <w:spacing w:before="40" w:after="40" w:line="210" w:lineRule="exact"/>
              <w:ind w:left="144" w:right="43"/>
              <w:jc w:val="right"/>
              <w:rPr>
                <w:b/>
                <w:bCs/>
                <w:sz w:val="17"/>
              </w:rPr>
            </w:pPr>
            <w:r w:rsidRPr="00E83FBF">
              <w:rPr>
                <w:b/>
                <w:bCs/>
                <w:sz w:val="17"/>
              </w:rPr>
              <w:t>Total</w:t>
            </w:r>
          </w:p>
        </w:tc>
        <w:tc>
          <w:tcPr>
            <w:tcW w:w="1220" w:type="dxa"/>
            <w:shd w:val="clear" w:color="auto" w:fill="auto"/>
            <w:vAlign w:val="bottom"/>
          </w:tcPr>
          <w:p w14:paraId="190A3C43" w14:textId="77777777" w:rsidR="00AE698C" w:rsidRPr="00E83FBF" w:rsidRDefault="00AE698C" w:rsidP="00E83FBF">
            <w:pPr>
              <w:tabs>
                <w:tab w:val="left" w:pos="288"/>
                <w:tab w:val="left" w:pos="576"/>
                <w:tab w:val="left" w:pos="864"/>
                <w:tab w:val="left" w:pos="1152"/>
              </w:tabs>
              <w:spacing w:before="40" w:after="40" w:line="210" w:lineRule="exact"/>
              <w:ind w:left="144" w:right="43"/>
              <w:jc w:val="right"/>
              <w:rPr>
                <w:b/>
                <w:bCs/>
                <w:sz w:val="17"/>
              </w:rPr>
            </w:pPr>
            <w:r w:rsidRPr="00E83FBF">
              <w:rPr>
                <w:b/>
                <w:bCs/>
                <w:sz w:val="17"/>
              </w:rPr>
              <w:t>Garçons</w:t>
            </w:r>
          </w:p>
        </w:tc>
        <w:tc>
          <w:tcPr>
            <w:tcW w:w="1220" w:type="dxa"/>
            <w:shd w:val="clear" w:color="auto" w:fill="auto"/>
            <w:vAlign w:val="bottom"/>
          </w:tcPr>
          <w:p w14:paraId="38B6A0D2" w14:textId="77777777" w:rsidR="00AE698C" w:rsidRPr="00E83FBF" w:rsidRDefault="00AE698C" w:rsidP="00E83FBF">
            <w:pPr>
              <w:tabs>
                <w:tab w:val="left" w:pos="288"/>
                <w:tab w:val="left" w:pos="576"/>
                <w:tab w:val="left" w:pos="864"/>
                <w:tab w:val="left" w:pos="1152"/>
              </w:tabs>
              <w:spacing w:before="40" w:after="40" w:line="210" w:lineRule="exact"/>
              <w:ind w:left="144" w:right="43"/>
              <w:jc w:val="right"/>
              <w:rPr>
                <w:b/>
                <w:bCs/>
                <w:sz w:val="17"/>
              </w:rPr>
            </w:pPr>
            <w:r w:rsidRPr="00E83FBF">
              <w:rPr>
                <w:b/>
                <w:bCs/>
                <w:sz w:val="17"/>
              </w:rPr>
              <w:t>Filles</w:t>
            </w:r>
          </w:p>
        </w:tc>
        <w:tc>
          <w:tcPr>
            <w:tcW w:w="1220" w:type="dxa"/>
            <w:shd w:val="clear" w:color="auto" w:fill="auto"/>
            <w:vAlign w:val="bottom"/>
          </w:tcPr>
          <w:p w14:paraId="514460E5" w14:textId="77777777" w:rsidR="00AE698C" w:rsidRPr="00E83FBF" w:rsidRDefault="00AE698C" w:rsidP="00E83FBF">
            <w:pPr>
              <w:tabs>
                <w:tab w:val="left" w:pos="288"/>
                <w:tab w:val="left" w:pos="576"/>
                <w:tab w:val="left" w:pos="864"/>
                <w:tab w:val="left" w:pos="1152"/>
              </w:tabs>
              <w:spacing w:before="40" w:after="40" w:line="210" w:lineRule="exact"/>
              <w:ind w:left="144" w:right="43"/>
              <w:jc w:val="right"/>
              <w:rPr>
                <w:b/>
                <w:bCs/>
                <w:sz w:val="17"/>
              </w:rPr>
            </w:pPr>
            <w:r w:rsidRPr="00E83FBF">
              <w:rPr>
                <w:b/>
                <w:bCs/>
                <w:sz w:val="17"/>
              </w:rPr>
              <w:t>Total</w:t>
            </w:r>
          </w:p>
        </w:tc>
        <w:tc>
          <w:tcPr>
            <w:tcW w:w="1220" w:type="dxa"/>
            <w:shd w:val="clear" w:color="auto" w:fill="auto"/>
            <w:vAlign w:val="bottom"/>
          </w:tcPr>
          <w:p w14:paraId="47460B68" w14:textId="77777777" w:rsidR="00AE698C" w:rsidRPr="00E83FBF" w:rsidRDefault="00AE698C" w:rsidP="00E83FBF">
            <w:pPr>
              <w:tabs>
                <w:tab w:val="left" w:pos="288"/>
                <w:tab w:val="left" w:pos="576"/>
                <w:tab w:val="left" w:pos="864"/>
                <w:tab w:val="left" w:pos="1152"/>
              </w:tabs>
              <w:spacing w:before="40" w:after="40" w:line="210" w:lineRule="exact"/>
              <w:ind w:left="144" w:right="43"/>
              <w:jc w:val="right"/>
              <w:rPr>
                <w:b/>
                <w:bCs/>
                <w:sz w:val="17"/>
              </w:rPr>
            </w:pPr>
            <w:r w:rsidRPr="00E83FBF">
              <w:rPr>
                <w:b/>
                <w:bCs/>
                <w:sz w:val="17"/>
              </w:rPr>
              <w:t>Garçons</w:t>
            </w:r>
          </w:p>
        </w:tc>
        <w:tc>
          <w:tcPr>
            <w:tcW w:w="1220" w:type="dxa"/>
            <w:shd w:val="clear" w:color="auto" w:fill="auto"/>
            <w:vAlign w:val="bottom"/>
          </w:tcPr>
          <w:p w14:paraId="653062EE" w14:textId="77777777" w:rsidR="00AE698C" w:rsidRPr="00E83FBF" w:rsidRDefault="00AE698C" w:rsidP="00E83FBF">
            <w:pPr>
              <w:tabs>
                <w:tab w:val="left" w:pos="288"/>
                <w:tab w:val="left" w:pos="576"/>
                <w:tab w:val="left" w:pos="864"/>
                <w:tab w:val="left" w:pos="1152"/>
              </w:tabs>
              <w:spacing w:before="40" w:after="40" w:line="210" w:lineRule="exact"/>
              <w:ind w:left="144" w:right="43"/>
              <w:jc w:val="right"/>
              <w:rPr>
                <w:b/>
                <w:bCs/>
                <w:sz w:val="17"/>
              </w:rPr>
            </w:pPr>
            <w:r w:rsidRPr="00E83FBF">
              <w:rPr>
                <w:b/>
                <w:bCs/>
                <w:sz w:val="17"/>
              </w:rPr>
              <w:t>Filles</w:t>
            </w:r>
          </w:p>
        </w:tc>
      </w:tr>
      <w:tr w:rsidR="00AE698C" w:rsidRPr="00E83FBF" w14:paraId="4C8175F5" w14:textId="77777777" w:rsidTr="00E83FBF">
        <w:tc>
          <w:tcPr>
            <w:tcW w:w="1220" w:type="dxa"/>
            <w:shd w:val="clear" w:color="auto" w:fill="auto"/>
            <w:vAlign w:val="bottom"/>
          </w:tcPr>
          <w:p w14:paraId="7B3F43C4" w14:textId="77777777" w:rsidR="00AE698C" w:rsidRPr="00E83FBF" w:rsidRDefault="00AE698C" w:rsidP="00E83FBF">
            <w:pPr>
              <w:tabs>
                <w:tab w:val="left" w:pos="288"/>
                <w:tab w:val="left" w:pos="576"/>
                <w:tab w:val="left" w:pos="864"/>
                <w:tab w:val="left" w:pos="1152"/>
              </w:tabs>
              <w:spacing w:before="40" w:after="40" w:line="210" w:lineRule="exact"/>
              <w:ind w:left="144" w:right="43"/>
              <w:jc w:val="right"/>
              <w:rPr>
                <w:sz w:val="17"/>
              </w:rPr>
            </w:pPr>
            <w:r w:rsidRPr="00E83FBF">
              <w:rPr>
                <w:sz w:val="17"/>
              </w:rPr>
              <w:t>551 607</w:t>
            </w:r>
          </w:p>
        </w:tc>
        <w:tc>
          <w:tcPr>
            <w:tcW w:w="1220" w:type="dxa"/>
            <w:shd w:val="clear" w:color="auto" w:fill="auto"/>
            <w:vAlign w:val="bottom"/>
          </w:tcPr>
          <w:p w14:paraId="4517BD13" w14:textId="77777777" w:rsidR="00AE698C" w:rsidRPr="00E83FBF" w:rsidRDefault="00AE698C" w:rsidP="00E83FBF">
            <w:pPr>
              <w:tabs>
                <w:tab w:val="left" w:pos="288"/>
                <w:tab w:val="left" w:pos="576"/>
                <w:tab w:val="left" w:pos="864"/>
                <w:tab w:val="left" w:pos="1152"/>
              </w:tabs>
              <w:spacing w:before="40" w:after="40" w:line="210" w:lineRule="exact"/>
              <w:ind w:left="144" w:right="43"/>
              <w:jc w:val="right"/>
              <w:rPr>
                <w:sz w:val="17"/>
              </w:rPr>
            </w:pPr>
            <w:r w:rsidRPr="00E83FBF">
              <w:rPr>
                <w:sz w:val="17"/>
              </w:rPr>
              <w:t>283 292</w:t>
            </w:r>
          </w:p>
        </w:tc>
        <w:tc>
          <w:tcPr>
            <w:tcW w:w="1220" w:type="dxa"/>
            <w:shd w:val="clear" w:color="auto" w:fill="auto"/>
            <w:vAlign w:val="bottom"/>
          </w:tcPr>
          <w:p w14:paraId="3ABD59F2" w14:textId="77777777" w:rsidR="00AE698C" w:rsidRPr="00E83FBF" w:rsidRDefault="00AE698C" w:rsidP="00E83FBF">
            <w:pPr>
              <w:tabs>
                <w:tab w:val="left" w:pos="288"/>
                <w:tab w:val="left" w:pos="576"/>
                <w:tab w:val="left" w:pos="864"/>
                <w:tab w:val="left" w:pos="1152"/>
              </w:tabs>
              <w:spacing w:before="40" w:after="40" w:line="210" w:lineRule="exact"/>
              <w:ind w:left="144" w:right="43"/>
              <w:jc w:val="right"/>
              <w:rPr>
                <w:sz w:val="17"/>
              </w:rPr>
            </w:pPr>
            <w:r w:rsidRPr="00E83FBF">
              <w:rPr>
                <w:sz w:val="17"/>
              </w:rPr>
              <w:t>268 315</w:t>
            </w:r>
          </w:p>
        </w:tc>
        <w:tc>
          <w:tcPr>
            <w:tcW w:w="1220" w:type="dxa"/>
            <w:shd w:val="clear" w:color="auto" w:fill="auto"/>
            <w:vAlign w:val="bottom"/>
          </w:tcPr>
          <w:p w14:paraId="0D305CCD" w14:textId="77777777" w:rsidR="00AE698C" w:rsidRPr="00E83FBF" w:rsidRDefault="00AE698C" w:rsidP="00E83FBF">
            <w:pPr>
              <w:tabs>
                <w:tab w:val="left" w:pos="288"/>
                <w:tab w:val="left" w:pos="576"/>
                <w:tab w:val="left" w:pos="864"/>
                <w:tab w:val="left" w:pos="1152"/>
              </w:tabs>
              <w:spacing w:before="40" w:after="40" w:line="210" w:lineRule="exact"/>
              <w:ind w:left="144" w:right="43"/>
              <w:jc w:val="right"/>
              <w:rPr>
                <w:sz w:val="17"/>
              </w:rPr>
            </w:pPr>
            <w:r w:rsidRPr="00E83FBF">
              <w:rPr>
                <w:sz w:val="17"/>
              </w:rPr>
              <w:t>549 128</w:t>
            </w:r>
          </w:p>
        </w:tc>
        <w:tc>
          <w:tcPr>
            <w:tcW w:w="1220" w:type="dxa"/>
            <w:shd w:val="clear" w:color="auto" w:fill="auto"/>
            <w:vAlign w:val="bottom"/>
          </w:tcPr>
          <w:p w14:paraId="1364EDAE" w14:textId="77777777" w:rsidR="00AE698C" w:rsidRPr="00E83FBF" w:rsidRDefault="00AE698C" w:rsidP="00E83FBF">
            <w:pPr>
              <w:tabs>
                <w:tab w:val="left" w:pos="288"/>
                <w:tab w:val="left" w:pos="576"/>
                <w:tab w:val="left" w:pos="864"/>
                <w:tab w:val="left" w:pos="1152"/>
              </w:tabs>
              <w:spacing w:before="40" w:after="40" w:line="210" w:lineRule="exact"/>
              <w:ind w:left="144" w:right="43"/>
              <w:jc w:val="right"/>
              <w:rPr>
                <w:sz w:val="17"/>
              </w:rPr>
            </w:pPr>
            <w:r w:rsidRPr="00E83FBF">
              <w:rPr>
                <w:sz w:val="17"/>
              </w:rPr>
              <w:t>281 944</w:t>
            </w:r>
          </w:p>
        </w:tc>
        <w:tc>
          <w:tcPr>
            <w:tcW w:w="1220" w:type="dxa"/>
            <w:shd w:val="clear" w:color="auto" w:fill="auto"/>
            <w:vAlign w:val="bottom"/>
          </w:tcPr>
          <w:p w14:paraId="21FEF172" w14:textId="77777777" w:rsidR="00AE698C" w:rsidRPr="00E83FBF" w:rsidRDefault="00AE698C" w:rsidP="00E83FBF">
            <w:pPr>
              <w:tabs>
                <w:tab w:val="left" w:pos="288"/>
                <w:tab w:val="left" w:pos="576"/>
                <w:tab w:val="left" w:pos="864"/>
                <w:tab w:val="left" w:pos="1152"/>
              </w:tabs>
              <w:spacing w:before="40" w:after="40" w:line="210" w:lineRule="exact"/>
              <w:ind w:left="144" w:right="43"/>
              <w:jc w:val="right"/>
              <w:rPr>
                <w:sz w:val="17"/>
              </w:rPr>
            </w:pPr>
            <w:r w:rsidRPr="00E83FBF">
              <w:rPr>
                <w:sz w:val="17"/>
              </w:rPr>
              <w:t>267 184</w:t>
            </w:r>
          </w:p>
        </w:tc>
      </w:tr>
      <w:tr w:rsidR="00E83FBF" w:rsidRPr="00E83FBF" w14:paraId="5E501FD6" w14:textId="77777777" w:rsidTr="00E83FBF">
        <w:tc>
          <w:tcPr>
            <w:tcW w:w="3660" w:type="dxa"/>
            <w:gridSpan w:val="3"/>
            <w:shd w:val="clear" w:color="auto" w:fill="auto"/>
            <w:vAlign w:val="bottom"/>
          </w:tcPr>
          <w:p w14:paraId="1D972627" w14:textId="28D5C898" w:rsidR="00E83FBF" w:rsidRPr="00E83FBF" w:rsidRDefault="00E83FBF" w:rsidP="00E83FBF">
            <w:pPr>
              <w:tabs>
                <w:tab w:val="left" w:pos="288"/>
                <w:tab w:val="left" w:pos="576"/>
                <w:tab w:val="left" w:pos="864"/>
                <w:tab w:val="left" w:pos="1152"/>
              </w:tabs>
              <w:spacing w:before="40" w:after="40" w:line="210" w:lineRule="exact"/>
              <w:ind w:left="144" w:right="43"/>
              <w:jc w:val="center"/>
              <w:rPr>
                <w:sz w:val="17"/>
              </w:rPr>
            </w:pPr>
            <w:r w:rsidRPr="00E83FBF">
              <w:rPr>
                <w:sz w:val="17"/>
              </w:rPr>
              <w:t xml:space="preserve">Nombre d’élèves au début de l’année scolaire </w:t>
            </w:r>
            <w:r w:rsidRPr="0015207D">
              <w:rPr>
                <w:b/>
                <w:bCs/>
                <w:sz w:val="17"/>
              </w:rPr>
              <w:t>20</w:t>
            </w:r>
            <w:r w:rsidR="0015207D" w:rsidRPr="0076728C">
              <w:t>16/201</w:t>
            </w:r>
            <w:r w:rsidRPr="00E83FBF">
              <w:rPr>
                <w:b/>
                <w:bCs/>
                <w:sz w:val="17"/>
              </w:rPr>
              <w:t>7</w:t>
            </w:r>
          </w:p>
        </w:tc>
        <w:tc>
          <w:tcPr>
            <w:tcW w:w="3660" w:type="dxa"/>
            <w:gridSpan w:val="3"/>
            <w:shd w:val="clear" w:color="auto" w:fill="auto"/>
            <w:vAlign w:val="bottom"/>
          </w:tcPr>
          <w:p w14:paraId="4A9F5A18" w14:textId="2C7D3846" w:rsidR="00E83FBF" w:rsidRPr="00E83FBF" w:rsidRDefault="00E83FBF" w:rsidP="00E83FBF">
            <w:pPr>
              <w:tabs>
                <w:tab w:val="left" w:pos="288"/>
                <w:tab w:val="left" w:pos="576"/>
                <w:tab w:val="left" w:pos="864"/>
                <w:tab w:val="left" w:pos="1152"/>
              </w:tabs>
              <w:spacing w:before="40" w:after="40" w:line="210" w:lineRule="exact"/>
              <w:ind w:left="144" w:right="43"/>
              <w:jc w:val="center"/>
              <w:rPr>
                <w:sz w:val="17"/>
              </w:rPr>
            </w:pPr>
            <w:r w:rsidRPr="00E83FBF">
              <w:rPr>
                <w:sz w:val="17"/>
              </w:rPr>
              <w:t>Nombre d’élèves ayant terminé l’année scolaire</w:t>
            </w:r>
            <w:r w:rsidRPr="0076728C">
              <w:rPr>
                <w:b/>
                <w:bCs/>
                <w:sz w:val="17"/>
              </w:rPr>
              <w:t xml:space="preserve"> </w:t>
            </w:r>
            <w:r w:rsidRPr="00E83FBF">
              <w:rPr>
                <w:b/>
                <w:bCs/>
                <w:sz w:val="17"/>
              </w:rPr>
              <w:t>20</w:t>
            </w:r>
            <w:r w:rsidR="0015207D" w:rsidRPr="0076728C">
              <w:t>16/201</w:t>
            </w:r>
            <w:r w:rsidRPr="0015207D">
              <w:rPr>
                <w:b/>
                <w:bCs/>
                <w:sz w:val="17"/>
              </w:rPr>
              <w:t>7</w:t>
            </w:r>
          </w:p>
        </w:tc>
      </w:tr>
      <w:tr w:rsidR="0015207D" w:rsidRPr="00E83FBF" w14:paraId="0ABC1030" w14:textId="77777777" w:rsidTr="00E83FBF">
        <w:tc>
          <w:tcPr>
            <w:tcW w:w="1220" w:type="dxa"/>
            <w:shd w:val="clear" w:color="auto" w:fill="auto"/>
            <w:vAlign w:val="bottom"/>
          </w:tcPr>
          <w:p w14:paraId="42E23BC5" w14:textId="77777777" w:rsidR="00AE698C" w:rsidRPr="00E83FBF" w:rsidRDefault="00AE698C" w:rsidP="00E83FBF">
            <w:pPr>
              <w:tabs>
                <w:tab w:val="left" w:pos="288"/>
                <w:tab w:val="left" w:pos="576"/>
                <w:tab w:val="left" w:pos="864"/>
                <w:tab w:val="left" w:pos="1152"/>
              </w:tabs>
              <w:spacing w:before="40" w:after="40" w:line="210" w:lineRule="exact"/>
              <w:ind w:left="144" w:right="43"/>
              <w:jc w:val="right"/>
              <w:rPr>
                <w:b/>
                <w:bCs/>
                <w:sz w:val="17"/>
              </w:rPr>
            </w:pPr>
            <w:r w:rsidRPr="00E83FBF">
              <w:rPr>
                <w:b/>
                <w:bCs/>
                <w:sz w:val="17"/>
              </w:rPr>
              <w:t>Total</w:t>
            </w:r>
          </w:p>
        </w:tc>
        <w:tc>
          <w:tcPr>
            <w:tcW w:w="1220" w:type="dxa"/>
            <w:shd w:val="clear" w:color="auto" w:fill="auto"/>
            <w:vAlign w:val="bottom"/>
          </w:tcPr>
          <w:p w14:paraId="7C1BC509" w14:textId="77777777" w:rsidR="00AE698C" w:rsidRPr="00E83FBF" w:rsidRDefault="00AE698C" w:rsidP="00E83FBF">
            <w:pPr>
              <w:tabs>
                <w:tab w:val="left" w:pos="288"/>
                <w:tab w:val="left" w:pos="576"/>
                <w:tab w:val="left" w:pos="864"/>
                <w:tab w:val="left" w:pos="1152"/>
              </w:tabs>
              <w:spacing w:before="40" w:after="40" w:line="210" w:lineRule="exact"/>
              <w:ind w:left="144" w:right="43"/>
              <w:jc w:val="right"/>
              <w:rPr>
                <w:b/>
                <w:bCs/>
                <w:sz w:val="17"/>
              </w:rPr>
            </w:pPr>
            <w:r w:rsidRPr="00E83FBF">
              <w:rPr>
                <w:b/>
                <w:bCs/>
                <w:sz w:val="17"/>
              </w:rPr>
              <w:t>Garçons</w:t>
            </w:r>
          </w:p>
        </w:tc>
        <w:tc>
          <w:tcPr>
            <w:tcW w:w="1220" w:type="dxa"/>
            <w:shd w:val="clear" w:color="auto" w:fill="auto"/>
            <w:vAlign w:val="bottom"/>
          </w:tcPr>
          <w:p w14:paraId="5062ED9E" w14:textId="77777777" w:rsidR="00AE698C" w:rsidRPr="00E83FBF" w:rsidRDefault="00AE698C" w:rsidP="00E83FBF">
            <w:pPr>
              <w:tabs>
                <w:tab w:val="left" w:pos="288"/>
                <w:tab w:val="left" w:pos="576"/>
                <w:tab w:val="left" w:pos="864"/>
                <w:tab w:val="left" w:pos="1152"/>
              </w:tabs>
              <w:spacing w:before="40" w:after="40" w:line="210" w:lineRule="exact"/>
              <w:ind w:left="144" w:right="43"/>
              <w:jc w:val="right"/>
              <w:rPr>
                <w:b/>
                <w:bCs/>
                <w:sz w:val="17"/>
              </w:rPr>
            </w:pPr>
            <w:r w:rsidRPr="00E83FBF">
              <w:rPr>
                <w:b/>
                <w:bCs/>
                <w:sz w:val="17"/>
              </w:rPr>
              <w:t>Filles</w:t>
            </w:r>
          </w:p>
        </w:tc>
        <w:tc>
          <w:tcPr>
            <w:tcW w:w="1220" w:type="dxa"/>
            <w:shd w:val="clear" w:color="auto" w:fill="auto"/>
            <w:vAlign w:val="bottom"/>
          </w:tcPr>
          <w:p w14:paraId="7E42B045" w14:textId="77777777" w:rsidR="00AE698C" w:rsidRPr="00E83FBF" w:rsidRDefault="00AE698C" w:rsidP="00E83FBF">
            <w:pPr>
              <w:tabs>
                <w:tab w:val="left" w:pos="288"/>
                <w:tab w:val="left" w:pos="576"/>
                <w:tab w:val="left" w:pos="864"/>
                <w:tab w:val="left" w:pos="1152"/>
              </w:tabs>
              <w:spacing w:before="40" w:after="40" w:line="210" w:lineRule="exact"/>
              <w:ind w:left="144" w:right="43"/>
              <w:jc w:val="right"/>
              <w:rPr>
                <w:b/>
                <w:bCs/>
                <w:sz w:val="17"/>
              </w:rPr>
            </w:pPr>
            <w:r w:rsidRPr="00E83FBF">
              <w:rPr>
                <w:b/>
                <w:bCs/>
                <w:sz w:val="17"/>
              </w:rPr>
              <w:t>Total</w:t>
            </w:r>
          </w:p>
        </w:tc>
        <w:tc>
          <w:tcPr>
            <w:tcW w:w="1220" w:type="dxa"/>
            <w:shd w:val="clear" w:color="auto" w:fill="auto"/>
            <w:vAlign w:val="bottom"/>
          </w:tcPr>
          <w:p w14:paraId="5F713A28" w14:textId="77777777" w:rsidR="00AE698C" w:rsidRPr="00E83FBF" w:rsidRDefault="00AE698C" w:rsidP="00E83FBF">
            <w:pPr>
              <w:tabs>
                <w:tab w:val="left" w:pos="288"/>
                <w:tab w:val="left" w:pos="576"/>
                <w:tab w:val="left" w:pos="864"/>
                <w:tab w:val="left" w:pos="1152"/>
              </w:tabs>
              <w:spacing w:before="40" w:after="40" w:line="210" w:lineRule="exact"/>
              <w:ind w:left="144" w:right="43"/>
              <w:jc w:val="right"/>
              <w:rPr>
                <w:b/>
                <w:bCs/>
                <w:sz w:val="17"/>
              </w:rPr>
            </w:pPr>
            <w:r w:rsidRPr="00E83FBF">
              <w:rPr>
                <w:b/>
                <w:bCs/>
                <w:sz w:val="17"/>
              </w:rPr>
              <w:t>Garçons</w:t>
            </w:r>
          </w:p>
        </w:tc>
        <w:tc>
          <w:tcPr>
            <w:tcW w:w="1220" w:type="dxa"/>
            <w:shd w:val="clear" w:color="auto" w:fill="auto"/>
            <w:vAlign w:val="bottom"/>
          </w:tcPr>
          <w:p w14:paraId="15D0EA60" w14:textId="77777777" w:rsidR="00AE698C" w:rsidRPr="00E83FBF" w:rsidRDefault="00AE698C" w:rsidP="00E83FBF">
            <w:pPr>
              <w:tabs>
                <w:tab w:val="left" w:pos="288"/>
                <w:tab w:val="left" w:pos="576"/>
                <w:tab w:val="left" w:pos="864"/>
                <w:tab w:val="left" w:pos="1152"/>
              </w:tabs>
              <w:spacing w:before="40" w:after="40" w:line="210" w:lineRule="exact"/>
              <w:ind w:left="144" w:right="43"/>
              <w:jc w:val="right"/>
              <w:rPr>
                <w:b/>
                <w:bCs/>
                <w:sz w:val="17"/>
              </w:rPr>
            </w:pPr>
            <w:r w:rsidRPr="00E83FBF">
              <w:rPr>
                <w:b/>
                <w:bCs/>
                <w:sz w:val="17"/>
              </w:rPr>
              <w:t>Filles</w:t>
            </w:r>
          </w:p>
        </w:tc>
      </w:tr>
      <w:tr w:rsidR="0015207D" w:rsidRPr="00E83FBF" w14:paraId="6835522C" w14:textId="77777777" w:rsidTr="00E83FBF">
        <w:tc>
          <w:tcPr>
            <w:tcW w:w="1220" w:type="dxa"/>
            <w:tcBorders>
              <w:bottom w:val="single" w:sz="12" w:space="0" w:color="auto"/>
            </w:tcBorders>
            <w:shd w:val="clear" w:color="auto" w:fill="auto"/>
            <w:vAlign w:val="bottom"/>
          </w:tcPr>
          <w:p w14:paraId="6BC5B476" w14:textId="77777777" w:rsidR="00AE698C" w:rsidRPr="00E83FBF" w:rsidRDefault="00AE698C" w:rsidP="00E83FBF">
            <w:pPr>
              <w:tabs>
                <w:tab w:val="left" w:pos="288"/>
                <w:tab w:val="left" w:pos="576"/>
                <w:tab w:val="left" w:pos="864"/>
                <w:tab w:val="left" w:pos="1152"/>
              </w:tabs>
              <w:spacing w:before="40" w:after="40" w:line="210" w:lineRule="exact"/>
              <w:ind w:left="144" w:right="43"/>
              <w:jc w:val="right"/>
              <w:rPr>
                <w:sz w:val="17"/>
              </w:rPr>
            </w:pPr>
            <w:r w:rsidRPr="00E83FBF">
              <w:rPr>
                <w:sz w:val="17"/>
              </w:rPr>
              <w:t>545 234</w:t>
            </w:r>
          </w:p>
        </w:tc>
        <w:tc>
          <w:tcPr>
            <w:tcW w:w="1220" w:type="dxa"/>
            <w:tcBorders>
              <w:bottom w:val="single" w:sz="12" w:space="0" w:color="auto"/>
            </w:tcBorders>
            <w:shd w:val="clear" w:color="auto" w:fill="auto"/>
            <w:vAlign w:val="bottom"/>
          </w:tcPr>
          <w:p w14:paraId="1AA90775" w14:textId="77777777" w:rsidR="00AE698C" w:rsidRPr="00E83FBF" w:rsidRDefault="00AE698C" w:rsidP="00E83FBF">
            <w:pPr>
              <w:tabs>
                <w:tab w:val="left" w:pos="288"/>
                <w:tab w:val="left" w:pos="576"/>
                <w:tab w:val="left" w:pos="864"/>
                <w:tab w:val="left" w:pos="1152"/>
              </w:tabs>
              <w:spacing w:before="40" w:after="40" w:line="210" w:lineRule="exact"/>
              <w:ind w:left="144" w:right="43"/>
              <w:jc w:val="right"/>
              <w:rPr>
                <w:sz w:val="17"/>
              </w:rPr>
            </w:pPr>
            <w:r w:rsidRPr="00E83FBF">
              <w:rPr>
                <w:sz w:val="17"/>
              </w:rPr>
              <w:t>280 498</w:t>
            </w:r>
          </w:p>
        </w:tc>
        <w:tc>
          <w:tcPr>
            <w:tcW w:w="1220" w:type="dxa"/>
            <w:tcBorders>
              <w:bottom w:val="single" w:sz="12" w:space="0" w:color="auto"/>
            </w:tcBorders>
            <w:shd w:val="clear" w:color="auto" w:fill="auto"/>
            <w:vAlign w:val="bottom"/>
          </w:tcPr>
          <w:p w14:paraId="618FDF41" w14:textId="77777777" w:rsidR="00AE698C" w:rsidRPr="00E83FBF" w:rsidRDefault="00AE698C" w:rsidP="00E83FBF">
            <w:pPr>
              <w:tabs>
                <w:tab w:val="left" w:pos="288"/>
                <w:tab w:val="left" w:pos="576"/>
                <w:tab w:val="left" w:pos="864"/>
                <w:tab w:val="left" w:pos="1152"/>
              </w:tabs>
              <w:spacing w:before="40" w:after="40" w:line="210" w:lineRule="exact"/>
              <w:ind w:left="144" w:right="43"/>
              <w:jc w:val="right"/>
              <w:rPr>
                <w:sz w:val="17"/>
              </w:rPr>
            </w:pPr>
            <w:r w:rsidRPr="00E83FBF">
              <w:rPr>
                <w:sz w:val="17"/>
              </w:rPr>
              <w:t>264 736</w:t>
            </w:r>
          </w:p>
        </w:tc>
        <w:tc>
          <w:tcPr>
            <w:tcW w:w="1220" w:type="dxa"/>
            <w:tcBorders>
              <w:bottom w:val="single" w:sz="12" w:space="0" w:color="auto"/>
            </w:tcBorders>
            <w:shd w:val="clear" w:color="auto" w:fill="auto"/>
            <w:vAlign w:val="bottom"/>
          </w:tcPr>
          <w:p w14:paraId="6774B2F4" w14:textId="77777777" w:rsidR="00AE698C" w:rsidRPr="00E83FBF" w:rsidRDefault="00AE698C" w:rsidP="00E83FBF">
            <w:pPr>
              <w:tabs>
                <w:tab w:val="left" w:pos="288"/>
                <w:tab w:val="left" w:pos="576"/>
                <w:tab w:val="left" w:pos="864"/>
                <w:tab w:val="left" w:pos="1152"/>
              </w:tabs>
              <w:spacing w:before="40" w:after="40" w:line="210" w:lineRule="exact"/>
              <w:ind w:left="144" w:right="43"/>
              <w:jc w:val="right"/>
              <w:rPr>
                <w:sz w:val="17"/>
              </w:rPr>
            </w:pPr>
            <w:r w:rsidRPr="00E83FBF">
              <w:rPr>
                <w:sz w:val="17"/>
              </w:rPr>
              <w:t>543 028</w:t>
            </w:r>
          </w:p>
        </w:tc>
        <w:tc>
          <w:tcPr>
            <w:tcW w:w="1220" w:type="dxa"/>
            <w:tcBorders>
              <w:bottom w:val="single" w:sz="12" w:space="0" w:color="auto"/>
            </w:tcBorders>
            <w:shd w:val="clear" w:color="auto" w:fill="auto"/>
            <w:vAlign w:val="bottom"/>
          </w:tcPr>
          <w:p w14:paraId="03021B87" w14:textId="77777777" w:rsidR="00AE698C" w:rsidRPr="00E83FBF" w:rsidRDefault="00AE698C" w:rsidP="00E83FBF">
            <w:pPr>
              <w:tabs>
                <w:tab w:val="left" w:pos="288"/>
                <w:tab w:val="left" w:pos="576"/>
                <w:tab w:val="left" w:pos="864"/>
                <w:tab w:val="left" w:pos="1152"/>
              </w:tabs>
              <w:spacing w:before="40" w:after="40" w:line="210" w:lineRule="exact"/>
              <w:ind w:left="144" w:right="43"/>
              <w:jc w:val="right"/>
              <w:rPr>
                <w:sz w:val="17"/>
              </w:rPr>
            </w:pPr>
            <w:r w:rsidRPr="00E83FBF">
              <w:rPr>
                <w:sz w:val="17"/>
              </w:rPr>
              <w:t>279 238</w:t>
            </w:r>
          </w:p>
        </w:tc>
        <w:tc>
          <w:tcPr>
            <w:tcW w:w="1220" w:type="dxa"/>
            <w:tcBorders>
              <w:bottom w:val="single" w:sz="12" w:space="0" w:color="auto"/>
            </w:tcBorders>
            <w:shd w:val="clear" w:color="auto" w:fill="auto"/>
            <w:vAlign w:val="bottom"/>
          </w:tcPr>
          <w:p w14:paraId="02E6B834" w14:textId="77777777" w:rsidR="00AE698C" w:rsidRPr="00E83FBF" w:rsidRDefault="00AE698C" w:rsidP="00E83FBF">
            <w:pPr>
              <w:tabs>
                <w:tab w:val="left" w:pos="288"/>
                <w:tab w:val="left" w:pos="576"/>
                <w:tab w:val="left" w:pos="864"/>
                <w:tab w:val="left" w:pos="1152"/>
              </w:tabs>
              <w:spacing w:before="40" w:after="40" w:line="210" w:lineRule="exact"/>
              <w:ind w:left="144" w:right="43"/>
              <w:jc w:val="right"/>
              <w:rPr>
                <w:sz w:val="17"/>
              </w:rPr>
            </w:pPr>
            <w:r w:rsidRPr="00E83FBF">
              <w:rPr>
                <w:sz w:val="17"/>
              </w:rPr>
              <w:t>263 790</w:t>
            </w:r>
          </w:p>
        </w:tc>
      </w:tr>
    </w:tbl>
    <w:p w14:paraId="0475058A" w14:textId="609E440F" w:rsidR="00AE698C" w:rsidRPr="00AE698C" w:rsidRDefault="00AE698C" w:rsidP="00AE698C">
      <w:pPr>
        <w:pStyle w:val="SingleTxt"/>
        <w:spacing w:after="0" w:line="120" w:lineRule="exact"/>
        <w:rPr>
          <w:sz w:val="10"/>
        </w:rPr>
      </w:pPr>
    </w:p>
    <w:p w14:paraId="32A5E318" w14:textId="2105DBEC" w:rsidR="00AE698C" w:rsidRPr="00AE698C" w:rsidRDefault="00AE698C" w:rsidP="00AE698C">
      <w:pPr>
        <w:pStyle w:val="SingleTxt"/>
        <w:spacing w:after="0" w:line="120" w:lineRule="exact"/>
        <w:rPr>
          <w:sz w:val="10"/>
        </w:rPr>
      </w:pPr>
    </w:p>
    <w:p w14:paraId="1069143E" w14:textId="30C0D05B" w:rsidR="00AE698C" w:rsidRPr="00AE698C" w:rsidRDefault="00AE698C" w:rsidP="00172AC5">
      <w:pPr>
        <w:pStyle w:val="SingleTxt"/>
        <w:numPr>
          <w:ilvl w:val="0"/>
          <w:numId w:val="32"/>
        </w:numPr>
        <w:spacing w:line="240" w:lineRule="exact"/>
        <w:rPr>
          <w:lang w:val="fr-FR"/>
        </w:rPr>
      </w:pPr>
      <w:r w:rsidRPr="00AE698C">
        <w:rPr>
          <w:lang w:val="fr-FR"/>
        </w:rPr>
        <w:t>Sur une génération, environ 6 000 enfants quittent le système éducatif formel chaque année scolaire dans l</w:t>
      </w:r>
      <w:r w:rsidR="00DE1F39">
        <w:rPr>
          <w:lang w:val="fr-FR"/>
        </w:rPr>
        <w:t>’</w:t>
      </w:r>
      <w:r w:rsidRPr="00AE698C">
        <w:rPr>
          <w:lang w:val="fr-FR"/>
        </w:rPr>
        <w:t>enseignement primaire. Le taux d</w:t>
      </w:r>
      <w:r w:rsidR="00DE1F39">
        <w:rPr>
          <w:lang w:val="fr-FR"/>
        </w:rPr>
        <w:t>’</w:t>
      </w:r>
      <w:r w:rsidRPr="00AE698C">
        <w:rPr>
          <w:lang w:val="fr-FR"/>
        </w:rPr>
        <w:t>abandon le plus élevé, 3,1 %, concerne les élèves qui passent de la cinquième à la sixième année, et le plus bas, 0,7 %, ceux qui passent de la troisième à la quatrième année. Le taux d</w:t>
      </w:r>
      <w:r w:rsidR="00DE1F39">
        <w:rPr>
          <w:lang w:val="fr-FR"/>
        </w:rPr>
        <w:t>’</w:t>
      </w:r>
      <w:r w:rsidRPr="00AE698C">
        <w:rPr>
          <w:lang w:val="fr-FR"/>
        </w:rPr>
        <w:t xml:space="preserve">achèvement du primaire par les enfants roms a augmenté, passant de seulement 35 % (enquête à indicateurs multiples 2012) à environ 64 % (enquête à indicateurs multiples 2015). 59 % des enfants roms poursuivent des études secondaires. </w:t>
      </w:r>
    </w:p>
    <w:p w14:paraId="2A3A430D" w14:textId="5AE4B317" w:rsidR="00AE698C" w:rsidRPr="00AE698C" w:rsidRDefault="00AE698C" w:rsidP="00172AC5">
      <w:pPr>
        <w:pStyle w:val="SingleTxt"/>
        <w:numPr>
          <w:ilvl w:val="0"/>
          <w:numId w:val="32"/>
        </w:numPr>
        <w:spacing w:line="240" w:lineRule="exact"/>
        <w:rPr>
          <w:lang w:val="fr-FR"/>
        </w:rPr>
      </w:pPr>
      <w:r w:rsidRPr="00AE698C">
        <w:rPr>
          <w:lang w:val="fr-FR"/>
        </w:rPr>
        <w:t>La prévention du décrochage scolaire a également été prise en compte dans la Stratégie pour le développement de l</w:t>
      </w:r>
      <w:r w:rsidR="00DE1F39">
        <w:rPr>
          <w:lang w:val="fr-FR"/>
        </w:rPr>
        <w:t>’</w:t>
      </w:r>
      <w:r w:rsidRPr="00AE698C">
        <w:rPr>
          <w:lang w:val="fr-FR"/>
        </w:rPr>
        <w:t>éducation en Serbie jusqu</w:t>
      </w:r>
      <w:r w:rsidR="00DE1F39">
        <w:rPr>
          <w:lang w:val="fr-FR"/>
        </w:rPr>
        <w:t>’</w:t>
      </w:r>
      <w:r w:rsidRPr="00AE698C">
        <w:rPr>
          <w:lang w:val="fr-FR"/>
        </w:rPr>
        <w:t xml:space="preserve">en </w:t>
      </w:r>
      <w:r w:rsidR="0015207D" w:rsidRPr="0076728C">
        <w:t>2020 (2012)</w:t>
      </w:r>
      <w:r w:rsidRPr="00AE698C">
        <w:rPr>
          <w:lang w:val="fr-FR"/>
        </w:rPr>
        <w:t>, dont l</w:t>
      </w:r>
      <w:r w:rsidR="00DE1F39">
        <w:rPr>
          <w:lang w:val="fr-FR"/>
        </w:rPr>
        <w:t>’</w:t>
      </w:r>
      <w:r w:rsidRPr="00AE698C">
        <w:rPr>
          <w:lang w:val="fr-FR"/>
        </w:rPr>
        <w:t xml:space="preserve">objectif est de ramener le taux de décrochage à moins de 5 %. </w:t>
      </w:r>
    </w:p>
    <w:p w14:paraId="182B09DD" w14:textId="1E4A337A" w:rsidR="00AE698C" w:rsidRPr="00AE698C" w:rsidRDefault="00AE698C" w:rsidP="00172AC5">
      <w:pPr>
        <w:pStyle w:val="SingleTxt"/>
        <w:numPr>
          <w:ilvl w:val="0"/>
          <w:numId w:val="32"/>
        </w:numPr>
        <w:spacing w:line="240" w:lineRule="exact"/>
        <w:rPr>
          <w:lang w:val="fr-FR"/>
        </w:rPr>
      </w:pPr>
      <w:r w:rsidRPr="00AE698C">
        <w:rPr>
          <w:lang w:val="fr-FR"/>
        </w:rPr>
        <w:t>Le Conseil national de l</w:t>
      </w:r>
      <w:r w:rsidR="00DE1F39">
        <w:rPr>
          <w:lang w:val="fr-FR"/>
        </w:rPr>
        <w:t>’</w:t>
      </w:r>
      <w:r w:rsidRPr="00AE698C">
        <w:rPr>
          <w:lang w:val="fr-FR"/>
        </w:rPr>
        <w:t>éducation et les conseils pour la formation professionnelle et la formation des adultes suivent, analysent et font des recommandations pour faire reculer le décrochage scolaire et des propositions de mesures pour permettre à ceux qui ont abandonné l</w:t>
      </w:r>
      <w:r w:rsidR="00DE1F39">
        <w:rPr>
          <w:lang w:val="fr-FR"/>
        </w:rPr>
        <w:t>’</w:t>
      </w:r>
      <w:r w:rsidRPr="00AE698C">
        <w:rPr>
          <w:lang w:val="fr-FR"/>
        </w:rPr>
        <w:t xml:space="preserve">école de poursuivre leur éducation. Les écoles participant au plan de développement scolaire définissent les mesures de prévention du décrochage scolaire, les mettent en </w:t>
      </w:r>
      <w:r w:rsidR="0015207D" w:rsidRPr="00AE698C">
        <w:rPr>
          <w:lang w:val="fr-FR"/>
        </w:rPr>
        <w:t>œuvre</w:t>
      </w:r>
      <w:r w:rsidRPr="00AE698C">
        <w:rPr>
          <w:lang w:val="fr-FR"/>
        </w:rPr>
        <w:t xml:space="preserve"> et les suivent. Il existe également une collaboration intersectorielle avec les parents et d</w:t>
      </w:r>
      <w:r w:rsidR="00DE1F39">
        <w:rPr>
          <w:lang w:val="fr-FR"/>
        </w:rPr>
        <w:t>’</w:t>
      </w:r>
      <w:r w:rsidRPr="00AE698C">
        <w:rPr>
          <w:lang w:val="fr-FR"/>
        </w:rPr>
        <w:t xml:space="preserve">autres organismes compétents dans les collectivités locales. Des mesures de soutien ont été mises en </w:t>
      </w:r>
      <w:r w:rsidR="0015207D" w:rsidRPr="00AE698C">
        <w:rPr>
          <w:lang w:val="fr-FR"/>
        </w:rPr>
        <w:t>œuvre</w:t>
      </w:r>
      <w:r w:rsidRPr="00AE698C">
        <w:rPr>
          <w:lang w:val="fr-FR"/>
        </w:rPr>
        <w:t xml:space="preserve"> dans le cadre de divers projets et programmes, notamment les programmes de subventions DILS et DILS /REF. </w:t>
      </w:r>
    </w:p>
    <w:p w14:paraId="46262958" w14:textId="1DA98E96" w:rsidR="00AE698C" w:rsidRPr="00AE698C" w:rsidRDefault="00AE698C" w:rsidP="00172AC5">
      <w:pPr>
        <w:pStyle w:val="SingleTxt"/>
        <w:numPr>
          <w:ilvl w:val="0"/>
          <w:numId w:val="32"/>
        </w:numPr>
        <w:spacing w:line="240" w:lineRule="exact"/>
        <w:rPr>
          <w:lang w:val="fr-FR"/>
        </w:rPr>
      </w:pPr>
      <w:r w:rsidRPr="00AE698C">
        <w:rPr>
          <w:lang w:val="fr-FR"/>
        </w:rPr>
        <w:t>Un cadre national de suivi de l</w:t>
      </w:r>
      <w:r w:rsidR="00DE1F39">
        <w:rPr>
          <w:lang w:val="fr-FR"/>
        </w:rPr>
        <w:t>’</w:t>
      </w:r>
      <w:r w:rsidRPr="00AE698C">
        <w:rPr>
          <w:lang w:val="fr-FR"/>
        </w:rPr>
        <w:t>éducation inclusive</w:t>
      </w:r>
      <w:r w:rsidRPr="00DE1F39">
        <w:rPr>
          <w:vertAlign w:val="superscript"/>
          <w:lang w:val="fr-FR"/>
        </w:rPr>
        <w:footnoteReference w:id="10"/>
      </w:r>
      <w:r w:rsidRPr="00AE698C">
        <w:rPr>
          <w:lang w:val="fr-FR"/>
        </w:rPr>
        <w:t xml:space="preserve"> a été élaboré, et les indicateurs de qualité de l</w:t>
      </w:r>
      <w:r w:rsidR="00DE1F39">
        <w:rPr>
          <w:lang w:val="fr-FR"/>
        </w:rPr>
        <w:t>’</w:t>
      </w:r>
      <w:r w:rsidRPr="00AE698C">
        <w:rPr>
          <w:lang w:val="fr-FR"/>
        </w:rPr>
        <w:t>enseignement ont été définis. La Serbie s</w:t>
      </w:r>
      <w:r w:rsidR="00DE1F39">
        <w:rPr>
          <w:lang w:val="fr-FR"/>
        </w:rPr>
        <w:t>’</w:t>
      </w:r>
      <w:r w:rsidRPr="00AE698C">
        <w:rPr>
          <w:lang w:val="fr-FR"/>
        </w:rPr>
        <w:t>est jointe aux activités de la méthode de coordination ouverte.</w:t>
      </w:r>
      <w:r w:rsidRPr="00DE1F39">
        <w:rPr>
          <w:vertAlign w:val="superscript"/>
          <w:lang w:val="fr-FR"/>
        </w:rPr>
        <w:footnoteReference w:id="11"/>
      </w:r>
    </w:p>
    <w:p w14:paraId="410CE870" w14:textId="1FA58A4B" w:rsidR="00AE698C" w:rsidRDefault="00AE698C" w:rsidP="00172AC5">
      <w:pPr>
        <w:pStyle w:val="SingleTxt"/>
        <w:numPr>
          <w:ilvl w:val="0"/>
          <w:numId w:val="32"/>
        </w:numPr>
        <w:spacing w:line="240" w:lineRule="exact"/>
        <w:rPr>
          <w:lang w:val="fr-FR"/>
        </w:rPr>
      </w:pPr>
      <w:r w:rsidRPr="00AE698C">
        <w:rPr>
          <w:lang w:val="fr-FR"/>
        </w:rPr>
        <w:t>L</w:t>
      </w:r>
      <w:r w:rsidR="00DE1F39">
        <w:rPr>
          <w:lang w:val="fr-FR"/>
        </w:rPr>
        <w:t>’</w:t>
      </w:r>
      <w:r w:rsidRPr="00AE698C">
        <w:rPr>
          <w:lang w:val="fr-FR"/>
        </w:rPr>
        <w:t>a</w:t>
      </w:r>
      <w:r w:rsidRPr="00AE698C">
        <w:rPr>
          <w:i/>
          <w:lang w:val="fr-FR"/>
        </w:rPr>
        <w:t>ugmentation du nombre d</w:t>
      </w:r>
      <w:r w:rsidR="00DE1F39">
        <w:rPr>
          <w:i/>
          <w:lang w:val="fr-FR"/>
        </w:rPr>
        <w:t>’</w:t>
      </w:r>
      <w:r w:rsidRPr="00AE698C">
        <w:rPr>
          <w:i/>
          <w:lang w:val="fr-FR"/>
        </w:rPr>
        <w:t>enfants</w:t>
      </w:r>
      <w:r w:rsidRPr="00AE698C">
        <w:rPr>
          <w:lang w:val="fr-FR"/>
        </w:rPr>
        <w:t xml:space="preserve"> roms entre 3 et 5 ans scolarisés dans les écoles préscolaires grâce au </w:t>
      </w:r>
      <w:r w:rsidRPr="00AE698C">
        <w:rPr>
          <w:i/>
          <w:lang w:val="fr-FR"/>
        </w:rPr>
        <w:t>renforcement de l</w:t>
      </w:r>
      <w:r w:rsidR="00DE1F39">
        <w:rPr>
          <w:i/>
          <w:lang w:val="fr-FR"/>
        </w:rPr>
        <w:t>’</w:t>
      </w:r>
      <w:r w:rsidRPr="00AE698C">
        <w:rPr>
          <w:i/>
          <w:lang w:val="fr-FR"/>
        </w:rPr>
        <w:t>inclusion</w:t>
      </w:r>
      <w:r w:rsidRPr="00AE698C">
        <w:rPr>
          <w:lang w:val="fr-FR"/>
        </w:rPr>
        <w:t xml:space="preserve"> contribuera à la réalisation du projet « Enseignement et éducation préscolaires inclusives » mis en </w:t>
      </w:r>
      <w:r w:rsidR="0015207D" w:rsidRPr="00AE698C">
        <w:rPr>
          <w:lang w:val="fr-FR"/>
        </w:rPr>
        <w:t>œuvre</w:t>
      </w:r>
      <w:r w:rsidRPr="00AE698C">
        <w:rPr>
          <w:lang w:val="fr-FR"/>
        </w:rPr>
        <w:t xml:space="preserve"> par le ministère de l</w:t>
      </w:r>
      <w:r w:rsidR="00DE1F39">
        <w:rPr>
          <w:lang w:val="fr-FR"/>
        </w:rPr>
        <w:t>’</w:t>
      </w:r>
      <w:r w:rsidRPr="00AE698C">
        <w:rPr>
          <w:lang w:val="fr-FR"/>
        </w:rPr>
        <w:t>Éducation, des sciences et du développement des technologies grâce à un prêt de la Banque mondiale. Toutes les mesures planifiées respectent le principe de l</w:t>
      </w:r>
      <w:r w:rsidR="00DE1F39">
        <w:rPr>
          <w:lang w:val="fr-FR"/>
        </w:rPr>
        <w:t>’</w:t>
      </w:r>
      <w:r w:rsidRPr="00AE698C">
        <w:rPr>
          <w:lang w:val="fr-FR"/>
        </w:rPr>
        <w:t>égalité des sexes, ainsi que l</w:t>
      </w:r>
      <w:r w:rsidR="00DE1F39">
        <w:rPr>
          <w:lang w:val="fr-FR"/>
        </w:rPr>
        <w:t>’</w:t>
      </w:r>
      <w:r w:rsidRPr="00AE698C">
        <w:rPr>
          <w:lang w:val="fr-FR"/>
        </w:rPr>
        <w:t>égale représentation des filles et des gar</w:t>
      </w:r>
      <w:r>
        <w:rPr>
          <w:lang w:val="fr-FR"/>
        </w:rPr>
        <w:t>çons, des femmes et des hommes.</w:t>
      </w:r>
    </w:p>
    <w:p w14:paraId="6E1F7A90" w14:textId="4721962E" w:rsidR="00AE698C" w:rsidRPr="00AE698C" w:rsidRDefault="00AE698C" w:rsidP="00AE698C">
      <w:pPr>
        <w:pStyle w:val="SingleTxt"/>
        <w:spacing w:after="0" w:line="120" w:lineRule="exact"/>
        <w:rPr>
          <w:sz w:val="10"/>
          <w:lang w:val="fr-FR"/>
        </w:rPr>
      </w:pPr>
    </w:p>
    <w:p w14:paraId="273DF7DE" w14:textId="7145205F" w:rsidR="00AE698C" w:rsidRDefault="00AE698C" w:rsidP="00AE69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E698C">
        <w:rPr>
          <w:lang w:val="fr-FR"/>
        </w:rPr>
        <w:tab/>
      </w:r>
      <w:r w:rsidRPr="00AE698C">
        <w:rPr>
          <w:lang w:val="fr-FR"/>
        </w:rPr>
        <w:tab/>
        <w:t>Emploi</w:t>
      </w:r>
    </w:p>
    <w:p w14:paraId="03F7CEEE" w14:textId="54CA4206" w:rsidR="00AE698C" w:rsidRPr="00AE698C" w:rsidRDefault="00AE698C" w:rsidP="00AE698C">
      <w:pPr>
        <w:pStyle w:val="SingleTxt"/>
        <w:spacing w:after="0" w:line="120" w:lineRule="exact"/>
        <w:rPr>
          <w:sz w:val="10"/>
          <w:lang w:val="fr-FR"/>
        </w:rPr>
      </w:pPr>
    </w:p>
    <w:p w14:paraId="0F5AB7B3" w14:textId="09B2F85F" w:rsidR="00AE698C" w:rsidRPr="00AE698C" w:rsidRDefault="00AE698C" w:rsidP="00172AC5">
      <w:pPr>
        <w:pStyle w:val="SingleTxt"/>
        <w:numPr>
          <w:ilvl w:val="0"/>
          <w:numId w:val="34"/>
        </w:numPr>
        <w:spacing w:line="240" w:lineRule="exact"/>
        <w:rPr>
          <w:lang w:val="fr-FR"/>
        </w:rPr>
      </w:pPr>
      <w:r w:rsidRPr="00AE698C">
        <w:rPr>
          <w:lang w:val="fr-FR"/>
        </w:rPr>
        <w:t>En 2017, les mesures en faveur de l</w:t>
      </w:r>
      <w:r w:rsidR="00DE1F39">
        <w:rPr>
          <w:lang w:val="fr-FR"/>
        </w:rPr>
        <w:t>’</w:t>
      </w:r>
      <w:r w:rsidRPr="00AE698C">
        <w:rPr>
          <w:lang w:val="fr-FR"/>
        </w:rPr>
        <w:t>emploi ont bénéficié à 84 158 femmes au total. L</w:t>
      </w:r>
      <w:r w:rsidR="00DE1F39">
        <w:rPr>
          <w:lang w:val="fr-FR"/>
        </w:rPr>
        <w:t>’</w:t>
      </w:r>
      <w:r w:rsidRPr="00AE698C">
        <w:rPr>
          <w:lang w:val="fr-FR"/>
        </w:rPr>
        <w:t>application de ces mesures a permis à 25 953 femmes au total de trouver un emploi. Fin 2017, selon les chiffres de l</w:t>
      </w:r>
      <w:r w:rsidR="00DE1F39">
        <w:rPr>
          <w:lang w:val="fr-FR"/>
        </w:rPr>
        <w:t>’</w:t>
      </w:r>
      <w:r w:rsidRPr="00AE698C">
        <w:rPr>
          <w:lang w:val="fr-FR"/>
        </w:rPr>
        <w:t>Agence nationale pour l</w:t>
      </w:r>
      <w:r w:rsidR="00DE1F39">
        <w:rPr>
          <w:lang w:val="fr-FR"/>
        </w:rPr>
        <w:t>’</w:t>
      </w:r>
      <w:r w:rsidRPr="00AE698C">
        <w:rPr>
          <w:lang w:val="fr-FR"/>
        </w:rPr>
        <w:t xml:space="preserve">emploi, le nombre de chômeurs était de 618 827 personnes, dont 324 977 femmes. </w:t>
      </w:r>
    </w:p>
    <w:p w14:paraId="2645FC69" w14:textId="3A8993C2" w:rsidR="00AE698C" w:rsidRPr="00AE698C" w:rsidRDefault="00AE698C" w:rsidP="00172AC5">
      <w:pPr>
        <w:pStyle w:val="SingleTxt"/>
        <w:numPr>
          <w:ilvl w:val="0"/>
          <w:numId w:val="33"/>
        </w:numPr>
        <w:tabs>
          <w:tab w:val="left" w:pos="1742"/>
        </w:tabs>
        <w:rPr>
          <w:lang w:val="fr-FR"/>
        </w:rPr>
      </w:pPr>
      <w:r w:rsidRPr="00AE698C">
        <w:rPr>
          <w:lang w:val="fr-FR"/>
        </w:rPr>
        <w:t>Le plan national d</w:t>
      </w:r>
      <w:r w:rsidR="00DE1F39">
        <w:rPr>
          <w:lang w:val="fr-FR"/>
        </w:rPr>
        <w:t>’</w:t>
      </w:r>
      <w:r w:rsidRPr="00AE698C">
        <w:rPr>
          <w:lang w:val="fr-FR"/>
        </w:rPr>
        <w:t>action prévoit un soutien à l</w:t>
      </w:r>
      <w:r w:rsidR="00DE1F39">
        <w:rPr>
          <w:lang w:val="fr-FR"/>
        </w:rPr>
        <w:t>’</w:t>
      </w:r>
      <w:r w:rsidRPr="00AE698C">
        <w:rPr>
          <w:lang w:val="fr-FR"/>
        </w:rPr>
        <w:t>emploi des catégories de femmes particulièrement vulnérables. L</w:t>
      </w:r>
      <w:r w:rsidR="00DE1F39">
        <w:rPr>
          <w:lang w:val="fr-FR"/>
        </w:rPr>
        <w:t>’</w:t>
      </w:r>
      <w:r w:rsidRPr="00AE698C">
        <w:rPr>
          <w:lang w:val="fr-FR"/>
        </w:rPr>
        <w:t>Agence nationale pour l</w:t>
      </w:r>
      <w:r w:rsidR="00DE1F39">
        <w:rPr>
          <w:lang w:val="fr-FR"/>
        </w:rPr>
        <w:t>’</w:t>
      </w:r>
      <w:r w:rsidRPr="00AE698C">
        <w:rPr>
          <w:lang w:val="fr-FR"/>
        </w:rPr>
        <w:t>emploi collecte des données ventilées par sexe et conserve les dossiers des chômeurs classés selon 20 catégories et facteurs de difficulté d</w:t>
      </w:r>
      <w:r w:rsidR="00DE1F39">
        <w:rPr>
          <w:lang w:val="fr-FR"/>
        </w:rPr>
        <w:t>’</w:t>
      </w:r>
      <w:r w:rsidRPr="00AE698C">
        <w:rPr>
          <w:lang w:val="fr-FR"/>
        </w:rPr>
        <w:t>insertion professionnelle.</w:t>
      </w:r>
    </w:p>
    <w:p w14:paraId="78D2BC28" w14:textId="68289C53" w:rsidR="00AE698C" w:rsidRPr="00AE698C" w:rsidRDefault="00AE698C" w:rsidP="00AE698C">
      <w:pPr>
        <w:pStyle w:val="SingleTxt"/>
        <w:spacing w:after="0" w:line="120" w:lineRule="exact"/>
        <w:rPr>
          <w:sz w:val="10"/>
        </w:rPr>
      </w:pPr>
    </w:p>
    <w:tbl>
      <w:tblPr>
        <w:tblW w:w="7373" w:type="dxa"/>
        <w:tblInd w:w="1267" w:type="dxa"/>
        <w:tblLayout w:type="fixed"/>
        <w:tblCellMar>
          <w:left w:w="0" w:type="dxa"/>
          <w:right w:w="0" w:type="dxa"/>
        </w:tblCellMar>
        <w:tblLook w:val="00A0" w:firstRow="1" w:lastRow="0" w:firstColumn="1" w:lastColumn="0" w:noHBand="0" w:noVBand="0"/>
      </w:tblPr>
      <w:tblGrid>
        <w:gridCol w:w="3413"/>
        <w:gridCol w:w="720"/>
        <w:gridCol w:w="3240"/>
      </w:tblGrid>
      <w:tr w:rsidR="00E83FBF" w:rsidRPr="00E83FBF" w14:paraId="4738FBFE" w14:textId="77777777" w:rsidTr="00F04216">
        <w:trPr>
          <w:tblHeader/>
        </w:trPr>
        <w:tc>
          <w:tcPr>
            <w:tcW w:w="7373" w:type="dxa"/>
            <w:gridSpan w:val="3"/>
            <w:tcBorders>
              <w:top w:val="single" w:sz="4" w:space="0" w:color="auto"/>
              <w:bottom w:val="single" w:sz="4" w:space="0" w:color="auto"/>
            </w:tcBorders>
            <w:shd w:val="clear" w:color="auto" w:fill="auto"/>
            <w:noWrap/>
            <w:vAlign w:val="bottom"/>
          </w:tcPr>
          <w:p w14:paraId="5D0FEE62" w14:textId="5DAE486C" w:rsidR="00E83FBF" w:rsidRPr="00E83FBF" w:rsidRDefault="00E83FBF" w:rsidP="00E83FBF">
            <w:pPr>
              <w:suppressAutoHyphens/>
              <w:spacing w:before="81" w:after="81" w:line="160" w:lineRule="exact"/>
              <w:ind w:left="144" w:right="43"/>
              <w:jc w:val="center"/>
              <w:rPr>
                <w:i/>
                <w:sz w:val="14"/>
              </w:rPr>
            </w:pPr>
            <w:r w:rsidRPr="00E83FBF">
              <w:rPr>
                <w:i/>
                <w:sz w:val="14"/>
              </w:rPr>
              <w:t>2017</w:t>
            </w:r>
          </w:p>
        </w:tc>
      </w:tr>
      <w:tr w:rsidR="00E83FBF" w:rsidRPr="00E83FBF" w14:paraId="0047178F" w14:textId="77777777" w:rsidTr="00F04216">
        <w:trPr>
          <w:tblHeader/>
        </w:trPr>
        <w:tc>
          <w:tcPr>
            <w:tcW w:w="3413" w:type="dxa"/>
            <w:tcBorders>
              <w:top w:val="single" w:sz="4" w:space="0" w:color="auto"/>
              <w:bottom w:val="single" w:sz="12" w:space="0" w:color="auto"/>
            </w:tcBorders>
            <w:shd w:val="clear" w:color="auto" w:fill="auto"/>
            <w:noWrap/>
            <w:vAlign w:val="bottom"/>
          </w:tcPr>
          <w:p w14:paraId="7488E60D" w14:textId="77777777" w:rsidR="00E83FBF" w:rsidRPr="00E83FBF" w:rsidRDefault="00E83FBF" w:rsidP="00E83FBF">
            <w:pPr>
              <w:suppressAutoHyphens/>
              <w:spacing w:before="81" w:after="81" w:line="160" w:lineRule="exact"/>
              <w:ind w:right="40"/>
              <w:rPr>
                <w:i/>
                <w:sz w:val="14"/>
              </w:rPr>
            </w:pPr>
            <w:r w:rsidRPr="00E83FBF">
              <w:rPr>
                <w:i/>
                <w:sz w:val="14"/>
              </w:rPr>
              <w:t xml:space="preserve">Chômeurs enregistrés </w:t>
            </w:r>
          </w:p>
        </w:tc>
        <w:tc>
          <w:tcPr>
            <w:tcW w:w="720" w:type="dxa"/>
            <w:tcBorders>
              <w:top w:val="single" w:sz="4" w:space="0" w:color="auto"/>
              <w:bottom w:val="single" w:sz="12" w:space="0" w:color="auto"/>
            </w:tcBorders>
            <w:shd w:val="clear" w:color="auto" w:fill="auto"/>
            <w:noWrap/>
            <w:vAlign w:val="bottom"/>
          </w:tcPr>
          <w:p w14:paraId="702829AB" w14:textId="324AA42B" w:rsidR="00E83FBF" w:rsidRPr="00E83FBF" w:rsidRDefault="00E83FBF" w:rsidP="00E83FBF">
            <w:pPr>
              <w:suppressAutoHyphens/>
              <w:spacing w:before="81" w:after="81" w:line="160" w:lineRule="exact"/>
              <w:ind w:left="144" w:right="43"/>
              <w:jc w:val="right"/>
              <w:rPr>
                <w:i/>
                <w:sz w:val="14"/>
              </w:rPr>
            </w:pPr>
          </w:p>
        </w:tc>
        <w:tc>
          <w:tcPr>
            <w:tcW w:w="3240" w:type="dxa"/>
            <w:tcBorders>
              <w:top w:val="single" w:sz="4" w:space="0" w:color="auto"/>
              <w:bottom w:val="single" w:sz="12" w:space="0" w:color="auto"/>
            </w:tcBorders>
            <w:shd w:val="clear" w:color="auto" w:fill="auto"/>
            <w:noWrap/>
            <w:vAlign w:val="bottom"/>
          </w:tcPr>
          <w:p w14:paraId="4FD382A0" w14:textId="65DBC81F" w:rsidR="00E83FBF" w:rsidRPr="00E83FBF" w:rsidRDefault="00E83FBF" w:rsidP="00E83FBF">
            <w:pPr>
              <w:suppressAutoHyphens/>
              <w:spacing w:before="81" w:after="81" w:line="160" w:lineRule="exact"/>
              <w:ind w:left="144" w:right="43"/>
              <w:jc w:val="right"/>
              <w:rPr>
                <w:i/>
                <w:sz w:val="14"/>
              </w:rPr>
            </w:pPr>
            <w:r w:rsidRPr="00E83FBF">
              <w:rPr>
                <w:i/>
                <w:sz w:val="14"/>
              </w:rPr>
              <w:t xml:space="preserve">Concernés par les mesures en faveur de l’emploi </w:t>
            </w:r>
          </w:p>
        </w:tc>
      </w:tr>
      <w:tr w:rsidR="0015207D" w:rsidRPr="00E83FBF" w14:paraId="2FB9F1BD" w14:textId="77777777" w:rsidTr="004D2D2F">
        <w:trPr>
          <w:trHeight w:hRule="exact" w:val="115"/>
          <w:tblHeader/>
        </w:trPr>
        <w:tc>
          <w:tcPr>
            <w:tcW w:w="3413" w:type="dxa"/>
            <w:tcBorders>
              <w:top w:val="single" w:sz="12" w:space="0" w:color="auto"/>
            </w:tcBorders>
            <w:shd w:val="clear" w:color="auto" w:fill="auto"/>
            <w:noWrap/>
            <w:vAlign w:val="bottom"/>
          </w:tcPr>
          <w:p w14:paraId="0B250267" w14:textId="77777777" w:rsidR="00E83FBF" w:rsidRPr="00E83FBF" w:rsidRDefault="00E83FBF" w:rsidP="00E83FBF">
            <w:pPr>
              <w:suppressAutoHyphens/>
              <w:spacing w:before="40" w:after="40" w:line="210" w:lineRule="exact"/>
              <w:ind w:right="40"/>
              <w:rPr>
                <w:sz w:val="17"/>
              </w:rPr>
            </w:pPr>
          </w:p>
        </w:tc>
        <w:tc>
          <w:tcPr>
            <w:tcW w:w="720" w:type="dxa"/>
            <w:tcBorders>
              <w:top w:val="single" w:sz="12" w:space="0" w:color="auto"/>
            </w:tcBorders>
            <w:shd w:val="clear" w:color="auto" w:fill="auto"/>
            <w:noWrap/>
            <w:vAlign w:val="bottom"/>
          </w:tcPr>
          <w:p w14:paraId="25D9DF98" w14:textId="77777777" w:rsidR="00E83FBF" w:rsidRPr="00E83FBF" w:rsidRDefault="00E83FBF" w:rsidP="00E83FBF">
            <w:pPr>
              <w:suppressAutoHyphens/>
              <w:spacing w:before="40" w:after="40" w:line="210" w:lineRule="exact"/>
              <w:ind w:left="144" w:right="43"/>
              <w:jc w:val="right"/>
              <w:rPr>
                <w:sz w:val="17"/>
              </w:rPr>
            </w:pPr>
          </w:p>
        </w:tc>
        <w:tc>
          <w:tcPr>
            <w:tcW w:w="3240" w:type="dxa"/>
            <w:tcBorders>
              <w:top w:val="single" w:sz="12" w:space="0" w:color="auto"/>
            </w:tcBorders>
            <w:shd w:val="clear" w:color="auto" w:fill="auto"/>
            <w:noWrap/>
            <w:vAlign w:val="bottom"/>
          </w:tcPr>
          <w:p w14:paraId="32638A35" w14:textId="77777777" w:rsidR="00E83FBF" w:rsidRPr="00E83FBF" w:rsidRDefault="00E83FBF" w:rsidP="00E83FBF">
            <w:pPr>
              <w:suppressAutoHyphens/>
              <w:spacing w:before="40" w:after="40" w:line="210" w:lineRule="exact"/>
              <w:ind w:left="144" w:right="43"/>
              <w:jc w:val="right"/>
              <w:rPr>
                <w:sz w:val="17"/>
              </w:rPr>
            </w:pPr>
          </w:p>
        </w:tc>
      </w:tr>
      <w:tr w:rsidR="00E83FBF" w:rsidRPr="00E83FBF" w14:paraId="25E8ACC1" w14:textId="77777777" w:rsidTr="004D2D2F">
        <w:tc>
          <w:tcPr>
            <w:tcW w:w="3413" w:type="dxa"/>
            <w:shd w:val="clear" w:color="auto" w:fill="auto"/>
            <w:noWrap/>
            <w:vAlign w:val="bottom"/>
          </w:tcPr>
          <w:p w14:paraId="425F7DD9" w14:textId="77777777" w:rsidR="00AE698C" w:rsidRPr="00E83FBF" w:rsidRDefault="00AE698C" w:rsidP="00E83FBF">
            <w:pPr>
              <w:tabs>
                <w:tab w:val="left" w:pos="288"/>
                <w:tab w:val="left" w:pos="576"/>
                <w:tab w:val="left" w:pos="864"/>
                <w:tab w:val="left" w:pos="1152"/>
              </w:tabs>
              <w:suppressAutoHyphens/>
              <w:spacing w:before="40" w:after="40" w:line="210" w:lineRule="exact"/>
              <w:ind w:right="40"/>
              <w:rPr>
                <w:sz w:val="17"/>
              </w:rPr>
            </w:pPr>
            <w:r w:rsidRPr="00E83FBF">
              <w:rPr>
                <w:sz w:val="17"/>
              </w:rPr>
              <w:t>Mères célibataires</w:t>
            </w:r>
          </w:p>
        </w:tc>
        <w:tc>
          <w:tcPr>
            <w:tcW w:w="720" w:type="dxa"/>
            <w:shd w:val="clear" w:color="auto" w:fill="auto"/>
            <w:noWrap/>
            <w:vAlign w:val="bottom"/>
          </w:tcPr>
          <w:p w14:paraId="646BD0D0" w14:textId="77777777" w:rsidR="00AE698C" w:rsidRPr="00E83FBF" w:rsidRDefault="00AE698C" w:rsidP="00E83FBF">
            <w:pPr>
              <w:tabs>
                <w:tab w:val="left" w:pos="288"/>
                <w:tab w:val="left" w:pos="576"/>
                <w:tab w:val="left" w:pos="864"/>
                <w:tab w:val="left" w:pos="1152"/>
              </w:tabs>
              <w:suppressAutoHyphens/>
              <w:spacing w:before="40" w:after="40" w:line="210" w:lineRule="exact"/>
              <w:ind w:left="144" w:right="43"/>
              <w:jc w:val="right"/>
              <w:rPr>
                <w:sz w:val="17"/>
              </w:rPr>
            </w:pPr>
            <w:r w:rsidRPr="00E83FBF">
              <w:rPr>
                <w:sz w:val="17"/>
              </w:rPr>
              <w:t>11 364</w:t>
            </w:r>
          </w:p>
        </w:tc>
        <w:tc>
          <w:tcPr>
            <w:tcW w:w="3240" w:type="dxa"/>
            <w:shd w:val="clear" w:color="auto" w:fill="auto"/>
            <w:noWrap/>
            <w:vAlign w:val="bottom"/>
          </w:tcPr>
          <w:p w14:paraId="1736A1C4" w14:textId="77777777" w:rsidR="00AE698C" w:rsidRPr="00E83FBF" w:rsidRDefault="00AE698C" w:rsidP="00E83FBF">
            <w:pPr>
              <w:tabs>
                <w:tab w:val="left" w:pos="288"/>
                <w:tab w:val="left" w:pos="576"/>
                <w:tab w:val="left" w:pos="864"/>
                <w:tab w:val="left" w:pos="1152"/>
              </w:tabs>
              <w:suppressAutoHyphens/>
              <w:spacing w:before="40" w:after="40" w:line="210" w:lineRule="exact"/>
              <w:ind w:left="144" w:right="43"/>
              <w:jc w:val="right"/>
              <w:rPr>
                <w:sz w:val="17"/>
              </w:rPr>
            </w:pPr>
            <w:r w:rsidRPr="00E83FBF">
              <w:rPr>
                <w:sz w:val="17"/>
              </w:rPr>
              <w:t>3 410</w:t>
            </w:r>
          </w:p>
        </w:tc>
      </w:tr>
      <w:tr w:rsidR="00E83FBF" w:rsidRPr="00E83FBF" w14:paraId="4D8708EC" w14:textId="77777777" w:rsidTr="004D2D2F">
        <w:tc>
          <w:tcPr>
            <w:tcW w:w="3413" w:type="dxa"/>
            <w:shd w:val="clear" w:color="auto" w:fill="auto"/>
            <w:noWrap/>
            <w:vAlign w:val="bottom"/>
          </w:tcPr>
          <w:p w14:paraId="6A3825B4" w14:textId="77777777" w:rsidR="00AE698C" w:rsidRPr="00E83FBF" w:rsidRDefault="00AE698C" w:rsidP="00E83FBF">
            <w:pPr>
              <w:tabs>
                <w:tab w:val="left" w:pos="288"/>
                <w:tab w:val="left" w:pos="576"/>
                <w:tab w:val="left" w:pos="864"/>
                <w:tab w:val="left" w:pos="1152"/>
              </w:tabs>
              <w:suppressAutoHyphens/>
              <w:spacing w:before="40" w:after="40" w:line="210" w:lineRule="exact"/>
              <w:ind w:right="40"/>
              <w:rPr>
                <w:sz w:val="17"/>
              </w:rPr>
            </w:pPr>
            <w:r w:rsidRPr="00E83FBF">
              <w:rPr>
                <w:sz w:val="17"/>
              </w:rPr>
              <w:t>Femmes de plus de 50 ans</w:t>
            </w:r>
          </w:p>
        </w:tc>
        <w:tc>
          <w:tcPr>
            <w:tcW w:w="720" w:type="dxa"/>
            <w:shd w:val="clear" w:color="auto" w:fill="auto"/>
            <w:noWrap/>
            <w:vAlign w:val="bottom"/>
          </w:tcPr>
          <w:p w14:paraId="070B5012" w14:textId="77777777" w:rsidR="00AE698C" w:rsidRPr="00E83FBF" w:rsidRDefault="00AE698C" w:rsidP="00E83FBF">
            <w:pPr>
              <w:tabs>
                <w:tab w:val="left" w:pos="288"/>
                <w:tab w:val="left" w:pos="576"/>
                <w:tab w:val="left" w:pos="864"/>
                <w:tab w:val="left" w:pos="1152"/>
              </w:tabs>
              <w:suppressAutoHyphens/>
              <w:spacing w:before="40" w:after="40" w:line="210" w:lineRule="exact"/>
              <w:ind w:left="144" w:right="43"/>
              <w:jc w:val="right"/>
              <w:rPr>
                <w:sz w:val="17"/>
              </w:rPr>
            </w:pPr>
            <w:r w:rsidRPr="00E83FBF">
              <w:rPr>
                <w:sz w:val="17"/>
              </w:rPr>
              <w:t>89 232</w:t>
            </w:r>
          </w:p>
        </w:tc>
        <w:tc>
          <w:tcPr>
            <w:tcW w:w="3240" w:type="dxa"/>
            <w:shd w:val="clear" w:color="auto" w:fill="auto"/>
            <w:noWrap/>
            <w:vAlign w:val="bottom"/>
          </w:tcPr>
          <w:p w14:paraId="580B88AC" w14:textId="77777777" w:rsidR="00AE698C" w:rsidRPr="00E83FBF" w:rsidRDefault="00AE698C" w:rsidP="00E83FBF">
            <w:pPr>
              <w:tabs>
                <w:tab w:val="left" w:pos="288"/>
                <w:tab w:val="left" w:pos="576"/>
                <w:tab w:val="left" w:pos="864"/>
                <w:tab w:val="left" w:pos="1152"/>
              </w:tabs>
              <w:suppressAutoHyphens/>
              <w:spacing w:before="40" w:after="40" w:line="210" w:lineRule="exact"/>
              <w:ind w:left="144" w:right="43"/>
              <w:jc w:val="right"/>
              <w:rPr>
                <w:sz w:val="17"/>
              </w:rPr>
            </w:pPr>
            <w:r w:rsidRPr="00E83FBF">
              <w:rPr>
                <w:sz w:val="17"/>
              </w:rPr>
              <w:t>13 164</w:t>
            </w:r>
          </w:p>
        </w:tc>
      </w:tr>
      <w:tr w:rsidR="00E83FBF" w:rsidRPr="00E83FBF" w14:paraId="70D23A69" w14:textId="77777777" w:rsidTr="004D2D2F">
        <w:tc>
          <w:tcPr>
            <w:tcW w:w="3413" w:type="dxa"/>
            <w:shd w:val="clear" w:color="auto" w:fill="auto"/>
            <w:noWrap/>
            <w:vAlign w:val="bottom"/>
          </w:tcPr>
          <w:p w14:paraId="506E28CA" w14:textId="77777777" w:rsidR="00AE698C" w:rsidRPr="00E83FBF" w:rsidRDefault="00AE698C" w:rsidP="00E83FBF">
            <w:pPr>
              <w:tabs>
                <w:tab w:val="left" w:pos="288"/>
                <w:tab w:val="left" w:pos="576"/>
                <w:tab w:val="left" w:pos="864"/>
                <w:tab w:val="left" w:pos="1152"/>
              </w:tabs>
              <w:suppressAutoHyphens/>
              <w:spacing w:before="40" w:after="40" w:line="210" w:lineRule="exact"/>
              <w:ind w:right="40"/>
              <w:rPr>
                <w:sz w:val="17"/>
              </w:rPr>
            </w:pPr>
            <w:r w:rsidRPr="00E83FBF">
              <w:rPr>
                <w:sz w:val="17"/>
              </w:rPr>
              <w:t>Femmes dans la catégorie des employés licenciés</w:t>
            </w:r>
          </w:p>
        </w:tc>
        <w:tc>
          <w:tcPr>
            <w:tcW w:w="720" w:type="dxa"/>
            <w:shd w:val="clear" w:color="auto" w:fill="auto"/>
            <w:noWrap/>
            <w:vAlign w:val="bottom"/>
          </w:tcPr>
          <w:p w14:paraId="2D1FAC2B" w14:textId="77777777" w:rsidR="00AE698C" w:rsidRPr="00E83FBF" w:rsidRDefault="00AE698C" w:rsidP="00E83FBF">
            <w:pPr>
              <w:tabs>
                <w:tab w:val="left" w:pos="288"/>
                <w:tab w:val="left" w:pos="576"/>
                <w:tab w:val="left" w:pos="864"/>
                <w:tab w:val="left" w:pos="1152"/>
              </w:tabs>
              <w:suppressAutoHyphens/>
              <w:spacing w:before="40" w:after="40" w:line="210" w:lineRule="exact"/>
              <w:ind w:left="144" w:right="43"/>
              <w:jc w:val="right"/>
              <w:rPr>
                <w:sz w:val="17"/>
              </w:rPr>
            </w:pPr>
            <w:r w:rsidRPr="00E83FBF">
              <w:rPr>
                <w:sz w:val="17"/>
              </w:rPr>
              <w:t>25 007</w:t>
            </w:r>
          </w:p>
        </w:tc>
        <w:tc>
          <w:tcPr>
            <w:tcW w:w="3240" w:type="dxa"/>
            <w:shd w:val="clear" w:color="auto" w:fill="auto"/>
            <w:noWrap/>
            <w:vAlign w:val="bottom"/>
          </w:tcPr>
          <w:p w14:paraId="331CBED8" w14:textId="77777777" w:rsidR="00AE698C" w:rsidRPr="00E83FBF" w:rsidRDefault="00AE698C" w:rsidP="00E83FBF">
            <w:pPr>
              <w:tabs>
                <w:tab w:val="left" w:pos="288"/>
                <w:tab w:val="left" w:pos="576"/>
                <w:tab w:val="left" w:pos="864"/>
                <w:tab w:val="left" w:pos="1152"/>
              </w:tabs>
              <w:suppressAutoHyphens/>
              <w:spacing w:before="40" w:after="40" w:line="210" w:lineRule="exact"/>
              <w:ind w:left="144" w:right="43"/>
              <w:jc w:val="right"/>
              <w:rPr>
                <w:sz w:val="17"/>
              </w:rPr>
            </w:pPr>
            <w:r w:rsidRPr="00E83FBF">
              <w:rPr>
                <w:sz w:val="17"/>
              </w:rPr>
              <w:t>7 436</w:t>
            </w:r>
          </w:p>
        </w:tc>
      </w:tr>
      <w:tr w:rsidR="00E83FBF" w:rsidRPr="00E83FBF" w14:paraId="304C0ACA" w14:textId="77777777" w:rsidTr="004D2D2F">
        <w:tc>
          <w:tcPr>
            <w:tcW w:w="3413" w:type="dxa"/>
            <w:shd w:val="clear" w:color="auto" w:fill="auto"/>
            <w:noWrap/>
            <w:vAlign w:val="bottom"/>
          </w:tcPr>
          <w:p w14:paraId="4C17B518" w14:textId="77777777" w:rsidR="00AE698C" w:rsidRPr="00E83FBF" w:rsidRDefault="00AE698C" w:rsidP="00E83FBF">
            <w:pPr>
              <w:tabs>
                <w:tab w:val="left" w:pos="288"/>
                <w:tab w:val="left" w:pos="576"/>
                <w:tab w:val="left" w:pos="864"/>
                <w:tab w:val="left" w:pos="1152"/>
              </w:tabs>
              <w:suppressAutoHyphens/>
              <w:spacing w:before="40" w:after="40" w:line="210" w:lineRule="exact"/>
              <w:ind w:right="40"/>
              <w:rPr>
                <w:sz w:val="17"/>
              </w:rPr>
            </w:pPr>
            <w:r w:rsidRPr="00E83FBF">
              <w:rPr>
                <w:sz w:val="17"/>
              </w:rPr>
              <w:t>Femmes de moins de 30 ans</w:t>
            </w:r>
          </w:p>
        </w:tc>
        <w:tc>
          <w:tcPr>
            <w:tcW w:w="720" w:type="dxa"/>
            <w:shd w:val="clear" w:color="auto" w:fill="auto"/>
            <w:noWrap/>
            <w:vAlign w:val="bottom"/>
          </w:tcPr>
          <w:p w14:paraId="448B49BD" w14:textId="77777777" w:rsidR="00AE698C" w:rsidRPr="00E83FBF" w:rsidRDefault="00AE698C" w:rsidP="00E83FBF">
            <w:pPr>
              <w:tabs>
                <w:tab w:val="left" w:pos="288"/>
                <w:tab w:val="left" w:pos="576"/>
                <w:tab w:val="left" w:pos="864"/>
                <w:tab w:val="left" w:pos="1152"/>
              </w:tabs>
              <w:suppressAutoHyphens/>
              <w:spacing w:before="40" w:after="40" w:line="210" w:lineRule="exact"/>
              <w:ind w:left="144" w:right="43"/>
              <w:jc w:val="right"/>
              <w:rPr>
                <w:sz w:val="17"/>
              </w:rPr>
            </w:pPr>
            <w:r w:rsidRPr="00E83FBF">
              <w:rPr>
                <w:sz w:val="17"/>
              </w:rPr>
              <w:t>77 054</w:t>
            </w:r>
          </w:p>
        </w:tc>
        <w:tc>
          <w:tcPr>
            <w:tcW w:w="3240" w:type="dxa"/>
            <w:shd w:val="clear" w:color="auto" w:fill="auto"/>
            <w:noWrap/>
            <w:vAlign w:val="bottom"/>
          </w:tcPr>
          <w:p w14:paraId="2E98A058" w14:textId="77777777" w:rsidR="00AE698C" w:rsidRPr="00E83FBF" w:rsidRDefault="00AE698C" w:rsidP="00E83FBF">
            <w:pPr>
              <w:tabs>
                <w:tab w:val="left" w:pos="288"/>
                <w:tab w:val="left" w:pos="576"/>
                <w:tab w:val="left" w:pos="864"/>
                <w:tab w:val="left" w:pos="1152"/>
              </w:tabs>
              <w:suppressAutoHyphens/>
              <w:spacing w:before="40" w:after="40" w:line="210" w:lineRule="exact"/>
              <w:ind w:left="144" w:right="43"/>
              <w:jc w:val="right"/>
              <w:rPr>
                <w:sz w:val="17"/>
              </w:rPr>
            </w:pPr>
            <w:r w:rsidRPr="00E83FBF">
              <w:rPr>
                <w:sz w:val="17"/>
              </w:rPr>
              <w:t>29 553</w:t>
            </w:r>
          </w:p>
        </w:tc>
      </w:tr>
      <w:tr w:rsidR="00E83FBF" w:rsidRPr="00E83FBF" w14:paraId="049B4ECE" w14:textId="77777777" w:rsidTr="004D2D2F">
        <w:tc>
          <w:tcPr>
            <w:tcW w:w="3413" w:type="dxa"/>
            <w:shd w:val="clear" w:color="auto" w:fill="auto"/>
            <w:noWrap/>
            <w:vAlign w:val="bottom"/>
          </w:tcPr>
          <w:p w14:paraId="7046B169" w14:textId="031E0154" w:rsidR="00AE698C" w:rsidRPr="00E83FBF" w:rsidRDefault="00AE698C" w:rsidP="00E83FBF">
            <w:pPr>
              <w:tabs>
                <w:tab w:val="left" w:pos="288"/>
                <w:tab w:val="left" w:pos="576"/>
                <w:tab w:val="left" w:pos="864"/>
                <w:tab w:val="left" w:pos="1152"/>
              </w:tabs>
              <w:suppressAutoHyphens/>
              <w:spacing w:before="40" w:after="40" w:line="210" w:lineRule="exact"/>
              <w:ind w:right="40"/>
              <w:rPr>
                <w:sz w:val="17"/>
              </w:rPr>
            </w:pPr>
            <w:r w:rsidRPr="00E83FBF">
              <w:rPr>
                <w:sz w:val="17"/>
              </w:rPr>
              <w:t>Bénéficiaires d</w:t>
            </w:r>
            <w:r w:rsidR="00DE1F39" w:rsidRPr="00E83FBF">
              <w:rPr>
                <w:sz w:val="17"/>
              </w:rPr>
              <w:t>’</w:t>
            </w:r>
            <w:r w:rsidRPr="00E83FBF">
              <w:rPr>
                <w:sz w:val="17"/>
              </w:rPr>
              <w:t>une aide sociale financière</w:t>
            </w:r>
          </w:p>
        </w:tc>
        <w:tc>
          <w:tcPr>
            <w:tcW w:w="720" w:type="dxa"/>
            <w:shd w:val="clear" w:color="auto" w:fill="auto"/>
            <w:noWrap/>
            <w:vAlign w:val="bottom"/>
          </w:tcPr>
          <w:p w14:paraId="6310F4AA" w14:textId="77777777" w:rsidR="00AE698C" w:rsidRPr="00E83FBF" w:rsidRDefault="00AE698C" w:rsidP="00E83FBF">
            <w:pPr>
              <w:tabs>
                <w:tab w:val="left" w:pos="288"/>
                <w:tab w:val="left" w:pos="576"/>
                <w:tab w:val="left" w:pos="864"/>
                <w:tab w:val="left" w:pos="1152"/>
              </w:tabs>
              <w:suppressAutoHyphens/>
              <w:spacing w:before="40" w:after="40" w:line="210" w:lineRule="exact"/>
              <w:ind w:left="144" w:right="43"/>
              <w:jc w:val="right"/>
              <w:rPr>
                <w:sz w:val="17"/>
              </w:rPr>
            </w:pPr>
            <w:r w:rsidRPr="00E83FBF">
              <w:rPr>
                <w:sz w:val="17"/>
              </w:rPr>
              <w:t>32 608</w:t>
            </w:r>
          </w:p>
        </w:tc>
        <w:tc>
          <w:tcPr>
            <w:tcW w:w="3240" w:type="dxa"/>
            <w:shd w:val="clear" w:color="auto" w:fill="auto"/>
            <w:noWrap/>
            <w:vAlign w:val="bottom"/>
          </w:tcPr>
          <w:p w14:paraId="1C8710C6" w14:textId="77777777" w:rsidR="00AE698C" w:rsidRPr="00E83FBF" w:rsidRDefault="00AE698C" w:rsidP="00E83FBF">
            <w:pPr>
              <w:tabs>
                <w:tab w:val="left" w:pos="288"/>
                <w:tab w:val="left" w:pos="576"/>
                <w:tab w:val="left" w:pos="864"/>
                <w:tab w:val="left" w:pos="1152"/>
              </w:tabs>
              <w:suppressAutoHyphens/>
              <w:spacing w:before="40" w:after="40" w:line="210" w:lineRule="exact"/>
              <w:ind w:left="144" w:right="43"/>
              <w:jc w:val="right"/>
              <w:rPr>
                <w:sz w:val="17"/>
              </w:rPr>
            </w:pPr>
            <w:r w:rsidRPr="00E83FBF">
              <w:rPr>
                <w:sz w:val="17"/>
              </w:rPr>
              <w:t>5 912</w:t>
            </w:r>
          </w:p>
        </w:tc>
      </w:tr>
      <w:tr w:rsidR="00E83FBF" w:rsidRPr="00E83FBF" w14:paraId="0D595A37" w14:textId="77777777" w:rsidTr="004D2D2F">
        <w:tc>
          <w:tcPr>
            <w:tcW w:w="3413" w:type="dxa"/>
            <w:tcBorders>
              <w:bottom w:val="single" w:sz="12" w:space="0" w:color="auto"/>
            </w:tcBorders>
            <w:shd w:val="clear" w:color="auto" w:fill="auto"/>
            <w:noWrap/>
            <w:vAlign w:val="bottom"/>
          </w:tcPr>
          <w:p w14:paraId="552AE444" w14:textId="77777777" w:rsidR="00AE698C" w:rsidRPr="00E83FBF" w:rsidRDefault="00AE698C" w:rsidP="00E83FBF">
            <w:pPr>
              <w:tabs>
                <w:tab w:val="left" w:pos="288"/>
                <w:tab w:val="left" w:pos="576"/>
                <w:tab w:val="left" w:pos="864"/>
                <w:tab w:val="left" w:pos="1152"/>
              </w:tabs>
              <w:suppressAutoHyphens/>
              <w:spacing w:before="40" w:after="40" w:line="210" w:lineRule="exact"/>
              <w:ind w:right="40"/>
              <w:rPr>
                <w:sz w:val="17"/>
              </w:rPr>
            </w:pPr>
            <w:r w:rsidRPr="00E83FBF">
              <w:rPr>
                <w:sz w:val="17"/>
              </w:rPr>
              <w:t>Femmes roms</w:t>
            </w:r>
          </w:p>
        </w:tc>
        <w:tc>
          <w:tcPr>
            <w:tcW w:w="720" w:type="dxa"/>
            <w:tcBorders>
              <w:bottom w:val="single" w:sz="12" w:space="0" w:color="auto"/>
            </w:tcBorders>
            <w:shd w:val="clear" w:color="auto" w:fill="auto"/>
            <w:noWrap/>
            <w:vAlign w:val="bottom"/>
          </w:tcPr>
          <w:p w14:paraId="6983DDB7" w14:textId="77777777" w:rsidR="00AE698C" w:rsidRPr="00E83FBF" w:rsidRDefault="00AE698C" w:rsidP="00E83FBF">
            <w:pPr>
              <w:tabs>
                <w:tab w:val="left" w:pos="288"/>
                <w:tab w:val="left" w:pos="576"/>
                <w:tab w:val="left" w:pos="864"/>
                <w:tab w:val="left" w:pos="1152"/>
              </w:tabs>
              <w:suppressAutoHyphens/>
              <w:spacing w:before="40" w:after="40" w:line="210" w:lineRule="exact"/>
              <w:ind w:left="144" w:right="43"/>
              <w:jc w:val="right"/>
              <w:rPr>
                <w:sz w:val="17"/>
              </w:rPr>
            </w:pPr>
            <w:r w:rsidRPr="00E83FBF">
              <w:rPr>
                <w:sz w:val="17"/>
              </w:rPr>
              <w:t>12 411</w:t>
            </w:r>
          </w:p>
        </w:tc>
        <w:tc>
          <w:tcPr>
            <w:tcW w:w="3240" w:type="dxa"/>
            <w:tcBorders>
              <w:bottom w:val="single" w:sz="12" w:space="0" w:color="auto"/>
            </w:tcBorders>
            <w:shd w:val="clear" w:color="auto" w:fill="auto"/>
            <w:noWrap/>
            <w:vAlign w:val="bottom"/>
          </w:tcPr>
          <w:p w14:paraId="02DDAD98" w14:textId="77777777" w:rsidR="00AE698C" w:rsidRPr="00E83FBF" w:rsidRDefault="00AE698C" w:rsidP="00E83FBF">
            <w:pPr>
              <w:tabs>
                <w:tab w:val="left" w:pos="288"/>
                <w:tab w:val="left" w:pos="576"/>
                <w:tab w:val="left" w:pos="864"/>
                <w:tab w:val="left" w:pos="1152"/>
              </w:tabs>
              <w:suppressAutoHyphens/>
              <w:spacing w:before="40" w:after="40" w:line="210" w:lineRule="exact"/>
              <w:ind w:left="144" w:right="43"/>
              <w:jc w:val="right"/>
              <w:rPr>
                <w:sz w:val="17"/>
              </w:rPr>
            </w:pPr>
            <w:r w:rsidRPr="00E83FBF">
              <w:rPr>
                <w:sz w:val="17"/>
              </w:rPr>
              <w:t>2 421</w:t>
            </w:r>
          </w:p>
        </w:tc>
      </w:tr>
    </w:tbl>
    <w:p w14:paraId="790201E7" w14:textId="37E6BA16" w:rsidR="00AE698C" w:rsidRPr="00AE698C" w:rsidRDefault="00AE698C" w:rsidP="00AE698C">
      <w:pPr>
        <w:pStyle w:val="SingleTxt"/>
        <w:spacing w:after="0" w:line="120" w:lineRule="exact"/>
        <w:rPr>
          <w:sz w:val="10"/>
        </w:rPr>
      </w:pPr>
    </w:p>
    <w:p w14:paraId="297DC120" w14:textId="5866A803" w:rsidR="00AE698C" w:rsidRPr="00AE698C" w:rsidRDefault="00AE698C" w:rsidP="00AE698C">
      <w:pPr>
        <w:pStyle w:val="SingleTxt"/>
        <w:spacing w:after="0" w:line="120" w:lineRule="exact"/>
        <w:rPr>
          <w:sz w:val="10"/>
        </w:rPr>
      </w:pPr>
    </w:p>
    <w:p w14:paraId="19593D84" w14:textId="028542D5" w:rsidR="00AE698C" w:rsidRPr="00AE698C" w:rsidRDefault="00AE698C" w:rsidP="00172AC5">
      <w:pPr>
        <w:pStyle w:val="SingleTxt"/>
        <w:numPr>
          <w:ilvl w:val="0"/>
          <w:numId w:val="35"/>
        </w:numPr>
        <w:spacing w:line="240" w:lineRule="exact"/>
        <w:rPr>
          <w:lang w:val="fr-FR"/>
        </w:rPr>
      </w:pPr>
      <w:r w:rsidRPr="00AE698C">
        <w:rPr>
          <w:lang w:val="fr-FR"/>
        </w:rPr>
        <w:t>En 2017, la formation de deux jours dispensée par l</w:t>
      </w:r>
      <w:r w:rsidR="00DE1F39">
        <w:rPr>
          <w:lang w:val="fr-FR"/>
        </w:rPr>
        <w:t>’</w:t>
      </w:r>
      <w:r w:rsidRPr="00AE698C">
        <w:rPr>
          <w:lang w:val="fr-FR"/>
        </w:rPr>
        <w:t>Agence nationale pour l</w:t>
      </w:r>
      <w:r w:rsidR="00DE1F39">
        <w:rPr>
          <w:lang w:val="fr-FR"/>
        </w:rPr>
        <w:t>’</w:t>
      </w:r>
      <w:r w:rsidRPr="00AE698C">
        <w:rPr>
          <w:lang w:val="fr-FR"/>
        </w:rPr>
        <w:t>emploi et intitulée « Voie à suivre pour réussir son entreprise » a été suivie par 5 663 femmes (45,42 %). Des subventions pour travailleurs indépendants ont été octroyées à 1 848 femmes (50,22 %), dont 44 femmes handicapées. 251 femmes ont fait l</w:t>
      </w:r>
      <w:r w:rsidR="00DE1F39">
        <w:rPr>
          <w:lang w:val="fr-FR"/>
        </w:rPr>
        <w:t>’</w:t>
      </w:r>
      <w:r w:rsidRPr="00AE698C">
        <w:rPr>
          <w:lang w:val="fr-FR"/>
        </w:rPr>
        <w:t>objet d</w:t>
      </w:r>
      <w:r w:rsidR="00DE1F39">
        <w:rPr>
          <w:lang w:val="fr-FR"/>
        </w:rPr>
        <w:t>’</w:t>
      </w:r>
      <w:r w:rsidRPr="00AE698C">
        <w:rPr>
          <w:lang w:val="fr-FR"/>
        </w:rPr>
        <w:t xml:space="preserve">un programme de suivi. </w:t>
      </w:r>
    </w:p>
    <w:p w14:paraId="0F99C0E8" w14:textId="74204B54" w:rsidR="00AE698C" w:rsidRPr="00AE698C" w:rsidRDefault="00AE698C" w:rsidP="00172AC5">
      <w:pPr>
        <w:pStyle w:val="SingleTxt"/>
        <w:numPr>
          <w:ilvl w:val="0"/>
          <w:numId w:val="35"/>
        </w:numPr>
        <w:spacing w:line="240" w:lineRule="exact"/>
        <w:rPr>
          <w:lang w:val="fr-FR"/>
        </w:rPr>
      </w:pPr>
      <w:r w:rsidRPr="00AE698C">
        <w:rPr>
          <w:lang w:val="fr-FR"/>
        </w:rPr>
        <w:t>Le taux d</w:t>
      </w:r>
      <w:r w:rsidR="00DE1F39">
        <w:rPr>
          <w:lang w:val="fr-FR"/>
        </w:rPr>
        <w:t>’</w:t>
      </w:r>
      <w:r w:rsidRPr="00AE698C">
        <w:rPr>
          <w:lang w:val="fr-FR"/>
        </w:rPr>
        <w:t>emploi de la population âgée de 15 à 64 ans était de 57,4 % en moyenne en 2017. Le taux d</w:t>
      </w:r>
      <w:r w:rsidR="00DE1F39">
        <w:rPr>
          <w:lang w:val="fr-FR"/>
        </w:rPr>
        <w:t>’</w:t>
      </w:r>
      <w:r w:rsidRPr="00AE698C">
        <w:rPr>
          <w:lang w:val="fr-FR"/>
        </w:rPr>
        <w:t>emploi des femmes était de 50,8 % en 2017, soit une augmentation de 2,4 % par rapport à 2016. Le taux d</w:t>
      </w:r>
      <w:r w:rsidR="00DE1F39">
        <w:rPr>
          <w:lang w:val="fr-FR"/>
        </w:rPr>
        <w:t>’</w:t>
      </w:r>
      <w:r w:rsidRPr="00AE698C">
        <w:rPr>
          <w:lang w:val="fr-FR"/>
        </w:rPr>
        <w:t xml:space="preserve">emploi des hommes (63,9 %) est plus élevé de 13 % que celui des femmes. </w:t>
      </w:r>
    </w:p>
    <w:p w14:paraId="188A307E" w14:textId="77777777" w:rsidR="00AE698C" w:rsidRPr="00AE698C" w:rsidRDefault="00AE698C" w:rsidP="00172AC5">
      <w:pPr>
        <w:pStyle w:val="SingleTxt"/>
        <w:numPr>
          <w:ilvl w:val="0"/>
          <w:numId w:val="35"/>
        </w:numPr>
        <w:spacing w:line="240" w:lineRule="exact"/>
        <w:rPr>
          <w:lang w:val="fr-FR"/>
        </w:rPr>
      </w:pPr>
      <w:r w:rsidRPr="00AE698C">
        <w:rPr>
          <w:lang w:val="fr-FR"/>
        </w:rPr>
        <w:t xml:space="preserve">Le taux de chômage de la population âgée de 15 à 64 ans était de 14,1 % en moyenne en 2017. Le taux de chômage des femmes était de 14,8 % en 2017, soit une baisse de 1,9 % par rapport à 2016. Le taux de chômage des hommes était de 13,5 %, soit un écart de 1,3 % par rapport à celui des femmes. </w:t>
      </w:r>
    </w:p>
    <w:p w14:paraId="08730BB2" w14:textId="2741D4FA" w:rsidR="00AE698C" w:rsidRDefault="00AE698C" w:rsidP="00172AC5">
      <w:pPr>
        <w:pStyle w:val="SingleTxt"/>
        <w:numPr>
          <w:ilvl w:val="0"/>
          <w:numId w:val="35"/>
        </w:numPr>
        <w:spacing w:line="240" w:lineRule="exact"/>
        <w:rPr>
          <w:lang w:val="fr-FR"/>
        </w:rPr>
      </w:pPr>
      <w:r w:rsidRPr="00AE698C">
        <w:rPr>
          <w:lang w:val="fr-FR"/>
        </w:rPr>
        <w:t>Les entreprises qui tiennent compte de la problématique hommes-femmes font plus attention au respect des dispositions constitutionnelles et juridiques interdisant les différences de ré</w:t>
      </w:r>
      <w:r>
        <w:rPr>
          <w:lang w:val="fr-FR"/>
        </w:rPr>
        <w:t>munération fondées sur le sexe.</w:t>
      </w:r>
    </w:p>
    <w:p w14:paraId="23943FD5" w14:textId="09618D06" w:rsidR="00AE698C" w:rsidRPr="00AE698C" w:rsidRDefault="00AE698C" w:rsidP="00AE698C">
      <w:pPr>
        <w:pStyle w:val="SingleTxt"/>
        <w:spacing w:after="0" w:line="120" w:lineRule="exact"/>
        <w:rPr>
          <w:sz w:val="10"/>
          <w:lang w:val="fr-FR"/>
        </w:rPr>
      </w:pPr>
    </w:p>
    <w:p w14:paraId="40946ECD" w14:textId="08A2D289" w:rsidR="00AE698C" w:rsidRDefault="00AE698C" w:rsidP="00AE69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E698C">
        <w:rPr>
          <w:lang w:val="fr-FR"/>
        </w:rPr>
        <w:tab/>
      </w:r>
      <w:r w:rsidRPr="00AE698C">
        <w:rPr>
          <w:lang w:val="fr-FR"/>
        </w:rPr>
        <w:tab/>
        <w:t>Santé</w:t>
      </w:r>
    </w:p>
    <w:p w14:paraId="69738B3D" w14:textId="10B18937" w:rsidR="00AE698C" w:rsidRPr="00AE698C" w:rsidRDefault="00AE698C" w:rsidP="00AE698C">
      <w:pPr>
        <w:pStyle w:val="SingleTxt"/>
        <w:spacing w:after="0" w:line="120" w:lineRule="exact"/>
        <w:rPr>
          <w:sz w:val="10"/>
          <w:lang w:val="fr-FR"/>
        </w:rPr>
      </w:pPr>
    </w:p>
    <w:p w14:paraId="196B7EB9" w14:textId="514516BE" w:rsidR="00AE698C" w:rsidRPr="00AE698C" w:rsidRDefault="00AE698C" w:rsidP="00172AC5">
      <w:pPr>
        <w:pStyle w:val="SingleTxt"/>
        <w:numPr>
          <w:ilvl w:val="0"/>
          <w:numId w:val="36"/>
        </w:numPr>
        <w:tabs>
          <w:tab w:val="left" w:pos="1742"/>
        </w:tabs>
        <w:rPr>
          <w:i/>
          <w:lang w:val="fr-FR"/>
        </w:rPr>
      </w:pPr>
      <w:r w:rsidRPr="00AE698C">
        <w:rPr>
          <w:lang w:val="fr-FR"/>
        </w:rPr>
        <w:t>La réglementation sur le programme national pour la préservation et le renforcement de la santé sexuelle et procréative des citoyens serbes a été adoptée par le Gouvernement serbe le 28 décembre 2017</w:t>
      </w:r>
      <w:r w:rsidRPr="00DE1F39">
        <w:rPr>
          <w:vertAlign w:val="superscript"/>
          <w:lang w:val="fr-FR"/>
        </w:rPr>
        <w:footnoteReference w:id="12"/>
      </w:r>
      <w:r w:rsidRPr="00AE698C">
        <w:rPr>
          <w:lang w:val="fr-FR"/>
        </w:rPr>
        <w:t>.</w:t>
      </w:r>
    </w:p>
    <w:p w14:paraId="4BE9474A" w14:textId="67F26CBC" w:rsidR="00AE698C" w:rsidRPr="00AE698C" w:rsidRDefault="00AE698C" w:rsidP="00172AC5">
      <w:pPr>
        <w:pStyle w:val="SingleTxt"/>
        <w:numPr>
          <w:ilvl w:val="0"/>
          <w:numId w:val="36"/>
        </w:numPr>
        <w:tabs>
          <w:tab w:val="left" w:pos="1742"/>
        </w:tabs>
        <w:rPr>
          <w:lang w:val="fr-FR"/>
        </w:rPr>
      </w:pPr>
      <w:r w:rsidRPr="00AE698C">
        <w:rPr>
          <w:lang w:val="fr-FR"/>
        </w:rPr>
        <w:t xml:space="preserve">Le ministère de la Santé poursuit son programme de contrôles médicaux préventifs gratuits destinés à faire des diagnostics précoces et la promotion de la prévention qui est la manière la plus efficace de prendre soin de sa santé. Ces consultations ont lieu la dernière semaine de chaque mois partout en Serbie, aussi bien dans les centres de santé communautaires que dans les centres cliniques et </w:t>
      </w:r>
      <w:r w:rsidRPr="00AE698C">
        <w:rPr>
          <w:lang w:val="fr-FR"/>
        </w:rPr>
        <w:lastRenderedPageBreak/>
        <w:t>hospitaliers et les hôpitaux généraux, et elles sont accessibles aux personnes qui, pour une raison ou une autre, n</w:t>
      </w:r>
      <w:r w:rsidR="00DE1F39">
        <w:rPr>
          <w:lang w:val="fr-FR"/>
        </w:rPr>
        <w:t>’</w:t>
      </w:r>
      <w:r w:rsidRPr="00AE698C">
        <w:rPr>
          <w:lang w:val="fr-FR"/>
        </w:rPr>
        <w:t>ont pas d</w:t>
      </w:r>
      <w:r w:rsidR="00DE1F39">
        <w:rPr>
          <w:lang w:val="fr-FR"/>
        </w:rPr>
        <w:t>’</w:t>
      </w:r>
      <w:r w:rsidRPr="00AE698C">
        <w:rPr>
          <w:lang w:val="fr-FR"/>
        </w:rPr>
        <w:t xml:space="preserve">assurance santé. </w:t>
      </w:r>
    </w:p>
    <w:p w14:paraId="4F60B1AE" w14:textId="1A444151" w:rsidR="00AE698C" w:rsidRPr="00AE698C" w:rsidRDefault="00AE698C" w:rsidP="00172AC5">
      <w:pPr>
        <w:pStyle w:val="SingleTxt"/>
        <w:numPr>
          <w:ilvl w:val="0"/>
          <w:numId w:val="36"/>
        </w:numPr>
        <w:tabs>
          <w:tab w:val="left" w:pos="1742"/>
        </w:tabs>
        <w:rPr>
          <w:lang w:val="fr-FR"/>
        </w:rPr>
      </w:pPr>
      <w:r w:rsidRPr="00AE698C">
        <w:rPr>
          <w:lang w:val="fr-FR"/>
        </w:rPr>
        <w:t>Le ministère de la Santé prévoit d</w:t>
      </w:r>
      <w:r w:rsidR="00DE1F39">
        <w:rPr>
          <w:lang w:val="fr-FR"/>
        </w:rPr>
        <w:t>’</w:t>
      </w:r>
      <w:r w:rsidRPr="00AE698C">
        <w:rPr>
          <w:lang w:val="fr-FR"/>
        </w:rPr>
        <w:t>améliorer la disponibilité des soins de santé pour la population rom en étendant le programme afin de couvrir plus de 50 % du territoire d</w:t>
      </w:r>
      <w:r w:rsidR="00DE1F39">
        <w:rPr>
          <w:lang w:val="fr-FR"/>
        </w:rPr>
        <w:t>’</w:t>
      </w:r>
      <w:r w:rsidRPr="00AE698C">
        <w:rPr>
          <w:lang w:val="fr-FR"/>
        </w:rPr>
        <w:t>ici 2020 (88 000 000 dinars serbes). En outre, en appuyant les activités menées par des associations de citoyens, il augmente les subventions octroyées pour atteindre les résultats des dé</w:t>
      </w:r>
      <w:r w:rsidR="00F04216">
        <w:rPr>
          <w:lang w:val="fr-FR"/>
        </w:rPr>
        <w:t>terminants sociaux de santé (15 000 </w:t>
      </w:r>
      <w:r w:rsidRPr="00AE698C">
        <w:rPr>
          <w:lang w:val="fr-FR"/>
        </w:rPr>
        <w:t>000 dinars serbes) et améliore la qualité de vie en réalisant l</w:t>
      </w:r>
      <w:r w:rsidR="00DE1F39">
        <w:rPr>
          <w:lang w:val="fr-FR"/>
        </w:rPr>
        <w:t>’</w:t>
      </w:r>
      <w:r w:rsidRPr="00AE698C">
        <w:rPr>
          <w:lang w:val="fr-FR"/>
        </w:rPr>
        <w:t>objectif de prolongation de la durée de vie (15 000 000 dinars serbes)</w:t>
      </w:r>
    </w:p>
    <w:p w14:paraId="4B8D4B35" w14:textId="35BB4B13" w:rsidR="00AE698C" w:rsidRPr="00AE698C" w:rsidRDefault="00AE698C" w:rsidP="00172AC5">
      <w:pPr>
        <w:pStyle w:val="SingleTxt"/>
        <w:numPr>
          <w:ilvl w:val="0"/>
          <w:numId w:val="36"/>
        </w:numPr>
        <w:tabs>
          <w:tab w:val="left" w:pos="1742"/>
        </w:tabs>
        <w:rPr>
          <w:lang w:val="fr-FR"/>
        </w:rPr>
      </w:pPr>
      <w:r w:rsidRPr="00AE698C">
        <w:rPr>
          <w:lang w:val="fr-FR"/>
        </w:rPr>
        <w:t>Dans le but d</w:t>
      </w:r>
      <w:r w:rsidR="00DE1F39">
        <w:rPr>
          <w:lang w:val="fr-FR"/>
        </w:rPr>
        <w:t>’</w:t>
      </w:r>
      <w:r w:rsidRPr="00AE698C">
        <w:rPr>
          <w:lang w:val="fr-FR"/>
        </w:rPr>
        <w:t>harmoniser le travail des agents sanitaires, principalement des gynécologues, des généralistes et des pédiatres, avec les connaissances scientifiques modernes dans le domaine de l</w:t>
      </w:r>
      <w:r w:rsidR="00DE1F39">
        <w:rPr>
          <w:lang w:val="fr-FR"/>
        </w:rPr>
        <w:t>’</w:t>
      </w:r>
      <w:r w:rsidRPr="00AE698C">
        <w:rPr>
          <w:lang w:val="fr-FR"/>
        </w:rPr>
        <w:t>orientation et de la distribution de contraceptifs, le groupe de travail du ministère de la Santé, avec le soutien du PNUD, a élaboré des directives cliniques relatives aux méthodes de contraception disponibles. Ces directives faciliteront le travail clinique et permettront aux agents sanitaires d</w:t>
      </w:r>
      <w:r w:rsidR="00DE1F39">
        <w:rPr>
          <w:lang w:val="fr-FR"/>
        </w:rPr>
        <w:t>’</w:t>
      </w:r>
      <w:r w:rsidRPr="00AE698C">
        <w:rPr>
          <w:lang w:val="fr-FR"/>
        </w:rPr>
        <w:t>être mieux équipés pour décider du choix d</w:t>
      </w:r>
      <w:r w:rsidR="00DE1F39">
        <w:rPr>
          <w:lang w:val="fr-FR"/>
        </w:rPr>
        <w:t>’</w:t>
      </w:r>
      <w:r w:rsidRPr="00AE698C">
        <w:rPr>
          <w:lang w:val="fr-FR"/>
        </w:rPr>
        <w:t>un contraceptif, notamment en rationnalisant les procédures de diagnostic à effectuer avant l</w:t>
      </w:r>
      <w:r w:rsidR="00DE1F39">
        <w:rPr>
          <w:lang w:val="fr-FR"/>
        </w:rPr>
        <w:t>’</w:t>
      </w:r>
      <w:r w:rsidRPr="00AE698C">
        <w:rPr>
          <w:lang w:val="fr-FR"/>
        </w:rPr>
        <w:t>application et pendant l</w:t>
      </w:r>
      <w:r w:rsidR="00DE1F39">
        <w:rPr>
          <w:lang w:val="fr-FR"/>
        </w:rPr>
        <w:t>’</w:t>
      </w:r>
      <w:r w:rsidRPr="00AE698C">
        <w:rPr>
          <w:lang w:val="fr-FR"/>
        </w:rPr>
        <w:t xml:space="preserve">utilisation de la méthode sélectionnée. </w:t>
      </w:r>
    </w:p>
    <w:p w14:paraId="068B18C8" w14:textId="308A8E20" w:rsidR="00AE698C" w:rsidRDefault="00AE698C" w:rsidP="00172AC5">
      <w:pPr>
        <w:pStyle w:val="SingleTxt"/>
        <w:numPr>
          <w:ilvl w:val="0"/>
          <w:numId w:val="36"/>
        </w:numPr>
        <w:tabs>
          <w:tab w:val="left" w:pos="1742"/>
        </w:tabs>
        <w:rPr>
          <w:lang w:val="fr-FR"/>
        </w:rPr>
      </w:pPr>
      <w:r w:rsidRPr="00AE698C">
        <w:rPr>
          <w:lang w:val="fr-FR"/>
        </w:rPr>
        <w:t>Conformément à la loi sur les soins de santé et à la loi sur l</w:t>
      </w:r>
      <w:r w:rsidR="00DE1F39">
        <w:rPr>
          <w:lang w:val="fr-FR"/>
        </w:rPr>
        <w:t>’</w:t>
      </w:r>
      <w:r w:rsidRPr="00AE698C">
        <w:rPr>
          <w:lang w:val="fr-FR"/>
        </w:rPr>
        <w:t xml:space="preserve">assurance maladie, toutes les personnes qui résident sur le territoire de la République de Serbie bénéficient du même accès aux services de soins de santé et de la même qualité de soins. </w:t>
      </w:r>
    </w:p>
    <w:p w14:paraId="484F6F81" w14:textId="2A75793D" w:rsidR="00AE698C" w:rsidRPr="00AE698C" w:rsidRDefault="00AE698C" w:rsidP="00AE698C">
      <w:pPr>
        <w:pStyle w:val="SingleTxt"/>
        <w:spacing w:after="0" w:line="120" w:lineRule="exact"/>
        <w:rPr>
          <w:sz w:val="10"/>
          <w:lang w:val="fr-FR"/>
        </w:rPr>
      </w:pPr>
    </w:p>
    <w:p w14:paraId="2142730B" w14:textId="70E9C40B" w:rsidR="00AE698C" w:rsidRDefault="00AE698C" w:rsidP="00AE69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E698C">
        <w:rPr>
          <w:lang w:val="fr-FR"/>
        </w:rPr>
        <w:tab/>
      </w:r>
      <w:r w:rsidRPr="00AE698C">
        <w:rPr>
          <w:lang w:val="fr-FR"/>
        </w:rPr>
        <w:tab/>
        <w:t xml:space="preserve">Femmes rurales </w:t>
      </w:r>
    </w:p>
    <w:p w14:paraId="5312CBF6" w14:textId="132780D9" w:rsidR="00AE698C" w:rsidRPr="00AE698C" w:rsidRDefault="00AE698C" w:rsidP="00AE698C">
      <w:pPr>
        <w:pStyle w:val="SingleTxt"/>
        <w:spacing w:after="0" w:line="120" w:lineRule="exact"/>
        <w:rPr>
          <w:sz w:val="10"/>
          <w:lang w:val="fr-FR"/>
        </w:rPr>
      </w:pPr>
    </w:p>
    <w:p w14:paraId="0D44444A" w14:textId="2CB710DA" w:rsidR="00AE698C" w:rsidRPr="00AE698C" w:rsidRDefault="00AE698C" w:rsidP="00172AC5">
      <w:pPr>
        <w:pStyle w:val="SingleTxt"/>
        <w:numPr>
          <w:ilvl w:val="0"/>
          <w:numId w:val="36"/>
        </w:numPr>
        <w:tabs>
          <w:tab w:val="left" w:pos="1742"/>
        </w:tabs>
        <w:rPr>
          <w:lang w:val="fr-FR"/>
        </w:rPr>
      </w:pPr>
      <w:r w:rsidRPr="00AE698C">
        <w:rPr>
          <w:lang w:val="fr-FR"/>
        </w:rPr>
        <w:t>En 2018, le ministère du Travail, de l</w:t>
      </w:r>
      <w:r w:rsidR="00DE1F39">
        <w:rPr>
          <w:lang w:val="fr-FR"/>
        </w:rPr>
        <w:t>’</w:t>
      </w:r>
      <w:r w:rsidRPr="00AE698C">
        <w:rPr>
          <w:lang w:val="fr-FR"/>
        </w:rPr>
        <w:t xml:space="preserve">emploi, des anciens combattants et des affaires sociales a alloué 3 000 000 de dinars serbes à la mise en </w:t>
      </w:r>
      <w:r w:rsidR="0015207D" w:rsidRPr="00AE698C">
        <w:rPr>
          <w:lang w:val="fr-FR"/>
        </w:rPr>
        <w:t>œuvre</w:t>
      </w:r>
      <w:r w:rsidRPr="00AE698C">
        <w:rPr>
          <w:lang w:val="fr-FR"/>
        </w:rPr>
        <w:t xml:space="preserve"> de projets d</w:t>
      </w:r>
      <w:r w:rsidR="00DE1F39">
        <w:rPr>
          <w:lang w:val="fr-FR"/>
        </w:rPr>
        <w:t>’</w:t>
      </w:r>
      <w:r w:rsidRPr="00AE698C">
        <w:rPr>
          <w:lang w:val="fr-FR"/>
        </w:rPr>
        <w:t>associations sur la thématique de l</w:t>
      </w:r>
      <w:r w:rsidR="00DE1F39">
        <w:rPr>
          <w:lang w:val="fr-FR"/>
        </w:rPr>
        <w:t>’</w:t>
      </w:r>
      <w:r w:rsidRPr="00AE698C">
        <w:rPr>
          <w:lang w:val="fr-FR"/>
        </w:rPr>
        <w:t xml:space="preserve">autonomisation économique des femmes rurales. </w:t>
      </w:r>
    </w:p>
    <w:p w14:paraId="0EFC95D0" w14:textId="60B02E46" w:rsidR="00AE698C" w:rsidRPr="00AE698C" w:rsidRDefault="00AE698C" w:rsidP="00172AC5">
      <w:pPr>
        <w:pStyle w:val="SingleTxt"/>
        <w:numPr>
          <w:ilvl w:val="0"/>
          <w:numId w:val="36"/>
        </w:numPr>
        <w:tabs>
          <w:tab w:val="left" w:pos="1742"/>
        </w:tabs>
        <w:rPr>
          <w:lang w:val="fr-FR"/>
        </w:rPr>
      </w:pPr>
      <w:r w:rsidRPr="00AE698C">
        <w:rPr>
          <w:lang w:val="fr-FR"/>
        </w:rPr>
        <w:t>L</w:t>
      </w:r>
      <w:r w:rsidR="00DE1F39">
        <w:rPr>
          <w:lang w:val="fr-FR"/>
        </w:rPr>
        <w:t>’</w:t>
      </w:r>
      <w:r w:rsidRPr="00AE698C">
        <w:rPr>
          <w:lang w:val="fr-FR"/>
        </w:rPr>
        <w:t>Agence nationale pour l</w:t>
      </w:r>
      <w:r w:rsidR="00DE1F39">
        <w:rPr>
          <w:lang w:val="fr-FR"/>
        </w:rPr>
        <w:t>’</w:t>
      </w:r>
      <w:r w:rsidRPr="00AE698C">
        <w:rPr>
          <w:lang w:val="fr-FR"/>
        </w:rPr>
        <w:t xml:space="preserve">emploi continue de fournir les services des </w:t>
      </w:r>
      <w:r w:rsidRPr="00AE698C">
        <w:rPr>
          <w:i/>
          <w:lang w:val="fr-FR"/>
        </w:rPr>
        <w:t>caravanes de l</w:t>
      </w:r>
      <w:r w:rsidR="00DE1F39">
        <w:rPr>
          <w:i/>
          <w:lang w:val="fr-FR"/>
        </w:rPr>
        <w:t>’</w:t>
      </w:r>
      <w:r w:rsidRPr="00AE698C">
        <w:rPr>
          <w:i/>
          <w:lang w:val="fr-FR"/>
        </w:rPr>
        <w:t>emploi</w:t>
      </w:r>
      <w:r w:rsidRPr="00AE698C">
        <w:rPr>
          <w:lang w:val="fr-FR"/>
        </w:rPr>
        <w:t xml:space="preserve"> axés sur les personnes qui à cause de leur état de santé, d</w:t>
      </w:r>
      <w:r w:rsidR="00DE1F39">
        <w:rPr>
          <w:lang w:val="fr-FR"/>
        </w:rPr>
        <w:t>’</w:t>
      </w:r>
      <w:r w:rsidRPr="00AE698C">
        <w:rPr>
          <w:lang w:val="fr-FR"/>
        </w:rPr>
        <w:t>un niveau d</w:t>
      </w:r>
      <w:r w:rsidR="00DE1F39">
        <w:rPr>
          <w:lang w:val="fr-FR"/>
        </w:rPr>
        <w:t>’</w:t>
      </w:r>
      <w:r w:rsidRPr="00AE698C">
        <w:rPr>
          <w:lang w:val="fr-FR"/>
        </w:rPr>
        <w:t>instruction insuffisant ou inadapté, de caractéristiques sociodémographiques ou pour d</w:t>
      </w:r>
      <w:r w:rsidR="00DE1F39">
        <w:rPr>
          <w:lang w:val="fr-FR"/>
        </w:rPr>
        <w:t>’</w:t>
      </w:r>
      <w:r w:rsidRPr="00AE698C">
        <w:rPr>
          <w:lang w:val="fr-FR"/>
        </w:rPr>
        <w:t>autres raisons ne sont pas inscrites à l</w:t>
      </w:r>
      <w:r w:rsidR="00DE1F39">
        <w:rPr>
          <w:lang w:val="fr-FR"/>
        </w:rPr>
        <w:t>’</w:t>
      </w:r>
      <w:r w:rsidRPr="00AE698C">
        <w:rPr>
          <w:lang w:val="fr-FR"/>
        </w:rPr>
        <w:t>Agence nationale pour l</w:t>
      </w:r>
      <w:r w:rsidR="00DE1F39">
        <w:rPr>
          <w:lang w:val="fr-FR"/>
        </w:rPr>
        <w:t>’</w:t>
      </w:r>
      <w:r w:rsidRPr="00AE698C">
        <w:rPr>
          <w:lang w:val="fr-FR"/>
        </w:rPr>
        <w:t>emploi, notamment les femmes des zones rurales. Ces services permettent d</w:t>
      </w:r>
      <w:r w:rsidR="00DE1F39">
        <w:rPr>
          <w:lang w:val="fr-FR"/>
        </w:rPr>
        <w:t>’</w:t>
      </w:r>
      <w:r w:rsidRPr="00AE698C">
        <w:rPr>
          <w:lang w:val="fr-FR"/>
        </w:rPr>
        <w:t>informer sur les conditions et la procédure à suivre pour s</w:t>
      </w:r>
      <w:r w:rsidR="00DE1F39">
        <w:rPr>
          <w:lang w:val="fr-FR"/>
        </w:rPr>
        <w:t>’</w:t>
      </w:r>
      <w:r w:rsidRPr="00AE698C">
        <w:rPr>
          <w:lang w:val="fr-FR"/>
        </w:rPr>
        <w:t>inscrire, sur les droits et les obligations des chômeurs, les services et les programmes de l</w:t>
      </w:r>
      <w:r w:rsidR="00DE1F39">
        <w:rPr>
          <w:lang w:val="fr-FR"/>
        </w:rPr>
        <w:t>’</w:t>
      </w:r>
      <w:r w:rsidRPr="00AE698C">
        <w:rPr>
          <w:lang w:val="fr-FR"/>
        </w:rPr>
        <w:t>Agence nationale pour l</w:t>
      </w:r>
      <w:r w:rsidR="00DE1F39">
        <w:rPr>
          <w:lang w:val="fr-FR"/>
        </w:rPr>
        <w:t>’</w:t>
      </w:r>
      <w:r w:rsidRPr="00AE698C">
        <w:rPr>
          <w:lang w:val="fr-FR"/>
        </w:rPr>
        <w:t>emploi, et sur les mesures de la politique en faveur de l</w:t>
      </w:r>
      <w:r w:rsidR="00DE1F39">
        <w:rPr>
          <w:lang w:val="fr-FR"/>
        </w:rPr>
        <w:t>’</w:t>
      </w:r>
      <w:r w:rsidRPr="00AE698C">
        <w:rPr>
          <w:lang w:val="fr-FR"/>
        </w:rPr>
        <w:t>emploi, de l</w:t>
      </w:r>
      <w:r w:rsidR="00DE1F39">
        <w:rPr>
          <w:lang w:val="fr-FR"/>
        </w:rPr>
        <w:t>’</w:t>
      </w:r>
      <w:r w:rsidRPr="00AE698C">
        <w:rPr>
          <w:lang w:val="fr-FR"/>
        </w:rPr>
        <w:t>inscription des chômeurs et de l</w:t>
      </w:r>
      <w:r w:rsidR="00DE1F39">
        <w:rPr>
          <w:lang w:val="fr-FR"/>
        </w:rPr>
        <w:t>’</w:t>
      </w:r>
      <w:r w:rsidRPr="00AE698C">
        <w:rPr>
          <w:lang w:val="fr-FR"/>
        </w:rPr>
        <w:t xml:space="preserve">orientation professionnelle. Ces activités sont menées par des équipes mobiles sur le terrain. </w:t>
      </w:r>
    </w:p>
    <w:p w14:paraId="0B0C189E" w14:textId="3C800B4B" w:rsidR="00AE698C" w:rsidRPr="00AE698C" w:rsidRDefault="00AE698C" w:rsidP="00172AC5">
      <w:pPr>
        <w:pStyle w:val="SingleTxt"/>
        <w:numPr>
          <w:ilvl w:val="0"/>
          <w:numId w:val="36"/>
        </w:numPr>
        <w:tabs>
          <w:tab w:val="left" w:pos="1742"/>
        </w:tabs>
        <w:rPr>
          <w:lang w:val="fr-FR"/>
        </w:rPr>
      </w:pPr>
      <w:r w:rsidRPr="00AE698C">
        <w:rPr>
          <w:lang w:val="fr-FR"/>
        </w:rPr>
        <w:t xml:space="preserve">Le </w:t>
      </w:r>
      <w:r w:rsidRPr="00AE698C">
        <w:rPr>
          <w:i/>
          <w:lang w:val="fr-FR"/>
        </w:rPr>
        <w:t xml:space="preserve">programme national de développement rural pour la période 2018-2020 </w:t>
      </w:r>
      <w:r w:rsidRPr="00AE698C">
        <w:rPr>
          <w:lang w:val="fr-FR"/>
        </w:rPr>
        <w:t>adopté en juillet 2018, prévoit une participation accrue des femmes en termes de possession des terres, d</w:t>
      </w:r>
      <w:r w:rsidR="00DE1F39">
        <w:rPr>
          <w:lang w:val="fr-FR"/>
        </w:rPr>
        <w:t>’</w:t>
      </w:r>
      <w:r w:rsidRPr="00AE698C">
        <w:rPr>
          <w:lang w:val="fr-FR"/>
        </w:rPr>
        <w:t xml:space="preserve">emploi, de prise de décisions au niveau local, etc. Des points supplémentaires sont décernés, lors de la notation et du classement des dossiers, aux candidatures pour des projets dirigés par des femmes </w:t>
      </w:r>
    </w:p>
    <w:p w14:paraId="6A1926E2" w14:textId="060E381E" w:rsidR="00AE698C" w:rsidRPr="00AE698C" w:rsidRDefault="00AE698C" w:rsidP="00172AC5">
      <w:pPr>
        <w:pStyle w:val="SingleTxt"/>
        <w:numPr>
          <w:ilvl w:val="0"/>
          <w:numId w:val="36"/>
        </w:numPr>
        <w:tabs>
          <w:tab w:val="left" w:pos="1742"/>
        </w:tabs>
        <w:rPr>
          <w:lang w:val="fr-FR"/>
        </w:rPr>
      </w:pPr>
      <w:r w:rsidRPr="00AE698C">
        <w:rPr>
          <w:lang w:val="fr-FR"/>
        </w:rPr>
        <w:t>En outre, les incitations à l</w:t>
      </w:r>
      <w:r w:rsidR="00DE1F39">
        <w:rPr>
          <w:lang w:val="fr-FR"/>
        </w:rPr>
        <w:t>’</w:t>
      </w:r>
      <w:r w:rsidRPr="00AE698C">
        <w:rPr>
          <w:lang w:val="fr-FR"/>
        </w:rPr>
        <w:t xml:space="preserve">élaboration et à la mise en </w:t>
      </w:r>
      <w:r w:rsidR="0015207D" w:rsidRPr="00AE698C">
        <w:rPr>
          <w:lang w:val="fr-FR"/>
        </w:rPr>
        <w:t>œuvre</w:t>
      </w:r>
      <w:r w:rsidRPr="00AE698C">
        <w:rPr>
          <w:lang w:val="fr-FR"/>
        </w:rPr>
        <w:t xml:space="preserve"> de stratégies locales de développement rural sont réservées aux structures qui comptent dans leur équipe d</w:t>
      </w:r>
      <w:r w:rsidR="00DE1F39">
        <w:rPr>
          <w:lang w:val="fr-FR"/>
        </w:rPr>
        <w:t>’</w:t>
      </w:r>
      <w:r w:rsidRPr="00AE698C">
        <w:rPr>
          <w:lang w:val="fr-FR"/>
        </w:rPr>
        <w:t xml:space="preserve">encadrement des membres de groupements féminins formels ou informels du territoire du partenariat. </w:t>
      </w:r>
    </w:p>
    <w:p w14:paraId="61F5A2DC" w14:textId="2D105F13" w:rsidR="00AE698C" w:rsidRPr="00AE698C" w:rsidRDefault="00AE698C" w:rsidP="00172AC5">
      <w:pPr>
        <w:pStyle w:val="SingleTxt"/>
        <w:numPr>
          <w:ilvl w:val="0"/>
          <w:numId w:val="36"/>
        </w:numPr>
        <w:tabs>
          <w:tab w:val="left" w:pos="1742"/>
        </w:tabs>
        <w:rPr>
          <w:lang w:val="fr-FR"/>
        </w:rPr>
      </w:pPr>
      <w:r w:rsidRPr="00AE698C">
        <w:rPr>
          <w:lang w:val="fr-FR"/>
        </w:rPr>
        <w:t>Grâce à l</w:t>
      </w:r>
      <w:r w:rsidR="00DE1F39">
        <w:rPr>
          <w:lang w:val="fr-FR"/>
        </w:rPr>
        <w:t>’</w:t>
      </w:r>
      <w:r w:rsidRPr="00AE698C">
        <w:rPr>
          <w:lang w:val="fr-FR"/>
        </w:rPr>
        <w:t xml:space="preserve">élaboration du </w:t>
      </w:r>
      <w:r w:rsidRPr="00AE698C">
        <w:rPr>
          <w:i/>
          <w:lang w:val="fr-FR"/>
        </w:rPr>
        <w:t>règlement sur les conditions et les moyens d</w:t>
      </w:r>
      <w:r w:rsidR="00DE1F39">
        <w:rPr>
          <w:i/>
          <w:lang w:val="fr-FR"/>
        </w:rPr>
        <w:t>’</w:t>
      </w:r>
      <w:r w:rsidRPr="00AE698C">
        <w:rPr>
          <w:i/>
          <w:lang w:val="fr-FR"/>
        </w:rPr>
        <w:t>exercer les droits à l</w:t>
      </w:r>
      <w:r w:rsidR="00DE1F39">
        <w:rPr>
          <w:i/>
          <w:lang w:val="fr-FR"/>
        </w:rPr>
        <w:t>’</w:t>
      </w:r>
      <w:r w:rsidRPr="00AE698C">
        <w:rPr>
          <w:i/>
          <w:lang w:val="fr-FR"/>
        </w:rPr>
        <w:t>obtention d</w:t>
      </w:r>
      <w:r w:rsidR="00DE1F39">
        <w:rPr>
          <w:i/>
          <w:lang w:val="fr-FR"/>
        </w:rPr>
        <w:t>’</w:t>
      </w:r>
      <w:r w:rsidRPr="00AE698C">
        <w:rPr>
          <w:i/>
          <w:lang w:val="fr-FR"/>
        </w:rPr>
        <w:t>un prêt</w:t>
      </w:r>
      <w:r w:rsidRPr="00AE698C">
        <w:rPr>
          <w:lang w:val="fr-FR"/>
        </w:rPr>
        <w:t>, le ministère de l</w:t>
      </w:r>
      <w:r w:rsidR="00DE1F39">
        <w:rPr>
          <w:lang w:val="fr-FR"/>
        </w:rPr>
        <w:t>’</w:t>
      </w:r>
      <w:r w:rsidRPr="00AE698C">
        <w:rPr>
          <w:lang w:val="fr-FR"/>
        </w:rPr>
        <w:t>Agriculture, des forêts et de la gestion de l</w:t>
      </w:r>
      <w:r w:rsidR="00DE1F39">
        <w:rPr>
          <w:lang w:val="fr-FR"/>
        </w:rPr>
        <w:t>’</w:t>
      </w:r>
      <w:r w:rsidRPr="00AE698C">
        <w:rPr>
          <w:lang w:val="fr-FR"/>
        </w:rPr>
        <w:t>eau a facilité l</w:t>
      </w:r>
      <w:r w:rsidR="00DE1F39">
        <w:rPr>
          <w:lang w:val="fr-FR"/>
        </w:rPr>
        <w:t>’</w:t>
      </w:r>
      <w:r w:rsidRPr="00AE698C">
        <w:rPr>
          <w:lang w:val="fr-FR"/>
        </w:rPr>
        <w:t xml:space="preserve">accès aux prêts en subventionnant le paiement des intérêts. </w:t>
      </w:r>
    </w:p>
    <w:p w14:paraId="2775CE4E" w14:textId="6D325B9C" w:rsidR="00AE698C" w:rsidRPr="00AE698C" w:rsidRDefault="00AE698C" w:rsidP="00172AC5">
      <w:pPr>
        <w:pStyle w:val="SingleTxt"/>
        <w:numPr>
          <w:ilvl w:val="0"/>
          <w:numId w:val="36"/>
        </w:numPr>
        <w:tabs>
          <w:tab w:val="left" w:pos="1742"/>
        </w:tabs>
        <w:rPr>
          <w:b/>
          <w:lang w:val="fr-FR"/>
        </w:rPr>
      </w:pPr>
      <w:r w:rsidRPr="00AE698C">
        <w:rPr>
          <w:lang w:val="fr-FR"/>
        </w:rPr>
        <w:lastRenderedPageBreak/>
        <w:t>Pour les investissements dans les secteurs de l</w:t>
      </w:r>
      <w:r w:rsidR="00DE1F39">
        <w:rPr>
          <w:lang w:val="fr-FR"/>
        </w:rPr>
        <w:t>’</w:t>
      </w:r>
      <w:r w:rsidRPr="00AE698C">
        <w:rPr>
          <w:lang w:val="fr-FR"/>
        </w:rPr>
        <w:t>agriculture, de la fruiticulture, de la viticulture, du maraîchage et de la floriculture, ainsi que dans la mécanisation agricole, il est prévu de faciliter l</w:t>
      </w:r>
      <w:r w:rsidR="00DE1F39">
        <w:rPr>
          <w:lang w:val="fr-FR"/>
        </w:rPr>
        <w:t>’</w:t>
      </w:r>
      <w:r w:rsidRPr="00AE698C">
        <w:rPr>
          <w:lang w:val="fr-FR"/>
        </w:rPr>
        <w:t>accès des femmes au microcrédit. Si le bénéficiaire d</w:t>
      </w:r>
      <w:r w:rsidR="00DE1F39">
        <w:rPr>
          <w:lang w:val="fr-FR"/>
        </w:rPr>
        <w:t>’</w:t>
      </w:r>
      <w:r w:rsidRPr="00AE698C">
        <w:rPr>
          <w:lang w:val="fr-FR"/>
        </w:rPr>
        <w:t>un prêt est une femme personne physique ou gérante d</w:t>
      </w:r>
      <w:r w:rsidR="00DE1F39">
        <w:rPr>
          <w:lang w:val="fr-FR"/>
        </w:rPr>
        <w:t>’</w:t>
      </w:r>
      <w:r w:rsidRPr="00AE698C">
        <w:rPr>
          <w:lang w:val="fr-FR"/>
        </w:rPr>
        <w:t>une entreprise commerciale familiale, l</w:t>
      </w:r>
      <w:r w:rsidR="00DE1F39">
        <w:rPr>
          <w:lang w:val="fr-FR"/>
        </w:rPr>
        <w:t>’</w:t>
      </w:r>
      <w:r w:rsidRPr="00AE698C">
        <w:rPr>
          <w:lang w:val="fr-FR"/>
        </w:rPr>
        <w:t>accès au prêt est facilité par le subventionnement d</w:t>
      </w:r>
      <w:r w:rsidR="00DE1F39">
        <w:rPr>
          <w:lang w:val="fr-FR"/>
        </w:rPr>
        <w:t>’</w:t>
      </w:r>
      <w:r w:rsidRPr="00AE698C">
        <w:rPr>
          <w:lang w:val="fr-FR"/>
        </w:rPr>
        <w:t>une partie des intérêts.</w:t>
      </w:r>
    </w:p>
    <w:p w14:paraId="6D784DE4" w14:textId="04684C26" w:rsidR="00AE698C" w:rsidRPr="00AE698C" w:rsidRDefault="00AE698C" w:rsidP="00172AC5">
      <w:pPr>
        <w:pStyle w:val="SingleTxt"/>
        <w:numPr>
          <w:ilvl w:val="0"/>
          <w:numId w:val="36"/>
        </w:numPr>
        <w:tabs>
          <w:tab w:val="left" w:pos="1742"/>
        </w:tabs>
        <w:rPr>
          <w:lang w:val="fr-FR"/>
        </w:rPr>
      </w:pPr>
      <w:r w:rsidRPr="00AE698C">
        <w:rPr>
          <w:lang w:val="fr-FR"/>
        </w:rPr>
        <w:t xml:space="preserve">La </w:t>
      </w:r>
      <w:r w:rsidRPr="00AE698C">
        <w:rPr>
          <w:i/>
          <w:lang w:val="fr-FR"/>
        </w:rPr>
        <w:t xml:space="preserve">mise en </w:t>
      </w:r>
      <w:r w:rsidR="0015207D" w:rsidRPr="00AE698C">
        <w:rPr>
          <w:i/>
          <w:lang w:val="fr-FR"/>
        </w:rPr>
        <w:t>œuvre</w:t>
      </w:r>
      <w:r w:rsidRPr="00AE698C">
        <w:rPr>
          <w:i/>
          <w:lang w:val="fr-FR"/>
        </w:rPr>
        <w:t xml:space="preserve"> du programme IPARD II de la République de Serbie pour la période 2014-2020</w:t>
      </w:r>
      <w:r w:rsidRPr="00DE1F39">
        <w:rPr>
          <w:vertAlign w:val="superscript"/>
          <w:lang w:val="fr-FR"/>
        </w:rPr>
        <w:footnoteReference w:id="13"/>
      </w:r>
      <w:r w:rsidRPr="00AE698C">
        <w:rPr>
          <w:lang w:val="fr-FR"/>
        </w:rPr>
        <w:t xml:space="preserve"> a démarré le 25 décembre 2017. Ce programme donne également l</w:t>
      </w:r>
      <w:r w:rsidR="00DE1F39">
        <w:rPr>
          <w:lang w:val="fr-FR"/>
        </w:rPr>
        <w:t>’</w:t>
      </w:r>
      <w:r w:rsidRPr="00AE698C">
        <w:rPr>
          <w:lang w:val="fr-FR"/>
        </w:rPr>
        <w:t>avantage aux femmes et prévoit de mettre en place une série d</w:t>
      </w:r>
      <w:r w:rsidR="00DE1F39">
        <w:rPr>
          <w:lang w:val="fr-FR"/>
        </w:rPr>
        <w:t>’</w:t>
      </w:r>
      <w:r w:rsidRPr="00AE698C">
        <w:rPr>
          <w:lang w:val="fr-FR"/>
        </w:rPr>
        <w:t xml:space="preserve">incitations : investissements dans la propriété physique de ménages agricoles, mise en </w:t>
      </w:r>
      <w:r w:rsidR="0015207D" w:rsidRPr="00AE698C">
        <w:rPr>
          <w:lang w:val="fr-FR"/>
        </w:rPr>
        <w:t>œuvre</w:t>
      </w:r>
      <w:r w:rsidRPr="00AE698C">
        <w:rPr>
          <w:lang w:val="fr-FR"/>
        </w:rPr>
        <w:t xml:space="preserve"> de stratégies de développement local –</w:t>
      </w:r>
      <w:r>
        <w:rPr>
          <w:lang w:val="fr-FR"/>
        </w:rPr>
        <w:t xml:space="preserve"> accès LEADER, </w:t>
      </w:r>
      <w:r w:rsidRPr="00AE698C">
        <w:rPr>
          <w:lang w:val="fr-FR"/>
        </w:rPr>
        <w:t xml:space="preserve">diversification des ménages agricoles et développement des entreprises lorsque les demandeurs sont des femmes ou des entreprises dont les employés comptent au moins 30 % de femmes. </w:t>
      </w:r>
    </w:p>
    <w:p w14:paraId="3B510F93" w14:textId="30E73817" w:rsidR="00AE698C" w:rsidRPr="00AE698C" w:rsidRDefault="00AE698C" w:rsidP="00172AC5">
      <w:pPr>
        <w:pStyle w:val="SingleTxt"/>
        <w:numPr>
          <w:ilvl w:val="0"/>
          <w:numId w:val="36"/>
        </w:numPr>
        <w:tabs>
          <w:tab w:val="left" w:pos="1742"/>
        </w:tabs>
        <w:rPr>
          <w:lang w:val="fr-FR"/>
        </w:rPr>
      </w:pPr>
      <w:r w:rsidRPr="00AE698C">
        <w:rPr>
          <w:lang w:val="fr-FR"/>
        </w:rPr>
        <w:t>Le ministère de l</w:t>
      </w:r>
      <w:r w:rsidR="00DE1F39">
        <w:rPr>
          <w:lang w:val="fr-FR"/>
        </w:rPr>
        <w:t>’</w:t>
      </w:r>
      <w:r w:rsidRPr="00AE698C">
        <w:rPr>
          <w:lang w:val="fr-FR"/>
        </w:rPr>
        <w:t>Éducation, des sciences et du développement des technologies consacre beaucoup d</w:t>
      </w:r>
      <w:r w:rsidR="00DE1F39">
        <w:rPr>
          <w:lang w:val="fr-FR"/>
        </w:rPr>
        <w:t>’</w:t>
      </w:r>
      <w:r w:rsidRPr="00AE698C">
        <w:rPr>
          <w:lang w:val="fr-FR"/>
        </w:rPr>
        <w:t>efforts à la garantie d</w:t>
      </w:r>
      <w:r w:rsidR="00DE1F39">
        <w:rPr>
          <w:lang w:val="fr-FR"/>
        </w:rPr>
        <w:t>’</w:t>
      </w:r>
      <w:r w:rsidRPr="00AE698C">
        <w:rPr>
          <w:lang w:val="fr-FR"/>
        </w:rPr>
        <w:t>une éducation de qualité et accessible à tous aux mêmes conditions. Les collectivités locales financent le transport des enfants et de leurs accompagnants lorsque les établissements préscolaires sont distants de plus de deux kilomètres, des élèves du primaire lorsque leur école est à plus de quatre kilomètres</w:t>
      </w:r>
      <w:r>
        <w:rPr>
          <w:lang w:val="fr-FR"/>
        </w:rPr>
        <w:t> </w:t>
      </w:r>
      <w:r w:rsidRPr="00AE698C">
        <w:rPr>
          <w:lang w:val="fr-FR"/>
        </w:rPr>
        <w:t>; le transport, l</w:t>
      </w:r>
      <w:r w:rsidR="00DE1F39">
        <w:rPr>
          <w:lang w:val="fr-FR"/>
        </w:rPr>
        <w:t>’</w:t>
      </w:r>
      <w:r w:rsidRPr="00AE698C">
        <w:rPr>
          <w:lang w:val="fr-FR"/>
        </w:rPr>
        <w:t>hébergement et les repas des élèves souffrant de troubles du développement et de handicaps, et de leurs accompagnants, quelle que soit la distance entre leur lieu de résidence et l</w:t>
      </w:r>
      <w:r w:rsidR="00DE1F39">
        <w:rPr>
          <w:lang w:val="fr-FR"/>
        </w:rPr>
        <w:t>’</w:t>
      </w:r>
      <w:r w:rsidRPr="00AE698C">
        <w:rPr>
          <w:lang w:val="fr-FR"/>
        </w:rPr>
        <w:t>école</w:t>
      </w:r>
      <w:r>
        <w:rPr>
          <w:lang w:val="fr-FR"/>
        </w:rPr>
        <w:t> </w:t>
      </w:r>
      <w:r w:rsidRPr="00AE698C">
        <w:rPr>
          <w:lang w:val="fr-FR"/>
        </w:rPr>
        <w:t>; le transport des enfants et des élèves résidant sur le territoire de la collectivité locale lorsque l</w:t>
      </w:r>
      <w:r w:rsidR="00DE1F39">
        <w:rPr>
          <w:lang w:val="fr-FR"/>
        </w:rPr>
        <w:t>’</w:t>
      </w:r>
      <w:r w:rsidRPr="00AE698C">
        <w:rPr>
          <w:lang w:val="fr-FR"/>
        </w:rPr>
        <w:t>école est à plus de quatre kilomètres et sur le territoire d</w:t>
      </w:r>
      <w:r w:rsidR="00DE1F39">
        <w:rPr>
          <w:lang w:val="fr-FR"/>
        </w:rPr>
        <w:t>’</w:t>
      </w:r>
      <w:r w:rsidRPr="00AE698C">
        <w:rPr>
          <w:lang w:val="fr-FR"/>
        </w:rPr>
        <w:t>une autre collectivité locale, à condition que cette école soit la plus proche de leur lieu de résidence</w:t>
      </w:r>
      <w:r w:rsidR="00F04216">
        <w:rPr>
          <w:lang w:val="fr-FR"/>
        </w:rPr>
        <w:t> </w:t>
      </w:r>
      <w:r w:rsidRPr="00AE698C">
        <w:rPr>
          <w:lang w:val="fr-FR"/>
        </w:rPr>
        <w:t>; et le transport des élèves participant aux concours nationaux et internationaux</w:t>
      </w:r>
      <w:r w:rsidRPr="00DE1F39">
        <w:rPr>
          <w:vertAlign w:val="superscript"/>
          <w:lang w:val="fr-FR"/>
        </w:rPr>
        <w:footnoteReference w:id="14"/>
      </w:r>
      <w:r w:rsidRPr="00AE698C">
        <w:rPr>
          <w:lang w:val="fr-FR"/>
        </w:rPr>
        <w:t>.</w:t>
      </w:r>
    </w:p>
    <w:p w14:paraId="2FCF5C09" w14:textId="45F57EAF" w:rsidR="00AE698C" w:rsidRDefault="00AE698C" w:rsidP="00172AC5">
      <w:pPr>
        <w:pStyle w:val="SingleTxt"/>
        <w:numPr>
          <w:ilvl w:val="0"/>
          <w:numId w:val="36"/>
        </w:numPr>
        <w:tabs>
          <w:tab w:val="left" w:pos="1742"/>
        </w:tabs>
        <w:rPr>
          <w:lang w:val="fr-FR"/>
        </w:rPr>
      </w:pPr>
      <w:r w:rsidRPr="00AE698C">
        <w:rPr>
          <w:lang w:val="fr-FR"/>
        </w:rPr>
        <w:t>En collaboration avec ONU Femmes et la Plateforme d</w:t>
      </w:r>
      <w:r w:rsidR="00DE1F39">
        <w:rPr>
          <w:lang w:val="fr-FR"/>
        </w:rPr>
        <w:t>’</w:t>
      </w:r>
      <w:r w:rsidRPr="00AE698C">
        <w:rPr>
          <w:lang w:val="fr-FR"/>
        </w:rPr>
        <w:t>émancipation des femmes de Serbie, avec l</w:t>
      </w:r>
      <w:r w:rsidR="00DE1F39">
        <w:rPr>
          <w:lang w:val="fr-FR"/>
        </w:rPr>
        <w:t>’</w:t>
      </w:r>
      <w:r w:rsidRPr="00AE698C">
        <w:rPr>
          <w:lang w:val="fr-FR"/>
        </w:rPr>
        <w:t>appui du Gouvernement suisse, la Journée internationale des femmes rurales a été célébrée le 15 octobre 2017, par une grande conférence à laquelle ont participé des femmes rurales et des représentants de la société civile. Lors de cette conférence, des priorités ont été définies pour l</w:t>
      </w:r>
      <w:r w:rsidR="00DE1F39">
        <w:rPr>
          <w:lang w:val="fr-FR"/>
        </w:rPr>
        <w:t>’</w:t>
      </w:r>
      <w:r w:rsidRPr="00AE698C">
        <w:rPr>
          <w:lang w:val="fr-FR"/>
        </w:rPr>
        <w:t>amélioration de la qualité de vie des femmes rurales et l</w:t>
      </w:r>
      <w:r w:rsidR="00DE1F39">
        <w:rPr>
          <w:lang w:val="fr-FR"/>
        </w:rPr>
        <w:t>’</w:t>
      </w:r>
      <w:r w:rsidRPr="00AE698C">
        <w:rPr>
          <w:lang w:val="fr-FR"/>
        </w:rPr>
        <w:t>égalité des sexes dans les pol</w:t>
      </w:r>
      <w:r>
        <w:rPr>
          <w:lang w:val="fr-FR"/>
        </w:rPr>
        <w:t>itiques de développement rural.</w:t>
      </w:r>
    </w:p>
    <w:p w14:paraId="5BA3D401" w14:textId="370923E6" w:rsidR="00AE698C" w:rsidRPr="00AE698C" w:rsidRDefault="00AE698C" w:rsidP="00AE698C">
      <w:pPr>
        <w:pStyle w:val="SingleTxt"/>
        <w:spacing w:after="0" w:line="120" w:lineRule="exact"/>
        <w:rPr>
          <w:sz w:val="10"/>
          <w:lang w:val="fr-FR"/>
        </w:rPr>
      </w:pPr>
    </w:p>
    <w:p w14:paraId="410A92BF" w14:textId="11283575" w:rsidR="00AE698C" w:rsidRDefault="00AE698C" w:rsidP="00AE69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E698C">
        <w:rPr>
          <w:lang w:val="fr-FR"/>
        </w:rPr>
        <w:tab/>
      </w:r>
      <w:r w:rsidRPr="00AE698C">
        <w:rPr>
          <w:lang w:val="fr-FR"/>
        </w:rPr>
        <w:tab/>
        <w:t xml:space="preserve">Femmes réfugiées </w:t>
      </w:r>
    </w:p>
    <w:p w14:paraId="4E977663" w14:textId="23A5863D" w:rsidR="00AE698C" w:rsidRPr="00AE698C" w:rsidRDefault="00AE698C" w:rsidP="00AE698C">
      <w:pPr>
        <w:pStyle w:val="SingleTxt"/>
        <w:spacing w:after="0" w:line="120" w:lineRule="exact"/>
        <w:rPr>
          <w:sz w:val="10"/>
          <w:lang w:val="fr-FR"/>
        </w:rPr>
      </w:pPr>
    </w:p>
    <w:p w14:paraId="4DAC7C2F" w14:textId="47BA86BA" w:rsidR="00AE698C" w:rsidRPr="00AE698C" w:rsidRDefault="00AE698C" w:rsidP="00172AC5">
      <w:pPr>
        <w:pStyle w:val="SingleTxt"/>
        <w:numPr>
          <w:ilvl w:val="0"/>
          <w:numId w:val="36"/>
        </w:numPr>
        <w:tabs>
          <w:tab w:val="left" w:pos="1742"/>
        </w:tabs>
        <w:rPr>
          <w:lang w:val="fr-FR"/>
        </w:rPr>
      </w:pPr>
      <w:r w:rsidRPr="00AE698C">
        <w:rPr>
          <w:lang w:val="fr-FR"/>
        </w:rPr>
        <w:t xml:space="preserve">La </w:t>
      </w:r>
      <w:r w:rsidRPr="00AE698C">
        <w:rPr>
          <w:i/>
          <w:lang w:val="fr-FR"/>
        </w:rPr>
        <w:t>loi sur la prévention de la violence domestique</w:t>
      </w:r>
      <w:r w:rsidRPr="00AE698C">
        <w:rPr>
          <w:lang w:val="fr-FR"/>
        </w:rPr>
        <w:t xml:space="preserve"> s</w:t>
      </w:r>
      <w:r w:rsidR="00DE1F39">
        <w:rPr>
          <w:lang w:val="fr-FR"/>
        </w:rPr>
        <w:t>’</w:t>
      </w:r>
      <w:r w:rsidRPr="00AE698C">
        <w:rPr>
          <w:lang w:val="fr-FR"/>
        </w:rPr>
        <w:t>applique sans discrimination à toutes les personnes, y compris les demandeurs d</w:t>
      </w:r>
      <w:r w:rsidR="00DE1F39">
        <w:rPr>
          <w:lang w:val="fr-FR"/>
        </w:rPr>
        <w:t>’</w:t>
      </w:r>
      <w:r w:rsidRPr="00AE698C">
        <w:rPr>
          <w:lang w:val="fr-FR"/>
        </w:rPr>
        <w:t xml:space="preserve">asile. </w:t>
      </w:r>
    </w:p>
    <w:p w14:paraId="6D24E5E5" w14:textId="38C23F74" w:rsidR="00AE698C" w:rsidRPr="00AE698C" w:rsidRDefault="00AE698C" w:rsidP="00172AC5">
      <w:pPr>
        <w:pStyle w:val="SingleTxt"/>
        <w:numPr>
          <w:ilvl w:val="0"/>
          <w:numId w:val="36"/>
        </w:numPr>
        <w:tabs>
          <w:tab w:val="left" w:pos="1742"/>
        </w:tabs>
        <w:rPr>
          <w:lang w:val="fr-FR"/>
        </w:rPr>
      </w:pPr>
      <w:r w:rsidRPr="00AE698C">
        <w:rPr>
          <w:lang w:val="fr-FR"/>
        </w:rPr>
        <w:t xml:space="preserve">La </w:t>
      </w:r>
      <w:r w:rsidRPr="00AE698C">
        <w:rPr>
          <w:i/>
          <w:lang w:val="fr-FR"/>
        </w:rPr>
        <w:t>loi sur l</w:t>
      </w:r>
      <w:r w:rsidR="00DE1F39">
        <w:rPr>
          <w:i/>
          <w:lang w:val="fr-FR"/>
        </w:rPr>
        <w:t>’</w:t>
      </w:r>
      <w:r w:rsidRPr="00AE698C">
        <w:rPr>
          <w:i/>
          <w:lang w:val="fr-FR"/>
        </w:rPr>
        <w:t xml:space="preserve">asile et la protection temporaire </w:t>
      </w:r>
      <w:r w:rsidRPr="00AE698C">
        <w:rPr>
          <w:lang w:val="fr-FR"/>
        </w:rPr>
        <w:t>interdit toute forme de discrimination pour quelque motif que ce soit. De plus, elle stipule que lorsqu</w:t>
      </w:r>
      <w:r w:rsidR="00DE1F39">
        <w:rPr>
          <w:lang w:val="fr-FR"/>
        </w:rPr>
        <w:t>’</w:t>
      </w:r>
      <w:r w:rsidRPr="00AE698C">
        <w:rPr>
          <w:lang w:val="fr-FR"/>
        </w:rPr>
        <w:t>on détermine l</w:t>
      </w:r>
      <w:r w:rsidR="00DE1F39">
        <w:rPr>
          <w:lang w:val="fr-FR"/>
        </w:rPr>
        <w:t>’</w:t>
      </w:r>
      <w:r w:rsidRPr="00AE698C">
        <w:rPr>
          <w:lang w:val="fr-FR"/>
        </w:rPr>
        <w:t>intérêt supérieur d</w:t>
      </w:r>
      <w:r w:rsidR="00DE1F39">
        <w:rPr>
          <w:lang w:val="fr-FR"/>
        </w:rPr>
        <w:t>’</w:t>
      </w:r>
      <w:r w:rsidRPr="00AE698C">
        <w:rPr>
          <w:lang w:val="fr-FR"/>
        </w:rPr>
        <w:t>un mineur, on doit prendre en compte son bien-être, son développement social et son origine, son opinion en fonction de son âge et de sa maturité, le principe de l</w:t>
      </w:r>
      <w:r w:rsidR="00DE1F39">
        <w:rPr>
          <w:lang w:val="fr-FR"/>
        </w:rPr>
        <w:t>’</w:t>
      </w:r>
      <w:r w:rsidRPr="00AE698C">
        <w:rPr>
          <w:lang w:val="fr-FR"/>
        </w:rPr>
        <w:t>unité de la famille, sa protection et sa sécurité, surtout s</w:t>
      </w:r>
      <w:r w:rsidR="00DE1F39">
        <w:rPr>
          <w:lang w:val="fr-FR"/>
        </w:rPr>
        <w:t>’</w:t>
      </w:r>
      <w:r w:rsidRPr="00AE698C">
        <w:rPr>
          <w:lang w:val="fr-FR"/>
        </w:rPr>
        <w:t>il existe une probabilité qu</w:t>
      </w:r>
      <w:r w:rsidR="00DE1F39">
        <w:rPr>
          <w:lang w:val="fr-FR"/>
        </w:rPr>
        <w:t>’</w:t>
      </w:r>
      <w:r w:rsidRPr="00AE698C">
        <w:rPr>
          <w:lang w:val="fr-FR"/>
        </w:rPr>
        <w:t>il soit victime de traite des personnes ou de violence domestique et d</w:t>
      </w:r>
      <w:r w:rsidR="00DE1F39">
        <w:rPr>
          <w:lang w:val="fr-FR"/>
        </w:rPr>
        <w:t>’</w:t>
      </w:r>
      <w:r w:rsidRPr="00AE698C">
        <w:rPr>
          <w:lang w:val="fr-FR"/>
        </w:rPr>
        <w:t xml:space="preserve">autres formes de violence sexiste. </w:t>
      </w:r>
    </w:p>
    <w:p w14:paraId="3B9485B1" w14:textId="565E9B0E" w:rsidR="00AE698C" w:rsidRPr="00AE698C" w:rsidRDefault="00AE698C" w:rsidP="00172AC5">
      <w:pPr>
        <w:pStyle w:val="SingleTxt"/>
        <w:numPr>
          <w:ilvl w:val="0"/>
          <w:numId w:val="36"/>
        </w:numPr>
        <w:tabs>
          <w:tab w:val="left" w:pos="1742"/>
        </w:tabs>
        <w:rPr>
          <w:lang w:val="fr-FR"/>
        </w:rPr>
      </w:pPr>
      <w:r w:rsidRPr="00AE698C">
        <w:rPr>
          <w:lang w:val="fr-FR"/>
        </w:rPr>
        <w:t>La question de la gestion de la migration occupe une place importante dans les documents stratégiques régissant l</w:t>
      </w:r>
      <w:r w:rsidR="00DE1F39">
        <w:rPr>
          <w:lang w:val="fr-FR"/>
        </w:rPr>
        <w:t>’</w:t>
      </w:r>
      <w:r w:rsidRPr="00AE698C">
        <w:rPr>
          <w:lang w:val="fr-FR"/>
        </w:rPr>
        <w:t>adhésion de la République de Serbie à l</w:t>
      </w:r>
      <w:r w:rsidR="00DE1F39">
        <w:rPr>
          <w:lang w:val="fr-FR"/>
        </w:rPr>
        <w:t>’</w:t>
      </w:r>
      <w:r w:rsidRPr="00AE698C">
        <w:rPr>
          <w:lang w:val="fr-FR"/>
        </w:rPr>
        <w:t xml:space="preserve">UE. </w:t>
      </w:r>
    </w:p>
    <w:p w14:paraId="4BD9A8BF" w14:textId="175E0BAC" w:rsidR="00AE698C" w:rsidRPr="00AE698C" w:rsidRDefault="00AE698C" w:rsidP="00172AC5">
      <w:pPr>
        <w:pStyle w:val="SingleTxt"/>
        <w:numPr>
          <w:ilvl w:val="0"/>
          <w:numId w:val="36"/>
        </w:numPr>
        <w:tabs>
          <w:tab w:val="left" w:pos="1742"/>
        </w:tabs>
        <w:rPr>
          <w:lang w:val="fr-FR"/>
        </w:rPr>
      </w:pPr>
      <w:r w:rsidRPr="00AE698C">
        <w:rPr>
          <w:lang w:val="fr-FR"/>
        </w:rPr>
        <w:lastRenderedPageBreak/>
        <w:t>La République de Serbie a montré, par ses actions passées, qu</w:t>
      </w:r>
      <w:r w:rsidR="00DE1F39">
        <w:rPr>
          <w:lang w:val="fr-FR"/>
        </w:rPr>
        <w:t>’</w:t>
      </w:r>
      <w:r w:rsidRPr="00AE698C">
        <w:rPr>
          <w:lang w:val="fr-FR"/>
        </w:rPr>
        <w:t>elle pouvait réagir de manière adaptée et efficace à des vagues de migration soudaines, mobiliser des ressources spéciales et coordonner les activités de nombreuses parties prenantes afin de protéger leurs intérêts, d</w:t>
      </w:r>
      <w:r w:rsidR="00DE1F39">
        <w:rPr>
          <w:lang w:val="fr-FR"/>
        </w:rPr>
        <w:t>’</w:t>
      </w:r>
      <w:r w:rsidRPr="00AE698C">
        <w:rPr>
          <w:lang w:val="fr-FR"/>
        </w:rPr>
        <w:t>une part, et d</w:t>
      </w:r>
      <w:r w:rsidR="00DE1F39">
        <w:rPr>
          <w:lang w:val="fr-FR"/>
        </w:rPr>
        <w:t>’</w:t>
      </w:r>
      <w:r w:rsidRPr="00AE698C">
        <w:rPr>
          <w:lang w:val="fr-FR"/>
        </w:rPr>
        <w:t>apporter l</w:t>
      </w:r>
      <w:r w:rsidR="00DE1F39">
        <w:rPr>
          <w:lang w:val="fr-FR"/>
        </w:rPr>
        <w:t>’</w:t>
      </w:r>
      <w:r w:rsidRPr="00AE698C">
        <w:rPr>
          <w:lang w:val="fr-FR"/>
        </w:rPr>
        <w:t>aide nécessaire en protégeant les droits fondamentaux des migrants, d</w:t>
      </w:r>
      <w:r w:rsidR="00DE1F39">
        <w:rPr>
          <w:lang w:val="fr-FR"/>
        </w:rPr>
        <w:t>’</w:t>
      </w:r>
      <w:r w:rsidRPr="00AE698C">
        <w:rPr>
          <w:lang w:val="fr-FR"/>
        </w:rPr>
        <w:t xml:space="preserve">autre part. </w:t>
      </w:r>
    </w:p>
    <w:p w14:paraId="782B923B" w14:textId="1F766DEB" w:rsidR="00AE698C" w:rsidRPr="00AE698C" w:rsidRDefault="00AE698C" w:rsidP="00172AC5">
      <w:pPr>
        <w:pStyle w:val="SingleTxt"/>
        <w:numPr>
          <w:ilvl w:val="0"/>
          <w:numId w:val="36"/>
        </w:numPr>
        <w:tabs>
          <w:tab w:val="left" w:pos="1742"/>
        </w:tabs>
        <w:rPr>
          <w:lang w:val="fr-FR"/>
        </w:rPr>
      </w:pPr>
      <w:r w:rsidRPr="00AE698C">
        <w:rPr>
          <w:lang w:val="fr-FR"/>
        </w:rPr>
        <w:t>Les mesures prises pour décourager l</w:t>
      </w:r>
      <w:r w:rsidR="00DE1F39">
        <w:rPr>
          <w:lang w:val="fr-FR"/>
        </w:rPr>
        <w:t>’</w:t>
      </w:r>
      <w:r w:rsidRPr="00AE698C">
        <w:rPr>
          <w:lang w:val="fr-FR"/>
        </w:rPr>
        <w:t>entrée illégale sur le territoire de la République de Serbie, recevoir et accepter les migrants, ont renforcé l</w:t>
      </w:r>
      <w:r w:rsidR="00DE1F39">
        <w:rPr>
          <w:lang w:val="fr-FR"/>
        </w:rPr>
        <w:t>’</w:t>
      </w:r>
      <w:r w:rsidRPr="00AE698C">
        <w:rPr>
          <w:lang w:val="fr-FR"/>
        </w:rPr>
        <w:t>aide sanitaire et sociale apportée aux catégories vulnérables, l</w:t>
      </w:r>
      <w:r w:rsidR="00DE1F39">
        <w:rPr>
          <w:lang w:val="fr-FR"/>
        </w:rPr>
        <w:t>’</w:t>
      </w:r>
      <w:r w:rsidRPr="00AE698C">
        <w:rPr>
          <w:lang w:val="fr-FR"/>
        </w:rPr>
        <w:t>inclusion des enfants dans le système éducatif et la lutte contre l</w:t>
      </w:r>
      <w:r w:rsidR="00DE1F39">
        <w:rPr>
          <w:lang w:val="fr-FR"/>
        </w:rPr>
        <w:t>’</w:t>
      </w:r>
      <w:r w:rsidRPr="00AE698C">
        <w:rPr>
          <w:lang w:val="fr-FR"/>
        </w:rPr>
        <w:t>introduction clandestine de migrants. Elles ont exigé la réorganisation des services compétents, un nombre accru d</w:t>
      </w:r>
      <w:r w:rsidR="00DE1F39">
        <w:rPr>
          <w:lang w:val="fr-FR"/>
        </w:rPr>
        <w:t>’</w:t>
      </w:r>
      <w:r w:rsidRPr="00AE698C">
        <w:rPr>
          <w:lang w:val="fr-FR"/>
        </w:rPr>
        <w:t>opérateurs, des formations supplémentaires du personnel, l</w:t>
      </w:r>
      <w:r w:rsidR="00DE1F39">
        <w:rPr>
          <w:lang w:val="fr-FR"/>
        </w:rPr>
        <w:t>’</w:t>
      </w:r>
      <w:r w:rsidRPr="00AE698C">
        <w:rPr>
          <w:lang w:val="fr-FR"/>
        </w:rPr>
        <w:t xml:space="preserve">achat des équipements et appareils nécessaires, une coopération renforcée avec les pays de la région, etc. </w:t>
      </w:r>
    </w:p>
    <w:p w14:paraId="3A95E263" w14:textId="3145544B" w:rsidR="00AE698C" w:rsidRPr="00AE698C" w:rsidRDefault="00AE698C" w:rsidP="00172AC5">
      <w:pPr>
        <w:pStyle w:val="SingleTxt"/>
        <w:numPr>
          <w:ilvl w:val="0"/>
          <w:numId w:val="36"/>
        </w:numPr>
        <w:tabs>
          <w:tab w:val="left" w:pos="1742"/>
        </w:tabs>
        <w:rPr>
          <w:lang w:val="fr-FR"/>
        </w:rPr>
      </w:pPr>
      <w:r w:rsidRPr="00AE698C">
        <w:rPr>
          <w:lang w:val="fr-FR"/>
        </w:rPr>
        <w:t>En septembre 2018, 15 centres sont opérationnels (cinq centres permanents pour demandeurs d</w:t>
      </w:r>
      <w:r w:rsidR="00DE1F39">
        <w:rPr>
          <w:lang w:val="fr-FR"/>
        </w:rPr>
        <w:t>’</w:t>
      </w:r>
      <w:r w:rsidRPr="00AE698C">
        <w:rPr>
          <w:lang w:val="fr-FR"/>
        </w:rPr>
        <w:t>asile et 10 centres de réception, dont trois fermés temporairement) pour une capacité totale de 6 000 lits. Actuellement, les capacités de logement sont satisfaisantes. Le Commissariat aux réfugiés et à la migration a fermé temporairement trois centres d</w:t>
      </w:r>
      <w:r w:rsidR="00DE1F39">
        <w:rPr>
          <w:lang w:val="fr-FR"/>
        </w:rPr>
        <w:t>’</w:t>
      </w:r>
      <w:r w:rsidRPr="00AE698C">
        <w:rPr>
          <w:lang w:val="fr-FR"/>
        </w:rPr>
        <w:t>accueil de transit pour des questions de rationalisation du financement. Les fonds alloués au fonctionnement des infrastructures proviennent du budget et du Fonds fiduciaire pour la Syrie (MADAD), et s</w:t>
      </w:r>
      <w:r w:rsidR="00DE1F39">
        <w:rPr>
          <w:lang w:val="fr-FR"/>
        </w:rPr>
        <w:t>’</w:t>
      </w:r>
      <w:r w:rsidRPr="00AE698C">
        <w:rPr>
          <w:lang w:val="fr-FR"/>
        </w:rPr>
        <w:t>il n</w:t>
      </w:r>
      <w:r w:rsidR="00DE1F39">
        <w:rPr>
          <w:lang w:val="fr-FR"/>
        </w:rPr>
        <w:t>’</w:t>
      </w:r>
      <w:r w:rsidRPr="00AE698C">
        <w:rPr>
          <w:lang w:val="fr-FR"/>
        </w:rPr>
        <w:t>y a pas d</w:t>
      </w:r>
      <w:r w:rsidR="00DE1F39">
        <w:rPr>
          <w:lang w:val="fr-FR"/>
        </w:rPr>
        <w:t>’</w:t>
      </w:r>
      <w:r w:rsidRPr="00AE698C">
        <w:rPr>
          <w:lang w:val="fr-FR"/>
        </w:rPr>
        <w:t>augmentation du nombre de migrants, ils seront suffisants d</w:t>
      </w:r>
      <w:r w:rsidR="00DE1F39">
        <w:rPr>
          <w:lang w:val="fr-FR"/>
        </w:rPr>
        <w:t>’</w:t>
      </w:r>
      <w:r w:rsidRPr="00AE698C">
        <w:rPr>
          <w:lang w:val="fr-FR"/>
        </w:rPr>
        <w:t>ici la fin de l</w:t>
      </w:r>
      <w:r w:rsidR="00DE1F39">
        <w:rPr>
          <w:lang w:val="fr-FR"/>
        </w:rPr>
        <w:t>’</w:t>
      </w:r>
      <w:r w:rsidRPr="00AE698C">
        <w:rPr>
          <w:lang w:val="fr-FR"/>
        </w:rPr>
        <w:t>année. Outre les besoins de base (hébergement, nourriture, vêtements, produits d</w:t>
      </w:r>
      <w:r w:rsidR="00DE1F39">
        <w:rPr>
          <w:lang w:val="fr-FR"/>
        </w:rPr>
        <w:t>’</w:t>
      </w:r>
      <w:r w:rsidRPr="00AE698C">
        <w:rPr>
          <w:lang w:val="fr-FR"/>
        </w:rPr>
        <w:t>hygiène), les personnes accueillies dans les centres de réception reçoivent les services sociaux pertinents afin de prévenir les conflits, de mieux supporter l</w:t>
      </w:r>
      <w:r w:rsidR="00DE1F39">
        <w:rPr>
          <w:lang w:val="fr-FR"/>
        </w:rPr>
        <w:t>’</w:t>
      </w:r>
      <w:r w:rsidRPr="00AE698C">
        <w:rPr>
          <w:lang w:val="fr-FR"/>
        </w:rPr>
        <w:t xml:space="preserve">incertitude et de bénéficier de formations pour faciliter leur intégration ou leur réintégration grâce à des activités éducatives et professionnelles. </w:t>
      </w:r>
    </w:p>
    <w:p w14:paraId="231ABAAC" w14:textId="7424A496" w:rsidR="00AE698C" w:rsidRPr="00AE698C" w:rsidRDefault="00AE698C" w:rsidP="00172AC5">
      <w:pPr>
        <w:pStyle w:val="SingleTxt"/>
        <w:numPr>
          <w:ilvl w:val="0"/>
          <w:numId w:val="36"/>
        </w:numPr>
        <w:tabs>
          <w:tab w:val="left" w:pos="1742"/>
        </w:tabs>
        <w:rPr>
          <w:lang w:val="fr-FR"/>
        </w:rPr>
      </w:pPr>
      <w:r w:rsidRPr="00AE698C">
        <w:rPr>
          <w:lang w:val="fr-FR"/>
        </w:rPr>
        <w:t>Pour l</w:t>
      </w:r>
      <w:r w:rsidR="00DE1F39">
        <w:rPr>
          <w:lang w:val="fr-FR"/>
        </w:rPr>
        <w:t>’</w:t>
      </w:r>
      <w:r w:rsidRPr="00AE698C">
        <w:rPr>
          <w:lang w:val="fr-FR"/>
        </w:rPr>
        <w:t>année scolaire 2018/2019, tous les enfants migrants âgés de 7 à 14 ans ont suivi le programme du système éducatif obligatoire. Les enfants d</w:t>
      </w:r>
      <w:r w:rsidR="00DE1F39">
        <w:rPr>
          <w:lang w:val="fr-FR"/>
        </w:rPr>
        <w:t>’</w:t>
      </w:r>
      <w:r w:rsidRPr="00AE698C">
        <w:rPr>
          <w:lang w:val="fr-FR"/>
        </w:rPr>
        <w:t>âge préscolaire ont suivi le programme préscolaire obligatoire (de 5 ans et demi à 6 ans et demi), et les inscriptions dans le secondaire ont été faites en fonction des possibilités des établissements et des centres d</w:t>
      </w:r>
      <w:r w:rsidR="00DE1F39">
        <w:rPr>
          <w:lang w:val="fr-FR"/>
        </w:rPr>
        <w:t>’</w:t>
      </w:r>
      <w:r w:rsidRPr="00AE698C">
        <w:rPr>
          <w:lang w:val="fr-FR"/>
        </w:rPr>
        <w:t xml:space="preserve">intérêt des jeunes migrants. </w:t>
      </w:r>
    </w:p>
    <w:p w14:paraId="53780FA1" w14:textId="61D50DAE" w:rsidR="00AE698C" w:rsidRPr="00AE698C" w:rsidRDefault="00AE698C" w:rsidP="00172AC5">
      <w:pPr>
        <w:pStyle w:val="SingleTxt"/>
        <w:numPr>
          <w:ilvl w:val="0"/>
          <w:numId w:val="36"/>
        </w:numPr>
        <w:tabs>
          <w:tab w:val="left" w:pos="1742"/>
        </w:tabs>
        <w:rPr>
          <w:lang w:val="fr-FR"/>
        </w:rPr>
      </w:pPr>
      <w:r w:rsidRPr="00AE698C">
        <w:rPr>
          <w:lang w:val="fr-FR"/>
        </w:rPr>
        <w:t>Le personnel des centres de réception a suivi des formations et des informations sur la violence sexiste, le retour volontaire dans le pays d</w:t>
      </w:r>
      <w:r w:rsidR="00DE1F39">
        <w:rPr>
          <w:lang w:val="fr-FR"/>
        </w:rPr>
        <w:t>’</w:t>
      </w:r>
      <w:r w:rsidRPr="00AE698C">
        <w:rPr>
          <w:lang w:val="fr-FR"/>
        </w:rPr>
        <w:t>origine, les pays d</w:t>
      </w:r>
      <w:r w:rsidR="00DE1F39">
        <w:rPr>
          <w:lang w:val="fr-FR"/>
        </w:rPr>
        <w:t>’</w:t>
      </w:r>
      <w:r w:rsidRPr="00AE698C">
        <w:rPr>
          <w:lang w:val="fr-FR"/>
        </w:rPr>
        <w:t>origine des migrants, la violence à l</w:t>
      </w:r>
      <w:r w:rsidR="00DE1F39">
        <w:rPr>
          <w:lang w:val="fr-FR"/>
        </w:rPr>
        <w:t>’</w:t>
      </w:r>
      <w:r w:rsidRPr="00AE698C">
        <w:rPr>
          <w:lang w:val="fr-FR"/>
        </w:rPr>
        <w:t>égard des femmes, l</w:t>
      </w:r>
      <w:r w:rsidR="00DE1F39">
        <w:rPr>
          <w:lang w:val="fr-FR"/>
        </w:rPr>
        <w:t>’</w:t>
      </w:r>
      <w:r w:rsidRPr="00AE698C">
        <w:rPr>
          <w:lang w:val="fr-FR"/>
        </w:rPr>
        <w:t>orientation culturelle, le repérage rapide des signes de torture chez les migrants et les demandeurs d</w:t>
      </w:r>
      <w:r w:rsidR="00DE1F39">
        <w:rPr>
          <w:lang w:val="fr-FR"/>
        </w:rPr>
        <w:t>’</w:t>
      </w:r>
      <w:r w:rsidRPr="00AE698C">
        <w:rPr>
          <w:lang w:val="fr-FR"/>
        </w:rPr>
        <w:t>asile, la politique de migration et d</w:t>
      </w:r>
      <w:r w:rsidR="00DE1F39">
        <w:rPr>
          <w:lang w:val="fr-FR"/>
        </w:rPr>
        <w:t>’</w:t>
      </w:r>
      <w:r w:rsidRPr="00AE698C">
        <w:rPr>
          <w:lang w:val="fr-FR"/>
        </w:rPr>
        <w:t>asile, l</w:t>
      </w:r>
      <w:r w:rsidR="00DE1F39">
        <w:rPr>
          <w:lang w:val="fr-FR"/>
        </w:rPr>
        <w:t>’</w:t>
      </w:r>
      <w:r w:rsidRPr="00AE698C">
        <w:rPr>
          <w:lang w:val="fr-FR"/>
        </w:rPr>
        <w:t>égalité des sexes, la traite des personnes (identification et intégration des victimes de traite des personnes), l</w:t>
      </w:r>
      <w:r w:rsidR="00DE1F39">
        <w:rPr>
          <w:lang w:val="fr-FR"/>
        </w:rPr>
        <w:t>’</w:t>
      </w:r>
      <w:r w:rsidRPr="00AE698C">
        <w:rPr>
          <w:lang w:val="fr-FR"/>
        </w:rPr>
        <w:t>évaluation et la coordination des agents de terrain travaillant auprès des enfants et des familles, les droits de l</w:t>
      </w:r>
      <w:r w:rsidR="00DE1F39">
        <w:rPr>
          <w:lang w:val="fr-FR"/>
        </w:rPr>
        <w:t>’</w:t>
      </w:r>
      <w:r w:rsidRPr="00AE698C">
        <w:rPr>
          <w:lang w:val="fr-FR"/>
        </w:rPr>
        <w:t xml:space="preserve">homme. Tous les cas suspects sont immédiatement communiqués aux services compétents conformément aux procédures opérationnelles standard. </w:t>
      </w:r>
    </w:p>
    <w:p w14:paraId="3FFC87B4" w14:textId="7175CB36" w:rsidR="00AE698C" w:rsidRPr="00AE698C" w:rsidRDefault="00AE698C" w:rsidP="00172AC5">
      <w:pPr>
        <w:pStyle w:val="SingleTxt"/>
        <w:numPr>
          <w:ilvl w:val="0"/>
          <w:numId w:val="36"/>
        </w:numPr>
        <w:tabs>
          <w:tab w:val="left" w:pos="1742"/>
        </w:tabs>
        <w:rPr>
          <w:lang w:val="fr-FR"/>
        </w:rPr>
      </w:pPr>
      <w:r w:rsidRPr="00AE698C">
        <w:rPr>
          <w:lang w:val="fr-FR"/>
        </w:rPr>
        <w:t>Actuellement en République de Serbie, il y a encore 199 584 personnes déplacées dans leur propre pays. Après 19 années de déplacements de population, le taux de retours s</w:t>
      </w:r>
      <w:r w:rsidR="00DE1F39">
        <w:rPr>
          <w:lang w:val="fr-FR"/>
        </w:rPr>
        <w:t>’</w:t>
      </w:r>
      <w:r w:rsidRPr="00AE698C">
        <w:rPr>
          <w:lang w:val="fr-FR"/>
        </w:rPr>
        <w:t>inscrivant dans la durée est seulement de 1,9 %. Selon la dernière analyse de la situation et des besoins des personnes déplacées dans leur propre pays, en mai 2018 il y avait 16 644 personnes déplacées dans le besoin en Serbie (ménages qui actuellement n</w:t>
      </w:r>
      <w:r w:rsidR="00DE1F39">
        <w:rPr>
          <w:lang w:val="fr-FR"/>
        </w:rPr>
        <w:t>’</w:t>
      </w:r>
      <w:r w:rsidRPr="00AE698C">
        <w:rPr>
          <w:lang w:val="fr-FR"/>
        </w:rPr>
        <w:t>ont pas trouvé de logement et ne sont pas en mesure d</w:t>
      </w:r>
      <w:r w:rsidR="00DE1F39">
        <w:rPr>
          <w:lang w:val="fr-FR"/>
        </w:rPr>
        <w:t>’</w:t>
      </w:r>
      <w:r w:rsidRPr="00AE698C">
        <w:rPr>
          <w:lang w:val="fr-FR"/>
        </w:rPr>
        <w:t xml:space="preserve">en trouver par eux-mêmes). </w:t>
      </w:r>
    </w:p>
    <w:p w14:paraId="55EED3AA" w14:textId="303DFE82" w:rsidR="00AE698C" w:rsidRPr="00AE698C" w:rsidRDefault="00AE698C" w:rsidP="00172AC5">
      <w:pPr>
        <w:pStyle w:val="SingleTxt"/>
        <w:numPr>
          <w:ilvl w:val="0"/>
          <w:numId w:val="36"/>
        </w:numPr>
        <w:tabs>
          <w:tab w:val="left" w:pos="1742"/>
        </w:tabs>
        <w:rPr>
          <w:lang w:val="fr-FR"/>
        </w:rPr>
      </w:pPr>
      <w:r w:rsidRPr="00AE698C">
        <w:rPr>
          <w:lang w:val="fr-FR"/>
        </w:rPr>
        <w:t xml:space="preserve">Des mécanismes ont été créés aux niveaux central et local pour mettre en </w:t>
      </w:r>
      <w:r w:rsidR="0015207D" w:rsidRPr="00AE698C">
        <w:rPr>
          <w:lang w:val="fr-FR"/>
        </w:rPr>
        <w:t>œuvre</w:t>
      </w:r>
      <w:r w:rsidRPr="00AE698C">
        <w:rPr>
          <w:lang w:val="fr-FR"/>
        </w:rPr>
        <w:t xml:space="preserve"> tous types de programmes de soutien aux personnes déplacées dans leur propre pays en République de Serbie (don de matériel de construction pour démarrer une construction ou réhabiliter des bâtiments en mauvais état appartenant aux bénéficiaires</w:t>
      </w:r>
      <w:r w:rsidR="00F04216">
        <w:rPr>
          <w:lang w:val="fr-FR"/>
        </w:rPr>
        <w:t> </w:t>
      </w:r>
      <w:r w:rsidRPr="00AE698C">
        <w:rPr>
          <w:lang w:val="fr-FR"/>
        </w:rPr>
        <w:t>; achat de maisons avec jardin dans des villages</w:t>
      </w:r>
      <w:r w:rsidR="00F04216">
        <w:rPr>
          <w:lang w:val="fr-FR"/>
        </w:rPr>
        <w:t> </w:t>
      </w:r>
      <w:r w:rsidRPr="00AE698C">
        <w:rPr>
          <w:lang w:val="fr-FR"/>
        </w:rPr>
        <w:t xml:space="preserve">; fourniture et </w:t>
      </w:r>
      <w:r w:rsidRPr="00AE698C">
        <w:rPr>
          <w:lang w:val="fr-FR"/>
        </w:rPr>
        <w:lastRenderedPageBreak/>
        <w:t>construction de maisons préfabriquées</w:t>
      </w:r>
      <w:r w:rsidR="00F04216">
        <w:rPr>
          <w:lang w:val="fr-FR"/>
        </w:rPr>
        <w:t> </w:t>
      </w:r>
      <w:r w:rsidRPr="00AE698C">
        <w:rPr>
          <w:lang w:val="fr-FR"/>
        </w:rPr>
        <w:t>; octroi de logements sociaux dans des conditions protégées et d</w:t>
      </w:r>
      <w:r w:rsidR="00DE1F39">
        <w:rPr>
          <w:lang w:val="fr-FR"/>
        </w:rPr>
        <w:t>’</w:t>
      </w:r>
      <w:r w:rsidRPr="00AE698C">
        <w:rPr>
          <w:lang w:val="fr-FR"/>
        </w:rPr>
        <w:t>appartements à louer</w:t>
      </w:r>
      <w:r>
        <w:rPr>
          <w:lang w:val="fr-FR"/>
        </w:rPr>
        <w:t> </w:t>
      </w:r>
      <w:r w:rsidRPr="00AE698C">
        <w:rPr>
          <w:lang w:val="fr-FR"/>
        </w:rPr>
        <w:t>; octroi d</w:t>
      </w:r>
      <w:r w:rsidR="00DE1F39">
        <w:rPr>
          <w:lang w:val="fr-FR"/>
        </w:rPr>
        <w:t>’</w:t>
      </w:r>
      <w:r w:rsidRPr="00AE698C">
        <w:rPr>
          <w:lang w:val="fr-FR"/>
        </w:rPr>
        <w:t>une aide pour résoudre le problème des personnes déplacées qui résident dans ce qu</w:t>
      </w:r>
      <w:r w:rsidR="00DE1F39">
        <w:rPr>
          <w:lang w:val="fr-FR"/>
        </w:rPr>
        <w:t>’</w:t>
      </w:r>
      <w:r w:rsidRPr="00AE698C">
        <w:rPr>
          <w:lang w:val="fr-FR"/>
        </w:rPr>
        <w:t>on appelle des centres collectifs informels). Pour l</w:t>
      </w:r>
      <w:r w:rsidR="00DE1F39">
        <w:rPr>
          <w:lang w:val="fr-FR"/>
        </w:rPr>
        <w:t>’</w:t>
      </w:r>
      <w:r w:rsidRPr="00AE698C">
        <w:rPr>
          <w:lang w:val="fr-FR"/>
        </w:rPr>
        <w:t>amélioration de la situation des personnes déplacées dans leur propre pays, un budget de 268</w:t>
      </w:r>
      <w:r w:rsidR="00F04216">
        <w:rPr>
          <w:lang w:val="fr-FR"/>
        </w:rPr>
        <w:t> </w:t>
      </w:r>
      <w:r w:rsidRPr="00AE698C">
        <w:rPr>
          <w:lang w:val="fr-FR"/>
        </w:rPr>
        <w:t>millions de dinars serbes</w:t>
      </w:r>
      <w:r w:rsidRPr="00DE1F39">
        <w:rPr>
          <w:vertAlign w:val="superscript"/>
          <w:lang w:val="fr-FR"/>
        </w:rPr>
        <w:footnoteReference w:id="15"/>
      </w:r>
      <w:r w:rsidRPr="00AE698C">
        <w:rPr>
          <w:lang w:val="fr-FR"/>
        </w:rPr>
        <w:t xml:space="preserve"> a été prévu pour 2018. Le plan prévoit de fermer tous les centres collectifs (un en Serbie centrale qui héberge 65 personnes déplacées et 8 sur le territoire de la province autonome du Kosovo-Metohija qui héberge 278 personnes déplacées). </w:t>
      </w:r>
    </w:p>
    <w:p w14:paraId="463B0157" w14:textId="4DA9D992" w:rsidR="00AE698C" w:rsidRPr="00AE698C" w:rsidRDefault="00AE698C" w:rsidP="00172AC5">
      <w:pPr>
        <w:pStyle w:val="SingleTxt"/>
        <w:numPr>
          <w:ilvl w:val="0"/>
          <w:numId w:val="36"/>
        </w:numPr>
        <w:tabs>
          <w:tab w:val="left" w:pos="1742"/>
        </w:tabs>
        <w:rPr>
          <w:lang w:val="fr-FR"/>
        </w:rPr>
      </w:pPr>
      <w:r w:rsidRPr="00AE698C">
        <w:rPr>
          <w:lang w:val="fr-FR"/>
        </w:rPr>
        <w:t>Aux termes de la loi sur les registres des naissances, des mariages et des décès</w:t>
      </w:r>
      <w:r w:rsidRPr="00DE1F39">
        <w:rPr>
          <w:vertAlign w:val="superscript"/>
          <w:lang w:val="fr-FR"/>
        </w:rPr>
        <w:footnoteReference w:id="16"/>
      </w:r>
      <w:r w:rsidRPr="00AE698C">
        <w:rPr>
          <w:lang w:val="fr-FR"/>
        </w:rPr>
        <w:t>, les activités de tenue des registres des naissances, des mariages et des décès, et le traitement des procédures de première instance dans la province autonome du Kosovo-Metohija, ont été confiées aux administrations urbaines des villes de Niš, Kragujevac, Kraljevo, Kruševac, Jagodina, Vranje et Leskovac. Toutes les mesures nécessaires ont été prises pour reconstituer les registres manquants ou endommagés à partir des données disponibles sur les citoyens, qui sont invités à remplir des formulaires et envoyer les justificatifs qu</w:t>
      </w:r>
      <w:r w:rsidR="00DE1F39">
        <w:rPr>
          <w:lang w:val="fr-FR"/>
        </w:rPr>
        <w:t>’</w:t>
      </w:r>
      <w:r w:rsidRPr="00AE698C">
        <w:rPr>
          <w:lang w:val="fr-FR"/>
        </w:rPr>
        <w:t xml:space="preserve">ils possèdent pour être réinscrits dans les registres. </w:t>
      </w:r>
    </w:p>
    <w:p w14:paraId="60AF459D" w14:textId="644C042B" w:rsidR="00AE698C" w:rsidRPr="00AE698C" w:rsidRDefault="00AE698C" w:rsidP="00172AC5">
      <w:pPr>
        <w:pStyle w:val="SingleTxt"/>
        <w:numPr>
          <w:ilvl w:val="0"/>
          <w:numId w:val="36"/>
        </w:numPr>
        <w:tabs>
          <w:tab w:val="left" w:pos="1742"/>
        </w:tabs>
        <w:rPr>
          <w:lang w:val="fr-FR"/>
        </w:rPr>
      </w:pPr>
      <w:r w:rsidRPr="00AE698C">
        <w:rPr>
          <w:lang w:val="fr-FR"/>
        </w:rPr>
        <w:t>Lorsque les autorités ne parviennent pas à reconstituer des données à partir des registres et si les personnes concernées n</w:t>
      </w:r>
      <w:r w:rsidR="00DE1F39">
        <w:rPr>
          <w:lang w:val="fr-FR"/>
        </w:rPr>
        <w:t>’</w:t>
      </w:r>
      <w:r w:rsidRPr="00AE698C">
        <w:rPr>
          <w:lang w:val="fr-FR"/>
        </w:rPr>
        <w:t xml:space="preserve">ont pas de justificatifs, les autorités prennent une décision sur la procédure appropriée afin que les personnes soient convoquées devant le tribunal compétent pour reconstituer les données manquantes. Une fois que le tribunal a pris sa décision définitive, les données sont consignées dans le registre approprié. </w:t>
      </w:r>
    </w:p>
    <w:p w14:paraId="3F0E7E2A" w14:textId="7E9CB5EA" w:rsidR="00AE698C" w:rsidRPr="00AE698C" w:rsidRDefault="00AE698C" w:rsidP="00172AC5">
      <w:pPr>
        <w:pStyle w:val="SingleTxt"/>
        <w:numPr>
          <w:ilvl w:val="0"/>
          <w:numId w:val="36"/>
        </w:numPr>
        <w:tabs>
          <w:tab w:val="left" w:pos="1742"/>
        </w:tabs>
        <w:rPr>
          <w:lang w:val="fr-FR"/>
        </w:rPr>
      </w:pPr>
      <w:r w:rsidRPr="00AE698C">
        <w:rPr>
          <w:lang w:val="fr-FR"/>
        </w:rPr>
        <w:t>La procédure d</w:t>
      </w:r>
      <w:r w:rsidR="00DE1F39">
        <w:rPr>
          <w:lang w:val="fr-FR"/>
        </w:rPr>
        <w:t>’</w:t>
      </w:r>
      <w:r w:rsidRPr="00AE698C">
        <w:rPr>
          <w:lang w:val="fr-FR"/>
        </w:rPr>
        <w:t xml:space="preserve">enregistrement des naissances est régie par les </w:t>
      </w:r>
      <w:r w:rsidRPr="00AE698C">
        <w:rPr>
          <w:i/>
          <w:lang w:val="fr-FR"/>
        </w:rPr>
        <w:t xml:space="preserve">Instructions de tenue des registres des naissances, des mariages et des décès, et sur les formes des registres </w:t>
      </w:r>
      <w:r w:rsidRPr="00AE698C">
        <w:rPr>
          <w:lang w:val="fr-FR"/>
        </w:rPr>
        <w:t>conformément à l</w:t>
      </w:r>
      <w:r w:rsidR="00DE1F39">
        <w:rPr>
          <w:lang w:val="fr-FR"/>
        </w:rPr>
        <w:t>’</w:t>
      </w:r>
      <w:r w:rsidRPr="00AE698C">
        <w:rPr>
          <w:lang w:val="fr-FR"/>
        </w:rPr>
        <w:t xml:space="preserve">Article 26 du Pacte international relatif aux droits civils et politiques. </w:t>
      </w:r>
    </w:p>
    <w:p w14:paraId="2A0ADAD7" w14:textId="0A81A5FF" w:rsidR="00AE698C" w:rsidRDefault="00AE698C" w:rsidP="00172AC5">
      <w:pPr>
        <w:pStyle w:val="SingleTxt"/>
        <w:numPr>
          <w:ilvl w:val="0"/>
          <w:numId w:val="36"/>
        </w:numPr>
        <w:tabs>
          <w:tab w:val="left" w:pos="1742"/>
        </w:tabs>
        <w:rPr>
          <w:lang w:val="fr-FR"/>
        </w:rPr>
      </w:pPr>
      <w:r w:rsidRPr="00AE698C">
        <w:rPr>
          <w:lang w:val="fr-FR"/>
        </w:rPr>
        <w:t>Les établissements de soins de santé ont l</w:t>
      </w:r>
      <w:r w:rsidR="00DE1F39">
        <w:rPr>
          <w:lang w:val="fr-FR"/>
        </w:rPr>
        <w:t>’</w:t>
      </w:r>
      <w:r w:rsidRPr="00AE698C">
        <w:rPr>
          <w:lang w:val="fr-FR"/>
        </w:rPr>
        <w:t>obligation de déclarer les naissances. Les déclarations de naissances effectuées par ces établissements sont des documents publics. Dès qu</w:t>
      </w:r>
      <w:r w:rsidR="00DE1F39">
        <w:rPr>
          <w:lang w:val="fr-FR"/>
        </w:rPr>
        <w:t>’</w:t>
      </w:r>
      <w:r w:rsidRPr="00AE698C">
        <w:rPr>
          <w:lang w:val="fr-FR"/>
        </w:rPr>
        <w:t>il les reçoit, l</w:t>
      </w:r>
      <w:r w:rsidR="00DE1F39">
        <w:rPr>
          <w:lang w:val="fr-FR"/>
        </w:rPr>
        <w:t>’</w:t>
      </w:r>
      <w:r w:rsidRPr="00AE698C">
        <w:rPr>
          <w:lang w:val="fr-FR"/>
        </w:rPr>
        <w:t>officier de l</w:t>
      </w:r>
      <w:r w:rsidR="00DE1F39">
        <w:rPr>
          <w:lang w:val="fr-FR"/>
        </w:rPr>
        <w:t>’</w:t>
      </w:r>
      <w:r w:rsidRPr="00AE698C">
        <w:rPr>
          <w:lang w:val="fr-FR"/>
        </w:rPr>
        <w:t>état-civil doit reporter les données sans tarder dans le registre des naissances.</w:t>
      </w:r>
    </w:p>
    <w:p w14:paraId="493D74CC" w14:textId="55B69318" w:rsidR="00172AC5" w:rsidRPr="00172AC5" w:rsidRDefault="00172AC5" w:rsidP="00172AC5">
      <w:pPr>
        <w:pStyle w:val="SingleTxt"/>
        <w:tabs>
          <w:tab w:val="clear" w:pos="1742"/>
        </w:tabs>
        <w:spacing w:after="0" w:line="120" w:lineRule="exact"/>
        <w:rPr>
          <w:sz w:val="10"/>
          <w:lang w:val="fr-FR"/>
        </w:rPr>
      </w:pPr>
    </w:p>
    <w:p w14:paraId="7D7A2BD0" w14:textId="274C5914" w:rsidR="00AE698C" w:rsidRDefault="00AE698C" w:rsidP="00172A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E698C">
        <w:rPr>
          <w:lang w:val="fr-FR"/>
        </w:rPr>
        <w:tab/>
      </w:r>
      <w:r w:rsidRPr="00AE698C">
        <w:rPr>
          <w:lang w:val="fr-FR"/>
        </w:rPr>
        <w:tab/>
        <w:t xml:space="preserve">Femmes appartenant à des groupes sociaux vulnérables </w:t>
      </w:r>
    </w:p>
    <w:p w14:paraId="37020BDD" w14:textId="648DEE95" w:rsidR="00172AC5" w:rsidRPr="00172AC5" w:rsidRDefault="00172AC5" w:rsidP="00172AC5">
      <w:pPr>
        <w:pStyle w:val="SingleTxt"/>
        <w:spacing w:after="0" w:line="120" w:lineRule="exact"/>
        <w:rPr>
          <w:sz w:val="10"/>
          <w:lang w:val="fr-FR"/>
        </w:rPr>
      </w:pPr>
    </w:p>
    <w:p w14:paraId="52EFD63A" w14:textId="7CA5D0D5" w:rsidR="00AE698C" w:rsidRDefault="00AE698C" w:rsidP="00172AC5">
      <w:pPr>
        <w:pStyle w:val="SingleTxt"/>
        <w:numPr>
          <w:ilvl w:val="0"/>
          <w:numId w:val="36"/>
        </w:numPr>
        <w:tabs>
          <w:tab w:val="left" w:pos="1742"/>
        </w:tabs>
        <w:rPr>
          <w:lang w:val="fr-FR"/>
        </w:rPr>
      </w:pPr>
      <w:r w:rsidRPr="00AE698C">
        <w:rPr>
          <w:lang w:val="fr-FR"/>
        </w:rPr>
        <w:t>La stratégie pour l</w:t>
      </w:r>
      <w:r w:rsidR="00DE1F39">
        <w:rPr>
          <w:lang w:val="fr-FR"/>
        </w:rPr>
        <w:t>’</w:t>
      </w:r>
      <w:r w:rsidRPr="00AE698C">
        <w:rPr>
          <w:lang w:val="fr-FR"/>
        </w:rPr>
        <w:t>inclusion sociale des hommes et des femmes roms dans la République de Serbie pour la période 2016-2025 a cinq objectifs spécifiques dans des domaines clés qui contribuent à la réalisation de l</w:t>
      </w:r>
      <w:r w:rsidR="00DE1F39">
        <w:rPr>
          <w:lang w:val="fr-FR"/>
        </w:rPr>
        <w:t>’</w:t>
      </w:r>
      <w:r w:rsidRPr="00AE698C">
        <w:rPr>
          <w:lang w:val="fr-FR"/>
        </w:rPr>
        <w:t>objectif global, à savoir l</w:t>
      </w:r>
      <w:r w:rsidR="00DE1F39">
        <w:rPr>
          <w:lang w:val="fr-FR"/>
        </w:rPr>
        <w:t>’</w:t>
      </w:r>
      <w:r w:rsidRPr="00AE698C">
        <w:rPr>
          <w:lang w:val="fr-FR"/>
        </w:rPr>
        <w:t>éducation, le logement, l</w:t>
      </w:r>
      <w:r w:rsidR="00DE1F39">
        <w:rPr>
          <w:lang w:val="fr-FR"/>
        </w:rPr>
        <w:t>’</w:t>
      </w:r>
      <w:r w:rsidRPr="00AE698C">
        <w:rPr>
          <w:lang w:val="fr-FR"/>
        </w:rPr>
        <w:t>emploi, la santé et la protection sociale, pour lesquels des résultats</w:t>
      </w:r>
      <w:r w:rsidR="00172AC5">
        <w:rPr>
          <w:lang w:val="fr-FR"/>
        </w:rPr>
        <w:t xml:space="preserve"> significatifs ont été obtenus.</w:t>
      </w:r>
    </w:p>
    <w:p w14:paraId="20BC5C18" w14:textId="7525D989" w:rsidR="00172AC5" w:rsidRPr="00172AC5" w:rsidRDefault="00172AC5" w:rsidP="00172AC5">
      <w:pPr>
        <w:pStyle w:val="SingleTxt"/>
        <w:tabs>
          <w:tab w:val="clear" w:pos="1742"/>
        </w:tabs>
        <w:spacing w:after="0" w:line="120" w:lineRule="exact"/>
        <w:rPr>
          <w:sz w:val="10"/>
          <w:lang w:val="fr-FR"/>
        </w:rPr>
      </w:pPr>
    </w:p>
    <w:p w14:paraId="55FA5F16" w14:textId="4123278D" w:rsidR="00AE698C" w:rsidRDefault="00AE698C" w:rsidP="00172AC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E698C">
        <w:rPr>
          <w:lang w:val="fr-FR"/>
        </w:rPr>
        <w:tab/>
      </w:r>
      <w:r w:rsidRPr="00AE698C">
        <w:rPr>
          <w:lang w:val="fr-FR"/>
        </w:rPr>
        <w:tab/>
        <w:t>Éducation</w:t>
      </w:r>
    </w:p>
    <w:p w14:paraId="7CB12EAD" w14:textId="3458969D" w:rsidR="00172AC5" w:rsidRPr="00172AC5" w:rsidRDefault="00172AC5" w:rsidP="00172AC5">
      <w:pPr>
        <w:pStyle w:val="SingleTxt"/>
        <w:spacing w:after="0" w:line="120" w:lineRule="exact"/>
        <w:rPr>
          <w:sz w:val="10"/>
          <w:lang w:val="fr-FR"/>
        </w:rPr>
      </w:pPr>
    </w:p>
    <w:p w14:paraId="011EBE0A" w14:textId="04D554FD" w:rsidR="00AE698C" w:rsidRPr="00AE698C" w:rsidRDefault="00AE698C" w:rsidP="00172AC5">
      <w:pPr>
        <w:pStyle w:val="SingleTxt"/>
        <w:numPr>
          <w:ilvl w:val="0"/>
          <w:numId w:val="36"/>
        </w:numPr>
        <w:tabs>
          <w:tab w:val="left" w:pos="1742"/>
        </w:tabs>
        <w:rPr>
          <w:lang w:val="fr-FR"/>
        </w:rPr>
      </w:pPr>
      <w:r w:rsidRPr="00AE698C">
        <w:rPr>
          <w:lang w:val="fr-FR"/>
        </w:rPr>
        <w:t>Il a été décidé qu</w:t>
      </w:r>
      <w:r w:rsidR="00DE1F39">
        <w:rPr>
          <w:lang w:val="fr-FR"/>
        </w:rPr>
        <w:t>’</w:t>
      </w:r>
      <w:r w:rsidRPr="00AE698C">
        <w:rPr>
          <w:lang w:val="fr-FR"/>
        </w:rPr>
        <w:t>une description de poste, des qualifications, des connaissances supplémentaires et une expérience professionnelle étaient nécessaires pour les activités d</w:t>
      </w:r>
      <w:r w:rsidR="00DE1F39">
        <w:rPr>
          <w:lang w:val="fr-FR"/>
        </w:rPr>
        <w:t>’</w:t>
      </w:r>
      <w:r w:rsidRPr="00AE698C">
        <w:rPr>
          <w:lang w:val="fr-FR"/>
        </w:rPr>
        <w:t>assistant pédagogique. 174 certificats ont été remis aux assistants pédagogiques qui ont suivi les modules de la formation agréée au Centre de formation permanente de l</w:t>
      </w:r>
      <w:r w:rsidR="00DE1F39">
        <w:rPr>
          <w:lang w:val="fr-FR"/>
        </w:rPr>
        <w:t>’</w:t>
      </w:r>
      <w:r w:rsidRPr="00AE698C">
        <w:rPr>
          <w:lang w:val="fr-FR"/>
        </w:rPr>
        <w:t xml:space="preserve">Université de Kragujevac. </w:t>
      </w:r>
    </w:p>
    <w:p w14:paraId="136D4074" w14:textId="738F6452" w:rsidR="00AE698C" w:rsidRPr="00AE698C" w:rsidRDefault="00AE698C" w:rsidP="00172AC5">
      <w:pPr>
        <w:pStyle w:val="SingleTxt"/>
        <w:numPr>
          <w:ilvl w:val="0"/>
          <w:numId w:val="36"/>
        </w:numPr>
        <w:tabs>
          <w:tab w:val="left" w:pos="1742"/>
        </w:tabs>
        <w:rPr>
          <w:lang w:val="fr-FR"/>
        </w:rPr>
      </w:pPr>
      <w:r w:rsidRPr="00AE698C">
        <w:rPr>
          <w:lang w:val="fr-FR"/>
        </w:rPr>
        <w:lastRenderedPageBreak/>
        <w:t>Le conseil d</w:t>
      </w:r>
      <w:r w:rsidR="00DE1F39">
        <w:rPr>
          <w:lang w:val="fr-FR"/>
        </w:rPr>
        <w:t>’</w:t>
      </w:r>
      <w:r w:rsidRPr="00AE698C">
        <w:rPr>
          <w:lang w:val="fr-FR"/>
        </w:rPr>
        <w:t xml:space="preserve">administration de la Banque mondiale a approuvé la réalisation du projet « Enseignement et éducation préscolaires inclusifs ». </w:t>
      </w:r>
    </w:p>
    <w:p w14:paraId="614E6C2B" w14:textId="7A4D8993" w:rsidR="00AE698C" w:rsidRPr="00AE698C" w:rsidRDefault="00AE698C" w:rsidP="00172AC5">
      <w:pPr>
        <w:pStyle w:val="SingleTxt"/>
        <w:numPr>
          <w:ilvl w:val="0"/>
          <w:numId w:val="36"/>
        </w:numPr>
        <w:tabs>
          <w:tab w:val="left" w:pos="1742"/>
        </w:tabs>
        <w:rPr>
          <w:lang w:val="fr-FR"/>
        </w:rPr>
      </w:pPr>
      <w:r w:rsidRPr="00AE698C">
        <w:rPr>
          <w:lang w:val="fr-FR"/>
        </w:rPr>
        <w:t>Pour l</w:t>
      </w:r>
      <w:r w:rsidR="00DE1F39">
        <w:rPr>
          <w:lang w:val="fr-FR"/>
        </w:rPr>
        <w:t>’</w:t>
      </w:r>
      <w:r w:rsidRPr="00AE698C">
        <w:rPr>
          <w:lang w:val="fr-FR"/>
        </w:rPr>
        <w:t>année scolaire 2016/2017, 711 élèves rapatriés réadmis étaient inscrits dans les écoles primaires de la République de Serbie, soit 369 filles et 342 garçons. Pour l</w:t>
      </w:r>
      <w:r w:rsidR="00DE1F39">
        <w:rPr>
          <w:lang w:val="fr-FR"/>
        </w:rPr>
        <w:t>’</w:t>
      </w:r>
      <w:r w:rsidRPr="00AE698C">
        <w:rPr>
          <w:lang w:val="fr-FR"/>
        </w:rPr>
        <w:t xml:space="preserve">année scolaire 2016/2017, 16 élèves rapatriés réadmis étaient inscrits dans les écoles secondaires de la République de Serbie, soit 6 filles et 9 garçons. </w:t>
      </w:r>
    </w:p>
    <w:p w14:paraId="1898A4A6" w14:textId="2731F95E" w:rsidR="00AE698C" w:rsidRPr="00AE698C" w:rsidRDefault="00AE698C" w:rsidP="00172AC5">
      <w:pPr>
        <w:pStyle w:val="SingleTxt"/>
        <w:numPr>
          <w:ilvl w:val="0"/>
          <w:numId w:val="36"/>
        </w:numPr>
        <w:tabs>
          <w:tab w:val="left" w:pos="1742"/>
        </w:tabs>
        <w:rPr>
          <w:lang w:val="fr-FR"/>
        </w:rPr>
      </w:pPr>
      <w:r w:rsidRPr="00AE698C">
        <w:rPr>
          <w:lang w:val="fr-FR"/>
        </w:rPr>
        <w:t>Pour l</w:t>
      </w:r>
      <w:r w:rsidR="00DE1F39">
        <w:rPr>
          <w:lang w:val="fr-FR"/>
        </w:rPr>
        <w:t>’</w:t>
      </w:r>
      <w:r w:rsidRPr="00AE698C">
        <w:rPr>
          <w:lang w:val="fr-FR"/>
        </w:rPr>
        <w:t>année scolaire 2016/2017, 2 264 élèves ont suivi les cours de langue rom avec des éléments de la culture nationale dans 72</w:t>
      </w:r>
      <w:r w:rsidR="00172AC5">
        <w:rPr>
          <w:lang w:val="fr-FR"/>
        </w:rPr>
        <w:t xml:space="preserve"> écoles primaires de Serbie. 55 </w:t>
      </w:r>
      <w:r w:rsidRPr="00AE698C">
        <w:rPr>
          <w:lang w:val="fr-FR"/>
        </w:rPr>
        <w:t xml:space="preserve">enseignants ont été recrutés pour enseigner la langue rom avec des éléments de la culture nationale. </w:t>
      </w:r>
    </w:p>
    <w:p w14:paraId="32F12935" w14:textId="005EE4F5" w:rsidR="00AE698C" w:rsidRPr="00AE698C" w:rsidRDefault="00AE698C" w:rsidP="00172AC5">
      <w:pPr>
        <w:pStyle w:val="SingleTxt"/>
        <w:numPr>
          <w:ilvl w:val="0"/>
          <w:numId w:val="36"/>
        </w:numPr>
        <w:tabs>
          <w:tab w:val="left" w:pos="1742"/>
        </w:tabs>
        <w:rPr>
          <w:lang w:val="fr-FR"/>
        </w:rPr>
      </w:pPr>
      <w:r w:rsidRPr="00AE698C">
        <w:rPr>
          <w:lang w:val="fr-FR"/>
        </w:rPr>
        <w:t>L</w:t>
      </w:r>
      <w:r w:rsidR="00DE1F39">
        <w:rPr>
          <w:lang w:val="fr-FR"/>
        </w:rPr>
        <w:t>’</w:t>
      </w:r>
      <w:r w:rsidRPr="00AE698C">
        <w:rPr>
          <w:lang w:val="fr-FR"/>
        </w:rPr>
        <w:t>inscription des enfants roms en première année du cycle secondaire pour l</w:t>
      </w:r>
      <w:r w:rsidR="00DE1F39">
        <w:rPr>
          <w:lang w:val="fr-FR"/>
        </w:rPr>
        <w:t>’</w:t>
      </w:r>
      <w:r w:rsidRPr="00AE698C">
        <w:rPr>
          <w:lang w:val="fr-FR"/>
        </w:rPr>
        <w:t>année scolaire 2017/2018 s</w:t>
      </w:r>
      <w:r w:rsidR="00DE1F39">
        <w:rPr>
          <w:lang w:val="fr-FR"/>
        </w:rPr>
        <w:t>’</w:t>
      </w:r>
      <w:r w:rsidRPr="00AE698C">
        <w:rPr>
          <w:lang w:val="fr-FR"/>
        </w:rPr>
        <w:t xml:space="preserve">est faite en application du </w:t>
      </w:r>
      <w:r w:rsidRPr="00AE698C">
        <w:rPr>
          <w:i/>
          <w:lang w:val="fr-FR"/>
        </w:rPr>
        <w:t>règlement sur l</w:t>
      </w:r>
      <w:r w:rsidR="00DE1F39">
        <w:rPr>
          <w:i/>
          <w:lang w:val="fr-FR"/>
        </w:rPr>
        <w:t>’</w:t>
      </w:r>
      <w:r w:rsidRPr="00AE698C">
        <w:rPr>
          <w:i/>
          <w:lang w:val="fr-FR"/>
        </w:rPr>
        <w:t>inscription des élèves au cycle secondaire réglementant l</w:t>
      </w:r>
      <w:r w:rsidR="00DE1F39">
        <w:rPr>
          <w:i/>
          <w:lang w:val="fr-FR"/>
        </w:rPr>
        <w:t>’</w:t>
      </w:r>
      <w:r w:rsidRPr="00AE698C">
        <w:rPr>
          <w:i/>
          <w:lang w:val="fr-FR"/>
        </w:rPr>
        <w:t>application de mesures d</w:t>
      </w:r>
      <w:r w:rsidR="00DE1F39">
        <w:rPr>
          <w:i/>
          <w:lang w:val="fr-FR"/>
        </w:rPr>
        <w:t>’</w:t>
      </w:r>
      <w:r w:rsidRPr="00AE698C">
        <w:rPr>
          <w:i/>
          <w:lang w:val="fr-FR"/>
        </w:rPr>
        <w:t xml:space="preserve">action positive pour les élèves roms dans les écoles secondaires. </w:t>
      </w:r>
      <w:r w:rsidRPr="00AE698C">
        <w:rPr>
          <w:lang w:val="fr-FR"/>
        </w:rPr>
        <w:t>Pour l</w:t>
      </w:r>
      <w:r w:rsidR="00DE1F39">
        <w:rPr>
          <w:lang w:val="fr-FR"/>
        </w:rPr>
        <w:t>’</w:t>
      </w:r>
      <w:r w:rsidRPr="00AE698C">
        <w:rPr>
          <w:lang w:val="fr-FR"/>
        </w:rPr>
        <w:t>année scolaire 2017/2018, un total de 2 546 élèves roms étaient inscrits dans les écoles secondaires. Pour l</w:t>
      </w:r>
      <w:r w:rsidR="00DE1F39">
        <w:rPr>
          <w:lang w:val="fr-FR"/>
        </w:rPr>
        <w:t>’</w:t>
      </w:r>
      <w:r w:rsidRPr="00AE698C">
        <w:rPr>
          <w:lang w:val="fr-FR"/>
        </w:rPr>
        <w:t>année scolaire 2016/2017, le ministère de l</w:t>
      </w:r>
      <w:r w:rsidR="00DE1F39">
        <w:rPr>
          <w:lang w:val="fr-FR"/>
        </w:rPr>
        <w:t>’</w:t>
      </w:r>
      <w:r w:rsidRPr="00AE698C">
        <w:rPr>
          <w:lang w:val="fr-FR"/>
        </w:rPr>
        <w:t>Éducation, des sciences et du développement technologique a octroyé 150 bourses d</w:t>
      </w:r>
      <w:r w:rsidR="00DE1F39">
        <w:rPr>
          <w:lang w:val="fr-FR"/>
        </w:rPr>
        <w:t>’</w:t>
      </w:r>
      <w:r w:rsidRPr="00AE698C">
        <w:rPr>
          <w:lang w:val="fr-FR"/>
        </w:rPr>
        <w:t>étude à des élèves roms ayant obtenu d</w:t>
      </w:r>
      <w:r w:rsidR="00DE1F39">
        <w:rPr>
          <w:lang w:val="fr-FR"/>
        </w:rPr>
        <w:t>’</w:t>
      </w:r>
      <w:r w:rsidRPr="00AE698C">
        <w:rPr>
          <w:lang w:val="fr-FR"/>
        </w:rPr>
        <w:t>excellents résultats dans les écoles secondaires. Pour l</w:t>
      </w:r>
      <w:r w:rsidR="00DE1F39">
        <w:rPr>
          <w:lang w:val="fr-FR"/>
        </w:rPr>
        <w:t>’</w:t>
      </w:r>
      <w:r w:rsidRPr="00AE698C">
        <w:rPr>
          <w:lang w:val="fr-FR"/>
        </w:rPr>
        <w:t>année scolaire 2016/2017, le programme d</w:t>
      </w:r>
      <w:r w:rsidR="00DE1F39">
        <w:rPr>
          <w:lang w:val="fr-FR"/>
        </w:rPr>
        <w:t>’</w:t>
      </w:r>
      <w:r w:rsidRPr="00AE698C">
        <w:rPr>
          <w:lang w:val="fr-FR"/>
        </w:rPr>
        <w:t>octroi de bourses s</w:t>
      </w:r>
      <w:r w:rsidR="00DE1F39">
        <w:rPr>
          <w:lang w:val="fr-FR"/>
        </w:rPr>
        <w:t>’</w:t>
      </w:r>
      <w:r w:rsidRPr="00AE698C">
        <w:rPr>
          <w:lang w:val="fr-FR"/>
        </w:rPr>
        <w:t>est poursuivi à partir du second semestre. Des bourses ont été octroyées à 500 élèves du secondaire ayant obtenu une note maximale entre 2,5 et 3,5. L</w:t>
      </w:r>
      <w:r w:rsidR="00DE1F39">
        <w:rPr>
          <w:lang w:val="fr-FR"/>
        </w:rPr>
        <w:t>’</w:t>
      </w:r>
      <w:r w:rsidRPr="00AE698C">
        <w:rPr>
          <w:lang w:val="fr-FR"/>
        </w:rPr>
        <w:t>appui à l</w:t>
      </w:r>
      <w:r w:rsidR="00DE1F39">
        <w:rPr>
          <w:lang w:val="fr-FR"/>
        </w:rPr>
        <w:t>’</w:t>
      </w:r>
      <w:r w:rsidRPr="00AE698C">
        <w:rPr>
          <w:lang w:val="fr-FR"/>
        </w:rPr>
        <w:t>inclusion, l</w:t>
      </w:r>
      <w:r w:rsidR="00DE1F39">
        <w:rPr>
          <w:lang w:val="fr-FR"/>
        </w:rPr>
        <w:t>’</w:t>
      </w:r>
      <w:r w:rsidRPr="00AE698C">
        <w:rPr>
          <w:lang w:val="fr-FR"/>
        </w:rPr>
        <w:t xml:space="preserve">apprentissage et les progrès des élèves roms dans les écoles secondaires est fourni par 201 enseignants ou mentors. </w:t>
      </w:r>
    </w:p>
    <w:p w14:paraId="68C692DE" w14:textId="46DD547C" w:rsidR="00AE698C" w:rsidRDefault="00AE698C" w:rsidP="00172AC5">
      <w:pPr>
        <w:pStyle w:val="SingleTxt"/>
        <w:numPr>
          <w:ilvl w:val="0"/>
          <w:numId w:val="36"/>
        </w:numPr>
        <w:tabs>
          <w:tab w:val="left" w:pos="1742"/>
        </w:tabs>
        <w:rPr>
          <w:lang w:val="fr-FR"/>
        </w:rPr>
      </w:pPr>
      <w:r w:rsidRPr="00AE698C">
        <w:rPr>
          <w:lang w:val="fr-FR"/>
        </w:rPr>
        <w:t>Dans le cadre des mesures d</w:t>
      </w:r>
      <w:r w:rsidR="00DE1F39">
        <w:rPr>
          <w:lang w:val="fr-FR"/>
        </w:rPr>
        <w:t>’</w:t>
      </w:r>
      <w:r w:rsidRPr="00AE698C">
        <w:rPr>
          <w:lang w:val="fr-FR"/>
        </w:rPr>
        <w:t>action positive en faveur de l</w:t>
      </w:r>
      <w:r w:rsidR="00DE1F39">
        <w:rPr>
          <w:lang w:val="fr-FR"/>
        </w:rPr>
        <w:t>’</w:t>
      </w:r>
      <w:r w:rsidRPr="00AE698C">
        <w:rPr>
          <w:lang w:val="fr-FR"/>
        </w:rPr>
        <w:t>inscription des élèves roms dans les établissements d</w:t>
      </w:r>
      <w:r w:rsidR="00DE1F39">
        <w:rPr>
          <w:lang w:val="fr-FR"/>
        </w:rPr>
        <w:t>’</w:t>
      </w:r>
      <w:r w:rsidRPr="00AE698C">
        <w:rPr>
          <w:lang w:val="fr-FR"/>
        </w:rPr>
        <w:t>enseignement supérieur mises en place par la République de Serbie pour l</w:t>
      </w:r>
      <w:r w:rsidR="00DE1F39">
        <w:rPr>
          <w:lang w:val="fr-FR"/>
        </w:rPr>
        <w:t>’</w:t>
      </w:r>
      <w:r w:rsidRPr="00AE698C">
        <w:rPr>
          <w:lang w:val="fr-FR"/>
        </w:rPr>
        <w:t>année scolaire 2016/2017, 182 élèves ont été inscrits (88 garçons et 94 filles). Pour l</w:t>
      </w:r>
      <w:r w:rsidR="00DE1F39">
        <w:rPr>
          <w:lang w:val="fr-FR"/>
        </w:rPr>
        <w:t>’</w:t>
      </w:r>
      <w:r w:rsidRPr="00AE698C">
        <w:rPr>
          <w:lang w:val="fr-FR"/>
        </w:rPr>
        <w:t>année scolaire 2016/2017, 1 895 roms ont suivi le cursus d</w:t>
      </w:r>
      <w:r w:rsidR="00DE1F39">
        <w:rPr>
          <w:lang w:val="fr-FR"/>
        </w:rPr>
        <w:t>’</w:t>
      </w:r>
      <w:r w:rsidRPr="00AE698C">
        <w:rPr>
          <w:lang w:val="fr-FR"/>
        </w:rPr>
        <w:t>enseignement primaire pour adultes.</w:t>
      </w:r>
    </w:p>
    <w:p w14:paraId="57A82DC8" w14:textId="69F12F64" w:rsidR="00172AC5" w:rsidRPr="00172AC5" w:rsidRDefault="00172AC5" w:rsidP="00172AC5">
      <w:pPr>
        <w:pStyle w:val="SingleTxt"/>
        <w:tabs>
          <w:tab w:val="clear" w:pos="1742"/>
        </w:tabs>
        <w:spacing w:after="0" w:line="120" w:lineRule="exact"/>
        <w:rPr>
          <w:sz w:val="10"/>
          <w:lang w:val="fr-FR"/>
        </w:rPr>
      </w:pPr>
    </w:p>
    <w:p w14:paraId="24FD4CD4" w14:textId="665AF8E7" w:rsidR="00AE698C" w:rsidRDefault="00AE698C" w:rsidP="00172AC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E698C">
        <w:rPr>
          <w:lang w:val="fr-FR"/>
        </w:rPr>
        <w:tab/>
      </w:r>
      <w:r w:rsidRPr="00AE698C">
        <w:rPr>
          <w:lang w:val="fr-FR"/>
        </w:rPr>
        <w:tab/>
        <w:t>Logement</w:t>
      </w:r>
    </w:p>
    <w:p w14:paraId="4B0B97A0" w14:textId="16C4A992" w:rsidR="00172AC5" w:rsidRPr="00172AC5" w:rsidRDefault="00172AC5" w:rsidP="00172AC5">
      <w:pPr>
        <w:pStyle w:val="SingleTxt"/>
        <w:spacing w:after="0" w:line="120" w:lineRule="exact"/>
        <w:rPr>
          <w:sz w:val="10"/>
          <w:lang w:val="fr-FR"/>
        </w:rPr>
      </w:pPr>
    </w:p>
    <w:p w14:paraId="2479365C" w14:textId="6339729D" w:rsidR="00AE698C" w:rsidRPr="00AE698C" w:rsidRDefault="00AE698C" w:rsidP="00172AC5">
      <w:pPr>
        <w:pStyle w:val="SingleTxt"/>
        <w:numPr>
          <w:ilvl w:val="0"/>
          <w:numId w:val="36"/>
        </w:numPr>
        <w:tabs>
          <w:tab w:val="left" w:pos="1742"/>
        </w:tabs>
        <w:rPr>
          <w:lang w:val="fr-FR"/>
        </w:rPr>
      </w:pPr>
      <w:r w:rsidRPr="00AE698C">
        <w:rPr>
          <w:lang w:val="fr-FR"/>
        </w:rPr>
        <w:t xml:space="preserve">Pour ce qui est de la question du logement, la </w:t>
      </w:r>
      <w:r w:rsidRPr="00AE698C">
        <w:rPr>
          <w:i/>
          <w:lang w:val="fr-FR"/>
        </w:rPr>
        <w:t>loi sur le logement et l</w:t>
      </w:r>
      <w:r w:rsidR="00DE1F39">
        <w:rPr>
          <w:i/>
          <w:lang w:val="fr-FR"/>
        </w:rPr>
        <w:t>’</w:t>
      </w:r>
      <w:r w:rsidRPr="00AE698C">
        <w:rPr>
          <w:i/>
          <w:lang w:val="fr-FR"/>
        </w:rPr>
        <w:t>entretien des immeubles d</w:t>
      </w:r>
      <w:r w:rsidR="00DE1F39">
        <w:rPr>
          <w:i/>
          <w:lang w:val="fr-FR"/>
        </w:rPr>
        <w:t>’</w:t>
      </w:r>
      <w:r w:rsidRPr="00AE698C">
        <w:rPr>
          <w:i/>
          <w:lang w:val="fr-FR"/>
        </w:rPr>
        <w:t>appartements</w:t>
      </w:r>
      <w:r w:rsidRPr="00AE698C">
        <w:rPr>
          <w:lang w:val="fr-FR"/>
        </w:rPr>
        <w:t xml:space="preserve"> de 2016</w:t>
      </w:r>
      <w:r w:rsidRPr="00DE1F39">
        <w:rPr>
          <w:vertAlign w:val="superscript"/>
          <w:lang w:val="fr-FR"/>
        </w:rPr>
        <w:footnoteReference w:id="17"/>
      </w:r>
      <w:r w:rsidRPr="00AE698C">
        <w:rPr>
          <w:lang w:val="fr-FR"/>
        </w:rPr>
        <w:t xml:space="preserve"> qui réglemente les conditions de déménagement et d</w:t>
      </w:r>
      <w:r w:rsidR="00DE1F39">
        <w:rPr>
          <w:lang w:val="fr-FR"/>
        </w:rPr>
        <w:t>’</w:t>
      </w:r>
      <w:r w:rsidRPr="00AE698C">
        <w:rPr>
          <w:lang w:val="fr-FR"/>
        </w:rPr>
        <w:t>emménagement est très importante.</w:t>
      </w:r>
    </w:p>
    <w:p w14:paraId="59273CFD" w14:textId="633BC94C" w:rsidR="00AE698C" w:rsidRPr="00AE698C" w:rsidRDefault="00AE698C" w:rsidP="00172AC5">
      <w:pPr>
        <w:pStyle w:val="SingleTxt"/>
        <w:numPr>
          <w:ilvl w:val="0"/>
          <w:numId w:val="36"/>
        </w:numPr>
        <w:tabs>
          <w:tab w:val="left" w:pos="1742"/>
        </w:tabs>
        <w:rPr>
          <w:lang w:val="fr-FR"/>
        </w:rPr>
      </w:pPr>
      <w:r w:rsidRPr="00AE698C">
        <w:rPr>
          <w:lang w:val="fr-FR"/>
        </w:rPr>
        <w:t>Le système d</w:t>
      </w:r>
      <w:r w:rsidR="00DE1F39">
        <w:rPr>
          <w:lang w:val="fr-FR"/>
        </w:rPr>
        <w:t>’</w:t>
      </w:r>
      <w:r w:rsidRPr="00AE698C">
        <w:rPr>
          <w:lang w:val="fr-FR"/>
        </w:rPr>
        <w:t>information géographique (SIG) pour les camps roms qui ne répondent pas aux normes a été créé et fonctionne. Toutes les collectivités locales reçoivent de la base SIG les données initiales sur les camps présents sur leur territoire afin d</w:t>
      </w:r>
      <w:r w:rsidR="00DE1F39">
        <w:rPr>
          <w:lang w:val="fr-FR"/>
        </w:rPr>
        <w:t>’</w:t>
      </w:r>
      <w:r w:rsidRPr="00AE698C">
        <w:rPr>
          <w:lang w:val="fr-FR"/>
        </w:rPr>
        <w:t>effectuer un suivi des progrès annuels de l</w:t>
      </w:r>
      <w:r w:rsidR="00DE1F39">
        <w:rPr>
          <w:lang w:val="fr-FR"/>
        </w:rPr>
        <w:t>’</w:t>
      </w:r>
      <w:r w:rsidRPr="00AE698C">
        <w:rPr>
          <w:lang w:val="fr-FR"/>
        </w:rPr>
        <w:t>amélioration des conditions de logement des roms dans ces camps. Dans le cadre de l</w:t>
      </w:r>
      <w:r w:rsidR="00DE1F39">
        <w:rPr>
          <w:lang w:val="fr-FR"/>
        </w:rPr>
        <w:t>’</w:t>
      </w:r>
      <w:r w:rsidRPr="00AE698C">
        <w:rPr>
          <w:lang w:val="fr-FR"/>
        </w:rPr>
        <w:t xml:space="preserve">élaboration de modèles de logements accessibles, un document a été rédigé et publié sur les modèles répondant aux besoins de la population rom. </w:t>
      </w:r>
    </w:p>
    <w:p w14:paraId="515BA062" w14:textId="2CB3EA81" w:rsidR="00AE698C" w:rsidRPr="00AE698C" w:rsidRDefault="00AE698C" w:rsidP="00172AC5">
      <w:pPr>
        <w:pStyle w:val="SingleTxt"/>
        <w:numPr>
          <w:ilvl w:val="0"/>
          <w:numId w:val="36"/>
        </w:numPr>
        <w:tabs>
          <w:tab w:val="left" w:pos="1742"/>
        </w:tabs>
        <w:rPr>
          <w:lang w:val="fr-FR"/>
        </w:rPr>
      </w:pPr>
      <w:r w:rsidRPr="00AE698C">
        <w:rPr>
          <w:lang w:val="fr-FR"/>
        </w:rPr>
        <w:t>Dans le cadre du projet d</w:t>
      </w:r>
      <w:r w:rsidR="00DE1F39">
        <w:rPr>
          <w:lang w:val="fr-FR"/>
        </w:rPr>
        <w:t>’</w:t>
      </w:r>
      <w:r w:rsidRPr="00AE698C">
        <w:rPr>
          <w:lang w:val="fr-FR"/>
        </w:rPr>
        <w:t>assistance technique « Améliorer les conditions de vie et de logement des Roms vivant actuellement dans des camps informels », une documentation technique est élaborée dans 13 collectivités locales supplémentaires afin d</w:t>
      </w:r>
      <w:r w:rsidR="00DE1F39">
        <w:rPr>
          <w:lang w:val="fr-FR"/>
        </w:rPr>
        <w:t>’</w:t>
      </w:r>
      <w:r w:rsidRPr="00AE698C">
        <w:rPr>
          <w:lang w:val="fr-FR"/>
        </w:rPr>
        <w:t xml:space="preserve">améliorer les conditions de logement des Roms. Dans ces 13 collectivités locales, des équipes mobiles seront mises en place pour aider les populations roms et appuyer la mise en </w:t>
      </w:r>
      <w:r w:rsidR="0015207D" w:rsidRPr="00AE698C">
        <w:rPr>
          <w:lang w:val="fr-FR"/>
        </w:rPr>
        <w:t>œuvre</w:t>
      </w:r>
      <w:r w:rsidRPr="00AE698C">
        <w:rPr>
          <w:lang w:val="fr-FR"/>
        </w:rPr>
        <w:t xml:space="preserve"> de projets d</w:t>
      </w:r>
      <w:r w:rsidR="00DE1F39">
        <w:rPr>
          <w:lang w:val="fr-FR"/>
        </w:rPr>
        <w:t>’</w:t>
      </w:r>
      <w:r w:rsidRPr="00AE698C">
        <w:rPr>
          <w:lang w:val="fr-FR"/>
        </w:rPr>
        <w:t>infrastructures également financés par le programme IAP 2013. Le projet financé par le programme IAP 2013 assistance technique « Améliorer les conditions de vie et de logement des Roms vivant actuellement dans des camps informels » (contrat d</w:t>
      </w:r>
      <w:r w:rsidR="00DE1F39">
        <w:rPr>
          <w:lang w:val="fr-FR"/>
        </w:rPr>
        <w:t>’</w:t>
      </w:r>
      <w:r w:rsidRPr="00AE698C">
        <w:rPr>
          <w:lang w:val="fr-FR"/>
        </w:rPr>
        <w:t>assistance technique d</w:t>
      </w:r>
      <w:r w:rsidR="00DE1F39">
        <w:rPr>
          <w:lang w:val="fr-FR"/>
        </w:rPr>
        <w:t>’</w:t>
      </w:r>
      <w:r w:rsidRPr="00AE698C">
        <w:rPr>
          <w:lang w:val="fr-FR"/>
        </w:rPr>
        <w:t xml:space="preserve">un montant de 1 500 000 euros) et « Mise en </w:t>
      </w:r>
      <w:r w:rsidR="0015207D" w:rsidRPr="00AE698C">
        <w:rPr>
          <w:lang w:val="fr-FR"/>
        </w:rPr>
        <w:t>œuvre</w:t>
      </w:r>
      <w:r w:rsidRPr="00AE698C">
        <w:rPr>
          <w:lang w:val="fr-FR"/>
        </w:rPr>
        <w:t xml:space="preserve"> de solutions de logement </w:t>
      </w:r>
      <w:r w:rsidRPr="00AE698C">
        <w:rPr>
          <w:lang w:val="fr-FR"/>
        </w:rPr>
        <w:lastRenderedPageBreak/>
        <w:t>permanentes et amélioration des infrastructures physiques dans les camps de roms » (programme de subventions d</w:t>
      </w:r>
      <w:r w:rsidR="00DE1F39">
        <w:rPr>
          <w:lang w:val="fr-FR"/>
        </w:rPr>
        <w:t>’</w:t>
      </w:r>
      <w:r w:rsidRPr="00AE698C">
        <w:rPr>
          <w:lang w:val="fr-FR"/>
        </w:rPr>
        <w:t xml:space="preserve">un montant de 9 500 000 euros) a été approuvé. Le ministère des Finances (CFCU) a signé le contrat avec la société KPMG d.o.o. pour un montant total de 1 370 200 euros. La mise en </w:t>
      </w:r>
      <w:r w:rsidR="0015207D" w:rsidRPr="00AE698C">
        <w:rPr>
          <w:lang w:val="fr-FR"/>
        </w:rPr>
        <w:t>œuvre</w:t>
      </w:r>
      <w:r w:rsidRPr="00AE698C">
        <w:rPr>
          <w:lang w:val="fr-FR"/>
        </w:rPr>
        <w:t xml:space="preserve"> du projet, qui devrait </w:t>
      </w:r>
      <w:r w:rsidR="00172AC5">
        <w:rPr>
          <w:lang w:val="fr-FR"/>
        </w:rPr>
        <w:t>durer 27 mois, a commencé le 19 </w:t>
      </w:r>
      <w:r w:rsidRPr="00AE698C">
        <w:rPr>
          <w:lang w:val="fr-FR"/>
        </w:rPr>
        <w:t>juin 2017. Les contrats sont signés avec les soumissionnaires qui satisfont toutes les conditions de l</w:t>
      </w:r>
      <w:r w:rsidR="00DE1F39">
        <w:rPr>
          <w:lang w:val="fr-FR"/>
        </w:rPr>
        <w:t>’</w:t>
      </w:r>
      <w:r w:rsidRPr="00AE698C">
        <w:rPr>
          <w:lang w:val="fr-FR"/>
        </w:rPr>
        <w:t>appel d</w:t>
      </w:r>
      <w:r w:rsidR="00DE1F39">
        <w:rPr>
          <w:lang w:val="fr-FR"/>
        </w:rPr>
        <w:t>’</w:t>
      </w:r>
      <w:r w:rsidRPr="00AE698C">
        <w:rPr>
          <w:lang w:val="fr-FR"/>
        </w:rPr>
        <w:t>offres. Le 6 juin 2017, le ministre des Finances (CFCU) a signé 11</w:t>
      </w:r>
      <w:r w:rsidR="00172AC5">
        <w:rPr>
          <w:lang w:val="fr-FR"/>
        </w:rPr>
        <w:t xml:space="preserve"> contrats sur des sites dans 13 </w:t>
      </w:r>
      <w:r w:rsidRPr="00AE698C">
        <w:rPr>
          <w:lang w:val="fr-FR"/>
        </w:rPr>
        <w:t>municipalités, pour un montant total de 7 550 000 euros.</w:t>
      </w:r>
    </w:p>
    <w:p w14:paraId="4324ADB6" w14:textId="73EAC04F" w:rsidR="00AE698C" w:rsidRPr="00AE698C" w:rsidRDefault="00AE698C" w:rsidP="00172AC5">
      <w:pPr>
        <w:pStyle w:val="SingleTxt"/>
        <w:numPr>
          <w:ilvl w:val="0"/>
          <w:numId w:val="36"/>
        </w:numPr>
        <w:tabs>
          <w:tab w:val="left" w:pos="1742"/>
        </w:tabs>
        <w:rPr>
          <w:lang w:val="fr-FR"/>
        </w:rPr>
      </w:pPr>
      <w:r w:rsidRPr="00AE698C">
        <w:rPr>
          <w:lang w:val="fr-FR"/>
        </w:rPr>
        <w:t>De même, un dialogue est en cours entre la ville de Niš, l</w:t>
      </w:r>
      <w:r w:rsidR="00DE1F39">
        <w:rPr>
          <w:lang w:val="fr-FR"/>
        </w:rPr>
        <w:t>’</w:t>
      </w:r>
      <w:r w:rsidRPr="00AE698C">
        <w:rPr>
          <w:lang w:val="fr-FR"/>
        </w:rPr>
        <w:t>investisseur privé et les citoyens roms afin de trouver des logement permanents pour ceux qui vivent dans le camp informel de Crvenazvezda à Niš.</w:t>
      </w:r>
    </w:p>
    <w:p w14:paraId="7128FE59" w14:textId="23486740" w:rsidR="00AE698C" w:rsidRDefault="00AE698C" w:rsidP="00172AC5">
      <w:pPr>
        <w:pStyle w:val="SingleTxt"/>
        <w:numPr>
          <w:ilvl w:val="0"/>
          <w:numId w:val="36"/>
        </w:numPr>
        <w:tabs>
          <w:tab w:val="left" w:pos="1742"/>
        </w:tabs>
        <w:rPr>
          <w:lang w:val="fr-FR"/>
        </w:rPr>
      </w:pPr>
      <w:r w:rsidRPr="00AE698C">
        <w:rPr>
          <w:lang w:val="fr-FR"/>
        </w:rPr>
        <w:t>Des logements sont également fournis à un nombre important de membres de la minorité rom au sein de la population des personnes déplacées dans leur propre pays, à la fois dans les centres collectifs officiels et dans des logements fournis aux personnes vivant dans les centres informels et des maisons privées. Lors de la planification et de l</w:t>
      </w:r>
      <w:r w:rsidR="00DE1F39">
        <w:rPr>
          <w:lang w:val="fr-FR"/>
        </w:rPr>
        <w:t>’</w:t>
      </w:r>
      <w:r w:rsidRPr="00AE698C">
        <w:rPr>
          <w:lang w:val="fr-FR"/>
        </w:rPr>
        <w:t>utilisation du budget et des fonds provenant de donateurs, le Commissariat aux réfugiés et à la migration s</w:t>
      </w:r>
      <w:r w:rsidR="00DE1F39">
        <w:rPr>
          <w:lang w:val="fr-FR"/>
        </w:rPr>
        <w:t>’</w:t>
      </w:r>
      <w:r w:rsidRPr="00AE698C">
        <w:rPr>
          <w:lang w:val="fr-FR"/>
        </w:rPr>
        <w:t>assure que ces programmes couvrent les collectivités locales qui accueillent un grand nombre de personnes déplacées dans leur propre pays. Lors d</w:t>
      </w:r>
      <w:r w:rsidR="00DE1F39">
        <w:rPr>
          <w:lang w:val="fr-FR"/>
        </w:rPr>
        <w:t>’</w:t>
      </w:r>
      <w:r w:rsidRPr="00AE698C">
        <w:rPr>
          <w:lang w:val="fr-FR"/>
        </w:rPr>
        <w:t>un appel public en avril 2017, des fonds ont été alloués comme suit aux collectivités locales pour améliorer les conditions de vie des personnes déplacées dans leur propre pays : 24 collectivités locales pour un minimum de 120 lots de matériel de construction, 24 collectiv</w:t>
      </w:r>
      <w:r w:rsidR="00172AC5">
        <w:rPr>
          <w:lang w:val="fr-FR"/>
        </w:rPr>
        <w:t>ités locales pour l</w:t>
      </w:r>
      <w:r w:rsidR="00DE1F39">
        <w:rPr>
          <w:lang w:val="fr-FR"/>
        </w:rPr>
        <w:t>’</w:t>
      </w:r>
      <w:r w:rsidR="00172AC5">
        <w:rPr>
          <w:lang w:val="fr-FR"/>
        </w:rPr>
        <w:t>achat de 73 </w:t>
      </w:r>
      <w:r w:rsidRPr="00AE698C">
        <w:rPr>
          <w:lang w:val="fr-FR"/>
        </w:rPr>
        <w:t>maisons de village et 26 collectivités locales pour 225 lo</w:t>
      </w:r>
      <w:r w:rsidR="00172AC5">
        <w:rPr>
          <w:lang w:val="fr-FR"/>
        </w:rPr>
        <w:t>ts d</w:t>
      </w:r>
      <w:r w:rsidR="00DE1F39">
        <w:rPr>
          <w:lang w:val="fr-FR"/>
        </w:rPr>
        <w:t>’</w:t>
      </w:r>
      <w:r w:rsidR="00172AC5">
        <w:rPr>
          <w:lang w:val="fr-FR"/>
        </w:rPr>
        <w:t>autonomisation économique.</w:t>
      </w:r>
    </w:p>
    <w:p w14:paraId="077C63E1" w14:textId="4A1052DA" w:rsidR="00172AC5" w:rsidRPr="00172AC5" w:rsidRDefault="00172AC5" w:rsidP="00172AC5">
      <w:pPr>
        <w:pStyle w:val="SingleTxt"/>
        <w:tabs>
          <w:tab w:val="clear" w:pos="1742"/>
        </w:tabs>
        <w:spacing w:after="0" w:line="120" w:lineRule="exact"/>
        <w:rPr>
          <w:sz w:val="10"/>
          <w:lang w:val="fr-FR"/>
        </w:rPr>
      </w:pPr>
    </w:p>
    <w:p w14:paraId="4CB2975D" w14:textId="20DA7979" w:rsidR="00AE698C" w:rsidRDefault="00AE698C" w:rsidP="00172AC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E698C">
        <w:rPr>
          <w:lang w:val="fr-FR"/>
        </w:rPr>
        <w:tab/>
      </w:r>
      <w:r w:rsidRPr="00AE698C">
        <w:rPr>
          <w:lang w:val="fr-FR"/>
        </w:rPr>
        <w:tab/>
        <w:t>Emploi</w:t>
      </w:r>
    </w:p>
    <w:p w14:paraId="7872E51B" w14:textId="6ACC27F4" w:rsidR="00172AC5" w:rsidRPr="00172AC5" w:rsidRDefault="00172AC5" w:rsidP="00172AC5">
      <w:pPr>
        <w:pStyle w:val="SingleTxt"/>
        <w:spacing w:after="0" w:line="120" w:lineRule="exact"/>
        <w:rPr>
          <w:sz w:val="10"/>
          <w:lang w:val="fr-FR"/>
        </w:rPr>
      </w:pPr>
    </w:p>
    <w:p w14:paraId="7A65AE83" w14:textId="0D3831D4" w:rsidR="00AE698C" w:rsidRPr="00AE698C" w:rsidRDefault="00AE698C" w:rsidP="00172AC5">
      <w:pPr>
        <w:pStyle w:val="SingleTxt"/>
        <w:numPr>
          <w:ilvl w:val="0"/>
          <w:numId w:val="36"/>
        </w:numPr>
        <w:tabs>
          <w:tab w:val="left" w:pos="1742"/>
        </w:tabs>
        <w:rPr>
          <w:lang w:val="fr-FR"/>
        </w:rPr>
      </w:pPr>
      <w:r w:rsidRPr="00AE698C">
        <w:rPr>
          <w:lang w:val="fr-FR"/>
        </w:rPr>
        <w:t>Pour l</w:t>
      </w:r>
      <w:r w:rsidR="00DE1F39">
        <w:rPr>
          <w:lang w:val="fr-FR"/>
        </w:rPr>
        <w:t>’</w:t>
      </w:r>
      <w:r w:rsidRPr="00AE698C">
        <w:rPr>
          <w:lang w:val="fr-FR"/>
        </w:rPr>
        <w:t xml:space="preserve">application des mesures de la politique en </w:t>
      </w:r>
      <w:r w:rsidR="00172AC5">
        <w:rPr>
          <w:lang w:val="fr-FR"/>
        </w:rPr>
        <w:t>faveur de l</w:t>
      </w:r>
      <w:r w:rsidR="00DE1F39">
        <w:rPr>
          <w:lang w:val="fr-FR"/>
        </w:rPr>
        <w:t>’</w:t>
      </w:r>
      <w:r w:rsidR="00172AC5">
        <w:rPr>
          <w:lang w:val="fr-FR"/>
        </w:rPr>
        <w:t>emploi en 2017, 2,8 </w:t>
      </w:r>
      <w:r w:rsidRPr="00AE698C">
        <w:rPr>
          <w:lang w:val="fr-FR"/>
        </w:rPr>
        <w:t>milliards de dinars ont été alloués sur les fonds collectés pour l</w:t>
      </w:r>
      <w:r w:rsidR="00DE1F39">
        <w:rPr>
          <w:lang w:val="fr-FR"/>
        </w:rPr>
        <w:t>’</w:t>
      </w:r>
      <w:r w:rsidRPr="00AE698C">
        <w:rPr>
          <w:lang w:val="fr-FR"/>
        </w:rPr>
        <w:t>assurance chômage et 550</w:t>
      </w:r>
      <w:r w:rsidR="00172AC5">
        <w:rPr>
          <w:lang w:val="fr-FR"/>
        </w:rPr>
        <w:t> </w:t>
      </w:r>
      <w:r w:rsidRPr="00AE698C">
        <w:rPr>
          <w:lang w:val="fr-FR"/>
        </w:rPr>
        <w:t>millions de dinars sur le fonds budgétaire pour la réadaptation professionnelle et les mesures d</w:t>
      </w:r>
      <w:r w:rsidR="00DE1F39">
        <w:rPr>
          <w:lang w:val="fr-FR"/>
        </w:rPr>
        <w:t>’</w:t>
      </w:r>
      <w:r w:rsidRPr="00AE698C">
        <w:rPr>
          <w:lang w:val="fr-FR"/>
        </w:rPr>
        <w:t>aide à l</w:t>
      </w:r>
      <w:r w:rsidR="00DE1F39">
        <w:rPr>
          <w:lang w:val="fr-FR"/>
        </w:rPr>
        <w:t>’</w:t>
      </w:r>
      <w:r w:rsidRPr="00AE698C">
        <w:rPr>
          <w:lang w:val="fr-FR"/>
        </w:rPr>
        <w:t>emploi des pers</w:t>
      </w:r>
      <w:r w:rsidR="00172AC5">
        <w:rPr>
          <w:lang w:val="fr-FR"/>
        </w:rPr>
        <w:t>onnes handicapées. En 2017, 125 </w:t>
      </w:r>
      <w:r w:rsidRPr="00AE698C">
        <w:rPr>
          <w:lang w:val="fr-FR"/>
        </w:rPr>
        <w:t>demandes concernant des programmes de cofinancement et des mesures en faveur de l</w:t>
      </w:r>
      <w:r w:rsidR="00DE1F39">
        <w:rPr>
          <w:lang w:val="fr-FR"/>
        </w:rPr>
        <w:t>’</w:t>
      </w:r>
      <w:r w:rsidRPr="00AE698C">
        <w:rPr>
          <w:lang w:val="fr-FR"/>
        </w:rPr>
        <w:t>emploi ont été envoyées. Avec la décision sur la participation au financement des programmes et des mesures de la politique en faveur de l</w:t>
      </w:r>
      <w:r w:rsidR="00DE1F39">
        <w:rPr>
          <w:lang w:val="fr-FR"/>
        </w:rPr>
        <w:t>’</w:t>
      </w:r>
      <w:r w:rsidRPr="00AE698C">
        <w:rPr>
          <w:lang w:val="fr-FR"/>
        </w:rPr>
        <w:t>emploi, définies par les plans d</w:t>
      </w:r>
      <w:r w:rsidR="00DE1F39">
        <w:rPr>
          <w:lang w:val="fr-FR"/>
        </w:rPr>
        <w:t>’</w:t>
      </w:r>
      <w:r w:rsidRPr="00AE698C">
        <w:rPr>
          <w:lang w:val="fr-FR"/>
        </w:rPr>
        <w:t>action locaux pour l</w:t>
      </w:r>
      <w:r w:rsidR="00DE1F39">
        <w:rPr>
          <w:lang w:val="fr-FR"/>
        </w:rPr>
        <w:t>’</w:t>
      </w:r>
      <w:r w:rsidRPr="00AE698C">
        <w:rPr>
          <w:lang w:val="fr-FR"/>
        </w:rPr>
        <w:t xml:space="preserve">emploi en 2017, 118 demandes des collectivités locales ont été approuvées, et 115 de ces collectivités ont signé les accords sur la réglementation des droits et responsabilités mutuels lors de la mise en </w:t>
      </w:r>
      <w:r w:rsidR="0015207D" w:rsidRPr="00AE698C">
        <w:rPr>
          <w:lang w:val="fr-FR"/>
        </w:rPr>
        <w:t>œuvre</w:t>
      </w:r>
      <w:r w:rsidRPr="00AE698C">
        <w:rPr>
          <w:lang w:val="fr-FR"/>
        </w:rPr>
        <w:t xml:space="preserve"> des programmes et des mesures en faveur de l</w:t>
      </w:r>
      <w:r w:rsidR="00DE1F39">
        <w:rPr>
          <w:lang w:val="fr-FR"/>
        </w:rPr>
        <w:t>’</w:t>
      </w:r>
      <w:r w:rsidRPr="00AE698C">
        <w:rPr>
          <w:lang w:val="fr-FR"/>
        </w:rPr>
        <w:t>emploi avec l</w:t>
      </w:r>
      <w:r w:rsidR="00DE1F39">
        <w:rPr>
          <w:lang w:val="fr-FR"/>
        </w:rPr>
        <w:t>’</w:t>
      </w:r>
      <w:r w:rsidRPr="00AE698C">
        <w:rPr>
          <w:lang w:val="fr-FR"/>
        </w:rPr>
        <w:t>Agence nationale pour l</w:t>
      </w:r>
      <w:r w:rsidR="00DE1F39">
        <w:rPr>
          <w:lang w:val="fr-FR"/>
        </w:rPr>
        <w:t>’</w:t>
      </w:r>
      <w:r w:rsidRPr="00AE698C">
        <w:rPr>
          <w:lang w:val="fr-FR"/>
        </w:rPr>
        <w:t xml:space="preserve">emploi. </w:t>
      </w:r>
    </w:p>
    <w:p w14:paraId="29E4CEBA" w14:textId="05405937" w:rsidR="00AE698C" w:rsidRPr="00AE698C" w:rsidRDefault="00AE698C" w:rsidP="00172AC5">
      <w:pPr>
        <w:pStyle w:val="SingleTxt"/>
        <w:numPr>
          <w:ilvl w:val="0"/>
          <w:numId w:val="36"/>
        </w:numPr>
        <w:tabs>
          <w:tab w:val="left" w:pos="1742"/>
        </w:tabs>
        <w:rPr>
          <w:lang w:val="fr-FR"/>
        </w:rPr>
      </w:pPr>
      <w:r w:rsidRPr="00AE698C">
        <w:rPr>
          <w:lang w:val="fr-FR"/>
        </w:rPr>
        <w:t>Entre le 1</w:t>
      </w:r>
      <w:r w:rsidRPr="00172AC5">
        <w:rPr>
          <w:vertAlign w:val="superscript"/>
          <w:lang w:val="fr-FR"/>
        </w:rPr>
        <w:t>er</w:t>
      </w:r>
      <w:r w:rsidRPr="00AE698C">
        <w:rPr>
          <w:lang w:val="fr-FR"/>
        </w:rPr>
        <w:t xml:space="preserve"> janvier et le 31 octobre 2017, les dossiers de l</w:t>
      </w:r>
      <w:r w:rsidR="00DE1F39">
        <w:rPr>
          <w:lang w:val="fr-FR"/>
        </w:rPr>
        <w:t>’</w:t>
      </w:r>
      <w:r w:rsidRPr="00AE698C">
        <w:rPr>
          <w:lang w:val="fr-FR"/>
        </w:rPr>
        <w:t>Agence nationale pour l</w:t>
      </w:r>
      <w:r w:rsidR="00DE1F39">
        <w:rPr>
          <w:lang w:val="fr-FR"/>
        </w:rPr>
        <w:t>’</w:t>
      </w:r>
      <w:r w:rsidRPr="00AE698C">
        <w:rPr>
          <w:lang w:val="fr-FR"/>
        </w:rPr>
        <w:t xml:space="preserve">emploi indiquent que 3 644 roms ont trouvé un emploi, dont 37 % de femmes. </w:t>
      </w:r>
    </w:p>
    <w:p w14:paraId="49DB8837" w14:textId="15506CF7" w:rsidR="00AE698C" w:rsidRPr="00AE698C" w:rsidRDefault="00AE698C" w:rsidP="00172AC5">
      <w:pPr>
        <w:pStyle w:val="SingleTxt"/>
        <w:numPr>
          <w:ilvl w:val="0"/>
          <w:numId w:val="36"/>
        </w:numPr>
        <w:tabs>
          <w:tab w:val="left" w:pos="1742"/>
        </w:tabs>
        <w:rPr>
          <w:lang w:val="fr-FR"/>
        </w:rPr>
      </w:pPr>
      <w:r w:rsidRPr="00AE698C">
        <w:rPr>
          <w:lang w:val="fr-FR"/>
        </w:rPr>
        <w:t>Entre le 1</w:t>
      </w:r>
      <w:r w:rsidRPr="00172AC5">
        <w:rPr>
          <w:vertAlign w:val="superscript"/>
          <w:lang w:val="fr-FR"/>
        </w:rPr>
        <w:t>er</w:t>
      </w:r>
      <w:r w:rsidRPr="00AE698C">
        <w:rPr>
          <w:lang w:val="fr-FR"/>
        </w:rPr>
        <w:t xml:space="preserve"> janvier et le 31 octobre 2017, 3 935 roms (dont 1 638 femmes) ont bénéficié des mesures de la politique en faveur de l</w:t>
      </w:r>
      <w:r w:rsidR="00DE1F39">
        <w:rPr>
          <w:lang w:val="fr-FR"/>
        </w:rPr>
        <w:t>’</w:t>
      </w:r>
      <w:r w:rsidRPr="00AE698C">
        <w:rPr>
          <w:lang w:val="fr-FR"/>
        </w:rPr>
        <w:t>emploi.</w:t>
      </w:r>
    </w:p>
    <w:p w14:paraId="75486E8D" w14:textId="7E526F27" w:rsidR="00AE698C" w:rsidRPr="00172AC5" w:rsidRDefault="00AE698C" w:rsidP="00172AC5">
      <w:pPr>
        <w:pStyle w:val="SingleTxt"/>
        <w:spacing w:after="0" w:line="120" w:lineRule="exact"/>
        <w:rPr>
          <w:sz w:val="10"/>
        </w:rPr>
      </w:pPr>
    </w:p>
    <w:tbl>
      <w:tblPr>
        <w:tblW w:w="7320" w:type="dxa"/>
        <w:tblInd w:w="1260" w:type="dxa"/>
        <w:tblLayout w:type="fixed"/>
        <w:tblCellMar>
          <w:left w:w="0" w:type="dxa"/>
          <w:right w:w="0" w:type="dxa"/>
        </w:tblCellMar>
        <w:tblLook w:val="00A0" w:firstRow="1" w:lastRow="0" w:firstColumn="1" w:lastColumn="0" w:noHBand="0" w:noVBand="0"/>
      </w:tblPr>
      <w:tblGrid>
        <w:gridCol w:w="5580"/>
        <w:gridCol w:w="1740"/>
      </w:tblGrid>
      <w:tr w:rsidR="004D2D2F" w:rsidRPr="004D2D2F" w14:paraId="641C7E6E" w14:textId="77777777" w:rsidTr="004D2D2F">
        <w:trPr>
          <w:tblHeader/>
        </w:trPr>
        <w:tc>
          <w:tcPr>
            <w:tcW w:w="7320" w:type="dxa"/>
            <w:gridSpan w:val="2"/>
            <w:tcBorders>
              <w:top w:val="single" w:sz="4" w:space="0" w:color="auto"/>
              <w:bottom w:val="single" w:sz="12" w:space="0" w:color="auto"/>
            </w:tcBorders>
            <w:shd w:val="clear" w:color="auto" w:fill="auto"/>
            <w:noWrap/>
            <w:vAlign w:val="bottom"/>
          </w:tcPr>
          <w:p w14:paraId="15E3ED8A" w14:textId="6154F633" w:rsidR="004D2D2F" w:rsidRPr="004D2D2F" w:rsidRDefault="004D2D2F" w:rsidP="004D2D2F">
            <w:pPr>
              <w:suppressAutoHyphens/>
              <w:spacing w:before="81" w:after="81" w:line="160" w:lineRule="exact"/>
              <w:ind w:left="144" w:right="43"/>
              <w:jc w:val="center"/>
              <w:rPr>
                <w:i/>
                <w:sz w:val="14"/>
              </w:rPr>
            </w:pPr>
            <w:r w:rsidRPr="004D2D2F">
              <w:rPr>
                <w:i/>
                <w:sz w:val="14"/>
              </w:rPr>
              <w:t>Nombre de roms par mesure et programme en faveur de l’emploi</w:t>
            </w:r>
          </w:p>
        </w:tc>
      </w:tr>
      <w:tr w:rsidR="004D2D2F" w:rsidRPr="004D2D2F" w14:paraId="33804620" w14:textId="77777777" w:rsidTr="004D2D2F">
        <w:trPr>
          <w:trHeight w:hRule="exact" w:val="115"/>
          <w:tblHeader/>
        </w:trPr>
        <w:tc>
          <w:tcPr>
            <w:tcW w:w="5580" w:type="dxa"/>
            <w:tcBorders>
              <w:top w:val="single" w:sz="12" w:space="0" w:color="auto"/>
            </w:tcBorders>
            <w:shd w:val="clear" w:color="auto" w:fill="auto"/>
            <w:noWrap/>
            <w:vAlign w:val="bottom"/>
          </w:tcPr>
          <w:p w14:paraId="11F20396" w14:textId="77777777" w:rsidR="004D2D2F" w:rsidRPr="004D2D2F" w:rsidRDefault="004D2D2F" w:rsidP="004D2D2F">
            <w:pPr>
              <w:suppressAutoHyphens/>
              <w:spacing w:before="40" w:after="40" w:line="210" w:lineRule="exact"/>
              <w:ind w:right="40"/>
              <w:rPr>
                <w:sz w:val="17"/>
              </w:rPr>
            </w:pPr>
          </w:p>
        </w:tc>
        <w:tc>
          <w:tcPr>
            <w:tcW w:w="1740" w:type="dxa"/>
            <w:tcBorders>
              <w:top w:val="single" w:sz="12" w:space="0" w:color="auto"/>
            </w:tcBorders>
            <w:shd w:val="clear" w:color="auto" w:fill="auto"/>
            <w:noWrap/>
            <w:vAlign w:val="bottom"/>
          </w:tcPr>
          <w:p w14:paraId="0C805D19" w14:textId="77777777" w:rsidR="004D2D2F" w:rsidRPr="004D2D2F" w:rsidRDefault="004D2D2F" w:rsidP="004D2D2F">
            <w:pPr>
              <w:suppressAutoHyphens/>
              <w:spacing w:before="40" w:after="40" w:line="210" w:lineRule="exact"/>
              <w:ind w:left="144" w:right="43"/>
              <w:jc w:val="right"/>
              <w:rPr>
                <w:sz w:val="17"/>
              </w:rPr>
            </w:pPr>
          </w:p>
        </w:tc>
      </w:tr>
      <w:tr w:rsidR="0015207D" w:rsidRPr="004D2D2F" w14:paraId="114D7AFE" w14:textId="77777777" w:rsidTr="004D2D2F">
        <w:tc>
          <w:tcPr>
            <w:tcW w:w="5580" w:type="dxa"/>
            <w:shd w:val="clear" w:color="auto" w:fill="auto"/>
            <w:noWrap/>
            <w:vAlign w:val="bottom"/>
          </w:tcPr>
          <w:p w14:paraId="342B1DC0" w14:textId="35686FC9" w:rsidR="00172AC5" w:rsidRPr="004D2D2F" w:rsidRDefault="00172AC5" w:rsidP="004D2D2F">
            <w:pPr>
              <w:tabs>
                <w:tab w:val="left" w:pos="288"/>
                <w:tab w:val="left" w:pos="576"/>
                <w:tab w:val="left" w:pos="864"/>
                <w:tab w:val="left" w:pos="1152"/>
              </w:tabs>
              <w:suppressAutoHyphens/>
              <w:spacing w:before="40" w:after="40" w:line="210" w:lineRule="exact"/>
              <w:ind w:right="40"/>
              <w:rPr>
                <w:sz w:val="17"/>
              </w:rPr>
            </w:pPr>
            <w:r w:rsidRPr="004D2D2F">
              <w:rPr>
                <w:sz w:val="17"/>
              </w:rPr>
              <w:t>Salons de l</w:t>
            </w:r>
            <w:r w:rsidR="00DE1F39" w:rsidRPr="004D2D2F">
              <w:rPr>
                <w:sz w:val="17"/>
              </w:rPr>
              <w:t>’</w:t>
            </w:r>
            <w:r w:rsidRPr="004D2D2F">
              <w:rPr>
                <w:sz w:val="17"/>
              </w:rPr>
              <w:t>emploi</w:t>
            </w:r>
          </w:p>
        </w:tc>
        <w:tc>
          <w:tcPr>
            <w:tcW w:w="1740" w:type="dxa"/>
            <w:shd w:val="clear" w:color="auto" w:fill="auto"/>
            <w:noWrap/>
            <w:vAlign w:val="bottom"/>
          </w:tcPr>
          <w:p w14:paraId="752115C7" w14:textId="77777777" w:rsidR="00172AC5" w:rsidRPr="004D2D2F" w:rsidRDefault="00172AC5" w:rsidP="004D2D2F">
            <w:pPr>
              <w:tabs>
                <w:tab w:val="left" w:pos="288"/>
                <w:tab w:val="left" w:pos="576"/>
                <w:tab w:val="left" w:pos="864"/>
                <w:tab w:val="left" w:pos="1152"/>
              </w:tabs>
              <w:suppressAutoHyphens/>
              <w:spacing w:before="40" w:after="40" w:line="210" w:lineRule="exact"/>
              <w:ind w:left="144" w:right="43"/>
              <w:jc w:val="right"/>
              <w:rPr>
                <w:sz w:val="17"/>
              </w:rPr>
            </w:pPr>
            <w:r w:rsidRPr="004D2D2F">
              <w:rPr>
                <w:sz w:val="17"/>
              </w:rPr>
              <w:t>1 255 (521 femmes)</w:t>
            </w:r>
          </w:p>
        </w:tc>
      </w:tr>
      <w:tr w:rsidR="00172AC5" w:rsidRPr="004D2D2F" w14:paraId="0CAE7340" w14:textId="77777777" w:rsidTr="004D2D2F">
        <w:tc>
          <w:tcPr>
            <w:tcW w:w="5580" w:type="dxa"/>
            <w:shd w:val="clear" w:color="auto" w:fill="auto"/>
            <w:noWrap/>
            <w:vAlign w:val="bottom"/>
          </w:tcPr>
          <w:p w14:paraId="647413F3" w14:textId="30F711DA" w:rsidR="00172AC5" w:rsidRPr="004D2D2F" w:rsidRDefault="00172AC5" w:rsidP="004D2D2F">
            <w:pPr>
              <w:tabs>
                <w:tab w:val="left" w:pos="288"/>
                <w:tab w:val="left" w:pos="576"/>
                <w:tab w:val="left" w:pos="864"/>
                <w:tab w:val="left" w:pos="1152"/>
              </w:tabs>
              <w:suppressAutoHyphens/>
              <w:spacing w:before="40" w:after="40" w:line="210" w:lineRule="exact"/>
              <w:ind w:right="40"/>
              <w:rPr>
                <w:sz w:val="17"/>
              </w:rPr>
            </w:pPr>
            <w:r w:rsidRPr="004D2D2F">
              <w:rPr>
                <w:sz w:val="17"/>
              </w:rPr>
              <w:t>Club de recherche d</w:t>
            </w:r>
            <w:r w:rsidR="00DE1F39" w:rsidRPr="004D2D2F">
              <w:rPr>
                <w:sz w:val="17"/>
              </w:rPr>
              <w:t>’</w:t>
            </w:r>
            <w:r w:rsidRPr="004D2D2F">
              <w:rPr>
                <w:sz w:val="17"/>
              </w:rPr>
              <w:t xml:space="preserve">emploi </w:t>
            </w:r>
          </w:p>
        </w:tc>
        <w:tc>
          <w:tcPr>
            <w:tcW w:w="1740" w:type="dxa"/>
            <w:shd w:val="clear" w:color="auto" w:fill="auto"/>
            <w:noWrap/>
            <w:vAlign w:val="bottom"/>
          </w:tcPr>
          <w:p w14:paraId="542E3B86" w14:textId="77777777" w:rsidR="00172AC5" w:rsidRPr="004D2D2F" w:rsidRDefault="00172AC5" w:rsidP="004D2D2F">
            <w:pPr>
              <w:tabs>
                <w:tab w:val="left" w:pos="288"/>
                <w:tab w:val="left" w:pos="576"/>
                <w:tab w:val="left" w:pos="864"/>
                <w:tab w:val="left" w:pos="1152"/>
              </w:tabs>
              <w:suppressAutoHyphens/>
              <w:spacing w:before="40" w:after="40" w:line="210" w:lineRule="exact"/>
              <w:ind w:left="144" w:right="43"/>
              <w:jc w:val="right"/>
              <w:rPr>
                <w:sz w:val="17"/>
              </w:rPr>
            </w:pPr>
            <w:r w:rsidRPr="004D2D2F">
              <w:rPr>
                <w:sz w:val="17"/>
              </w:rPr>
              <w:t>22 (12 femmes)</w:t>
            </w:r>
          </w:p>
        </w:tc>
      </w:tr>
      <w:tr w:rsidR="00172AC5" w:rsidRPr="004D2D2F" w14:paraId="5BB6D200" w14:textId="77777777" w:rsidTr="004D2D2F">
        <w:tc>
          <w:tcPr>
            <w:tcW w:w="5580" w:type="dxa"/>
            <w:shd w:val="clear" w:color="auto" w:fill="auto"/>
            <w:noWrap/>
            <w:vAlign w:val="bottom"/>
          </w:tcPr>
          <w:p w14:paraId="1B88237C" w14:textId="4097BD38" w:rsidR="00172AC5" w:rsidRPr="004D2D2F" w:rsidRDefault="00172AC5" w:rsidP="004D2D2F">
            <w:pPr>
              <w:tabs>
                <w:tab w:val="left" w:pos="288"/>
                <w:tab w:val="left" w:pos="576"/>
                <w:tab w:val="left" w:pos="864"/>
                <w:tab w:val="left" w:pos="1152"/>
              </w:tabs>
              <w:suppressAutoHyphens/>
              <w:spacing w:before="40" w:after="40" w:line="210" w:lineRule="exact"/>
              <w:ind w:right="40"/>
              <w:rPr>
                <w:sz w:val="17"/>
              </w:rPr>
            </w:pPr>
            <w:r w:rsidRPr="004D2D2F">
              <w:rPr>
                <w:sz w:val="17"/>
              </w:rPr>
              <w:t>Formation à la recherche active d</w:t>
            </w:r>
            <w:r w:rsidR="00DE1F39" w:rsidRPr="004D2D2F">
              <w:rPr>
                <w:sz w:val="17"/>
              </w:rPr>
              <w:t>’</w:t>
            </w:r>
            <w:r w:rsidRPr="004D2D2F">
              <w:rPr>
                <w:sz w:val="17"/>
              </w:rPr>
              <w:t>emploi pour les personnes qualifiées</w:t>
            </w:r>
          </w:p>
        </w:tc>
        <w:tc>
          <w:tcPr>
            <w:tcW w:w="1740" w:type="dxa"/>
            <w:shd w:val="clear" w:color="auto" w:fill="auto"/>
            <w:noWrap/>
            <w:vAlign w:val="bottom"/>
          </w:tcPr>
          <w:p w14:paraId="50C61F97" w14:textId="77777777" w:rsidR="00172AC5" w:rsidRPr="004D2D2F" w:rsidRDefault="00172AC5" w:rsidP="004D2D2F">
            <w:pPr>
              <w:tabs>
                <w:tab w:val="left" w:pos="288"/>
                <w:tab w:val="left" w:pos="576"/>
                <w:tab w:val="left" w:pos="864"/>
                <w:tab w:val="left" w:pos="1152"/>
              </w:tabs>
              <w:suppressAutoHyphens/>
              <w:spacing w:before="40" w:after="40" w:line="210" w:lineRule="exact"/>
              <w:ind w:left="144" w:right="43"/>
              <w:jc w:val="right"/>
              <w:rPr>
                <w:sz w:val="17"/>
              </w:rPr>
            </w:pPr>
            <w:r w:rsidRPr="004D2D2F">
              <w:rPr>
                <w:sz w:val="17"/>
              </w:rPr>
              <w:t>205 (81 femmes)</w:t>
            </w:r>
          </w:p>
        </w:tc>
      </w:tr>
      <w:tr w:rsidR="00172AC5" w:rsidRPr="004D2D2F" w14:paraId="1470E708" w14:textId="77777777" w:rsidTr="004D2D2F">
        <w:tc>
          <w:tcPr>
            <w:tcW w:w="5580" w:type="dxa"/>
            <w:shd w:val="clear" w:color="auto" w:fill="auto"/>
            <w:noWrap/>
            <w:vAlign w:val="bottom"/>
          </w:tcPr>
          <w:p w14:paraId="0FA3244B" w14:textId="640B24F0" w:rsidR="00172AC5" w:rsidRPr="004D2D2F" w:rsidRDefault="00172AC5" w:rsidP="004D2D2F">
            <w:pPr>
              <w:tabs>
                <w:tab w:val="left" w:pos="288"/>
                <w:tab w:val="left" w:pos="576"/>
                <w:tab w:val="left" w:pos="864"/>
                <w:tab w:val="left" w:pos="1152"/>
              </w:tabs>
              <w:suppressAutoHyphens/>
              <w:spacing w:before="40" w:after="40" w:line="210" w:lineRule="exact"/>
              <w:ind w:right="40"/>
              <w:rPr>
                <w:sz w:val="17"/>
              </w:rPr>
            </w:pPr>
            <w:r w:rsidRPr="004D2D2F">
              <w:rPr>
                <w:sz w:val="17"/>
              </w:rPr>
              <w:t>Formation pour motiver les personnes ayant peu ou pas de qualifications</w:t>
            </w:r>
            <w:r w:rsidR="004D2D2F">
              <w:rPr>
                <w:sz w:val="17"/>
              </w:rPr>
              <w:t xml:space="preserve"> </w:t>
            </w:r>
          </w:p>
        </w:tc>
        <w:tc>
          <w:tcPr>
            <w:tcW w:w="1740" w:type="dxa"/>
            <w:shd w:val="clear" w:color="auto" w:fill="auto"/>
            <w:noWrap/>
            <w:vAlign w:val="bottom"/>
          </w:tcPr>
          <w:p w14:paraId="00B40001" w14:textId="77777777" w:rsidR="00172AC5" w:rsidRPr="004D2D2F" w:rsidRDefault="00172AC5" w:rsidP="004D2D2F">
            <w:pPr>
              <w:tabs>
                <w:tab w:val="left" w:pos="288"/>
                <w:tab w:val="left" w:pos="576"/>
                <w:tab w:val="left" w:pos="864"/>
                <w:tab w:val="left" w:pos="1152"/>
              </w:tabs>
              <w:suppressAutoHyphens/>
              <w:spacing w:before="40" w:after="40" w:line="210" w:lineRule="exact"/>
              <w:ind w:left="144" w:right="43"/>
              <w:jc w:val="right"/>
              <w:rPr>
                <w:sz w:val="17"/>
              </w:rPr>
            </w:pPr>
            <w:r w:rsidRPr="004D2D2F">
              <w:rPr>
                <w:sz w:val="17"/>
              </w:rPr>
              <w:t>1 255 (521 femmes)</w:t>
            </w:r>
          </w:p>
        </w:tc>
      </w:tr>
      <w:tr w:rsidR="00172AC5" w:rsidRPr="004D2D2F" w14:paraId="4CF6D4AC" w14:textId="77777777" w:rsidTr="004D2D2F">
        <w:tc>
          <w:tcPr>
            <w:tcW w:w="5580" w:type="dxa"/>
            <w:shd w:val="clear" w:color="auto" w:fill="auto"/>
            <w:noWrap/>
            <w:vAlign w:val="bottom"/>
          </w:tcPr>
          <w:p w14:paraId="4A5BC804" w14:textId="5EC6BC55" w:rsidR="00172AC5" w:rsidRPr="004D2D2F" w:rsidRDefault="00172AC5" w:rsidP="004D2D2F">
            <w:pPr>
              <w:tabs>
                <w:tab w:val="left" w:pos="288"/>
                <w:tab w:val="left" w:pos="576"/>
                <w:tab w:val="left" w:pos="864"/>
                <w:tab w:val="left" w:pos="1152"/>
              </w:tabs>
              <w:suppressAutoHyphens/>
              <w:spacing w:before="40" w:after="40" w:line="210" w:lineRule="exact"/>
              <w:ind w:right="40"/>
              <w:rPr>
                <w:sz w:val="17"/>
              </w:rPr>
            </w:pPr>
            <w:r w:rsidRPr="004D2D2F">
              <w:rPr>
                <w:sz w:val="17"/>
              </w:rPr>
              <w:t>Formation pour motiver les personnes ayant peu ou pas de qualifications</w:t>
            </w:r>
            <w:r w:rsidR="004D2D2F">
              <w:rPr>
                <w:sz w:val="17"/>
              </w:rPr>
              <w:t xml:space="preserve"> </w:t>
            </w:r>
          </w:p>
        </w:tc>
        <w:tc>
          <w:tcPr>
            <w:tcW w:w="1740" w:type="dxa"/>
            <w:shd w:val="clear" w:color="auto" w:fill="auto"/>
            <w:noWrap/>
            <w:vAlign w:val="bottom"/>
          </w:tcPr>
          <w:p w14:paraId="3E1529F1" w14:textId="77777777" w:rsidR="00172AC5" w:rsidRPr="004D2D2F" w:rsidRDefault="00172AC5" w:rsidP="004D2D2F">
            <w:pPr>
              <w:tabs>
                <w:tab w:val="left" w:pos="288"/>
                <w:tab w:val="left" w:pos="576"/>
                <w:tab w:val="left" w:pos="864"/>
                <w:tab w:val="left" w:pos="1152"/>
              </w:tabs>
              <w:suppressAutoHyphens/>
              <w:spacing w:before="40" w:after="40" w:line="210" w:lineRule="exact"/>
              <w:ind w:left="144" w:right="43"/>
              <w:jc w:val="right"/>
              <w:rPr>
                <w:sz w:val="17"/>
              </w:rPr>
            </w:pPr>
            <w:r w:rsidRPr="004D2D2F">
              <w:rPr>
                <w:sz w:val="17"/>
              </w:rPr>
              <w:t>1 220 (568 femmes)</w:t>
            </w:r>
          </w:p>
        </w:tc>
      </w:tr>
      <w:tr w:rsidR="00172AC5" w:rsidRPr="004D2D2F" w14:paraId="35E564AB" w14:textId="77777777" w:rsidTr="004D2D2F">
        <w:tc>
          <w:tcPr>
            <w:tcW w:w="5580" w:type="dxa"/>
            <w:shd w:val="clear" w:color="auto" w:fill="auto"/>
            <w:noWrap/>
            <w:vAlign w:val="bottom"/>
          </w:tcPr>
          <w:p w14:paraId="3449A752" w14:textId="57D45CF4" w:rsidR="00172AC5" w:rsidRPr="004D2D2F" w:rsidRDefault="00172AC5" w:rsidP="004D2D2F">
            <w:pPr>
              <w:tabs>
                <w:tab w:val="left" w:pos="288"/>
                <w:tab w:val="left" w:pos="576"/>
                <w:tab w:val="left" w:pos="864"/>
                <w:tab w:val="left" w:pos="1152"/>
              </w:tabs>
              <w:suppressAutoHyphens/>
              <w:spacing w:before="40" w:after="40" w:line="210" w:lineRule="exact"/>
              <w:ind w:right="40"/>
              <w:rPr>
                <w:sz w:val="17"/>
              </w:rPr>
            </w:pPr>
            <w:r w:rsidRPr="004D2D2F">
              <w:rPr>
                <w:sz w:val="17"/>
              </w:rPr>
              <w:t>Formation sur l</w:t>
            </w:r>
            <w:r w:rsidR="00DE1F39" w:rsidRPr="004D2D2F">
              <w:rPr>
                <w:sz w:val="17"/>
              </w:rPr>
              <w:t>’</w:t>
            </w:r>
            <w:r w:rsidRPr="004D2D2F">
              <w:rPr>
                <w:sz w:val="17"/>
              </w:rPr>
              <w:t xml:space="preserve">efficacité personnelle </w:t>
            </w:r>
          </w:p>
        </w:tc>
        <w:tc>
          <w:tcPr>
            <w:tcW w:w="1740" w:type="dxa"/>
            <w:shd w:val="clear" w:color="auto" w:fill="auto"/>
            <w:noWrap/>
            <w:vAlign w:val="bottom"/>
          </w:tcPr>
          <w:p w14:paraId="08A4D0A8" w14:textId="77777777" w:rsidR="00172AC5" w:rsidRPr="004D2D2F" w:rsidRDefault="00172AC5" w:rsidP="004D2D2F">
            <w:pPr>
              <w:tabs>
                <w:tab w:val="left" w:pos="288"/>
                <w:tab w:val="left" w:pos="576"/>
                <w:tab w:val="left" w:pos="864"/>
                <w:tab w:val="left" w:pos="1152"/>
              </w:tabs>
              <w:suppressAutoHyphens/>
              <w:spacing w:before="40" w:after="40" w:line="210" w:lineRule="exact"/>
              <w:ind w:left="144" w:right="43"/>
              <w:jc w:val="right"/>
              <w:rPr>
                <w:sz w:val="17"/>
              </w:rPr>
            </w:pPr>
            <w:r w:rsidRPr="004D2D2F">
              <w:rPr>
                <w:sz w:val="17"/>
              </w:rPr>
              <w:t>29 (7 femmes)</w:t>
            </w:r>
          </w:p>
        </w:tc>
      </w:tr>
      <w:tr w:rsidR="00172AC5" w:rsidRPr="004D2D2F" w14:paraId="6D9A7E1A" w14:textId="77777777" w:rsidTr="004D2D2F">
        <w:tc>
          <w:tcPr>
            <w:tcW w:w="5580" w:type="dxa"/>
            <w:shd w:val="clear" w:color="auto" w:fill="auto"/>
            <w:noWrap/>
            <w:vAlign w:val="bottom"/>
          </w:tcPr>
          <w:p w14:paraId="3C53D155" w14:textId="36F21644" w:rsidR="00172AC5" w:rsidRPr="004D2D2F" w:rsidRDefault="00172AC5" w:rsidP="004D2D2F">
            <w:pPr>
              <w:tabs>
                <w:tab w:val="left" w:pos="288"/>
                <w:tab w:val="left" w:pos="576"/>
                <w:tab w:val="left" w:pos="864"/>
                <w:tab w:val="left" w:pos="1152"/>
              </w:tabs>
              <w:suppressAutoHyphens/>
              <w:spacing w:before="40" w:after="40" w:line="210" w:lineRule="exact"/>
              <w:ind w:right="40"/>
              <w:rPr>
                <w:sz w:val="17"/>
              </w:rPr>
            </w:pPr>
            <w:r w:rsidRPr="004D2D2F">
              <w:rPr>
                <w:sz w:val="17"/>
              </w:rPr>
              <w:lastRenderedPageBreak/>
              <w:t>Services éducatifs fournis par le centre d</w:t>
            </w:r>
            <w:r w:rsidR="00DE1F39" w:rsidRPr="004D2D2F">
              <w:rPr>
                <w:sz w:val="17"/>
              </w:rPr>
              <w:t>’</w:t>
            </w:r>
            <w:r w:rsidRPr="004D2D2F">
              <w:rPr>
                <w:sz w:val="17"/>
              </w:rPr>
              <w:t>affaires</w:t>
            </w:r>
          </w:p>
        </w:tc>
        <w:tc>
          <w:tcPr>
            <w:tcW w:w="1740" w:type="dxa"/>
            <w:shd w:val="clear" w:color="auto" w:fill="auto"/>
            <w:noWrap/>
            <w:vAlign w:val="bottom"/>
          </w:tcPr>
          <w:p w14:paraId="76928237" w14:textId="77777777" w:rsidR="00172AC5" w:rsidRPr="004D2D2F" w:rsidRDefault="00172AC5" w:rsidP="004D2D2F">
            <w:pPr>
              <w:tabs>
                <w:tab w:val="left" w:pos="288"/>
                <w:tab w:val="left" w:pos="576"/>
                <w:tab w:val="left" w:pos="864"/>
                <w:tab w:val="left" w:pos="1152"/>
              </w:tabs>
              <w:suppressAutoHyphens/>
              <w:spacing w:before="40" w:after="40" w:line="210" w:lineRule="exact"/>
              <w:ind w:left="144" w:right="43"/>
              <w:jc w:val="right"/>
              <w:rPr>
                <w:sz w:val="17"/>
              </w:rPr>
            </w:pPr>
            <w:r w:rsidRPr="004D2D2F">
              <w:rPr>
                <w:sz w:val="17"/>
              </w:rPr>
              <w:t>181 (68 femmes)</w:t>
            </w:r>
          </w:p>
        </w:tc>
      </w:tr>
      <w:tr w:rsidR="00172AC5" w:rsidRPr="004D2D2F" w14:paraId="4BEFC030" w14:textId="77777777" w:rsidTr="004D2D2F">
        <w:tc>
          <w:tcPr>
            <w:tcW w:w="5580" w:type="dxa"/>
            <w:shd w:val="clear" w:color="auto" w:fill="auto"/>
            <w:noWrap/>
            <w:vAlign w:val="bottom"/>
          </w:tcPr>
          <w:p w14:paraId="5AE48AAE" w14:textId="77777777" w:rsidR="00172AC5" w:rsidRPr="004D2D2F" w:rsidRDefault="00172AC5" w:rsidP="004D2D2F">
            <w:pPr>
              <w:tabs>
                <w:tab w:val="left" w:pos="288"/>
                <w:tab w:val="left" w:pos="576"/>
                <w:tab w:val="left" w:pos="864"/>
                <w:tab w:val="left" w:pos="1152"/>
              </w:tabs>
              <w:suppressAutoHyphens/>
              <w:spacing w:before="40" w:after="40" w:line="210" w:lineRule="exact"/>
              <w:ind w:right="40"/>
              <w:rPr>
                <w:sz w:val="17"/>
              </w:rPr>
            </w:pPr>
            <w:r w:rsidRPr="004D2D2F">
              <w:rPr>
                <w:sz w:val="17"/>
              </w:rPr>
              <w:t>Pratique professionnelle</w:t>
            </w:r>
          </w:p>
        </w:tc>
        <w:tc>
          <w:tcPr>
            <w:tcW w:w="1740" w:type="dxa"/>
            <w:shd w:val="clear" w:color="auto" w:fill="auto"/>
            <w:noWrap/>
            <w:vAlign w:val="bottom"/>
          </w:tcPr>
          <w:p w14:paraId="0CA909F5" w14:textId="77777777" w:rsidR="00172AC5" w:rsidRPr="004D2D2F" w:rsidRDefault="00172AC5" w:rsidP="004D2D2F">
            <w:pPr>
              <w:tabs>
                <w:tab w:val="left" w:pos="288"/>
                <w:tab w:val="left" w:pos="576"/>
                <w:tab w:val="left" w:pos="864"/>
                <w:tab w:val="left" w:pos="1152"/>
              </w:tabs>
              <w:suppressAutoHyphens/>
              <w:spacing w:before="40" w:after="40" w:line="210" w:lineRule="exact"/>
              <w:ind w:left="144" w:right="43"/>
              <w:jc w:val="right"/>
              <w:rPr>
                <w:sz w:val="17"/>
              </w:rPr>
            </w:pPr>
            <w:r w:rsidRPr="004D2D2F">
              <w:rPr>
                <w:sz w:val="17"/>
              </w:rPr>
              <w:t>3 (2 femmes)</w:t>
            </w:r>
          </w:p>
        </w:tc>
      </w:tr>
      <w:tr w:rsidR="00172AC5" w:rsidRPr="004D2D2F" w14:paraId="58CE9E38" w14:textId="77777777" w:rsidTr="004D2D2F">
        <w:tc>
          <w:tcPr>
            <w:tcW w:w="5580" w:type="dxa"/>
            <w:shd w:val="clear" w:color="auto" w:fill="auto"/>
            <w:noWrap/>
            <w:vAlign w:val="bottom"/>
          </w:tcPr>
          <w:p w14:paraId="47ACD684" w14:textId="77777777" w:rsidR="00172AC5" w:rsidRPr="004D2D2F" w:rsidRDefault="00172AC5" w:rsidP="004D2D2F">
            <w:pPr>
              <w:tabs>
                <w:tab w:val="left" w:pos="288"/>
                <w:tab w:val="left" w:pos="576"/>
                <w:tab w:val="left" w:pos="864"/>
                <w:tab w:val="left" w:pos="1152"/>
              </w:tabs>
              <w:suppressAutoHyphens/>
              <w:spacing w:before="40" w:after="40" w:line="210" w:lineRule="exact"/>
              <w:ind w:right="40"/>
              <w:rPr>
                <w:sz w:val="17"/>
              </w:rPr>
            </w:pPr>
            <w:r w:rsidRPr="004D2D2F">
              <w:rPr>
                <w:sz w:val="17"/>
              </w:rPr>
              <w:t>Acquisition de compétences et de connaissances proactives pour les employés licenciés et les chômeurs longue durée</w:t>
            </w:r>
          </w:p>
        </w:tc>
        <w:tc>
          <w:tcPr>
            <w:tcW w:w="1740" w:type="dxa"/>
            <w:shd w:val="clear" w:color="auto" w:fill="auto"/>
            <w:noWrap/>
            <w:vAlign w:val="bottom"/>
          </w:tcPr>
          <w:p w14:paraId="4CAE6111" w14:textId="77777777" w:rsidR="00172AC5" w:rsidRPr="004D2D2F" w:rsidRDefault="00172AC5" w:rsidP="004D2D2F">
            <w:pPr>
              <w:tabs>
                <w:tab w:val="left" w:pos="288"/>
                <w:tab w:val="left" w:pos="576"/>
                <w:tab w:val="left" w:pos="864"/>
                <w:tab w:val="left" w:pos="1152"/>
              </w:tabs>
              <w:suppressAutoHyphens/>
              <w:spacing w:before="40" w:after="40" w:line="210" w:lineRule="exact"/>
              <w:ind w:left="144" w:right="43"/>
              <w:jc w:val="right"/>
              <w:rPr>
                <w:sz w:val="17"/>
              </w:rPr>
            </w:pPr>
            <w:r w:rsidRPr="004D2D2F">
              <w:rPr>
                <w:sz w:val="17"/>
              </w:rPr>
              <w:t>4 (2 femmes)</w:t>
            </w:r>
          </w:p>
        </w:tc>
      </w:tr>
      <w:tr w:rsidR="00172AC5" w:rsidRPr="004D2D2F" w14:paraId="3AC97DB4" w14:textId="77777777" w:rsidTr="004D2D2F">
        <w:tc>
          <w:tcPr>
            <w:tcW w:w="5580" w:type="dxa"/>
            <w:shd w:val="clear" w:color="auto" w:fill="auto"/>
            <w:noWrap/>
            <w:vAlign w:val="bottom"/>
          </w:tcPr>
          <w:p w14:paraId="0998AA68" w14:textId="77777777" w:rsidR="00172AC5" w:rsidRPr="004D2D2F" w:rsidRDefault="00172AC5" w:rsidP="004D2D2F">
            <w:pPr>
              <w:tabs>
                <w:tab w:val="left" w:pos="288"/>
                <w:tab w:val="left" w:pos="576"/>
                <w:tab w:val="left" w:pos="864"/>
                <w:tab w:val="left" w:pos="1152"/>
              </w:tabs>
              <w:suppressAutoHyphens/>
              <w:spacing w:before="40" w:after="40" w:line="210" w:lineRule="exact"/>
              <w:ind w:right="40"/>
              <w:rPr>
                <w:sz w:val="17"/>
              </w:rPr>
            </w:pPr>
            <w:r w:rsidRPr="004D2D2F">
              <w:rPr>
                <w:sz w:val="17"/>
              </w:rPr>
              <w:t>Acquisition de connaissances pratiques par les personnes non qualifiées</w:t>
            </w:r>
          </w:p>
        </w:tc>
        <w:tc>
          <w:tcPr>
            <w:tcW w:w="1740" w:type="dxa"/>
            <w:shd w:val="clear" w:color="auto" w:fill="auto"/>
            <w:noWrap/>
            <w:vAlign w:val="bottom"/>
          </w:tcPr>
          <w:p w14:paraId="40CE0603" w14:textId="77777777" w:rsidR="00172AC5" w:rsidRPr="004D2D2F" w:rsidRDefault="00172AC5" w:rsidP="004D2D2F">
            <w:pPr>
              <w:tabs>
                <w:tab w:val="left" w:pos="288"/>
                <w:tab w:val="left" w:pos="576"/>
                <w:tab w:val="left" w:pos="864"/>
                <w:tab w:val="left" w:pos="1152"/>
              </w:tabs>
              <w:suppressAutoHyphens/>
              <w:spacing w:before="40" w:after="40" w:line="210" w:lineRule="exact"/>
              <w:ind w:left="144" w:right="43"/>
              <w:jc w:val="right"/>
              <w:rPr>
                <w:sz w:val="17"/>
              </w:rPr>
            </w:pPr>
            <w:r w:rsidRPr="004D2D2F">
              <w:rPr>
                <w:sz w:val="17"/>
              </w:rPr>
              <w:t>4 (2 femmes)</w:t>
            </w:r>
          </w:p>
        </w:tc>
      </w:tr>
      <w:tr w:rsidR="00172AC5" w:rsidRPr="004D2D2F" w14:paraId="585829C0" w14:textId="77777777" w:rsidTr="004D2D2F">
        <w:tc>
          <w:tcPr>
            <w:tcW w:w="5580" w:type="dxa"/>
            <w:shd w:val="clear" w:color="auto" w:fill="auto"/>
            <w:noWrap/>
            <w:vAlign w:val="bottom"/>
          </w:tcPr>
          <w:p w14:paraId="5EE82959" w14:textId="77777777" w:rsidR="00172AC5" w:rsidRPr="004D2D2F" w:rsidRDefault="00172AC5" w:rsidP="004D2D2F">
            <w:pPr>
              <w:tabs>
                <w:tab w:val="left" w:pos="288"/>
                <w:tab w:val="left" w:pos="576"/>
                <w:tab w:val="left" w:pos="864"/>
                <w:tab w:val="left" w:pos="1152"/>
              </w:tabs>
              <w:suppressAutoHyphens/>
              <w:spacing w:before="40" w:after="40" w:line="210" w:lineRule="exact"/>
              <w:ind w:right="40"/>
              <w:rPr>
                <w:sz w:val="17"/>
              </w:rPr>
            </w:pPr>
            <w:r w:rsidRPr="004D2D2F">
              <w:rPr>
                <w:sz w:val="17"/>
              </w:rPr>
              <w:t xml:space="preserve">Formation sur le marché du travail </w:t>
            </w:r>
          </w:p>
        </w:tc>
        <w:tc>
          <w:tcPr>
            <w:tcW w:w="1740" w:type="dxa"/>
            <w:shd w:val="clear" w:color="auto" w:fill="auto"/>
            <w:noWrap/>
            <w:vAlign w:val="bottom"/>
          </w:tcPr>
          <w:p w14:paraId="0B8715B3" w14:textId="77777777" w:rsidR="00172AC5" w:rsidRPr="004D2D2F" w:rsidRDefault="00172AC5" w:rsidP="004D2D2F">
            <w:pPr>
              <w:tabs>
                <w:tab w:val="left" w:pos="288"/>
                <w:tab w:val="left" w:pos="576"/>
                <w:tab w:val="left" w:pos="864"/>
                <w:tab w:val="left" w:pos="1152"/>
              </w:tabs>
              <w:suppressAutoHyphens/>
              <w:spacing w:before="40" w:after="40" w:line="210" w:lineRule="exact"/>
              <w:ind w:left="144" w:right="43"/>
              <w:jc w:val="right"/>
              <w:rPr>
                <w:sz w:val="17"/>
              </w:rPr>
            </w:pPr>
            <w:r w:rsidRPr="004D2D2F">
              <w:rPr>
                <w:sz w:val="17"/>
              </w:rPr>
              <w:t>5 (4 femmes)</w:t>
            </w:r>
          </w:p>
        </w:tc>
      </w:tr>
      <w:tr w:rsidR="00172AC5" w:rsidRPr="004D2D2F" w14:paraId="6D072F33" w14:textId="77777777" w:rsidTr="004D2D2F">
        <w:tc>
          <w:tcPr>
            <w:tcW w:w="5580" w:type="dxa"/>
            <w:shd w:val="clear" w:color="auto" w:fill="auto"/>
            <w:noWrap/>
            <w:vAlign w:val="bottom"/>
          </w:tcPr>
          <w:p w14:paraId="49468DA8" w14:textId="2481A2DD" w:rsidR="00172AC5" w:rsidRPr="004D2D2F" w:rsidRDefault="00172AC5" w:rsidP="004D2D2F">
            <w:pPr>
              <w:tabs>
                <w:tab w:val="left" w:pos="288"/>
                <w:tab w:val="left" w:pos="576"/>
                <w:tab w:val="left" w:pos="864"/>
                <w:tab w:val="left" w:pos="1152"/>
              </w:tabs>
              <w:suppressAutoHyphens/>
              <w:spacing w:before="40" w:after="40" w:line="210" w:lineRule="exact"/>
              <w:ind w:right="40"/>
              <w:rPr>
                <w:sz w:val="17"/>
              </w:rPr>
            </w:pPr>
            <w:r w:rsidRPr="004D2D2F">
              <w:rPr>
                <w:sz w:val="17"/>
              </w:rPr>
              <w:t>Subventions pour l</w:t>
            </w:r>
            <w:r w:rsidR="00DE1F39" w:rsidRPr="004D2D2F">
              <w:rPr>
                <w:sz w:val="17"/>
              </w:rPr>
              <w:t>’</w:t>
            </w:r>
            <w:r w:rsidRPr="004D2D2F">
              <w:rPr>
                <w:sz w:val="17"/>
              </w:rPr>
              <w:t xml:space="preserve">emploi de chômeurs de la catégorie des personnes difficilement employables </w:t>
            </w:r>
          </w:p>
        </w:tc>
        <w:tc>
          <w:tcPr>
            <w:tcW w:w="1740" w:type="dxa"/>
            <w:shd w:val="clear" w:color="auto" w:fill="auto"/>
            <w:noWrap/>
            <w:vAlign w:val="bottom"/>
          </w:tcPr>
          <w:p w14:paraId="32B536E1" w14:textId="77777777" w:rsidR="00172AC5" w:rsidRPr="004D2D2F" w:rsidRDefault="00172AC5" w:rsidP="004D2D2F">
            <w:pPr>
              <w:tabs>
                <w:tab w:val="left" w:pos="288"/>
                <w:tab w:val="left" w:pos="576"/>
                <w:tab w:val="left" w:pos="864"/>
                <w:tab w:val="left" w:pos="1152"/>
              </w:tabs>
              <w:suppressAutoHyphens/>
              <w:spacing w:before="40" w:after="40" w:line="210" w:lineRule="exact"/>
              <w:ind w:left="144" w:right="43"/>
              <w:jc w:val="right"/>
              <w:rPr>
                <w:sz w:val="17"/>
              </w:rPr>
            </w:pPr>
            <w:r w:rsidRPr="004D2D2F">
              <w:rPr>
                <w:sz w:val="17"/>
              </w:rPr>
              <w:t>193 (105 femmes)</w:t>
            </w:r>
          </w:p>
        </w:tc>
      </w:tr>
      <w:tr w:rsidR="00172AC5" w:rsidRPr="004D2D2F" w14:paraId="2AFE1859" w14:textId="77777777" w:rsidTr="004D2D2F">
        <w:tc>
          <w:tcPr>
            <w:tcW w:w="5580" w:type="dxa"/>
            <w:shd w:val="clear" w:color="auto" w:fill="auto"/>
            <w:noWrap/>
            <w:vAlign w:val="bottom"/>
          </w:tcPr>
          <w:p w14:paraId="47AAB315" w14:textId="77777777" w:rsidR="00172AC5" w:rsidRPr="004D2D2F" w:rsidRDefault="00172AC5" w:rsidP="004D2D2F">
            <w:pPr>
              <w:tabs>
                <w:tab w:val="left" w:pos="288"/>
                <w:tab w:val="left" w:pos="576"/>
                <w:tab w:val="left" w:pos="864"/>
                <w:tab w:val="left" w:pos="1152"/>
              </w:tabs>
              <w:suppressAutoHyphens/>
              <w:spacing w:before="40" w:after="40" w:line="210" w:lineRule="exact"/>
              <w:ind w:right="40"/>
              <w:rPr>
                <w:sz w:val="17"/>
              </w:rPr>
            </w:pPr>
            <w:r w:rsidRPr="004D2D2F">
              <w:rPr>
                <w:sz w:val="17"/>
              </w:rPr>
              <w:t>Travaux publics</w:t>
            </w:r>
          </w:p>
        </w:tc>
        <w:tc>
          <w:tcPr>
            <w:tcW w:w="1740" w:type="dxa"/>
            <w:shd w:val="clear" w:color="auto" w:fill="auto"/>
            <w:noWrap/>
            <w:vAlign w:val="bottom"/>
          </w:tcPr>
          <w:p w14:paraId="7AA51AB2" w14:textId="77777777" w:rsidR="00172AC5" w:rsidRPr="004D2D2F" w:rsidRDefault="00172AC5" w:rsidP="004D2D2F">
            <w:pPr>
              <w:tabs>
                <w:tab w:val="left" w:pos="288"/>
                <w:tab w:val="left" w:pos="576"/>
                <w:tab w:val="left" w:pos="864"/>
                <w:tab w:val="left" w:pos="1152"/>
              </w:tabs>
              <w:suppressAutoHyphens/>
              <w:spacing w:before="40" w:after="40" w:line="210" w:lineRule="exact"/>
              <w:ind w:left="144" w:right="43"/>
              <w:jc w:val="right"/>
              <w:rPr>
                <w:sz w:val="17"/>
              </w:rPr>
            </w:pPr>
            <w:r w:rsidRPr="004D2D2F">
              <w:rPr>
                <w:sz w:val="17"/>
              </w:rPr>
              <w:t>666 (219 femmes)</w:t>
            </w:r>
          </w:p>
        </w:tc>
      </w:tr>
      <w:tr w:rsidR="0015207D" w:rsidRPr="004D2D2F" w14:paraId="6F4C0471" w14:textId="77777777" w:rsidTr="004D2D2F">
        <w:tc>
          <w:tcPr>
            <w:tcW w:w="5580" w:type="dxa"/>
            <w:shd w:val="clear" w:color="auto" w:fill="auto"/>
            <w:noWrap/>
            <w:vAlign w:val="bottom"/>
          </w:tcPr>
          <w:p w14:paraId="70F8E792" w14:textId="77777777" w:rsidR="00172AC5" w:rsidRPr="004D2D2F" w:rsidRDefault="00172AC5" w:rsidP="004D2D2F">
            <w:pPr>
              <w:tabs>
                <w:tab w:val="left" w:pos="288"/>
                <w:tab w:val="left" w:pos="576"/>
                <w:tab w:val="left" w:pos="864"/>
                <w:tab w:val="left" w:pos="1152"/>
              </w:tabs>
              <w:suppressAutoHyphens/>
              <w:spacing w:before="40" w:after="40" w:line="210" w:lineRule="exact"/>
              <w:ind w:right="40"/>
              <w:rPr>
                <w:sz w:val="17"/>
              </w:rPr>
            </w:pPr>
            <w:r w:rsidRPr="004D2D2F">
              <w:rPr>
                <w:sz w:val="17"/>
              </w:rPr>
              <w:t>Subventions pour travailleurs indépendants</w:t>
            </w:r>
          </w:p>
        </w:tc>
        <w:tc>
          <w:tcPr>
            <w:tcW w:w="1740" w:type="dxa"/>
            <w:shd w:val="clear" w:color="auto" w:fill="auto"/>
            <w:noWrap/>
            <w:vAlign w:val="bottom"/>
          </w:tcPr>
          <w:p w14:paraId="17D8B2B2" w14:textId="77777777" w:rsidR="00172AC5" w:rsidRPr="004D2D2F" w:rsidRDefault="00172AC5" w:rsidP="004D2D2F">
            <w:pPr>
              <w:tabs>
                <w:tab w:val="left" w:pos="288"/>
                <w:tab w:val="left" w:pos="576"/>
                <w:tab w:val="left" w:pos="864"/>
                <w:tab w:val="left" w:pos="1152"/>
              </w:tabs>
              <w:suppressAutoHyphens/>
              <w:spacing w:before="40" w:after="40" w:line="210" w:lineRule="exact"/>
              <w:ind w:left="144" w:right="43"/>
              <w:jc w:val="right"/>
              <w:rPr>
                <w:sz w:val="17"/>
              </w:rPr>
            </w:pPr>
            <w:r w:rsidRPr="004D2D2F">
              <w:rPr>
                <w:sz w:val="17"/>
              </w:rPr>
              <w:t>137 (46 femmes)</w:t>
            </w:r>
          </w:p>
        </w:tc>
      </w:tr>
      <w:tr w:rsidR="0015207D" w:rsidRPr="004D2D2F" w14:paraId="7B9F7EA2" w14:textId="77777777" w:rsidTr="004D2D2F">
        <w:tc>
          <w:tcPr>
            <w:tcW w:w="5580" w:type="dxa"/>
            <w:tcBorders>
              <w:bottom w:val="single" w:sz="12" w:space="0" w:color="auto"/>
            </w:tcBorders>
            <w:shd w:val="clear" w:color="auto" w:fill="auto"/>
            <w:noWrap/>
            <w:vAlign w:val="bottom"/>
          </w:tcPr>
          <w:p w14:paraId="52536294" w14:textId="77777777" w:rsidR="00172AC5" w:rsidRPr="004D2D2F" w:rsidRDefault="00172AC5" w:rsidP="004D2D2F">
            <w:pPr>
              <w:tabs>
                <w:tab w:val="left" w:pos="288"/>
                <w:tab w:val="left" w:pos="576"/>
                <w:tab w:val="left" w:pos="864"/>
                <w:tab w:val="left" w:pos="1152"/>
              </w:tabs>
              <w:suppressAutoHyphens/>
              <w:spacing w:before="40" w:after="40" w:line="210" w:lineRule="exact"/>
              <w:ind w:right="40"/>
              <w:rPr>
                <w:sz w:val="17"/>
              </w:rPr>
            </w:pPr>
            <w:r w:rsidRPr="004D2D2F">
              <w:rPr>
                <w:sz w:val="17"/>
              </w:rPr>
              <w:t xml:space="preserve">Subventions pour personnes handicapées sans expérience </w:t>
            </w:r>
          </w:p>
        </w:tc>
        <w:tc>
          <w:tcPr>
            <w:tcW w:w="1740" w:type="dxa"/>
            <w:tcBorders>
              <w:bottom w:val="single" w:sz="12" w:space="0" w:color="auto"/>
            </w:tcBorders>
            <w:shd w:val="clear" w:color="auto" w:fill="auto"/>
            <w:noWrap/>
            <w:vAlign w:val="bottom"/>
          </w:tcPr>
          <w:p w14:paraId="63F9A799" w14:textId="77777777" w:rsidR="00172AC5" w:rsidRPr="004D2D2F" w:rsidRDefault="00172AC5" w:rsidP="004D2D2F">
            <w:pPr>
              <w:tabs>
                <w:tab w:val="left" w:pos="288"/>
                <w:tab w:val="left" w:pos="576"/>
                <w:tab w:val="left" w:pos="864"/>
                <w:tab w:val="left" w:pos="1152"/>
              </w:tabs>
              <w:suppressAutoHyphens/>
              <w:spacing w:before="40" w:after="40" w:line="210" w:lineRule="exact"/>
              <w:ind w:left="144" w:right="43"/>
              <w:jc w:val="right"/>
              <w:rPr>
                <w:sz w:val="17"/>
              </w:rPr>
            </w:pPr>
            <w:r w:rsidRPr="004D2D2F">
              <w:rPr>
                <w:sz w:val="17"/>
              </w:rPr>
              <w:t>4 (1 femmes)</w:t>
            </w:r>
          </w:p>
        </w:tc>
      </w:tr>
    </w:tbl>
    <w:p w14:paraId="1C0A6D4C" w14:textId="30C9F5D4" w:rsidR="007E41FF" w:rsidRPr="00172AC5" w:rsidRDefault="007E41FF" w:rsidP="00172AC5">
      <w:pPr>
        <w:pStyle w:val="SingleTxt"/>
        <w:spacing w:after="0" w:line="120" w:lineRule="exact"/>
        <w:rPr>
          <w:sz w:val="10"/>
        </w:rPr>
      </w:pPr>
    </w:p>
    <w:p w14:paraId="4EE88BEC" w14:textId="4A4CC8A1" w:rsidR="00172AC5" w:rsidRPr="00172AC5" w:rsidRDefault="00172AC5" w:rsidP="00172AC5">
      <w:pPr>
        <w:pStyle w:val="SingleTxt"/>
        <w:spacing w:after="0" w:line="120" w:lineRule="exact"/>
        <w:rPr>
          <w:sz w:val="10"/>
        </w:rPr>
      </w:pPr>
    </w:p>
    <w:p w14:paraId="7EB9B7E7" w14:textId="35D11CF1" w:rsidR="00172AC5" w:rsidRPr="00172AC5" w:rsidRDefault="00172AC5" w:rsidP="00172AC5">
      <w:pPr>
        <w:pStyle w:val="SingleTxt"/>
        <w:spacing w:after="0" w:line="120" w:lineRule="exact"/>
        <w:rPr>
          <w:sz w:val="10"/>
        </w:rPr>
      </w:pPr>
    </w:p>
    <w:p w14:paraId="61F8BCF4" w14:textId="42D3E3C9" w:rsidR="00172AC5" w:rsidRPr="00172AC5" w:rsidRDefault="00172AC5" w:rsidP="00172AC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172AC5">
        <w:rPr>
          <w:lang w:val="fr-FR"/>
        </w:rPr>
        <w:tab/>
        <w:t>Soins de santé</w:t>
      </w:r>
    </w:p>
    <w:p w14:paraId="1E75D0DB" w14:textId="3D3A38F6" w:rsidR="00172AC5" w:rsidRDefault="00172AC5" w:rsidP="00172AC5">
      <w:pPr>
        <w:pStyle w:val="SingleTxt"/>
        <w:numPr>
          <w:ilvl w:val="0"/>
          <w:numId w:val="37"/>
        </w:numPr>
        <w:spacing w:line="240" w:lineRule="exact"/>
        <w:rPr>
          <w:lang w:val="fr-FR"/>
        </w:rPr>
      </w:pPr>
      <w:r w:rsidRPr="00172AC5">
        <w:rPr>
          <w:lang w:val="fr-FR"/>
        </w:rPr>
        <w:t>Afin d</w:t>
      </w:r>
      <w:r w:rsidR="00DE1F39">
        <w:rPr>
          <w:lang w:val="fr-FR"/>
        </w:rPr>
        <w:t>’</w:t>
      </w:r>
      <w:r w:rsidRPr="00172AC5">
        <w:rPr>
          <w:lang w:val="fr-FR"/>
        </w:rPr>
        <w:t>améliorer les soins de santé, en août 2017, un appel d</w:t>
      </w:r>
      <w:r w:rsidR="00DE1F39">
        <w:rPr>
          <w:lang w:val="fr-FR"/>
        </w:rPr>
        <w:t>’</w:t>
      </w:r>
      <w:r w:rsidRPr="00172AC5">
        <w:rPr>
          <w:lang w:val="fr-FR"/>
        </w:rPr>
        <w:t>offres a été lancé pour la modification des programmes de 14 médiateurs et l</w:t>
      </w:r>
      <w:r w:rsidR="00DE1F39">
        <w:rPr>
          <w:lang w:val="fr-FR"/>
        </w:rPr>
        <w:t>’</w:t>
      </w:r>
      <w:r w:rsidRPr="00172AC5">
        <w:rPr>
          <w:lang w:val="fr-FR"/>
        </w:rPr>
        <w:t>emploi de 10 nouveaux médiateurs de santé. La collecte des données sur la situation sanitaire des rom</w:t>
      </w:r>
      <w:r>
        <w:rPr>
          <w:lang w:val="fr-FR"/>
        </w:rPr>
        <w:t>s est réorganisée et améliorée.</w:t>
      </w:r>
    </w:p>
    <w:p w14:paraId="071CE267" w14:textId="7A2645F5" w:rsidR="00172AC5" w:rsidRPr="00172AC5" w:rsidRDefault="00172AC5" w:rsidP="00172AC5">
      <w:pPr>
        <w:pStyle w:val="SingleTxt"/>
        <w:spacing w:after="0" w:line="120" w:lineRule="exact"/>
        <w:rPr>
          <w:sz w:val="10"/>
          <w:lang w:val="fr-FR"/>
        </w:rPr>
      </w:pPr>
    </w:p>
    <w:p w14:paraId="28DA30D6" w14:textId="7FF27A84" w:rsidR="00172AC5" w:rsidRDefault="00172AC5" w:rsidP="00172AC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2AC5">
        <w:rPr>
          <w:lang w:val="fr-FR"/>
        </w:rPr>
        <w:tab/>
      </w:r>
      <w:r w:rsidRPr="00172AC5">
        <w:rPr>
          <w:lang w:val="fr-FR"/>
        </w:rPr>
        <w:tab/>
        <w:t>Protection sociale</w:t>
      </w:r>
    </w:p>
    <w:p w14:paraId="14531C7B" w14:textId="53785E58" w:rsidR="00172AC5" w:rsidRPr="00172AC5" w:rsidRDefault="00172AC5" w:rsidP="00172AC5">
      <w:pPr>
        <w:pStyle w:val="SingleTxt"/>
        <w:spacing w:after="0" w:line="120" w:lineRule="exact"/>
        <w:rPr>
          <w:sz w:val="10"/>
          <w:lang w:val="fr-FR"/>
        </w:rPr>
      </w:pPr>
    </w:p>
    <w:p w14:paraId="55903BF6" w14:textId="30375A23" w:rsidR="00172AC5" w:rsidRPr="00172AC5" w:rsidRDefault="00172AC5" w:rsidP="00172AC5">
      <w:pPr>
        <w:pStyle w:val="SingleTxt"/>
        <w:numPr>
          <w:ilvl w:val="0"/>
          <w:numId w:val="38"/>
        </w:numPr>
        <w:tabs>
          <w:tab w:val="left" w:pos="1742"/>
        </w:tabs>
        <w:spacing w:line="240" w:lineRule="exact"/>
        <w:rPr>
          <w:lang w:val="fr-FR"/>
        </w:rPr>
      </w:pPr>
      <w:r w:rsidRPr="00172AC5">
        <w:rPr>
          <w:lang w:val="fr-FR"/>
        </w:rPr>
        <w:t xml:space="preserve">Dans le domaine de la protection sociale, 115 </w:t>
      </w:r>
      <w:r w:rsidRPr="00172AC5">
        <w:rPr>
          <w:i/>
          <w:lang w:val="fr-FR"/>
        </w:rPr>
        <w:t>équipes internes pour l</w:t>
      </w:r>
      <w:r w:rsidR="00DE1F39">
        <w:rPr>
          <w:i/>
          <w:lang w:val="fr-FR"/>
        </w:rPr>
        <w:t>’</w:t>
      </w:r>
      <w:r w:rsidRPr="00172AC5">
        <w:rPr>
          <w:i/>
          <w:lang w:val="fr-FR"/>
        </w:rPr>
        <w:t xml:space="preserve">organisation de la protection sociale et familiale-juridique des enfants vivant et/ou travaillant dans la rue </w:t>
      </w:r>
      <w:r w:rsidRPr="00172AC5">
        <w:rPr>
          <w:lang w:val="fr-FR"/>
        </w:rPr>
        <w:t xml:space="preserve">ont été créées dans 115 centres de services sociaux. </w:t>
      </w:r>
    </w:p>
    <w:p w14:paraId="19592B61" w14:textId="7F93F699" w:rsidR="00172AC5" w:rsidRPr="00172AC5" w:rsidRDefault="00172AC5" w:rsidP="00172AC5">
      <w:pPr>
        <w:pStyle w:val="SingleTxt"/>
        <w:numPr>
          <w:ilvl w:val="0"/>
          <w:numId w:val="38"/>
        </w:numPr>
        <w:tabs>
          <w:tab w:val="left" w:pos="1742"/>
        </w:tabs>
        <w:rPr>
          <w:lang w:val="fr-FR"/>
        </w:rPr>
      </w:pPr>
      <w:r w:rsidRPr="00172AC5">
        <w:rPr>
          <w:lang w:val="fr-FR"/>
        </w:rPr>
        <w:t>En mars 2017, des contrats sur des transferts spéciaux ont été conclus avec 125 collectivités locales. Ces transferts provenaient des fonds transférés par les autorités centrales pour financer les services de protection sociale faisant partie du champ d</w:t>
      </w:r>
      <w:r w:rsidR="00DE1F39">
        <w:rPr>
          <w:lang w:val="fr-FR"/>
        </w:rPr>
        <w:t>’</w:t>
      </w:r>
      <w:r w:rsidRPr="00172AC5">
        <w:rPr>
          <w:lang w:val="fr-FR"/>
        </w:rPr>
        <w:t xml:space="preserve">application des collectivités locales (701 213 000 dinars serbes). </w:t>
      </w:r>
    </w:p>
    <w:p w14:paraId="0CE1E801" w14:textId="02D894FE" w:rsidR="00172AC5" w:rsidRPr="00172AC5" w:rsidRDefault="00172AC5" w:rsidP="00172AC5">
      <w:pPr>
        <w:pStyle w:val="SingleTxt"/>
        <w:numPr>
          <w:ilvl w:val="0"/>
          <w:numId w:val="38"/>
        </w:numPr>
        <w:tabs>
          <w:tab w:val="left" w:pos="1742"/>
        </w:tabs>
        <w:rPr>
          <w:lang w:val="fr-FR"/>
        </w:rPr>
      </w:pPr>
      <w:r w:rsidRPr="00172AC5">
        <w:rPr>
          <w:lang w:val="fr-FR"/>
        </w:rPr>
        <w:t>Dans le système de protection sociale, deux nouveaux services ont été mis en place pour les familles avec enfants qui risquent d</w:t>
      </w:r>
      <w:r w:rsidR="00DE1F39">
        <w:rPr>
          <w:lang w:val="fr-FR"/>
        </w:rPr>
        <w:t>’</w:t>
      </w:r>
      <w:r w:rsidRPr="00172AC5">
        <w:rPr>
          <w:lang w:val="fr-FR"/>
        </w:rPr>
        <w:t>être déplacées : l</w:t>
      </w:r>
      <w:r w:rsidR="00DE1F39">
        <w:rPr>
          <w:lang w:val="fr-FR"/>
        </w:rPr>
        <w:t>’</w:t>
      </w:r>
      <w:r w:rsidRPr="00172AC5">
        <w:rPr>
          <w:i/>
          <w:lang w:val="fr-FR"/>
        </w:rPr>
        <w:t xml:space="preserve">aide familiale, </w:t>
      </w:r>
      <w:r w:rsidRPr="00172AC5">
        <w:rPr>
          <w:lang w:val="fr-FR"/>
        </w:rPr>
        <w:t xml:space="preserve">qui est un ensemble de services socio-éducatifs de type régional (et sera mis en place dans le cadre de la nouvelle loi sur la protection sociale) et le </w:t>
      </w:r>
      <w:r w:rsidRPr="00172AC5">
        <w:rPr>
          <w:i/>
          <w:lang w:val="fr-FR"/>
        </w:rPr>
        <w:t>placement occasionnel</w:t>
      </w:r>
      <w:r w:rsidRPr="00172AC5">
        <w:rPr>
          <w:lang w:val="fr-FR"/>
        </w:rPr>
        <w:t xml:space="preserve"> qui a déjà été mis en place dans les dispositifs existants dans le cadre de la loi sur la famille et de la loi sur la protection sociale. </w:t>
      </w:r>
    </w:p>
    <w:p w14:paraId="518E37F1" w14:textId="28798E8A" w:rsidR="00172AC5" w:rsidRPr="00172AC5" w:rsidRDefault="00172AC5" w:rsidP="00172AC5">
      <w:pPr>
        <w:pStyle w:val="SingleTxt"/>
        <w:numPr>
          <w:ilvl w:val="0"/>
          <w:numId w:val="38"/>
        </w:numPr>
        <w:tabs>
          <w:tab w:val="left" w:pos="1742"/>
        </w:tabs>
        <w:rPr>
          <w:bCs/>
          <w:iCs/>
          <w:lang w:val="fr-FR"/>
        </w:rPr>
      </w:pPr>
      <w:r w:rsidRPr="00172AC5">
        <w:rPr>
          <w:lang w:val="fr-FR"/>
        </w:rPr>
        <w:t>Afin de renforcer l</w:t>
      </w:r>
      <w:r w:rsidR="00DE1F39">
        <w:rPr>
          <w:lang w:val="fr-FR"/>
        </w:rPr>
        <w:t>’</w:t>
      </w:r>
      <w:r w:rsidRPr="00172AC5">
        <w:rPr>
          <w:lang w:val="fr-FR"/>
        </w:rPr>
        <w:t>arsenal juridique permettant d</w:t>
      </w:r>
      <w:r w:rsidR="00DE1F39">
        <w:rPr>
          <w:lang w:val="fr-FR"/>
        </w:rPr>
        <w:t>’</w:t>
      </w:r>
      <w:r w:rsidRPr="00172AC5">
        <w:rPr>
          <w:lang w:val="fr-FR"/>
        </w:rPr>
        <w:t>identifier les cas de discrimination dans les établissements d</w:t>
      </w:r>
      <w:r w:rsidR="00DE1F39">
        <w:rPr>
          <w:lang w:val="fr-FR"/>
        </w:rPr>
        <w:t>’</w:t>
      </w:r>
      <w:r w:rsidRPr="00172AC5">
        <w:rPr>
          <w:lang w:val="fr-FR"/>
        </w:rPr>
        <w:t>enseignement et éducatifs, et d</w:t>
      </w:r>
      <w:r w:rsidR="00DE1F39">
        <w:rPr>
          <w:lang w:val="fr-FR"/>
        </w:rPr>
        <w:t>’</w:t>
      </w:r>
      <w:r w:rsidRPr="00172AC5">
        <w:rPr>
          <w:lang w:val="fr-FR"/>
        </w:rPr>
        <w:t>y réagir, la loi sur les bases du système éducatif</w:t>
      </w:r>
      <w:r w:rsidRPr="00DE1F39">
        <w:rPr>
          <w:bCs/>
          <w:iCs/>
          <w:vertAlign w:val="superscript"/>
          <w:lang w:val="fr-FR"/>
        </w:rPr>
        <w:footnoteReference w:id="18"/>
      </w:r>
      <w:r w:rsidRPr="00172AC5">
        <w:rPr>
          <w:lang w:val="fr-FR"/>
        </w:rPr>
        <w:t xml:space="preserve"> a été modifiée en octobre 2017. Ses nouvelles dispositions définissent avec précision l</w:t>
      </w:r>
      <w:r w:rsidR="00DE1F39">
        <w:rPr>
          <w:lang w:val="fr-FR"/>
        </w:rPr>
        <w:t>’</w:t>
      </w:r>
      <w:r w:rsidRPr="00172AC5">
        <w:rPr>
          <w:lang w:val="fr-FR"/>
        </w:rPr>
        <w:t>interdiction de la discrimination, l</w:t>
      </w:r>
      <w:r w:rsidR="00DE1F39">
        <w:rPr>
          <w:lang w:val="fr-FR"/>
        </w:rPr>
        <w:t>’</w:t>
      </w:r>
      <w:r w:rsidRPr="00172AC5">
        <w:rPr>
          <w:lang w:val="fr-FR"/>
        </w:rPr>
        <w:t>interdiction de tout comportement qui nuit à la réputation, à l</w:t>
      </w:r>
      <w:r w:rsidR="00DE1F39">
        <w:rPr>
          <w:lang w:val="fr-FR"/>
        </w:rPr>
        <w:t>’</w:t>
      </w:r>
      <w:r w:rsidRPr="00172AC5">
        <w:rPr>
          <w:lang w:val="fr-FR"/>
        </w:rPr>
        <w:t xml:space="preserve">honneur et à la dignité, et les responsabilités des organes et des personnes en matière de réaction aux comportements discriminatoires. </w:t>
      </w:r>
    </w:p>
    <w:p w14:paraId="580500A0" w14:textId="45AF22AA" w:rsidR="00172AC5" w:rsidRPr="00172AC5" w:rsidRDefault="00172AC5" w:rsidP="00172AC5">
      <w:pPr>
        <w:pStyle w:val="SingleTxt"/>
        <w:numPr>
          <w:ilvl w:val="0"/>
          <w:numId w:val="38"/>
        </w:numPr>
        <w:tabs>
          <w:tab w:val="left" w:pos="1742"/>
        </w:tabs>
        <w:rPr>
          <w:b/>
          <w:lang w:val="fr-FR"/>
        </w:rPr>
      </w:pPr>
      <w:r w:rsidRPr="00172AC5">
        <w:rPr>
          <w:lang w:val="fr-FR"/>
        </w:rPr>
        <w:t>Le ministère de l</w:t>
      </w:r>
      <w:r w:rsidR="00DE1F39">
        <w:rPr>
          <w:lang w:val="fr-FR"/>
        </w:rPr>
        <w:t>’</w:t>
      </w:r>
      <w:r w:rsidRPr="00172AC5">
        <w:rPr>
          <w:lang w:val="fr-FR"/>
        </w:rPr>
        <w:t xml:space="preserve">Éducation, des sciences et du développement technologique a adopté le nouveau </w:t>
      </w:r>
      <w:r w:rsidRPr="00172AC5">
        <w:rPr>
          <w:i/>
          <w:lang w:val="fr-FR"/>
        </w:rPr>
        <w:t>règlement sur les mesures que doivent prendre les institutions en cas de suspicion ou de signalement de comportement discriminatoire</w:t>
      </w:r>
      <w:r w:rsidRPr="00DE1F39">
        <w:rPr>
          <w:bCs/>
          <w:i/>
          <w:iCs/>
          <w:vertAlign w:val="superscript"/>
          <w:lang w:val="fr-FR"/>
        </w:rPr>
        <w:footnoteReference w:id="19"/>
      </w:r>
      <w:r>
        <w:rPr>
          <w:i/>
          <w:lang w:val="fr-FR"/>
        </w:rPr>
        <w:t> </w:t>
      </w:r>
      <w:r w:rsidRPr="00172AC5">
        <w:rPr>
          <w:lang w:val="fr-FR"/>
        </w:rPr>
        <w:t>; il est entré en vigueur le 1</w:t>
      </w:r>
      <w:r w:rsidRPr="00172AC5">
        <w:rPr>
          <w:vertAlign w:val="superscript"/>
          <w:lang w:val="fr-FR"/>
        </w:rPr>
        <w:t>er</w:t>
      </w:r>
      <w:r>
        <w:rPr>
          <w:lang w:val="fr-FR"/>
        </w:rPr>
        <w:t> </w:t>
      </w:r>
      <w:r w:rsidRPr="00172AC5">
        <w:rPr>
          <w:lang w:val="fr-FR"/>
        </w:rPr>
        <w:t>septembre 2018. Le Commissaire à la protection de l</w:t>
      </w:r>
      <w:r w:rsidR="00DE1F39">
        <w:rPr>
          <w:lang w:val="fr-FR"/>
        </w:rPr>
        <w:t>’</w:t>
      </w:r>
      <w:r w:rsidRPr="00172AC5">
        <w:rPr>
          <w:lang w:val="fr-FR"/>
        </w:rPr>
        <w:t>égalité, en collaboration avec le ministère de l</w:t>
      </w:r>
      <w:r w:rsidR="00DE1F39">
        <w:rPr>
          <w:lang w:val="fr-FR"/>
        </w:rPr>
        <w:t>’</w:t>
      </w:r>
      <w:r w:rsidRPr="00172AC5">
        <w:rPr>
          <w:lang w:val="fr-FR"/>
        </w:rPr>
        <w:t xml:space="preserve">Éducation, des sciences et du développement </w:t>
      </w:r>
      <w:r w:rsidRPr="00172AC5">
        <w:rPr>
          <w:lang w:val="fr-FR"/>
        </w:rPr>
        <w:lastRenderedPageBreak/>
        <w:t xml:space="preserve">technologique, élabore actuellement un règlement pour le personnel des écoles, les parents et les enfants qui explique comment reconnaître la discrimination et décrit les mécanismes de protection. </w:t>
      </w:r>
    </w:p>
    <w:p w14:paraId="52F5DF6D" w14:textId="069C33AD" w:rsidR="00172AC5" w:rsidRPr="00172AC5" w:rsidRDefault="00172AC5" w:rsidP="00172AC5">
      <w:pPr>
        <w:pStyle w:val="SingleTxt"/>
        <w:numPr>
          <w:ilvl w:val="0"/>
          <w:numId w:val="38"/>
        </w:numPr>
        <w:tabs>
          <w:tab w:val="left" w:pos="1742"/>
        </w:tabs>
        <w:rPr>
          <w:lang w:val="fr-FR"/>
        </w:rPr>
      </w:pPr>
      <w:r w:rsidRPr="00172AC5">
        <w:rPr>
          <w:lang w:val="fr-FR"/>
        </w:rPr>
        <w:t>Ce règlement indique que l</w:t>
      </w:r>
      <w:r w:rsidR="00DE1F39">
        <w:rPr>
          <w:lang w:val="fr-FR"/>
        </w:rPr>
        <w:t>’</w:t>
      </w:r>
      <w:r w:rsidRPr="00172AC5">
        <w:rPr>
          <w:i/>
          <w:lang w:val="fr-FR"/>
        </w:rPr>
        <w:t>équipe chargée de la lutte contre la discrimination, la violence, la maltraitance et la négligence</w:t>
      </w:r>
      <w:r w:rsidRPr="00172AC5">
        <w:rPr>
          <w:lang w:val="fr-FR"/>
        </w:rPr>
        <w:t xml:space="preserve"> dans chaque école conservera une documentation spéciale sur les cas et les nouvelles formes de discrimination, le nombre de signalements et de plaintes, le nombre de procédures formelles et informelles, leur aboutissement, etc.</w:t>
      </w:r>
    </w:p>
    <w:p w14:paraId="3250257D" w14:textId="161BB867" w:rsidR="00172AC5" w:rsidRPr="00172AC5" w:rsidRDefault="00172AC5" w:rsidP="00172AC5">
      <w:pPr>
        <w:pStyle w:val="SingleTxt"/>
        <w:spacing w:after="0" w:line="120" w:lineRule="exact"/>
        <w:rPr>
          <w:sz w:val="10"/>
        </w:rPr>
      </w:pPr>
    </w:p>
    <w:tbl>
      <w:tblPr>
        <w:tblW w:w="0" w:type="auto"/>
        <w:tblInd w:w="1260" w:type="dxa"/>
        <w:tblLayout w:type="fixed"/>
        <w:tblCellMar>
          <w:left w:w="0" w:type="dxa"/>
          <w:right w:w="0" w:type="dxa"/>
        </w:tblCellMar>
        <w:tblLook w:val="00A0" w:firstRow="1" w:lastRow="0" w:firstColumn="1" w:lastColumn="0" w:noHBand="0" w:noVBand="0"/>
      </w:tblPr>
      <w:tblGrid>
        <w:gridCol w:w="3780"/>
        <w:gridCol w:w="1770"/>
        <w:gridCol w:w="1770"/>
      </w:tblGrid>
      <w:tr w:rsidR="004D2D2F" w:rsidRPr="004D2D2F" w14:paraId="11533E9D" w14:textId="77777777" w:rsidTr="004D2D2F">
        <w:trPr>
          <w:trHeight w:val="151"/>
          <w:tblHeader/>
        </w:trPr>
        <w:tc>
          <w:tcPr>
            <w:tcW w:w="7320" w:type="dxa"/>
            <w:gridSpan w:val="3"/>
            <w:tcBorders>
              <w:top w:val="single" w:sz="4" w:space="0" w:color="auto"/>
              <w:bottom w:val="single" w:sz="4" w:space="0" w:color="auto"/>
            </w:tcBorders>
            <w:shd w:val="clear" w:color="auto" w:fill="auto"/>
            <w:vAlign w:val="bottom"/>
          </w:tcPr>
          <w:p w14:paraId="3AEF81CC" w14:textId="01A47F59" w:rsidR="004D2D2F" w:rsidRPr="004D2D2F" w:rsidRDefault="004D2D2F" w:rsidP="004D2D2F">
            <w:pPr>
              <w:suppressAutoHyphens/>
              <w:spacing w:before="81" w:after="81" w:line="160" w:lineRule="exact"/>
              <w:ind w:left="144" w:right="43"/>
              <w:jc w:val="center"/>
              <w:rPr>
                <w:i/>
                <w:sz w:val="14"/>
              </w:rPr>
            </w:pPr>
            <w:r w:rsidRPr="004D2D2F">
              <w:rPr>
                <w:i/>
                <w:sz w:val="14"/>
              </w:rPr>
              <w:t>Caractéristiques des femmes inscrites au chômage</w:t>
            </w:r>
          </w:p>
        </w:tc>
      </w:tr>
      <w:tr w:rsidR="00172AC5" w:rsidRPr="004D2D2F" w14:paraId="14D8892B" w14:textId="77777777" w:rsidTr="004D2D2F">
        <w:trPr>
          <w:trHeight w:val="150"/>
          <w:tblHeader/>
        </w:trPr>
        <w:tc>
          <w:tcPr>
            <w:tcW w:w="3780" w:type="dxa"/>
            <w:tcBorders>
              <w:top w:val="single" w:sz="4" w:space="0" w:color="auto"/>
              <w:bottom w:val="single" w:sz="12" w:space="0" w:color="auto"/>
            </w:tcBorders>
            <w:shd w:val="clear" w:color="auto" w:fill="auto"/>
            <w:vAlign w:val="bottom"/>
          </w:tcPr>
          <w:p w14:paraId="4195B5CC" w14:textId="25DD3FE4" w:rsidR="00172AC5" w:rsidRPr="004D2D2F" w:rsidRDefault="00172AC5" w:rsidP="004D2D2F">
            <w:pPr>
              <w:suppressAutoHyphens/>
              <w:spacing w:before="81" w:after="81" w:line="160" w:lineRule="exact"/>
              <w:ind w:right="40"/>
              <w:rPr>
                <w:i/>
                <w:sz w:val="14"/>
              </w:rPr>
            </w:pPr>
            <w:r w:rsidRPr="004D2D2F">
              <w:rPr>
                <w:i/>
                <w:sz w:val="14"/>
              </w:rPr>
              <w:t>Dans les registres de l</w:t>
            </w:r>
            <w:r w:rsidR="00DE1F39" w:rsidRPr="004D2D2F">
              <w:rPr>
                <w:i/>
                <w:sz w:val="14"/>
              </w:rPr>
              <w:t>’</w:t>
            </w:r>
            <w:r w:rsidRPr="004D2D2F">
              <w:rPr>
                <w:i/>
                <w:sz w:val="14"/>
              </w:rPr>
              <w:t>Agence nationale pour l</w:t>
            </w:r>
            <w:r w:rsidR="00DE1F39" w:rsidRPr="004D2D2F">
              <w:rPr>
                <w:i/>
                <w:sz w:val="14"/>
              </w:rPr>
              <w:t>’</w:t>
            </w:r>
            <w:r w:rsidRPr="004D2D2F">
              <w:rPr>
                <w:i/>
                <w:sz w:val="14"/>
              </w:rPr>
              <w:t>emploi</w:t>
            </w:r>
          </w:p>
        </w:tc>
        <w:tc>
          <w:tcPr>
            <w:tcW w:w="1770" w:type="dxa"/>
            <w:tcBorders>
              <w:top w:val="single" w:sz="4" w:space="0" w:color="auto"/>
              <w:bottom w:val="single" w:sz="12" w:space="0" w:color="auto"/>
            </w:tcBorders>
            <w:shd w:val="clear" w:color="auto" w:fill="auto"/>
            <w:vAlign w:val="bottom"/>
          </w:tcPr>
          <w:p w14:paraId="276C25C2" w14:textId="77777777" w:rsidR="00172AC5" w:rsidRPr="004D2D2F" w:rsidRDefault="00172AC5" w:rsidP="004D2D2F">
            <w:pPr>
              <w:suppressAutoHyphens/>
              <w:spacing w:before="81" w:after="81" w:line="160" w:lineRule="exact"/>
              <w:ind w:left="144" w:right="43"/>
              <w:jc w:val="right"/>
              <w:rPr>
                <w:i/>
                <w:sz w:val="14"/>
              </w:rPr>
            </w:pPr>
            <w:r w:rsidRPr="004D2D2F">
              <w:rPr>
                <w:i/>
                <w:sz w:val="14"/>
              </w:rPr>
              <w:t>Décembre 2017</w:t>
            </w:r>
          </w:p>
        </w:tc>
        <w:tc>
          <w:tcPr>
            <w:tcW w:w="1770" w:type="dxa"/>
            <w:tcBorders>
              <w:top w:val="single" w:sz="4" w:space="0" w:color="auto"/>
              <w:bottom w:val="single" w:sz="12" w:space="0" w:color="auto"/>
            </w:tcBorders>
            <w:shd w:val="clear" w:color="auto" w:fill="auto"/>
            <w:vAlign w:val="bottom"/>
          </w:tcPr>
          <w:p w14:paraId="7AF1445C" w14:textId="77777777" w:rsidR="00172AC5" w:rsidRPr="004D2D2F" w:rsidRDefault="00172AC5" w:rsidP="004D2D2F">
            <w:pPr>
              <w:suppressAutoHyphens/>
              <w:spacing w:before="81" w:after="81" w:line="160" w:lineRule="exact"/>
              <w:ind w:left="144" w:right="43"/>
              <w:jc w:val="right"/>
              <w:rPr>
                <w:i/>
                <w:sz w:val="14"/>
              </w:rPr>
            </w:pPr>
            <w:r w:rsidRPr="004D2D2F">
              <w:rPr>
                <w:i/>
                <w:sz w:val="14"/>
              </w:rPr>
              <w:t>Juin 2018</w:t>
            </w:r>
          </w:p>
        </w:tc>
      </w:tr>
      <w:tr w:rsidR="004D2D2F" w:rsidRPr="004D2D2F" w14:paraId="361DA339" w14:textId="77777777" w:rsidTr="004D2D2F">
        <w:trPr>
          <w:trHeight w:hRule="exact" w:val="115"/>
          <w:tblHeader/>
        </w:trPr>
        <w:tc>
          <w:tcPr>
            <w:tcW w:w="3780" w:type="dxa"/>
            <w:tcBorders>
              <w:top w:val="single" w:sz="12" w:space="0" w:color="auto"/>
            </w:tcBorders>
            <w:shd w:val="clear" w:color="auto" w:fill="auto"/>
            <w:vAlign w:val="bottom"/>
          </w:tcPr>
          <w:p w14:paraId="1DAD1BDE" w14:textId="77777777" w:rsidR="004D2D2F" w:rsidRPr="004D2D2F" w:rsidRDefault="004D2D2F" w:rsidP="004D2D2F">
            <w:pPr>
              <w:suppressAutoHyphens/>
              <w:spacing w:before="40" w:after="40" w:line="210" w:lineRule="exact"/>
              <w:ind w:right="40"/>
              <w:rPr>
                <w:sz w:val="17"/>
              </w:rPr>
            </w:pPr>
          </w:p>
        </w:tc>
        <w:tc>
          <w:tcPr>
            <w:tcW w:w="1770" w:type="dxa"/>
            <w:tcBorders>
              <w:top w:val="single" w:sz="12" w:space="0" w:color="auto"/>
            </w:tcBorders>
            <w:shd w:val="clear" w:color="auto" w:fill="auto"/>
            <w:vAlign w:val="bottom"/>
          </w:tcPr>
          <w:p w14:paraId="1512D091" w14:textId="77777777" w:rsidR="004D2D2F" w:rsidRPr="004D2D2F" w:rsidRDefault="004D2D2F" w:rsidP="004D2D2F">
            <w:pPr>
              <w:suppressAutoHyphens/>
              <w:spacing w:before="40" w:after="40" w:line="210" w:lineRule="exact"/>
              <w:ind w:left="144" w:right="43"/>
              <w:jc w:val="right"/>
              <w:rPr>
                <w:sz w:val="17"/>
              </w:rPr>
            </w:pPr>
          </w:p>
        </w:tc>
        <w:tc>
          <w:tcPr>
            <w:tcW w:w="1770" w:type="dxa"/>
            <w:tcBorders>
              <w:top w:val="single" w:sz="12" w:space="0" w:color="auto"/>
            </w:tcBorders>
            <w:shd w:val="clear" w:color="auto" w:fill="auto"/>
            <w:vAlign w:val="bottom"/>
          </w:tcPr>
          <w:p w14:paraId="0DD81801" w14:textId="77777777" w:rsidR="004D2D2F" w:rsidRPr="004D2D2F" w:rsidRDefault="004D2D2F" w:rsidP="004D2D2F">
            <w:pPr>
              <w:suppressAutoHyphens/>
              <w:spacing w:before="40" w:after="40" w:line="210" w:lineRule="exact"/>
              <w:ind w:left="144" w:right="43"/>
              <w:jc w:val="right"/>
              <w:rPr>
                <w:sz w:val="17"/>
              </w:rPr>
            </w:pPr>
          </w:p>
        </w:tc>
      </w:tr>
      <w:tr w:rsidR="00172AC5" w:rsidRPr="004D2D2F" w14:paraId="43AC1D5A" w14:textId="77777777" w:rsidTr="004D2D2F">
        <w:tc>
          <w:tcPr>
            <w:tcW w:w="3780" w:type="dxa"/>
            <w:shd w:val="clear" w:color="auto" w:fill="auto"/>
            <w:vAlign w:val="bottom"/>
          </w:tcPr>
          <w:p w14:paraId="5212E0F4" w14:textId="77777777" w:rsidR="00172AC5" w:rsidRPr="004D2D2F" w:rsidRDefault="00172AC5" w:rsidP="004D2D2F">
            <w:pPr>
              <w:tabs>
                <w:tab w:val="left" w:pos="288"/>
                <w:tab w:val="left" w:pos="576"/>
                <w:tab w:val="left" w:pos="864"/>
                <w:tab w:val="left" w:pos="1152"/>
              </w:tabs>
              <w:suppressAutoHyphens/>
              <w:spacing w:before="40" w:after="40" w:line="210" w:lineRule="exact"/>
              <w:ind w:right="40"/>
              <w:rPr>
                <w:sz w:val="17"/>
              </w:rPr>
            </w:pPr>
            <w:r w:rsidRPr="004D2D2F">
              <w:rPr>
                <w:sz w:val="17"/>
              </w:rPr>
              <w:t>Femmes</w:t>
            </w:r>
          </w:p>
        </w:tc>
        <w:tc>
          <w:tcPr>
            <w:tcW w:w="1770" w:type="dxa"/>
            <w:shd w:val="clear" w:color="auto" w:fill="auto"/>
            <w:vAlign w:val="bottom"/>
          </w:tcPr>
          <w:p w14:paraId="394CE288" w14:textId="77777777" w:rsidR="00172AC5" w:rsidRPr="004D2D2F" w:rsidRDefault="00172AC5" w:rsidP="004D2D2F">
            <w:pPr>
              <w:tabs>
                <w:tab w:val="left" w:pos="288"/>
                <w:tab w:val="left" w:pos="576"/>
                <w:tab w:val="left" w:pos="864"/>
                <w:tab w:val="left" w:pos="1152"/>
              </w:tabs>
              <w:suppressAutoHyphens/>
              <w:spacing w:before="40" w:after="40" w:line="210" w:lineRule="exact"/>
              <w:ind w:left="144" w:right="43"/>
              <w:jc w:val="right"/>
              <w:rPr>
                <w:sz w:val="17"/>
              </w:rPr>
            </w:pPr>
            <w:r w:rsidRPr="004D2D2F">
              <w:rPr>
                <w:sz w:val="17"/>
              </w:rPr>
              <w:t>342 977 / 52,5 %</w:t>
            </w:r>
          </w:p>
        </w:tc>
        <w:tc>
          <w:tcPr>
            <w:tcW w:w="1770" w:type="dxa"/>
            <w:shd w:val="clear" w:color="auto" w:fill="auto"/>
            <w:vAlign w:val="bottom"/>
          </w:tcPr>
          <w:p w14:paraId="559B58D7" w14:textId="77777777" w:rsidR="00172AC5" w:rsidRPr="004D2D2F" w:rsidRDefault="00172AC5" w:rsidP="004D2D2F">
            <w:pPr>
              <w:tabs>
                <w:tab w:val="left" w:pos="288"/>
                <w:tab w:val="left" w:pos="576"/>
                <w:tab w:val="left" w:pos="864"/>
                <w:tab w:val="left" w:pos="1152"/>
              </w:tabs>
              <w:suppressAutoHyphens/>
              <w:spacing w:before="40" w:after="40" w:line="210" w:lineRule="exact"/>
              <w:ind w:left="144" w:right="43"/>
              <w:jc w:val="right"/>
              <w:rPr>
                <w:sz w:val="17"/>
              </w:rPr>
            </w:pPr>
            <w:r w:rsidRPr="004D2D2F">
              <w:rPr>
                <w:sz w:val="17"/>
              </w:rPr>
              <w:t>306 234 / 52,9 %</w:t>
            </w:r>
          </w:p>
        </w:tc>
      </w:tr>
      <w:tr w:rsidR="00172AC5" w:rsidRPr="004D2D2F" w14:paraId="33C2AFD7" w14:textId="77777777" w:rsidTr="004D2D2F">
        <w:tc>
          <w:tcPr>
            <w:tcW w:w="3780" w:type="dxa"/>
            <w:shd w:val="clear" w:color="auto" w:fill="auto"/>
            <w:vAlign w:val="bottom"/>
          </w:tcPr>
          <w:p w14:paraId="3CEED917" w14:textId="77777777" w:rsidR="00172AC5" w:rsidRPr="004D2D2F" w:rsidRDefault="00172AC5" w:rsidP="004D2D2F">
            <w:pPr>
              <w:tabs>
                <w:tab w:val="left" w:pos="288"/>
                <w:tab w:val="left" w:pos="576"/>
                <w:tab w:val="left" w:pos="864"/>
                <w:tab w:val="left" w:pos="1152"/>
              </w:tabs>
              <w:suppressAutoHyphens/>
              <w:spacing w:before="40" w:after="40" w:line="210" w:lineRule="exact"/>
              <w:ind w:right="40"/>
              <w:rPr>
                <w:sz w:val="17"/>
              </w:rPr>
            </w:pPr>
            <w:r w:rsidRPr="004D2D2F">
              <w:rPr>
                <w:sz w:val="17"/>
              </w:rPr>
              <w:t>Femmes ayant une expérience professionnelle</w:t>
            </w:r>
          </w:p>
        </w:tc>
        <w:tc>
          <w:tcPr>
            <w:tcW w:w="1770" w:type="dxa"/>
            <w:shd w:val="clear" w:color="auto" w:fill="auto"/>
            <w:vAlign w:val="bottom"/>
          </w:tcPr>
          <w:p w14:paraId="320B2791" w14:textId="77777777" w:rsidR="00172AC5" w:rsidRPr="004D2D2F" w:rsidRDefault="00172AC5" w:rsidP="004D2D2F">
            <w:pPr>
              <w:tabs>
                <w:tab w:val="left" w:pos="288"/>
                <w:tab w:val="left" w:pos="576"/>
                <w:tab w:val="left" w:pos="864"/>
                <w:tab w:val="left" w:pos="1152"/>
              </w:tabs>
              <w:suppressAutoHyphens/>
              <w:spacing w:before="40" w:after="40" w:line="210" w:lineRule="exact"/>
              <w:ind w:left="144" w:right="43"/>
              <w:jc w:val="right"/>
              <w:rPr>
                <w:sz w:val="17"/>
              </w:rPr>
            </w:pPr>
            <w:r w:rsidRPr="004D2D2F">
              <w:rPr>
                <w:sz w:val="17"/>
              </w:rPr>
              <w:t>206 303 / 63,5 %</w:t>
            </w:r>
          </w:p>
        </w:tc>
        <w:tc>
          <w:tcPr>
            <w:tcW w:w="1770" w:type="dxa"/>
            <w:shd w:val="clear" w:color="auto" w:fill="auto"/>
            <w:vAlign w:val="bottom"/>
          </w:tcPr>
          <w:p w14:paraId="70F9A1D7" w14:textId="77777777" w:rsidR="00172AC5" w:rsidRPr="004D2D2F" w:rsidRDefault="00172AC5" w:rsidP="004D2D2F">
            <w:pPr>
              <w:tabs>
                <w:tab w:val="left" w:pos="288"/>
                <w:tab w:val="left" w:pos="576"/>
                <w:tab w:val="left" w:pos="864"/>
                <w:tab w:val="left" w:pos="1152"/>
              </w:tabs>
              <w:suppressAutoHyphens/>
              <w:spacing w:before="40" w:after="40" w:line="210" w:lineRule="exact"/>
              <w:ind w:left="144" w:right="43"/>
              <w:jc w:val="right"/>
              <w:rPr>
                <w:sz w:val="17"/>
              </w:rPr>
            </w:pPr>
            <w:r w:rsidRPr="004D2D2F">
              <w:rPr>
                <w:sz w:val="17"/>
              </w:rPr>
              <w:t>194 416 / 63,5 %</w:t>
            </w:r>
          </w:p>
        </w:tc>
      </w:tr>
      <w:tr w:rsidR="00172AC5" w:rsidRPr="004D2D2F" w14:paraId="155853AA" w14:textId="77777777" w:rsidTr="004D2D2F">
        <w:tc>
          <w:tcPr>
            <w:tcW w:w="3780" w:type="dxa"/>
            <w:shd w:val="clear" w:color="auto" w:fill="auto"/>
            <w:vAlign w:val="bottom"/>
          </w:tcPr>
          <w:p w14:paraId="4EE092F6" w14:textId="77777777" w:rsidR="00172AC5" w:rsidRPr="004D2D2F" w:rsidRDefault="00172AC5" w:rsidP="004D2D2F">
            <w:pPr>
              <w:tabs>
                <w:tab w:val="left" w:pos="288"/>
                <w:tab w:val="left" w:pos="576"/>
                <w:tab w:val="left" w:pos="864"/>
                <w:tab w:val="left" w:pos="1152"/>
              </w:tabs>
              <w:suppressAutoHyphens/>
              <w:spacing w:before="40" w:after="40" w:line="210" w:lineRule="exact"/>
              <w:ind w:right="40"/>
              <w:rPr>
                <w:sz w:val="17"/>
              </w:rPr>
            </w:pPr>
            <w:r w:rsidRPr="004D2D2F">
              <w:rPr>
                <w:sz w:val="17"/>
              </w:rPr>
              <w:t>Catégorie la plus nombreuse parmi les chômeuses</w:t>
            </w:r>
          </w:p>
        </w:tc>
        <w:tc>
          <w:tcPr>
            <w:tcW w:w="1770" w:type="dxa"/>
            <w:shd w:val="clear" w:color="auto" w:fill="auto"/>
            <w:vAlign w:val="bottom"/>
          </w:tcPr>
          <w:p w14:paraId="1872C8A0" w14:textId="77777777" w:rsidR="00172AC5" w:rsidRPr="004D2D2F" w:rsidRDefault="00172AC5" w:rsidP="004D2D2F">
            <w:pPr>
              <w:tabs>
                <w:tab w:val="left" w:pos="288"/>
                <w:tab w:val="left" w:pos="576"/>
                <w:tab w:val="left" w:pos="864"/>
                <w:tab w:val="left" w:pos="1152"/>
              </w:tabs>
              <w:suppressAutoHyphens/>
              <w:spacing w:before="40" w:after="40" w:line="210" w:lineRule="exact"/>
              <w:ind w:left="144" w:right="43"/>
              <w:jc w:val="right"/>
              <w:rPr>
                <w:sz w:val="17"/>
              </w:rPr>
            </w:pPr>
            <w:r w:rsidRPr="004D2D2F">
              <w:rPr>
                <w:sz w:val="17"/>
              </w:rPr>
              <w:t>Entre 40 et 44 ans</w:t>
            </w:r>
          </w:p>
        </w:tc>
        <w:tc>
          <w:tcPr>
            <w:tcW w:w="1770" w:type="dxa"/>
            <w:shd w:val="clear" w:color="auto" w:fill="auto"/>
            <w:vAlign w:val="bottom"/>
          </w:tcPr>
          <w:p w14:paraId="06877320" w14:textId="77777777" w:rsidR="00172AC5" w:rsidRPr="004D2D2F" w:rsidRDefault="00172AC5" w:rsidP="004D2D2F">
            <w:pPr>
              <w:tabs>
                <w:tab w:val="left" w:pos="288"/>
                <w:tab w:val="left" w:pos="576"/>
                <w:tab w:val="left" w:pos="864"/>
                <w:tab w:val="left" w:pos="1152"/>
              </w:tabs>
              <w:suppressAutoHyphens/>
              <w:spacing w:before="40" w:after="40" w:line="210" w:lineRule="exact"/>
              <w:ind w:left="144" w:right="43"/>
              <w:jc w:val="right"/>
              <w:rPr>
                <w:sz w:val="17"/>
              </w:rPr>
            </w:pPr>
            <w:r w:rsidRPr="004D2D2F">
              <w:rPr>
                <w:sz w:val="17"/>
              </w:rPr>
              <w:t>Entre 50 et 54 ans</w:t>
            </w:r>
          </w:p>
        </w:tc>
      </w:tr>
      <w:tr w:rsidR="00172AC5" w:rsidRPr="004D2D2F" w14:paraId="01980575" w14:textId="77777777" w:rsidTr="004D2D2F">
        <w:tc>
          <w:tcPr>
            <w:tcW w:w="3780" w:type="dxa"/>
            <w:shd w:val="clear" w:color="auto" w:fill="auto"/>
            <w:vAlign w:val="bottom"/>
          </w:tcPr>
          <w:p w14:paraId="788E6DB5" w14:textId="77777777" w:rsidR="00172AC5" w:rsidRPr="004D2D2F" w:rsidRDefault="00172AC5" w:rsidP="004D2D2F">
            <w:pPr>
              <w:tabs>
                <w:tab w:val="left" w:pos="288"/>
                <w:tab w:val="left" w:pos="576"/>
                <w:tab w:val="left" w:pos="864"/>
                <w:tab w:val="left" w:pos="1152"/>
              </w:tabs>
              <w:suppressAutoHyphens/>
              <w:spacing w:before="40" w:after="40" w:line="210" w:lineRule="exact"/>
              <w:ind w:right="40"/>
              <w:rPr>
                <w:sz w:val="17"/>
              </w:rPr>
            </w:pPr>
            <w:r w:rsidRPr="004D2D2F">
              <w:rPr>
                <w:sz w:val="17"/>
              </w:rPr>
              <w:t>Âge moyen</w:t>
            </w:r>
          </w:p>
        </w:tc>
        <w:tc>
          <w:tcPr>
            <w:tcW w:w="1770" w:type="dxa"/>
            <w:shd w:val="clear" w:color="auto" w:fill="auto"/>
            <w:vAlign w:val="bottom"/>
          </w:tcPr>
          <w:p w14:paraId="0B13A780" w14:textId="77777777" w:rsidR="00172AC5" w:rsidRPr="004D2D2F" w:rsidRDefault="00172AC5" w:rsidP="004D2D2F">
            <w:pPr>
              <w:tabs>
                <w:tab w:val="left" w:pos="288"/>
                <w:tab w:val="left" w:pos="576"/>
                <w:tab w:val="left" w:pos="864"/>
                <w:tab w:val="left" w:pos="1152"/>
              </w:tabs>
              <w:suppressAutoHyphens/>
              <w:spacing w:before="40" w:after="40" w:line="210" w:lineRule="exact"/>
              <w:ind w:left="144" w:right="43"/>
              <w:jc w:val="right"/>
              <w:rPr>
                <w:sz w:val="17"/>
              </w:rPr>
            </w:pPr>
            <w:r w:rsidRPr="004D2D2F">
              <w:rPr>
                <w:sz w:val="17"/>
              </w:rPr>
              <w:t>40</w:t>
            </w:r>
          </w:p>
        </w:tc>
        <w:tc>
          <w:tcPr>
            <w:tcW w:w="1770" w:type="dxa"/>
            <w:shd w:val="clear" w:color="auto" w:fill="auto"/>
            <w:vAlign w:val="bottom"/>
          </w:tcPr>
          <w:p w14:paraId="0C0D9EF6" w14:textId="77777777" w:rsidR="00172AC5" w:rsidRPr="004D2D2F" w:rsidRDefault="00172AC5" w:rsidP="004D2D2F">
            <w:pPr>
              <w:tabs>
                <w:tab w:val="left" w:pos="288"/>
                <w:tab w:val="left" w:pos="576"/>
                <w:tab w:val="left" w:pos="864"/>
                <w:tab w:val="left" w:pos="1152"/>
              </w:tabs>
              <w:suppressAutoHyphens/>
              <w:spacing w:before="40" w:after="40" w:line="210" w:lineRule="exact"/>
              <w:ind w:left="144" w:right="43"/>
              <w:jc w:val="right"/>
              <w:rPr>
                <w:sz w:val="17"/>
              </w:rPr>
            </w:pPr>
            <w:r w:rsidRPr="004D2D2F">
              <w:rPr>
                <w:sz w:val="17"/>
              </w:rPr>
              <w:t>40 ans 11 mois</w:t>
            </w:r>
          </w:p>
        </w:tc>
      </w:tr>
      <w:tr w:rsidR="00172AC5" w:rsidRPr="004D2D2F" w14:paraId="26F19636" w14:textId="77777777" w:rsidTr="004D2D2F">
        <w:tc>
          <w:tcPr>
            <w:tcW w:w="3780" w:type="dxa"/>
            <w:shd w:val="clear" w:color="auto" w:fill="auto"/>
            <w:vAlign w:val="bottom"/>
          </w:tcPr>
          <w:p w14:paraId="401614EC" w14:textId="77777777" w:rsidR="00172AC5" w:rsidRPr="004D2D2F" w:rsidRDefault="00172AC5" w:rsidP="004D2D2F">
            <w:pPr>
              <w:tabs>
                <w:tab w:val="left" w:pos="288"/>
                <w:tab w:val="left" w:pos="576"/>
                <w:tab w:val="left" w:pos="864"/>
                <w:tab w:val="left" w:pos="1152"/>
              </w:tabs>
              <w:suppressAutoHyphens/>
              <w:spacing w:before="40" w:after="40" w:line="210" w:lineRule="exact"/>
              <w:ind w:right="40"/>
              <w:rPr>
                <w:sz w:val="17"/>
              </w:rPr>
            </w:pPr>
            <w:r w:rsidRPr="004D2D2F">
              <w:rPr>
                <w:sz w:val="17"/>
              </w:rPr>
              <w:t>Diplôme universitaire</w:t>
            </w:r>
          </w:p>
        </w:tc>
        <w:tc>
          <w:tcPr>
            <w:tcW w:w="1770" w:type="dxa"/>
            <w:shd w:val="clear" w:color="auto" w:fill="auto"/>
            <w:vAlign w:val="bottom"/>
          </w:tcPr>
          <w:p w14:paraId="2A2D7D26" w14:textId="77777777" w:rsidR="00172AC5" w:rsidRPr="004D2D2F" w:rsidRDefault="00172AC5" w:rsidP="004D2D2F">
            <w:pPr>
              <w:tabs>
                <w:tab w:val="left" w:pos="288"/>
                <w:tab w:val="left" w:pos="576"/>
                <w:tab w:val="left" w:pos="864"/>
                <w:tab w:val="left" w:pos="1152"/>
              </w:tabs>
              <w:suppressAutoHyphens/>
              <w:spacing w:before="40" w:after="40" w:line="210" w:lineRule="exact"/>
              <w:ind w:left="144" w:right="43"/>
              <w:jc w:val="right"/>
              <w:rPr>
                <w:sz w:val="17"/>
              </w:rPr>
            </w:pPr>
            <w:r w:rsidRPr="004D2D2F">
              <w:rPr>
                <w:sz w:val="17"/>
              </w:rPr>
              <w:t>36 321 / 11,2 %</w:t>
            </w:r>
          </w:p>
        </w:tc>
        <w:tc>
          <w:tcPr>
            <w:tcW w:w="1770" w:type="dxa"/>
            <w:shd w:val="clear" w:color="auto" w:fill="auto"/>
            <w:vAlign w:val="bottom"/>
          </w:tcPr>
          <w:p w14:paraId="2E26F0D3" w14:textId="77777777" w:rsidR="00172AC5" w:rsidRPr="004D2D2F" w:rsidRDefault="00172AC5" w:rsidP="004D2D2F">
            <w:pPr>
              <w:tabs>
                <w:tab w:val="left" w:pos="288"/>
                <w:tab w:val="left" w:pos="576"/>
                <w:tab w:val="left" w:pos="864"/>
                <w:tab w:val="left" w:pos="1152"/>
              </w:tabs>
              <w:suppressAutoHyphens/>
              <w:spacing w:before="40" w:after="40" w:line="210" w:lineRule="exact"/>
              <w:ind w:left="144" w:right="43"/>
              <w:jc w:val="right"/>
              <w:rPr>
                <w:sz w:val="17"/>
              </w:rPr>
            </w:pPr>
            <w:r w:rsidRPr="004D2D2F">
              <w:rPr>
                <w:sz w:val="17"/>
              </w:rPr>
              <w:t>11 %</w:t>
            </w:r>
          </w:p>
        </w:tc>
      </w:tr>
      <w:tr w:rsidR="00172AC5" w:rsidRPr="004D2D2F" w14:paraId="73DC4987" w14:textId="77777777" w:rsidTr="004D2D2F">
        <w:tc>
          <w:tcPr>
            <w:tcW w:w="3780" w:type="dxa"/>
            <w:shd w:val="clear" w:color="auto" w:fill="auto"/>
            <w:vAlign w:val="bottom"/>
          </w:tcPr>
          <w:p w14:paraId="1D1C5B01" w14:textId="0706F413" w:rsidR="00172AC5" w:rsidRPr="004D2D2F" w:rsidRDefault="00172AC5" w:rsidP="004D2D2F">
            <w:pPr>
              <w:tabs>
                <w:tab w:val="left" w:pos="288"/>
                <w:tab w:val="left" w:pos="576"/>
                <w:tab w:val="left" w:pos="864"/>
                <w:tab w:val="left" w:pos="1152"/>
              </w:tabs>
              <w:suppressAutoHyphens/>
              <w:spacing w:before="40" w:after="40" w:line="210" w:lineRule="exact"/>
              <w:ind w:right="40"/>
              <w:rPr>
                <w:sz w:val="17"/>
              </w:rPr>
            </w:pPr>
            <w:r w:rsidRPr="004D2D2F">
              <w:rPr>
                <w:sz w:val="17"/>
              </w:rPr>
              <w:t>Durée d</w:t>
            </w:r>
            <w:r w:rsidR="00DE1F39" w:rsidRPr="004D2D2F">
              <w:rPr>
                <w:sz w:val="17"/>
              </w:rPr>
              <w:t>’</w:t>
            </w:r>
            <w:r w:rsidRPr="004D2D2F">
              <w:rPr>
                <w:sz w:val="17"/>
              </w:rPr>
              <w:t xml:space="preserve">attente moyenne </w:t>
            </w:r>
          </w:p>
        </w:tc>
        <w:tc>
          <w:tcPr>
            <w:tcW w:w="1770" w:type="dxa"/>
            <w:shd w:val="clear" w:color="auto" w:fill="auto"/>
            <w:vAlign w:val="bottom"/>
          </w:tcPr>
          <w:p w14:paraId="63DBF07B" w14:textId="77777777" w:rsidR="00172AC5" w:rsidRPr="004D2D2F" w:rsidRDefault="00172AC5" w:rsidP="004D2D2F">
            <w:pPr>
              <w:tabs>
                <w:tab w:val="left" w:pos="288"/>
                <w:tab w:val="left" w:pos="576"/>
                <w:tab w:val="left" w:pos="864"/>
                <w:tab w:val="left" w:pos="1152"/>
              </w:tabs>
              <w:suppressAutoHyphens/>
              <w:spacing w:before="40" w:after="40" w:line="210" w:lineRule="exact"/>
              <w:ind w:left="144" w:right="43"/>
              <w:jc w:val="right"/>
              <w:rPr>
                <w:sz w:val="17"/>
              </w:rPr>
            </w:pPr>
            <w:r w:rsidRPr="004D2D2F">
              <w:rPr>
                <w:sz w:val="17"/>
              </w:rPr>
              <w:t>5 ans</w:t>
            </w:r>
          </w:p>
        </w:tc>
        <w:tc>
          <w:tcPr>
            <w:tcW w:w="1770" w:type="dxa"/>
            <w:shd w:val="clear" w:color="auto" w:fill="auto"/>
            <w:vAlign w:val="bottom"/>
          </w:tcPr>
          <w:p w14:paraId="07A58497" w14:textId="77777777" w:rsidR="00172AC5" w:rsidRPr="004D2D2F" w:rsidRDefault="00172AC5" w:rsidP="004D2D2F">
            <w:pPr>
              <w:tabs>
                <w:tab w:val="left" w:pos="288"/>
                <w:tab w:val="left" w:pos="576"/>
                <w:tab w:val="left" w:pos="864"/>
                <w:tab w:val="left" w:pos="1152"/>
              </w:tabs>
              <w:suppressAutoHyphens/>
              <w:spacing w:before="40" w:after="40" w:line="210" w:lineRule="exact"/>
              <w:ind w:left="144" w:right="43"/>
              <w:jc w:val="right"/>
              <w:rPr>
                <w:sz w:val="17"/>
              </w:rPr>
            </w:pPr>
            <w:r w:rsidRPr="004D2D2F">
              <w:rPr>
                <w:sz w:val="17"/>
              </w:rPr>
              <w:t>5 ans et 2 mois</w:t>
            </w:r>
          </w:p>
        </w:tc>
      </w:tr>
      <w:tr w:rsidR="00172AC5" w:rsidRPr="004D2D2F" w14:paraId="4BFFD8ED" w14:textId="77777777" w:rsidTr="004D2D2F">
        <w:tc>
          <w:tcPr>
            <w:tcW w:w="3780" w:type="dxa"/>
            <w:shd w:val="clear" w:color="auto" w:fill="auto"/>
            <w:vAlign w:val="bottom"/>
          </w:tcPr>
          <w:p w14:paraId="64FDB47B" w14:textId="77777777" w:rsidR="00172AC5" w:rsidRPr="004D2D2F" w:rsidRDefault="00172AC5" w:rsidP="004D2D2F">
            <w:pPr>
              <w:tabs>
                <w:tab w:val="left" w:pos="288"/>
                <w:tab w:val="left" w:pos="576"/>
                <w:tab w:val="left" w:pos="864"/>
                <w:tab w:val="left" w:pos="1152"/>
              </w:tabs>
              <w:suppressAutoHyphens/>
              <w:spacing w:before="40" w:after="40" w:line="210" w:lineRule="exact"/>
              <w:ind w:right="40"/>
              <w:rPr>
                <w:sz w:val="17"/>
              </w:rPr>
            </w:pPr>
            <w:r w:rsidRPr="004D2D2F">
              <w:rPr>
                <w:sz w:val="17"/>
              </w:rPr>
              <w:t>Femmes handicapées</w:t>
            </w:r>
          </w:p>
        </w:tc>
        <w:tc>
          <w:tcPr>
            <w:tcW w:w="1770" w:type="dxa"/>
            <w:shd w:val="clear" w:color="auto" w:fill="auto"/>
            <w:vAlign w:val="bottom"/>
          </w:tcPr>
          <w:p w14:paraId="7401B702" w14:textId="77777777" w:rsidR="00172AC5" w:rsidRPr="004D2D2F" w:rsidRDefault="00172AC5" w:rsidP="004D2D2F">
            <w:pPr>
              <w:tabs>
                <w:tab w:val="left" w:pos="288"/>
                <w:tab w:val="left" w:pos="576"/>
                <w:tab w:val="left" w:pos="864"/>
                <w:tab w:val="left" w:pos="1152"/>
              </w:tabs>
              <w:suppressAutoHyphens/>
              <w:spacing w:before="40" w:after="40" w:line="210" w:lineRule="exact"/>
              <w:ind w:left="144" w:right="43"/>
              <w:jc w:val="right"/>
              <w:rPr>
                <w:sz w:val="17"/>
              </w:rPr>
            </w:pPr>
            <w:r w:rsidRPr="004D2D2F">
              <w:rPr>
                <w:sz w:val="17"/>
              </w:rPr>
              <w:t>6 037 / 39,2 %</w:t>
            </w:r>
          </w:p>
        </w:tc>
        <w:tc>
          <w:tcPr>
            <w:tcW w:w="1770" w:type="dxa"/>
            <w:shd w:val="clear" w:color="auto" w:fill="auto"/>
            <w:vAlign w:val="bottom"/>
          </w:tcPr>
          <w:p w14:paraId="00D6D040" w14:textId="77777777" w:rsidR="00172AC5" w:rsidRPr="004D2D2F" w:rsidRDefault="00172AC5" w:rsidP="004D2D2F">
            <w:pPr>
              <w:tabs>
                <w:tab w:val="left" w:pos="288"/>
                <w:tab w:val="left" w:pos="576"/>
                <w:tab w:val="left" w:pos="864"/>
                <w:tab w:val="left" w:pos="1152"/>
              </w:tabs>
              <w:suppressAutoHyphens/>
              <w:spacing w:before="40" w:after="40" w:line="210" w:lineRule="exact"/>
              <w:ind w:left="144" w:right="43"/>
              <w:jc w:val="right"/>
              <w:rPr>
                <w:sz w:val="17"/>
              </w:rPr>
            </w:pPr>
            <w:r w:rsidRPr="004D2D2F">
              <w:rPr>
                <w:sz w:val="17"/>
              </w:rPr>
              <w:t>5 291 / 39,4 %</w:t>
            </w:r>
          </w:p>
        </w:tc>
      </w:tr>
      <w:tr w:rsidR="00172AC5" w:rsidRPr="004D2D2F" w14:paraId="0A77CEF8" w14:textId="77777777" w:rsidTr="004D2D2F">
        <w:tc>
          <w:tcPr>
            <w:tcW w:w="3780" w:type="dxa"/>
            <w:tcBorders>
              <w:bottom w:val="single" w:sz="12" w:space="0" w:color="auto"/>
            </w:tcBorders>
            <w:shd w:val="clear" w:color="auto" w:fill="auto"/>
            <w:vAlign w:val="bottom"/>
          </w:tcPr>
          <w:p w14:paraId="3131E659" w14:textId="77777777" w:rsidR="00172AC5" w:rsidRPr="004D2D2F" w:rsidRDefault="00172AC5" w:rsidP="004D2D2F">
            <w:pPr>
              <w:tabs>
                <w:tab w:val="left" w:pos="288"/>
                <w:tab w:val="left" w:pos="576"/>
                <w:tab w:val="left" w:pos="864"/>
                <w:tab w:val="left" w:pos="1152"/>
              </w:tabs>
              <w:suppressAutoHyphens/>
              <w:spacing w:before="40" w:after="40" w:line="210" w:lineRule="exact"/>
              <w:ind w:right="40"/>
              <w:rPr>
                <w:sz w:val="17"/>
              </w:rPr>
            </w:pPr>
            <w:r w:rsidRPr="004D2D2F">
              <w:rPr>
                <w:sz w:val="17"/>
              </w:rPr>
              <w:t xml:space="preserve">Femmes roms </w:t>
            </w:r>
          </w:p>
        </w:tc>
        <w:tc>
          <w:tcPr>
            <w:tcW w:w="1770" w:type="dxa"/>
            <w:tcBorders>
              <w:bottom w:val="single" w:sz="12" w:space="0" w:color="auto"/>
            </w:tcBorders>
            <w:shd w:val="clear" w:color="auto" w:fill="auto"/>
            <w:vAlign w:val="bottom"/>
          </w:tcPr>
          <w:p w14:paraId="625EB900" w14:textId="77777777" w:rsidR="00172AC5" w:rsidRPr="004D2D2F" w:rsidRDefault="00172AC5" w:rsidP="004D2D2F">
            <w:pPr>
              <w:tabs>
                <w:tab w:val="left" w:pos="288"/>
                <w:tab w:val="left" w:pos="576"/>
                <w:tab w:val="left" w:pos="864"/>
                <w:tab w:val="left" w:pos="1152"/>
              </w:tabs>
              <w:suppressAutoHyphens/>
              <w:spacing w:before="40" w:after="40" w:line="210" w:lineRule="exact"/>
              <w:ind w:left="144" w:right="43"/>
              <w:jc w:val="right"/>
              <w:rPr>
                <w:sz w:val="17"/>
              </w:rPr>
            </w:pPr>
            <w:r w:rsidRPr="004D2D2F">
              <w:rPr>
                <w:sz w:val="17"/>
              </w:rPr>
              <w:t>12 411 / 39,2 %</w:t>
            </w:r>
          </w:p>
        </w:tc>
        <w:tc>
          <w:tcPr>
            <w:tcW w:w="1770" w:type="dxa"/>
            <w:tcBorders>
              <w:bottom w:val="single" w:sz="12" w:space="0" w:color="auto"/>
            </w:tcBorders>
            <w:shd w:val="clear" w:color="auto" w:fill="auto"/>
            <w:vAlign w:val="bottom"/>
          </w:tcPr>
          <w:p w14:paraId="66EC1894" w14:textId="77777777" w:rsidR="00172AC5" w:rsidRPr="004D2D2F" w:rsidRDefault="00172AC5" w:rsidP="004D2D2F">
            <w:pPr>
              <w:tabs>
                <w:tab w:val="left" w:pos="288"/>
                <w:tab w:val="left" w:pos="576"/>
                <w:tab w:val="left" w:pos="864"/>
                <w:tab w:val="left" w:pos="1152"/>
              </w:tabs>
              <w:suppressAutoHyphens/>
              <w:spacing w:before="40" w:after="40" w:line="210" w:lineRule="exact"/>
              <w:ind w:left="144" w:right="43"/>
              <w:jc w:val="right"/>
              <w:rPr>
                <w:sz w:val="17"/>
              </w:rPr>
            </w:pPr>
            <w:r w:rsidRPr="004D2D2F">
              <w:rPr>
                <w:sz w:val="17"/>
              </w:rPr>
              <w:t>12 518 / 47,5 %</w:t>
            </w:r>
          </w:p>
        </w:tc>
      </w:tr>
    </w:tbl>
    <w:p w14:paraId="407DF367" w14:textId="6B0A38F6" w:rsidR="00172AC5" w:rsidRPr="004D2D2F" w:rsidRDefault="00172AC5" w:rsidP="004D2D2F">
      <w:pPr>
        <w:pStyle w:val="SingleTxt"/>
        <w:spacing w:after="0" w:line="120" w:lineRule="exact"/>
        <w:rPr>
          <w:sz w:val="10"/>
        </w:rPr>
      </w:pPr>
    </w:p>
    <w:p w14:paraId="0238302E" w14:textId="409CFD19" w:rsidR="004D2D2F" w:rsidRPr="004D2D2F" w:rsidRDefault="004D2D2F" w:rsidP="004D2D2F">
      <w:pPr>
        <w:pStyle w:val="SingleTxt"/>
        <w:spacing w:after="0" w:line="120" w:lineRule="exact"/>
        <w:rPr>
          <w:sz w:val="10"/>
        </w:rPr>
      </w:pPr>
    </w:p>
    <w:tbl>
      <w:tblPr>
        <w:tblStyle w:val="TableGrid"/>
        <w:tblW w:w="7335"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2250"/>
        <w:gridCol w:w="2385"/>
      </w:tblGrid>
      <w:tr w:rsidR="004D2D2F" w:rsidRPr="004D2D2F" w14:paraId="32E360B5" w14:textId="77777777" w:rsidTr="00F04216">
        <w:trPr>
          <w:trHeight w:val="151"/>
          <w:tblHeader/>
        </w:trPr>
        <w:tc>
          <w:tcPr>
            <w:tcW w:w="7335" w:type="dxa"/>
            <w:gridSpan w:val="3"/>
            <w:tcBorders>
              <w:top w:val="single" w:sz="4" w:space="0" w:color="auto"/>
              <w:bottom w:val="single" w:sz="4" w:space="0" w:color="auto"/>
            </w:tcBorders>
            <w:shd w:val="clear" w:color="auto" w:fill="auto"/>
            <w:noWrap/>
            <w:vAlign w:val="bottom"/>
          </w:tcPr>
          <w:p w14:paraId="4D723EE3" w14:textId="68C20BAE" w:rsidR="004D2D2F" w:rsidRPr="004D2D2F" w:rsidRDefault="004D2D2F" w:rsidP="004D2D2F">
            <w:pPr>
              <w:spacing w:before="81" w:after="81" w:line="160" w:lineRule="exact"/>
              <w:ind w:left="144" w:right="43"/>
              <w:jc w:val="center"/>
              <w:rPr>
                <w:i/>
                <w:sz w:val="14"/>
              </w:rPr>
            </w:pPr>
            <w:r w:rsidRPr="004D2D2F">
              <w:rPr>
                <w:i/>
                <w:sz w:val="14"/>
              </w:rPr>
              <w:br w:type="page"/>
              <w:t>Emploi des femmes/Source Agence nationale pour l’emploi</w:t>
            </w:r>
          </w:p>
        </w:tc>
      </w:tr>
      <w:tr w:rsidR="00172AC5" w:rsidRPr="004D2D2F" w14:paraId="6BEC32AA" w14:textId="77777777" w:rsidTr="00F04216">
        <w:trPr>
          <w:trHeight w:val="150"/>
          <w:tblHeader/>
        </w:trPr>
        <w:tc>
          <w:tcPr>
            <w:tcW w:w="2700" w:type="dxa"/>
            <w:tcBorders>
              <w:top w:val="single" w:sz="4" w:space="0" w:color="auto"/>
              <w:bottom w:val="single" w:sz="12" w:space="0" w:color="auto"/>
            </w:tcBorders>
            <w:shd w:val="clear" w:color="auto" w:fill="auto"/>
            <w:noWrap/>
            <w:vAlign w:val="bottom"/>
          </w:tcPr>
          <w:p w14:paraId="5801DC37" w14:textId="6F6EF73A" w:rsidR="00172AC5" w:rsidRPr="004D2D2F" w:rsidRDefault="00172AC5" w:rsidP="00F04216">
            <w:pPr>
              <w:spacing w:before="81" w:after="81" w:line="160" w:lineRule="exact"/>
              <w:ind w:right="43"/>
              <w:rPr>
                <w:i/>
                <w:sz w:val="14"/>
              </w:rPr>
            </w:pPr>
            <w:r w:rsidRPr="004D2D2F">
              <w:rPr>
                <w:i/>
                <w:sz w:val="14"/>
              </w:rPr>
              <w:t>Nombre total d</w:t>
            </w:r>
            <w:r w:rsidR="00DE1F39" w:rsidRPr="004D2D2F">
              <w:rPr>
                <w:i/>
                <w:sz w:val="14"/>
              </w:rPr>
              <w:t>’</w:t>
            </w:r>
            <w:r w:rsidRPr="004D2D2F">
              <w:rPr>
                <w:i/>
                <w:sz w:val="14"/>
              </w:rPr>
              <w:t>emplois enregistrés</w:t>
            </w:r>
          </w:p>
        </w:tc>
        <w:tc>
          <w:tcPr>
            <w:tcW w:w="2250" w:type="dxa"/>
            <w:tcBorders>
              <w:top w:val="single" w:sz="4" w:space="0" w:color="auto"/>
              <w:bottom w:val="single" w:sz="12" w:space="0" w:color="auto"/>
            </w:tcBorders>
            <w:shd w:val="clear" w:color="auto" w:fill="auto"/>
            <w:noWrap/>
            <w:vAlign w:val="bottom"/>
          </w:tcPr>
          <w:p w14:paraId="5A6A095D" w14:textId="77777777" w:rsidR="00172AC5" w:rsidRPr="004D2D2F" w:rsidRDefault="00172AC5" w:rsidP="00F04216">
            <w:pPr>
              <w:spacing w:before="81" w:after="81" w:line="160" w:lineRule="exact"/>
              <w:ind w:right="43"/>
              <w:jc w:val="right"/>
              <w:rPr>
                <w:i/>
                <w:sz w:val="14"/>
              </w:rPr>
            </w:pPr>
            <w:r w:rsidRPr="004D2D2F">
              <w:rPr>
                <w:i/>
                <w:sz w:val="14"/>
              </w:rPr>
              <w:t>Janvier – Décembre 2017</w:t>
            </w:r>
          </w:p>
        </w:tc>
        <w:tc>
          <w:tcPr>
            <w:tcW w:w="2385" w:type="dxa"/>
            <w:tcBorders>
              <w:top w:val="single" w:sz="4" w:space="0" w:color="auto"/>
              <w:bottom w:val="single" w:sz="12" w:space="0" w:color="auto"/>
            </w:tcBorders>
            <w:shd w:val="clear" w:color="auto" w:fill="auto"/>
            <w:noWrap/>
            <w:vAlign w:val="bottom"/>
          </w:tcPr>
          <w:p w14:paraId="30F61764" w14:textId="77777777" w:rsidR="00172AC5" w:rsidRPr="004D2D2F" w:rsidRDefault="00172AC5" w:rsidP="00F04216">
            <w:pPr>
              <w:spacing w:before="81" w:after="81" w:line="160" w:lineRule="exact"/>
              <w:ind w:right="43"/>
              <w:jc w:val="right"/>
              <w:rPr>
                <w:i/>
                <w:sz w:val="14"/>
              </w:rPr>
            </w:pPr>
            <w:r w:rsidRPr="004D2D2F">
              <w:rPr>
                <w:i/>
                <w:sz w:val="14"/>
              </w:rPr>
              <w:t>Janvier – Juin 2018</w:t>
            </w:r>
          </w:p>
        </w:tc>
      </w:tr>
      <w:tr w:rsidR="004D2D2F" w:rsidRPr="004D2D2F" w14:paraId="209AFC43" w14:textId="77777777" w:rsidTr="00F04216">
        <w:trPr>
          <w:trHeight w:hRule="exact" w:val="115"/>
          <w:tblHeader/>
        </w:trPr>
        <w:tc>
          <w:tcPr>
            <w:tcW w:w="2700" w:type="dxa"/>
            <w:tcBorders>
              <w:top w:val="single" w:sz="12" w:space="0" w:color="auto"/>
            </w:tcBorders>
            <w:shd w:val="clear" w:color="auto" w:fill="auto"/>
            <w:noWrap/>
            <w:vAlign w:val="bottom"/>
          </w:tcPr>
          <w:p w14:paraId="7EC666AC" w14:textId="77777777" w:rsidR="004D2D2F" w:rsidRPr="004D2D2F" w:rsidRDefault="004D2D2F" w:rsidP="00F04216">
            <w:pPr>
              <w:spacing w:before="40" w:after="81" w:line="210" w:lineRule="exact"/>
              <w:ind w:right="43"/>
              <w:rPr>
                <w:sz w:val="17"/>
              </w:rPr>
            </w:pPr>
          </w:p>
        </w:tc>
        <w:tc>
          <w:tcPr>
            <w:tcW w:w="2250" w:type="dxa"/>
            <w:tcBorders>
              <w:top w:val="single" w:sz="12" w:space="0" w:color="auto"/>
            </w:tcBorders>
            <w:shd w:val="clear" w:color="auto" w:fill="auto"/>
            <w:noWrap/>
            <w:vAlign w:val="bottom"/>
          </w:tcPr>
          <w:p w14:paraId="1C5DCA46" w14:textId="77777777" w:rsidR="004D2D2F" w:rsidRPr="004D2D2F" w:rsidRDefault="004D2D2F" w:rsidP="00F04216">
            <w:pPr>
              <w:spacing w:before="40" w:after="81" w:line="210" w:lineRule="exact"/>
              <w:ind w:right="43"/>
              <w:jc w:val="right"/>
              <w:rPr>
                <w:sz w:val="17"/>
              </w:rPr>
            </w:pPr>
          </w:p>
        </w:tc>
        <w:tc>
          <w:tcPr>
            <w:tcW w:w="2385" w:type="dxa"/>
            <w:tcBorders>
              <w:top w:val="single" w:sz="12" w:space="0" w:color="auto"/>
            </w:tcBorders>
            <w:shd w:val="clear" w:color="auto" w:fill="auto"/>
            <w:noWrap/>
            <w:vAlign w:val="bottom"/>
          </w:tcPr>
          <w:p w14:paraId="5525A796" w14:textId="77777777" w:rsidR="004D2D2F" w:rsidRPr="004D2D2F" w:rsidRDefault="004D2D2F" w:rsidP="00F04216">
            <w:pPr>
              <w:spacing w:before="40" w:after="81" w:line="210" w:lineRule="exact"/>
              <w:ind w:right="43"/>
              <w:jc w:val="right"/>
              <w:rPr>
                <w:sz w:val="17"/>
              </w:rPr>
            </w:pPr>
          </w:p>
        </w:tc>
      </w:tr>
      <w:tr w:rsidR="0015207D" w:rsidRPr="004D2D2F" w14:paraId="67EE66F6" w14:textId="77777777" w:rsidTr="00F04216">
        <w:tc>
          <w:tcPr>
            <w:tcW w:w="2700" w:type="dxa"/>
            <w:tcBorders>
              <w:bottom w:val="single" w:sz="4" w:space="0" w:color="auto"/>
            </w:tcBorders>
            <w:shd w:val="clear" w:color="auto" w:fill="auto"/>
            <w:noWrap/>
          </w:tcPr>
          <w:p w14:paraId="5F608DB4" w14:textId="2B57EF05" w:rsidR="00172AC5" w:rsidRPr="004D2D2F" w:rsidRDefault="004D2D2F" w:rsidP="00F04216">
            <w:pPr>
              <w:tabs>
                <w:tab w:val="left" w:pos="288"/>
                <w:tab w:val="left" w:pos="576"/>
                <w:tab w:val="left" w:pos="864"/>
                <w:tab w:val="left" w:pos="1152"/>
              </w:tabs>
              <w:spacing w:before="81" w:after="81" w:line="210" w:lineRule="exact"/>
              <w:ind w:right="43"/>
              <w:rPr>
                <w:b/>
                <w:sz w:val="17"/>
              </w:rPr>
            </w:pPr>
            <w:r w:rsidRPr="004D2D2F">
              <w:rPr>
                <w:b/>
                <w:sz w:val="17"/>
              </w:rPr>
              <w:tab/>
            </w:r>
            <w:r w:rsidR="00172AC5" w:rsidRPr="004D2D2F">
              <w:rPr>
                <w:b/>
                <w:sz w:val="17"/>
              </w:rPr>
              <w:t>Total</w:t>
            </w:r>
          </w:p>
        </w:tc>
        <w:tc>
          <w:tcPr>
            <w:tcW w:w="2250" w:type="dxa"/>
            <w:tcBorders>
              <w:bottom w:val="single" w:sz="4" w:space="0" w:color="auto"/>
            </w:tcBorders>
            <w:shd w:val="clear" w:color="auto" w:fill="auto"/>
            <w:noWrap/>
            <w:vAlign w:val="bottom"/>
          </w:tcPr>
          <w:p w14:paraId="16292C9A" w14:textId="77777777" w:rsidR="00172AC5" w:rsidRPr="004D2D2F" w:rsidRDefault="00172AC5" w:rsidP="00F04216">
            <w:pPr>
              <w:tabs>
                <w:tab w:val="left" w:pos="288"/>
                <w:tab w:val="left" w:pos="576"/>
                <w:tab w:val="left" w:pos="864"/>
                <w:tab w:val="left" w:pos="1152"/>
              </w:tabs>
              <w:spacing w:before="81" w:after="81" w:line="210" w:lineRule="exact"/>
              <w:ind w:right="43"/>
              <w:jc w:val="right"/>
              <w:rPr>
                <w:b/>
                <w:sz w:val="17"/>
              </w:rPr>
            </w:pPr>
            <w:r w:rsidRPr="004D2D2F">
              <w:rPr>
                <w:b/>
                <w:sz w:val="17"/>
              </w:rPr>
              <w:t>268 497</w:t>
            </w:r>
          </w:p>
        </w:tc>
        <w:tc>
          <w:tcPr>
            <w:tcW w:w="2385" w:type="dxa"/>
            <w:tcBorders>
              <w:bottom w:val="single" w:sz="4" w:space="0" w:color="auto"/>
            </w:tcBorders>
            <w:shd w:val="clear" w:color="auto" w:fill="auto"/>
            <w:noWrap/>
            <w:vAlign w:val="bottom"/>
          </w:tcPr>
          <w:p w14:paraId="44A0CD3D" w14:textId="77777777" w:rsidR="00172AC5" w:rsidRPr="004D2D2F" w:rsidRDefault="00172AC5" w:rsidP="00F04216">
            <w:pPr>
              <w:tabs>
                <w:tab w:val="left" w:pos="288"/>
                <w:tab w:val="left" w:pos="576"/>
                <w:tab w:val="left" w:pos="864"/>
                <w:tab w:val="left" w:pos="1152"/>
              </w:tabs>
              <w:spacing w:before="81" w:after="81" w:line="210" w:lineRule="exact"/>
              <w:ind w:right="43"/>
              <w:jc w:val="right"/>
              <w:rPr>
                <w:b/>
                <w:sz w:val="17"/>
              </w:rPr>
            </w:pPr>
            <w:r w:rsidRPr="004D2D2F">
              <w:rPr>
                <w:b/>
                <w:sz w:val="17"/>
              </w:rPr>
              <w:t>135 536</w:t>
            </w:r>
          </w:p>
        </w:tc>
      </w:tr>
      <w:tr w:rsidR="00172AC5" w:rsidRPr="004D2D2F" w14:paraId="0276E611" w14:textId="77777777" w:rsidTr="00F04216">
        <w:tc>
          <w:tcPr>
            <w:tcW w:w="2700" w:type="dxa"/>
            <w:tcBorders>
              <w:top w:val="single" w:sz="4" w:space="0" w:color="auto"/>
            </w:tcBorders>
            <w:shd w:val="clear" w:color="auto" w:fill="auto"/>
            <w:noWrap/>
          </w:tcPr>
          <w:p w14:paraId="3FF0E859" w14:textId="77777777" w:rsidR="00172AC5" w:rsidRPr="004D2D2F" w:rsidRDefault="00172AC5" w:rsidP="00F04216">
            <w:pPr>
              <w:tabs>
                <w:tab w:val="left" w:pos="288"/>
                <w:tab w:val="left" w:pos="576"/>
                <w:tab w:val="left" w:pos="864"/>
                <w:tab w:val="left" w:pos="1152"/>
              </w:tabs>
              <w:spacing w:before="81" w:after="40" w:line="210" w:lineRule="exact"/>
              <w:ind w:right="43"/>
              <w:rPr>
                <w:sz w:val="17"/>
              </w:rPr>
            </w:pPr>
            <w:r w:rsidRPr="004D2D2F">
              <w:rPr>
                <w:sz w:val="17"/>
              </w:rPr>
              <w:t>Femmes</w:t>
            </w:r>
          </w:p>
        </w:tc>
        <w:tc>
          <w:tcPr>
            <w:tcW w:w="2250" w:type="dxa"/>
            <w:tcBorders>
              <w:top w:val="single" w:sz="4" w:space="0" w:color="auto"/>
            </w:tcBorders>
            <w:shd w:val="clear" w:color="auto" w:fill="auto"/>
            <w:noWrap/>
            <w:vAlign w:val="bottom"/>
          </w:tcPr>
          <w:p w14:paraId="180E7746" w14:textId="77777777" w:rsidR="00172AC5" w:rsidRPr="004D2D2F" w:rsidRDefault="00172AC5" w:rsidP="00F04216">
            <w:pPr>
              <w:tabs>
                <w:tab w:val="left" w:pos="288"/>
                <w:tab w:val="left" w:pos="576"/>
                <w:tab w:val="left" w:pos="864"/>
                <w:tab w:val="left" w:pos="1152"/>
              </w:tabs>
              <w:spacing w:before="81" w:after="40" w:line="210" w:lineRule="exact"/>
              <w:ind w:right="43"/>
              <w:jc w:val="right"/>
              <w:rPr>
                <w:sz w:val="17"/>
              </w:rPr>
            </w:pPr>
            <w:r w:rsidRPr="004D2D2F">
              <w:rPr>
                <w:sz w:val="17"/>
              </w:rPr>
              <w:t>138 152</w:t>
            </w:r>
          </w:p>
          <w:p w14:paraId="7E028334" w14:textId="5B49C750" w:rsidR="00172AC5" w:rsidRPr="004D2D2F" w:rsidRDefault="00172AC5" w:rsidP="00F04216">
            <w:pPr>
              <w:tabs>
                <w:tab w:val="left" w:pos="288"/>
                <w:tab w:val="left" w:pos="576"/>
                <w:tab w:val="left" w:pos="864"/>
                <w:tab w:val="left" w:pos="1152"/>
              </w:tabs>
              <w:spacing w:before="81" w:after="40" w:line="210" w:lineRule="exact"/>
              <w:ind w:right="43"/>
              <w:jc w:val="right"/>
              <w:rPr>
                <w:sz w:val="17"/>
              </w:rPr>
            </w:pPr>
            <w:r w:rsidRPr="004D2D2F">
              <w:rPr>
                <w:sz w:val="17"/>
              </w:rPr>
              <w:t>(51,5 % de 27.973 ont un diplôme universitaire – Niveau d</w:t>
            </w:r>
            <w:r w:rsidR="00DE1F39" w:rsidRPr="004D2D2F">
              <w:rPr>
                <w:sz w:val="17"/>
              </w:rPr>
              <w:t>’</w:t>
            </w:r>
            <w:r w:rsidRPr="004D2D2F">
              <w:rPr>
                <w:sz w:val="17"/>
              </w:rPr>
              <w:t>étude VII et VIII)</w:t>
            </w:r>
          </w:p>
        </w:tc>
        <w:tc>
          <w:tcPr>
            <w:tcW w:w="2385" w:type="dxa"/>
            <w:tcBorders>
              <w:top w:val="single" w:sz="4" w:space="0" w:color="auto"/>
            </w:tcBorders>
            <w:shd w:val="clear" w:color="auto" w:fill="auto"/>
            <w:noWrap/>
            <w:vAlign w:val="bottom"/>
          </w:tcPr>
          <w:p w14:paraId="41706CBC" w14:textId="77777777" w:rsidR="00172AC5" w:rsidRPr="004D2D2F" w:rsidRDefault="00172AC5" w:rsidP="00F04216">
            <w:pPr>
              <w:tabs>
                <w:tab w:val="left" w:pos="288"/>
                <w:tab w:val="left" w:pos="576"/>
                <w:tab w:val="left" w:pos="864"/>
                <w:tab w:val="left" w:pos="1152"/>
              </w:tabs>
              <w:spacing w:before="81" w:after="40" w:line="210" w:lineRule="exact"/>
              <w:ind w:right="43"/>
              <w:jc w:val="right"/>
              <w:rPr>
                <w:sz w:val="17"/>
              </w:rPr>
            </w:pPr>
            <w:r w:rsidRPr="004D2D2F">
              <w:rPr>
                <w:sz w:val="17"/>
              </w:rPr>
              <w:t>70 820</w:t>
            </w:r>
          </w:p>
          <w:p w14:paraId="1108321B" w14:textId="449FE0C0" w:rsidR="00172AC5" w:rsidRPr="004D2D2F" w:rsidRDefault="00172AC5" w:rsidP="00F04216">
            <w:pPr>
              <w:tabs>
                <w:tab w:val="left" w:pos="288"/>
                <w:tab w:val="left" w:pos="576"/>
                <w:tab w:val="left" w:pos="864"/>
                <w:tab w:val="left" w:pos="1152"/>
              </w:tabs>
              <w:spacing w:before="81" w:after="40" w:line="210" w:lineRule="exact"/>
              <w:ind w:right="43"/>
              <w:jc w:val="right"/>
              <w:rPr>
                <w:sz w:val="17"/>
              </w:rPr>
            </w:pPr>
            <w:r w:rsidRPr="004D2D2F">
              <w:rPr>
                <w:sz w:val="17"/>
              </w:rPr>
              <w:t>(52,3 % de 13.515 ont un diplôme universitaire – Niveau d</w:t>
            </w:r>
            <w:r w:rsidR="00DE1F39" w:rsidRPr="004D2D2F">
              <w:rPr>
                <w:sz w:val="17"/>
              </w:rPr>
              <w:t>’</w:t>
            </w:r>
            <w:r w:rsidRPr="004D2D2F">
              <w:rPr>
                <w:sz w:val="17"/>
              </w:rPr>
              <w:t>étude VII et VII)</w:t>
            </w:r>
          </w:p>
        </w:tc>
      </w:tr>
      <w:tr w:rsidR="00172AC5" w:rsidRPr="004D2D2F" w14:paraId="07536DBB" w14:textId="77777777" w:rsidTr="00F04216">
        <w:tc>
          <w:tcPr>
            <w:tcW w:w="2700" w:type="dxa"/>
            <w:shd w:val="clear" w:color="auto" w:fill="auto"/>
            <w:noWrap/>
          </w:tcPr>
          <w:p w14:paraId="2664CCC1" w14:textId="77777777" w:rsidR="00172AC5" w:rsidRPr="004D2D2F" w:rsidRDefault="00172AC5" w:rsidP="00F04216">
            <w:pPr>
              <w:tabs>
                <w:tab w:val="left" w:pos="288"/>
                <w:tab w:val="left" w:pos="576"/>
                <w:tab w:val="left" w:pos="864"/>
                <w:tab w:val="left" w:pos="1152"/>
              </w:tabs>
              <w:spacing w:before="40" w:after="40" w:line="210" w:lineRule="exact"/>
              <w:ind w:right="43"/>
              <w:rPr>
                <w:sz w:val="17"/>
              </w:rPr>
            </w:pPr>
            <w:r w:rsidRPr="004D2D2F">
              <w:rPr>
                <w:sz w:val="17"/>
              </w:rPr>
              <w:t>Femmes handicapées</w:t>
            </w:r>
          </w:p>
        </w:tc>
        <w:tc>
          <w:tcPr>
            <w:tcW w:w="2250" w:type="dxa"/>
            <w:shd w:val="clear" w:color="auto" w:fill="auto"/>
            <w:noWrap/>
            <w:vAlign w:val="bottom"/>
          </w:tcPr>
          <w:p w14:paraId="040FD2E6" w14:textId="77777777" w:rsidR="00172AC5" w:rsidRPr="004D2D2F" w:rsidRDefault="00172AC5" w:rsidP="00F04216">
            <w:pPr>
              <w:tabs>
                <w:tab w:val="left" w:pos="288"/>
                <w:tab w:val="left" w:pos="576"/>
                <w:tab w:val="left" w:pos="864"/>
                <w:tab w:val="left" w:pos="1152"/>
              </w:tabs>
              <w:spacing w:before="40" w:after="40" w:line="210" w:lineRule="exact"/>
              <w:ind w:right="43"/>
              <w:jc w:val="right"/>
              <w:rPr>
                <w:sz w:val="17"/>
              </w:rPr>
            </w:pPr>
            <w:r w:rsidRPr="004D2D2F">
              <w:rPr>
                <w:sz w:val="17"/>
              </w:rPr>
              <w:t>2 570 / 39,7 %</w:t>
            </w:r>
          </w:p>
        </w:tc>
        <w:tc>
          <w:tcPr>
            <w:tcW w:w="2385" w:type="dxa"/>
            <w:shd w:val="clear" w:color="auto" w:fill="auto"/>
            <w:noWrap/>
            <w:vAlign w:val="bottom"/>
          </w:tcPr>
          <w:p w14:paraId="6E1A704F" w14:textId="77777777" w:rsidR="00172AC5" w:rsidRPr="004D2D2F" w:rsidRDefault="00172AC5" w:rsidP="00F04216">
            <w:pPr>
              <w:tabs>
                <w:tab w:val="left" w:pos="288"/>
                <w:tab w:val="left" w:pos="576"/>
                <w:tab w:val="left" w:pos="864"/>
                <w:tab w:val="left" w:pos="1152"/>
              </w:tabs>
              <w:spacing w:before="40" w:after="40" w:line="210" w:lineRule="exact"/>
              <w:ind w:right="43"/>
              <w:jc w:val="right"/>
              <w:rPr>
                <w:sz w:val="17"/>
              </w:rPr>
            </w:pPr>
            <w:r w:rsidRPr="004D2D2F">
              <w:rPr>
                <w:sz w:val="17"/>
              </w:rPr>
              <w:t>1 650 / 42,6 %</w:t>
            </w:r>
          </w:p>
        </w:tc>
      </w:tr>
      <w:tr w:rsidR="00172AC5" w:rsidRPr="004D2D2F" w14:paraId="7F5E0681" w14:textId="77777777" w:rsidTr="00F04216">
        <w:tc>
          <w:tcPr>
            <w:tcW w:w="2700" w:type="dxa"/>
            <w:shd w:val="clear" w:color="auto" w:fill="auto"/>
            <w:noWrap/>
          </w:tcPr>
          <w:p w14:paraId="26A5491F" w14:textId="77777777" w:rsidR="00172AC5" w:rsidRPr="004D2D2F" w:rsidRDefault="00172AC5" w:rsidP="00F04216">
            <w:pPr>
              <w:tabs>
                <w:tab w:val="left" w:pos="288"/>
                <w:tab w:val="left" w:pos="576"/>
                <w:tab w:val="left" w:pos="864"/>
                <w:tab w:val="left" w:pos="1152"/>
              </w:tabs>
              <w:spacing w:before="40" w:after="40" w:line="210" w:lineRule="exact"/>
              <w:ind w:right="43"/>
              <w:rPr>
                <w:sz w:val="17"/>
              </w:rPr>
            </w:pPr>
            <w:r w:rsidRPr="004D2D2F">
              <w:rPr>
                <w:sz w:val="17"/>
              </w:rPr>
              <w:t xml:space="preserve">Femmes roms </w:t>
            </w:r>
          </w:p>
        </w:tc>
        <w:tc>
          <w:tcPr>
            <w:tcW w:w="2250" w:type="dxa"/>
            <w:shd w:val="clear" w:color="auto" w:fill="auto"/>
            <w:noWrap/>
            <w:vAlign w:val="bottom"/>
          </w:tcPr>
          <w:p w14:paraId="2DF2E7DB" w14:textId="77777777" w:rsidR="00172AC5" w:rsidRPr="004D2D2F" w:rsidRDefault="00172AC5" w:rsidP="00F04216">
            <w:pPr>
              <w:tabs>
                <w:tab w:val="left" w:pos="288"/>
                <w:tab w:val="left" w:pos="576"/>
                <w:tab w:val="left" w:pos="864"/>
                <w:tab w:val="left" w:pos="1152"/>
              </w:tabs>
              <w:spacing w:before="40" w:after="40" w:line="210" w:lineRule="exact"/>
              <w:ind w:right="43"/>
              <w:jc w:val="right"/>
              <w:rPr>
                <w:sz w:val="17"/>
              </w:rPr>
            </w:pPr>
            <w:r w:rsidRPr="004D2D2F">
              <w:rPr>
                <w:sz w:val="17"/>
              </w:rPr>
              <w:t>1 562 / 37,6 %</w:t>
            </w:r>
          </w:p>
        </w:tc>
        <w:tc>
          <w:tcPr>
            <w:tcW w:w="2385" w:type="dxa"/>
            <w:shd w:val="clear" w:color="auto" w:fill="auto"/>
            <w:noWrap/>
            <w:vAlign w:val="bottom"/>
          </w:tcPr>
          <w:p w14:paraId="5AB57BDF" w14:textId="77777777" w:rsidR="00172AC5" w:rsidRPr="004D2D2F" w:rsidRDefault="00172AC5" w:rsidP="00F04216">
            <w:pPr>
              <w:tabs>
                <w:tab w:val="left" w:pos="288"/>
                <w:tab w:val="left" w:pos="576"/>
                <w:tab w:val="left" w:pos="864"/>
                <w:tab w:val="left" w:pos="1152"/>
              </w:tabs>
              <w:spacing w:before="40" w:after="40" w:line="210" w:lineRule="exact"/>
              <w:ind w:right="43"/>
              <w:jc w:val="right"/>
              <w:rPr>
                <w:sz w:val="17"/>
              </w:rPr>
            </w:pPr>
            <w:r w:rsidRPr="004D2D2F">
              <w:rPr>
                <w:sz w:val="17"/>
              </w:rPr>
              <w:t>960 / 36,7 %</w:t>
            </w:r>
          </w:p>
        </w:tc>
      </w:tr>
      <w:tr w:rsidR="00172AC5" w:rsidRPr="004D2D2F" w14:paraId="221CFE72" w14:textId="77777777" w:rsidTr="00F04216">
        <w:tc>
          <w:tcPr>
            <w:tcW w:w="2700" w:type="dxa"/>
            <w:shd w:val="clear" w:color="auto" w:fill="auto"/>
            <w:noWrap/>
          </w:tcPr>
          <w:p w14:paraId="552C83AA" w14:textId="6DDE1B28" w:rsidR="00172AC5" w:rsidRPr="004D2D2F" w:rsidRDefault="00172AC5" w:rsidP="00F04216">
            <w:pPr>
              <w:tabs>
                <w:tab w:val="left" w:pos="288"/>
                <w:tab w:val="left" w:pos="576"/>
                <w:tab w:val="left" w:pos="864"/>
                <w:tab w:val="left" w:pos="1152"/>
              </w:tabs>
              <w:spacing w:before="40" w:after="40" w:line="210" w:lineRule="exact"/>
              <w:ind w:right="43"/>
              <w:rPr>
                <w:sz w:val="17"/>
              </w:rPr>
            </w:pPr>
            <w:r w:rsidRPr="004D2D2F">
              <w:rPr>
                <w:sz w:val="17"/>
              </w:rPr>
              <w:t>Employées par l</w:t>
            </w:r>
            <w:r w:rsidR="00DE1F39" w:rsidRPr="004D2D2F">
              <w:rPr>
                <w:sz w:val="17"/>
              </w:rPr>
              <w:t>’</w:t>
            </w:r>
            <w:r w:rsidRPr="004D2D2F">
              <w:rPr>
                <w:sz w:val="17"/>
              </w:rPr>
              <w:t>intermédiaire de l</w:t>
            </w:r>
            <w:r w:rsidR="00DE1F39" w:rsidRPr="004D2D2F">
              <w:rPr>
                <w:sz w:val="17"/>
              </w:rPr>
              <w:t>’</w:t>
            </w:r>
            <w:r w:rsidRPr="004D2D2F">
              <w:rPr>
                <w:sz w:val="17"/>
              </w:rPr>
              <w:t>Agence nationale pour l</w:t>
            </w:r>
            <w:r w:rsidR="00DE1F39" w:rsidRPr="004D2D2F">
              <w:rPr>
                <w:sz w:val="17"/>
              </w:rPr>
              <w:t>’</w:t>
            </w:r>
            <w:r w:rsidRPr="004D2D2F">
              <w:rPr>
                <w:sz w:val="17"/>
              </w:rPr>
              <w:t>emploi</w:t>
            </w:r>
          </w:p>
        </w:tc>
        <w:tc>
          <w:tcPr>
            <w:tcW w:w="2250" w:type="dxa"/>
            <w:shd w:val="clear" w:color="auto" w:fill="auto"/>
            <w:noWrap/>
            <w:vAlign w:val="bottom"/>
          </w:tcPr>
          <w:p w14:paraId="27C3F3E4" w14:textId="77777777" w:rsidR="00172AC5" w:rsidRPr="004D2D2F" w:rsidRDefault="00172AC5" w:rsidP="00F04216">
            <w:pPr>
              <w:tabs>
                <w:tab w:val="left" w:pos="288"/>
                <w:tab w:val="left" w:pos="576"/>
                <w:tab w:val="left" w:pos="864"/>
                <w:tab w:val="left" w:pos="1152"/>
              </w:tabs>
              <w:spacing w:before="40" w:after="40" w:line="210" w:lineRule="exact"/>
              <w:ind w:right="43"/>
              <w:jc w:val="right"/>
              <w:rPr>
                <w:sz w:val="17"/>
              </w:rPr>
            </w:pPr>
            <w:r w:rsidRPr="004D2D2F">
              <w:rPr>
                <w:sz w:val="17"/>
              </w:rPr>
              <w:t>36 782 / 52,1 %</w:t>
            </w:r>
          </w:p>
        </w:tc>
        <w:tc>
          <w:tcPr>
            <w:tcW w:w="2385" w:type="dxa"/>
            <w:shd w:val="clear" w:color="auto" w:fill="auto"/>
            <w:noWrap/>
            <w:vAlign w:val="bottom"/>
          </w:tcPr>
          <w:p w14:paraId="23703138" w14:textId="77777777" w:rsidR="00172AC5" w:rsidRPr="004D2D2F" w:rsidRDefault="00172AC5" w:rsidP="00F04216">
            <w:pPr>
              <w:tabs>
                <w:tab w:val="left" w:pos="288"/>
                <w:tab w:val="left" w:pos="576"/>
                <w:tab w:val="left" w:pos="864"/>
                <w:tab w:val="left" w:pos="1152"/>
              </w:tabs>
              <w:spacing w:before="40" w:after="40" w:line="210" w:lineRule="exact"/>
              <w:ind w:right="43"/>
              <w:jc w:val="right"/>
              <w:rPr>
                <w:sz w:val="17"/>
              </w:rPr>
            </w:pPr>
            <w:r w:rsidRPr="004D2D2F">
              <w:rPr>
                <w:sz w:val="17"/>
              </w:rPr>
              <w:t>19 387 / 53,4 %</w:t>
            </w:r>
          </w:p>
        </w:tc>
      </w:tr>
      <w:tr w:rsidR="00172AC5" w:rsidRPr="004D2D2F" w14:paraId="1832B65E" w14:textId="77777777" w:rsidTr="004D2D2F">
        <w:tc>
          <w:tcPr>
            <w:tcW w:w="7335" w:type="dxa"/>
            <w:gridSpan w:val="3"/>
            <w:shd w:val="clear" w:color="auto" w:fill="auto"/>
            <w:noWrap/>
          </w:tcPr>
          <w:p w14:paraId="4D5A31BB" w14:textId="21891FEA" w:rsidR="00172AC5" w:rsidRPr="004D2D2F" w:rsidRDefault="00172AC5" w:rsidP="00F04216">
            <w:pPr>
              <w:tabs>
                <w:tab w:val="left" w:pos="288"/>
                <w:tab w:val="left" w:pos="576"/>
                <w:tab w:val="left" w:pos="864"/>
                <w:tab w:val="left" w:pos="1152"/>
              </w:tabs>
              <w:spacing w:before="40" w:after="40" w:line="210" w:lineRule="exact"/>
              <w:ind w:right="43"/>
              <w:rPr>
                <w:sz w:val="17"/>
              </w:rPr>
            </w:pPr>
            <w:r w:rsidRPr="004D2D2F">
              <w:rPr>
                <w:sz w:val="17"/>
              </w:rPr>
              <w:t>Filles mariées avant l</w:t>
            </w:r>
            <w:r w:rsidR="00DE1F39" w:rsidRPr="004D2D2F">
              <w:rPr>
                <w:sz w:val="17"/>
              </w:rPr>
              <w:t>’</w:t>
            </w:r>
            <w:r w:rsidRPr="004D2D2F">
              <w:rPr>
                <w:sz w:val="17"/>
              </w:rPr>
              <w:t>âge de 18 ans</w:t>
            </w:r>
          </w:p>
        </w:tc>
      </w:tr>
      <w:tr w:rsidR="00172AC5" w:rsidRPr="004D2D2F" w14:paraId="21659573" w14:textId="77777777" w:rsidTr="00F04216">
        <w:tc>
          <w:tcPr>
            <w:tcW w:w="2700" w:type="dxa"/>
            <w:shd w:val="clear" w:color="auto" w:fill="auto"/>
            <w:noWrap/>
          </w:tcPr>
          <w:p w14:paraId="6C8AE90C" w14:textId="77777777" w:rsidR="00172AC5" w:rsidRPr="004D2D2F" w:rsidRDefault="00172AC5" w:rsidP="00F04216">
            <w:pPr>
              <w:tabs>
                <w:tab w:val="left" w:pos="288"/>
                <w:tab w:val="left" w:pos="576"/>
                <w:tab w:val="left" w:pos="864"/>
                <w:tab w:val="left" w:pos="1152"/>
              </w:tabs>
              <w:spacing w:before="40" w:after="40" w:line="210" w:lineRule="exact"/>
              <w:ind w:right="43"/>
              <w:rPr>
                <w:b/>
                <w:bCs/>
                <w:sz w:val="17"/>
              </w:rPr>
            </w:pPr>
            <w:r w:rsidRPr="004D2D2F">
              <w:rPr>
                <w:b/>
                <w:bCs/>
                <w:sz w:val="17"/>
              </w:rPr>
              <w:t xml:space="preserve">Période </w:t>
            </w:r>
          </w:p>
        </w:tc>
        <w:tc>
          <w:tcPr>
            <w:tcW w:w="2250" w:type="dxa"/>
            <w:shd w:val="clear" w:color="auto" w:fill="auto"/>
            <w:noWrap/>
            <w:vAlign w:val="bottom"/>
          </w:tcPr>
          <w:p w14:paraId="281B5457" w14:textId="77777777" w:rsidR="00172AC5" w:rsidRPr="004D2D2F" w:rsidRDefault="00172AC5" w:rsidP="00F04216">
            <w:pPr>
              <w:tabs>
                <w:tab w:val="left" w:pos="288"/>
                <w:tab w:val="left" w:pos="576"/>
                <w:tab w:val="left" w:pos="864"/>
                <w:tab w:val="left" w:pos="1152"/>
              </w:tabs>
              <w:spacing w:before="40" w:after="40" w:line="210" w:lineRule="exact"/>
              <w:ind w:right="43"/>
              <w:jc w:val="right"/>
              <w:rPr>
                <w:b/>
                <w:bCs/>
                <w:sz w:val="17"/>
              </w:rPr>
            </w:pPr>
            <w:r w:rsidRPr="004D2D2F">
              <w:rPr>
                <w:b/>
                <w:bCs/>
                <w:sz w:val="17"/>
              </w:rPr>
              <w:t>Population générale</w:t>
            </w:r>
          </w:p>
        </w:tc>
        <w:tc>
          <w:tcPr>
            <w:tcW w:w="2385" w:type="dxa"/>
            <w:shd w:val="clear" w:color="auto" w:fill="auto"/>
            <w:noWrap/>
            <w:vAlign w:val="bottom"/>
          </w:tcPr>
          <w:p w14:paraId="3B7F657F" w14:textId="77777777" w:rsidR="00172AC5" w:rsidRPr="004D2D2F" w:rsidRDefault="00172AC5" w:rsidP="00F04216">
            <w:pPr>
              <w:tabs>
                <w:tab w:val="left" w:pos="288"/>
                <w:tab w:val="left" w:pos="576"/>
                <w:tab w:val="left" w:pos="864"/>
                <w:tab w:val="left" w:pos="1152"/>
              </w:tabs>
              <w:spacing w:before="40" w:after="40" w:line="210" w:lineRule="exact"/>
              <w:ind w:right="43"/>
              <w:jc w:val="right"/>
              <w:rPr>
                <w:b/>
                <w:bCs/>
                <w:sz w:val="17"/>
              </w:rPr>
            </w:pPr>
            <w:r w:rsidRPr="004D2D2F">
              <w:rPr>
                <w:b/>
                <w:bCs/>
                <w:sz w:val="17"/>
              </w:rPr>
              <w:t>Population rom</w:t>
            </w:r>
          </w:p>
        </w:tc>
      </w:tr>
      <w:tr w:rsidR="00172AC5" w:rsidRPr="004D2D2F" w14:paraId="695FA5F9" w14:textId="77777777" w:rsidTr="00F04216">
        <w:tc>
          <w:tcPr>
            <w:tcW w:w="2700" w:type="dxa"/>
            <w:shd w:val="clear" w:color="auto" w:fill="auto"/>
            <w:noWrap/>
          </w:tcPr>
          <w:p w14:paraId="51232E39" w14:textId="77777777" w:rsidR="00172AC5" w:rsidRPr="004D2D2F" w:rsidRDefault="00172AC5" w:rsidP="00F04216">
            <w:pPr>
              <w:tabs>
                <w:tab w:val="left" w:pos="288"/>
                <w:tab w:val="left" w:pos="576"/>
                <w:tab w:val="left" w:pos="864"/>
                <w:tab w:val="left" w:pos="1152"/>
              </w:tabs>
              <w:spacing w:before="40" w:after="40" w:line="210" w:lineRule="exact"/>
              <w:ind w:right="43"/>
              <w:rPr>
                <w:sz w:val="17"/>
              </w:rPr>
            </w:pPr>
            <w:r w:rsidRPr="004D2D2F">
              <w:rPr>
                <w:sz w:val="17"/>
              </w:rPr>
              <w:t>2005</w:t>
            </w:r>
          </w:p>
        </w:tc>
        <w:tc>
          <w:tcPr>
            <w:tcW w:w="2250" w:type="dxa"/>
            <w:shd w:val="clear" w:color="auto" w:fill="auto"/>
            <w:noWrap/>
            <w:vAlign w:val="bottom"/>
          </w:tcPr>
          <w:p w14:paraId="4DB12B8E" w14:textId="77777777" w:rsidR="00172AC5" w:rsidRPr="004D2D2F" w:rsidRDefault="00172AC5" w:rsidP="00F04216">
            <w:pPr>
              <w:tabs>
                <w:tab w:val="left" w:pos="288"/>
                <w:tab w:val="left" w:pos="576"/>
                <w:tab w:val="left" w:pos="864"/>
                <w:tab w:val="left" w:pos="1152"/>
              </w:tabs>
              <w:spacing w:before="40" w:after="40" w:line="210" w:lineRule="exact"/>
              <w:ind w:right="43"/>
              <w:jc w:val="right"/>
              <w:rPr>
                <w:sz w:val="17"/>
              </w:rPr>
            </w:pPr>
            <w:r w:rsidRPr="004D2D2F">
              <w:rPr>
                <w:sz w:val="17"/>
              </w:rPr>
              <w:t>7,9 %</w:t>
            </w:r>
          </w:p>
        </w:tc>
        <w:tc>
          <w:tcPr>
            <w:tcW w:w="2385" w:type="dxa"/>
            <w:shd w:val="clear" w:color="auto" w:fill="auto"/>
            <w:noWrap/>
            <w:vAlign w:val="bottom"/>
          </w:tcPr>
          <w:p w14:paraId="20E0C12D" w14:textId="77777777" w:rsidR="00172AC5" w:rsidRPr="004D2D2F" w:rsidRDefault="00172AC5" w:rsidP="00F04216">
            <w:pPr>
              <w:tabs>
                <w:tab w:val="left" w:pos="288"/>
                <w:tab w:val="left" w:pos="576"/>
                <w:tab w:val="left" w:pos="864"/>
                <w:tab w:val="left" w:pos="1152"/>
              </w:tabs>
              <w:spacing w:before="40" w:after="40" w:line="210" w:lineRule="exact"/>
              <w:ind w:right="43"/>
              <w:jc w:val="right"/>
              <w:rPr>
                <w:sz w:val="17"/>
              </w:rPr>
            </w:pPr>
            <w:r w:rsidRPr="004D2D2F">
              <w:rPr>
                <w:sz w:val="17"/>
              </w:rPr>
              <w:t>45,9 %</w:t>
            </w:r>
          </w:p>
        </w:tc>
      </w:tr>
      <w:tr w:rsidR="00172AC5" w:rsidRPr="004D2D2F" w14:paraId="25D2C2FB" w14:textId="77777777" w:rsidTr="00F04216">
        <w:tc>
          <w:tcPr>
            <w:tcW w:w="2700" w:type="dxa"/>
            <w:shd w:val="clear" w:color="auto" w:fill="auto"/>
            <w:noWrap/>
          </w:tcPr>
          <w:p w14:paraId="156F3E5E" w14:textId="77777777" w:rsidR="00172AC5" w:rsidRPr="004D2D2F" w:rsidRDefault="00172AC5" w:rsidP="00F04216">
            <w:pPr>
              <w:tabs>
                <w:tab w:val="left" w:pos="288"/>
                <w:tab w:val="left" w:pos="576"/>
                <w:tab w:val="left" w:pos="864"/>
                <w:tab w:val="left" w:pos="1152"/>
              </w:tabs>
              <w:spacing w:before="40" w:after="40" w:line="210" w:lineRule="exact"/>
              <w:ind w:right="43"/>
              <w:rPr>
                <w:sz w:val="17"/>
              </w:rPr>
            </w:pPr>
            <w:r w:rsidRPr="004D2D2F">
              <w:rPr>
                <w:sz w:val="17"/>
              </w:rPr>
              <w:t>2010</w:t>
            </w:r>
          </w:p>
        </w:tc>
        <w:tc>
          <w:tcPr>
            <w:tcW w:w="2250" w:type="dxa"/>
            <w:shd w:val="clear" w:color="auto" w:fill="auto"/>
            <w:noWrap/>
            <w:vAlign w:val="bottom"/>
          </w:tcPr>
          <w:p w14:paraId="67B847C1" w14:textId="77777777" w:rsidR="00172AC5" w:rsidRPr="004D2D2F" w:rsidRDefault="00172AC5" w:rsidP="00F04216">
            <w:pPr>
              <w:tabs>
                <w:tab w:val="left" w:pos="288"/>
                <w:tab w:val="left" w:pos="576"/>
                <w:tab w:val="left" w:pos="864"/>
                <w:tab w:val="left" w:pos="1152"/>
              </w:tabs>
              <w:spacing w:before="40" w:after="40" w:line="210" w:lineRule="exact"/>
              <w:ind w:right="43"/>
              <w:jc w:val="right"/>
              <w:rPr>
                <w:sz w:val="17"/>
              </w:rPr>
            </w:pPr>
            <w:r w:rsidRPr="004D2D2F">
              <w:rPr>
                <w:sz w:val="17"/>
              </w:rPr>
              <w:t>7,7 %</w:t>
            </w:r>
          </w:p>
        </w:tc>
        <w:tc>
          <w:tcPr>
            <w:tcW w:w="2385" w:type="dxa"/>
            <w:shd w:val="clear" w:color="auto" w:fill="auto"/>
            <w:noWrap/>
            <w:vAlign w:val="bottom"/>
          </w:tcPr>
          <w:p w14:paraId="23A5AC61" w14:textId="77777777" w:rsidR="00172AC5" w:rsidRPr="004D2D2F" w:rsidRDefault="00172AC5" w:rsidP="00F04216">
            <w:pPr>
              <w:tabs>
                <w:tab w:val="left" w:pos="288"/>
                <w:tab w:val="left" w:pos="576"/>
                <w:tab w:val="left" w:pos="864"/>
                <w:tab w:val="left" w:pos="1152"/>
              </w:tabs>
              <w:spacing w:before="40" w:after="40" w:line="210" w:lineRule="exact"/>
              <w:ind w:right="43"/>
              <w:jc w:val="right"/>
              <w:rPr>
                <w:sz w:val="17"/>
              </w:rPr>
            </w:pPr>
            <w:r w:rsidRPr="004D2D2F">
              <w:rPr>
                <w:sz w:val="17"/>
              </w:rPr>
              <w:t>53,7 %</w:t>
            </w:r>
          </w:p>
        </w:tc>
      </w:tr>
      <w:tr w:rsidR="00172AC5" w:rsidRPr="004D2D2F" w14:paraId="7021FEA7" w14:textId="77777777" w:rsidTr="00F04216">
        <w:tc>
          <w:tcPr>
            <w:tcW w:w="2700" w:type="dxa"/>
            <w:tcBorders>
              <w:bottom w:val="single" w:sz="12" w:space="0" w:color="auto"/>
            </w:tcBorders>
            <w:shd w:val="clear" w:color="auto" w:fill="auto"/>
            <w:noWrap/>
          </w:tcPr>
          <w:p w14:paraId="218EE470" w14:textId="77777777" w:rsidR="00172AC5" w:rsidRPr="004D2D2F" w:rsidRDefault="00172AC5" w:rsidP="00F04216">
            <w:pPr>
              <w:tabs>
                <w:tab w:val="left" w:pos="288"/>
                <w:tab w:val="left" w:pos="576"/>
                <w:tab w:val="left" w:pos="864"/>
                <w:tab w:val="left" w:pos="1152"/>
              </w:tabs>
              <w:spacing w:before="40" w:after="40" w:line="210" w:lineRule="exact"/>
              <w:ind w:right="43"/>
              <w:rPr>
                <w:sz w:val="17"/>
              </w:rPr>
            </w:pPr>
            <w:r w:rsidRPr="004D2D2F">
              <w:rPr>
                <w:sz w:val="17"/>
              </w:rPr>
              <w:t>2014</w:t>
            </w:r>
          </w:p>
        </w:tc>
        <w:tc>
          <w:tcPr>
            <w:tcW w:w="2250" w:type="dxa"/>
            <w:tcBorders>
              <w:bottom w:val="single" w:sz="12" w:space="0" w:color="auto"/>
            </w:tcBorders>
            <w:shd w:val="clear" w:color="auto" w:fill="auto"/>
            <w:noWrap/>
            <w:vAlign w:val="bottom"/>
          </w:tcPr>
          <w:p w14:paraId="01DE5A95" w14:textId="77777777" w:rsidR="00172AC5" w:rsidRPr="004D2D2F" w:rsidRDefault="00172AC5" w:rsidP="00F04216">
            <w:pPr>
              <w:tabs>
                <w:tab w:val="left" w:pos="288"/>
                <w:tab w:val="left" w:pos="576"/>
                <w:tab w:val="left" w:pos="864"/>
                <w:tab w:val="left" w:pos="1152"/>
              </w:tabs>
              <w:spacing w:before="40" w:after="40" w:line="210" w:lineRule="exact"/>
              <w:ind w:right="43"/>
              <w:jc w:val="right"/>
              <w:rPr>
                <w:sz w:val="17"/>
              </w:rPr>
            </w:pPr>
            <w:r w:rsidRPr="004D2D2F">
              <w:rPr>
                <w:sz w:val="17"/>
              </w:rPr>
              <w:t>6,8 %</w:t>
            </w:r>
          </w:p>
        </w:tc>
        <w:tc>
          <w:tcPr>
            <w:tcW w:w="2385" w:type="dxa"/>
            <w:tcBorders>
              <w:bottom w:val="single" w:sz="12" w:space="0" w:color="auto"/>
            </w:tcBorders>
            <w:shd w:val="clear" w:color="auto" w:fill="auto"/>
            <w:noWrap/>
            <w:vAlign w:val="bottom"/>
          </w:tcPr>
          <w:p w14:paraId="4A45BAF4" w14:textId="77777777" w:rsidR="00172AC5" w:rsidRPr="004D2D2F" w:rsidRDefault="00172AC5" w:rsidP="00F04216">
            <w:pPr>
              <w:tabs>
                <w:tab w:val="left" w:pos="288"/>
                <w:tab w:val="left" w:pos="576"/>
                <w:tab w:val="left" w:pos="864"/>
                <w:tab w:val="left" w:pos="1152"/>
              </w:tabs>
              <w:spacing w:before="40" w:after="40" w:line="210" w:lineRule="exact"/>
              <w:ind w:right="43"/>
              <w:jc w:val="right"/>
              <w:rPr>
                <w:sz w:val="17"/>
              </w:rPr>
            </w:pPr>
            <w:r w:rsidRPr="004D2D2F">
              <w:rPr>
                <w:sz w:val="17"/>
              </w:rPr>
              <w:t>57 %</w:t>
            </w:r>
          </w:p>
        </w:tc>
      </w:tr>
    </w:tbl>
    <w:p w14:paraId="40573829" w14:textId="63333F9B" w:rsidR="00172AC5" w:rsidRPr="00172AC5" w:rsidRDefault="00172AC5" w:rsidP="00172AC5">
      <w:pPr>
        <w:pStyle w:val="SingleTxt"/>
        <w:spacing w:after="0" w:line="120" w:lineRule="exact"/>
        <w:rPr>
          <w:sz w:val="10"/>
        </w:rPr>
      </w:pPr>
    </w:p>
    <w:p w14:paraId="401C0FB9" w14:textId="0F941410" w:rsidR="00172AC5" w:rsidRPr="00172AC5" w:rsidRDefault="00172AC5" w:rsidP="00172AC5">
      <w:pPr>
        <w:pStyle w:val="SingleTxt"/>
        <w:spacing w:after="0" w:line="120" w:lineRule="exact"/>
        <w:rPr>
          <w:sz w:val="10"/>
        </w:rPr>
      </w:pPr>
    </w:p>
    <w:p w14:paraId="3ED253D9" w14:textId="25E781DA" w:rsidR="00172AC5" w:rsidRPr="00172AC5" w:rsidRDefault="00172AC5" w:rsidP="00172AC5">
      <w:pPr>
        <w:pStyle w:val="SingleTxt"/>
        <w:spacing w:after="0" w:line="120" w:lineRule="exact"/>
        <w:rPr>
          <w:sz w:val="10"/>
        </w:rPr>
      </w:pPr>
    </w:p>
    <w:p w14:paraId="560EC570" w14:textId="2B8AE3AF" w:rsidR="00172AC5" w:rsidRDefault="00172AC5" w:rsidP="00172A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2AC5">
        <w:rPr>
          <w:lang w:val="fr-FR"/>
        </w:rPr>
        <w:tab/>
      </w:r>
      <w:r w:rsidRPr="00172AC5">
        <w:rPr>
          <w:lang w:val="fr-FR"/>
        </w:rPr>
        <w:tab/>
        <w:t>Relations conjugales et familiales</w:t>
      </w:r>
    </w:p>
    <w:p w14:paraId="0A4D6E52" w14:textId="578DE6AD" w:rsidR="00172AC5" w:rsidRPr="00172AC5" w:rsidRDefault="00172AC5" w:rsidP="00172AC5">
      <w:pPr>
        <w:pStyle w:val="SingleTxt"/>
        <w:spacing w:after="0" w:line="120" w:lineRule="exact"/>
        <w:rPr>
          <w:sz w:val="10"/>
          <w:lang w:val="fr-FR"/>
        </w:rPr>
      </w:pPr>
    </w:p>
    <w:p w14:paraId="0FB92DFC" w14:textId="749D88BF" w:rsidR="00172AC5" w:rsidRPr="00172AC5" w:rsidRDefault="00172AC5" w:rsidP="00172AC5">
      <w:pPr>
        <w:pStyle w:val="SingleTxt"/>
        <w:numPr>
          <w:ilvl w:val="0"/>
          <w:numId w:val="39"/>
        </w:numPr>
        <w:spacing w:line="240" w:lineRule="exact"/>
        <w:rPr>
          <w:lang w:val="fr-FR"/>
        </w:rPr>
      </w:pPr>
      <w:r w:rsidRPr="00172AC5">
        <w:rPr>
          <w:lang w:val="fr-FR"/>
        </w:rPr>
        <w:t>En mars 2018, le Conseil pour les droits de l</w:t>
      </w:r>
      <w:r w:rsidR="00DE1F39">
        <w:rPr>
          <w:lang w:val="fr-FR"/>
        </w:rPr>
        <w:t>’</w:t>
      </w:r>
      <w:r w:rsidRPr="00172AC5">
        <w:rPr>
          <w:lang w:val="fr-FR"/>
        </w:rPr>
        <w:t>enfant a examiné les données de l</w:t>
      </w:r>
      <w:r w:rsidR="00DE1F39">
        <w:rPr>
          <w:lang w:val="fr-FR"/>
        </w:rPr>
        <w:t>’</w:t>
      </w:r>
      <w:r w:rsidRPr="00172AC5">
        <w:rPr>
          <w:lang w:val="fr-FR"/>
        </w:rPr>
        <w:t>enquête à indicateurs multiples sur les facteurs influençant le mariage d</w:t>
      </w:r>
      <w:r w:rsidR="00DE1F39">
        <w:rPr>
          <w:lang w:val="fr-FR"/>
        </w:rPr>
        <w:t>’</w:t>
      </w:r>
      <w:r w:rsidRPr="00172AC5">
        <w:rPr>
          <w:lang w:val="fr-FR"/>
        </w:rPr>
        <w:t>enfants. Un grand nombre de facteurs ayant un impact sur le mariage précoce ont été recensés ; dans certains cas ce sont les normes sociales qui jouent un rôle, dans d</w:t>
      </w:r>
      <w:r w:rsidR="00DE1F39">
        <w:rPr>
          <w:lang w:val="fr-FR"/>
        </w:rPr>
        <w:t>’</w:t>
      </w:r>
      <w:r w:rsidRPr="00172AC5">
        <w:rPr>
          <w:lang w:val="fr-FR"/>
        </w:rPr>
        <w:t>autres c</w:t>
      </w:r>
      <w:r w:rsidR="00DE1F39">
        <w:rPr>
          <w:lang w:val="fr-FR"/>
        </w:rPr>
        <w:t>’</w:t>
      </w:r>
      <w:r w:rsidRPr="00172AC5">
        <w:rPr>
          <w:lang w:val="fr-FR"/>
        </w:rPr>
        <w:t xml:space="preserve">est la situation économique, etc. </w:t>
      </w:r>
    </w:p>
    <w:p w14:paraId="4E25DD49" w14:textId="3FDC591F" w:rsidR="00172AC5" w:rsidRPr="00172AC5" w:rsidRDefault="00172AC5" w:rsidP="00172AC5">
      <w:pPr>
        <w:pStyle w:val="SingleTxt"/>
        <w:numPr>
          <w:ilvl w:val="0"/>
          <w:numId w:val="39"/>
        </w:numPr>
        <w:spacing w:line="240" w:lineRule="exact"/>
        <w:rPr>
          <w:lang w:val="fr-FR"/>
        </w:rPr>
      </w:pPr>
      <w:r w:rsidRPr="00172AC5">
        <w:rPr>
          <w:lang w:val="fr-FR"/>
        </w:rPr>
        <w:t xml:space="preserve">Dans le cadre du projet « Améliorer le système de protection sociale pour autonomiser la famille » mis en </w:t>
      </w:r>
      <w:r w:rsidR="0015207D" w:rsidRPr="00172AC5">
        <w:rPr>
          <w:lang w:val="fr-FR"/>
        </w:rPr>
        <w:t>œuvre</w:t>
      </w:r>
      <w:r w:rsidRPr="00172AC5">
        <w:rPr>
          <w:lang w:val="fr-FR"/>
        </w:rPr>
        <w:t xml:space="preserve"> par l</w:t>
      </w:r>
      <w:r w:rsidR="00DE1F39">
        <w:rPr>
          <w:lang w:val="fr-FR"/>
        </w:rPr>
        <w:t>’</w:t>
      </w:r>
      <w:r w:rsidRPr="00172AC5">
        <w:rPr>
          <w:lang w:val="fr-FR"/>
        </w:rPr>
        <w:t xml:space="preserve">Institut national de la protection sociale </w:t>
      </w:r>
      <w:r w:rsidRPr="00172AC5">
        <w:rPr>
          <w:lang w:val="fr-FR"/>
        </w:rPr>
        <w:lastRenderedPageBreak/>
        <w:t>avec l</w:t>
      </w:r>
      <w:r w:rsidR="00DE1F39">
        <w:rPr>
          <w:lang w:val="fr-FR"/>
        </w:rPr>
        <w:t>’</w:t>
      </w:r>
      <w:r w:rsidRPr="00172AC5">
        <w:rPr>
          <w:lang w:val="fr-FR"/>
        </w:rPr>
        <w:t>appui de l</w:t>
      </w:r>
      <w:r w:rsidR="00DE1F39">
        <w:rPr>
          <w:lang w:val="fr-FR"/>
        </w:rPr>
        <w:t>’</w:t>
      </w:r>
      <w:r w:rsidRPr="00172AC5">
        <w:rPr>
          <w:lang w:val="fr-FR"/>
        </w:rPr>
        <w:t>UNICEF, des activités sont menées pour lutter contre la pratique des mariages d</w:t>
      </w:r>
      <w:r w:rsidR="00DE1F39">
        <w:rPr>
          <w:lang w:val="fr-FR"/>
        </w:rPr>
        <w:t>’</w:t>
      </w:r>
      <w:r w:rsidRPr="00172AC5">
        <w:rPr>
          <w:lang w:val="fr-FR"/>
        </w:rPr>
        <w:t xml:space="preserve">enfants. Le projet a démarré en 2018. </w:t>
      </w:r>
    </w:p>
    <w:p w14:paraId="1DA710F7" w14:textId="14E8D90A" w:rsidR="00172AC5" w:rsidRPr="00172AC5" w:rsidRDefault="00172AC5" w:rsidP="00172AC5">
      <w:pPr>
        <w:pStyle w:val="SingleTxt"/>
        <w:numPr>
          <w:ilvl w:val="0"/>
          <w:numId w:val="39"/>
        </w:numPr>
        <w:spacing w:line="240" w:lineRule="exact"/>
        <w:rPr>
          <w:lang w:val="fr-FR"/>
        </w:rPr>
      </w:pPr>
      <w:r w:rsidRPr="00172AC5">
        <w:rPr>
          <w:lang w:val="fr-FR"/>
        </w:rPr>
        <w:t>Le ministère chargé de l</w:t>
      </w:r>
      <w:r w:rsidR="00DE1F39">
        <w:rPr>
          <w:lang w:val="fr-FR"/>
        </w:rPr>
        <w:t>’</w:t>
      </w:r>
      <w:r w:rsidRPr="00172AC5">
        <w:rPr>
          <w:lang w:val="fr-FR"/>
        </w:rPr>
        <w:t>éducation, en collaboration avec l</w:t>
      </w:r>
      <w:r w:rsidR="00DE1F39">
        <w:rPr>
          <w:lang w:val="fr-FR"/>
        </w:rPr>
        <w:t>’</w:t>
      </w:r>
      <w:r w:rsidRPr="00172AC5">
        <w:rPr>
          <w:lang w:val="fr-FR"/>
        </w:rPr>
        <w:t>organisation Save the Children, a lancé un projet de lutte contre l</w:t>
      </w:r>
      <w:r w:rsidR="00DE1F39">
        <w:rPr>
          <w:lang w:val="fr-FR"/>
        </w:rPr>
        <w:t>’</w:t>
      </w:r>
      <w:r w:rsidRPr="00172AC5">
        <w:rPr>
          <w:lang w:val="fr-FR"/>
        </w:rPr>
        <w:t>abandon précoce des études par les enfants roms, axé de manière plus spécifique sur les filles et la prévention des mariages précoces et forcés. Dans le cadre du projet « Aide juridictionnelle aux personnes confrontées au risque d</w:t>
      </w:r>
      <w:r w:rsidR="00DE1F39">
        <w:rPr>
          <w:lang w:val="fr-FR"/>
        </w:rPr>
        <w:t>’</w:t>
      </w:r>
      <w:r w:rsidRPr="00172AC5">
        <w:rPr>
          <w:lang w:val="fr-FR"/>
        </w:rPr>
        <w:t>apatridie » financé par le HCR, l</w:t>
      </w:r>
      <w:r w:rsidR="00DE1F39">
        <w:rPr>
          <w:lang w:val="fr-FR"/>
        </w:rPr>
        <w:t>’</w:t>
      </w:r>
      <w:r w:rsidRPr="00172AC5">
        <w:rPr>
          <w:lang w:val="fr-FR"/>
        </w:rPr>
        <w:t>organisation de la société civile « Praxis » a organisé quatre ateliers auxquels ont participé plus de 80 filles en septième et huitième années sur la prévention et l</w:t>
      </w:r>
      <w:r w:rsidR="00DE1F39">
        <w:rPr>
          <w:lang w:val="fr-FR"/>
        </w:rPr>
        <w:t>’</w:t>
      </w:r>
      <w:r w:rsidRPr="00172AC5">
        <w:rPr>
          <w:lang w:val="fr-FR"/>
        </w:rPr>
        <w:t>élimination des mariages précoces et forcés, et sur l</w:t>
      </w:r>
      <w:r w:rsidR="00DE1F39">
        <w:rPr>
          <w:lang w:val="fr-FR"/>
        </w:rPr>
        <w:t>’</w:t>
      </w:r>
      <w:r w:rsidRPr="00172AC5">
        <w:rPr>
          <w:lang w:val="fr-FR"/>
        </w:rPr>
        <w:t>abandon précoce des études par les enfants roms (Kostolac, Belgrade et Novi Pazar). Ces ateliers font suite aux activités de l</w:t>
      </w:r>
      <w:r w:rsidR="00DE1F39">
        <w:rPr>
          <w:lang w:val="fr-FR"/>
        </w:rPr>
        <w:t>’</w:t>
      </w:r>
      <w:r w:rsidRPr="00172AC5">
        <w:rPr>
          <w:lang w:val="fr-FR"/>
        </w:rPr>
        <w:t>année dernière, et d</w:t>
      </w:r>
      <w:r w:rsidR="00DE1F39">
        <w:rPr>
          <w:lang w:val="fr-FR"/>
        </w:rPr>
        <w:t>’</w:t>
      </w:r>
      <w:r w:rsidRPr="00172AC5">
        <w:rPr>
          <w:lang w:val="fr-FR"/>
        </w:rPr>
        <w:t>ici la fin de l</w:t>
      </w:r>
      <w:r w:rsidR="00DE1F39">
        <w:rPr>
          <w:lang w:val="fr-FR"/>
        </w:rPr>
        <w:t>’</w:t>
      </w:r>
      <w:r w:rsidRPr="00172AC5">
        <w:rPr>
          <w:lang w:val="fr-FR"/>
        </w:rPr>
        <w:t>année huit nouveaux ateliers seront organisés avec des enfants de cinquième et sixième années sur le thème « Nous avons demandé aux enfants : Pourquoi certains enfants quittent l</w:t>
      </w:r>
      <w:r w:rsidR="00DE1F39">
        <w:rPr>
          <w:lang w:val="fr-FR"/>
        </w:rPr>
        <w:t>’</w:t>
      </w:r>
      <w:r w:rsidRPr="00172AC5">
        <w:rPr>
          <w:lang w:val="fr-FR"/>
        </w:rPr>
        <w:t>école, quels sont les devoirs du mariage et pourquoi nous devons dire STOP aux mariages d</w:t>
      </w:r>
      <w:r w:rsidR="00DE1F39">
        <w:rPr>
          <w:lang w:val="fr-FR"/>
        </w:rPr>
        <w:t>’</w:t>
      </w:r>
      <w:r w:rsidRPr="00172AC5">
        <w:rPr>
          <w:lang w:val="fr-FR"/>
        </w:rPr>
        <w:t xml:space="preserve">enfants ». </w:t>
      </w:r>
    </w:p>
    <w:p w14:paraId="2D42863C" w14:textId="45CA20B9" w:rsidR="00172AC5" w:rsidRPr="00172AC5" w:rsidRDefault="00172AC5" w:rsidP="00172AC5">
      <w:pPr>
        <w:pStyle w:val="SingleTxt"/>
        <w:numPr>
          <w:ilvl w:val="0"/>
          <w:numId w:val="39"/>
        </w:numPr>
        <w:spacing w:line="240" w:lineRule="exact"/>
        <w:rPr>
          <w:lang w:val="fr-FR"/>
        </w:rPr>
      </w:pPr>
      <w:r w:rsidRPr="00172AC5">
        <w:rPr>
          <w:lang w:val="fr-FR"/>
        </w:rPr>
        <w:t>Au cours de la dernière décennie, le nombre de mariages d</w:t>
      </w:r>
      <w:r w:rsidR="00DE1F39">
        <w:rPr>
          <w:lang w:val="fr-FR"/>
        </w:rPr>
        <w:t>’</w:t>
      </w:r>
      <w:r w:rsidRPr="00172AC5">
        <w:rPr>
          <w:lang w:val="fr-FR"/>
        </w:rPr>
        <w:t>enfants a diminué dans la population générale, mais il a augmenté dans les camps de roms.</w:t>
      </w:r>
    </w:p>
    <w:p w14:paraId="3D6D4FC1" w14:textId="2182E19F" w:rsidR="00172AC5" w:rsidRPr="00172AC5" w:rsidRDefault="00172AC5" w:rsidP="00172AC5">
      <w:pPr>
        <w:pStyle w:val="SingleTxt"/>
        <w:spacing w:after="0" w:line="120" w:lineRule="exact"/>
        <w:rPr>
          <w:sz w:val="10"/>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0"/>
        <w:gridCol w:w="2440"/>
        <w:gridCol w:w="2440"/>
      </w:tblGrid>
      <w:tr w:rsidR="00F04216" w:rsidRPr="00F04216" w14:paraId="1B661D2B" w14:textId="77777777" w:rsidTr="00F04216">
        <w:trPr>
          <w:trHeight w:val="151"/>
          <w:tblHeader/>
        </w:trPr>
        <w:tc>
          <w:tcPr>
            <w:tcW w:w="7320" w:type="dxa"/>
            <w:gridSpan w:val="3"/>
            <w:tcBorders>
              <w:top w:val="single" w:sz="4" w:space="0" w:color="auto"/>
              <w:bottom w:val="single" w:sz="4" w:space="0" w:color="auto"/>
            </w:tcBorders>
            <w:shd w:val="clear" w:color="auto" w:fill="auto"/>
            <w:vAlign w:val="bottom"/>
          </w:tcPr>
          <w:p w14:paraId="1DBDF4D4" w14:textId="392514B2" w:rsidR="00F04216" w:rsidRPr="00F04216" w:rsidRDefault="00F04216" w:rsidP="00F04216">
            <w:pPr>
              <w:spacing w:before="81" w:after="81" w:line="160" w:lineRule="exact"/>
              <w:ind w:left="144" w:right="43"/>
              <w:jc w:val="center"/>
              <w:rPr>
                <w:i/>
                <w:sz w:val="14"/>
              </w:rPr>
            </w:pPr>
            <w:r w:rsidRPr="00F04216">
              <w:rPr>
                <w:i/>
                <w:sz w:val="14"/>
              </w:rPr>
              <w:t>Filles mariées avant l’âge de 18 ans</w:t>
            </w:r>
          </w:p>
        </w:tc>
      </w:tr>
      <w:tr w:rsidR="00172AC5" w:rsidRPr="00F04216" w14:paraId="6E8FD5E2" w14:textId="77777777" w:rsidTr="00F04216">
        <w:trPr>
          <w:trHeight w:val="150"/>
          <w:tblHeader/>
        </w:trPr>
        <w:tc>
          <w:tcPr>
            <w:tcW w:w="2440" w:type="dxa"/>
            <w:tcBorders>
              <w:top w:val="single" w:sz="4" w:space="0" w:color="auto"/>
              <w:bottom w:val="single" w:sz="12" w:space="0" w:color="auto"/>
            </w:tcBorders>
            <w:shd w:val="clear" w:color="auto" w:fill="auto"/>
            <w:vAlign w:val="bottom"/>
          </w:tcPr>
          <w:p w14:paraId="3779BE48" w14:textId="77777777" w:rsidR="00172AC5" w:rsidRPr="00F04216" w:rsidRDefault="00172AC5" w:rsidP="00F04216">
            <w:pPr>
              <w:spacing w:before="81" w:after="81" w:line="160" w:lineRule="exact"/>
              <w:ind w:right="40"/>
              <w:rPr>
                <w:i/>
                <w:sz w:val="14"/>
              </w:rPr>
            </w:pPr>
            <w:r w:rsidRPr="00F04216">
              <w:rPr>
                <w:i/>
                <w:sz w:val="14"/>
              </w:rPr>
              <w:t>Période</w:t>
            </w:r>
          </w:p>
        </w:tc>
        <w:tc>
          <w:tcPr>
            <w:tcW w:w="2440" w:type="dxa"/>
            <w:tcBorders>
              <w:top w:val="single" w:sz="4" w:space="0" w:color="auto"/>
              <w:bottom w:val="single" w:sz="12" w:space="0" w:color="auto"/>
            </w:tcBorders>
            <w:shd w:val="clear" w:color="auto" w:fill="auto"/>
            <w:vAlign w:val="bottom"/>
          </w:tcPr>
          <w:p w14:paraId="5485AAD2" w14:textId="77777777" w:rsidR="00172AC5" w:rsidRPr="00F04216" w:rsidRDefault="00172AC5" w:rsidP="00F04216">
            <w:pPr>
              <w:spacing w:before="81" w:after="81" w:line="160" w:lineRule="exact"/>
              <w:ind w:left="144" w:right="43"/>
              <w:jc w:val="right"/>
              <w:rPr>
                <w:i/>
                <w:sz w:val="14"/>
              </w:rPr>
            </w:pPr>
            <w:r w:rsidRPr="00F04216">
              <w:rPr>
                <w:i/>
                <w:sz w:val="14"/>
              </w:rPr>
              <w:t>Population générale</w:t>
            </w:r>
          </w:p>
        </w:tc>
        <w:tc>
          <w:tcPr>
            <w:tcW w:w="2440" w:type="dxa"/>
            <w:tcBorders>
              <w:top w:val="single" w:sz="4" w:space="0" w:color="auto"/>
              <w:bottom w:val="single" w:sz="12" w:space="0" w:color="auto"/>
            </w:tcBorders>
            <w:shd w:val="clear" w:color="auto" w:fill="auto"/>
            <w:vAlign w:val="bottom"/>
          </w:tcPr>
          <w:p w14:paraId="26F70BE3" w14:textId="77777777" w:rsidR="00172AC5" w:rsidRPr="00F04216" w:rsidRDefault="00172AC5" w:rsidP="00F04216">
            <w:pPr>
              <w:spacing w:before="81" w:after="81" w:line="160" w:lineRule="exact"/>
              <w:ind w:left="144" w:right="43"/>
              <w:jc w:val="right"/>
              <w:rPr>
                <w:i/>
                <w:sz w:val="14"/>
              </w:rPr>
            </w:pPr>
            <w:r w:rsidRPr="00F04216">
              <w:rPr>
                <w:i/>
                <w:sz w:val="14"/>
              </w:rPr>
              <w:t>Population rom</w:t>
            </w:r>
          </w:p>
        </w:tc>
      </w:tr>
      <w:tr w:rsidR="00F04216" w:rsidRPr="00F04216" w14:paraId="15580CDB" w14:textId="77777777" w:rsidTr="00F04216">
        <w:trPr>
          <w:trHeight w:hRule="exact" w:val="115"/>
          <w:tblHeader/>
        </w:trPr>
        <w:tc>
          <w:tcPr>
            <w:tcW w:w="2440" w:type="dxa"/>
            <w:tcBorders>
              <w:top w:val="single" w:sz="12" w:space="0" w:color="auto"/>
            </w:tcBorders>
            <w:shd w:val="clear" w:color="auto" w:fill="auto"/>
            <w:vAlign w:val="bottom"/>
          </w:tcPr>
          <w:p w14:paraId="51F71E25" w14:textId="77777777" w:rsidR="00F04216" w:rsidRPr="00F04216" w:rsidRDefault="00F04216" w:rsidP="00F04216">
            <w:pPr>
              <w:spacing w:before="40" w:after="40" w:line="210" w:lineRule="exact"/>
              <w:ind w:right="40"/>
              <w:rPr>
                <w:sz w:val="17"/>
              </w:rPr>
            </w:pPr>
          </w:p>
        </w:tc>
        <w:tc>
          <w:tcPr>
            <w:tcW w:w="2440" w:type="dxa"/>
            <w:tcBorders>
              <w:top w:val="single" w:sz="12" w:space="0" w:color="auto"/>
            </w:tcBorders>
            <w:shd w:val="clear" w:color="auto" w:fill="auto"/>
            <w:vAlign w:val="bottom"/>
          </w:tcPr>
          <w:p w14:paraId="104C5E2A" w14:textId="77777777" w:rsidR="00F04216" w:rsidRPr="00F04216" w:rsidRDefault="00F04216" w:rsidP="00F04216">
            <w:pPr>
              <w:spacing w:before="40" w:after="40" w:line="210" w:lineRule="exact"/>
              <w:ind w:left="144" w:right="43"/>
              <w:jc w:val="right"/>
              <w:rPr>
                <w:sz w:val="17"/>
              </w:rPr>
            </w:pPr>
          </w:p>
        </w:tc>
        <w:tc>
          <w:tcPr>
            <w:tcW w:w="2440" w:type="dxa"/>
            <w:tcBorders>
              <w:top w:val="single" w:sz="12" w:space="0" w:color="auto"/>
            </w:tcBorders>
            <w:shd w:val="clear" w:color="auto" w:fill="auto"/>
            <w:vAlign w:val="bottom"/>
          </w:tcPr>
          <w:p w14:paraId="5CC53A3D" w14:textId="77777777" w:rsidR="00F04216" w:rsidRPr="00F04216" w:rsidRDefault="00F04216" w:rsidP="00F04216">
            <w:pPr>
              <w:spacing w:before="40" w:after="40" w:line="210" w:lineRule="exact"/>
              <w:ind w:left="144" w:right="43"/>
              <w:jc w:val="right"/>
              <w:rPr>
                <w:sz w:val="17"/>
              </w:rPr>
            </w:pPr>
          </w:p>
        </w:tc>
      </w:tr>
      <w:tr w:rsidR="00172AC5" w:rsidRPr="00F04216" w14:paraId="44A57DBD" w14:textId="77777777" w:rsidTr="00F04216">
        <w:tc>
          <w:tcPr>
            <w:tcW w:w="2440" w:type="dxa"/>
            <w:shd w:val="clear" w:color="auto" w:fill="auto"/>
            <w:vAlign w:val="bottom"/>
          </w:tcPr>
          <w:p w14:paraId="1F0D37D0" w14:textId="77777777" w:rsidR="00172AC5" w:rsidRPr="00F04216" w:rsidRDefault="00172AC5" w:rsidP="00F04216">
            <w:pPr>
              <w:tabs>
                <w:tab w:val="left" w:pos="288"/>
                <w:tab w:val="left" w:pos="576"/>
                <w:tab w:val="left" w:pos="864"/>
                <w:tab w:val="left" w:pos="1152"/>
              </w:tabs>
              <w:spacing w:before="40" w:after="40" w:line="210" w:lineRule="exact"/>
              <w:ind w:right="40"/>
              <w:rPr>
                <w:sz w:val="17"/>
              </w:rPr>
            </w:pPr>
            <w:r w:rsidRPr="00F04216">
              <w:rPr>
                <w:sz w:val="17"/>
              </w:rPr>
              <w:t>2005</w:t>
            </w:r>
          </w:p>
        </w:tc>
        <w:tc>
          <w:tcPr>
            <w:tcW w:w="2440" w:type="dxa"/>
            <w:shd w:val="clear" w:color="auto" w:fill="auto"/>
            <w:vAlign w:val="bottom"/>
          </w:tcPr>
          <w:p w14:paraId="5922F204" w14:textId="77777777" w:rsidR="00172AC5" w:rsidRPr="00F04216" w:rsidRDefault="00172AC5" w:rsidP="00F04216">
            <w:pPr>
              <w:tabs>
                <w:tab w:val="left" w:pos="288"/>
                <w:tab w:val="left" w:pos="576"/>
                <w:tab w:val="left" w:pos="864"/>
                <w:tab w:val="left" w:pos="1152"/>
              </w:tabs>
              <w:spacing w:before="40" w:after="40" w:line="210" w:lineRule="exact"/>
              <w:ind w:left="144" w:right="43"/>
              <w:jc w:val="right"/>
              <w:rPr>
                <w:sz w:val="17"/>
              </w:rPr>
            </w:pPr>
            <w:r w:rsidRPr="00F04216">
              <w:rPr>
                <w:sz w:val="17"/>
              </w:rPr>
              <w:t>7,9 %</w:t>
            </w:r>
          </w:p>
        </w:tc>
        <w:tc>
          <w:tcPr>
            <w:tcW w:w="2440" w:type="dxa"/>
            <w:shd w:val="clear" w:color="auto" w:fill="auto"/>
            <w:vAlign w:val="bottom"/>
          </w:tcPr>
          <w:p w14:paraId="2CAB59EC" w14:textId="77777777" w:rsidR="00172AC5" w:rsidRPr="00F04216" w:rsidRDefault="00172AC5" w:rsidP="00F04216">
            <w:pPr>
              <w:tabs>
                <w:tab w:val="left" w:pos="288"/>
                <w:tab w:val="left" w:pos="576"/>
                <w:tab w:val="left" w:pos="864"/>
                <w:tab w:val="left" w:pos="1152"/>
              </w:tabs>
              <w:spacing w:before="40" w:after="40" w:line="210" w:lineRule="exact"/>
              <w:ind w:left="144" w:right="43"/>
              <w:jc w:val="right"/>
              <w:rPr>
                <w:sz w:val="17"/>
              </w:rPr>
            </w:pPr>
            <w:r w:rsidRPr="00F04216">
              <w:rPr>
                <w:sz w:val="17"/>
              </w:rPr>
              <w:t>45,9 %</w:t>
            </w:r>
          </w:p>
        </w:tc>
      </w:tr>
      <w:tr w:rsidR="00172AC5" w:rsidRPr="00F04216" w14:paraId="4A84A4CC" w14:textId="77777777" w:rsidTr="00F04216">
        <w:tc>
          <w:tcPr>
            <w:tcW w:w="2440" w:type="dxa"/>
            <w:shd w:val="clear" w:color="auto" w:fill="auto"/>
            <w:vAlign w:val="bottom"/>
          </w:tcPr>
          <w:p w14:paraId="1BD58EAF" w14:textId="77777777" w:rsidR="00172AC5" w:rsidRPr="00F04216" w:rsidRDefault="00172AC5" w:rsidP="00F04216">
            <w:pPr>
              <w:tabs>
                <w:tab w:val="left" w:pos="288"/>
                <w:tab w:val="left" w:pos="576"/>
                <w:tab w:val="left" w:pos="864"/>
                <w:tab w:val="left" w:pos="1152"/>
              </w:tabs>
              <w:spacing w:before="40" w:after="40" w:line="210" w:lineRule="exact"/>
              <w:ind w:right="40"/>
              <w:rPr>
                <w:sz w:val="17"/>
              </w:rPr>
            </w:pPr>
            <w:r w:rsidRPr="00F04216">
              <w:rPr>
                <w:sz w:val="17"/>
              </w:rPr>
              <w:t>2010</w:t>
            </w:r>
          </w:p>
        </w:tc>
        <w:tc>
          <w:tcPr>
            <w:tcW w:w="2440" w:type="dxa"/>
            <w:shd w:val="clear" w:color="auto" w:fill="auto"/>
            <w:vAlign w:val="bottom"/>
          </w:tcPr>
          <w:p w14:paraId="6ACF8CF0" w14:textId="77777777" w:rsidR="00172AC5" w:rsidRPr="00F04216" w:rsidRDefault="00172AC5" w:rsidP="00F04216">
            <w:pPr>
              <w:tabs>
                <w:tab w:val="left" w:pos="288"/>
                <w:tab w:val="left" w:pos="576"/>
                <w:tab w:val="left" w:pos="864"/>
                <w:tab w:val="left" w:pos="1152"/>
              </w:tabs>
              <w:spacing w:before="40" w:after="40" w:line="210" w:lineRule="exact"/>
              <w:ind w:left="144" w:right="43"/>
              <w:jc w:val="right"/>
              <w:rPr>
                <w:sz w:val="17"/>
              </w:rPr>
            </w:pPr>
            <w:r w:rsidRPr="00F04216">
              <w:rPr>
                <w:sz w:val="17"/>
              </w:rPr>
              <w:t>7,7 %</w:t>
            </w:r>
          </w:p>
        </w:tc>
        <w:tc>
          <w:tcPr>
            <w:tcW w:w="2440" w:type="dxa"/>
            <w:shd w:val="clear" w:color="auto" w:fill="auto"/>
            <w:vAlign w:val="bottom"/>
          </w:tcPr>
          <w:p w14:paraId="375ECA53" w14:textId="77777777" w:rsidR="00172AC5" w:rsidRPr="00F04216" w:rsidRDefault="00172AC5" w:rsidP="00F04216">
            <w:pPr>
              <w:tabs>
                <w:tab w:val="left" w:pos="288"/>
                <w:tab w:val="left" w:pos="576"/>
                <w:tab w:val="left" w:pos="864"/>
                <w:tab w:val="left" w:pos="1152"/>
              </w:tabs>
              <w:spacing w:before="40" w:after="40" w:line="210" w:lineRule="exact"/>
              <w:ind w:left="144" w:right="43"/>
              <w:jc w:val="right"/>
              <w:rPr>
                <w:sz w:val="17"/>
              </w:rPr>
            </w:pPr>
            <w:r w:rsidRPr="00F04216">
              <w:rPr>
                <w:sz w:val="17"/>
              </w:rPr>
              <w:t>53,7 %</w:t>
            </w:r>
          </w:p>
        </w:tc>
      </w:tr>
      <w:tr w:rsidR="00172AC5" w:rsidRPr="00F04216" w14:paraId="2A4727A5" w14:textId="77777777" w:rsidTr="00F04216">
        <w:tc>
          <w:tcPr>
            <w:tcW w:w="2440" w:type="dxa"/>
            <w:tcBorders>
              <w:bottom w:val="single" w:sz="12" w:space="0" w:color="auto"/>
            </w:tcBorders>
            <w:shd w:val="clear" w:color="auto" w:fill="auto"/>
            <w:vAlign w:val="bottom"/>
          </w:tcPr>
          <w:p w14:paraId="5DB30D5C" w14:textId="77777777" w:rsidR="00172AC5" w:rsidRPr="00F04216" w:rsidRDefault="00172AC5" w:rsidP="00F04216">
            <w:pPr>
              <w:tabs>
                <w:tab w:val="left" w:pos="288"/>
                <w:tab w:val="left" w:pos="576"/>
                <w:tab w:val="left" w:pos="864"/>
                <w:tab w:val="left" w:pos="1152"/>
              </w:tabs>
              <w:spacing w:before="40" w:after="40" w:line="210" w:lineRule="exact"/>
              <w:ind w:right="40"/>
              <w:rPr>
                <w:sz w:val="17"/>
              </w:rPr>
            </w:pPr>
            <w:r w:rsidRPr="00F04216">
              <w:rPr>
                <w:sz w:val="17"/>
              </w:rPr>
              <w:t>2014</w:t>
            </w:r>
          </w:p>
        </w:tc>
        <w:tc>
          <w:tcPr>
            <w:tcW w:w="2440" w:type="dxa"/>
            <w:tcBorders>
              <w:bottom w:val="single" w:sz="12" w:space="0" w:color="auto"/>
            </w:tcBorders>
            <w:shd w:val="clear" w:color="auto" w:fill="auto"/>
            <w:vAlign w:val="bottom"/>
          </w:tcPr>
          <w:p w14:paraId="391467CD" w14:textId="77777777" w:rsidR="00172AC5" w:rsidRPr="00F04216" w:rsidRDefault="00172AC5" w:rsidP="00F04216">
            <w:pPr>
              <w:tabs>
                <w:tab w:val="left" w:pos="288"/>
                <w:tab w:val="left" w:pos="576"/>
                <w:tab w:val="left" w:pos="864"/>
                <w:tab w:val="left" w:pos="1152"/>
              </w:tabs>
              <w:spacing w:before="40" w:after="40" w:line="210" w:lineRule="exact"/>
              <w:ind w:left="144" w:right="43"/>
              <w:jc w:val="right"/>
              <w:rPr>
                <w:sz w:val="17"/>
              </w:rPr>
            </w:pPr>
            <w:r w:rsidRPr="00F04216">
              <w:rPr>
                <w:sz w:val="17"/>
              </w:rPr>
              <w:t>6,8 %</w:t>
            </w:r>
          </w:p>
        </w:tc>
        <w:tc>
          <w:tcPr>
            <w:tcW w:w="2440" w:type="dxa"/>
            <w:tcBorders>
              <w:bottom w:val="single" w:sz="12" w:space="0" w:color="auto"/>
            </w:tcBorders>
            <w:shd w:val="clear" w:color="auto" w:fill="auto"/>
            <w:vAlign w:val="bottom"/>
          </w:tcPr>
          <w:p w14:paraId="5EDEF418" w14:textId="77777777" w:rsidR="00172AC5" w:rsidRPr="00F04216" w:rsidRDefault="00172AC5" w:rsidP="00F04216">
            <w:pPr>
              <w:tabs>
                <w:tab w:val="left" w:pos="288"/>
                <w:tab w:val="left" w:pos="576"/>
                <w:tab w:val="left" w:pos="864"/>
                <w:tab w:val="left" w:pos="1152"/>
              </w:tabs>
              <w:spacing w:before="40" w:after="40" w:line="210" w:lineRule="exact"/>
              <w:ind w:left="144" w:right="43"/>
              <w:jc w:val="right"/>
              <w:rPr>
                <w:sz w:val="17"/>
              </w:rPr>
            </w:pPr>
            <w:r w:rsidRPr="00F04216">
              <w:rPr>
                <w:sz w:val="17"/>
              </w:rPr>
              <w:t>57 %</w:t>
            </w:r>
          </w:p>
        </w:tc>
      </w:tr>
    </w:tbl>
    <w:p w14:paraId="103F0987" w14:textId="06C8A023" w:rsidR="007E41FF" w:rsidRPr="00172AC5" w:rsidRDefault="007E41FF" w:rsidP="00172AC5">
      <w:pPr>
        <w:pStyle w:val="SingleTxt"/>
        <w:spacing w:after="0" w:line="120" w:lineRule="exact"/>
        <w:rPr>
          <w:sz w:val="10"/>
        </w:rPr>
      </w:pPr>
    </w:p>
    <w:p w14:paraId="59B42539" w14:textId="6F04D29F" w:rsidR="00172AC5" w:rsidRPr="00172AC5" w:rsidRDefault="00172AC5" w:rsidP="00172AC5">
      <w:pPr>
        <w:pStyle w:val="SingleTxt"/>
        <w:spacing w:after="0" w:line="120" w:lineRule="exact"/>
        <w:rPr>
          <w:sz w:val="10"/>
        </w:rPr>
      </w:pPr>
    </w:p>
    <w:p w14:paraId="3877947F" w14:textId="5EDE1473" w:rsidR="00172AC5" w:rsidRPr="002910D6" w:rsidRDefault="00172AC5" w:rsidP="00172AC5">
      <w:pPr>
        <w:pStyle w:val="SingleTxt"/>
        <w:numPr>
          <w:ilvl w:val="0"/>
          <w:numId w:val="39"/>
        </w:numPr>
        <w:spacing w:line="240" w:lineRule="exact"/>
      </w:pPr>
      <w:r>
        <w:t>L</w:t>
      </w:r>
      <w:r w:rsidR="00DE1F39">
        <w:t>’</w:t>
      </w:r>
      <w:r>
        <w:t>initiative du 28 juin 2018 de l</w:t>
      </w:r>
      <w:r w:rsidR="00DE1F39">
        <w:t>’</w:t>
      </w:r>
      <w:r>
        <w:t xml:space="preserve">UNICEF visaient à créer les </w:t>
      </w:r>
      <w:r>
        <w:rPr>
          <w:i/>
        </w:rPr>
        <w:t>coalitions nationales pour la prévention et l</w:t>
      </w:r>
      <w:r w:rsidR="00DE1F39">
        <w:rPr>
          <w:i/>
        </w:rPr>
        <w:t>’</w:t>
      </w:r>
      <w:r>
        <w:rPr>
          <w:i/>
        </w:rPr>
        <w:t>élimination des mariages précoces</w:t>
      </w:r>
      <w:r>
        <w:t xml:space="preserve"> afin de mettre fin à la pratique des mariages d</w:t>
      </w:r>
      <w:r w:rsidR="00DE1F39">
        <w:t>’</w:t>
      </w:r>
      <w:r>
        <w:t>enfants en Serbie, conformément aux objectifs de développement durable 2030 (Organisme de coordination pour l</w:t>
      </w:r>
      <w:r w:rsidR="00DE1F39">
        <w:t>’</w:t>
      </w:r>
      <w:r>
        <w:t>égalité des sexes, Institut national de la protection sociale, Défenseur des citoyens, Commissaire à la protection de l</w:t>
      </w:r>
      <w:r w:rsidR="00DE1F39">
        <w:t>’</w:t>
      </w:r>
      <w:r>
        <w:t xml:space="preserve">égalité, Centre pour les femmes roms BIBIJA, Association rom de Novi Bečej, FNUAP et UNICEF). </w:t>
      </w:r>
    </w:p>
    <w:p w14:paraId="5E889677" w14:textId="77777777" w:rsidR="00172AC5" w:rsidRDefault="00172AC5" w:rsidP="00172AC5">
      <w:pPr>
        <w:pStyle w:val="SingleTxt"/>
        <w:numPr>
          <w:ilvl w:val="0"/>
          <w:numId w:val="39"/>
        </w:numPr>
        <w:spacing w:line="240" w:lineRule="exact"/>
      </w:pPr>
      <w:r>
        <w:t>Les modifications prochaines de la loi sur la famille ne porteront pas sur les partenariats entre personnes de même sexe. Cette question sera abordée dans le Code pénal, qui réglemente de manière globale les relations juridiques civiles, y compris les relations juridique</w:t>
      </w:r>
      <w:bookmarkStart w:id="2" w:name="_GoBack"/>
      <w:bookmarkEnd w:id="2"/>
      <w:r>
        <w:t>s familiales.</w:t>
      </w:r>
    </w:p>
    <w:p w14:paraId="176236C1" w14:textId="49676794" w:rsidR="00172AC5" w:rsidRPr="00172AC5" w:rsidRDefault="00172AC5" w:rsidP="00172AC5">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1EFD6E1C" wp14:editId="7BFEAA85">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850FD4"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172AC5" w:rsidRPr="00172AC5" w:rsidSect="00DE1F39">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19T07:19:00Z" w:initials="Start">
    <w:p w14:paraId="3E4C108F" w14:textId="77777777" w:rsidR="00A44199" w:rsidRPr="0076728C" w:rsidRDefault="00A44199">
      <w:pPr>
        <w:pStyle w:val="CommentText"/>
        <w:rPr>
          <w:lang w:val="en-US"/>
        </w:rPr>
      </w:pPr>
      <w:r>
        <w:fldChar w:fldCharType="begin"/>
      </w:r>
      <w:r w:rsidRPr="0076728C">
        <w:rPr>
          <w:rStyle w:val="CommentReference"/>
          <w:lang w:val="en-US"/>
        </w:rPr>
        <w:instrText xml:space="preserve"> </w:instrText>
      </w:r>
      <w:r w:rsidRPr="0076728C">
        <w:rPr>
          <w:lang w:val="en-US"/>
        </w:rPr>
        <w:instrText>PAGE \# "'Page: '#'</w:instrText>
      </w:r>
      <w:r w:rsidRPr="0076728C">
        <w:rPr>
          <w:lang w:val="en-US"/>
        </w:rPr>
        <w:br/>
        <w:instrText>'"</w:instrText>
      </w:r>
      <w:r w:rsidRPr="0076728C">
        <w:rPr>
          <w:rStyle w:val="CommentReference"/>
          <w:lang w:val="en-US"/>
        </w:rPr>
        <w:instrText xml:space="preserve"> </w:instrText>
      </w:r>
      <w:r>
        <w:fldChar w:fldCharType="end"/>
      </w:r>
      <w:r>
        <w:rPr>
          <w:rStyle w:val="CommentReference"/>
        </w:rPr>
        <w:annotationRef/>
      </w:r>
      <w:r w:rsidRPr="0076728C">
        <w:rPr>
          <w:lang w:val="en-US"/>
        </w:rPr>
        <w:t>&lt;&lt;ODS JOB NO&gt;&gt;N1840572F&lt;&lt;ODS JOB NO&gt;&gt;</w:t>
      </w:r>
    </w:p>
    <w:p w14:paraId="07241326" w14:textId="77777777" w:rsidR="00A44199" w:rsidRDefault="00A44199">
      <w:pPr>
        <w:pStyle w:val="CommentText"/>
      </w:pPr>
      <w:r>
        <w:t>&lt;&lt;ODS DOC SYMBOL1&gt;&gt;CEDAW/C/SRB/Q/4/Add.1&lt;&lt;ODS DOC SYMBOL1&gt;&gt;</w:t>
      </w:r>
    </w:p>
    <w:p w14:paraId="0DFF5114" w14:textId="77777777" w:rsidR="00A44199" w:rsidRDefault="00A4419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FF511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4052A" w14:textId="77777777" w:rsidR="00A44199" w:rsidRDefault="00A44199" w:rsidP="00101B18">
      <w:pPr>
        <w:spacing w:line="240" w:lineRule="auto"/>
      </w:pPr>
      <w:r>
        <w:separator/>
      </w:r>
    </w:p>
  </w:endnote>
  <w:endnote w:type="continuationSeparator" w:id="0">
    <w:p w14:paraId="7837F0C3" w14:textId="77777777" w:rsidR="00A44199" w:rsidRDefault="00A44199"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44199" w14:paraId="2C0A1B4A" w14:textId="77777777" w:rsidTr="00995751">
      <w:tc>
        <w:tcPr>
          <w:tcW w:w="4920" w:type="dxa"/>
          <w:shd w:val="clear" w:color="auto" w:fill="auto"/>
        </w:tcPr>
        <w:p w14:paraId="3133BF86" w14:textId="3B868F52" w:rsidR="00A44199" w:rsidRPr="00995751" w:rsidRDefault="00A44199" w:rsidP="0099575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F7FC7">
            <w:rPr>
              <w:b w:val="0"/>
              <w:w w:val="103"/>
              <w:sz w:val="14"/>
            </w:rPr>
            <w:t>18-20523</w:t>
          </w:r>
          <w:r>
            <w:rPr>
              <w:b w:val="0"/>
              <w:w w:val="103"/>
              <w:sz w:val="14"/>
            </w:rPr>
            <w:fldChar w:fldCharType="end"/>
          </w:r>
        </w:p>
      </w:tc>
      <w:tc>
        <w:tcPr>
          <w:tcW w:w="4920" w:type="dxa"/>
          <w:shd w:val="clear" w:color="auto" w:fill="auto"/>
        </w:tcPr>
        <w:p w14:paraId="294736B2" w14:textId="77777777" w:rsidR="00A44199" w:rsidRPr="00995751" w:rsidRDefault="00A44199" w:rsidP="00995751">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1AC5AA72" w14:textId="77777777" w:rsidR="00A44199" w:rsidRPr="00995751" w:rsidRDefault="00A44199" w:rsidP="00995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44199" w14:paraId="5D1A56F0" w14:textId="77777777" w:rsidTr="00995751">
      <w:tc>
        <w:tcPr>
          <w:tcW w:w="4920" w:type="dxa"/>
          <w:shd w:val="clear" w:color="auto" w:fill="auto"/>
        </w:tcPr>
        <w:p w14:paraId="2B8D312E" w14:textId="77777777" w:rsidR="00A44199" w:rsidRPr="00995751" w:rsidRDefault="00A44199" w:rsidP="00995751">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62A488A0" w14:textId="752D5F16" w:rsidR="00A44199" w:rsidRPr="00995751" w:rsidRDefault="00A44199" w:rsidP="0099575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F7FC7">
            <w:rPr>
              <w:b w:val="0"/>
              <w:w w:val="103"/>
              <w:sz w:val="14"/>
            </w:rPr>
            <w:t>18-20523</w:t>
          </w:r>
          <w:r>
            <w:rPr>
              <w:b w:val="0"/>
              <w:w w:val="103"/>
              <w:sz w:val="14"/>
            </w:rPr>
            <w:fldChar w:fldCharType="end"/>
          </w:r>
        </w:p>
      </w:tc>
    </w:tr>
  </w:tbl>
  <w:p w14:paraId="568615D8" w14:textId="77777777" w:rsidR="00A44199" w:rsidRPr="00995751" w:rsidRDefault="00A44199" w:rsidP="009957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83F88" w14:textId="77777777" w:rsidR="00A44199" w:rsidRDefault="00A44199">
    <w:pPr>
      <w:pStyle w:val="Footer"/>
    </w:pPr>
    <w:r>
      <w:rPr>
        <w:noProof/>
      </w:rPr>
      <w:drawing>
        <wp:anchor distT="0" distB="0" distL="114300" distR="114300" simplePos="0" relativeHeight="251658240" behindDoc="0" locked="0" layoutInCell="1" allowOverlap="1" wp14:anchorId="6CF6D351" wp14:editId="5415B68C">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SRB/Q/4/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SRB/Q/4/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A44199" w14:paraId="434B1165" w14:textId="77777777" w:rsidTr="007E41FF">
      <w:tc>
        <w:tcPr>
          <w:tcW w:w="3758" w:type="dxa"/>
        </w:tcPr>
        <w:p w14:paraId="3B2A3852" w14:textId="3AF0CF96" w:rsidR="00A44199" w:rsidRDefault="00A44199" w:rsidP="0099575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F7FC7">
            <w:rPr>
              <w:b w:val="0"/>
              <w:sz w:val="20"/>
            </w:rPr>
            <w:t>18-20523 (F)</w:t>
          </w:r>
          <w:r>
            <w:rPr>
              <w:b w:val="0"/>
              <w:sz w:val="20"/>
            </w:rPr>
            <w:fldChar w:fldCharType="end"/>
          </w:r>
          <w:r>
            <w:rPr>
              <w:b w:val="0"/>
              <w:sz w:val="20"/>
            </w:rPr>
            <w:t xml:space="preserve">    171218    191218</w:t>
          </w:r>
        </w:p>
        <w:p w14:paraId="5DBF7B8D" w14:textId="348F0D99" w:rsidR="00A44199" w:rsidRPr="00995751" w:rsidRDefault="00A44199" w:rsidP="0099575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EF7FC7">
            <w:rPr>
              <w:rFonts w:ascii="Barcode 3 of 9 by request" w:hAnsi="Barcode 3 of 9 by request"/>
              <w:spacing w:val="0"/>
              <w:w w:val="100"/>
              <w:sz w:val="24"/>
            </w:rPr>
            <w:t>*1820523*</w:t>
          </w:r>
          <w:r>
            <w:rPr>
              <w:rFonts w:ascii="Barcode 3 of 9 by request" w:hAnsi="Barcode 3 of 9 by request"/>
              <w:spacing w:val="0"/>
              <w:w w:val="100"/>
              <w:sz w:val="24"/>
            </w:rPr>
            <w:fldChar w:fldCharType="end"/>
          </w:r>
        </w:p>
      </w:tc>
      <w:tc>
        <w:tcPr>
          <w:tcW w:w="4920" w:type="dxa"/>
        </w:tcPr>
        <w:p w14:paraId="15F3C14B" w14:textId="77777777" w:rsidR="00A44199" w:rsidRDefault="00A44199" w:rsidP="00995751">
          <w:pPr>
            <w:pStyle w:val="Footer"/>
            <w:spacing w:line="240" w:lineRule="atLeast"/>
            <w:jc w:val="right"/>
            <w:rPr>
              <w:b w:val="0"/>
              <w:sz w:val="20"/>
            </w:rPr>
          </w:pPr>
          <w:r>
            <w:rPr>
              <w:b w:val="0"/>
              <w:noProof/>
              <w:sz w:val="20"/>
            </w:rPr>
            <w:drawing>
              <wp:inline distT="0" distB="0" distL="0" distR="0" wp14:anchorId="6008F6E5" wp14:editId="52F4877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31E71D8B" w14:textId="77777777" w:rsidR="00A44199" w:rsidRPr="00995751" w:rsidRDefault="00A44199" w:rsidP="00995751">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B1269" w14:textId="7482080D" w:rsidR="00A44199" w:rsidRPr="00DE1F39" w:rsidRDefault="00A44199" w:rsidP="00DE1F39">
      <w:pPr>
        <w:pStyle w:val="Footer"/>
        <w:spacing w:after="80"/>
        <w:ind w:left="792"/>
        <w:rPr>
          <w:sz w:val="16"/>
        </w:rPr>
      </w:pPr>
      <w:r w:rsidRPr="00DE1F39">
        <w:rPr>
          <w:sz w:val="16"/>
        </w:rPr>
        <w:t>__________________</w:t>
      </w:r>
    </w:p>
  </w:footnote>
  <w:footnote w:type="continuationSeparator" w:id="0">
    <w:p w14:paraId="5AA86518" w14:textId="16CA479B" w:rsidR="00A44199" w:rsidRPr="00DE1F39" w:rsidRDefault="00A44199" w:rsidP="00DE1F39">
      <w:pPr>
        <w:pStyle w:val="Footer"/>
        <w:spacing w:after="80"/>
        <w:ind w:left="792"/>
        <w:rPr>
          <w:sz w:val="16"/>
        </w:rPr>
      </w:pPr>
      <w:r w:rsidRPr="00DE1F39">
        <w:rPr>
          <w:sz w:val="16"/>
        </w:rPr>
        <w:t>__________________</w:t>
      </w:r>
    </w:p>
  </w:footnote>
  <w:footnote w:id="1">
    <w:p w14:paraId="6D4162F4" w14:textId="77777777" w:rsidR="00A44199" w:rsidRPr="00F04216" w:rsidRDefault="00A44199" w:rsidP="00F04216">
      <w:pPr>
        <w:pStyle w:val="FootnoteText"/>
        <w:tabs>
          <w:tab w:val="right" w:pos="1195"/>
          <w:tab w:val="left" w:pos="1267"/>
          <w:tab w:val="left" w:pos="1742"/>
          <w:tab w:val="left" w:pos="2218"/>
          <w:tab w:val="left" w:pos="2693"/>
        </w:tabs>
        <w:ind w:left="1267" w:right="1267" w:hanging="432"/>
      </w:pPr>
      <w:r w:rsidRPr="00F04216">
        <w:rPr>
          <w:rStyle w:val="FootnoteReference"/>
          <w:spacing w:val="4"/>
        </w:rPr>
        <w:tab/>
      </w:r>
      <w:r w:rsidRPr="00F04216">
        <w:rPr>
          <w:rStyle w:val="FootnoteReference"/>
          <w:spacing w:val="4"/>
          <w:sz w:val="20"/>
        </w:rPr>
        <w:t>*</w:t>
      </w:r>
      <w:r w:rsidRPr="00F04216">
        <w:rPr>
          <w:rStyle w:val="FootnoteReference"/>
          <w:spacing w:val="4"/>
          <w:sz w:val="20"/>
        </w:rPr>
        <w:tab/>
      </w:r>
      <w:r w:rsidRPr="00F04216">
        <w:t>Le présent document n’a pas été revu par les services d’édition.</w:t>
      </w:r>
    </w:p>
  </w:footnote>
  <w:footnote w:id="2">
    <w:p w14:paraId="49CCD018" w14:textId="6F191728" w:rsidR="00A44199" w:rsidRPr="00F04216" w:rsidRDefault="00A44199" w:rsidP="00F04216">
      <w:pPr>
        <w:pStyle w:val="FootnoteText"/>
        <w:tabs>
          <w:tab w:val="right" w:pos="1195"/>
          <w:tab w:val="left" w:pos="1267"/>
          <w:tab w:val="left" w:pos="1742"/>
          <w:tab w:val="left" w:pos="2218"/>
          <w:tab w:val="left" w:pos="2693"/>
        </w:tabs>
        <w:ind w:left="1267" w:right="1267" w:hanging="432"/>
      </w:pPr>
      <w:r w:rsidRPr="00F04216">
        <w:tab/>
      </w:r>
      <w:r w:rsidRPr="00F04216">
        <w:rPr>
          <w:rStyle w:val="FootnoteReference"/>
          <w:spacing w:val="4"/>
        </w:rPr>
        <w:footnoteRef/>
      </w:r>
      <w:r w:rsidRPr="00F04216">
        <w:tab/>
        <w:t>Journal officiel de la République de Serbie, n</w:t>
      </w:r>
      <w:r w:rsidRPr="00F04216">
        <w:rPr>
          <w:vertAlign w:val="superscript"/>
        </w:rPr>
        <w:t>o</w:t>
      </w:r>
      <w:r w:rsidRPr="00F04216">
        <w:t> 81/2017.</w:t>
      </w:r>
    </w:p>
  </w:footnote>
  <w:footnote w:id="3">
    <w:p w14:paraId="5157F84B" w14:textId="18D92D76" w:rsidR="00A44199" w:rsidRPr="00F04216" w:rsidRDefault="00A44199" w:rsidP="00F04216">
      <w:pPr>
        <w:pStyle w:val="FootnoteText"/>
        <w:tabs>
          <w:tab w:val="right" w:pos="1195"/>
          <w:tab w:val="left" w:pos="1267"/>
          <w:tab w:val="left" w:pos="1742"/>
          <w:tab w:val="left" w:pos="2218"/>
          <w:tab w:val="left" w:pos="2693"/>
        </w:tabs>
        <w:ind w:left="1267" w:right="1267" w:hanging="432"/>
      </w:pPr>
      <w:r w:rsidRPr="00F04216">
        <w:tab/>
      </w:r>
      <w:r w:rsidRPr="00F04216">
        <w:rPr>
          <w:rStyle w:val="FootnoteReference"/>
          <w:spacing w:val="4"/>
        </w:rPr>
        <w:footnoteRef/>
      </w:r>
      <w:r w:rsidRPr="00F04216">
        <w:tab/>
      </w:r>
      <w:hyperlink r:id="rId1" w:history="1">
        <w:r w:rsidRPr="0076728C">
          <w:rPr>
            <w:rStyle w:val="Hyperlink"/>
          </w:rPr>
          <w:t>http://zuov.gov.rs/katalozi-programa-stalnog-strucnog-usavrsavanja/</w:t>
        </w:r>
      </w:hyperlink>
      <w:r w:rsidRPr="0076728C">
        <w:rPr>
          <w:szCs w:val="17"/>
        </w:rPr>
        <w:t>.</w:t>
      </w:r>
    </w:p>
  </w:footnote>
  <w:footnote w:id="4">
    <w:p w14:paraId="36DD2B57" w14:textId="150FC471" w:rsidR="00A44199" w:rsidRPr="00F04216" w:rsidRDefault="00A44199" w:rsidP="00F04216">
      <w:pPr>
        <w:pStyle w:val="FootnoteText"/>
        <w:tabs>
          <w:tab w:val="right" w:pos="1195"/>
          <w:tab w:val="left" w:pos="1267"/>
          <w:tab w:val="left" w:pos="1742"/>
          <w:tab w:val="left" w:pos="2218"/>
          <w:tab w:val="left" w:pos="2693"/>
        </w:tabs>
        <w:ind w:left="1267" w:right="1267" w:hanging="432"/>
      </w:pPr>
      <w:r w:rsidRPr="00F04216">
        <w:tab/>
      </w:r>
      <w:r w:rsidRPr="00F04216">
        <w:rPr>
          <w:rStyle w:val="FootnoteReference"/>
          <w:spacing w:val="4"/>
        </w:rPr>
        <w:footnoteRef/>
      </w:r>
      <w:r w:rsidRPr="00F04216">
        <w:tab/>
        <w:t xml:space="preserve">Cette étude a été menée dans le cadre du projet financé et mis en </w:t>
      </w:r>
      <w:r w:rsidR="0015207D" w:rsidRPr="00F04216">
        <w:t>œuvre</w:t>
      </w:r>
      <w:r w:rsidRPr="00F04216">
        <w:t xml:space="preserve"> par le Secrétariat pour les politiques publiques de Serbie et PERFORM (</w:t>
      </w:r>
      <w:r w:rsidRPr="00F04216">
        <w:rPr>
          <w:i/>
        </w:rPr>
        <w:t>Performing and Responsive Social Sciences</w:t>
      </w:r>
      <w:r w:rsidRPr="00F04216">
        <w:t>).</w:t>
      </w:r>
    </w:p>
  </w:footnote>
  <w:footnote w:id="5">
    <w:p w14:paraId="47D9D950" w14:textId="77777777" w:rsidR="00A44199" w:rsidRPr="00F04216" w:rsidRDefault="00A44199" w:rsidP="00F04216">
      <w:pPr>
        <w:pStyle w:val="FootnoteText"/>
        <w:tabs>
          <w:tab w:val="right" w:pos="1195"/>
          <w:tab w:val="left" w:pos="1267"/>
          <w:tab w:val="left" w:pos="1742"/>
          <w:tab w:val="left" w:pos="2218"/>
          <w:tab w:val="left" w:pos="2693"/>
        </w:tabs>
        <w:ind w:left="1267" w:right="1267" w:hanging="432"/>
      </w:pPr>
      <w:r w:rsidRPr="00F04216">
        <w:tab/>
      </w:r>
      <w:r w:rsidRPr="00F04216">
        <w:rPr>
          <w:rStyle w:val="FootnoteReference"/>
          <w:spacing w:val="4"/>
        </w:rPr>
        <w:footnoteRef/>
      </w:r>
      <w:r w:rsidRPr="00F04216">
        <w:tab/>
        <w:t>Premier service téléphonique d’urgence en langue rom dans les Balkans.</w:t>
      </w:r>
    </w:p>
  </w:footnote>
  <w:footnote w:id="6">
    <w:p w14:paraId="0B72AC48" w14:textId="77777777" w:rsidR="00A44199" w:rsidRPr="00F04216" w:rsidRDefault="00A44199" w:rsidP="00F04216">
      <w:pPr>
        <w:pStyle w:val="FootnoteText"/>
        <w:tabs>
          <w:tab w:val="right" w:pos="1195"/>
          <w:tab w:val="left" w:pos="1267"/>
          <w:tab w:val="left" w:pos="1742"/>
          <w:tab w:val="left" w:pos="2218"/>
          <w:tab w:val="left" w:pos="2693"/>
        </w:tabs>
        <w:ind w:left="1267" w:right="1267" w:hanging="432"/>
      </w:pPr>
      <w:r w:rsidRPr="00F04216">
        <w:tab/>
      </w:r>
      <w:r w:rsidRPr="00F04216">
        <w:rPr>
          <w:rStyle w:val="FootnoteReference"/>
          <w:spacing w:val="4"/>
        </w:rPr>
        <w:footnoteRef/>
      </w:r>
      <w:r w:rsidRPr="00F04216">
        <w:tab/>
        <w:t>Dans les villes de Pančevo, Kikinda, Sombor, Novi Pazar, Šabac, Smederevo, Požarevac, Leskovac, Pirot, Prokuplje, Niš, Novi Sad, Sremska Mitrovica, Kraljevo, Kragujevac, Vranje et Subotica.</w:t>
      </w:r>
    </w:p>
  </w:footnote>
  <w:footnote w:id="7">
    <w:p w14:paraId="4947EDF1" w14:textId="5451E65B" w:rsidR="00A44199" w:rsidRPr="00F04216" w:rsidRDefault="00A44199" w:rsidP="0008204D">
      <w:pPr>
        <w:pStyle w:val="FootnoteText"/>
        <w:tabs>
          <w:tab w:val="right" w:pos="1195"/>
          <w:tab w:val="left" w:pos="1267"/>
          <w:tab w:val="left" w:pos="1742"/>
          <w:tab w:val="left" w:pos="2218"/>
          <w:tab w:val="left" w:pos="2693"/>
        </w:tabs>
        <w:ind w:left="1267" w:right="1267" w:hanging="432"/>
      </w:pPr>
      <w:r w:rsidRPr="00F04216">
        <w:tab/>
      </w:r>
      <w:r w:rsidRPr="00F04216">
        <w:rPr>
          <w:rStyle w:val="FootnoteReference"/>
          <w:spacing w:val="4"/>
        </w:rPr>
        <w:footnoteRef/>
      </w:r>
      <w:r w:rsidRPr="00F04216">
        <w:tab/>
        <w:t>Journal officiel de la République de Serbie, n</w:t>
      </w:r>
      <w:r w:rsidRPr="0008204D">
        <w:rPr>
          <w:vertAlign w:val="superscript"/>
        </w:rPr>
        <w:t>o</w:t>
      </w:r>
      <w:r w:rsidR="0008204D">
        <w:t> </w:t>
      </w:r>
      <w:r w:rsidRPr="00F04216">
        <w:t>129/2007, 34/2010 – décision CC et 54/2011.</w:t>
      </w:r>
    </w:p>
  </w:footnote>
  <w:footnote w:id="8">
    <w:p w14:paraId="678021B2" w14:textId="263E0548" w:rsidR="00A44199" w:rsidRPr="00F04216" w:rsidRDefault="00A44199" w:rsidP="00F04216">
      <w:pPr>
        <w:pStyle w:val="FootnoteText"/>
        <w:tabs>
          <w:tab w:val="right" w:pos="1195"/>
          <w:tab w:val="left" w:pos="1267"/>
          <w:tab w:val="left" w:pos="1742"/>
          <w:tab w:val="left" w:pos="2218"/>
          <w:tab w:val="left" w:pos="2693"/>
        </w:tabs>
        <w:ind w:left="1267" w:right="1267" w:hanging="432"/>
      </w:pPr>
      <w:r w:rsidRPr="00F04216">
        <w:tab/>
      </w:r>
      <w:r w:rsidRPr="00F04216">
        <w:rPr>
          <w:rStyle w:val="FootnoteReference"/>
          <w:spacing w:val="4"/>
        </w:rPr>
        <w:footnoteRef/>
      </w:r>
      <w:r w:rsidRPr="00F04216">
        <w:tab/>
        <w:t>Loi sur les bases du système éducatif (Journal officiel de la République de Serbie, n</w:t>
      </w:r>
      <w:r w:rsidRPr="0008204D">
        <w:rPr>
          <w:vertAlign w:val="superscript"/>
        </w:rPr>
        <w:t>o</w:t>
      </w:r>
      <w:r w:rsidR="0008204D">
        <w:t> </w:t>
      </w:r>
      <w:r w:rsidRPr="00F04216">
        <w:t>88/2017, 27/2018 (I) – autre loi et 27/2018 (II) – autre loi), Article 175.</w:t>
      </w:r>
    </w:p>
  </w:footnote>
  <w:footnote w:id="9">
    <w:p w14:paraId="3999A020" w14:textId="77777777" w:rsidR="00A44199" w:rsidRPr="00F04216" w:rsidRDefault="00A44199" w:rsidP="00F04216">
      <w:pPr>
        <w:pStyle w:val="FootnoteText"/>
        <w:tabs>
          <w:tab w:val="right" w:pos="1195"/>
          <w:tab w:val="left" w:pos="1267"/>
          <w:tab w:val="left" w:pos="1742"/>
          <w:tab w:val="left" w:pos="2218"/>
          <w:tab w:val="left" w:pos="2693"/>
        </w:tabs>
        <w:ind w:left="1267" w:right="1267" w:hanging="432"/>
      </w:pPr>
      <w:r w:rsidRPr="00F04216">
        <w:tab/>
      </w:r>
      <w:r w:rsidRPr="00F04216">
        <w:rPr>
          <w:rStyle w:val="FootnoteReference"/>
          <w:spacing w:val="4"/>
        </w:rPr>
        <w:footnoteRef/>
      </w:r>
      <w:r w:rsidRPr="00F04216">
        <w:tab/>
        <w:t>Loi sur les bases du système éducatif, Article 176.</w:t>
      </w:r>
    </w:p>
  </w:footnote>
  <w:footnote w:id="10">
    <w:p w14:paraId="65F10C54" w14:textId="5EB1C049" w:rsidR="00A44199" w:rsidRPr="00F04216" w:rsidRDefault="00A44199" w:rsidP="00F04216">
      <w:pPr>
        <w:tabs>
          <w:tab w:val="right" w:pos="1195"/>
          <w:tab w:val="left" w:pos="1267"/>
          <w:tab w:val="left" w:pos="1742"/>
          <w:tab w:val="left" w:pos="2218"/>
          <w:tab w:val="left" w:pos="2693"/>
        </w:tabs>
        <w:spacing w:line="210" w:lineRule="exact"/>
        <w:ind w:left="1267" w:right="1267" w:hanging="432"/>
      </w:pPr>
      <w:r w:rsidRPr="00F04216">
        <w:tab/>
      </w:r>
      <w:r w:rsidRPr="00F04216">
        <w:rPr>
          <w:rStyle w:val="FootnoteReference"/>
          <w:spacing w:val="4"/>
        </w:rPr>
        <w:footnoteRef/>
      </w:r>
      <w:r w:rsidRPr="00F04216">
        <w:tab/>
      </w:r>
      <w:hyperlink r:id="rId2" w:history="1">
        <w:r w:rsidRPr="00F04216">
          <w:rPr>
            <w:rStyle w:val="Hyperlink"/>
            <w:sz w:val="17"/>
            <w:szCs w:val="20"/>
          </w:rPr>
          <w:t>http://socijalnoukljucivanje.gov.rs/wp-content/uploads/</w:t>
        </w:r>
        <w:bookmarkStart w:id="1" w:name="SCName"/>
        <w:r w:rsidRPr="00F04216">
          <w:rPr>
            <w:rStyle w:val="Hyperlink"/>
            <w:sz w:val="17"/>
            <w:szCs w:val="20"/>
          </w:rPr>
          <w:t>2015/03</w:t>
        </w:r>
        <w:bookmarkEnd w:id="1"/>
        <w:r w:rsidRPr="00F04216">
          <w:rPr>
            <w:rStyle w:val="Hyperlink"/>
            <w:sz w:val="17"/>
            <w:szCs w:val="20"/>
          </w:rPr>
          <w:t>/Rezime-Okvir-za-pracenje-IO-srpski.pdf</w:t>
        </w:r>
      </w:hyperlink>
      <w:r w:rsidRPr="00F04216">
        <w:t>.</w:t>
      </w:r>
    </w:p>
  </w:footnote>
  <w:footnote w:id="11">
    <w:p w14:paraId="6B72D797" w14:textId="642AA81A" w:rsidR="00A44199" w:rsidRPr="00F04216" w:rsidRDefault="00A44199" w:rsidP="00F04216">
      <w:pPr>
        <w:pStyle w:val="FootnoteText"/>
        <w:widowControl w:val="0"/>
        <w:tabs>
          <w:tab w:val="right" w:pos="1195"/>
          <w:tab w:val="left" w:pos="1267"/>
          <w:tab w:val="left" w:pos="1742"/>
          <w:tab w:val="left" w:pos="2218"/>
          <w:tab w:val="left" w:pos="2693"/>
        </w:tabs>
        <w:ind w:left="1267" w:right="1267" w:hanging="432"/>
      </w:pPr>
      <w:r w:rsidRPr="00F04216">
        <w:tab/>
      </w:r>
      <w:r w:rsidRPr="00F04216">
        <w:rPr>
          <w:rStyle w:val="FootnoteReference"/>
          <w:spacing w:val="4"/>
        </w:rPr>
        <w:footnoteRef/>
      </w:r>
      <w:r w:rsidRPr="00F04216">
        <w:tab/>
      </w:r>
      <w:hyperlink r:id="rId3" w:history="1">
        <w:r w:rsidRPr="00F04216">
          <w:rPr>
            <w:rStyle w:val="Hyperlink"/>
          </w:rPr>
          <w:t>http://omk-obrazovanje.gov.rs/</w:t>
        </w:r>
      </w:hyperlink>
      <w:r w:rsidRPr="00F04216">
        <w:t>.</w:t>
      </w:r>
    </w:p>
  </w:footnote>
  <w:footnote w:id="12">
    <w:p w14:paraId="62864985" w14:textId="49EBAA1C" w:rsidR="00A44199" w:rsidRPr="00F04216" w:rsidRDefault="00A44199" w:rsidP="00F04216">
      <w:pPr>
        <w:pStyle w:val="FootnoteText"/>
        <w:widowControl w:val="0"/>
        <w:tabs>
          <w:tab w:val="right" w:pos="1195"/>
          <w:tab w:val="left" w:pos="1267"/>
          <w:tab w:val="left" w:pos="1742"/>
          <w:tab w:val="left" w:pos="2218"/>
          <w:tab w:val="left" w:pos="2693"/>
        </w:tabs>
        <w:ind w:left="1267" w:right="1267" w:hanging="432"/>
      </w:pPr>
      <w:r w:rsidRPr="00F04216">
        <w:tab/>
      </w:r>
      <w:r w:rsidRPr="00F04216">
        <w:rPr>
          <w:rStyle w:val="FootnoteReference"/>
          <w:spacing w:val="4"/>
        </w:rPr>
        <w:footnoteRef/>
      </w:r>
      <w:r w:rsidRPr="00F04216">
        <w:tab/>
        <w:t>Journal officiel de la République de Serbie, n</w:t>
      </w:r>
      <w:r w:rsidRPr="00F04216">
        <w:rPr>
          <w:vertAlign w:val="superscript"/>
        </w:rPr>
        <w:t>o</w:t>
      </w:r>
      <w:r w:rsidRPr="00F04216">
        <w:t> 120/2017.</w:t>
      </w:r>
    </w:p>
  </w:footnote>
  <w:footnote w:id="13">
    <w:p w14:paraId="1E07F5D0" w14:textId="1AE04C26" w:rsidR="00A44199" w:rsidRPr="00F04216" w:rsidRDefault="00A44199" w:rsidP="00F04216">
      <w:pPr>
        <w:pStyle w:val="FootnoteText"/>
        <w:widowControl w:val="0"/>
        <w:tabs>
          <w:tab w:val="right" w:pos="1195"/>
          <w:tab w:val="left" w:pos="1267"/>
          <w:tab w:val="left" w:pos="1742"/>
          <w:tab w:val="left" w:pos="2218"/>
          <w:tab w:val="left" w:pos="2693"/>
        </w:tabs>
        <w:ind w:left="1267" w:right="1267" w:hanging="432"/>
      </w:pPr>
      <w:r w:rsidRPr="00F04216">
        <w:tab/>
      </w:r>
      <w:r w:rsidRPr="00F04216">
        <w:rPr>
          <w:rStyle w:val="FootnoteReference"/>
          <w:spacing w:val="4"/>
        </w:rPr>
        <w:footnoteRef/>
      </w:r>
      <w:r w:rsidRPr="00F04216">
        <w:tab/>
        <w:t>Instrument d’aide de préadhésion dans le domaine du développement rural, adopté par le Comité IAP de la Commission européenne à Bruxelles le 9 décembre 2014, et par la Conclusion du Gouvernement serbe (Journal officiel de la République de Serbie, n</w:t>
      </w:r>
      <w:r w:rsidRPr="00F04216">
        <w:rPr>
          <w:vertAlign w:val="superscript"/>
        </w:rPr>
        <w:t>o</w:t>
      </w:r>
      <w:r w:rsidRPr="00F04216">
        <w:t> 84/2017 du 20 septembre 2017).</w:t>
      </w:r>
    </w:p>
  </w:footnote>
  <w:footnote w:id="14">
    <w:p w14:paraId="764C985C" w14:textId="77777777" w:rsidR="00A44199" w:rsidRPr="00F04216" w:rsidRDefault="00A44199" w:rsidP="00F04216">
      <w:pPr>
        <w:pStyle w:val="FootnoteText"/>
        <w:tabs>
          <w:tab w:val="right" w:pos="1195"/>
          <w:tab w:val="left" w:pos="1267"/>
          <w:tab w:val="left" w:pos="1742"/>
          <w:tab w:val="left" w:pos="2218"/>
          <w:tab w:val="left" w:pos="2693"/>
        </w:tabs>
        <w:ind w:left="1267" w:right="1267" w:hanging="432"/>
      </w:pPr>
      <w:r w:rsidRPr="00F04216">
        <w:tab/>
      </w:r>
      <w:r w:rsidRPr="00F04216">
        <w:rPr>
          <w:rStyle w:val="FootnoteReference"/>
          <w:spacing w:val="4"/>
        </w:rPr>
        <w:footnoteRef/>
      </w:r>
      <w:r w:rsidRPr="00F04216">
        <w:tab/>
        <w:t>Loi sur les bases du système éducatif (Article 189).</w:t>
      </w:r>
    </w:p>
  </w:footnote>
  <w:footnote w:id="15">
    <w:p w14:paraId="4096DEFF" w14:textId="4402EAD8" w:rsidR="00A44199" w:rsidRPr="00F04216" w:rsidRDefault="00A44199" w:rsidP="00F04216">
      <w:pPr>
        <w:pStyle w:val="FootnoteText"/>
        <w:tabs>
          <w:tab w:val="right" w:pos="1195"/>
          <w:tab w:val="left" w:pos="1267"/>
          <w:tab w:val="left" w:pos="1742"/>
          <w:tab w:val="left" w:pos="2218"/>
          <w:tab w:val="left" w:pos="2693"/>
        </w:tabs>
        <w:ind w:left="1267" w:right="1267" w:hanging="432"/>
      </w:pPr>
      <w:r w:rsidRPr="00F04216">
        <w:tab/>
      </w:r>
      <w:r w:rsidRPr="00F04216">
        <w:rPr>
          <w:rStyle w:val="FootnoteReference"/>
          <w:spacing w:val="4"/>
        </w:rPr>
        <w:footnoteRef/>
      </w:r>
      <w:r w:rsidRPr="00F04216">
        <w:tab/>
        <w:t>Réglementation sur la définition du programme d</w:t>
      </w:r>
      <w:r w:rsidR="0015207D">
        <w:t>’</w:t>
      </w:r>
      <w:r w:rsidRPr="00F04216">
        <w:t xml:space="preserve">incitation pour la mise en </w:t>
      </w:r>
      <w:r w:rsidR="0015207D" w:rsidRPr="00F04216">
        <w:t>œuvre</w:t>
      </w:r>
      <w:r w:rsidRPr="00F04216">
        <w:t xml:space="preserve"> des mesures et des activités nécessaires à la réalisation des objectifs identifiés dans le domaine de la gestion des migrations dans les collectivités locales.</w:t>
      </w:r>
    </w:p>
  </w:footnote>
  <w:footnote w:id="16">
    <w:p w14:paraId="76F5BE31" w14:textId="77777777" w:rsidR="00A44199" w:rsidRPr="00F04216" w:rsidRDefault="00A44199" w:rsidP="00F04216">
      <w:pPr>
        <w:pStyle w:val="FootnoteText"/>
        <w:widowControl w:val="0"/>
        <w:tabs>
          <w:tab w:val="right" w:pos="1195"/>
          <w:tab w:val="left" w:pos="1267"/>
          <w:tab w:val="left" w:pos="1742"/>
          <w:tab w:val="left" w:pos="2218"/>
          <w:tab w:val="left" w:pos="2693"/>
        </w:tabs>
        <w:ind w:left="1267" w:right="1267" w:hanging="432"/>
      </w:pPr>
      <w:r w:rsidRPr="00F04216">
        <w:tab/>
      </w:r>
      <w:r w:rsidRPr="00F04216">
        <w:rPr>
          <w:rStyle w:val="FootnoteReference"/>
          <w:spacing w:val="4"/>
        </w:rPr>
        <w:footnoteRef/>
      </w:r>
      <w:r w:rsidRPr="00F04216">
        <w:tab/>
        <w:t>Journal officiel de la République de Serbie, numéros 20/2009 et 145/2014.</w:t>
      </w:r>
    </w:p>
  </w:footnote>
  <w:footnote w:id="17">
    <w:p w14:paraId="4C8E4AAC" w14:textId="77777777" w:rsidR="00A44199" w:rsidRPr="00F04216" w:rsidRDefault="00A44199" w:rsidP="00F04216">
      <w:pPr>
        <w:pStyle w:val="FootnoteText"/>
        <w:tabs>
          <w:tab w:val="right" w:pos="1195"/>
          <w:tab w:val="left" w:pos="1267"/>
          <w:tab w:val="left" w:pos="1742"/>
          <w:tab w:val="left" w:pos="2218"/>
          <w:tab w:val="left" w:pos="2693"/>
        </w:tabs>
        <w:ind w:left="1267" w:right="1267" w:hanging="432"/>
      </w:pPr>
      <w:r w:rsidRPr="00F04216">
        <w:tab/>
      </w:r>
      <w:r w:rsidRPr="00F04216">
        <w:rPr>
          <w:rStyle w:val="FootnoteReference"/>
          <w:spacing w:val="4"/>
        </w:rPr>
        <w:footnoteRef/>
      </w:r>
      <w:r w:rsidRPr="00F04216">
        <w:tab/>
        <w:t>Cette loi contient toutes les obligations découlant des conventions internationales confirmées.</w:t>
      </w:r>
    </w:p>
  </w:footnote>
  <w:footnote w:id="18">
    <w:p w14:paraId="3D89489E" w14:textId="3E549D7A" w:rsidR="00A44199" w:rsidRPr="00F04216" w:rsidRDefault="00A44199" w:rsidP="00F04216">
      <w:pPr>
        <w:pStyle w:val="FootnoteText"/>
        <w:tabs>
          <w:tab w:val="right" w:pos="1195"/>
          <w:tab w:val="left" w:pos="1267"/>
          <w:tab w:val="left" w:pos="1742"/>
          <w:tab w:val="left" w:pos="2218"/>
          <w:tab w:val="left" w:pos="2693"/>
        </w:tabs>
        <w:ind w:left="1267" w:right="1267" w:hanging="432"/>
      </w:pPr>
      <w:r w:rsidRPr="00F04216">
        <w:tab/>
      </w:r>
      <w:r w:rsidRPr="00F04216">
        <w:rPr>
          <w:rStyle w:val="FootnoteReference"/>
          <w:spacing w:val="4"/>
        </w:rPr>
        <w:footnoteRef/>
      </w:r>
      <w:r w:rsidRPr="00F04216">
        <w:tab/>
        <w:t>Journal officiel de la République de Serbie, n</w:t>
      </w:r>
      <w:r w:rsidRPr="0008204D">
        <w:rPr>
          <w:vertAlign w:val="superscript"/>
        </w:rPr>
        <w:t>o</w:t>
      </w:r>
      <w:r w:rsidR="0008204D">
        <w:t> </w:t>
      </w:r>
      <w:r w:rsidRPr="00F04216">
        <w:t>88/2017, 27/2018 (I</w:t>
      </w:r>
      <w:r w:rsidR="0015207D">
        <w:t>) – autre loi et 27/2018 (II) – </w:t>
      </w:r>
      <w:r w:rsidRPr="00F04216">
        <w:t>autre loi.</w:t>
      </w:r>
    </w:p>
  </w:footnote>
  <w:footnote w:id="19">
    <w:p w14:paraId="56B39E14" w14:textId="2A2C4963" w:rsidR="00A44199" w:rsidRPr="00F04216" w:rsidRDefault="00A44199" w:rsidP="0008204D">
      <w:pPr>
        <w:pStyle w:val="FootnoteText"/>
        <w:tabs>
          <w:tab w:val="right" w:pos="1195"/>
          <w:tab w:val="left" w:pos="1267"/>
          <w:tab w:val="left" w:pos="1742"/>
          <w:tab w:val="left" w:pos="2218"/>
          <w:tab w:val="left" w:pos="2693"/>
        </w:tabs>
        <w:ind w:left="1267" w:right="1267" w:hanging="432"/>
      </w:pPr>
      <w:r w:rsidRPr="00F04216">
        <w:tab/>
      </w:r>
      <w:r w:rsidRPr="00F04216">
        <w:rPr>
          <w:rStyle w:val="FootnoteReference"/>
          <w:spacing w:val="4"/>
        </w:rPr>
        <w:footnoteRef/>
      </w:r>
      <w:r w:rsidRPr="00F04216">
        <w:tab/>
        <w:t>Journal officiel de la République de Serbie, n</w:t>
      </w:r>
      <w:r w:rsidRPr="0008204D">
        <w:rPr>
          <w:vertAlign w:val="superscript"/>
        </w:rPr>
        <w:t>o</w:t>
      </w:r>
      <w:r w:rsidR="0008204D">
        <w:t> </w:t>
      </w:r>
      <w:r w:rsidRPr="00F04216">
        <w:t>65/2018.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44199" w:rsidRPr="0076728C" w14:paraId="7C143DAF" w14:textId="77777777" w:rsidTr="00995751">
      <w:trPr>
        <w:trHeight w:hRule="exact" w:val="864"/>
      </w:trPr>
      <w:tc>
        <w:tcPr>
          <w:tcW w:w="4920" w:type="dxa"/>
          <w:shd w:val="clear" w:color="auto" w:fill="auto"/>
          <w:vAlign w:val="bottom"/>
        </w:tcPr>
        <w:p w14:paraId="7F582CE8" w14:textId="680E2927" w:rsidR="00A44199" w:rsidRPr="00995751" w:rsidRDefault="00A44199" w:rsidP="0099575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F7FC7">
            <w:rPr>
              <w:b/>
              <w:color w:val="000000"/>
            </w:rPr>
            <w:t>CEDAW/C/SRB/Q/4/Add.1</w:t>
          </w:r>
          <w:r>
            <w:rPr>
              <w:b/>
              <w:color w:val="000000"/>
            </w:rPr>
            <w:fldChar w:fldCharType="end"/>
          </w:r>
        </w:p>
      </w:tc>
      <w:tc>
        <w:tcPr>
          <w:tcW w:w="4920" w:type="dxa"/>
          <w:shd w:val="clear" w:color="auto" w:fill="auto"/>
          <w:vAlign w:val="bottom"/>
        </w:tcPr>
        <w:p w14:paraId="74BFC5CD" w14:textId="77777777" w:rsidR="00A44199" w:rsidRDefault="00A44199" w:rsidP="00995751">
          <w:pPr>
            <w:pStyle w:val="Header"/>
          </w:pPr>
        </w:p>
      </w:tc>
    </w:tr>
  </w:tbl>
  <w:p w14:paraId="2F8F584A" w14:textId="77777777" w:rsidR="00A44199" w:rsidRPr="00995751" w:rsidRDefault="00A44199" w:rsidP="00995751">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44199" w:rsidRPr="0076728C" w14:paraId="6CD88CB4" w14:textId="77777777" w:rsidTr="00995751">
      <w:trPr>
        <w:trHeight w:hRule="exact" w:val="864"/>
      </w:trPr>
      <w:tc>
        <w:tcPr>
          <w:tcW w:w="4920" w:type="dxa"/>
          <w:shd w:val="clear" w:color="auto" w:fill="auto"/>
          <w:vAlign w:val="bottom"/>
        </w:tcPr>
        <w:p w14:paraId="504FFD4C" w14:textId="77777777" w:rsidR="00A44199" w:rsidRDefault="00A44199" w:rsidP="00995751">
          <w:pPr>
            <w:pStyle w:val="Header"/>
          </w:pPr>
        </w:p>
      </w:tc>
      <w:tc>
        <w:tcPr>
          <w:tcW w:w="4920" w:type="dxa"/>
          <w:shd w:val="clear" w:color="auto" w:fill="auto"/>
          <w:vAlign w:val="bottom"/>
        </w:tcPr>
        <w:p w14:paraId="27B52EFE" w14:textId="79BA6A73" w:rsidR="00A44199" w:rsidRPr="00995751" w:rsidRDefault="00A44199" w:rsidP="0099575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F7FC7">
            <w:rPr>
              <w:b/>
              <w:color w:val="000000"/>
            </w:rPr>
            <w:t>CEDAW/C/SRB/Q/4/Add.1</w:t>
          </w:r>
          <w:r>
            <w:rPr>
              <w:b/>
              <w:color w:val="000000"/>
            </w:rPr>
            <w:fldChar w:fldCharType="end"/>
          </w:r>
        </w:p>
      </w:tc>
    </w:tr>
  </w:tbl>
  <w:p w14:paraId="4A9ACBB4" w14:textId="77777777" w:rsidR="00A44199" w:rsidRPr="00995751" w:rsidRDefault="00A44199" w:rsidP="00995751">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A44199" w:rsidRPr="0076728C" w14:paraId="2E237DFC" w14:textId="77777777" w:rsidTr="00995751">
      <w:trPr>
        <w:trHeight w:hRule="exact" w:val="864"/>
      </w:trPr>
      <w:tc>
        <w:tcPr>
          <w:tcW w:w="1267" w:type="dxa"/>
          <w:tcBorders>
            <w:bottom w:val="single" w:sz="4" w:space="0" w:color="auto"/>
          </w:tcBorders>
          <w:shd w:val="clear" w:color="auto" w:fill="auto"/>
          <w:vAlign w:val="bottom"/>
        </w:tcPr>
        <w:p w14:paraId="4A6F286C" w14:textId="77777777" w:rsidR="00A44199" w:rsidRPr="0076728C" w:rsidRDefault="00A44199" w:rsidP="00995751">
          <w:pPr>
            <w:pStyle w:val="Header"/>
            <w:spacing w:after="120"/>
            <w:rPr>
              <w:lang w:val="fr-FR"/>
            </w:rPr>
          </w:pPr>
        </w:p>
      </w:tc>
      <w:tc>
        <w:tcPr>
          <w:tcW w:w="2059" w:type="dxa"/>
          <w:tcBorders>
            <w:bottom w:val="single" w:sz="4" w:space="0" w:color="auto"/>
          </w:tcBorders>
          <w:shd w:val="clear" w:color="auto" w:fill="auto"/>
          <w:vAlign w:val="bottom"/>
        </w:tcPr>
        <w:p w14:paraId="256E8131" w14:textId="77777777" w:rsidR="00A44199" w:rsidRPr="0076728C" w:rsidRDefault="00A44199" w:rsidP="00995751">
          <w:pPr>
            <w:pStyle w:val="HCH"/>
            <w:spacing w:after="80"/>
            <w:rPr>
              <w:b w:val="0"/>
              <w:color w:val="010000"/>
              <w:spacing w:val="2"/>
              <w:w w:val="96"/>
              <w:lang w:val="fr-FR"/>
            </w:rPr>
          </w:pPr>
          <w:r w:rsidRPr="0076728C">
            <w:rPr>
              <w:b w:val="0"/>
              <w:color w:val="010000"/>
              <w:spacing w:val="2"/>
              <w:w w:val="96"/>
              <w:lang w:val="fr-FR"/>
            </w:rPr>
            <w:t>Nations Unies</w:t>
          </w:r>
        </w:p>
      </w:tc>
      <w:tc>
        <w:tcPr>
          <w:tcW w:w="58" w:type="dxa"/>
          <w:tcBorders>
            <w:bottom w:val="single" w:sz="4" w:space="0" w:color="auto"/>
          </w:tcBorders>
          <w:shd w:val="clear" w:color="auto" w:fill="auto"/>
          <w:vAlign w:val="bottom"/>
        </w:tcPr>
        <w:p w14:paraId="1B5EF2FE" w14:textId="77777777" w:rsidR="00A44199" w:rsidRPr="0076728C" w:rsidRDefault="00A44199" w:rsidP="00995751">
          <w:pPr>
            <w:pStyle w:val="Header"/>
            <w:spacing w:after="120"/>
            <w:rPr>
              <w:lang w:val="fr-FR"/>
            </w:rPr>
          </w:pPr>
        </w:p>
      </w:tc>
      <w:tc>
        <w:tcPr>
          <w:tcW w:w="6466" w:type="dxa"/>
          <w:gridSpan w:val="3"/>
          <w:tcBorders>
            <w:bottom w:val="single" w:sz="4" w:space="0" w:color="auto"/>
          </w:tcBorders>
          <w:shd w:val="clear" w:color="auto" w:fill="auto"/>
          <w:vAlign w:val="bottom"/>
        </w:tcPr>
        <w:p w14:paraId="249CCAF9" w14:textId="77777777" w:rsidR="00A44199" w:rsidRPr="0076728C" w:rsidRDefault="00A44199" w:rsidP="00995751">
          <w:pPr>
            <w:spacing w:after="80" w:line="240" w:lineRule="auto"/>
            <w:jc w:val="right"/>
            <w:rPr>
              <w:position w:val="-4"/>
              <w:lang w:val="en-US"/>
            </w:rPr>
          </w:pPr>
          <w:r w:rsidRPr="0076728C">
            <w:rPr>
              <w:position w:val="-4"/>
              <w:sz w:val="40"/>
              <w:lang w:val="en-US"/>
            </w:rPr>
            <w:t>CEDAW</w:t>
          </w:r>
          <w:r w:rsidRPr="0076728C">
            <w:rPr>
              <w:position w:val="-4"/>
              <w:lang w:val="en-US"/>
            </w:rPr>
            <w:t>/C/SRB/Q/4/Add.1</w:t>
          </w:r>
        </w:p>
      </w:tc>
    </w:tr>
    <w:tr w:rsidR="00A44199" w:rsidRPr="0015207D" w14:paraId="2C2916BA" w14:textId="77777777" w:rsidTr="00995751">
      <w:trPr>
        <w:trHeight w:hRule="exact" w:val="2880"/>
      </w:trPr>
      <w:tc>
        <w:tcPr>
          <w:tcW w:w="1267" w:type="dxa"/>
          <w:tcBorders>
            <w:top w:val="single" w:sz="4" w:space="0" w:color="auto"/>
            <w:bottom w:val="single" w:sz="12" w:space="0" w:color="auto"/>
          </w:tcBorders>
          <w:shd w:val="clear" w:color="auto" w:fill="auto"/>
        </w:tcPr>
        <w:p w14:paraId="22A509FC" w14:textId="77777777" w:rsidR="00A44199" w:rsidRPr="0076728C" w:rsidRDefault="00A44199" w:rsidP="00995751">
          <w:pPr>
            <w:pStyle w:val="Header"/>
            <w:spacing w:before="120" w:line="240" w:lineRule="auto"/>
            <w:ind w:left="-72"/>
            <w:jc w:val="center"/>
            <w:rPr>
              <w:lang w:val="fr-FR"/>
            </w:rPr>
          </w:pPr>
          <w:r w:rsidRPr="0076728C">
            <w:t xml:space="preserve">  </w:t>
          </w:r>
          <w:r w:rsidRPr="0076728C">
            <w:rPr>
              <w:noProof/>
              <w:lang w:val="fr-FR"/>
            </w:rPr>
            <w:drawing>
              <wp:inline distT="0" distB="0" distL="0" distR="0" wp14:anchorId="09C6F2B2" wp14:editId="30594D4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07CCF6E" w14:textId="77777777" w:rsidR="00A44199" w:rsidRPr="0076728C" w:rsidRDefault="00A44199" w:rsidP="00995751">
          <w:pPr>
            <w:pStyle w:val="XLarge"/>
            <w:spacing w:before="120" w:line="360" w:lineRule="exact"/>
            <w:rPr>
              <w:sz w:val="36"/>
              <w:lang w:val="fr-FR"/>
            </w:rPr>
          </w:pPr>
          <w:r w:rsidRPr="0076728C">
            <w:rPr>
              <w:sz w:val="36"/>
              <w:lang w:val="fr-FR"/>
            </w:rPr>
            <w:t>Convention sur l’élimination</w:t>
          </w:r>
          <w:r w:rsidRPr="0076728C">
            <w:rPr>
              <w:sz w:val="36"/>
              <w:lang w:val="fr-FR"/>
            </w:rPr>
            <w:br/>
            <w:t>de toutes les formes</w:t>
          </w:r>
          <w:r w:rsidRPr="0076728C">
            <w:rPr>
              <w:sz w:val="36"/>
              <w:lang w:val="fr-FR"/>
            </w:rPr>
            <w:br/>
            <w:t>de discrimination à l’égard</w:t>
          </w:r>
          <w:r w:rsidRPr="0076728C">
            <w:rPr>
              <w:sz w:val="36"/>
              <w:lang w:val="fr-FR"/>
            </w:rPr>
            <w:br/>
            <w:t xml:space="preserve">des femmes </w:t>
          </w:r>
        </w:p>
      </w:tc>
      <w:tc>
        <w:tcPr>
          <w:tcW w:w="245" w:type="dxa"/>
          <w:tcBorders>
            <w:top w:val="single" w:sz="4" w:space="0" w:color="auto"/>
            <w:bottom w:val="single" w:sz="12" w:space="0" w:color="auto"/>
          </w:tcBorders>
          <w:shd w:val="clear" w:color="auto" w:fill="auto"/>
        </w:tcPr>
        <w:p w14:paraId="3F2E825B" w14:textId="77777777" w:rsidR="00A44199" w:rsidRPr="0076728C" w:rsidRDefault="00A44199" w:rsidP="00995751">
          <w:pPr>
            <w:pStyle w:val="Header"/>
            <w:spacing w:before="109"/>
            <w:rPr>
              <w:lang w:val="fr-FR"/>
            </w:rPr>
          </w:pPr>
        </w:p>
      </w:tc>
      <w:tc>
        <w:tcPr>
          <w:tcW w:w="3110" w:type="dxa"/>
          <w:tcBorders>
            <w:top w:val="single" w:sz="4" w:space="0" w:color="auto"/>
            <w:bottom w:val="single" w:sz="12" w:space="0" w:color="auto"/>
          </w:tcBorders>
          <w:shd w:val="clear" w:color="auto" w:fill="auto"/>
        </w:tcPr>
        <w:p w14:paraId="764BBD43" w14:textId="77777777" w:rsidR="00A44199" w:rsidRPr="0076728C" w:rsidRDefault="00A44199" w:rsidP="00995751">
          <w:pPr>
            <w:pStyle w:val="Distribution"/>
            <w:rPr>
              <w:color w:val="000000"/>
              <w:lang w:val="fr-FR"/>
            </w:rPr>
          </w:pPr>
          <w:r w:rsidRPr="0076728C">
            <w:rPr>
              <w:color w:val="000000"/>
              <w:lang w:val="fr-FR"/>
            </w:rPr>
            <w:t>Distr. générale</w:t>
          </w:r>
        </w:p>
        <w:p w14:paraId="52A8BC3C" w14:textId="242B8F93" w:rsidR="00A44199" w:rsidRPr="0076728C" w:rsidRDefault="00A44199" w:rsidP="00995751">
          <w:pPr>
            <w:pStyle w:val="Publication"/>
            <w:rPr>
              <w:color w:val="000000"/>
              <w:lang w:val="fr-FR"/>
            </w:rPr>
          </w:pPr>
          <w:r w:rsidRPr="0076728C">
            <w:rPr>
              <w:color w:val="000000"/>
              <w:lang w:val="fr-FR"/>
            </w:rPr>
            <w:t>29 novembre 2018</w:t>
          </w:r>
        </w:p>
        <w:p w14:paraId="362FCDE0" w14:textId="77777777" w:rsidR="00A44199" w:rsidRPr="0076728C" w:rsidRDefault="00A44199" w:rsidP="007E41FF">
          <w:pPr>
            <w:rPr>
              <w:lang w:val="fr-FR"/>
            </w:rPr>
          </w:pPr>
        </w:p>
        <w:p w14:paraId="69938CC9" w14:textId="3771CF54" w:rsidR="00A44199" w:rsidRPr="0076728C" w:rsidRDefault="00A44199" w:rsidP="007E41FF">
          <w:pPr>
            <w:rPr>
              <w:lang w:val="fr-FR"/>
            </w:rPr>
          </w:pPr>
          <w:r w:rsidRPr="0076728C">
            <w:rPr>
              <w:lang w:val="fr-FR"/>
            </w:rPr>
            <w:t>Original : anglais</w:t>
          </w:r>
        </w:p>
        <w:p w14:paraId="6C76FF32" w14:textId="5C8CF0BB" w:rsidR="00A44199" w:rsidRPr="0076728C" w:rsidRDefault="00A44199" w:rsidP="007E41FF">
          <w:pPr>
            <w:pStyle w:val="Original"/>
            <w:rPr>
              <w:color w:val="000000"/>
              <w:lang w:val="fr-FR"/>
            </w:rPr>
          </w:pPr>
          <w:r w:rsidRPr="0076728C">
            <w:rPr>
              <w:lang w:val="fr-FR"/>
            </w:rPr>
            <w:t>Anglais, français et espagnol seulement</w:t>
          </w:r>
        </w:p>
      </w:tc>
    </w:tr>
  </w:tbl>
  <w:p w14:paraId="3F59B743" w14:textId="77777777" w:rsidR="00A44199" w:rsidRPr="0076728C" w:rsidRDefault="00A44199" w:rsidP="00995751">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1130D59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5245B15"/>
    <w:multiLevelType w:val="singleLevel"/>
    <w:tmpl w:val="270A2738"/>
    <w:lvl w:ilvl="0">
      <w:start w:val="61"/>
      <w:numFmt w:val="decimal"/>
      <w:lvlRestart w:val="0"/>
      <w:lvlText w:val="%1."/>
      <w:lvlJc w:val="left"/>
      <w:pPr>
        <w:tabs>
          <w:tab w:val="num" w:pos="1742"/>
        </w:tabs>
        <w:ind w:left="1267" w:firstLine="0"/>
      </w:pPr>
      <w:rPr>
        <w:w w:val="100"/>
      </w:rPr>
    </w:lvl>
  </w:abstractNum>
  <w:abstractNum w:abstractNumId="2" w15:restartNumberingAfterBreak="0">
    <w:nsid w:val="0BA32B8D"/>
    <w:multiLevelType w:val="singleLevel"/>
    <w:tmpl w:val="1BEEBED8"/>
    <w:lvl w:ilvl="0">
      <w:start w:val="131"/>
      <w:numFmt w:val="decimal"/>
      <w:lvlRestart w:val="0"/>
      <w:lvlText w:val="%1."/>
      <w:lvlJc w:val="left"/>
      <w:pPr>
        <w:tabs>
          <w:tab w:val="num" w:pos="1742"/>
        </w:tabs>
        <w:ind w:left="1267" w:firstLine="0"/>
      </w:pPr>
      <w:rPr>
        <w:b w:val="0"/>
        <w:bCs/>
        <w:w w:val="100"/>
      </w:rPr>
    </w:lvl>
  </w:abstractNum>
  <w:abstractNum w:abstractNumId="3" w15:restartNumberingAfterBreak="0">
    <w:nsid w:val="104A2C0E"/>
    <w:multiLevelType w:val="singleLevel"/>
    <w:tmpl w:val="F566E29A"/>
    <w:lvl w:ilvl="0">
      <w:start w:val="21"/>
      <w:numFmt w:val="decimal"/>
      <w:lvlRestart w:val="0"/>
      <w:lvlText w:val="%1."/>
      <w:lvlJc w:val="left"/>
      <w:pPr>
        <w:tabs>
          <w:tab w:val="num" w:pos="1742"/>
        </w:tabs>
        <w:ind w:left="1267" w:firstLine="0"/>
      </w:pPr>
      <w:rPr>
        <w:b w:val="0"/>
        <w:bCs/>
        <w:w w:val="100"/>
      </w:rPr>
    </w:lvl>
  </w:abstractNum>
  <w:abstractNum w:abstractNumId="4" w15:restartNumberingAfterBreak="0">
    <w:nsid w:val="107A3B72"/>
    <w:multiLevelType w:val="singleLevel"/>
    <w:tmpl w:val="68306BFC"/>
    <w:lvl w:ilvl="0">
      <w:start w:val="19"/>
      <w:numFmt w:val="decimal"/>
      <w:lvlRestart w:val="0"/>
      <w:lvlText w:val="%1."/>
      <w:lvlJc w:val="left"/>
      <w:pPr>
        <w:tabs>
          <w:tab w:val="num" w:pos="1742"/>
        </w:tabs>
        <w:ind w:left="1267" w:firstLine="0"/>
      </w:pPr>
      <w:rPr>
        <w:w w:val="100"/>
      </w:rPr>
    </w:lvl>
  </w:abstractNum>
  <w:abstractNum w:abstractNumId="5" w15:restartNumberingAfterBreak="0">
    <w:nsid w:val="11703734"/>
    <w:multiLevelType w:val="hybridMultilevel"/>
    <w:tmpl w:val="215AD024"/>
    <w:lvl w:ilvl="0" w:tplc="AB22DFAA">
      <w:start w:val="1"/>
      <w:numFmt w:val="decimal"/>
      <w:lvlText w:val="%1."/>
      <w:lvlJc w:val="left"/>
      <w:pPr>
        <w:ind w:left="1134" w:firstLine="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2D06B23"/>
    <w:multiLevelType w:val="multilevel"/>
    <w:tmpl w:val="4E9042CE"/>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15:restartNumberingAfterBreak="0">
    <w:nsid w:val="172F270D"/>
    <w:multiLevelType w:val="hybridMultilevel"/>
    <w:tmpl w:val="A52895A2"/>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825AB"/>
    <w:multiLevelType w:val="singleLevel"/>
    <w:tmpl w:val="73282142"/>
    <w:lvl w:ilvl="0">
      <w:start w:val="130"/>
      <w:numFmt w:val="decimal"/>
      <w:lvlRestart w:val="0"/>
      <w:lvlText w:val="%1."/>
      <w:lvlJc w:val="left"/>
      <w:pPr>
        <w:tabs>
          <w:tab w:val="num" w:pos="1742"/>
        </w:tabs>
        <w:ind w:left="1267" w:firstLine="0"/>
      </w:pPr>
      <w:rPr>
        <w:w w:val="100"/>
      </w:rPr>
    </w:lvl>
  </w:abstractNum>
  <w:abstractNum w:abstractNumId="9" w15:restartNumberingAfterBreak="0">
    <w:nsid w:val="3E697F06"/>
    <w:multiLevelType w:val="singleLevel"/>
    <w:tmpl w:val="0B24DE02"/>
    <w:lvl w:ilvl="0">
      <w:start w:val="44"/>
      <w:numFmt w:val="decimal"/>
      <w:lvlRestart w:val="0"/>
      <w:lvlText w:val="%1."/>
      <w:lvlJc w:val="left"/>
      <w:pPr>
        <w:tabs>
          <w:tab w:val="num" w:pos="1742"/>
        </w:tabs>
        <w:ind w:left="1267" w:firstLine="0"/>
      </w:pPr>
      <w:rPr>
        <w:w w:val="100"/>
      </w:rPr>
    </w:lvl>
  </w:abstractNum>
  <w:abstractNum w:abstractNumId="10" w15:restartNumberingAfterBreak="0">
    <w:nsid w:val="47B40547"/>
    <w:multiLevelType w:val="hybridMultilevel"/>
    <w:tmpl w:val="EC5E536E"/>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D1B71"/>
    <w:multiLevelType w:val="singleLevel"/>
    <w:tmpl w:val="65DC25F8"/>
    <w:lvl w:ilvl="0">
      <w:start w:val="46"/>
      <w:numFmt w:val="decimal"/>
      <w:lvlRestart w:val="0"/>
      <w:lvlText w:val="%1."/>
      <w:lvlJc w:val="left"/>
      <w:pPr>
        <w:tabs>
          <w:tab w:val="num" w:pos="1742"/>
        </w:tabs>
        <w:ind w:left="1267" w:firstLine="0"/>
      </w:pPr>
      <w:rPr>
        <w:w w:val="100"/>
      </w:rPr>
    </w:lvl>
  </w:abstractNum>
  <w:abstractNum w:abstractNumId="12" w15:restartNumberingAfterBreak="0">
    <w:nsid w:val="5DA434A0"/>
    <w:multiLevelType w:val="singleLevel"/>
    <w:tmpl w:val="BCB041FC"/>
    <w:lvl w:ilvl="0">
      <w:start w:val="137"/>
      <w:numFmt w:val="decimal"/>
      <w:lvlRestart w:val="0"/>
      <w:lvlText w:val="%1."/>
      <w:lvlJc w:val="left"/>
      <w:pPr>
        <w:tabs>
          <w:tab w:val="num" w:pos="1742"/>
        </w:tabs>
        <w:ind w:left="1267" w:firstLine="0"/>
      </w:pPr>
      <w:rPr>
        <w:w w:val="100"/>
      </w:rPr>
    </w:lvl>
  </w:abstractNum>
  <w:abstractNum w:abstractNumId="13" w15:restartNumberingAfterBreak="0">
    <w:nsid w:val="69C44E2B"/>
    <w:multiLevelType w:val="singleLevel"/>
    <w:tmpl w:val="BCE2A1C0"/>
    <w:lvl w:ilvl="0">
      <w:start w:val="62"/>
      <w:numFmt w:val="decimal"/>
      <w:lvlRestart w:val="0"/>
      <w:lvlText w:val="%1."/>
      <w:lvlJc w:val="left"/>
      <w:pPr>
        <w:tabs>
          <w:tab w:val="num" w:pos="1742"/>
        </w:tabs>
        <w:ind w:left="1267" w:firstLine="0"/>
      </w:pPr>
      <w:rPr>
        <w:b w:val="0"/>
        <w:bCs/>
        <w:w w:val="100"/>
      </w:rPr>
    </w:lvl>
  </w:abstractNum>
  <w:abstractNum w:abstractNumId="14" w15:restartNumberingAfterBreak="0">
    <w:nsid w:val="6A185E94"/>
    <w:multiLevelType w:val="singleLevel"/>
    <w:tmpl w:val="05DE712E"/>
    <w:lvl w:ilvl="0">
      <w:start w:val="83"/>
      <w:numFmt w:val="decimal"/>
      <w:lvlRestart w:val="0"/>
      <w:lvlText w:val="%1."/>
      <w:lvlJc w:val="left"/>
      <w:pPr>
        <w:tabs>
          <w:tab w:val="num" w:pos="1742"/>
        </w:tabs>
        <w:ind w:left="1267" w:firstLine="0"/>
      </w:pPr>
      <w:rPr>
        <w:w w:val="100"/>
      </w:rPr>
    </w:lvl>
  </w:abstractNum>
  <w:abstractNum w:abstractNumId="15" w15:restartNumberingAfterBreak="0">
    <w:nsid w:val="6B044CD9"/>
    <w:multiLevelType w:val="singleLevel"/>
    <w:tmpl w:val="73A4F288"/>
    <w:lvl w:ilvl="0">
      <w:start w:val="64"/>
      <w:numFmt w:val="decimal"/>
      <w:lvlRestart w:val="0"/>
      <w:lvlText w:val="%1."/>
      <w:lvlJc w:val="left"/>
      <w:pPr>
        <w:tabs>
          <w:tab w:val="num" w:pos="1742"/>
        </w:tabs>
        <w:ind w:left="1267" w:firstLine="0"/>
      </w:pPr>
      <w:rPr>
        <w:w w:val="100"/>
      </w:rPr>
    </w:lvl>
  </w:abstractNum>
  <w:abstractNum w:abstractNumId="16" w15:restartNumberingAfterBreak="0">
    <w:nsid w:val="6B840479"/>
    <w:multiLevelType w:val="singleLevel"/>
    <w:tmpl w:val="D332E23C"/>
    <w:lvl w:ilvl="0">
      <w:start w:val="18"/>
      <w:numFmt w:val="decimal"/>
      <w:lvlRestart w:val="0"/>
      <w:lvlText w:val="%1."/>
      <w:lvlJc w:val="left"/>
      <w:pPr>
        <w:tabs>
          <w:tab w:val="num" w:pos="1742"/>
        </w:tabs>
        <w:ind w:left="1267" w:firstLine="0"/>
      </w:pPr>
      <w:rPr>
        <w:w w:val="100"/>
      </w:rPr>
    </w:lvl>
  </w:abstractNum>
  <w:abstractNum w:abstractNumId="17" w15:restartNumberingAfterBreak="0">
    <w:nsid w:val="6C6C37F3"/>
    <w:multiLevelType w:val="singleLevel"/>
    <w:tmpl w:val="5B58A9B4"/>
    <w:lvl w:ilvl="0">
      <w:start w:val="76"/>
      <w:numFmt w:val="decimal"/>
      <w:lvlRestart w:val="0"/>
      <w:lvlText w:val="%1."/>
      <w:lvlJc w:val="left"/>
      <w:pPr>
        <w:tabs>
          <w:tab w:val="num" w:pos="1742"/>
        </w:tabs>
        <w:ind w:left="1267" w:firstLine="0"/>
      </w:pPr>
      <w:rPr>
        <w:w w:val="100"/>
      </w:rPr>
    </w:lvl>
  </w:abstractNum>
  <w:abstractNum w:abstractNumId="18" w15:restartNumberingAfterBreak="0">
    <w:nsid w:val="6F2D4F2C"/>
    <w:multiLevelType w:val="singleLevel"/>
    <w:tmpl w:val="C19644DE"/>
    <w:lvl w:ilvl="0">
      <w:start w:val="63"/>
      <w:numFmt w:val="decimal"/>
      <w:lvlRestart w:val="0"/>
      <w:lvlText w:val="%1."/>
      <w:lvlJc w:val="left"/>
      <w:pPr>
        <w:tabs>
          <w:tab w:val="num" w:pos="1742"/>
        </w:tabs>
        <w:ind w:left="1267" w:firstLine="0"/>
      </w:pPr>
      <w:rPr>
        <w:b w:val="0"/>
        <w:bCs/>
        <w:w w:val="100"/>
      </w:rPr>
    </w:lvl>
  </w:abstractNum>
  <w:abstractNum w:abstractNumId="19" w15:restartNumberingAfterBreak="0">
    <w:nsid w:val="75A17CC3"/>
    <w:multiLevelType w:val="singleLevel"/>
    <w:tmpl w:val="AFACE10A"/>
    <w:lvl w:ilvl="0">
      <w:start w:val="45"/>
      <w:numFmt w:val="decimal"/>
      <w:lvlRestart w:val="0"/>
      <w:lvlText w:val="%1."/>
      <w:lvlJc w:val="left"/>
      <w:pPr>
        <w:tabs>
          <w:tab w:val="num" w:pos="1742"/>
        </w:tabs>
        <w:ind w:left="1267" w:firstLine="0"/>
      </w:pPr>
      <w:rPr>
        <w:w w:val="100"/>
      </w:rPr>
    </w:lvl>
  </w:abstractNum>
  <w:num w:numId="1">
    <w:abstractNumId w:val="7"/>
  </w:num>
  <w:num w:numId="2">
    <w:abstractNumId w:val="10"/>
  </w:num>
  <w:num w:numId="3">
    <w:abstractNumId w:val="0"/>
  </w:num>
  <w:num w:numId="4">
    <w:abstractNumId w:val="6"/>
  </w:num>
  <w:num w:numId="5">
    <w:abstractNumId w:val="5"/>
    <w:lvlOverride w:ilvl="0">
      <w:lvl w:ilvl="0" w:tplc="AB22DFAA">
        <w:start w:val="1"/>
        <w:numFmt w:val="decimal"/>
        <w:lvlRestart w:val="0"/>
        <w:lvlText w:val="%1."/>
        <w:lvlJc w:val="left"/>
        <w:pPr>
          <w:tabs>
            <w:tab w:val="num" w:pos="475"/>
          </w:tabs>
          <w:ind w:left="0" w:firstLine="0"/>
        </w:pPr>
        <w:rPr>
          <w:w w:val="100"/>
        </w:rPr>
      </w:lvl>
    </w:lvlOverride>
  </w:num>
  <w:num w:numId="6">
    <w:abstractNumId w:val="5"/>
    <w:lvlOverride w:ilvl="0">
      <w:lvl w:ilvl="0" w:tplc="AB22DFAA">
        <w:start w:val="1"/>
        <w:numFmt w:val="decimal"/>
        <w:lvlRestart w:val="0"/>
        <w:lvlText w:val="%1."/>
        <w:lvlJc w:val="left"/>
        <w:pPr>
          <w:tabs>
            <w:tab w:val="num" w:pos="475"/>
          </w:tabs>
          <w:ind w:left="0" w:firstLine="0"/>
        </w:pPr>
        <w:rPr>
          <w:w w:val="100"/>
        </w:rPr>
      </w:lvl>
    </w:lvlOverride>
  </w:num>
  <w:num w:numId="7">
    <w:abstractNumId w:val="5"/>
    <w:lvlOverride w:ilvl="0">
      <w:lvl w:ilvl="0" w:tplc="AB22DFAA">
        <w:start w:val="1"/>
        <w:numFmt w:val="decimal"/>
        <w:lvlRestart w:val="0"/>
        <w:lvlText w:val="%1."/>
        <w:lvlJc w:val="left"/>
        <w:pPr>
          <w:tabs>
            <w:tab w:val="num" w:pos="475"/>
          </w:tabs>
          <w:ind w:left="0" w:firstLine="0"/>
        </w:pPr>
        <w:rPr>
          <w:w w:val="100"/>
        </w:rPr>
      </w:lvl>
    </w:lvlOverride>
  </w:num>
  <w:num w:numId="8">
    <w:abstractNumId w:val="5"/>
    <w:lvlOverride w:ilvl="0">
      <w:lvl w:ilvl="0" w:tplc="AB22DFAA">
        <w:start w:val="1"/>
        <w:numFmt w:val="decimal"/>
        <w:lvlRestart w:val="0"/>
        <w:lvlText w:val="%1."/>
        <w:lvlJc w:val="left"/>
        <w:pPr>
          <w:tabs>
            <w:tab w:val="num" w:pos="475"/>
          </w:tabs>
          <w:ind w:left="0" w:firstLine="0"/>
        </w:pPr>
        <w:rPr>
          <w:w w:val="100"/>
        </w:rPr>
      </w:lvl>
    </w:lvlOverride>
  </w:num>
  <w:num w:numId="9">
    <w:abstractNumId w:val="5"/>
    <w:lvlOverride w:ilvl="0">
      <w:lvl w:ilvl="0" w:tplc="AB22DFAA">
        <w:start w:val="1"/>
        <w:numFmt w:val="decimal"/>
        <w:lvlRestart w:val="0"/>
        <w:lvlText w:val="%1."/>
        <w:lvlJc w:val="left"/>
        <w:pPr>
          <w:tabs>
            <w:tab w:val="num" w:pos="475"/>
          </w:tabs>
          <w:ind w:left="0" w:firstLine="0"/>
        </w:pPr>
        <w:rPr>
          <w:w w:val="100"/>
        </w:rPr>
      </w:lvl>
    </w:lvlOverride>
  </w:num>
  <w:num w:numId="10">
    <w:abstractNumId w:val="5"/>
    <w:lvlOverride w:ilvl="0">
      <w:lvl w:ilvl="0" w:tplc="AB22DFAA">
        <w:start w:val="1"/>
        <w:numFmt w:val="decimal"/>
        <w:lvlRestart w:val="0"/>
        <w:lvlText w:val="%1."/>
        <w:lvlJc w:val="left"/>
        <w:pPr>
          <w:tabs>
            <w:tab w:val="num" w:pos="475"/>
          </w:tabs>
          <w:ind w:left="0" w:firstLine="0"/>
        </w:pPr>
        <w:rPr>
          <w:w w:val="100"/>
        </w:rPr>
      </w:lvl>
    </w:lvlOverride>
  </w:num>
  <w:num w:numId="11">
    <w:abstractNumId w:val="5"/>
    <w:lvlOverride w:ilvl="0">
      <w:lvl w:ilvl="0" w:tplc="AB22DFAA">
        <w:start w:val="1"/>
        <w:numFmt w:val="decimal"/>
        <w:lvlRestart w:val="0"/>
        <w:lvlText w:val="%1."/>
        <w:lvlJc w:val="left"/>
        <w:pPr>
          <w:tabs>
            <w:tab w:val="num" w:pos="475"/>
          </w:tabs>
          <w:ind w:left="0" w:firstLine="0"/>
        </w:pPr>
        <w:rPr>
          <w:w w:val="100"/>
        </w:rPr>
      </w:lvl>
    </w:lvlOverride>
  </w:num>
  <w:num w:numId="12">
    <w:abstractNumId w:val="5"/>
    <w:lvlOverride w:ilvl="0">
      <w:lvl w:ilvl="0" w:tplc="AB22DFAA">
        <w:start w:val="1"/>
        <w:numFmt w:val="decimal"/>
        <w:lvlRestart w:val="0"/>
        <w:lvlText w:val="%1."/>
        <w:lvlJc w:val="left"/>
        <w:pPr>
          <w:tabs>
            <w:tab w:val="num" w:pos="475"/>
          </w:tabs>
          <w:ind w:left="0" w:firstLine="0"/>
        </w:pPr>
        <w:rPr>
          <w:w w:val="100"/>
        </w:rPr>
      </w:lvl>
    </w:lvlOverride>
  </w:num>
  <w:num w:numId="13">
    <w:abstractNumId w:val="5"/>
    <w:lvlOverride w:ilvl="0">
      <w:lvl w:ilvl="0" w:tplc="AB22DFAA">
        <w:start w:val="1"/>
        <w:numFmt w:val="decimal"/>
        <w:lvlRestart w:val="0"/>
        <w:lvlText w:val="%1."/>
        <w:lvlJc w:val="left"/>
        <w:pPr>
          <w:tabs>
            <w:tab w:val="num" w:pos="475"/>
          </w:tabs>
          <w:ind w:left="0" w:firstLine="0"/>
        </w:pPr>
        <w:rPr>
          <w:w w:val="100"/>
        </w:rPr>
      </w:lvl>
    </w:lvlOverride>
  </w:num>
  <w:num w:numId="14">
    <w:abstractNumId w:val="5"/>
    <w:lvlOverride w:ilvl="0">
      <w:lvl w:ilvl="0" w:tplc="AB22DFAA">
        <w:start w:val="1"/>
        <w:numFmt w:val="decimal"/>
        <w:lvlRestart w:val="0"/>
        <w:lvlText w:val="%1."/>
        <w:lvlJc w:val="left"/>
        <w:pPr>
          <w:tabs>
            <w:tab w:val="num" w:pos="475"/>
          </w:tabs>
          <w:ind w:left="0" w:firstLine="0"/>
        </w:pPr>
        <w:rPr>
          <w:w w:val="100"/>
        </w:rPr>
      </w:lvl>
    </w:lvlOverride>
  </w:num>
  <w:num w:numId="15">
    <w:abstractNumId w:val="5"/>
    <w:lvlOverride w:ilvl="0">
      <w:lvl w:ilvl="0" w:tplc="AB22DFAA">
        <w:start w:val="1"/>
        <w:numFmt w:val="decimal"/>
        <w:lvlRestart w:val="0"/>
        <w:lvlText w:val="%1."/>
        <w:lvlJc w:val="left"/>
        <w:pPr>
          <w:tabs>
            <w:tab w:val="num" w:pos="475"/>
          </w:tabs>
          <w:ind w:left="0" w:firstLine="0"/>
        </w:pPr>
        <w:rPr>
          <w:w w:val="100"/>
        </w:rPr>
      </w:lvl>
    </w:lvlOverride>
  </w:num>
  <w:num w:numId="16">
    <w:abstractNumId w:val="5"/>
    <w:lvlOverride w:ilvl="0">
      <w:lvl w:ilvl="0" w:tplc="AB22DFAA">
        <w:start w:val="1"/>
        <w:numFmt w:val="decimal"/>
        <w:lvlRestart w:val="0"/>
        <w:lvlText w:val="%1."/>
        <w:lvlJc w:val="left"/>
        <w:pPr>
          <w:tabs>
            <w:tab w:val="num" w:pos="475"/>
          </w:tabs>
          <w:ind w:left="0" w:firstLine="0"/>
        </w:pPr>
        <w:rPr>
          <w:w w:val="100"/>
        </w:rPr>
      </w:lvl>
    </w:lvlOverride>
  </w:num>
  <w:num w:numId="17">
    <w:abstractNumId w:val="5"/>
    <w:lvlOverride w:ilvl="0">
      <w:lvl w:ilvl="0" w:tplc="AB22DFAA">
        <w:start w:val="1"/>
        <w:numFmt w:val="decimal"/>
        <w:lvlRestart w:val="0"/>
        <w:lvlText w:val="%1."/>
        <w:lvlJc w:val="left"/>
        <w:pPr>
          <w:tabs>
            <w:tab w:val="num" w:pos="475"/>
          </w:tabs>
          <w:ind w:left="0" w:firstLine="0"/>
        </w:pPr>
        <w:rPr>
          <w:w w:val="100"/>
        </w:rPr>
      </w:lvl>
    </w:lvlOverride>
  </w:num>
  <w:num w:numId="18">
    <w:abstractNumId w:val="4"/>
  </w:num>
  <w:num w:numId="19">
    <w:abstractNumId w:val="16"/>
  </w:num>
  <w:num w:numId="20">
    <w:abstractNumId w:val="3"/>
  </w:num>
  <w:num w:numId="21">
    <w:abstractNumId w:val="3"/>
    <w:lvlOverride w:ilvl="0">
      <w:lvl w:ilvl="0">
        <w:start w:val="21"/>
        <w:numFmt w:val="decimal"/>
        <w:lvlRestart w:val="0"/>
        <w:lvlText w:val="%1."/>
        <w:lvlJc w:val="left"/>
        <w:pPr>
          <w:tabs>
            <w:tab w:val="num" w:pos="1742"/>
          </w:tabs>
          <w:ind w:left="1267" w:firstLine="0"/>
        </w:pPr>
        <w:rPr>
          <w:b w:val="0"/>
          <w:bCs/>
          <w:i w:val="0"/>
          <w:iCs/>
          <w:w w:val="100"/>
        </w:rPr>
      </w:lvl>
    </w:lvlOverride>
  </w:num>
  <w:num w:numId="22">
    <w:abstractNumId w:val="19"/>
  </w:num>
  <w:num w:numId="23">
    <w:abstractNumId w:val="9"/>
  </w:num>
  <w:num w:numId="24">
    <w:abstractNumId w:val="11"/>
    <w:lvlOverride w:ilvl="0">
      <w:lvl w:ilvl="0">
        <w:start w:val="46"/>
        <w:numFmt w:val="decimal"/>
        <w:lvlRestart w:val="0"/>
        <w:lvlText w:val="%1."/>
        <w:lvlJc w:val="left"/>
        <w:pPr>
          <w:tabs>
            <w:tab w:val="num" w:pos="1742"/>
          </w:tabs>
          <w:ind w:left="1267" w:firstLine="0"/>
        </w:pPr>
        <w:rPr>
          <w:w w:val="100"/>
        </w:rPr>
      </w:lvl>
    </w:lvlOverride>
  </w:num>
  <w:num w:numId="25">
    <w:abstractNumId w:val="11"/>
    <w:lvlOverride w:ilvl="0">
      <w:lvl w:ilvl="0">
        <w:start w:val="46"/>
        <w:numFmt w:val="decimal"/>
        <w:lvlRestart w:val="0"/>
        <w:lvlText w:val="%1."/>
        <w:lvlJc w:val="left"/>
        <w:pPr>
          <w:tabs>
            <w:tab w:val="num" w:pos="1742"/>
          </w:tabs>
          <w:ind w:left="1267" w:firstLine="0"/>
        </w:pPr>
        <w:rPr>
          <w:b w:val="0"/>
          <w:bCs/>
          <w:w w:val="100"/>
        </w:rPr>
      </w:lvl>
    </w:lvlOverride>
  </w:num>
  <w:num w:numId="26">
    <w:abstractNumId w:val="13"/>
  </w:num>
  <w:num w:numId="27">
    <w:abstractNumId w:val="1"/>
  </w:num>
  <w:num w:numId="28">
    <w:abstractNumId w:val="18"/>
  </w:num>
  <w:num w:numId="29">
    <w:abstractNumId w:val="15"/>
  </w:num>
  <w:num w:numId="30">
    <w:abstractNumId w:val="15"/>
    <w:lvlOverride w:ilvl="0">
      <w:lvl w:ilvl="0">
        <w:start w:val="64"/>
        <w:numFmt w:val="decimal"/>
        <w:lvlRestart w:val="0"/>
        <w:lvlText w:val="%1."/>
        <w:lvlJc w:val="left"/>
        <w:pPr>
          <w:tabs>
            <w:tab w:val="num" w:pos="1742"/>
          </w:tabs>
          <w:ind w:left="1267" w:firstLine="0"/>
        </w:pPr>
        <w:rPr>
          <w:w w:val="100"/>
        </w:rPr>
      </w:lvl>
    </w:lvlOverride>
  </w:num>
  <w:num w:numId="31">
    <w:abstractNumId w:val="15"/>
    <w:lvlOverride w:ilvl="0">
      <w:lvl w:ilvl="0">
        <w:start w:val="64"/>
        <w:numFmt w:val="decimal"/>
        <w:lvlRestart w:val="0"/>
        <w:lvlText w:val="%1."/>
        <w:lvlJc w:val="left"/>
        <w:pPr>
          <w:tabs>
            <w:tab w:val="num" w:pos="1742"/>
          </w:tabs>
          <w:ind w:left="1267" w:firstLine="0"/>
        </w:pPr>
        <w:rPr>
          <w:w w:val="100"/>
        </w:rPr>
      </w:lvl>
    </w:lvlOverride>
  </w:num>
  <w:num w:numId="32">
    <w:abstractNumId w:val="17"/>
  </w:num>
  <w:num w:numId="33">
    <w:abstractNumId w:val="17"/>
    <w:lvlOverride w:ilvl="0">
      <w:lvl w:ilvl="0">
        <w:start w:val="76"/>
        <w:numFmt w:val="decimal"/>
        <w:lvlRestart w:val="0"/>
        <w:lvlText w:val="%1."/>
        <w:lvlJc w:val="left"/>
        <w:pPr>
          <w:tabs>
            <w:tab w:val="num" w:pos="1742"/>
          </w:tabs>
          <w:ind w:left="1267" w:firstLine="0"/>
        </w:pPr>
        <w:rPr>
          <w:w w:val="100"/>
        </w:rPr>
      </w:lvl>
    </w:lvlOverride>
  </w:num>
  <w:num w:numId="34">
    <w:abstractNumId w:val="17"/>
    <w:lvlOverride w:ilvl="0">
      <w:lvl w:ilvl="0">
        <w:start w:val="76"/>
        <w:numFmt w:val="decimal"/>
        <w:lvlRestart w:val="0"/>
        <w:lvlText w:val="%1."/>
        <w:lvlJc w:val="left"/>
        <w:pPr>
          <w:tabs>
            <w:tab w:val="num" w:pos="1742"/>
          </w:tabs>
          <w:ind w:left="1267" w:firstLine="0"/>
        </w:pPr>
        <w:rPr>
          <w:w w:val="100"/>
        </w:rPr>
      </w:lvl>
    </w:lvlOverride>
  </w:num>
  <w:num w:numId="35">
    <w:abstractNumId w:val="14"/>
  </w:num>
  <w:num w:numId="36">
    <w:abstractNumId w:val="14"/>
    <w:lvlOverride w:ilvl="0">
      <w:lvl w:ilvl="0">
        <w:start w:val="83"/>
        <w:numFmt w:val="decimal"/>
        <w:lvlRestart w:val="0"/>
        <w:lvlText w:val="%1."/>
        <w:lvlJc w:val="left"/>
        <w:pPr>
          <w:tabs>
            <w:tab w:val="num" w:pos="1742"/>
          </w:tabs>
          <w:ind w:left="1267" w:firstLine="0"/>
        </w:pPr>
        <w:rPr>
          <w:i w:val="0"/>
          <w:iCs/>
          <w:w w:val="100"/>
        </w:rPr>
      </w:lvl>
    </w:lvlOverride>
  </w:num>
  <w:num w:numId="37">
    <w:abstractNumId w:val="8"/>
  </w:num>
  <w:num w:numId="38">
    <w:abstractNumId w:val="2"/>
  </w:num>
  <w:num w:numId="39">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20523*"/>
    <w:docVar w:name="CreationDt" w:val="19/12/2018 7:19: AM"/>
    <w:docVar w:name="DocCategory" w:val="Doc"/>
    <w:docVar w:name="DocType" w:val="Final"/>
    <w:docVar w:name="DutyStation" w:val="New York"/>
    <w:docVar w:name="FooterJN" w:val="18-20523"/>
    <w:docVar w:name="jobn" w:val="18-20523 (F)"/>
    <w:docVar w:name="jobnDT" w:val="18-20523 (F)   191218"/>
    <w:docVar w:name="jobnDTDT" w:val="18-20523 (F)   191218   191218"/>
    <w:docVar w:name="JobNo" w:val="1820523F"/>
    <w:docVar w:name="JobNo2" w:val="1840572F"/>
    <w:docVar w:name="LocalDrive" w:val="0"/>
    <w:docVar w:name="OandT" w:val="Moise"/>
    <w:docVar w:name="sss1" w:val="CEDAW/C/SRB/Q/4/Add.1"/>
    <w:docVar w:name="sss2" w:val="-"/>
    <w:docVar w:name="Symbol1" w:val="CEDAW/C/SRB/Q/4/Add.1"/>
    <w:docVar w:name="Symbol2" w:val="-"/>
  </w:docVars>
  <w:rsids>
    <w:rsidRoot w:val="008533A7"/>
    <w:rsid w:val="00002584"/>
    <w:rsid w:val="0000379B"/>
    <w:rsid w:val="00003F2E"/>
    <w:rsid w:val="00024F12"/>
    <w:rsid w:val="000302AD"/>
    <w:rsid w:val="00032A14"/>
    <w:rsid w:val="00034081"/>
    <w:rsid w:val="000413C8"/>
    <w:rsid w:val="00042E01"/>
    <w:rsid w:val="00045B8B"/>
    <w:rsid w:val="000602D8"/>
    <w:rsid w:val="00061266"/>
    <w:rsid w:val="000716D3"/>
    <w:rsid w:val="00071D43"/>
    <w:rsid w:val="000735D2"/>
    <w:rsid w:val="00073E50"/>
    <w:rsid w:val="0008204D"/>
    <w:rsid w:val="00082144"/>
    <w:rsid w:val="00090F04"/>
    <w:rsid w:val="00092BEF"/>
    <w:rsid w:val="00097593"/>
    <w:rsid w:val="000A25C0"/>
    <w:rsid w:val="000A550F"/>
    <w:rsid w:val="000B4941"/>
    <w:rsid w:val="000B6F6E"/>
    <w:rsid w:val="000B73E8"/>
    <w:rsid w:val="000C21DA"/>
    <w:rsid w:val="000D1518"/>
    <w:rsid w:val="000D5AF6"/>
    <w:rsid w:val="000E0F15"/>
    <w:rsid w:val="000E1274"/>
    <w:rsid w:val="000E2A95"/>
    <w:rsid w:val="000F6281"/>
    <w:rsid w:val="00100454"/>
    <w:rsid w:val="00100AA9"/>
    <w:rsid w:val="00101B18"/>
    <w:rsid w:val="00102391"/>
    <w:rsid w:val="00102BCF"/>
    <w:rsid w:val="00110AD5"/>
    <w:rsid w:val="00114736"/>
    <w:rsid w:val="00117C5B"/>
    <w:rsid w:val="00122A56"/>
    <w:rsid w:val="00131A5C"/>
    <w:rsid w:val="001325C2"/>
    <w:rsid w:val="0013319A"/>
    <w:rsid w:val="00134FEE"/>
    <w:rsid w:val="00146C6A"/>
    <w:rsid w:val="00150CDA"/>
    <w:rsid w:val="0015207D"/>
    <w:rsid w:val="001531BE"/>
    <w:rsid w:val="00154208"/>
    <w:rsid w:val="00155E50"/>
    <w:rsid w:val="00157821"/>
    <w:rsid w:val="00166A0D"/>
    <w:rsid w:val="00172A36"/>
    <w:rsid w:val="00172AC5"/>
    <w:rsid w:val="001777A9"/>
    <w:rsid w:val="001851F5"/>
    <w:rsid w:val="00192986"/>
    <w:rsid w:val="0019573A"/>
    <w:rsid w:val="001A04B3"/>
    <w:rsid w:val="001A4B0D"/>
    <w:rsid w:val="001B2FC7"/>
    <w:rsid w:val="001B7073"/>
    <w:rsid w:val="001C050C"/>
    <w:rsid w:val="001C0533"/>
    <w:rsid w:val="001C0E44"/>
    <w:rsid w:val="001C272A"/>
    <w:rsid w:val="001C6553"/>
    <w:rsid w:val="001D40CF"/>
    <w:rsid w:val="001E3DE8"/>
    <w:rsid w:val="001E4B50"/>
    <w:rsid w:val="001F026C"/>
    <w:rsid w:val="001F1564"/>
    <w:rsid w:val="001F4E8C"/>
    <w:rsid w:val="001F5370"/>
    <w:rsid w:val="001F6E53"/>
    <w:rsid w:val="00200BD7"/>
    <w:rsid w:val="00200FE0"/>
    <w:rsid w:val="0021436F"/>
    <w:rsid w:val="00215217"/>
    <w:rsid w:val="002267F8"/>
    <w:rsid w:val="00234BEB"/>
    <w:rsid w:val="00235B5B"/>
    <w:rsid w:val="00240E38"/>
    <w:rsid w:val="0024776C"/>
    <w:rsid w:val="002478A0"/>
    <w:rsid w:val="002556A0"/>
    <w:rsid w:val="00263527"/>
    <w:rsid w:val="00267146"/>
    <w:rsid w:val="00267A67"/>
    <w:rsid w:val="00271FAA"/>
    <w:rsid w:val="00293E09"/>
    <w:rsid w:val="00295E88"/>
    <w:rsid w:val="002A06A7"/>
    <w:rsid w:val="002A46EE"/>
    <w:rsid w:val="002A5E20"/>
    <w:rsid w:val="002B51A4"/>
    <w:rsid w:val="002B5261"/>
    <w:rsid w:val="002C01C1"/>
    <w:rsid w:val="002C0FF9"/>
    <w:rsid w:val="002C3F89"/>
    <w:rsid w:val="002C6C80"/>
    <w:rsid w:val="002D49EF"/>
    <w:rsid w:val="002D6329"/>
    <w:rsid w:val="002E1C93"/>
    <w:rsid w:val="002E2DD2"/>
    <w:rsid w:val="002F71ED"/>
    <w:rsid w:val="00313D68"/>
    <w:rsid w:val="003140EB"/>
    <w:rsid w:val="00316B39"/>
    <w:rsid w:val="00326352"/>
    <w:rsid w:val="003263B0"/>
    <w:rsid w:val="00333B70"/>
    <w:rsid w:val="003461EC"/>
    <w:rsid w:val="00354D27"/>
    <w:rsid w:val="0036380C"/>
    <w:rsid w:val="00366D21"/>
    <w:rsid w:val="00370712"/>
    <w:rsid w:val="00371E61"/>
    <w:rsid w:val="00374B6E"/>
    <w:rsid w:val="00380FBF"/>
    <w:rsid w:val="00387BFD"/>
    <w:rsid w:val="003902DF"/>
    <w:rsid w:val="00393991"/>
    <w:rsid w:val="003A133C"/>
    <w:rsid w:val="003A675A"/>
    <w:rsid w:val="003A76BE"/>
    <w:rsid w:val="003B261C"/>
    <w:rsid w:val="003C73AC"/>
    <w:rsid w:val="003C7771"/>
    <w:rsid w:val="003D3878"/>
    <w:rsid w:val="003E4619"/>
    <w:rsid w:val="003F04C2"/>
    <w:rsid w:val="003F0983"/>
    <w:rsid w:val="003F0EEB"/>
    <w:rsid w:val="003F61E1"/>
    <w:rsid w:val="003F799A"/>
    <w:rsid w:val="00405968"/>
    <w:rsid w:val="0041680B"/>
    <w:rsid w:val="00440C93"/>
    <w:rsid w:val="00444E92"/>
    <w:rsid w:val="004477D4"/>
    <w:rsid w:val="00454047"/>
    <w:rsid w:val="0046655B"/>
    <w:rsid w:val="00480B84"/>
    <w:rsid w:val="004874D4"/>
    <w:rsid w:val="004876B6"/>
    <w:rsid w:val="004B0729"/>
    <w:rsid w:val="004B335C"/>
    <w:rsid w:val="004B685F"/>
    <w:rsid w:val="004B6EAC"/>
    <w:rsid w:val="004C16ED"/>
    <w:rsid w:val="004C1A25"/>
    <w:rsid w:val="004D09F7"/>
    <w:rsid w:val="004D2D2F"/>
    <w:rsid w:val="004D55B4"/>
    <w:rsid w:val="004E6D7D"/>
    <w:rsid w:val="004F4034"/>
    <w:rsid w:val="004F7116"/>
    <w:rsid w:val="00502B22"/>
    <w:rsid w:val="00506C29"/>
    <w:rsid w:val="00511255"/>
    <w:rsid w:val="00515991"/>
    <w:rsid w:val="005225EC"/>
    <w:rsid w:val="00524673"/>
    <w:rsid w:val="00525097"/>
    <w:rsid w:val="005509B6"/>
    <w:rsid w:val="005514A8"/>
    <w:rsid w:val="00555D86"/>
    <w:rsid w:val="0056553E"/>
    <w:rsid w:val="00567A75"/>
    <w:rsid w:val="0057496A"/>
    <w:rsid w:val="00585BF5"/>
    <w:rsid w:val="005865C3"/>
    <w:rsid w:val="00590576"/>
    <w:rsid w:val="00592138"/>
    <w:rsid w:val="005945E1"/>
    <w:rsid w:val="00597105"/>
    <w:rsid w:val="005A03ED"/>
    <w:rsid w:val="005A42F1"/>
    <w:rsid w:val="005B09C5"/>
    <w:rsid w:val="005B325F"/>
    <w:rsid w:val="005B5C3F"/>
    <w:rsid w:val="005C386B"/>
    <w:rsid w:val="005C4E81"/>
    <w:rsid w:val="005E6461"/>
    <w:rsid w:val="005F1F5F"/>
    <w:rsid w:val="005F35D1"/>
    <w:rsid w:val="00605D44"/>
    <w:rsid w:val="0060684D"/>
    <w:rsid w:val="00607BCB"/>
    <w:rsid w:val="0061109E"/>
    <w:rsid w:val="00634A55"/>
    <w:rsid w:val="0064109F"/>
    <w:rsid w:val="0065533D"/>
    <w:rsid w:val="00660E99"/>
    <w:rsid w:val="00661DFF"/>
    <w:rsid w:val="00662CA2"/>
    <w:rsid w:val="0067195A"/>
    <w:rsid w:val="006731E5"/>
    <w:rsid w:val="00680552"/>
    <w:rsid w:val="00682EDD"/>
    <w:rsid w:val="006830BC"/>
    <w:rsid w:val="006869DA"/>
    <w:rsid w:val="00686F72"/>
    <w:rsid w:val="00690698"/>
    <w:rsid w:val="006928AD"/>
    <w:rsid w:val="006965F4"/>
    <w:rsid w:val="006B017A"/>
    <w:rsid w:val="006B51CD"/>
    <w:rsid w:val="006B6863"/>
    <w:rsid w:val="006D5840"/>
    <w:rsid w:val="006E4109"/>
    <w:rsid w:val="006E4A4B"/>
    <w:rsid w:val="00702713"/>
    <w:rsid w:val="00705BC9"/>
    <w:rsid w:val="00713766"/>
    <w:rsid w:val="00720F63"/>
    <w:rsid w:val="007218BC"/>
    <w:rsid w:val="00724AB7"/>
    <w:rsid w:val="00726F1B"/>
    <w:rsid w:val="00730828"/>
    <w:rsid w:val="007357B5"/>
    <w:rsid w:val="00735E1A"/>
    <w:rsid w:val="007411A9"/>
    <w:rsid w:val="0074302B"/>
    <w:rsid w:val="007455E7"/>
    <w:rsid w:val="007459AE"/>
    <w:rsid w:val="00746F63"/>
    <w:rsid w:val="007531A5"/>
    <w:rsid w:val="00753931"/>
    <w:rsid w:val="00755B82"/>
    <w:rsid w:val="00756A15"/>
    <w:rsid w:val="00757E58"/>
    <w:rsid w:val="007606D2"/>
    <w:rsid w:val="007610C5"/>
    <w:rsid w:val="00761B55"/>
    <w:rsid w:val="00764927"/>
    <w:rsid w:val="0076728C"/>
    <w:rsid w:val="00771C9E"/>
    <w:rsid w:val="0077215E"/>
    <w:rsid w:val="0078179A"/>
    <w:rsid w:val="00782237"/>
    <w:rsid w:val="00786C6B"/>
    <w:rsid w:val="00791968"/>
    <w:rsid w:val="00791BD6"/>
    <w:rsid w:val="0079222E"/>
    <w:rsid w:val="00792BF3"/>
    <w:rsid w:val="007A075B"/>
    <w:rsid w:val="007A508B"/>
    <w:rsid w:val="007B134F"/>
    <w:rsid w:val="007B2878"/>
    <w:rsid w:val="007B490B"/>
    <w:rsid w:val="007B76EE"/>
    <w:rsid w:val="007C736F"/>
    <w:rsid w:val="007C7557"/>
    <w:rsid w:val="007E41FF"/>
    <w:rsid w:val="007E4CB5"/>
    <w:rsid w:val="007E6A9C"/>
    <w:rsid w:val="007E7F87"/>
    <w:rsid w:val="007F1D50"/>
    <w:rsid w:val="007F1F71"/>
    <w:rsid w:val="007F51BD"/>
    <w:rsid w:val="007F558E"/>
    <w:rsid w:val="00810276"/>
    <w:rsid w:val="0081049C"/>
    <w:rsid w:val="0082045E"/>
    <w:rsid w:val="0082186B"/>
    <w:rsid w:val="008222A3"/>
    <w:rsid w:val="00822AC1"/>
    <w:rsid w:val="00827025"/>
    <w:rsid w:val="008533A7"/>
    <w:rsid w:val="00860351"/>
    <w:rsid w:val="00865ECE"/>
    <w:rsid w:val="0087541F"/>
    <w:rsid w:val="00875D08"/>
    <w:rsid w:val="00883D52"/>
    <w:rsid w:val="0089040F"/>
    <w:rsid w:val="00893E44"/>
    <w:rsid w:val="0089453B"/>
    <w:rsid w:val="00897483"/>
    <w:rsid w:val="008A1F60"/>
    <w:rsid w:val="008B479B"/>
    <w:rsid w:val="008C015C"/>
    <w:rsid w:val="008C176C"/>
    <w:rsid w:val="008C6BB5"/>
    <w:rsid w:val="008D42DD"/>
    <w:rsid w:val="008E3700"/>
    <w:rsid w:val="0090296D"/>
    <w:rsid w:val="00903981"/>
    <w:rsid w:val="00907491"/>
    <w:rsid w:val="0091317B"/>
    <w:rsid w:val="00933021"/>
    <w:rsid w:val="00935932"/>
    <w:rsid w:val="0093755F"/>
    <w:rsid w:val="00941A46"/>
    <w:rsid w:val="00941E53"/>
    <w:rsid w:val="0094487A"/>
    <w:rsid w:val="00945728"/>
    <w:rsid w:val="00947E7F"/>
    <w:rsid w:val="00951AF7"/>
    <w:rsid w:val="00952B2A"/>
    <w:rsid w:val="0095423D"/>
    <w:rsid w:val="00965633"/>
    <w:rsid w:val="00966C08"/>
    <w:rsid w:val="00966D0B"/>
    <w:rsid w:val="009676B8"/>
    <w:rsid w:val="00967785"/>
    <w:rsid w:val="00970B70"/>
    <w:rsid w:val="00971DE1"/>
    <w:rsid w:val="00971FEB"/>
    <w:rsid w:val="00973B4A"/>
    <w:rsid w:val="00976760"/>
    <w:rsid w:val="009808A1"/>
    <w:rsid w:val="009864BE"/>
    <w:rsid w:val="00993CB7"/>
    <w:rsid w:val="009946BB"/>
    <w:rsid w:val="00995751"/>
    <w:rsid w:val="009971B5"/>
    <w:rsid w:val="009A0E42"/>
    <w:rsid w:val="009B1E81"/>
    <w:rsid w:val="009C0C97"/>
    <w:rsid w:val="009C60E6"/>
    <w:rsid w:val="009D0EE3"/>
    <w:rsid w:val="009D70A4"/>
    <w:rsid w:val="009D7603"/>
    <w:rsid w:val="009E3787"/>
    <w:rsid w:val="00A00815"/>
    <w:rsid w:val="00A1679B"/>
    <w:rsid w:val="00A2494D"/>
    <w:rsid w:val="00A27E83"/>
    <w:rsid w:val="00A30EB1"/>
    <w:rsid w:val="00A34491"/>
    <w:rsid w:val="00A34909"/>
    <w:rsid w:val="00A40CA0"/>
    <w:rsid w:val="00A44199"/>
    <w:rsid w:val="00A4729F"/>
    <w:rsid w:val="00A5086C"/>
    <w:rsid w:val="00A676A0"/>
    <w:rsid w:val="00A7281A"/>
    <w:rsid w:val="00A765F8"/>
    <w:rsid w:val="00A832E6"/>
    <w:rsid w:val="00A921AF"/>
    <w:rsid w:val="00A962A7"/>
    <w:rsid w:val="00AA705E"/>
    <w:rsid w:val="00AA7CCB"/>
    <w:rsid w:val="00AB0B7D"/>
    <w:rsid w:val="00AB4764"/>
    <w:rsid w:val="00AC05C3"/>
    <w:rsid w:val="00AC19D6"/>
    <w:rsid w:val="00AD5332"/>
    <w:rsid w:val="00AD5F2F"/>
    <w:rsid w:val="00AE033E"/>
    <w:rsid w:val="00AE144E"/>
    <w:rsid w:val="00AE698C"/>
    <w:rsid w:val="00B00966"/>
    <w:rsid w:val="00B0654D"/>
    <w:rsid w:val="00B07317"/>
    <w:rsid w:val="00B1366D"/>
    <w:rsid w:val="00B179BC"/>
    <w:rsid w:val="00B31318"/>
    <w:rsid w:val="00B333AC"/>
    <w:rsid w:val="00B34D7D"/>
    <w:rsid w:val="00B51D06"/>
    <w:rsid w:val="00B562D9"/>
    <w:rsid w:val="00B70776"/>
    <w:rsid w:val="00B82759"/>
    <w:rsid w:val="00B858D5"/>
    <w:rsid w:val="00B94932"/>
    <w:rsid w:val="00B96228"/>
    <w:rsid w:val="00B96C3E"/>
    <w:rsid w:val="00B97742"/>
    <w:rsid w:val="00BA2BAE"/>
    <w:rsid w:val="00BD36EF"/>
    <w:rsid w:val="00BE2215"/>
    <w:rsid w:val="00BF6CE9"/>
    <w:rsid w:val="00BF7998"/>
    <w:rsid w:val="00BF7C9F"/>
    <w:rsid w:val="00C053C3"/>
    <w:rsid w:val="00C0724F"/>
    <w:rsid w:val="00C14C89"/>
    <w:rsid w:val="00C155A7"/>
    <w:rsid w:val="00C25DED"/>
    <w:rsid w:val="00C26346"/>
    <w:rsid w:val="00C274DC"/>
    <w:rsid w:val="00C30B44"/>
    <w:rsid w:val="00C30BB7"/>
    <w:rsid w:val="00C376C5"/>
    <w:rsid w:val="00C37829"/>
    <w:rsid w:val="00C40B63"/>
    <w:rsid w:val="00C41770"/>
    <w:rsid w:val="00C53E8E"/>
    <w:rsid w:val="00C63B62"/>
    <w:rsid w:val="00C64359"/>
    <w:rsid w:val="00C73BA2"/>
    <w:rsid w:val="00C762AB"/>
    <w:rsid w:val="00C83243"/>
    <w:rsid w:val="00C85E3A"/>
    <w:rsid w:val="00C86085"/>
    <w:rsid w:val="00C9577B"/>
    <w:rsid w:val="00CA23DE"/>
    <w:rsid w:val="00CB06FB"/>
    <w:rsid w:val="00CB63C5"/>
    <w:rsid w:val="00CC3972"/>
    <w:rsid w:val="00CD04CD"/>
    <w:rsid w:val="00CE1D43"/>
    <w:rsid w:val="00CE49B9"/>
    <w:rsid w:val="00D04FDC"/>
    <w:rsid w:val="00D05605"/>
    <w:rsid w:val="00D069D7"/>
    <w:rsid w:val="00D06CC8"/>
    <w:rsid w:val="00D072C7"/>
    <w:rsid w:val="00D11056"/>
    <w:rsid w:val="00D15E0B"/>
    <w:rsid w:val="00D15EF8"/>
    <w:rsid w:val="00D20C29"/>
    <w:rsid w:val="00D2141E"/>
    <w:rsid w:val="00D229AE"/>
    <w:rsid w:val="00D30EED"/>
    <w:rsid w:val="00D32B13"/>
    <w:rsid w:val="00D37720"/>
    <w:rsid w:val="00D44615"/>
    <w:rsid w:val="00D51678"/>
    <w:rsid w:val="00D51C4D"/>
    <w:rsid w:val="00D5382D"/>
    <w:rsid w:val="00D608EC"/>
    <w:rsid w:val="00D7359F"/>
    <w:rsid w:val="00D91913"/>
    <w:rsid w:val="00DA342D"/>
    <w:rsid w:val="00DA56D0"/>
    <w:rsid w:val="00DB3221"/>
    <w:rsid w:val="00DB663E"/>
    <w:rsid w:val="00DB7E70"/>
    <w:rsid w:val="00DC3D13"/>
    <w:rsid w:val="00DC4BB2"/>
    <w:rsid w:val="00DC5B84"/>
    <w:rsid w:val="00DC753E"/>
    <w:rsid w:val="00DD059C"/>
    <w:rsid w:val="00DD089B"/>
    <w:rsid w:val="00DD0D18"/>
    <w:rsid w:val="00DD56F6"/>
    <w:rsid w:val="00DE1B0D"/>
    <w:rsid w:val="00DE1F39"/>
    <w:rsid w:val="00DE7A62"/>
    <w:rsid w:val="00DF0E7A"/>
    <w:rsid w:val="00DF2CFE"/>
    <w:rsid w:val="00DF5488"/>
    <w:rsid w:val="00DF7CB9"/>
    <w:rsid w:val="00E152B5"/>
    <w:rsid w:val="00E15D9E"/>
    <w:rsid w:val="00E20FB8"/>
    <w:rsid w:val="00E2261A"/>
    <w:rsid w:val="00E23471"/>
    <w:rsid w:val="00E25448"/>
    <w:rsid w:val="00E343A6"/>
    <w:rsid w:val="00E3687B"/>
    <w:rsid w:val="00E44F51"/>
    <w:rsid w:val="00E51784"/>
    <w:rsid w:val="00E60352"/>
    <w:rsid w:val="00E60D80"/>
    <w:rsid w:val="00E674EE"/>
    <w:rsid w:val="00E7105F"/>
    <w:rsid w:val="00E81D80"/>
    <w:rsid w:val="00E83FBF"/>
    <w:rsid w:val="00E8796C"/>
    <w:rsid w:val="00E95716"/>
    <w:rsid w:val="00E9579C"/>
    <w:rsid w:val="00E96587"/>
    <w:rsid w:val="00EA13D0"/>
    <w:rsid w:val="00EA6EC7"/>
    <w:rsid w:val="00EA7393"/>
    <w:rsid w:val="00EB52F9"/>
    <w:rsid w:val="00EB56F3"/>
    <w:rsid w:val="00EB7220"/>
    <w:rsid w:val="00ED4397"/>
    <w:rsid w:val="00EE37EC"/>
    <w:rsid w:val="00EE5A7A"/>
    <w:rsid w:val="00EE5C44"/>
    <w:rsid w:val="00EE76AE"/>
    <w:rsid w:val="00EF13D5"/>
    <w:rsid w:val="00EF1C5E"/>
    <w:rsid w:val="00EF2DFA"/>
    <w:rsid w:val="00EF3F97"/>
    <w:rsid w:val="00EF58A2"/>
    <w:rsid w:val="00EF66DE"/>
    <w:rsid w:val="00EF7FC7"/>
    <w:rsid w:val="00F008C6"/>
    <w:rsid w:val="00F02090"/>
    <w:rsid w:val="00F04216"/>
    <w:rsid w:val="00F0747E"/>
    <w:rsid w:val="00F237A3"/>
    <w:rsid w:val="00F264B2"/>
    <w:rsid w:val="00F27453"/>
    <w:rsid w:val="00F30488"/>
    <w:rsid w:val="00F30665"/>
    <w:rsid w:val="00F42310"/>
    <w:rsid w:val="00F445BE"/>
    <w:rsid w:val="00F5012D"/>
    <w:rsid w:val="00F61D43"/>
    <w:rsid w:val="00F71E64"/>
    <w:rsid w:val="00F73093"/>
    <w:rsid w:val="00F75E71"/>
    <w:rsid w:val="00F77CB8"/>
    <w:rsid w:val="00F83891"/>
    <w:rsid w:val="00F9513E"/>
    <w:rsid w:val="00F96BFD"/>
    <w:rsid w:val="00F97950"/>
    <w:rsid w:val="00FA108C"/>
    <w:rsid w:val="00FA3D05"/>
    <w:rsid w:val="00FA5CC9"/>
    <w:rsid w:val="00FA6D0A"/>
    <w:rsid w:val="00FB0A2C"/>
    <w:rsid w:val="00FB5332"/>
    <w:rsid w:val="00FC4784"/>
    <w:rsid w:val="00FC59F1"/>
    <w:rsid w:val="00FC5ADA"/>
    <w:rsid w:val="00FD0050"/>
    <w:rsid w:val="00FD4EA9"/>
    <w:rsid w:val="00FE0BEA"/>
    <w:rsid w:val="00FF4B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FD6C4C"/>
  <w15:chartTrackingRefBased/>
  <w15:docId w15:val="{0143D9CC-4809-431B-8858-EF3BF282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557"/>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7C7557"/>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C7557"/>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C7557"/>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7C7557"/>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7C7557"/>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7C7557"/>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7C7557"/>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C7557"/>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C7557"/>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C7557"/>
    <w:pPr>
      <w:keepNext/>
      <w:keepLines/>
      <w:suppressAutoHyphens/>
      <w:spacing w:line="270" w:lineRule="exact"/>
      <w:outlineLvl w:val="0"/>
    </w:pPr>
    <w:rPr>
      <w:b/>
      <w:sz w:val="24"/>
    </w:rPr>
  </w:style>
  <w:style w:type="paragraph" w:customStyle="1" w:styleId="HCH">
    <w:name w:val="_ H _CH"/>
    <w:basedOn w:val="H1"/>
    <w:next w:val="Normal"/>
    <w:qFormat/>
    <w:rsid w:val="007C7557"/>
    <w:pPr>
      <w:spacing w:line="300" w:lineRule="exact"/>
    </w:pPr>
    <w:rPr>
      <w:spacing w:val="-2"/>
      <w:sz w:val="28"/>
    </w:rPr>
  </w:style>
  <w:style w:type="paragraph" w:customStyle="1" w:styleId="HM">
    <w:name w:val="_ H __M"/>
    <w:basedOn w:val="HCH"/>
    <w:next w:val="Normal"/>
    <w:qFormat/>
    <w:rsid w:val="007C7557"/>
    <w:pPr>
      <w:spacing w:line="360" w:lineRule="exact"/>
    </w:pPr>
    <w:rPr>
      <w:spacing w:val="-3"/>
      <w:w w:val="99"/>
      <w:sz w:val="34"/>
    </w:rPr>
  </w:style>
  <w:style w:type="paragraph" w:customStyle="1" w:styleId="H23">
    <w:name w:val="_ H_2/3"/>
    <w:basedOn w:val="H1"/>
    <w:next w:val="SingleTxt"/>
    <w:qFormat/>
    <w:rsid w:val="007C7557"/>
    <w:pPr>
      <w:spacing w:line="240" w:lineRule="exact"/>
      <w:outlineLvl w:val="1"/>
    </w:pPr>
    <w:rPr>
      <w:spacing w:val="2"/>
      <w:sz w:val="20"/>
    </w:rPr>
  </w:style>
  <w:style w:type="paragraph" w:customStyle="1" w:styleId="H4">
    <w:name w:val="_ H_4"/>
    <w:basedOn w:val="Normal"/>
    <w:next w:val="SingleTxt"/>
    <w:qFormat/>
    <w:rsid w:val="007C7557"/>
    <w:pPr>
      <w:keepNext/>
      <w:keepLines/>
      <w:tabs>
        <w:tab w:val="right" w:pos="360"/>
      </w:tabs>
      <w:suppressAutoHyphens/>
      <w:outlineLvl w:val="3"/>
    </w:pPr>
    <w:rPr>
      <w:i/>
      <w:spacing w:val="3"/>
    </w:rPr>
  </w:style>
  <w:style w:type="paragraph" w:customStyle="1" w:styleId="H56">
    <w:name w:val="_ H_5/6"/>
    <w:basedOn w:val="Normal"/>
    <w:next w:val="Normal"/>
    <w:qFormat/>
    <w:rsid w:val="007C7557"/>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C7557"/>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C7557"/>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C7557"/>
    <w:pPr>
      <w:spacing w:line="540" w:lineRule="exact"/>
    </w:pPr>
    <w:rPr>
      <w:spacing w:val="-8"/>
      <w:w w:val="96"/>
      <w:sz w:val="57"/>
    </w:rPr>
  </w:style>
  <w:style w:type="paragraph" w:customStyle="1" w:styleId="SS">
    <w:name w:val="__S_S"/>
    <w:basedOn w:val="HCH"/>
    <w:next w:val="Normal"/>
    <w:qFormat/>
    <w:rsid w:val="007C7557"/>
    <w:pPr>
      <w:ind w:left="1267" w:right="1267"/>
    </w:pPr>
  </w:style>
  <w:style w:type="paragraph" w:customStyle="1" w:styleId="SingleTxt">
    <w:name w:val="__Single Txt"/>
    <w:basedOn w:val="Normal"/>
    <w:qFormat/>
    <w:rsid w:val="007C755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7C7557"/>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7C755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7C7557"/>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7C755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C7557"/>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7C7557"/>
    <w:pPr>
      <w:numPr>
        <w:numId w:val="1"/>
      </w:numPr>
      <w:spacing w:after="120"/>
      <w:ind w:right="1267"/>
      <w:jc w:val="both"/>
    </w:pPr>
  </w:style>
  <w:style w:type="paragraph" w:customStyle="1" w:styleId="Bullet2">
    <w:name w:val="Bullet 2"/>
    <w:basedOn w:val="Normal"/>
    <w:qFormat/>
    <w:rsid w:val="007C7557"/>
    <w:pPr>
      <w:numPr>
        <w:numId w:val="2"/>
      </w:numPr>
      <w:spacing w:after="120"/>
      <w:ind w:right="1264"/>
      <w:jc w:val="both"/>
    </w:pPr>
  </w:style>
  <w:style w:type="paragraph" w:customStyle="1" w:styleId="Bullet3">
    <w:name w:val="Bullet 3"/>
    <w:basedOn w:val="SingleTxt"/>
    <w:qFormat/>
    <w:rsid w:val="007C7557"/>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C7557"/>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7C7557"/>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7C7557"/>
    <w:pPr>
      <w:spacing w:line="210" w:lineRule="exact"/>
    </w:pPr>
    <w:rPr>
      <w:sz w:val="17"/>
      <w:szCs w:val="20"/>
    </w:rPr>
  </w:style>
  <w:style w:type="character" w:customStyle="1" w:styleId="EndnoteTextChar">
    <w:name w:val="Endnote Text Char"/>
    <w:link w:val="EndnoteText"/>
    <w:uiPriority w:val="99"/>
    <w:semiHidden/>
    <w:rsid w:val="007C7557"/>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7C7557"/>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7C7557"/>
    <w:rPr>
      <w:rFonts w:ascii="Times New Roman" w:eastAsiaTheme="minorHAnsi" w:hAnsi="Times New Roman" w:cs="Times New Roman"/>
      <w:b/>
      <w:spacing w:val="3"/>
      <w:w w:val="105"/>
      <w:sz w:val="17"/>
      <w:lang w:val="en-US" w:eastAsia="en-US"/>
    </w:r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16 Poin,styli"/>
    <w:link w:val="4GCharChar"/>
    <w:qFormat/>
    <w:rsid w:val="007C755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7C7557"/>
    <w:pPr>
      <w:spacing w:line="210" w:lineRule="exact"/>
    </w:pPr>
    <w:rPr>
      <w:sz w:val="17"/>
      <w:szCs w:val="20"/>
    </w:rPr>
  </w:style>
  <w:style w:type="character" w:customStyle="1" w:styleId="FootnoteTextChar">
    <w:name w:val="Footnote Text Char"/>
    <w:aliases w:val="5_G Char"/>
    <w:link w:val="FootnoteText"/>
    <w:rsid w:val="007C7557"/>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7C7557"/>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7C7557"/>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7C7557"/>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7C7557"/>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7C7557"/>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7C7557"/>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7C7557"/>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7C7557"/>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7C7557"/>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7C7557"/>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7C7557"/>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7C7557"/>
    <w:rPr>
      <w:sz w:val="14"/>
    </w:rPr>
  </w:style>
  <w:style w:type="paragraph" w:styleId="ListParagraph">
    <w:name w:val="List Paragraph"/>
    <w:basedOn w:val="Normal"/>
    <w:uiPriority w:val="34"/>
    <w:rsid w:val="007C7557"/>
    <w:pPr>
      <w:ind w:left="720"/>
      <w:contextualSpacing/>
    </w:pPr>
  </w:style>
  <w:style w:type="paragraph" w:styleId="NoSpacing">
    <w:name w:val="No Spacing"/>
    <w:uiPriority w:val="1"/>
    <w:rsid w:val="007C7557"/>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7C7557"/>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7C7557"/>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7C7557"/>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C7557"/>
    <w:pPr>
      <w:tabs>
        <w:tab w:val="right" w:pos="9965"/>
      </w:tabs>
      <w:spacing w:line="210" w:lineRule="exact"/>
    </w:pPr>
    <w:rPr>
      <w:spacing w:val="5"/>
      <w:w w:val="104"/>
      <w:sz w:val="17"/>
    </w:rPr>
  </w:style>
  <w:style w:type="paragraph" w:customStyle="1" w:styleId="SmallX">
    <w:name w:val="SmallX"/>
    <w:basedOn w:val="Small"/>
    <w:next w:val="Normal"/>
    <w:qFormat/>
    <w:rsid w:val="007C7557"/>
    <w:pPr>
      <w:spacing w:line="180" w:lineRule="exact"/>
      <w:jc w:val="right"/>
    </w:pPr>
    <w:rPr>
      <w:spacing w:val="6"/>
      <w:w w:val="106"/>
      <w:sz w:val="14"/>
    </w:rPr>
  </w:style>
  <w:style w:type="character" w:styleId="Strong">
    <w:name w:val="Strong"/>
    <w:uiPriority w:val="22"/>
    <w:rsid w:val="007C7557"/>
    <w:rPr>
      <w:b/>
      <w:bCs/>
    </w:rPr>
  </w:style>
  <w:style w:type="paragraph" w:customStyle="1" w:styleId="Style1">
    <w:name w:val="Style1"/>
    <w:basedOn w:val="Normal"/>
    <w:qFormat/>
    <w:rsid w:val="007C7557"/>
  </w:style>
  <w:style w:type="paragraph" w:customStyle="1" w:styleId="Style2">
    <w:name w:val="Style2"/>
    <w:basedOn w:val="Normal"/>
    <w:autoRedefine/>
    <w:qFormat/>
    <w:rsid w:val="007C7557"/>
  </w:style>
  <w:style w:type="paragraph" w:customStyle="1" w:styleId="TitleHCH">
    <w:name w:val="Title_H_CH"/>
    <w:basedOn w:val="H1"/>
    <w:next w:val="Normal"/>
    <w:qFormat/>
    <w:rsid w:val="007C755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7C755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7C7557"/>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995751"/>
    <w:rPr>
      <w:sz w:val="16"/>
      <w:szCs w:val="16"/>
    </w:rPr>
  </w:style>
  <w:style w:type="paragraph" w:styleId="CommentText">
    <w:name w:val="annotation text"/>
    <w:basedOn w:val="Normal"/>
    <w:link w:val="CommentTextChar"/>
    <w:uiPriority w:val="99"/>
    <w:semiHidden/>
    <w:unhideWhenUsed/>
    <w:rsid w:val="00995751"/>
    <w:pPr>
      <w:spacing w:line="240" w:lineRule="auto"/>
    </w:pPr>
    <w:rPr>
      <w:szCs w:val="20"/>
    </w:rPr>
  </w:style>
  <w:style w:type="character" w:customStyle="1" w:styleId="CommentTextChar">
    <w:name w:val="Comment Text Char"/>
    <w:basedOn w:val="DefaultParagraphFont"/>
    <w:link w:val="CommentText"/>
    <w:uiPriority w:val="99"/>
    <w:semiHidden/>
    <w:rsid w:val="00995751"/>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995751"/>
    <w:rPr>
      <w:b/>
      <w:bCs/>
    </w:rPr>
  </w:style>
  <w:style w:type="character" w:customStyle="1" w:styleId="CommentSubjectChar">
    <w:name w:val="Comment Subject Char"/>
    <w:basedOn w:val="CommentTextChar"/>
    <w:link w:val="CommentSubject"/>
    <w:uiPriority w:val="99"/>
    <w:semiHidden/>
    <w:rsid w:val="00995751"/>
    <w:rPr>
      <w:rFonts w:ascii="Times New Roman" w:eastAsiaTheme="minorHAnsi" w:hAnsi="Times New Roman" w:cs="Times New Roman"/>
      <w:b/>
      <w:bCs/>
      <w:spacing w:val="4"/>
      <w:w w:val="103"/>
      <w:kern w:val="14"/>
      <w:sz w:val="20"/>
      <w:szCs w:val="20"/>
      <w:lang w:val="fr-CA" w:eastAsia="en-US"/>
    </w:rPr>
  </w:style>
  <w:style w:type="paragraph" w:styleId="HTMLAddress">
    <w:name w:val="HTML Address"/>
    <w:basedOn w:val="Normal"/>
    <w:link w:val="HTMLAddressChar"/>
    <w:semiHidden/>
    <w:rsid w:val="007E41FF"/>
    <w:pPr>
      <w:suppressAutoHyphens/>
      <w:spacing w:line="240" w:lineRule="atLeast"/>
    </w:pPr>
    <w:rPr>
      <w:rFonts w:eastAsia="Times New Roman"/>
      <w:i/>
      <w:iCs/>
      <w:spacing w:val="0"/>
      <w:w w:val="100"/>
      <w:kern w:val="0"/>
      <w:szCs w:val="20"/>
      <w:lang w:val="fr-FR"/>
    </w:rPr>
  </w:style>
  <w:style w:type="character" w:customStyle="1" w:styleId="HTMLAddressChar">
    <w:name w:val="HTML Address Char"/>
    <w:basedOn w:val="DefaultParagraphFont"/>
    <w:link w:val="HTMLAddress"/>
    <w:semiHidden/>
    <w:rsid w:val="007E41FF"/>
    <w:rPr>
      <w:rFonts w:ascii="Times New Roman" w:eastAsia="Times New Roman" w:hAnsi="Times New Roman" w:cs="Times New Roman"/>
      <w:i/>
      <w:iCs/>
      <w:sz w:val="20"/>
      <w:szCs w:val="20"/>
      <w:lang w:val="fr-FR" w:eastAsia="en-US"/>
    </w:rPr>
  </w:style>
  <w:style w:type="table" w:styleId="TableGrid">
    <w:name w:val="Table Grid"/>
    <w:basedOn w:val="TableNormal"/>
    <w:rsid w:val="007E41FF"/>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G">
    <w:name w:val="_ Single Txt_G"/>
    <w:basedOn w:val="Normal"/>
    <w:qFormat/>
    <w:rsid w:val="007E41FF"/>
    <w:pPr>
      <w:suppressAutoHyphens/>
      <w:spacing w:after="120" w:line="240" w:lineRule="atLeast"/>
      <w:ind w:left="1134" w:right="1134"/>
      <w:jc w:val="both"/>
    </w:pPr>
    <w:rPr>
      <w:rFonts w:eastAsia="Times New Roman"/>
      <w:spacing w:val="0"/>
      <w:w w:val="100"/>
      <w:kern w:val="0"/>
      <w:szCs w:val="20"/>
      <w:lang w:val="fr-FR"/>
    </w:rPr>
  </w:style>
  <w:style w:type="character" w:styleId="Hyperlink">
    <w:name w:val="Hyperlink"/>
    <w:basedOn w:val="DefaultParagraphFont"/>
    <w:uiPriority w:val="99"/>
    <w:unhideWhenUsed/>
    <w:rsid w:val="007E41FF"/>
    <w:rPr>
      <w:color w:val="0000FF" w:themeColor="hyperlink"/>
      <w:u w:val="none"/>
    </w:rPr>
  </w:style>
  <w:style w:type="paragraph" w:customStyle="1" w:styleId="H23G">
    <w:name w:val="_ H_2/3_G"/>
    <w:basedOn w:val="Normal"/>
    <w:next w:val="Normal"/>
    <w:qFormat/>
    <w:rsid w:val="007E41FF"/>
    <w:pPr>
      <w:keepNext/>
      <w:keepLines/>
      <w:tabs>
        <w:tab w:val="right" w:pos="851"/>
      </w:tabs>
      <w:suppressAutoHyphens/>
      <w:spacing w:before="240" w:after="120"/>
      <w:ind w:left="1134" w:right="1134" w:hanging="1134"/>
    </w:pPr>
    <w:rPr>
      <w:rFonts w:eastAsia="Times New Roman"/>
      <w:b/>
      <w:spacing w:val="0"/>
      <w:w w:val="100"/>
      <w:kern w:val="0"/>
      <w:szCs w:val="20"/>
      <w:lang w:val="fr-FR"/>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rsid w:val="007E41FF"/>
    <w:pPr>
      <w:spacing w:after="160"/>
    </w:pPr>
    <w:rPr>
      <w:rFonts w:asciiTheme="minorHAnsi" w:eastAsiaTheme="minorEastAsia" w:hAnsiTheme="minorHAnsi" w:cstheme="minorBidi"/>
      <w:spacing w:val="5"/>
      <w:sz w:val="22"/>
      <w:vertAlign w:val="superscript"/>
      <w:lang w:val="en-GB" w:eastAsia="zh-CN"/>
    </w:rPr>
  </w:style>
  <w:style w:type="character" w:styleId="UnresolvedMention">
    <w:name w:val="Unresolved Mention"/>
    <w:basedOn w:val="DefaultParagraphFont"/>
    <w:uiPriority w:val="99"/>
    <w:semiHidden/>
    <w:unhideWhenUsed/>
    <w:rsid w:val="00AE698C"/>
    <w:rPr>
      <w:color w:val="808080"/>
      <w:shd w:val="clear" w:color="auto" w:fill="E6E6E6"/>
    </w:rPr>
  </w:style>
  <w:style w:type="character" w:styleId="FollowedHyperlink">
    <w:name w:val="FollowedHyperlink"/>
    <w:basedOn w:val="DefaultParagraphFont"/>
    <w:uiPriority w:val="99"/>
    <w:semiHidden/>
    <w:unhideWhenUsed/>
    <w:rsid w:val="0015207D"/>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E/RES/2015/1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A/RES/31/12" TargetMode="External"/><Relationship Id="rId2" Type="http://schemas.openxmlformats.org/officeDocument/2006/relationships/styles" Target="styles.xml"/><Relationship Id="rId16" Type="http://schemas.openxmlformats.org/officeDocument/2006/relationships/hyperlink" Target="https://undocs.org/fr/A/RES/01/01" TargetMode="External"/><Relationship Id="rId20" Type="http://schemas.openxmlformats.org/officeDocument/2006/relationships/hyperlink" Target="https://undocs.org/fr/A/RES/15/2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A/RES/01/01" TargetMode="External"/><Relationship Id="rId10" Type="http://schemas.openxmlformats.org/officeDocument/2006/relationships/footer" Target="footer2.xml"/><Relationship Id="rId19" Type="http://schemas.openxmlformats.org/officeDocument/2006/relationships/hyperlink" Target="https://undocs.org/fr/A/RES/15/20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omk-obrazovanje.gov.rs/" TargetMode="External"/><Relationship Id="rId2" Type="http://schemas.openxmlformats.org/officeDocument/2006/relationships/hyperlink" Target="http://socijalnoukljucivanje.gov.rs/wp-content/uploads/2015/03/Rezime-Okvir-za-pracenje-IO-srpski.pdf" TargetMode="External"/><Relationship Id="rId1" Type="http://schemas.openxmlformats.org/officeDocument/2006/relationships/hyperlink" Target="http://zuov.gov.rs/katalozi-programa-stalnog-strucnog-usavrsavanj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11884</Words>
  <Characters>65368</Characters>
  <Application>Microsoft Office Word</Application>
  <DocSecurity>0</DocSecurity>
  <Lines>544</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Ali Okenda</dc:creator>
  <cp:keywords/>
  <dc:description/>
  <cp:lastModifiedBy>French Text Processing</cp:lastModifiedBy>
  <cp:revision>3</cp:revision>
  <cp:lastPrinted>2018-12-19T17:25:00Z</cp:lastPrinted>
  <dcterms:created xsi:type="dcterms:W3CDTF">2018-12-19T17:25:00Z</dcterms:created>
  <dcterms:modified xsi:type="dcterms:W3CDTF">2018-12-19T17:25:00Z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1820523F</vt:lpwstr>
  </property>
  <property fmtid="{D5CDD505-2E9C-101B-9397-08002B2CF9AE}" pid="3" name="ODSRefJobNo">
    <vt:lpwstr>1840572F</vt:lpwstr>
  </property>
  <property fmtid="{D5CDD505-2E9C-101B-9397-08002B2CF9AE}" pid="4" name="Symbol1">
    <vt:lpwstr>CEDAW/C/SRB/Q/4/Add.1</vt:lpwstr>
  </property>
  <property fmtid="{D5CDD505-2E9C-101B-9397-08002B2CF9AE}" pid="5" name="Symbol2">
    <vt:lpwstr/>
  </property>
  <property fmtid="{D5CDD505-2E9C-101B-9397-08002B2CF9AE}" pid="6" name="Translator">
    <vt:lpwstr/>
  </property>
  <property fmtid="{D5CDD505-2E9C-101B-9397-08002B2CF9AE}" pid="7" name="Operator">
    <vt:lpwstr>Moise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Original">
    <vt:lpwstr>Anglais, français et espagnol seulement_x000d__x0007_</vt:lpwstr>
  </property>
  <property fmtid="{D5CDD505-2E9C-101B-9397-08002B2CF9AE}" pid="13" name="Release Date">
    <vt:lpwstr/>
  </property>
  <property fmtid="{D5CDD505-2E9C-101B-9397-08002B2CF9AE}" pid="14" name="Session">
    <vt:lpwstr>Soixante douzième session _x000d_</vt:lpwstr>
  </property>
  <property fmtid="{D5CDD505-2E9C-101B-9397-08002B2CF9AE}" pid="15" name="Agenda">
    <vt:lpwstr>Point 4 de l’ordre du jour provisoire_x000d_</vt:lpwstr>
  </property>
  <property fmtid="{D5CDD505-2E9C-101B-9397-08002B2CF9AE}" pid="16" name="Agenda Title0">
    <vt:lpwstr>Examen des rapports soumis par les États parties au titre de l’article 18 de la Convention sur l’élimination de toutes les formes de discrimination à l’égard des femmes_x000d_</vt:lpwstr>
  </property>
  <property fmtid="{D5CDD505-2E9C-101B-9397-08002B2CF9AE}" pid="17" name="Title1">
    <vt:lpwstr>		Liste des points et questions concernant l’examen du quatrième rapport périodique de la Serbie_x000d_</vt:lpwstr>
  </property>
  <property fmtid="{D5CDD505-2E9C-101B-9397-08002B2CF9AE}" pid="18" name="Title2">
    <vt:lpwstr>		Réponses de la Serbie à la liste des points et questions	*_x000d_</vt:lpwstr>
  </property>
</Properties>
</file>