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23" w:rsidRDefault="00784B23">
      <w:pPr>
        <w:spacing w:line="240" w:lineRule="auto"/>
        <w:rPr>
          <w:sz w:val="6"/>
        </w:rPr>
        <w:sectPr w:rsidR="00784B2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docGrid w:linePitch="209"/>
        </w:sectPr>
      </w:pPr>
      <w:r>
        <w:rPr>
          <w:rStyle w:val="CommentReference"/>
          <w:vanish/>
        </w:rPr>
        <w:commentReference w:id="0"/>
      </w:r>
    </w:p>
    <w:p w:rsidR="00784B23" w:rsidRDefault="00784B23">
      <w:pPr>
        <w:pStyle w:val="H1"/>
      </w:pPr>
      <w:r>
        <w:t>Comité para la Eliminación de la Discriminación</w:t>
      </w:r>
      <w:r>
        <w:br/>
        <w:t>contra la Mujer</w:t>
      </w:r>
    </w:p>
    <w:p w:rsidR="00784B23" w:rsidRDefault="00784B23">
      <w:pPr>
        <w:pStyle w:val="H23"/>
      </w:pPr>
      <w:r>
        <w:t>22° período de sesiones</w:t>
      </w:r>
    </w:p>
    <w:p w:rsidR="00784B23" w:rsidRDefault="00784B23">
      <w:pPr>
        <w:spacing w:line="240" w:lineRule="auto"/>
        <w:rPr>
          <w:sz w:val="12"/>
        </w:rPr>
      </w:pPr>
    </w:p>
    <w:p w:rsidR="00784B23" w:rsidRDefault="00784B23">
      <w:pPr>
        <w:pStyle w:val="H23"/>
      </w:pPr>
      <w:r>
        <w:t>Acta resumida de la 462ª sesión</w:t>
      </w:r>
    </w:p>
    <w:p w:rsidR="00784B23" w:rsidRDefault="00784B23">
      <w:r>
        <w:t xml:space="preserve">Celebrada en la Sede, Nueva York, el </w:t>
      </w:r>
      <w:r>
        <w:rPr>
          <w:lang w:val="es-ES_tradnl"/>
        </w:rPr>
        <w:t>el lunes 31 de enero de 2000, a las 10.00 horas</w:t>
      </w:r>
    </w:p>
    <w:p w:rsidR="00784B23" w:rsidRDefault="00784B23">
      <w:pPr>
        <w:spacing w:line="120" w:lineRule="exact"/>
        <w:rPr>
          <w:sz w:val="10"/>
        </w:rPr>
      </w:pPr>
    </w:p>
    <w:p w:rsidR="00784B23" w:rsidRDefault="00784B23">
      <w:pPr>
        <w:rPr>
          <w:lang w:val="es-ES_tradnl"/>
        </w:rPr>
      </w:pPr>
      <w:r>
        <w:rPr>
          <w:i/>
        </w:rPr>
        <w:t>Presidenta:</w:t>
      </w:r>
      <w:r>
        <w:tab/>
        <w:t xml:space="preserve">Sra. </w:t>
      </w:r>
      <w:r>
        <w:rPr>
          <w:lang w:val="es-ES_tradnl"/>
        </w:rPr>
        <w:t>González</w:t>
      </w:r>
    </w:p>
    <w:p w:rsidR="00784B23" w:rsidRDefault="00784B23">
      <w:pPr>
        <w:tabs>
          <w:tab w:val="right" w:pos="950"/>
          <w:tab w:val="left" w:pos="1267"/>
          <w:tab w:val="right" w:leader="dot" w:pos="8568"/>
        </w:tabs>
        <w:spacing w:line="120" w:lineRule="exact"/>
        <w:ind w:right="1267"/>
        <w:rPr>
          <w:sz w:val="10"/>
        </w:rPr>
      </w:pPr>
    </w:p>
    <w:p w:rsidR="00784B23" w:rsidRDefault="00784B23">
      <w:pPr>
        <w:tabs>
          <w:tab w:val="right" w:pos="950"/>
          <w:tab w:val="left" w:pos="1267"/>
          <w:tab w:val="right" w:leader="dot" w:pos="8568"/>
        </w:tabs>
        <w:spacing w:line="120" w:lineRule="exact"/>
        <w:ind w:right="1267"/>
        <w:rPr>
          <w:sz w:val="10"/>
        </w:rPr>
      </w:pPr>
    </w:p>
    <w:p w:rsidR="00784B23" w:rsidRDefault="00784B23">
      <w:pPr>
        <w:tabs>
          <w:tab w:val="right" w:pos="950"/>
          <w:tab w:val="left" w:pos="1267"/>
          <w:tab w:val="right" w:leader="dot" w:pos="8568"/>
        </w:tabs>
        <w:spacing w:line="120" w:lineRule="exact"/>
        <w:ind w:right="1267"/>
        <w:rPr>
          <w:sz w:val="10"/>
        </w:rPr>
      </w:pPr>
    </w:p>
    <w:p w:rsidR="00784B23" w:rsidRDefault="00784B23">
      <w:pPr>
        <w:pStyle w:val="HCh"/>
        <w:rPr>
          <w:b w:val="0"/>
        </w:rPr>
      </w:pPr>
      <w:r>
        <w:rPr>
          <w:b w:val="0"/>
        </w:rPr>
        <w:t>Sumario</w:t>
      </w:r>
    </w:p>
    <w:p w:rsidR="00784B23" w:rsidRDefault="00784B23">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s>
        <w:spacing w:line="120" w:lineRule="exact"/>
        <w:rPr>
          <w:sz w:val="10"/>
        </w:rPr>
      </w:pPr>
    </w:p>
    <w:p w:rsidR="00784B23" w:rsidRDefault="00784B23">
      <w:pPr>
        <w:spacing w:line="120" w:lineRule="exact"/>
        <w:rPr>
          <w:sz w:val="10"/>
        </w:rPr>
      </w:pPr>
    </w:p>
    <w:p w:rsidR="00784B23" w:rsidRDefault="00784B23">
      <w:pPr>
        <w:pStyle w:val="SingleTxt"/>
        <w:jc w:val="left"/>
      </w:pPr>
      <w:r>
        <w:t>Exa</w:t>
      </w:r>
      <w:r>
        <w:rPr>
          <w:lang w:val="es-ES_tradnl"/>
        </w:rPr>
        <w:t>men de los informes presentados por los Estados partes en virtud del artículo 18 de la Convención (</w:t>
      </w:r>
      <w:r>
        <w:rPr>
          <w:i/>
          <w:lang w:val="es-ES_tradnl"/>
        </w:rPr>
        <w:t>continuación</w:t>
      </w:r>
      <w:r>
        <w:rPr>
          <w:lang w:val="es-ES_tradnl"/>
        </w:rPr>
        <w:t>)</w:t>
      </w:r>
    </w:p>
    <w:p w:rsidR="00784B23" w:rsidRDefault="00784B23">
      <w:pPr>
        <w:pStyle w:val="SingleTxt"/>
        <w:tabs>
          <w:tab w:val="left" w:pos="5293"/>
        </w:tabs>
        <w:ind w:left="1742" w:hanging="475"/>
        <w:jc w:val="left"/>
        <w:rPr>
          <w:i/>
          <w:iCs/>
        </w:rPr>
      </w:pPr>
      <w:r>
        <w:tab/>
      </w:r>
      <w:r>
        <w:rPr>
          <w:i/>
          <w:lang w:val="es-ES_tradnl"/>
        </w:rPr>
        <w:t>Informe inicial de la India</w:t>
      </w:r>
      <w:r>
        <w:rPr>
          <w:lang w:val="es-ES_tradnl"/>
        </w:rPr>
        <w:t xml:space="preserve"> (</w:t>
      </w:r>
      <w:r>
        <w:rPr>
          <w:i/>
          <w:lang w:val="es-ES_tradnl"/>
        </w:rPr>
        <w:t>continuación</w:t>
      </w:r>
      <w:r>
        <w:rPr>
          <w:lang w:val="es-ES_tradnl"/>
        </w:rPr>
        <w:t>)</w:t>
      </w:r>
    </w:p>
    <w:p w:rsidR="00784B23" w:rsidRDefault="00784B23">
      <w:pPr>
        <w:pStyle w:val="SingleTxt"/>
        <w:suppressAutoHyphens/>
        <w:jc w:val="left"/>
        <w:sectPr w:rsidR="00784B23">
          <w:endnotePr>
            <w:numFmt w:val="decimal"/>
          </w:endnotePr>
          <w:type w:val="continuous"/>
          <w:pgSz w:w="12240" w:h="15840" w:code="1"/>
          <w:pgMar w:top="1742" w:right="1195" w:bottom="1898" w:left="1195" w:header="576" w:footer="1030" w:gutter="0"/>
          <w:pgNumType w:start="1"/>
          <w:cols w:space="720"/>
          <w:noEndnote/>
          <w:docGrid w:linePitch="209"/>
        </w:sectPr>
      </w:pPr>
    </w:p>
    <w:p w:rsidR="00784B23" w:rsidRDefault="00784B23">
      <w:pPr>
        <w:pStyle w:val="SingleTxt"/>
        <w:suppressAutoHyphens/>
        <w:spacing w:after="0" w:line="240" w:lineRule="auto"/>
        <w:jc w:val="left"/>
        <w:rPr>
          <w:sz w:val="2"/>
        </w:rPr>
        <w:sectPr w:rsidR="00784B23">
          <w:endnotePr>
            <w:numFmt w:val="decimal"/>
          </w:endnotePr>
          <w:pgSz w:w="12240" w:h="15840" w:code="1"/>
          <w:pgMar w:top="1742" w:right="1195" w:bottom="1898" w:left="1195" w:header="576" w:footer="1030" w:gutter="0"/>
          <w:cols w:space="720"/>
          <w:noEndnote/>
          <w:docGrid w:linePitch="209"/>
        </w:sectPr>
      </w:pPr>
    </w:p>
    <w:p w:rsidR="00784B23" w:rsidRDefault="00784B23">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10.05 horas.</w:t>
      </w:r>
    </w:p>
    <w:p w:rsidR="00784B23" w:rsidRDefault="00784B23">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784B23" w:rsidRDefault="00784B23">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784B23" w:rsidRDefault="00784B23">
      <w:pPr>
        <w:pStyle w:val="H23"/>
        <w:tabs>
          <w:tab w:val="right" w:pos="360"/>
          <w:tab w:val="left" w:pos="475"/>
          <w:tab w:val="left" w:pos="965"/>
          <w:tab w:val="left" w:pos="1440"/>
          <w:tab w:val="left" w:pos="1915"/>
          <w:tab w:val="left" w:pos="2405"/>
          <w:tab w:val="left" w:pos="2880"/>
          <w:tab w:val="left" w:pos="3355"/>
        </w:tabs>
        <w:spacing w:after="120"/>
      </w:pPr>
      <w:r>
        <w:t xml:space="preserve">Examen de los informes presentados por los Estados partes en virtud del artículo 18 de la Convención </w:t>
      </w:r>
      <w:r>
        <w:rPr>
          <w:b w:val="0"/>
          <w:bCs/>
        </w:rPr>
        <w:t>(</w:t>
      </w:r>
      <w:r>
        <w:rPr>
          <w:b w:val="0"/>
          <w:bCs/>
          <w:i/>
          <w:iCs/>
        </w:rPr>
        <w:t>continuación</w:t>
      </w:r>
      <w:r>
        <w:rPr>
          <w:b w:val="0"/>
          <w:bCs/>
        </w:rPr>
        <w:t>)</w:t>
      </w:r>
    </w:p>
    <w:p w:rsidR="00784B23" w:rsidRDefault="00784B23">
      <w:pPr>
        <w:pStyle w:val="H23"/>
        <w:tabs>
          <w:tab w:val="right" w:pos="360"/>
          <w:tab w:val="left" w:pos="475"/>
          <w:tab w:val="left" w:pos="965"/>
          <w:tab w:val="left" w:pos="1440"/>
          <w:tab w:val="left" w:pos="1915"/>
          <w:tab w:val="left" w:pos="2405"/>
          <w:tab w:val="left" w:pos="2880"/>
          <w:tab w:val="left" w:pos="3355"/>
        </w:tabs>
        <w:ind w:left="475" w:hanging="475"/>
        <w:rPr>
          <w:b w:val="0"/>
          <w:bCs/>
        </w:rPr>
      </w:pPr>
      <w:r>
        <w:tab/>
      </w:r>
      <w:r>
        <w:tab/>
      </w:r>
      <w:r>
        <w:rPr>
          <w:b w:val="0"/>
          <w:bCs/>
          <w:i/>
          <w:iCs/>
        </w:rPr>
        <w:t xml:space="preserve">Informe inicial de la India </w:t>
      </w:r>
      <w:r>
        <w:rPr>
          <w:b w:val="0"/>
          <w:bCs/>
        </w:rPr>
        <w:t>(</w:t>
      </w:r>
      <w:r>
        <w:rPr>
          <w:b w:val="0"/>
          <w:bCs/>
          <w:i/>
          <w:iCs/>
        </w:rPr>
        <w:t>continuación</w:t>
      </w:r>
      <w:r>
        <w:rPr>
          <w:b w:val="0"/>
          <w:bCs/>
        </w:rPr>
        <w:t>) (CEDAW/C/IND/1)</w:t>
      </w:r>
    </w:p>
    <w:p w:rsidR="00784B23" w:rsidRDefault="00784B23">
      <w:pPr>
        <w:pStyle w:val="DualTxt"/>
        <w:spacing w:after="0" w:line="120" w:lineRule="exact"/>
        <w:rPr>
          <w:sz w:val="10"/>
        </w:rPr>
      </w:pPr>
    </w:p>
    <w:p w:rsidR="00784B23" w:rsidRDefault="00784B23">
      <w:pPr>
        <w:pStyle w:val="DualTxt"/>
        <w:spacing w:after="0" w:line="120" w:lineRule="exact"/>
        <w:rPr>
          <w:sz w:val="10"/>
        </w:rPr>
      </w:pPr>
    </w:p>
    <w:p w:rsidR="00784B23" w:rsidRDefault="00784B23">
      <w:pPr>
        <w:pStyle w:val="DualTxt"/>
      </w:pPr>
      <w:r>
        <w:t>1.</w:t>
      </w:r>
      <w:r>
        <w:tab/>
      </w:r>
      <w:r>
        <w:rPr>
          <w:i/>
          <w:iCs/>
        </w:rPr>
        <w:t>Por invitación de la Presidenta, la Sra. Aggarwal (India) toma asiento a la mesa del Comité</w:t>
      </w:r>
      <w:r>
        <w:t>.</w:t>
      </w:r>
    </w:p>
    <w:p w:rsidR="00784B23" w:rsidRDefault="00784B23">
      <w:pPr>
        <w:pStyle w:val="DualTxt"/>
      </w:pPr>
      <w:r>
        <w:t>2.</w:t>
      </w:r>
      <w:r>
        <w:tab/>
      </w:r>
      <w:r>
        <w:rPr>
          <w:b/>
          <w:bCs/>
        </w:rPr>
        <w:t xml:space="preserve">La Sra. Aggarwal </w:t>
      </w:r>
      <w:r>
        <w:t>(India), respondiendo a las preguntas y observaciones formuladas por miembros del Comité, dice que su Gobierno cuenta con un co</w:t>
      </w:r>
      <w:r>
        <w:t>n</w:t>
      </w:r>
      <w:r>
        <w:t>junto de instituciones que se apoyan entre sí en la tarea de medir la eficacia de las políticas y disposiciones l</w:t>
      </w:r>
      <w:r>
        <w:t>e</w:t>
      </w:r>
      <w:r>
        <w:t>gislativas tendientes a asegurar la igualdad de la mujer. Entre dichas instituciones se incluyen la Comisión N</w:t>
      </w:r>
      <w:r>
        <w:t>a</w:t>
      </w:r>
      <w:r>
        <w:t>cional para la Mujer, un Comité Parlamentario sobre la Habilitación de la Mujer y la Comisión de Planific</w:t>
      </w:r>
      <w:r>
        <w:t>a</w:t>
      </w:r>
      <w:r>
        <w:t>ción de la India. Con referencia a la función y la aut</w:t>
      </w:r>
      <w:r>
        <w:t>o</w:t>
      </w:r>
      <w:r>
        <w:t>ridad del Tribunal Supremo de la India, señala que el Tribunal, que se estableció con arreglo al artículo 124 de la Constitución, está integrado por un presidente y otros 21 magistrados. Sus órdenes tienen fuerza de ley en virtud del artículo 141 de la Constitución y su cu</w:t>
      </w:r>
      <w:r>
        <w:t>m</w:t>
      </w:r>
      <w:r>
        <w:t>plimiento es obligatorio para todos los tribunales, así como para el Gobierno central y las autoridades est</w:t>
      </w:r>
      <w:r>
        <w:t>a</w:t>
      </w:r>
      <w:r>
        <w:t>duales. De tanto en tanto se ha nombrado a juezas c</w:t>
      </w:r>
      <w:r>
        <w:t>o</w:t>
      </w:r>
      <w:r>
        <w:t>mo magistradas del Tribunal Supremo.</w:t>
      </w:r>
    </w:p>
    <w:p w:rsidR="00784B23" w:rsidRDefault="00784B23">
      <w:pPr>
        <w:pStyle w:val="DualTxt"/>
      </w:pPr>
      <w:r>
        <w:t>3.</w:t>
      </w:r>
      <w:r>
        <w:tab/>
        <w:t>Pasando a los planes quinquenales y las priorid</w:t>
      </w:r>
      <w:r>
        <w:t>a</w:t>
      </w:r>
      <w:r>
        <w:t>des que se enunciaron en el Noveno Plan y la estrategia para la transferencia de estructuras sociales a las agr</w:t>
      </w:r>
      <w:r>
        <w:t>u</w:t>
      </w:r>
      <w:r>
        <w:t>paciones y organizaciones no gubernamentales de m</w:t>
      </w:r>
      <w:r>
        <w:t>u</w:t>
      </w:r>
      <w:r>
        <w:t>jeres, indica que en la etapa inicial de la planificación del desarrollo, hasta la década de 1970, las iniciativas relacionadas con el adelanto de la mujer se orientaban principalmente hacia el bienestar. En el decenio de 1970 se produjo una clara reorientación, del bienestar al desarrollo, reconociéndose a las mujeres como part</w:t>
      </w:r>
      <w:r>
        <w:t>i</w:t>
      </w:r>
      <w:r>
        <w:t>cipantes en el proceso de desarrollo. En la década de 1980 se adoptó un criterio multidisciplinario que se centraba en tres sectores básicos, la salud, la educación y el empleo, en tanto que a comienzos del decenio de 1990 se comenzó a prestar atención prioritaria a los programas de capacitación y desarrollo de aptitudes profesionales que contribuían a la independencia y a</w:t>
      </w:r>
      <w:r>
        <w:t>u</w:t>
      </w:r>
      <w:r>
        <w:t>tonomía económica de las mujeres.</w:t>
      </w:r>
    </w:p>
    <w:p w:rsidR="00784B23" w:rsidRDefault="00784B23">
      <w:pPr>
        <w:pStyle w:val="DualTxt"/>
      </w:pPr>
      <w:r>
        <w:t>4.</w:t>
      </w:r>
      <w:r>
        <w:tab/>
        <w:t>La potenciación de la mujer es uno de los nueve objetivos primarios del Noveno Plan, previsto para el período 1997-2002. Con respecto a la asignación de r</w:t>
      </w:r>
      <w:r>
        <w:t>e</w:t>
      </w:r>
      <w:r>
        <w:t>cursos para las mujeres y los niños en el Departamento de Adelanto de la Mujer y del Niño, dice que en 1998-1999 se aprobó un presupuesto de 9.813,17 millones de rupias para el desarrollo infantil, y se asignaron 1.787,5 millones de rupias al adelanto de la mujer. Además, otros ministerios y departamentos tienen en ejecución más de 36 programas dirigidos exclusiv</w:t>
      </w:r>
      <w:r>
        <w:t>a</w:t>
      </w:r>
      <w:r>
        <w:t>mente a las mujeres.</w:t>
      </w:r>
    </w:p>
    <w:p w:rsidR="00784B23" w:rsidRDefault="00784B23">
      <w:pPr>
        <w:pStyle w:val="DualTxt"/>
      </w:pPr>
      <w:r>
        <w:t>5.</w:t>
      </w:r>
      <w:r>
        <w:tab/>
        <w:t>El plan relativo al componente de la mujer, cuyo cumplimiento verifica el Departamento de Adelanto de la Mujer y del Niño, obedece a un mandato de la C</w:t>
      </w:r>
      <w:r>
        <w:t>o</w:t>
      </w:r>
      <w:r>
        <w:t>misión de Planificación incluido en el Noveno Plan (1997-2002) y vale para todos los ministerios y depa</w:t>
      </w:r>
      <w:r>
        <w:t>r</w:t>
      </w:r>
      <w:r>
        <w:t>tamentos. Representa una de las estrategias para el e</w:t>
      </w:r>
      <w:r>
        <w:t>m</w:t>
      </w:r>
      <w:r>
        <w:t>poderamiento de la mujer y tiene por objeto asegurar que las mujeres reciban no menos del 30 % de los fo</w:t>
      </w:r>
      <w:r>
        <w:t>n</w:t>
      </w:r>
      <w:r>
        <w:t>dos y beneficios en otros sectores del desarrollo.</w:t>
      </w:r>
    </w:p>
    <w:p w:rsidR="00784B23" w:rsidRDefault="00784B23">
      <w:pPr>
        <w:pStyle w:val="DualTxt"/>
        <w:rPr>
          <w:spacing w:val="0"/>
        </w:rPr>
      </w:pPr>
      <w:r>
        <w:rPr>
          <w:spacing w:val="0"/>
        </w:rPr>
        <w:t>6.</w:t>
      </w:r>
      <w:r>
        <w:rPr>
          <w:spacing w:val="0"/>
        </w:rPr>
        <w:tab/>
        <w:t>La Comisión Nacional para la Mujer es un órgano de derecho público, dotado de autonomía y de gran aut</w:t>
      </w:r>
      <w:r>
        <w:rPr>
          <w:spacing w:val="0"/>
        </w:rPr>
        <w:t>o</w:t>
      </w:r>
      <w:r>
        <w:rPr>
          <w:spacing w:val="0"/>
        </w:rPr>
        <w:t>ridad, que fue establecido para considerar casos de atrocidades contra mujeres, discriminación por mot</w:t>
      </w:r>
      <w:r>
        <w:rPr>
          <w:spacing w:val="0"/>
        </w:rPr>
        <w:t>i</w:t>
      </w:r>
      <w:r>
        <w:rPr>
          <w:spacing w:val="0"/>
        </w:rPr>
        <w:t>vo de género, violación de las disposiciones de la Constitución relativas a los derechos de la mujer, t</w:t>
      </w:r>
      <w:r>
        <w:rPr>
          <w:spacing w:val="0"/>
        </w:rPr>
        <w:t>o</w:t>
      </w:r>
      <w:r>
        <w:rPr>
          <w:spacing w:val="0"/>
        </w:rPr>
        <w:t>dos los aspectos de la habilitación de las mujeres y med</w:t>
      </w:r>
      <w:r>
        <w:rPr>
          <w:spacing w:val="0"/>
        </w:rPr>
        <w:t>i</w:t>
      </w:r>
      <w:r>
        <w:rPr>
          <w:spacing w:val="0"/>
        </w:rPr>
        <w:t>das para la eliminación de la discriminación. Todas las r</w:t>
      </w:r>
      <w:r>
        <w:rPr>
          <w:spacing w:val="0"/>
        </w:rPr>
        <w:t>e</w:t>
      </w:r>
      <w:r>
        <w:rPr>
          <w:spacing w:val="0"/>
        </w:rPr>
        <w:t>comendaciones de la Comisión se reciben en el Depart</w:t>
      </w:r>
      <w:r>
        <w:rPr>
          <w:spacing w:val="0"/>
        </w:rPr>
        <w:t>a</w:t>
      </w:r>
      <w:r>
        <w:rPr>
          <w:spacing w:val="0"/>
        </w:rPr>
        <w:t>mento de Adelanto de la Mujer y del Niño con miras a su ulterior aplicación. Sus informes se presentan al Parl</w:t>
      </w:r>
      <w:r>
        <w:rPr>
          <w:spacing w:val="0"/>
        </w:rPr>
        <w:t>a</w:t>
      </w:r>
      <w:r>
        <w:rPr>
          <w:spacing w:val="0"/>
        </w:rPr>
        <w:t>mento, y se espera que la Comisión examine periódic</w:t>
      </w:r>
      <w:r>
        <w:rPr>
          <w:spacing w:val="0"/>
        </w:rPr>
        <w:t>a</w:t>
      </w:r>
      <w:r>
        <w:rPr>
          <w:spacing w:val="0"/>
        </w:rPr>
        <w:t>mente los resguardos constitucionales y la legislación que afectan a las mujeres y recomiende las enmiendas que e</w:t>
      </w:r>
      <w:r>
        <w:rPr>
          <w:spacing w:val="0"/>
        </w:rPr>
        <w:t>s</w:t>
      </w:r>
      <w:r>
        <w:rPr>
          <w:spacing w:val="0"/>
        </w:rPr>
        <w:t>time necesarias.</w:t>
      </w:r>
    </w:p>
    <w:p w:rsidR="00784B23" w:rsidRDefault="00784B23">
      <w:pPr>
        <w:pStyle w:val="DualTxt"/>
      </w:pPr>
      <w:r>
        <w:t>7.</w:t>
      </w:r>
      <w:r>
        <w:tab/>
        <w:t>Todos los departamentos del Gobierno tienen la obligación de remitir a la Comisión, a fin de que ésta los examine, todos los nuevos proyectos de ley o de enmienda a la legislación vigente que de alguna man</w:t>
      </w:r>
      <w:r>
        <w:t>e</w:t>
      </w:r>
      <w:r>
        <w:t>ra podrían afectar a las mujeres. Además, la Comisión Nacional de Derecho consulta a la Comisión con re</w:t>
      </w:r>
      <w:r>
        <w:t>s</w:t>
      </w:r>
      <w:r>
        <w:t>pecto a toda ley o enmienda que guarde relación con asuntos de interés para las mujeres, y, por otra parte, el Tribunal Supremo le ha pedido a la Comisión Nacional para la Mujer que prepare algunos proyectos de ley. Asimismo, puede examinar disposiciones legislativas vigentes en atención a solicitudes concretas de partic</w:t>
      </w:r>
      <w:r>
        <w:t>u</w:t>
      </w:r>
      <w:r>
        <w:t>lares u organizaciones no gubernamentales. También se le remiten denuncias individuales, y en los casos que considera de gravedad la Comisión lleva a cabo inve</w:t>
      </w:r>
      <w:r>
        <w:t>s</w:t>
      </w:r>
      <w:r>
        <w:t>tigaciones detalladas y transmite sus conclusiones y r</w:t>
      </w:r>
      <w:r>
        <w:t>e</w:t>
      </w:r>
      <w:r>
        <w:t>comendaciones al Gobierno central o a los ministerios o departamentos  competentes de los estados para que se adopten las medidas necesarias. En otros casos, complementa la acción de la policía con objeto de hacer más expeditas las investigaciones. Por lo general, las denuncias que se reciben se relacionan con cuesti</w:t>
      </w:r>
      <w:r>
        <w:t>o</w:t>
      </w:r>
      <w:r>
        <w:t>nes como la violencia en el hogar, muertes vinculadas a la dote, violaciones, discriminación en el empleo y acoso sexual en el lugar de trabajo, incluyendo incide</w:t>
      </w:r>
      <w:r>
        <w:t>n</w:t>
      </w:r>
      <w:r>
        <w:t>tes en el sector privado. La Comisión presta sus serv</w:t>
      </w:r>
      <w:r>
        <w:t>i</w:t>
      </w:r>
      <w:r>
        <w:t>cios a título gratuito; en casos determinados también inicia procedimientos judiciales y suministra asistencia jurídica. Las comisiones para la mujer de los estados tienen atribuciones similares a las de la Comisión N</w:t>
      </w:r>
      <w:r>
        <w:t>a</w:t>
      </w:r>
      <w:r>
        <w:t>cional, que ejercen dentro del territorio del estado re</w:t>
      </w:r>
      <w:r>
        <w:t>s</w:t>
      </w:r>
      <w:r>
        <w:t>pectivo. Dieciseis estados han establecido comisiones para la mujer, y se está alentando a otros a que lo hagan.</w:t>
      </w:r>
    </w:p>
    <w:p w:rsidR="00784B23" w:rsidRDefault="00784B23">
      <w:pPr>
        <w:pStyle w:val="DualTxt"/>
      </w:pPr>
      <w:r>
        <w:t>8.</w:t>
      </w:r>
      <w:r>
        <w:tab/>
        <w:t>La Comisión Nacional para la Mujer y las com</w:t>
      </w:r>
      <w:r>
        <w:t>i</w:t>
      </w:r>
      <w:r>
        <w:t>siones para la mujer de los estados colaboran en m</w:t>
      </w:r>
      <w:r>
        <w:t>u</w:t>
      </w:r>
      <w:r>
        <w:t>chas materias. Si bien la Comisión Nacional fija las pautas generales para la acción de las comisiones de los estados, no funciona como instancia de apelación. Celebra reuniones con todas las comisiones estaduales por lo menos una vez al año. En lo que se refiere a la colaboración entre la Comisión Nacional de Derechos Humanos y la Comisión Nacional para la Mujer, la oradora señala que en tanto que la primera se ocupa de casos de violación de los derechos humanos, incluida la violación de los derechos de la mujer, el mandato de la Comisión Nacional para la Mujer abarca todas las cuestiones relacionadas con los derechos de la mujer, ya sea que dimanen del comportamiento de particulares o de la conducta de funcionarios de la administración públ</w:t>
      </w:r>
      <w:r>
        <w:t>i</w:t>
      </w:r>
      <w:r>
        <w:t>ca. La Presidenta de la Comisión Nacional para la Mujer es miembro por derecho propio de la Comisión Nacional de Derechos Humanos. En numerosos casos de acción conjunta, el Presidente y los miembros de la Comisión Nacional de Derechos Humanos participan en programas y comités de expertos de la Comisión Nacional para la Mujer, y viceversa. De igual manera, la Comisión Nacional de Derecho recaba la opinión de la Comisión Nacional para la Mujer respecto de todas las disposiciones y enmiendas legislativas que traten de cuestiones relativas a la mujer.</w:t>
      </w:r>
    </w:p>
    <w:p w:rsidR="00784B23" w:rsidRDefault="00784B23">
      <w:pPr>
        <w:pStyle w:val="DualTxt"/>
      </w:pPr>
      <w:r>
        <w:t>9.</w:t>
      </w:r>
      <w:r>
        <w:tab/>
        <w:t>En cuanto a la iniciativa de la Comisión Nacional para la Mujer tendiente a modificar las leyes relativas a la violación para hacer que se refieran a diversas fo</w:t>
      </w:r>
      <w:r>
        <w:t>r</w:t>
      </w:r>
      <w:r>
        <w:t>mas de agresión sexual, incluida la violación conyugal, dice que la Comisión ha participado en la elaboración del proyecto de ley amplio que está redactando la C</w:t>
      </w:r>
      <w:r>
        <w:t>o</w:t>
      </w:r>
      <w:r>
        <w:t>misión Nacional de Derecho para sancionar los dive</w:t>
      </w:r>
      <w:r>
        <w:t>r</w:t>
      </w:r>
      <w:r>
        <w:t>sos tipos de abuso y agresión sexual. A este respecto también se ha sugerido que se enmiende la Ley India sobre la Prueba con objeto de eliminar los prejuicios con base en el género en el tratamiento de casos de agresión sexual contra mujeres. La Comisión Nacional ya está considerando la posibilidad de que se enmie</w:t>
      </w:r>
      <w:r>
        <w:t>n</w:t>
      </w:r>
      <w:r>
        <w:t>den secciones del Código Personal de la India que di</w:t>
      </w:r>
      <w:r>
        <w:t>s</w:t>
      </w:r>
      <w:r>
        <w:t>criminan contra las mujeres. Todas las recomendaci</w:t>
      </w:r>
      <w:r>
        <w:t>o</w:t>
      </w:r>
      <w:r>
        <w:t>nes de la Comisión Nacional se estudian en el Depa</w:t>
      </w:r>
      <w:r>
        <w:t>r</w:t>
      </w:r>
      <w:r>
        <w:t>tamento de Adelanto de la Mujer y del Niño con miras a su ulterior aplicación.</w:t>
      </w:r>
    </w:p>
    <w:p w:rsidR="00784B23" w:rsidRDefault="00784B23">
      <w:pPr>
        <w:pStyle w:val="DualTxt"/>
        <w:rPr>
          <w:spacing w:val="0"/>
        </w:rPr>
      </w:pPr>
      <w:r>
        <w:rPr>
          <w:spacing w:val="0"/>
        </w:rPr>
        <w:t>10.</w:t>
      </w:r>
      <w:r>
        <w:rPr>
          <w:spacing w:val="0"/>
        </w:rPr>
        <w:tab/>
        <w:t>La Comisión Nacional para la Mujer mantiene una relación de apoyo recíproco con las organizaciones no gubernamentales con respecto a todas las cuestiones de importancia. Las organizaciones no gubernamentales si</w:t>
      </w:r>
      <w:r>
        <w:rPr>
          <w:spacing w:val="0"/>
        </w:rPr>
        <w:t>r</w:t>
      </w:r>
      <w:r>
        <w:rPr>
          <w:spacing w:val="0"/>
        </w:rPr>
        <w:t>ven de conducto para la ejecución de proyectos de investigación y programas de instrucción en conoc</w:t>
      </w:r>
      <w:r>
        <w:rPr>
          <w:spacing w:val="0"/>
        </w:rPr>
        <w:t>i</w:t>
      </w:r>
      <w:r>
        <w:rPr>
          <w:spacing w:val="0"/>
        </w:rPr>
        <w:t>mientos básicos de derecho, y se hacen representar en d</w:t>
      </w:r>
      <w:r>
        <w:rPr>
          <w:spacing w:val="0"/>
        </w:rPr>
        <w:t>i</w:t>
      </w:r>
      <w:r>
        <w:rPr>
          <w:spacing w:val="0"/>
        </w:rPr>
        <w:t>versos comités de expertos de la Comisión Nacional. La Comisión difunde información acerca de su labor a través de las organizaciones no gubernamentales y publica me</w:t>
      </w:r>
      <w:r>
        <w:rPr>
          <w:spacing w:val="0"/>
        </w:rPr>
        <w:t>n</w:t>
      </w:r>
      <w:r>
        <w:rPr>
          <w:spacing w:val="0"/>
        </w:rPr>
        <w:t>sualmente una revista especializada. Los medios de dif</w:t>
      </w:r>
      <w:r>
        <w:rPr>
          <w:spacing w:val="0"/>
        </w:rPr>
        <w:t>u</w:t>
      </w:r>
      <w:r>
        <w:rPr>
          <w:spacing w:val="0"/>
        </w:rPr>
        <w:t>sión prestan considerable atención a sus actividades. Con el propósito de cambiar la mentalidad de la población en lo que se refiere a los derechos de propiedad de la mujer, el Gobierno ha tomado medidas proactivas conjuntamente con la Comisión Nacional y las organizaciones no gube</w:t>
      </w:r>
      <w:r>
        <w:rPr>
          <w:spacing w:val="0"/>
        </w:rPr>
        <w:t>r</w:t>
      </w:r>
      <w:r>
        <w:rPr>
          <w:spacing w:val="0"/>
        </w:rPr>
        <w:t>namentales, incluida la realización de seminarios, talleres y programas de sensibilización para parlamentarios y l</w:t>
      </w:r>
      <w:r>
        <w:rPr>
          <w:spacing w:val="0"/>
        </w:rPr>
        <w:t>e</w:t>
      </w:r>
      <w:r>
        <w:rPr>
          <w:spacing w:val="0"/>
        </w:rPr>
        <w:t>gisladores estaduales. Los medios de difusión también desempeñan una i</w:t>
      </w:r>
      <w:r>
        <w:rPr>
          <w:spacing w:val="0"/>
        </w:rPr>
        <w:t>m</w:t>
      </w:r>
      <w:r>
        <w:rPr>
          <w:spacing w:val="0"/>
        </w:rPr>
        <w:t>portante función de apoyo en relación con diversas cuestiones sociales que afectan a las muj</w:t>
      </w:r>
      <w:r>
        <w:rPr>
          <w:spacing w:val="0"/>
        </w:rPr>
        <w:t>e</w:t>
      </w:r>
      <w:r>
        <w:rPr>
          <w:spacing w:val="0"/>
        </w:rPr>
        <w:t>res.</w:t>
      </w:r>
    </w:p>
    <w:p w:rsidR="00784B23" w:rsidRDefault="00784B23">
      <w:pPr>
        <w:pStyle w:val="DualTxt"/>
        <w:rPr>
          <w:spacing w:val="0"/>
        </w:rPr>
      </w:pPr>
      <w:r>
        <w:t>11.</w:t>
      </w:r>
      <w:r>
        <w:tab/>
        <w:t>La sensibilización de personal de la policía y de la administración pública a las consideraciones de género ha pasado a ser una actividad regular de los centros de capacitación de nivel nacional o est</w:t>
      </w:r>
      <w:r>
        <w:t>a</w:t>
      </w:r>
      <w:r>
        <w:t>dual. En la Academia Nacional de Administración de Mussourie se ha establecido un Centro Nacional de Formación e I</w:t>
      </w:r>
      <w:r>
        <w:t>n</w:t>
      </w:r>
      <w:r>
        <w:t>vestigaciones en materia de Género. El Gobierno de la India acoge la participación vigorosa de las organizaciones no gubernamentales en los pr</w:t>
      </w:r>
      <w:r>
        <w:t>o</w:t>
      </w:r>
      <w:r>
        <w:t>gramas y proyectos de beneficio para las mujeres. La mayoría de los programas del Departamento en que se desempeña la oradora se ejecutan por conducto de o</w:t>
      </w:r>
      <w:r>
        <w:t>r</w:t>
      </w:r>
      <w:r>
        <w:t xml:space="preserve">ganizaciones no gubernamentales, </w:t>
      </w:r>
      <w:r>
        <w:rPr>
          <w:spacing w:val="0"/>
        </w:rPr>
        <w:t>que deben satisfacer los criterios establecidos por los departamentos del G</w:t>
      </w:r>
      <w:r>
        <w:rPr>
          <w:spacing w:val="0"/>
        </w:rPr>
        <w:t>o</w:t>
      </w:r>
      <w:r>
        <w:rPr>
          <w:spacing w:val="0"/>
        </w:rPr>
        <w:t>bierno antes de que se las considere calificadas para rec</w:t>
      </w:r>
      <w:r>
        <w:rPr>
          <w:spacing w:val="0"/>
        </w:rPr>
        <w:t>i</w:t>
      </w:r>
      <w:r>
        <w:rPr>
          <w:spacing w:val="0"/>
        </w:rPr>
        <w:t>bir financi</w:t>
      </w:r>
      <w:r>
        <w:rPr>
          <w:spacing w:val="0"/>
        </w:rPr>
        <w:t>a</w:t>
      </w:r>
      <w:r>
        <w:rPr>
          <w:spacing w:val="0"/>
        </w:rPr>
        <w:t>ción del Estado.</w:t>
      </w:r>
    </w:p>
    <w:p w:rsidR="00784B23" w:rsidRDefault="00784B23">
      <w:pPr>
        <w:pStyle w:val="DualTxt"/>
      </w:pPr>
      <w:r>
        <w:t>12.</w:t>
      </w:r>
      <w:r>
        <w:tab/>
        <w:t>El Departamento de Adelanto de la Mujer y del Niño no sólo es el organismo central en lo que atañe a la Convención, sino que supervisa la aplicación de los preceptos estratégicos de la Plataforma de Acción de Beijing, examinando periódicamente las actividades pertinentes con los ministerios y los gobiernos estadu</w:t>
      </w:r>
      <w:r>
        <w:t>a</w:t>
      </w:r>
      <w:r>
        <w:t>les. Con el fin de divulgar la Convención, se ha dado amplia circulación a su texto dentro de los ministerios y departamentos del Gobierno central y de los estados. Se han efectuado talleres de sensibilización para fam</w:t>
      </w:r>
      <w:r>
        <w:t>i</w:t>
      </w:r>
      <w:r>
        <w:t>liarizar a funcionarios de los estados y organizaciones no gubernamentales con sus disposiciones. El texto de la Convención se ha traducido a la lengua hindi. El primer informe nacional de la India sobre la aplicación de la Convención se puede consultar en el Internet.</w:t>
      </w:r>
    </w:p>
    <w:p w:rsidR="00784B23" w:rsidRDefault="00784B23">
      <w:pPr>
        <w:pStyle w:val="DualTxt"/>
      </w:pPr>
      <w:r>
        <w:t>13.</w:t>
      </w:r>
      <w:r>
        <w:tab/>
        <w:t>El principio de la igualdad entre los géneros ha quedado firmemente establecido en la Constitución de la India. En el artículo 14 se dispone que el Estado no podrá negarle a ninguna persona la igualdad ante la ley ni la protección igualitaria de las leyes.</w:t>
      </w:r>
    </w:p>
    <w:p w:rsidR="00784B23" w:rsidRDefault="00784B23">
      <w:pPr>
        <w:pStyle w:val="DualTxt"/>
      </w:pPr>
      <w:r>
        <w:t>14.</w:t>
      </w:r>
      <w:r>
        <w:tab/>
        <w:t>Con objeto de dar cumplimiento al fallo del Tr</w:t>
      </w:r>
      <w:r>
        <w:t>i</w:t>
      </w:r>
      <w:r>
        <w:t>bunal Supremo en el caso Gaurav Jain, el Gobierno e</w:t>
      </w:r>
      <w:r>
        <w:t>s</w:t>
      </w:r>
      <w:r>
        <w:t>tableció el Comité sobre la Prostitución, la Prostitución Infantil y los Hijos de Prostitutas, que realizó un est</w:t>
      </w:r>
      <w:r>
        <w:t>u</w:t>
      </w:r>
      <w:r>
        <w:t>dio profundo de estos problemas. El Comité formuló un plan de acción para reprimir la trata y la explotación sexual comercial de mujeres y niños. Su propósito es reintegrar a la sociedad a las mujeres y los menores que han sido víctimas de la explotación sexual come</w:t>
      </w:r>
      <w:r>
        <w:t>r</w:t>
      </w:r>
      <w:r>
        <w:t>cial. A nivel regional, se espera que en la próxima cumbre de la SAARC (Asociación del Asia Meridional para la Cooperación Regional) se firme la Convención de la SAARC sobre la prevención y la lucha contra la trata de mujeres y niños con fines de prostitución, que fue refrendada por el Consejo de Ministros de la SAARC en julio de 1998.</w:t>
      </w:r>
    </w:p>
    <w:p w:rsidR="00784B23" w:rsidRDefault="00784B23">
      <w:pPr>
        <w:pStyle w:val="DualTxt"/>
        <w:rPr>
          <w:spacing w:val="0"/>
        </w:rPr>
      </w:pPr>
      <w:r>
        <w:rPr>
          <w:spacing w:val="0"/>
        </w:rPr>
        <w:t>15.</w:t>
      </w:r>
      <w:r>
        <w:rPr>
          <w:spacing w:val="0"/>
        </w:rPr>
        <w:tab/>
        <w:t>Si bien, al igual que otras prácticas consuetudinarias y tradicionales, el sistema devadasi de dedicar a las niñas al servicio en los templos está desapareciendo y sólo su</w:t>
      </w:r>
      <w:r>
        <w:rPr>
          <w:spacing w:val="0"/>
        </w:rPr>
        <w:t>b</w:t>
      </w:r>
      <w:r>
        <w:rPr>
          <w:spacing w:val="0"/>
        </w:rPr>
        <w:t>siste en unos pocos estados, ha degenerado en formas de prostitución. Puesto que los estados afect</w:t>
      </w:r>
      <w:r>
        <w:rPr>
          <w:spacing w:val="0"/>
        </w:rPr>
        <w:t>a</w:t>
      </w:r>
      <w:r>
        <w:rPr>
          <w:spacing w:val="0"/>
        </w:rPr>
        <w:t>dos cuentan con leyes que prohíben la práctica, no hace falta que se pr</w:t>
      </w:r>
      <w:r>
        <w:rPr>
          <w:spacing w:val="0"/>
        </w:rPr>
        <w:t>o</w:t>
      </w:r>
      <w:r>
        <w:rPr>
          <w:spacing w:val="0"/>
        </w:rPr>
        <w:t>mulguen disposiciones legislativas ce</w:t>
      </w:r>
      <w:r>
        <w:rPr>
          <w:spacing w:val="0"/>
        </w:rPr>
        <w:t>n</w:t>
      </w:r>
      <w:r>
        <w:rPr>
          <w:spacing w:val="0"/>
        </w:rPr>
        <w:t>trales a este efecto. Las autoridades centrales y locales han venido ejecutando diversos proyectos de auxilio y rehabilitación para muj</w:t>
      </w:r>
      <w:r>
        <w:rPr>
          <w:spacing w:val="0"/>
        </w:rPr>
        <w:t>e</w:t>
      </w:r>
      <w:r>
        <w:rPr>
          <w:spacing w:val="0"/>
        </w:rPr>
        <w:t>res y niños que han sido víct</w:t>
      </w:r>
      <w:r>
        <w:rPr>
          <w:spacing w:val="0"/>
        </w:rPr>
        <w:t>i</w:t>
      </w:r>
      <w:r>
        <w:rPr>
          <w:spacing w:val="0"/>
        </w:rPr>
        <w:t>mas, por conducto de sus propios órganos y en colab</w:t>
      </w:r>
      <w:r>
        <w:rPr>
          <w:spacing w:val="0"/>
        </w:rPr>
        <w:t>o</w:t>
      </w:r>
      <w:r>
        <w:rPr>
          <w:spacing w:val="0"/>
        </w:rPr>
        <w:t>ración con organizaciones no gubernamentales. El Gobierno tiene en estudio una pr</w:t>
      </w:r>
      <w:r>
        <w:rPr>
          <w:spacing w:val="0"/>
        </w:rPr>
        <w:t>o</w:t>
      </w:r>
      <w:r>
        <w:rPr>
          <w:spacing w:val="0"/>
        </w:rPr>
        <w:t>puesta encaminada al establecimiento de un organismo encargado de coord</w:t>
      </w:r>
      <w:r>
        <w:rPr>
          <w:spacing w:val="0"/>
        </w:rPr>
        <w:t>i</w:t>
      </w:r>
      <w:r>
        <w:rPr>
          <w:spacing w:val="0"/>
        </w:rPr>
        <w:t>nar la acción de la policía, el servicio de aduanas y el Ministerio de Relaciones Exteriores para reprimir nuevas formas de la trata y explotación de muj</w:t>
      </w:r>
      <w:r>
        <w:rPr>
          <w:spacing w:val="0"/>
        </w:rPr>
        <w:t>e</w:t>
      </w:r>
      <w:r>
        <w:rPr>
          <w:spacing w:val="0"/>
        </w:rPr>
        <w:t>res, como el turismo sexual, la explotación de trabajad</w:t>
      </w:r>
      <w:r>
        <w:rPr>
          <w:spacing w:val="0"/>
        </w:rPr>
        <w:t>o</w:t>
      </w:r>
      <w:r>
        <w:rPr>
          <w:spacing w:val="0"/>
        </w:rPr>
        <w:t>ras d</w:t>
      </w:r>
      <w:r>
        <w:rPr>
          <w:spacing w:val="0"/>
        </w:rPr>
        <w:t>o</w:t>
      </w:r>
      <w:r>
        <w:rPr>
          <w:spacing w:val="0"/>
        </w:rPr>
        <w:t>mésticas y el pedido de esposas por catálogo.</w:t>
      </w:r>
    </w:p>
    <w:p w:rsidR="00784B23" w:rsidRDefault="00784B23">
      <w:pPr>
        <w:pStyle w:val="DualTxt"/>
      </w:pPr>
      <w:r>
        <w:t>16.</w:t>
      </w:r>
      <w:r>
        <w:tab/>
        <w:t>En respuesta a una pregunta relativa al número de mujeres que desempeñan funciones de carácter norm</w:t>
      </w:r>
      <w:r>
        <w:t>a</w:t>
      </w:r>
      <w:r>
        <w:t>tivo, dice que hay 47 mujeres parlamentarias en la Lok Sabha (Cámara del Pueblo), dentro de un total de 537 miembros, lo que representa el 8,8%. Hay ocho mini</w:t>
      </w:r>
      <w:r>
        <w:t>s</w:t>
      </w:r>
      <w:r>
        <w:t>tras en el Consejo Nacional, que tiene unos 73 int</w:t>
      </w:r>
      <w:r>
        <w:t>e</w:t>
      </w:r>
      <w:r>
        <w:t>grantes. En 1997 había en los niveles superiores de la administración pública 650 mujeres, dentro de un total de 8.611 funcionarios, lo que equivale al 7,5%. Aunque en el plano del Gobierno central no existen cuotas, a</w:t>
      </w:r>
      <w:r>
        <w:t>l</w:t>
      </w:r>
      <w:r>
        <w:t>gunos estados han comenzado a reservar cargos para mujeres en la administración pública.</w:t>
      </w:r>
    </w:p>
    <w:p w:rsidR="00784B23" w:rsidRDefault="00784B23">
      <w:pPr>
        <w:pStyle w:val="DualTxt"/>
      </w:pPr>
      <w:r>
        <w:t>17.</w:t>
      </w:r>
      <w:r>
        <w:tab/>
        <w:t>Las mujeres indias ocupan un número apreciable de puestos profesionales en las organizaciones intern</w:t>
      </w:r>
      <w:r>
        <w:t>a</w:t>
      </w:r>
      <w:r>
        <w:t>cionales. Participan activamente en  diversas activid</w:t>
      </w:r>
      <w:r>
        <w:t>a</w:t>
      </w:r>
      <w:r>
        <w:t>des en los medios de difusión, desempeñándose como periodistas, productoras y directoras de espacios de v</w:t>
      </w:r>
      <w:r>
        <w:t>a</w:t>
      </w:r>
      <w:r>
        <w:t>riedades, así como en programas educacionales de la Red Nacional de Televisión y de canales de propiedad privada. Al presente, una mujer encabeza la Junta N</w:t>
      </w:r>
      <w:r>
        <w:t>a</w:t>
      </w:r>
      <w:r>
        <w:t>cional de Certificación Cinematográfica, y otras 12 mujeres son miembros de esa entidad. Asimismo, una mujer desempeña la función de más alto nivel en los servicios de información del Gobierno central.</w:t>
      </w:r>
    </w:p>
    <w:p w:rsidR="00784B23" w:rsidRDefault="00784B23">
      <w:pPr>
        <w:pStyle w:val="DualTxt"/>
        <w:rPr>
          <w:spacing w:val="0"/>
        </w:rPr>
      </w:pPr>
      <w:r>
        <w:rPr>
          <w:spacing w:val="0"/>
        </w:rPr>
        <w:t>18.</w:t>
      </w:r>
      <w:r>
        <w:rPr>
          <w:spacing w:val="0"/>
        </w:rPr>
        <w:tab/>
        <w:t>El Proyecto de Ley Constitucional (85ª Enmienda) de 1999, por el que se reservaría para las mujeres una te</w:t>
      </w:r>
      <w:r>
        <w:rPr>
          <w:spacing w:val="0"/>
        </w:rPr>
        <w:t>r</w:t>
      </w:r>
      <w:r>
        <w:rPr>
          <w:spacing w:val="0"/>
        </w:rPr>
        <w:t>cera parte de los escaños de la Lok Sabha y de las Asa</w:t>
      </w:r>
      <w:r>
        <w:rPr>
          <w:spacing w:val="0"/>
        </w:rPr>
        <w:t>m</w:t>
      </w:r>
      <w:r>
        <w:rPr>
          <w:spacing w:val="0"/>
        </w:rPr>
        <w:t>bleas Legislativas de los estados, se presentó en la Lok Sabha en diciembre de 1999 y se halla ahora ante el Pa</w:t>
      </w:r>
      <w:r>
        <w:rPr>
          <w:spacing w:val="0"/>
        </w:rPr>
        <w:t>r</w:t>
      </w:r>
      <w:r>
        <w:rPr>
          <w:spacing w:val="0"/>
        </w:rPr>
        <w:t>lamento. Por la 73ª Enmienda a la Constitución de la I</w:t>
      </w:r>
      <w:r>
        <w:rPr>
          <w:spacing w:val="0"/>
        </w:rPr>
        <w:t>n</w:t>
      </w:r>
      <w:r>
        <w:rPr>
          <w:spacing w:val="0"/>
        </w:rPr>
        <w:t xml:space="preserve">dia, de 1992, se había reservado el 33% de los escaños en los </w:t>
      </w:r>
      <w:r>
        <w:rPr>
          <w:i/>
          <w:iCs/>
          <w:spacing w:val="0"/>
        </w:rPr>
        <w:t>panchayat</w:t>
      </w:r>
      <w:r>
        <w:rPr>
          <w:spacing w:val="0"/>
        </w:rPr>
        <w:t>. Esos escaños se mantienen vacantes hasta que se dispone de candidatas. Porque esos órganos, cuyos miembros son objeto de elecciones públicas, son entid</w:t>
      </w:r>
      <w:r>
        <w:rPr>
          <w:spacing w:val="0"/>
        </w:rPr>
        <w:t>a</w:t>
      </w:r>
      <w:r>
        <w:rPr>
          <w:spacing w:val="0"/>
        </w:rPr>
        <w:t>des de autogobierno local, encargados de los planes de desarrollo económico y justicia social, las mujeres rurales pueden ahora desempeñar una función rectora en la co</w:t>
      </w:r>
      <w:r>
        <w:rPr>
          <w:spacing w:val="0"/>
        </w:rPr>
        <w:t>n</w:t>
      </w:r>
      <w:r>
        <w:rPr>
          <w:spacing w:val="0"/>
        </w:rPr>
        <w:t>figuración del destino de sus comunidades. Se ha elab</w:t>
      </w:r>
      <w:r>
        <w:rPr>
          <w:spacing w:val="0"/>
        </w:rPr>
        <w:t>o</w:t>
      </w:r>
      <w:r>
        <w:rPr>
          <w:spacing w:val="0"/>
        </w:rPr>
        <w:t>rado un amplio programa de formación, financiado en parte por el Gobierno central, para capacitar a los 34 m</w:t>
      </w:r>
      <w:r>
        <w:rPr>
          <w:spacing w:val="0"/>
        </w:rPr>
        <w:t>i</w:t>
      </w:r>
      <w:r>
        <w:rPr>
          <w:spacing w:val="0"/>
        </w:rPr>
        <w:t>llones de r</w:t>
      </w:r>
      <w:r>
        <w:rPr>
          <w:spacing w:val="0"/>
        </w:rPr>
        <w:t>e</w:t>
      </w:r>
      <w:r>
        <w:rPr>
          <w:spacing w:val="0"/>
        </w:rPr>
        <w:t>presentantes elegidos, incluidas las mujeres.</w:t>
      </w:r>
    </w:p>
    <w:p w:rsidR="00784B23" w:rsidRDefault="00784B23">
      <w:pPr>
        <w:pStyle w:val="DualTxt"/>
      </w:pPr>
      <w:r>
        <w:t>19.</w:t>
      </w:r>
      <w:r>
        <w:tab/>
        <w:t>En la esfera de la educación, se ha realizado un examen en gran escala de los textos de estudio en 14 estados, donde se han adoptado medidas para sensibil</w:t>
      </w:r>
      <w:r>
        <w:t>i</w:t>
      </w:r>
      <w:r>
        <w:t>zar a los autores e ilustradores de libros de texto re</w:t>
      </w:r>
      <w:r>
        <w:t>s</w:t>
      </w:r>
      <w:r>
        <w:t>pecto de las formas en que pueden eliminarse los pr</w:t>
      </w:r>
      <w:r>
        <w:t>e</w:t>
      </w:r>
      <w:r>
        <w:t>juicios con base en el género. En la Rajya Sabha se presentó en 1997 un proyecto de ley por el que se e</w:t>
      </w:r>
      <w:r>
        <w:t>n</w:t>
      </w:r>
      <w:r>
        <w:t>mendaría la Constitución con el fin de consagrar como derecho fundamental la educación gratuita y obligat</w:t>
      </w:r>
      <w:r>
        <w:t>o</w:t>
      </w:r>
      <w:r>
        <w:t>ria para todos los niños de 6 a 14 años edad, y procl</w:t>
      </w:r>
      <w:r>
        <w:t>a</w:t>
      </w:r>
      <w:r>
        <w:t>mar como deber fundamental de los progenitores el a</w:t>
      </w:r>
      <w:r>
        <w:t>c</w:t>
      </w:r>
      <w:r>
        <w:t>ceso de los niños a la enseñanza a todos los niveles. Entre las iniciativas para mejorar la infraestructura e inaugurar nuevas escuelas se cuenta la Operación Piz</w:t>
      </w:r>
      <w:r>
        <w:t>a</w:t>
      </w:r>
      <w:r>
        <w:t>rra, que prevé un aumento del número de maestros y de aulas y una mayor disponibilidad de equipo y materi</w:t>
      </w:r>
      <w:r>
        <w:t>a</w:t>
      </w:r>
      <w:r>
        <w:t>les didácticos.</w:t>
      </w:r>
    </w:p>
    <w:p w:rsidR="00784B23" w:rsidRDefault="00784B23">
      <w:pPr>
        <w:pStyle w:val="DualTxt"/>
      </w:pPr>
      <w:r>
        <w:t>20.</w:t>
      </w:r>
      <w:r>
        <w:tab/>
        <w:t>El programa de alfabetización de mayor enverg</w:t>
      </w:r>
      <w:r>
        <w:t>a</w:t>
      </w:r>
      <w:r>
        <w:t>dura que realiza y financia el Gobierno es la Campaña de Alfabetización Total. En 1998 el Gobierno inició la Misión Nacional de Alfabetización, con el fin de err</w:t>
      </w:r>
      <w:r>
        <w:t>a</w:t>
      </w:r>
      <w:r>
        <w:t>dicar el analfabetismo entre los adultos. En gran med</w:t>
      </w:r>
      <w:r>
        <w:t>i</w:t>
      </w:r>
      <w:r>
        <w:t>da, la Misión está dirigida a las mujeres, en especial las de sectores desfavorecidos de la sociedad. Gracias a los programas de educación de adultos, hasta marzo de 1999 se había alfabetizado a 72,56 millones de pers</w:t>
      </w:r>
      <w:r>
        <w:t>o</w:t>
      </w:r>
      <w:r>
        <w:t>nas. El 60% de éstas, aproximadamente, eran mujeres; el 22,4% pertenecían a castas registradas y el 13,2%, a tribus registradas. La tasa de alfabetización de las m</w:t>
      </w:r>
      <w:r>
        <w:t>u</w:t>
      </w:r>
      <w:r>
        <w:t>jeres se elevó del 13,15% en 1961 al 34,09% en 1991, en tanto que el índice de alfabetización de las mujeres de castas registradas aumentó del 3,29% en 1961 al 23,76% en 1991. Para las mujeres de tribus registradas, la tasa subió del 3,16% al 18,19% en el mismo período.</w:t>
      </w:r>
    </w:p>
    <w:p w:rsidR="00784B23" w:rsidRDefault="00784B23">
      <w:pPr>
        <w:pStyle w:val="DualTxt"/>
      </w:pPr>
      <w:r>
        <w:t>21.</w:t>
      </w:r>
      <w:r>
        <w:tab/>
        <w:t>En lo que hace a la enseñanza superior, en 1986-1987 correspondía a las mujeres el 28% del profesorado de las universidades, en tanto que en 1950-1951 la proporción sólo alcanzaba al 9%. Al c</w:t>
      </w:r>
      <w:r>
        <w:t>o</w:t>
      </w:r>
      <w:r>
        <w:t>mienzo de 1998-1999, 2,4 millones de mujeres se hab</w:t>
      </w:r>
      <w:r>
        <w:t>í</w:t>
      </w:r>
      <w:r>
        <w:t>an matriculado en estudios universitarios superiores o de posgrado. El Gobierno se propone incrementar gr</w:t>
      </w:r>
      <w:r>
        <w:t>a</w:t>
      </w:r>
      <w:r>
        <w:t>dualmente sus gastos por concepto de educación hasta que éstos lleguen al 6% del producto interno bruto. Más del 40% del presupuesto anual de los servicios educacionales se dedica actualmente a la educación de mujeres y niñas. Aunque los recursos que se asignan a estos fines constituyen un elemento de importancia, no son el factor individual más decisivo. En efecto, se han registrado resultados mejores en varias escuelas no tr</w:t>
      </w:r>
      <w:r>
        <w:t>a</w:t>
      </w:r>
      <w:r>
        <w:t>dicionales de bajo costo que se han puesto en funci</w:t>
      </w:r>
      <w:r>
        <w:t>o</w:t>
      </w:r>
      <w:r>
        <w:t>namiento en diversos estados. Muchos estados ofrecen un conjunto de incentivos para las niñas, incluyendo becas de estudio. En los programas de becas del G</w:t>
      </w:r>
      <w:r>
        <w:t>o</w:t>
      </w:r>
      <w:r>
        <w:t>bierno central se da preferencia a las mujeres y niñas estudiantes. Con todo, se hace frente a un problema grave de absentismo entre los maestros en localidades remotas. Los gobiernos de los estados han comenzado a emplear con éxito a personal docente auxiliar res</w:t>
      </w:r>
      <w:r>
        <w:t>i</w:t>
      </w:r>
      <w:r>
        <w:t>dente en esas localidades.</w:t>
      </w:r>
    </w:p>
    <w:p w:rsidR="00784B23" w:rsidRDefault="00784B23">
      <w:pPr>
        <w:pStyle w:val="DualTxt"/>
      </w:pPr>
      <w:r>
        <w:t>22.</w:t>
      </w:r>
      <w:r>
        <w:tab/>
        <w:t>En lo que se refiere a las mujeres y el trabajo, el Gobierno central está elaborando una estrategia para hacer que las trabajadoras del sector no estructurado gocen de protección y reciban prestaciones. La Ley del Salario Mínimo de 1948 facultó tanto al Gobierno ce</w:t>
      </w:r>
      <w:r>
        <w:t>n</w:t>
      </w:r>
      <w:r>
        <w:t>tral como a las autoridades de los estados para fijar y modificar la cuantía del salario mínimo. El trabajo en condiciones de servidumbre ha sido abolido en la legi</w:t>
      </w:r>
      <w:r>
        <w:t>s</w:t>
      </w:r>
      <w:r>
        <w:t>lación. La infracción de esa prohibición se sanciona con penas de reclusión, y los estados rehabilitan a las víctimas en el marco de un programa auspiciado por el Gobierno central. La Ley de Igualdad de Remuner</w:t>
      </w:r>
      <w:r>
        <w:t>a</w:t>
      </w:r>
      <w:r>
        <w:t>ción, por la que se dio efecto al Convenio No. 100 de la Organización Internacional del Trabajo, es aplicable en todo el país. Además, el Tribunal Supremo ha emit</w:t>
      </w:r>
      <w:r>
        <w:t>i</w:t>
      </w:r>
      <w:r>
        <w:t>do directrices que tienen fuerza de ley para la preve</w:t>
      </w:r>
      <w:r>
        <w:t>n</w:t>
      </w:r>
      <w:r>
        <w:t>ción del acoso sexual de trabajadoras en el lugar de trabajo. El Gobierno ha hecho que se cumplan esas d</w:t>
      </w:r>
      <w:r>
        <w:t>i</w:t>
      </w:r>
      <w:r>
        <w:t>rectrices. Se han adoptado medidas constitucionales, estatutarias y de desarrollo para eliminar el trabajo de menores.</w:t>
      </w:r>
    </w:p>
    <w:p w:rsidR="00784B23" w:rsidRDefault="00784B23">
      <w:pPr>
        <w:pStyle w:val="DualTxt"/>
      </w:pPr>
      <w:r>
        <w:t>23.</w:t>
      </w:r>
      <w:r>
        <w:tab/>
        <w:t>Por la  Ley sobre el Trabajo de Menores (Prohib</w:t>
      </w:r>
      <w:r>
        <w:t>i</w:t>
      </w:r>
      <w:r>
        <w:t>ción y Reglamentación), de 1986, se prohibió el e</w:t>
      </w:r>
      <w:r>
        <w:t>m</w:t>
      </w:r>
      <w:r>
        <w:t>pleo de niños de menos de 14 años de edad en fábricas, minas y trabajos peligrosos, y se reglamentaron las condiciones de trabajo de los niños en otros empleos. En su fallo del 10 de diciembre de 1996, el Tribunal Supremo impartió instrucciones respecto de la forma en que los niños que trabajaban en ocupaciones pel</w:t>
      </w:r>
      <w:r>
        <w:t>i</w:t>
      </w:r>
      <w:r>
        <w:t>grosas debían ser retirados de esos empleos y rehabil</w:t>
      </w:r>
      <w:r>
        <w:t>i</w:t>
      </w:r>
      <w:r>
        <w:t>tados. El Gobierno está llevando a la práctica dichas instrucciones.</w:t>
      </w:r>
    </w:p>
    <w:p w:rsidR="00784B23" w:rsidRDefault="00784B23">
      <w:pPr>
        <w:pStyle w:val="DualTxt"/>
      </w:pPr>
      <w:r>
        <w:t>24.</w:t>
      </w:r>
      <w:r>
        <w:tab/>
        <w:t>Pasando a cuestiones relativas a la salud de las mujeres, la oradora reconoce que no obstante la exi</w:t>
      </w:r>
      <w:r>
        <w:t>s</w:t>
      </w:r>
      <w:r>
        <w:t>tencia de una ley en que se estipulan las condiciones para la realización de abortos, se siguen practicando abortos ilícitos. Se practican abortos en condiciones sépticas en clínicas ilegales. El Gobierno está consid</w:t>
      </w:r>
      <w:r>
        <w:t>e</w:t>
      </w:r>
      <w:r>
        <w:t>rando la posibilidad de enmendar la legislación de m</w:t>
      </w:r>
      <w:r>
        <w:t>a</w:t>
      </w:r>
      <w:r>
        <w:t>nera de delegar la autoridad del nivel del estado al del distrito. Está llevando a efecto un programa para dar adiestramiento y equipo a médicos de los sectores est</w:t>
      </w:r>
      <w:r>
        <w:t>a</w:t>
      </w:r>
      <w:r>
        <w:t>tal y privado para que practiquen abortos lícitos. La proporción de mujeres entre los médicos declinó de 945 por 1.000 hombres en 1947 a 927 por 1.000 en 1991, pero en el Estado de Kerala la relación es de 1036 m</w:t>
      </w:r>
      <w:r>
        <w:t>u</w:t>
      </w:r>
      <w:r>
        <w:t>jeres por cada 1.000 hombres. Hasta 1997, 45.581 mujeres se habían titulado de médico, pero se observaba una escasez de médicos mujeres en los ho</w:t>
      </w:r>
      <w:r>
        <w:t>s</w:t>
      </w:r>
      <w:r>
        <w:t>pitales tanto estatales como privados, en particular en las zonas rurales. El Gobierno central ha ofrecido i</w:t>
      </w:r>
      <w:r>
        <w:t>n</w:t>
      </w:r>
      <w:r>
        <w:t>centivos fina</w:t>
      </w:r>
      <w:r>
        <w:t>n</w:t>
      </w:r>
      <w:r>
        <w:t>cieros a las mujeres médicos para que trabajen a jorn</w:t>
      </w:r>
      <w:r>
        <w:t>a</w:t>
      </w:r>
      <w:r>
        <w:t>da parcial en hospitales rurales.</w:t>
      </w:r>
    </w:p>
    <w:p w:rsidR="00784B23" w:rsidRDefault="00784B23">
      <w:pPr>
        <w:pStyle w:val="DualTxt"/>
      </w:pPr>
      <w:r>
        <w:t>25.</w:t>
      </w:r>
      <w:r>
        <w:tab/>
        <w:t>En el programa de salud integral participan varios ministerios del Gobierno central, así como organiz</w:t>
      </w:r>
      <w:r>
        <w:t>a</w:t>
      </w:r>
      <w:r>
        <w:t>ciones no gubernamentales y entidades del sector pr</w:t>
      </w:r>
      <w:r>
        <w:t>i</w:t>
      </w:r>
      <w:r>
        <w:t>vado. Se atiende particularmente a problemas de salud reproductiva, nutrición, inmunización e higiene públ</w:t>
      </w:r>
      <w:r>
        <w:t>i</w:t>
      </w:r>
      <w:r>
        <w:t>ca. Entre las causas principales de la mortalidad mate</w:t>
      </w:r>
      <w:r>
        <w:t>r</w:t>
      </w:r>
      <w:r>
        <w:t>na se incluyen las hemorragias, el aborto, la toxemia y los partos obstruidos. La malaria es causa indirecta de un 2%, aproximadamente, de la mortalidad materna. El Gobierno central está combatiendo esta enfermedad mediante un Programa Nacional de Erradic</w:t>
      </w:r>
      <w:r>
        <w:t>a</w:t>
      </w:r>
      <w:r>
        <w:t>ción de la Malaria. En cuanto a la tasa de mortalidad infantil, el Gobierno está considerando la posibilidad de aplicar el Programa de Atención Integrada de las Enfermedades Prevalentes de la Infancia de la Organ</w:t>
      </w:r>
      <w:r>
        <w:t>i</w:t>
      </w:r>
      <w:r>
        <w:t>zación Mundial de la Salud, que aborda las afecciones más frecuentes desde un punto de vista integral. En 1982 inició un Programa Nacional de Salud Mental, y en 1996 se c</w:t>
      </w:r>
      <w:r>
        <w:t>o</w:t>
      </w:r>
      <w:r>
        <w:t>menzaron a realizar en algunos estados programas de salud mental a nivel de distrito. Se prevé que cada año se incorporarán a estos programas distr</w:t>
      </w:r>
      <w:r>
        <w:t>i</w:t>
      </w:r>
      <w:r>
        <w:t>tos adicionales, y se están adoptando medidas para as</w:t>
      </w:r>
      <w:r>
        <w:t>e</w:t>
      </w:r>
      <w:r>
        <w:t>gurar que los hospitales mentales cumplan requisitos mínimos.</w:t>
      </w:r>
    </w:p>
    <w:p w:rsidR="00784B23" w:rsidRDefault="00784B23">
      <w:pPr>
        <w:pStyle w:val="DualTxt"/>
      </w:pPr>
      <w:r>
        <w:t>26.</w:t>
      </w:r>
      <w:r>
        <w:tab/>
        <w:t>En respuesta a una pregunta sobre la adicción a la nicotina y el uso del pan masala, la oradora señala que no se trata de un fenómeno particular de las mujeres. En muchos estados está prohibido fumar en lugares públicos, y el Gobierno central ha impuesto la oblig</w:t>
      </w:r>
      <w:r>
        <w:t>a</w:t>
      </w:r>
      <w:r>
        <w:t>ción de que los paquetes de cigarrillos y cigarros lleven mensajes de advertencia.</w:t>
      </w:r>
    </w:p>
    <w:p w:rsidR="00784B23" w:rsidRDefault="00784B23">
      <w:pPr>
        <w:pStyle w:val="DualTxt"/>
      </w:pPr>
      <w:r>
        <w:t>27.</w:t>
      </w:r>
      <w:r>
        <w:tab/>
        <w:t>Con respecto a la planificación de la familia, dice que la esterilización femenina sigue siendo la actividad principal; no obstante, la promoción de la participación masculina es un objetivo central, y la utilización de preservativos se está popularizando</w:t>
      </w:r>
      <w:r>
        <w:tab/>
        <w:t>en el contexto del Programa de Lucha contra el SIDA y a través de mecanismos sociales de comercialización. Además, la “técnica sin bisturí” se está haciendo popular para las vasectomías.</w:t>
      </w:r>
    </w:p>
    <w:p w:rsidR="00784B23" w:rsidRDefault="00784B23">
      <w:pPr>
        <w:pStyle w:val="DualTxt"/>
      </w:pPr>
      <w:r>
        <w:t>28.</w:t>
      </w:r>
      <w:r>
        <w:tab/>
        <w:t>No se prevé la privatización del sector de la s</w:t>
      </w:r>
      <w:r>
        <w:t>a</w:t>
      </w:r>
      <w:r>
        <w:t>lud, aunque se alienta la participación del sector priv</w:t>
      </w:r>
      <w:r>
        <w:t>a</w:t>
      </w:r>
      <w:r>
        <w:t>do al nivel terciario. En el Noveno Plan se asignó el 4,01% a la salud y el bienestar de la familia. Si bien el Gobierno está decidido a destinar más recursos al sector de la salud, también se han tomado dispos</w:t>
      </w:r>
      <w:r>
        <w:t>i</w:t>
      </w:r>
      <w:r>
        <w:t>ciones para la intervención del sector privado donde la infraestructura o los sistemas de prestación de servicios del Gobierno son insuficientes. Se estima que hay unos 2 millones de casos de cáncer en cualquier m</w:t>
      </w:r>
      <w:r>
        <w:t>o</w:t>
      </w:r>
      <w:r>
        <w:t>mento dado, y aproximadamente 700.000 casos nuevos se registran cada año. El Programa Nacional de Lucha c</w:t>
      </w:r>
      <w:r>
        <w:t>o</w:t>
      </w:r>
      <w:r>
        <w:t>ntra el Cáncer se inició en 1975 y se modernizó en 1984. El Gobierno central suministra fondos para equipar dependencias de oncología en las escuelas de med</w:t>
      </w:r>
      <w:r>
        <w:t>i</w:t>
      </w:r>
      <w:r>
        <w:t>cina.</w:t>
      </w:r>
    </w:p>
    <w:p w:rsidR="00784B23" w:rsidRDefault="00784B23">
      <w:pPr>
        <w:pStyle w:val="DualTxt"/>
      </w:pPr>
      <w:r>
        <w:t>29.</w:t>
      </w:r>
      <w:r>
        <w:tab/>
        <w:t>El objetivo principal de la Política Nacional de la Vivienda es asegurar para todos el acceso a albergues adecuados, a fin de atender a la enorme escasez. En e</w:t>
      </w:r>
      <w:r>
        <w:t>s</w:t>
      </w:r>
      <w:r>
        <w:t>ta materia, el Gobierno hace de facilitador, más bien que de proveedor; se alienta al sector privado y a las cooperativas a asumir la función de proveedores. Se ha enmendado la legislación y se han establecido instit</w:t>
      </w:r>
      <w:r>
        <w:t>u</w:t>
      </w:r>
      <w:r>
        <w:t>ciones para dar apoyo a la nueva política habitacional.</w:t>
      </w:r>
    </w:p>
    <w:p w:rsidR="00784B23" w:rsidRDefault="00784B23">
      <w:pPr>
        <w:pStyle w:val="DualTxt"/>
      </w:pPr>
      <w:r>
        <w:t>30.</w:t>
      </w:r>
      <w:r>
        <w:tab/>
        <w:t>En respuesta a una pregunta relativa a las med</w:t>
      </w:r>
      <w:r>
        <w:t>i</w:t>
      </w:r>
      <w:r>
        <w:t>das tendientes a la aprobación de un código civil un</w:t>
      </w:r>
      <w:r>
        <w:t>i</w:t>
      </w:r>
      <w:r>
        <w:t>forme y los esfuerzos por involucrar a los dirigentes de las comunidades religiosas, indica que, en virtud del artículo 44 de la Constitución, el Estado tiene la obl</w:t>
      </w:r>
      <w:r>
        <w:t>i</w:t>
      </w:r>
      <w:r>
        <w:t>gación de empeñarse en establecer un código civil un</w:t>
      </w:r>
      <w:r>
        <w:t>i</w:t>
      </w:r>
      <w:r>
        <w:t>forme. Se han adoptado varias medidas para preparar el terreno para la introducción de dicho código. Así, los hindúes, los sikh, los jain y los budistas, que confo</w:t>
      </w:r>
      <w:r>
        <w:t>r</w:t>
      </w:r>
      <w:r>
        <w:t>man la mayoría en el país, ya tienen en vigencia un c</w:t>
      </w:r>
      <w:r>
        <w:t>ó</w:t>
      </w:r>
      <w:r>
        <w:t>digo civil uniforme. En cuanto a las minorías, el G</w:t>
      </w:r>
      <w:r>
        <w:t>o</w:t>
      </w:r>
      <w:r>
        <w:t>bierno no se injerirá en su derecho personal a menos que la iniciativa para enmendarlo brote de ellas. Cua</w:t>
      </w:r>
      <w:r>
        <w:t>n</w:t>
      </w:r>
      <w:r>
        <w:t>do se reciba una respuesta favorable de las dive</w:t>
      </w:r>
      <w:r>
        <w:t>r</w:t>
      </w:r>
      <w:r>
        <w:t>sas comunidades minoritarias, y surja un consenso n</w:t>
      </w:r>
      <w:r>
        <w:t>a</w:t>
      </w:r>
      <w:r>
        <w:t>cional, el Gobierno propondrá un código civil unifo</w:t>
      </w:r>
      <w:r>
        <w:t>r</w:t>
      </w:r>
      <w:r>
        <w:t>me. Hasta entonces, se atendrá a una política de resta</w:t>
      </w:r>
      <w:r>
        <w:t>u</w:t>
      </w:r>
      <w:r>
        <w:t>ración.</w:t>
      </w:r>
    </w:p>
    <w:p w:rsidR="00784B23" w:rsidRDefault="00784B23">
      <w:pPr>
        <w:pStyle w:val="DualTxt"/>
      </w:pPr>
      <w:r>
        <w:t>31.</w:t>
      </w:r>
      <w:r>
        <w:tab/>
        <w:t>Por otra parte, en razón del bajo nivel de alfabet</w:t>
      </w:r>
      <w:r>
        <w:t>i</w:t>
      </w:r>
      <w:r>
        <w:t>zación, la diversidad cultural y los códigos personales que rigen el matrimonio, el Gobierno no estima proc</w:t>
      </w:r>
      <w:r>
        <w:t>e</w:t>
      </w:r>
      <w:r>
        <w:t>dente hacer obligatoria la inscripción de los matrim</w:t>
      </w:r>
      <w:r>
        <w:t>o</w:t>
      </w:r>
      <w:r>
        <w:t>nios. No obstante, diversos documentos legislativos que tienen validez para un elevado porcentaje de la p</w:t>
      </w:r>
      <w:r>
        <w:t>o</w:t>
      </w:r>
      <w:r>
        <w:t>blación contienen disposiciones relativas a la inscri</w:t>
      </w:r>
      <w:r>
        <w:t>p</w:t>
      </w:r>
      <w:r>
        <w:t>ción. Al tanto que la Ley Hindú de Matrimonio de 1955 hace obligatoria la monogamia, la poligamia se prohíbe en el reglamento de conducta en el serv</w:t>
      </w:r>
      <w:r>
        <w:t>i</w:t>
      </w:r>
      <w:r>
        <w:t>cio, que se aplica a los funcionarios de la administración pública independientemente de su religión y comunidad. El d</w:t>
      </w:r>
      <w:r>
        <w:t>e</w:t>
      </w:r>
      <w:r>
        <w:t>recho personal musulmán no prohíbe la pol</w:t>
      </w:r>
      <w:r>
        <w:t>i</w:t>
      </w:r>
      <w:r>
        <w:t>gamia.</w:t>
      </w:r>
    </w:p>
    <w:p w:rsidR="00784B23" w:rsidRDefault="00784B23">
      <w:pPr>
        <w:pStyle w:val="DualTxt"/>
      </w:pPr>
      <w:r>
        <w:t>32.</w:t>
      </w:r>
      <w:r>
        <w:tab/>
        <w:t>Con respecto a la situación de las mujeres dalit, dice que, además de determinados resguardos constit</w:t>
      </w:r>
      <w:r>
        <w:t>u</w:t>
      </w:r>
      <w:r>
        <w:t>cionales, las dalit también son objeto de varios pr</w:t>
      </w:r>
      <w:r>
        <w:t>o</w:t>
      </w:r>
      <w:r>
        <w:t>gramas encaminados a realzar sus niveles educacional y económico y su condición social. Se presta especial atención al mejoramiento de la tasa de alfabetización, que con todo sigue por debajo de la media nacional p</w:t>
      </w:r>
      <w:r>
        <w:t>a</w:t>
      </w:r>
      <w:r>
        <w:t>ra las mujeres, que es del 52,2%. De conformidad con la Ley de Protección de los Derechos Civ</w:t>
      </w:r>
      <w:r>
        <w:t>i</w:t>
      </w:r>
      <w:r>
        <w:t>les de 1955 y la Ley sobre las Castas Registradas y las Tribus Regi</w:t>
      </w:r>
      <w:r>
        <w:t>s</w:t>
      </w:r>
      <w:r>
        <w:t>tradas (Prevención de Atrocidades) de 1989, los g</w:t>
      </w:r>
      <w:r>
        <w:t>o</w:t>
      </w:r>
      <w:r>
        <w:t>biernos de los estados deben tomar medidas para pr</w:t>
      </w:r>
      <w:r>
        <w:t>e</w:t>
      </w:r>
      <w:r>
        <w:t>venir y sancionar la discriminación contra los dalit, y muchos han establecido tribunales especi</w:t>
      </w:r>
      <w:r>
        <w:t>a</w:t>
      </w:r>
      <w:r>
        <w:t>les para este fin. El Gobierno central desempeña una función de coordinación y proporciona asistencia financiera. No obstante, la transformación de las mentalidades toma tiempo, y las mujeres siguen soportando la peor parte de la discriminación por motivo de casta.</w:t>
      </w:r>
    </w:p>
    <w:p w:rsidR="00784B23" w:rsidRDefault="00784B23">
      <w:pPr>
        <w:pStyle w:val="DualTxt"/>
      </w:pPr>
      <w:r>
        <w:t>33.</w:t>
      </w:r>
      <w:r>
        <w:tab/>
        <w:t>En el marco del plan nacional para la liberación y rehabilitación de los recolectores de desechos y sus familiares a cargo, se ha capacitado a casi 130.000 r</w:t>
      </w:r>
      <w:r>
        <w:t>e</w:t>
      </w:r>
      <w:r>
        <w:t>colectores de desechos para que se desempeñen en otras ocupaciones y se ha reubicado a más de 290.000. Además, 153.000 estudiantes han recibido asistencia financiera con arreglo a un plan para los hijos de pe</w:t>
      </w:r>
      <w:r>
        <w:t>r</w:t>
      </w:r>
      <w:r>
        <w:t>sonas que se dedican a la recolección y el curtido m</w:t>
      </w:r>
      <w:r>
        <w:t>a</w:t>
      </w:r>
      <w:r>
        <w:t>nuales.</w:t>
      </w:r>
    </w:p>
    <w:p w:rsidR="00784B23" w:rsidRDefault="00784B23">
      <w:pPr>
        <w:pStyle w:val="DualTxt"/>
      </w:pPr>
      <w:r>
        <w:t>34.</w:t>
      </w:r>
      <w:r>
        <w:tab/>
        <w:t>No hay en la India conflictos armados según se definen en el derecho humanitario internacional. Sin embargo, se han producido incidentes terroristas e i</w:t>
      </w:r>
      <w:r>
        <w:t>n</w:t>
      </w:r>
      <w:r>
        <w:t>surgencias locales en Jammu y Cachemira, la región nororiental y el Punjab. En la defensa de las poblaci</w:t>
      </w:r>
      <w:r>
        <w:t>o</w:t>
      </w:r>
      <w:r>
        <w:t>nes de esas zonas, se espera que las fuerzas de segur</w:t>
      </w:r>
      <w:r>
        <w:t>i</w:t>
      </w:r>
      <w:r>
        <w:t>dad actúen dentro de los parámetros que establece el derecho indio y se aseguren de que sus acciones no violen los derechos humanos de sus conciudadanos. La Ley de las Fuerzas Armadas (Poderes Especiales) de 1958 se aplica sólo en zonas que el Gobernador de un estado haya declarado “perturbadas”. procedencia de su utilización está sujeta a examen judicial. La Ley no otorga a los miembros de las fuerzas de seguridad i</w:t>
      </w:r>
      <w:r>
        <w:t>n</w:t>
      </w:r>
      <w:r>
        <w:t>munidad de jurisdicción penal, pero dispone que sólo pueden presentarse acusaciones con el consentimiento previo del Gobierno central, que invariablemente se da.</w:t>
      </w:r>
    </w:p>
    <w:p w:rsidR="00784B23" w:rsidRDefault="00784B23">
      <w:pPr>
        <w:pStyle w:val="DualTxt"/>
      </w:pPr>
      <w:r>
        <w:t>35.</w:t>
      </w:r>
      <w:r>
        <w:tab/>
        <w:t>Los logros del Gobierno y los problemas que pe</w:t>
      </w:r>
      <w:r>
        <w:t>r</w:t>
      </w:r>
      <w:r>
        <w:t>sisten deben considerarse contra el trasfondo de la hi</w:t>
      </w:r>
      <w:r>
        <w:t>s</w:t>
      </w:r>
      <w:r>
        <w:t>toria de la India. Durante la época colonial la agricult</w:t>
      </w:r>
      <w:r>
        <w:t>u</w:t>
      </w:r>
      <w:r>
        <w:t>ra y la salud se desatendieron, lo que llevó a enormes pérdidas de vidas a causa de hambrunas y enfermed</w:t>
      </w:r>
      <w:r>
        <w:t>a</w:t>
      </w:r>
      <w:r>
        <w:t>des, y apenas se alentó la educación. En la India ind</w:t>
      </w:r>
      <w:r>
        <w:t>e</w:t>
      </w:r>
      <w:r>
        <w:t>pendiente, en cambio, la esperanza de vida ha aume</w:t>
      </w:r>
      <w:r>
        <w:t>n</w:t>
      </w:r>
      <w:r>
        <w:t>tado de modo espectacular y los índices de alfabetiz</w:t>
      </w:r>
      <w:r>
        <w:t>a</w:t>
      </w:r>
      <w:r>
        <w:t>ción están mejorando, aunque siguen acaeciendo desa</w:t>
      </w:r>
      <w:r>
        <w:t>s</w:t>
      </w:r>
      <w:r>
        <w:t>tres naturales en gran escala, que a veces anulan años de desarrollo. No obstante, se ha establecido un sist</w:t>
      </w:r>
      <w:r>
        <w:t>e</w:t>
      </w:r>
      <w:r>
        <w:t>ma político democrático y estable y la tasa anual de crec</w:t>
      </w:r>
      <w:r>
        <w:t>i</w:t>
      </w:r>
      <w:r>
        <w:t>miento económico asciende actualmente al 6,5 por ciento, lo que representa un logro considerable para un país que tiene las dimensiones de un continente y una población de cerca de 1.000 millones.</w:t>
      </w:r>
    </w:p>
    <w:p w:rsidR="00784B23" w:rsidRDefault="00784B23">
      <w:pPr>
        <w:pStyle w:val="DualTxt"/>
      </w:pPr>
      <w:r>
        <w:t>36.</w:t>
      </w:r>
      <w:r>
        <w:tab/>
        <w:t>La India es un Estado federal, en que la facultad del Gobierno central para imponer políticas uniformes está limitada tanto por la Constitución misma como por la estructura estatal que ésta dispone. Aun más, la imposición de cambios podría dar lugar a una reacción contraria que favorecería a las fuerzas conse</w:t>
      </w:r>
      <w:r>
        <w:t>r</w:t>
      </w:r>
      <w:r>
        <w:t>vadoras y fundamentalistas. El Gobierno se empeña constantemente en alentar reformas en comunidades en que aún persisten prácticas discriminatorias, pero, visto el est</w:t>
      </w:r>
      <w:r>
        <w:t>a</w:t>
      </w:r>
      <w:r>
        <w:t>do del desarrollo político y social de la India, no está en situación de retirar sus reservas a la Conve</w:t>
      </w:r>
      <w:r>
        <w:t>n</w:t>
      </w:r>
      <w:r>
        <w:t>ción.</w:t>
      </w:r>
    </w:p>
    <w:p w:rsidR="00784B23" w:rsidRDefault="00784B23">
      <w:pPr>
        <w:pStyle w:val="DualTxt"/>
      </w:pPr>
      <w:r>
        <w:t>37.</w:t>
      </w:r>
      <w:r>
        <w:tab/>
        <w:t>El Comité ha puesto de relieve la función de las instituciones nacionales en el proceso de transfo</w:t>
      </w:r>
      <w:r>
        <w:t>r</w:t>
      </w:r>
      <w:r>
        <w:t>mación. La red de instituciones de la India, que co</w:t>
      </w:r>
      <w:r>
        <w:t>m</w:t>
      </w:r>
      <w:r>
        <w:t>prende la Comisión Nacional para la Mujer, la Com</w:t>
      </w:r>
      <w:r>
        <w:t>i</w:t>
      </w:r>
      <w:r>
        <w:t>sión Nacional de Derechos Humanos, la Comisión para las Minorías y la Comisión sobre las Castas Registr</w:t>
      </w:r>
      <w:r>
        <w:t>a</w:t>
      </w:r>
      <w:r>
        <w:t>das y las Tribus Registradas, garantiza que las cuesti</w:t>
      </w:r>
      <w:r>
        <w:t>o</w:t>
      </w:r>
      <w:r>
        <w:t>nes r</w:t>
      </w:r>
      <w:r>
        <w:t>e</w:t>
      </w:r>
      <w:r>
        <w:t>lacionadas con la mujer se examinen desde muy vari</w:t>
      </w:r>
      <w:r>
        <w:t>a</w:t>
      </w:r>
      <w:r>
        <w:t>dos puntos de vista. Además, la sociedad civil está bien afianzada, los medios de difusión son libres y a menudo hacen críticas acerbas, y el Tribunal Supremo, a través de sus fallos en litigios relacionados con el i</w:t>
      </w:r>
      <w:r>
        <w:t>n</w:t>
      </w:r>
      <w:r>
        <w:t>terés público, ha garantizado la evolución y actualiz</w:t>
      </w:r>
      <w:r>
        <w:t>a</w:t>
      </w:r>
      <w:r>
        <w:t>ción constantes de la legislación sobre derechos hum</w:t>
      </w:r>
      <w:r>
        <w:t>a</w:t>
      </w:r>
      <w:r>
        <w:t>nos y el ejercicio de éstos en la India.</w:t>
      </w:r>
    </w:p>
    <w:p w:rsidR="00784B23" w:rsidRDefault="00784B23">
      <w:pPr>
        <w:pStyle w:val="DualTxt"/>
      </w:pPr>
      <w:r>
        <w:t>38.</w:t>
      </w:r>
      <w:r>
        <w:tab/>
        <w:t>La delegación ha tomado nota de las observaci</w:t>
      </w:r>
      <w:r>
        <w:t>o</w:t>
      </w:r>
      <w:r>
        <w:t>nes formuladas por los miembros del Comité y se va</w:t>
      </w:r>
      <w:r>
        <w:t>l</w:t>
      </w:r>
      <w:r>
        <w:t>drá de ellas en los esfuerzos continuos por eliminar la discriminación contra la mujer.</w:t>
      </w:r>
    </w:p>
    <w:p w:rsidR="00784B23" w:rsidRDefault="00784B23">
      <w:pPr>
        <w:pStyle w:val="DualTxt"/>
      </w:pPr>
      <w:r>
        <w:t>39.</w:t>
      </w:r>
      <w:r>
        <w:tab/>
      </w:r>
      <w:r>
        <w:rPr>
          <w:b/>
          <w:bCs/>
        </w:rPr>
        <w:t xml:space="preserve">La Presidenta </w:t>
      </w:r>
      <w:r>
        <w:t>da las gracias a la representante de la India por sus informativas respuestas que, junto con el informe inicial, han configurado un cuadro claro de los progresos logrados por las mujeres indias, las lim</w:t>
      </w:r>
      <w:r>
        <w:t>i</w:t>
      </w:r>
      <w:r>
        <w:t>taciones con que se enfrentan, y los retos que plantean las circunstancias históricas, geográficas y demográf</w:t>
      </w:r>
      <w:r>
        <w:t>i</w:t>
      </w:r>
      <w:r>
        <w:t>cas particulares de la India.</w:t>
      </w:r>
    </w:p>
    <w:p w:rsidR="00784B23" w:rsidRDefault="00784B23">
      <w:pPr>
        <w:pStyle w:val="DualTxt"/>
      </w:pPr>
      <w:r>
        <w:t>40.</w:t>
      </w:r>
      <w:r>
        <w:tab/>
      </w:r>
      <w:r>
        <w:rPr>
          <w:b/>
          <w:bCs/>
        </w:rPr>
        <w:t xml:space="preserve">La Sra. Goonesekere </w:t>
      </w:r>
      <w:r>
        <w:t>dice que cabe felicitar al Gobierno de la India por su dedicación al adelanto de la mujer y los progresos que ha logrado, a pesar de los enormes problemas a que hace frente. No obstante, el nivel de los recursos que se asignan a los programas para las mujeres es insuficiente. Deben destinarse más fondos a la promoción de la función de la mujer en el desarrollo. También es preciso asignar una mayor pri</w:t>
      </w:r>
      <w:r>
        <w:t>o</w:t>
      </w:r>
      <w:r>
        <w:t>ridad a la educación, dado su efecto catalítico. Si se elevan las tasas de alfabetización, el Gobierno podría hacer obligatoria la inscripción de los matrimonios y retirar su reserva al párrafo 2 del artículo 16 de la Co</w:t>
      </w:r>
      <w:r>
        <w:t>n</w:t>
      </w:r>
      <w:r>
        <w:t>vención. A su  vez, la inscripción obligatoria de los m</w:t>
      </w:r>
      <w:r>
        <w:t>a</w:t>
      </w:r>
      <w:r>
        <w:t>trimonios facilitaría la aplicación de la Ley de Restri</w:t>
      </w:r>
      <w:r>
        <w:t>c</w:t>
      </w:r>
      <w:r>
        <w:t>ción del Matrimonio de Niños, y la reducción del n</w:t>
      </w:r>
      <w:r>
        <w:t>ú</w:t>
      </w:r>
      <w:r>
        <w:t>mero de matrimonios precoces permitiría que un mayor número de niñas siguiesen asistiendo a la escuela, lo que llevaría a índices de alfabetización aun más altos.</w:t>
      </w:r>
    </w:p>
    <w:p w:rsidR="00784B23" w:rsidRDefault="00784B23">
      <w:pPr>
        <w:pStyle w:val="DualTxt"/>
      </w:pPr>
      <w:r>
        <w:t>41.</w:t>
      </w:r>
      <w:r>
        <w:tab/>
        <w:t>Sigue siendo motivo de preocupación la situación de los dalit y el problema de la violencia contra la m</w:t>
      </w:r>
      <w:r>
        <w:t>u</w:t>
      </w:r>
      <w:r>
        <w:t>jer. Las normas de derechos humanos prescritas en el derecho humanitario internacional, y en particular en el Convenio de Ginebra sobre la protección de personas civiles en tiempo de guerra, se aplican no sólo en casos de conflicto armado de carácter internacional sino ta</w:t>
      </w:r>
      <w:r>
        <w:t>m</w:t>
      </w:r>
      <w:r>
        <w:t>bién en las llamadas insurgencias locales. La dispos</w:t>
      </w:r>
      <w:r>
        <w:t>i</w:t>
      </w:r>
      <w:r>
        <w:t>ción de la Ley de las Fuerzas Armadas (Poderes Esp</w:t>
      </w:r>
      <w:r>
        <w:t>e</w:t>
      </w:r>
      <w:r>
        <w:t>ciales) de 1958 por la que se requiere el consentimiento previo del Gobierno para presentar acusaciones contra miembros de las fuerzas de seguridad debe enmendarse de manera que se garantice que éstos puedan ser objeto de indagaciones adecuadas. Asimismo, el Gobierno d</w:t>
      </w:r>
      <w:r>
        <w:t>e</w:t>
      </w:r>
      <w:r>
        <w:t>be adoptar medidas para abordar el problema de la vi</w:t>
      </w:r>
      <w:r>
        <w:t>o</w:t>
      </w:r>
      <w:r>
        <w:t>lencia contra las mujeres activistas. Por último, es pr</w:t>
      </w:r>
      <w:r>
        <w:t>e</w:t>
      </w:r>
      <w:r>
        <w:t>ciso que se faculte a la Comisión Nacional para la M</w:t>
      </w:r>
      <w:r>
        <w:t>u</w:t>
      </w:r>
      <w:r>
        <w:t>jer para recibir y examinar denuncias individuales de discriminación.</w:t>
      </w:r>
    </w:p>
    <w:p w:rsidR="00784B23" w:rsidRDefault="00784B23">
      <w:pPr>
        <w:pStyle w:val="DualTxt"/>
      </w:pPr>
      <w:r>
        <w:t>42.</w:t>
      </w:r>
      <w:r>
        <w:tab/>
      </w:r>
      <w:r>
        <w:rPr>
          <w:b/>
          <w:bCs/>
        </w:rPr>
        <w:t xml:space="preserve">La Sra. Khan </w:t>
      </w:r>
      <w:r>
        <w:t>dice que, dados los notables ava</w:t>
      </w:r>
      <w:r>
        <w:t>n</w:t>
      </w:r>
      <w:r>
        <w:t>ces que ha logrado hacia la eliminación de la discrim</w:t>
      </w:r>
      <w:r>
        <w:t>i</w:t>
      </w:r>
      <w:r>
        <w:t>nación contra la mujer, la India es un modelo para la región. No obstante, los recursos financieros y hum</w:t>
      </w:r>
      <w:r>
        <w:t>a</w:t>
      </w:r>
      <w:r>
        <w:t>nos que se han asignado a la Comisión Nacional para la Mujer no son suficientes para que ésta pueda cumplir su mandato. Además, es preciso dotar a la Comisión de más autoridad a fin de garantizar que sus recomend</w:t>
      </w:r>
      <w:r>
        <w:t>a</w:t>
      </w:r>
      <w:r>
        <w:t>ciones se lleven a efecto, y el establecimiento de una dependencia jurídica le permitiría combatir de manera más eficaz la violencia contra la mujer. La Comisión debe ser el centro primario para la divulgación de la Convención, que tendría que traducirse no sólo al hindi sino también a otros idiomas.</w:t>
      </w:r>
    </w:p>
    <w:p w:rsidR="00784B23" w:rsidRDefault="00784B23">
      <w:pPr>
        <w:pStyle w:val="DualTxt"/>
      </w:pPr>
      <w:r>
        <w:t>43.</w:t>
      </w:r>
      <w:r>
        <w:tab/>
        <w:t>Hacen falta nuevas iniciativas para mejorar la s</w:t>
      </w:r>
      <w:r>
        <w:t>i</w:t>
      </w:r>
      <w:r>
        <w:t>tuación de los dalit, que representan casi una cuarta parte de la población. La oradora celebra las medidas adoptadas por el Gobierno con este propósito, pero d</w:t>
      </w:r>
      <w:r>
        <w:t>i</w:t>
      </w:r>
      <w:r>
        <w:t>ce que es preciso pasar de la ejecución de programas y prestación de servicios a un criterio de base normativa, con una mayor conciencia del problema de la discrim</w:t>
      </w:r>
      <w:r>
        <w:t>i</w:t>
      </w:r>
      <w:r>
        <w:t>nación accidental. El Gobierno debe considerar la p</w:t>
      </w:r>
      <w:r>
        <w:t>o</w:t>
      </w:r>
      <w:r>
        <w:t>sibilidad de aprobar un plan de acción nacional, junto con un marco cronológico para su ejecución.</w:t>
      </w:r>
    </w:p>
    <w:p w:rsidR="00784B23" w:rsidRDefault="00784B23">
      <w:pPr>
        <w:pStyle w:val="DualTxt"/>
      </w:pPr>
      <w:r>
        <w:t>44.</w:t>
      </w:r>
      <w:r>
        <w:tab/>
        <w:t>En su próximo informe, el Estado parte debe pr</w:t>
      </w:r>
      <w:r>
        <w:t>e</w:t>
      </w:r>
      <w:r>
        <w:t>sentar más información sobre los actos de violencia contra la mujer cometidos por miembros de las fuerzas de seguridad en zonas de conflicto y la asistencia que se ha prestado a las sobrevivientes. La oradora solicita asimismo datos estadísticos actualizados respecto del número de enjuiciamientos. Subraya que en las neg</w:t>
      </w:r>
      <w:r>
        <w:t>o</w:t>
      </w:r>
      <w:r>
        <w:t>ciaciones en curso se debe tener en cuenta la perspect</w:t>
      </w:r>
      <w:r>
        <w:t>i</w:t>
      </w:r>
      <w:r>
        <w:t>va de género.</w:t>
      </w:r>
    </w:p>
    <w:p w:rsidR="00784B23" w:rsidRDefault="00784B23">
      <w:pPr>
        <w:pStyle w:val="DualTxt"/>
      </w:pPr>
      <w:r>
        <w:t>45.</w:t>
      </w:r>
      <w:r>
        <w:tab/>
        <w:t>Acoge complacida el establecimiento de comités de vigilancia para supervisar el cumplimiento de la l</w:t>
      </w:r>
      <w:r>
        <w:t>e</w:t>
      </w:r>
      <w:r>
        <w:t>gislación sobre el trabajo en condiciones de servidu</w:t>
      </w:r>
      <w:r>
        <w:t>m</w:t>
      </w:r>
      <w:r>
        <w:t>bre. Desea saber cuántas e</w:t>
      </w:r>
      <w:bookmarkStart w:id="1" w:name="TmpSave"/>
      <w:bookmarkEnd w:id="1"/>
      <w:r>
        <w:t>mpresas han sido enjuiciadas sobre la base de informes de los comités de vigilancia, y si se imparte a los miembros de éstos la capacitación necesaria para el desempeño de sus funciones.</w:t>
      </w:r>
    </w:p>
    <w:p w:rsidR="00784B23" w:rsidRDefault="00784B23">
      <w:pPr>
        <w:pStyle w:val="DualTxt"/>
      </w:pPr>
      <w:r>
        <w:t>46.</w:t>
      </w:r>
      <w:r>
        <w:tab/>
      </w:r>
      <w:r>
        <w:rPr>
          <w:b/>
          <w:bCs/>
        </w:rPr>
        <w:t xml:space="preserve">La Sra. Schöpp-Schilling </w:t>
      </w:r>
      <w:r>
        <w:t>dice que el próximo informe debe contener información concreta sobre los efectos de la legislación relativa al adelanto de la m</w:t>
      </w:r>
      <w:r>
        <w:t>u</w:t>
      </w:r>
      <w:r>
        <w:t>jer. Insta a que se robustezcan aun más las organiz</w:t>
      </w:r>
      <w:r>
        <w:t>a</w:t>
      </w:r>
      <w:r>
        <w:t>ciones no gubernamentales de mujeres, particularmente con objeto de que las cuestiones relacionadas con la mujer se incorporen a los temarios de las comunidades religiosas. Por último, desea saber si el Gobierno de la India aceptará la enmienda del artículo 20 de la Co</w:t>
      </w:r>
      <w:r>
        <w:t>n</w:t>
      </w:r>
      <w:r>
        <w:t>vención y si se propone firmar y ratificar el Protocolo Facultativo.</w:t>
      </w:r>
    </w:p>
    <w:p w:rsidR="00784B23" w:rsidRDefault="00784B23">
      <w:pPr>
        <w:pStyle w:val="DualTxt"/>
      </w:pPr>
      <w:r>
        <w:t>47.</w:t>
      </w:r>
      <w:r>
        <w:tab/>
      </w:r>
      <w:r>
        <w:rPr>
          <w:b/>
          <w:bCs/>
        </w:rPr>
        <w:t xml:space="preserve">La Sra. Abaka </w:t>
      </w:r>
      <w:r>
        <w:t>celebra el enfoque integral de la salud que se describe en el informe y se manifiesta complacida por las respuestas a las preguntas, pero subraya que la accesibilidad de los centros de salud es también un elemento muy importante del programa. Con respecto al uso de drogas como el pan masala, sin duda el fenómeno tiene una perspectiva de género que hay que considerar; por ejemplo, deben estudiarse los efectos del uso de dichas sustancias en las mujeres e</w:t>
      </w:r>
      <w:r>
        <w:t>m</w:t>
      </w:r>
      <w:r>
        <w:t>barazadas.</w:t>
      </w:r>
    </w:p>
    <w:p w:rsidR="00784B23" w:rsidRDefault="00784B23">
      <w:pPr>
        <w:pStyle w:val="DualTxt"/>
      </w:pPr>
      <w:r>
        <w:t>48.</w:t>
      </w:r>
      <w:r>
        <w:tab/>
      </w:r>
      <w:r>
        <w:rPr>
          <w:b/>
          <w:bCs/>
        </w:rPr>
        <w:t xml:space="preserve">La Sra. Aggarwal </w:t>
      </w:r>
      <w:r>
        <w:t>(India) dice que ha tomado nota de los comentarios y las sugerencias del Comité, especialmente la observación de que los recursos que destina el Gobierno a los asuntos de la mujer son ins</w:t>
      </w:r>
      <w:r>
        <w:t>u</w:t>
      </w:r>
      <w:r>
        <w:t>ficientes. Conviene en que la educación es el factor fund</w:t>
      </w:r>
      <w:r>
        <w:t>a</w:t>
      </w:r>
      <w:r>
        <w:t>mental del mejoramiento de la condición jurídica y s</w:t>
      </w:r>
      <w:r>
        <w:t>o</w:t>
      </w:r>
      <w:r>
        <w:t>cial de la mujer.</w:t>
      </w:r>
    </w:p>
    <w:p w:rsidR="00784B23" w:rsidRDefault="00784B23">
      <w:pPr>
        <w:pStyle w:val="DualTxt"/>
      </w:pPr>
      <w:r>
        <w:t>49.</w:t>
      </w:r>
      <w:r>
        <w:tab/>
      </w:r>
      <w:r>
        <w:rPr>
          <w:b/>
          <w:bCs/>
        </w:rPr>
        <w:t xml:space="preserve">La Presidenta </w:t>
      </w:r>
      <w:r>
        <w:t>declara que las respuestas detall</w:t>
      </w:r>
      <w:r>
        <w:t>a</w:t>
      </w:r>
      <w:r>
        <w:t>das que se han dado a las preguntas del Comité ponen en evidencia la voluntad política que anima al Gobie</w:t>
      </w:r>
      <w:r>
        <w:t>r</w:t>
      </w:r>
      <w:r>
        <w:t>no. Lo que más preocupa al Comité es la educación, que no sólo es el instrumento más decisivo para el d</w:t>
      </w:r>
      <w:r>
        <w:t>e</w:t>
      </w:r>
      <w:r>
        <w:t>sarrollo sino también un derecho humano fundamental, que hace posible el ejercicio de todos los demás der</w:t>
      </w:r>
      <w:r>
        <w:t>e</w:t>
      </w:r>
      <w:r>
        <w:t>chos. Las mujeres que no cuentan con la educación n</w:t>
      </w:r>
      <w:r>
        <w:t>e</w:t>
      </w:r>
      <w:r>
        <w:t>cesaria para conocer sus derechos no pueden ejercerlos. Interesa igualmente al Comité la protección de las m</w:t>
      </w:r>
      <w:r>
        <w:t>u</w:t>
      </w:r>
      <w:r>
        <w:t>jeres contra la violencia en la familia y en la comun</w:t>
      </w:r>
      <w:r>
        <w:t>i</w:t>
      </w:r>
      <w:r>
        <w:t>dad. Asimismo, espera que el Gobierno ponga algún empeño en realzar la conciencia de los derechos de la mujer en las comunidades religiosas, y en alentar a é</w:t>
      </w:r>
      <w:r>
        <w:t>s</w:t>
      </w:r>
      <w:r>
        <w:t>tas a dar los pasos iniciales para la modificación de sus leyes de condición personal. Finalmente, insta a que se dé amplia difusión al informe y a las actas de las del</w:t>
      </w:r>
      <w:r>
        <w:t>i</w:t>
      </w:r>
      <w:r>
        <w:t>beraciones del Comité tanto entre las entidades estat</w:t>
      </w:r>
      <w:r>
        <w:t>a</w:t>
      </w:r>
      <w:r>
        <w:t>les como en el sector no gubernamental.</w:t>
      </w:r>
    </w:p>
    <w:p w:rsidR="00784B23" w:rsidRDefault="00784B23">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11.40 horas.</w:t>
      </w:r>
    </w:p>
    <w:sectPr w:rsidR="00784B23">
      <w:endnotePr>
        <w:numFmt w:val="decimal"/>
      </w:endnotePr>
      <w:type w:val="continuous"/>
      <w:pgSz w:w="12240" w:h="15840" w:code="1"/>
      <w:pgMar w:top="1742" w:right="1195" w:bottom="1898" w:left="1195" w:header="576" w:footer="1030" w:gutter="0"/>
      <w:cols w:num="2" w:space="240"/>
      <w:noEndnote/>
      <w:docGrid w:linePitch="2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784B23" w:rsidRDefault="00784B23">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NO&gt;&gt;N0026963S&lt;&lt;ODS JOB NO&gt;&gt;</w:t>
      </w:r>
    </w:p>
    <w:p w:rsidR="00784B23" w:rsidRDefault="00784B23">
      <w:pPr>
        <w:pStyle w:val="CommentText"/>
        <w:rPr>
          <w:lang w:val="en-US"/>
        </w:rPr>
      </w:pPr>
      <w:r>
        <w:rPr>
          <w:lang w:val="en-US"/>
        </w:rPr>
        <w:t>&lt;&lt;ODS DOC SYMBOL1&gt;&gt;CEDAW/C/SR.462&lt;&lt;ODS DOC SYMBOL1&gt;&gt;</w:t>
      </w:r>
    </w:p>
    <w:p w:rsidR="00784B23" w:rsidRDefault="00784B23">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3A" w:rsidRDefault="0070043A" w:rsidP="00784B23">
      <w:pPr>
        <w:pStyle w:val="Small"/>
      </w:pPr>
      <w:r>
        <w:separator/>
      </w:r>
    </w:p>
  </w:endnote>
  <w:endnote w:type="continuationSeparator" w:id="0">
    <w:p w:rsidR="0070043A" w:rsidRDefault="0070043A" w:rsidP="00784B23">
      <w:pPr>
        <w:pStyle w:val="Sma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84B23">
      <w:tblPrEx>
        <w:tblCellMar>
          <w:top w:w="0" w:type="dxa"/>
          <w:bottom w:w="0" w:type="dxa"/>
        </w:tblCellMar>
      </w:tblPrEx>
      <w:tc>
        <w:tcPr>
          <w:tcW w:w="5033" w:type="dxa"/>
          <w:vAlign w:val="bottom"/>
        </w:tcPr>
        <w:p w:rsidR="00784B23" w:rsidRDefault="00784B23">
          <w:pPr>
            <w:pStyle w:val="Footer"/>
          </w:pPr>
          <w:r>
            <w:rPr>
              <w:rStyle w:val="PageNumber"/>
            </w:rPr>
            <w:fldChar w:fldCharType="begin"/>
          </w:r>
          <w:r>
            <w:rPr>
              <w:rStyle w:val="PageNumber"/>
            </w:rPr>
            <w:instrText xml:space="preserve"> PAGE </w:instrText>
          </w:r>
          <w:r>
            <w:rPr>
              <w:rStyle w:val="PageNumber"/>
            </w:rPr>
            <w:fldChar w:fldCharType="separate"/>
          </w:r>
          <w:r w:rsidR="00BF20C0">
            <w:rPr>
              <w:rStyle w:val="PageNumber"/>
            </w:rPr>
            <w:t>8</w:t>
          </w:r>
          <w:r>
            <w:rPr>
              <w:rStyle w:val="PageNumber"/>
            </w:rPr>
            <w:fldChar w:fldCharType="end"/>
          </w:r>
        </w:p>
      </w:tc>
      <w:tc>
        <w:tcPr>
          <w:tcW w:w="5033" w:type="dxa"/>
          <w:vAlign w:val="bottom"/>
        </w:tcPr>
        <w:p w:rsidR="00784B23" w:rsidRDefault="00784B23">
          <w:pPr>
            <w:pStyle w:val="Footer"/>
            <w:jc w:val="right"/>
          </w:pPr>
          <w:r>
            <w:rPr>
              <w:b w:val="0"/>
              <w:sz w:val="14"/>
            </w:rPr>
            <w:fldChar w:fldCharType="begin"/>
          </w:r>
          <w:r>
            <w:rPr>
              <w:b w:val="0"/>
              <w:sz w:val="14"/>
            </w:rPr>
            <w:instrText xml:space="preserve"> FILENAME \* Lower  \* MERGEFORMAT </w:instrText>
          </w:r>
          <w:r>
            <w:rPr>
              <w:b w:val="0"/>
              <w:sz w:val="14"/>
            </w:rPr>
            <w:fldChar w:fldCharType="separate"/>
          </w:r>
          <w:r w:rsidR="00BF20C0">
            <w:rPr>
              <w:b w:val="0"/>
              <w:sz w:val="14"/>
            </w:rPr>
            <w:t>0026963s.doc</w:t>
          </w:r>
          <w:r>
            <w:rPr>
              <w:b w:val="0"/>
              <w:sz w:val="14"/>
            </w:rPr>
            <w:fldChar w:fldCharType="end"/>
          </w:r>
        </w:p>
      </w:tc>
    </w:tr>
  </w:tbl>
  <w:p w:rsidR="00784B23" w:rsidRDefault="00784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84B23">
      <w:tblPrEx>
        <w:tblCellMar>
          <w:top w:w="0" w:type="dxa"/>
          <w:bottom w:w="0" w:type="dxa"/>
        </w:tblCellMar>
      </w:tblPrEx>
      <w:tc>
        <w:tcPr>
          <w:tcW w:w="5033" w:type="dxa"/>
          <w:vAlign w:val="bottom"/>
        </w:tcPr>
        <w:p w:rsidR="00784B23" w:rsidRDefault="00784B23">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BF20C0">
            <w:rPr>
              <w:b w:val="0"/>
              <w:sz w:val="14"/>
            </w:rPr>
            <w:t>0026963s.doc</w:t>
          </w:r>
          <w:r>
            <w:rPr>
              <w:b w:val="0"/>
              <w:sz w:val="14"/>
            </w:rPr>
            <w:fldChar w:fldCharType="end"/>
          </w:r>
        </w:p>
      </w:tc>
      <w:tc>
        <w:tcPr>
          <w:tcW w:w="5033" w:type="dxa"/>
          <w:vAlign w:val="bottom"/>
        </w:tcPr>
        <w:p w:rsidR="00784B23" w:rsidRDefault="00784B23">
          <w:pPr>
            <w:pStyle w:val="Footer"/>
            <w:jc w:val="right"/>
            <w:rPr>
              <w:b w:val="0"/>
              <w:sz w:val="14"/>
            </w:rPr>
          </w:pPr>
          <w:r>
            <w:rPr>
              <w:rStyle w:val="PageNumber"/>
            </w:rPr>
            <w:fldChar w:fldCharType="begin"/>
          </w:r>
          <w:r>
            <w:rPr>
              <w:rStyle w:val="PageNumber"/>
            </w:rPr>
            <w:instrText xml:space="preserve"> PAGE </w:instrText>
          </w:r>
          <w:r>
            <w:rPr>
              <w:rStyle w:val="PageNumber"/>
            </w:rPr>
            <w:fldChar w:fldCharType="separate"/>
          </w:r>
          <w:r w:rsidR="00BF20C0">
            <w:rPr>
              <w:rStyle w:val="PageNumber"/>
            </w:rPr>
            <w:t>9</w:t>
          </w:r>
          <w:r>
            <w:rPr>
              <w:rStyle w:val="PageNumber"/>
            </w:rPr>
            <w:fldChar w:fldCharType="end"/>
          </w:r>
        </w:p>
      </w:tc>
    </w:tr>
  </w:tbl>
  <w:p w:rsidR="00784B23" w:rsidRDefault="00784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23" w:rsidRDefault="00784B23">
    <w:pPr>
      <w:pStyle w:val="Footer"/>
      <w:pBdr>
        <w:top w:val="single" w:sz="2" w:space="1" w:color="auto"/>
      </w:pBdr>
      <w:rPr>
        <w:sz w:val="2"/>
      </w:rPr>
    </w:pPr>
  </w:p>
  <w:p w:rsidR="00784B23" w:rsidRDefault="00784B23">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784B23" w:rsidRDefault="00784B23">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784B23" w:rsidRDefault="00784B23">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784B23" w:rsidRDefault="00784B23">
    <w:pPr>
      <w:pStyle w:val="FootnoteText"/>
      <w:spacing w:line="120" w:lineRule="exact"/>
      <w:ind w:left="1267" w:right="1267" w:firstLine="0"/>
      <w:rPr>
        <w:sz w:val="10"/>
      </w:rPr>
    </w:pPr>
  </w:p>
  <w:p w:rsidR="00784B23" w:rsidRDefault="00784B23">
    <w:pPr>
      <w:pStyle w:val="Footer"/>
      <w:rPr>
        <w:b w:val="0"/>
        <w:sz w:val="20"/>
      </w:rPr>
    </w:pPr>
    <w:r>
      <w:rPr>
        <w:b w:val="0"/>
        <w:sz w:val="20"/>
      </w:rPr>
      <w:t>00-26963 (S)</w:t>
    </w:r>
  </w:p>
  <w:p w:rsidR="00784B23" w:rsidRPr="00BF20C0" w:rsidRDefault="00784B23">
    <w:pPr>
      <w:pStyle w:val="Footer"/>
      <w:spacing w:before="60" w:line="200" w:lineRule="exact"/>
      <w:rPr>
        <w:rFonts w:ascii="Barcode 3 of 9 by request" w:hAnsi="Barcode 3 of 9 by request"/>
        <w:b w:val="0"/>
        <w:sz w:val="20"/>
      </w:rPr>
    </w:pPr>
    <w:r w:rsidRPr="00BF20C0">
      <w:rPr>
        <w:rFonts w:ascii="Barcode 3 of 9 by request" w:hAnsi="Barcode 3 of 9 by request"/>
        <w:b w:val="0"/>
        <w:sz w:val="20"/>
      </w:rPr>
      <w:t>*0026963*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3A" w:rsidRDefault="0070043A" w:rsidP="00784B23">
      <w:pPr>
        <w:pStyle w:val="Small"/>
      </w:pPr>
      <w:r>
        <w:separator/>
      </w:r>
    </w:p>
  </w:footnote>
  <w:footnote w:type="continuationSeparator" w:id="0">
    <w:p w:rsidR="0070043A" w:rsidRDefault="0070043A" w:rsidP="00784B23">
      <w:pPr>
        <w:pStyle w:val="Sma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23" w:rsidRDefault="00784B23">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84B23">
                  <w:tblPrEx>
                    <w:tblCellMar>
                      <w:top w:w="0" w:type="dxa"/>
                      <w:bottom w:w="0" w:type="dxa"/>
                    </w:tblCellMar>
                  </w:tblPrEx>
                  <w:trPr>
                    <w:trHeight w:hRule="exact" w:val="864"/>
                  </w:trPr>
                  <w:tc>
                    <w:tcPr>
                      <w:tcW w:w="4838" w:type="dxa"/>
                      <w:vAlign w:val="bottom"/>
                    </w:tcPr>
                    <w:p w:rsidR="00784B23" w:rsidRDefault="00784B23">
                      <w:pPr>
                        <w:pStyle w:val="Header"/>
                        <w:spacing w:after="80"/>
                        <w:rPr>
                          <w:b/>
                        </w:rPr>
                      </w:pPr>
                      <w:r>
                        <w:rPr>
                          <w:b/>
                        </w:rPr>
                        <w:t>CEDAW/C/SR.462</w:t>
                      </w:r>
                    </w:p>
                  </w:tc>
                  <w:tc>
                    <w:tcPr>
                      <w:tcW w:w="5048" w:type="dxa"/>
                      <w:vAlign w:val="bottom"/>
                    </w:tcPr>
                    <w:p w:rsidR="00784B23" w:rsidRDefault="00784B23">
                      <w:pPr>
                        <w:pStyle w:val="Header"/>
                      </w:pPr>
                    </w:p>
                  </w:tc>
                </w:tr>
              </w:tbl>
              <w:p w:rsidR="00784B23" w:rsidRDefault="00784B23">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23" w:rsidRDefault="00784B23">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84B23">
                  <w:tblPrEx>
                    <w:tblCellMar>
                      <w:top w:w="0" w:type="dxa"/>
                      <w:bottom w:w="0" w:type="dxa"/>
                    </w:tblCellMar>
                  </w:tblPrEx>
                  <w:trPr>
                    <w:trHeight w:hRule="exact" w:val="864"/>
                  </w:trPr>
                  <w:tc>
                    <w:tcPr>
                      <w:tcW w:w="4838" w:type="dxa"/>
                      <w:vAlign w:val="bottom"/>
                    </w:tcPr>
                    <w:p w:rsidR="00784B23" w:rsidRDefault="00784B23">
                      <w:pPr>
                        <w:pStyle w:val="Header"/>
                      </w:pPr>
                    </w:p>
                  </w:tc>
                  <w:tc>
                    <w:tcPr>
                      <w:tcW w:w="5048" w:type="dxa"/>
                      <w:vAlign w:val="bottom"/>
                    </w:tcPr>
                    <w:p w:rsidR="00784B23" w:rsidRDefault="00784B23">
                      <w:pPr>
                        <w:pStyle w:val="Header"/>
                        <w:spacing w:after="80"/>
                        <w:jc w:val="right"/>
                        <w:rPr>
                          <w:b/>
                        </w:rPr>
                      </w:pPr>
                      <w:r>
                        <w:rPr>
                          <w:b/>
                        </w:rPr>
                        <w:t>CEDAW/C/SR.462</w:t>
                      </w:r>
                    </w:p>
                  </w:tc>
                </w:tr>
              </w:tbl>
              <w:p w:rsidR="00784B23" w:rsidRDefault="00784B23">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84B23">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784B23" w:rsidRDefault="00784B23">
          <w:pPr>
            <w:pStyle w:val="Header"/>
            <w:spacing w:after="120"/>
          </w:pPr>
        </w:p>
      </w:tc>
      <w:tc>
        <w:tcPr>
          <w:tcW w:w="2059" w:type="dxa"/>
          <w:tcBorders>
            <w:top w:val="nil"/>
            <w:left w:val="nil"/>
            <w:bottom w:val="single" w:sz="4" w:space="0" w:color="auto"/>
            <w:right w:val="nil"/>
          </w:tcBorders>
          <w:vAlign w:val="bottom"/>
        </w:tcPr>
        <w:p w:rsidR="00784B23" w:rsidRDefault="00784B23">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784B23" w:rsidRDefault="00784B23">
          <w:pPr>
            <w:pStyle w:val="Header"/>
            <w:spacing w:after="120"/>
          </w:pPr>
        </w:p>
      </w:tc>
      <w:tc>
        <w:tcPr>
          <w:tcW w:w="6523" w:type="dxa"/>
          <w:gridSpan w:val="3"/>
          <w:tcBorders>
            <w:top w:val="nil"/>
            <w:left w:val="nil"/>
            <w:bottom w:val="single" w:sz="4" w:space="0" w:color="auto"/>
            <w:right w:val="nil"/>
          </w:tcBorders>
          <w:vAlign w:val="bottom"/>
        </w:tcPr>
        <w:p w:rsidR="00784B23" w:rsidRDefault="00784B23">
          <w:pPr>
            <w:spacing w:after="80" w:line="240" w:lineRule="auto"/>
            <w:jc w:val="right"/>
            <w:rPr>
              <w:position w:val="-4"/>
            </w:rPr>
          </w:pPr>
          <w:r>
            <w:rPr>
              <w:position w:val="-4"/>
              <w:sz w:val="40"/>
            </w:rPr>
            <w:t>CEDAW</w:t>
          </w:r>
          <w:r>
            <w:rPr>
              <w:position w:val="-4"/>
            </w:rPr>
            <w:t>/C/SR.462</w:t>
          </w:r>
        </w:p>
      </w:tc>
    </w:tr>
    <w:tr w:rsidR="00784B23">
      <w:tblPrEx>
        <w:tblCellMar>
          <w:top w:w="0" w:type="dxa"/>
          <w:bottom w:w="0" w:type="dxa"/>
        </w:tblCellMar>
      </w:tblPrEx>
      <w:trPr>
        <w:trHeight w:hRule="exact" w:val="2880"/>
      </w:trPr>
      <w:tc>
        <w:tcPr>
          <w:tcW w:w="1267" w:type="dxa"/>
          <w:tcBorders>
            <w:left w:val="nil"/>
            <w:bottom w:val="single" w:sz="12" w:space="0" w:color="auto"/>
            <w:right w:val="nil"/>
          </w:tcBorders>
        </w:tcPr>
        <w:p w:rsidR="00784B23" w:rsidRDefault="00784B23">
          <w:pPr>
            <w:pStyle w:val="Header"/>
            <w:spacing w:before="109"/>
            <w:rPr>
              <w:lang w:val="es-ES"/>
            </w:rPr>
          </w:pPr>
          <w:r>
            <w:rPr>
              <w:lang w:val="es-E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84B23" w:rsidRDefault="00784B23">
          <w:pPr>
            <w:pStyle w:val="Header"/>
            <w:spacing w:before="109"/>
            <w:rPr>
              <w:lang w:val="es-ES"/>
            </w:rPr>
          </w:pPr>
        </w:p>
      </w:tc>
      <w:tc>
        <w:tcPr>
          <w:tcW w:w="5227" w:type="dxa"/>
          <w:gridSpan w:val="3"/>
          <w:tcBorders>
            <w:left w:val="nil"/>
            <w:bottom w:val="single" w:sz="12" w:space="0" w:color="auto"/>
            <w:right w:val="nil"/>
          </w:tcBorders>
        </w:tcPr>
        <w:p w:rsidR="00784B23" w:rsidRDefault="00784B23">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784B23" w:rsidRDefault="00784B23">
          <w:pPr>
            <w:pStyle w:val="Header"/>
            <w:spacing w:before="109"/>
            <w:rPr>
              <w:lang w:val="es-ES"/>
            </w:rPr>
          </w:pPr>
        </w:p>
      </w:tc>
      <w:tc>
        <w:tcPr>
          <w:tcW w:w="3180" w:type="dxa"/>
          <w:gridSpan w:val="2"/>
          <w:tcBorders>
            <w:left w:val="nil"/>
            <w:bottom w:val="single" w:sz="12" w:space="0" w:color="auto"/>
            <w:right w:val="nil"/>
          </w:tcBorders>
        </w:tcPr>
        <w:p w:rsidR="00784B23" w:rsidRDefault="00784B23">
          <w:pPr>
            <w:spacing w:before="240"/>
          </w:pPr>
          <w:r>
            <w:t>Distr. general</w:t>
          </w:r>
        </w:p>
        <w:p w:rsidR="00784B23" w:rsidRDefault="00784B23">
          <w:r>
            <w:t>1</w:t>
          </w:r>
          <w:r w:rsidR="00BF20C0">
            <w:t>7</w:t>
          </w:r>
          <w:r>
            <w:t xml:space="preserve"> de agosto de 200</w:t>
          </w:r>
          <w:r w:rsidR="00BF20C0">
            <w:t>6</w:t>
          </w:r>
        </w:p>
        <w:p w:rsidR="00784B23" w:rsidRDefault="00784B23">
          <w:r>
            <w:t>Español</w:t>
          </w:r>
        </w:p>
        <w:p w:rsidR="00784B23" w:rsidRDefault="00784B23">
          <w:r>
            <w:t>Original: inglés</w:t>
          </w:r>
        </w:p>
      </w:tc>
    </w:tr>
  </w:tbl>
  <w:p w:rsidR="00784B23" w:rsidRDefault="00784B23">
    <w:pPr>
      <w:pStyle w:val="Header"/>
      <w:rPr>
        <w:sz w:val="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14"/>
  <w:doNotHyphenateCaps/>
  <w:evenAndOddHeaders/>
  <w:drawingGridHorizontalSpacing w:val="79"/>
  <w:drawingGridVerticalSpacing w:val="209"/>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5/2006 21:43:53"/>
    <w:docVar w:name="DocCategory" w:val="SROthers"/>
    <w:docVar w:name="DocType" w:val="Final"/>
    <w:docVar w:name="JobNo" w:val="0121964S"/>
    <w:docVar w:name="OandT" w:val=" "/>
    <w:docVar w:name="Symbol1" w:val="CEDAW/C/SR.492"/>
    <w:docVar w:name="Symbol2" w:val="-"/>
  </w:docVars>
  <w:rsids>
    <w:rsidRoot w:val="00784B23"/>
    <w:rsid w:val="0070043A"/>
    <w:rsid w:val="00784B23"/>
    <w:rsid w:val="00BF20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DualTxt"/>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sid w:val="00784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6132</Words>
  <Characters>31765</Characters>
  <Application>Microsoft Office Word</Application>
  <DocSecurity>4</DocSecurity>
  <Lines>794</Lines>
  <Paragraphs>81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
  <LinksUpToDate>false</LinksUpToDate>
  <CharactersWithSpaces>37816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default</dc:creator>
  <cp:keywords/>
  <dc:description/>
  <cp:lastModifiedBy>Janssen, Joyce</cp:lastModifiedBy>
  <cp:revision>3</cp:revision>
  <cp:lastPrinted>2006-08-16T21:24:00Z</cp:lastPrinted>
  <dcterms:created xsi:type="dcterms:W3CDTF">2006-08-16T21:23:00Z</dcterms:created>
  <dcterms:modified xsi:type="dcterms:W3CDTF">2006-08-16T21:25:00Z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0121964</vt:lpwstr>
  </property>
  <property fmtid="{D5CDD505-2E9C-101B-9397-08002B2CF9AE}" pid="3" name="Symbol1">
    <vt:lpwstr>CEDAW/C/SR.492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