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F0958" w14:paraId="713BE1E9" w14:textId="77777777" w:rsidTr="0075638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FCB2EC9" w14:textId="77777777" w:rsidR="001E498C" w:rsidRPr="009C41E2" w:rsidRDefault="001E498C" w:rsidP="005C06D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CE9F94" w14:textId="3B2C2D9B" w:rsidR="001E498C" w:rsidRPr="009C41E2" w:rsidRDefault="006252EF" w:rsidP="005C06D4">
            <w:pPr>
              <w:spacing w:after="80" w:line="300" w:lineRule="exact"/>
              <w:rPr>
                <w:sz w:val="24"/>
                <w:szCs w:val="24"/>
              </w:rPr>
            </w:pPr>
            <w:r w:rsidRPr="009C41E2">
              <w:rPr>
                <w:sz w:val="28"/>
                <w:szCs w:val="28"/>
              </w:rPr>
              <w:t>United</w:t>
            </w:r>
            <w:r>
              <w:rPr>
                <w:sz w:val="28"/>
                <w:szCs w:val="28"/>
              </w:rPr>
              <w:t xml:space="preserve"> </w:t>
            </w:r>
            <w:r w:rsidRPr="009C41E2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1CC99FB" w14:textId="6C5FEB02" w:rsidR="001E498C" w:rsidRPr="009C41E2" w:rsidRDefault="006252EF" w:rsidP="003B0B0F">
            <w:pPr>
              <w:suppressAutoHyphens w:val="0"/>
              <w:spacing w:after="20"/>
              <w:jc w:val="right"/>
            </w:pPr>
            <w:r w:rsidRPr="00603C5A">
              <w:rPr>
                <w:sz w:val="40"/>
              </w:rPr>
              <w:t>CEDAW</w:t>
            </w:r>
            <w:r w:rsidRPr="00603C5A">
              <w:t>/</w:t>
            </w:r>
            <w:r w:rsidR="00257838" w:rsidRPr="00603C5A">
              <w:t>C/SR.1799</w:t>
            </w:r>
          </w:p>
        </w:tc>
      </w:tr>
      <w:tr w:rsidR="00BF0958" w14:paraId="4D4DBE47" w14:textId="77777777" w:rsidTr="61FA7B8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156A809" w14:textId="77777777" w:rsidR="001E498C" w:rsidRPr="009C41E2" w:rsidRDefault="006252EF" w:rsidP="005C06D4">
            <w:pPr>
              <w:spacing w:before="120"/>
              <w:jc w:val="center"/>
            </w:pPr>
            <w:r w:rsidRPr="009C41E2">
              <w:rPr>
                <w:noProof/>
                <w:lang w:val="fr-CH" w:eastAsia="fr-CH"/>
              </w:rPr>
              <w:drawing>
                <wp:inline distT="0" distB="0" distL="0" distR="0" wp14:anchorId="022A75EC" wp14:editId="07777777">
                  <wp:extent cx="714375" cy="590550"/>
                  <wp:effectExtent l="0" t="0" r="9525" b="0"/>
                  <wp:docPr id="104643685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463843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793139" w14:textId="0EAEC638" w:rsidR="001E498C" w:rsidRPr="006813D2" w:rsidRDefault="006252EF" w:rsidP="003D3938">
            <w:pPr>
              <w:spacing w:before="120" w:line="380" w:lineRule="exact"/>
              <w:rPr>
                <w:b/>
                <w:bCs/>
                <w:sz w:val="34"/>
                <w:szCs w:val="40"/>
              </w:rPr>
            </w:pPr>
            <w:r w:rsidRPr="006813D2">
              <w:rPr>
                <w:b/>
                <w:bCs/>
                <w:sz w:val="34"/>
                <w:szCs w:val="40"/>
              </w:rPr>
              <w:t>Convention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on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the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Elimination</w:t>
            </w:r>
            <w:r w:rsidRPr="006813D2">
              <w:rPr>
                <w:b/>
                <w:bCs/>
                <w:sz w:val="34"/>
                <w:szCs w:val="40"/>
              </w:rPr>
              <w:br/>
              <w:t>of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All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Forms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of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Discrimination</w:t>
            </w:r>
            <w:r w:rsidRPr="006813D2">
              <w:rPr>
                <w:b/>
                <w:bCs/>
                <w:sz w:val="34"/>
                <w:szCs w:val="40"/>
              </w:rPr>
              <w:br/>
              <w:t>against</w:t>
            </w:r>
            <w:r>
              <w:rPr>
                <w:b/>
                <w:bCs/>
                <w:sz w:val="34"/>
                <w:szCs w:val="40"/>
              </w:rPr>
              <w:t xml:space="preserve"> </w:t>
            </w:r>
            <w:r w:rsidRPr="006813D2">
              <w:rPr>
                <w:b/>
                <w:bCs/>
                <w:sz w:val="34"/>
                <w:szCs w:val="40"/>
              </w:rPr>
              <w:t>Women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86203EB" w14:textId="5AFDAE1A" w:rsidR="001E498C" w:rsidRPr="00BE5B1D" w:rsidRDefault="006252EF" w:rsidP="005C06D4">
            <w:pPr>
              <w:suppressAutoHyphens w:val="0"/>
              <w:spacing w:before="240" w:line="240" w:lineRule="exact"/>
              <w:rPr>
                <w:lang w:val="en-US"/>
              </w:rPr>
            </w:pPr>
            <w:r w:rsidRPr="00BE5B1D">
              <w:rPr>
                <w:lang w:val="en-US"/>
              </w:rPr>
              <w:t>Distr.</w:t>
            </w:r>
            <w:r w:rsidR="0046257D" w:rsidRPr="00BE5B1D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257838" w:rsidRPr="00BE5B1D">
              <w:rPr>
                <w:lang w:val="en-US"/>
              </w:rPr>
              <w:t>General</w:t>
            </w:r>
          </w:p>
          <w:p w14:paraId="486150AA" w14:textId="30301727" w:rsidR="00603C5A" w:rsidRDefault="00756383" w:rsidP="005C06D4">
            <w:pPr>
              <w:suppressAutoHyphens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252EF">
              <w:rPr>
                <w:lang w:val="en-US"/>
              </w:rPr>
              <w:t xml:space="preserve"> </w:t>
            </w:r>
            <w:r w:rsidR="00BE5B1D" w:rsidRPr="00BE5B1D">
              <w:rPr>
                <w:lang w:val="en-US"/>
              </w:rPr>
              <w:t>M</w:t>
            </w:r>
            <w:r w:rsidR="00BE5B1D">
              <w:rPr>
                <w:lang w:val="en-US"/>
              </w:rPr>
              <w:t>arch</w:t>
            </w:r>
            <w:r w:rsidR="006252EF">
              <w:rPr>
                <w:lang w:val="en-US"/>
              </w:rPr>
              <w:t xml:space="preserve"> </w:t>
            </w:r>
            <w:r w:rsidR="00BE5B1D">
              <w:rPr>
                <w:lang w:val="en-US"/>
              </w:rPr>
              <w:t>2021</w:t>
            </w:r>
          </w:p>
          <w:p w14:paraId="58FC5387" w14:textId="77777777" w:rsidR="00C24A96" w:rsidRDefault="00C24A96" w:rsidP="005C06D4">
            <w:pPr>
              <w:suppressAutoHyphens w:val="0"/>
              <w:rPr>
                <w:lang w:val="en-US"/>
              </w:rPr>
            </w:pPr>
          </w:p>
          <w:p w14:paraId="44A6C7DA" w14:textId="6DF7DD93" w:rsidR="006056E0" w:rsidRPr="00BE5B1D" w:rsidRDefault="006252EF" w:rsidP="005C06D4">
            <w:pPr>
              <w:suppressAutoHyphens w:val="0"/>
              <w:rPr>
                <w:lang w:val="en-US"/>
              </w:rPr>
            </w:pPr>
            <w:bookmarkStart w:id="0" w:name="_GoBack"/>
            <w:bookmarkEnd w:id="0"/>
            <w:r w:rsidRPr="00BE5B1D">
              <w:rPr>
                <w:lang w:val="en-US"/>
              </w:rPr>
              <w:t>Original:</w:t>
            </w:r>
            <w:r>
              <w:rPr>
                <w:lang w:val="en-US"/>
              </w:rPr>
              <w:t xml:space="preserve"> </w:t>
            </w:r>
            <w:r w:rsidRPr="00BE5B1D">
              <w:rPr>
                <w:lang w:val="en-US"/>
              </w:rPr>
              <w:t>English</w:t>
            </w:r>
          </w:p>
        </w:tc>
      </w:tr>
    </w:tbl>
    <w:p w14:paraId="3A897998" w14:textId="5FF778EE" w:rsidR="00CB43B4" w:rsidRDefault="006252EF" w:rsidP="00CB43B4">
      <w:pPr>
        <w:spacing w:before="120"/>
        <w:rPr>
          <w:b/>
          <w:bCs/>
          <w:sz w:val="24"/>
          <w:szCs w:val="24"/>
        </w:rPr>
      </w:pPr>
      <w:r w:rsidRPr="009C41E2">
        <w:rPr>
          <w:b/>
          <w:bCs/>
          <w:sz w:val="24"/>
          <w:szCs w:val="24"/>
        </w:rPr>
        <w:t>Committee</w:t>
      </w:r>
      <w:r>
        <w:rPr>
          <w:b/>
          <w:bCs/>
          <w:sz w:val="24"/>
          <w:szCs w:val="24"/>
        </w:rPr>
        <w:t xml:space="preserve"> </w:t>
      </w:r>
      <w:r w:rsidRPr="009C41E2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</w:t>
      </w:r>
      <w:r w:rsidRPr="009C41E2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Pr="009C41E2">
        <w:rPr>
          <w:b/>
          <w:bCs/>
          <w:sz w:val="24"/>
          <w:szCs w:val="24"/>
        </w:rPr>
        <w:t>Elimination</w:t>
      </w:r>
      <w:r>
        <w:rPr>
          <w:b/>
          <w:bCs/>
          <w:sz w:val="24"/>
          <w:szCs w:val="24"/>
        </w:rPr>
        <w:t xml:space="preserve"> </w:t>
      </w:r>
      <w:r w:rsidRPr="009C41E2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 w:rsidRPr="009C41E2">
        <w:rPr>
          <w:b/>
          <w:bCs/>
          <w:sz w:val="24"/>
          <w:szCs w:val="24"/>
        </w:rPr>
        <w:t>Discrimination</w:t>
      </w:r>
      <w:r w:rsidR="003B0B0F" w:rsidRPr="009C41E2">
        <w:rPr>
          <w:b/>
          <w:bCs/>
          <w:sz w:val="24"/>
          <w:szCs w:val="24"/>
        </w:rPr>
        <w:br/>
      </w:r>
      <w:r w:rsidRPr="009C41E2">
        <w:rPr>
          <w:b/>
          <w:bCs/>
          <w:sz w:val="24"/>
          <w:szCs w:val="24"/>
        </w:rPr>
        <w:t>against</w:t>
      </w:r>
      <w:r>
        <w:rPr>
          <w:b/>
          <w:bCs/>
          <w:sz w:val="24"/>
          <w:szCs w:val="24"/>
        </w:rPr>
        <w:t xml:space="preserve"> </w:t>
      </w:r>
      <w:r w:rsidRPr="009C41E2">
        <w:rPr>
          <w:b/>
          <w:bCs/>
          <w:sz w:val="24"/>
          <w:szCs w:val="24"/>
        </w:rPr>
        <w:t>Women</w:t>
      </w:r>
    </w:p>
    <w:p w14:paraId="470A80DA" w14:textId="46A6BB8E" w:rsidR="003B0B0F" w:rsidRPr="009C41E2" w:rsidRDefault="00257838" w:rsidP="00CB43B4">
      <w:pPr>
        <w:spacing w:after="120"/>
        <w:rPr>
          <w:b/>
          <w:bCs/>
        </w:rPr>
      </w:pPr>
      <w:r w:rsidRPr="009C41E2">
        <w:rPr>
          <w:b/>
          <w:bCs/>
        </w:rPr>
        <w:t>Seventy-eighth</w:t>
      </w:r>
      <w:r w:rsidR="006252EF">
        <w:rPr>
          <w:b/>
          <w:bCs/>
        </w:rPr>
        <w:t xml:space="preserve"> </w:t>
      </w:r>
      <w:r w:rsidR="006252EF" w:rsidRPr="009C41E2">
        <w:rPr>
          <w:b/>
          <w:bCs/>
        </w:rPr>
        <w:t>session</w:t>
      </w:r>
    </w:p>
    <w:p w14:paraId="78FE13B8" w14:textId="513A4BDB" w:rsidR="003B0B0F" w:rsidRPr="00F24D6D" w:rsidRDefault="006252EF" w:rsidP="002E6AF8">
      <w:pPr>
        <w:rPr>
          <w:b/>
          <w:bCs/>
        </w:rPr>
      </w:pPr>
      <w:r w:rsidRPr="00F24D6D">
        <w:rPr>
          <w:b/>
          <w:bCs/>
        </w:rPr>
        <w:t>Summary</w:t>
      </w:r>
      <w:r>
        <w:rPr>
          <w:b/>
          <w:bCs/>
        </w:rPr>
        <w:t xml:space="preserve"> </w:t>
      </w:r>
      <w:r w:rsidRPr="00F24D6D">
        <w:rPr>
          <w:b/>
          <w:bCs/>
        </w:rPr>
        <w:t>record</w:t>
      </w:r>
      <w:r>
        <w:rPr>
          <w:b/>
          <w:bCs/>
        </w:rPr>
        <w:t xml:space="preserve"> </w:t>
      </w:r>
      <w:r w:rsidRPr="00F24D6D">
        <w:rPr>
          <w:b/>
          <w:bCs/>
        </w:rPr>
        <w:t>of</w:t>
      </w:r>
      <w:r>
        <w:rPr>
          <w:b/>
          <w:bCs/>
        </w:rPr>
        <w:t xml:space="preserve"> </w:t>
      </w:r>
      <w:r w:rsidRPr="00F24D6D">
        <w:rPr>
          <w:b/>
          <w:bCs/>
        </w:rPr>
        <w:t>the</w:t>
      </w:r>
      <w:r>
        <w:rPr>
          <w:b/>
          <w:bCs/>
        </w:rPr>
        <w:t xml:space="preserve"> </w:t>
      </w:r>
      <w:r w:rsidR="002E6AF8" w:rsidRPr="00F24D6D">
        <w:rPr>
          <w:b/>
          <w:bCs/>
        </w:rPr>
        <w:t>1799th</w:t>
      </w:r>
      <w:r>
        <w:rPr>
          <w:b/>
          <w:bCs/>
        </w:rPr>
        <w:t xml:space="preserve"> </w:t>
      </w:r>
      <w:r w:rsidRPr="00F24D6D">
        <w:rPr>
          <w:b/>
          <w:bCs/>
        </w:rPr>
        <w:t>meeting</w:t>
      </w:r>
    </w:p>
    <w:p w14:paraId="46476298" w14:textId="12AAD767" w:rsidR="003B0B0F" w:rsidRPr="00603C5A" w:rsidRDefault="61FA7B87" w:rsidP="61FA7B87">
      <w:pPr>
        <w:spacing w:after="120"/>
      </w:pPr>
      <w:r>
        <w:t>Held</w:t>
      </w:r>
      <w:r w:rsidR="006252EF">
        <w:t xml:space="preserve"> </w:t>
      </w:r>
      <w:r>
        <w:t>via</w:t>
      </w:r>
      <w:r w:rsidR="006252EF">
        <w:t xml:space="preserve"> </w:t>
      </w:r>
      <w:r>
        <w:t>videoconference,</w:t>
      </w:r>
      <w:r w:rsidR="006252EF">
        <w:t xml:space="preserve"> </w:t>
      </w:r>
      <w:r>
        <w:t>on</w:t>
      </w:r>
      <w:r w:rsidR="006252EF">
        <w:t xml:space="preserve"> </w:t>
      </w:r>
      <w:r w:rsidR="00AE7729">
        <w:t>Wednesday,</w:t>
      </w:r>
      <w:r w:rsidR="006252EF">
        <w:t xml:space="preserve"> </w:t>
      </w:r>
      <w:r w:rsidR="00AE7729">
        <w:t>24</w:t>
      </w:r>
      <w:r w:rsidR="006252EF">
        <w:t xml:space="preserve"> </w:t>
      </w:r>
      <w:r w:rsidR="00AE7729">
        <w:t>February</w:t>
      </w:r>
      <w:r w:rsidR="006252EF">
        <w:t xml:space="preserve"> </w:t>
      </w:r>
      <w:r w:rsidR="00AE7729">
        <w:t>2021,</w:t>
      </w:r>
      <w:r w:rsidR="006252EF">
        <w:t xml:space="preserve"> </w:t>
      </w:r>
      <w:r w:rsidR="00AE7729">
        <w:t>at</w:t>
      </w:r>
      <w:r w:rsidR="006252EF">
        <w:t xml:space="preserve"> </w:t>
      </w:r>
      <w:r w:rsidR="7089BA5D">
        <w:t>12.</w:t>
      </w:r>
      <w:r w:rsidR="00AE7729">
        <w:t>3</w:t>
      </w:r>
      <w:r w:rsidR="4B1C07D2">
        <w:t>0</w:t>
      </w:r>
      <w:r w:rsidR="006252EF">
        <w:t xml:space="preserve"> </w:t>
      </w:r>
      <w:r w:rsidR="00AE7729">
        <w:t>p.</w:t>
      </w:r>
      <w:r w:rsidR="00AE7729" w:rsidRPr="61FA7B87">
        <w:t>m.</w:t>
      </w:r>
      <w:r w:rsidR="006252EF">
        <w:t xml:space="preserve"> </w:t>
      </w:r>
      <w:r w:rsidR="274A0F1E" w:rsidRPr="61FA7B87">
        <w:t>Central</w:t>
      </w:r>
      <w:r w:rsidR="006252EF">
        <w:t xml:space="preserve"> </w:t>
      </w:r>
      <w:r w:rsidR="274A0F1E" w:rsidRPr="61FA7B87">
        <w:t>European</w:t>
      </w:r>
      <w:r w:rsidR="006252EF">
        <w:t xml:space="preserve"> </w:t>
      </w:r>
      <w:r w:rsidR="274A0F1E" w:rsidRPr="61FA7B87">
        <w:t>Time</w:t>
      </w:r>
    </w:p>
    <w:p w14:paraId="3B9E38A9" w14:textId="4DCE49C1" w:rsidR="00B43AA9" w:rsidRDefault="006252EF" w:rsidP="00B43AA9">
      <w:pPr>
        <w:tabs>
          <w:tab w:val="left" w:pos="1134"/>
          <w:tab w:val="right" w:leader="dot" w:pos="8504"/>
        </w:tabs>
        <w:spacing w:after="120"/>
      </w:pPr>
      <w:r w:rsidRPr="009C41E2">
        <w:rPr>
          <w:i/>
        </w:rPr>
        <w:t>Chair</w:t>
      </w:r>
      <w:r w:rsidRPr="009C41E2">
        <w:t>:</w:t>
      </w:r>
      <w:r w:rsidRPr="009C41E2">
        <w:tab/>
        <w:t>Ms.</w:t>
      </w:r>
      <w:r>
        <w:t xml:space="preserve"> </w:t>
      </w:r>
      <w:r w:rsidRPr="009C41E2">
        <w:t>Acosta</w:t>
      </w:r>
      <w:r>
        <w:t xml:space="preserve"> </w:t>
      </w:r>
      <w:r w:rsidRPr="009C41E2">
        <w:t>Vargas</w:t>
      </w:r>
    </w:p>
    <w:p w14:paraId="163B1468" w14:textId="77777777" w:rsidR="003B0B0F" w:rsidRDefault="006252EF" w:rsidP="003B0B0F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 w:rsidRPr="009C41E2">
        <w:rPr>
          <w:sz w:val="28"/>
        </w:rPr>
        <w:t>Contents</w:t>
      </w:r>
    </w:p>
    <w:p w14:paraId="738AA322" w14:textId="0231AF23" w:rsidR="00640AA0" w:rsidRDefault="006252EF" w:rsidP="001D4025">
      <w:pPr>
        <w:pStyle w:val="SingleTxtG"/>
        <w:jc w:val="left"/>
      </w:pPr>
      <w:r w:rsidRPr="008C4000">
        <w:t>Consideration</w:t>
      </w:r>
      <w:r>
        <w:t xml:space="preserve"> </w:t>
      </w:r>
      <w:r w:rsidRPr="008C4000">
        <w:t>of</w:t>
      </w:r>
      <w:r>
        <w:t xml:space="preserve"> </w:t>
      </w:r>
      <w:r w:rsidRPr="008C4000">
        <w:t>reports</w:t>
      </w:r>
      <w:r>
        <w:t xml:space="preserve"> </w:t>
      </w:r>
      <w:r w:rsidRPr="008C4000">
        <w:t>submitted</w:t>
      </w:r>
      <w:r>
        <w:t xml:space="preserve"> </w:t>
      </w:r>
      <w:r w:rsidRPr="008C4000">
        <w:t>by</w:t>
      </w:r>
      <w:r>
        <w:t xml:space="preserve"> </w:t>
      </w:r>
      <w:r w:rsidRPr="008C4000">
        <w:t>States</w:t>
      </w:r>
      <w:r>
        <w:t xml:space="preserve"> </w:t>
      </w:r>
      <w:r w:rsidRPr="008C4000">
        <w:t>parties</w:t>
      </w:r>
      <w:r>
        <w:t xml:space="preserve"> </w:t>
      </w:r>
      <w:r w:rsidRPr="008C4000">
        <w:t>under</w:t>
      </w:r>
      <w:r>
        <w:t xml:space="preserve"> </w:t>
      </w:r>
      <w:r w:rsidRPr="008C4000">
        <w:t>article</w:t>
      </w:r>
      <w:r>
        <w:t xml:space="preserve"> </w:t>
      </w:r>
      <w:r w:rsidRPr="008C4000">
        <w:t>18</w:t>
      </w:r>
      <w:r>
        <w:t xml:space="preserve"> </w:t>
      </w:r>
      <w:r w:rsidRPr="008C4000">
        <w:t>of</w:t>
      </w:r>
      <w:r>
        <w:t xml:space="preserve"> </w:t>
      </w:r>
      <w:r w:rsidRPr="008C4000">
        <w:t>the</w:t>
      </w:r>
      <w:r>
        <w:t xml:space="preserve"> </w:t>
      </w:r>
      <w:r w:rsidRPr="008C4000">
        <w:t>Convention</w:t>
      </w:r>
      <w:r>
        <w:t xml:space="preserve"> (</w:t>
      </w:r>
      <w:r>
        <w:rPr>
          <w:i/>
          <w:iCs/>
        </w:rPr>
        <w:t>continued</w:t>
      </w:r>
      <w:r>
        <w:t>)</w:t>
      </w:r>
    </w:p>
    <w:p w14:paraId="466B5697" w14:textId="7B930DCB" w:rsidR="00603C5A" w:rsidRDefault="29578F81" w:rsidP="61FA7B87">
      <w:pPr>
        <w:pStyle w:val="SingleTxtG"/>
        <w:ind w:firstLine="567"/>
        <w:rPr>
          <w:i/>
          <w:iCs/>
        </w:rPr>
      </w:pPr>
      <w:r w:rsidRPr="61FA7B87">
        <w:rPr>
          <w:i/>
          <w:iCs/>
        </w:rPr>
        <w:t>Ninth</w:t>
      </w:r>
      <w:r w:rsidR="006252EF">
        <w:rPr>
          <w:i/>
          <w:iCs/>
        </w:rPr>
        <w:t xml:space="preserve"> </w:t>
      </w:r>
      <w:r w:rsidRPr="61FA7B87">
        <w:rPr>
          <w:i/>
          <w:iCs/>
        </w:rPr>
        <w:t>periodic</w:t>
      </w:r>
      <w:r w:rsidR="006252EF">
        <w:rPr>
          <w:i/>
          <w:iCs/>
        </w:rPr>
        <w:t xml:space="preserve"> </w:t>
      </w:r>
      <w:r w:rsidRPr="61FA7B87">
        <w:rPr>
          <w:i/>
          <w:iCs/>
        </w:rPr>
        <w:t>report</w:t>
      </w:r>
      <w:r w:rsidR="006252EF">
        <w:rPr>
          <w:i/>
          <w:iCs/>
        </w:rPr>
        <w:t xml:space="preserve"> </w:t>
      </w:r>
      <w:r w:rsidRPr="61FA7B87">
        <w:rPr>
          <w:i/>
          <w:iCs/>
        </w:rPr>
        <w:t>of</w:t>
      </w:r>
      <w:r w:rsidR="006252EF">
        <w:rPr>
          <w:i/>
          <w:iCs/>
        </w:rPr>
        <w:t xml:space="preserve"> </w:t>
      </w:r>
      <w:r w:rsidRPr="61FA7B87">
        <w:rPr>
          <w:i/>
          <w:iCs/>
        </w:rPr>
        <w:t>Denmark</w:t>
      </w:r>
      <w:r w:rsidR="006252EF">
        <w:rPr>
          <w:i/>
          <w:iCs/>
        </w:rPr>
        <w:t xml:space="preserve"> </w:t>
      </w:r>
      <w:r w:rsidRPr="00BE5B1D">
        <w:t>(</w:t>
      </w:r>
      <w:r w:rsidRPr="61FA7B87">
        <w:rPr>
          <w:i/>
          <w:iCs/>
        </w:rPr>
        <w:t>continued</w:t>
      </w:r>
      <w:r w:rsidRPr="00BE5B1D">
        <w:t>)</w:t>
      </w:r>
    </w:p>
    <w:p w14:paraId="4CAE0DD7" w14:textId="5F748F87" w:rsidR="00603C5A" w:rsidRPr="00603C5A" w:rsidRDefault="00BE5B1D" w:rsidP="00603C5A">
      <w:pPr>
        <w:pStyle w:val="SingleTxtG"/>
        <w:rPr>
          <w:i/>
          <w:iCs/>
        </w:rPr>
      </w:pPr>
      <w:r>
        <w:br w:type="page"/>
      </w:r>
      <w:bookmarkStart w:id="1" w:name="_Hlk65248124"/>
      <w:r w:rsidR="00603C5A" w:rsidRPr="00603C5A">
        <w:rPr>
          <w:i/>
          <w:iCs/>
        </w:rPr>
        <w:lastRenderedPageBreak/>
        <w:t>The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meeting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was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called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to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order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at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12.30</w:t>
      </w:r>
      <w:r w:rsidR="006252EF">
        <w:rPr>
          <w:i/>
          <w:iCs/>
        </w:rPr>
        <w:t xml:space="preserve"> </w:t>
      </w:r>
      <w:r w:rsidR="00603C5A" w:rsidRPr="00603C5A">
        <w:rPr>
          <w:i/>
          <w:iCs/>
        </w:rPr>
        <w:t>p.m.</w:t>
      </w:r>
    </w:p>
    <w:p w14:paraId="4C55DE5A" w14:textId="0D3FAC30" w:rsidR="00603C5A" w:rsidRPr="00BA78D0" w:rsidRDefault="00603C5A" w:rsidP="00603C5A">
      <w:pPr>
        <w:pStyle w:val="H23G"/>
      </w:pPr>
      <w:r>
        <w:tab/>
      </w:r>
      <w:r>
        <w:tab/>
      </w:r>
      <w:r w:rsidRPr="00BA78D0">
        <w:t>Consideration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reports</w:t>
      </w:r>
      <w:r w:rsidR="006252EF">
        <w:t xml:space="preserve"> </w:t>
      </w:r>
      <w:r w:rsidRPr="00BA78D0">
        <w:t>submitted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States</w:t>
      </w:r>
      <w:r w:rsidR="006252EF">
        <w:t xml:space="preserve"> </w:t>
      </w:r>
      <w:r w:rsidRPr="00BA78D0">
        <w:t>parties</w:t>
      </w:r>
      <w:r w:rsidR="006252EF">
        <w:t xml:space="preserve"> </w:t>
      </w:r>
      <w:r w:rsidRPr="00BA78D0">
        <w:t>under</w:t>
      </w:r>
      <w:r w:rsidR="006252EF">
        <w:t xml:space="preserve"> </w:t>
      </w:r>
      <w:r w:rsidRPr="00BA78D0">
        <w:t>article</w:t>
      </w:r>
      <w:r w:rsidR="006252EF">
        <w:t xml:space="preserve"> </w:t>
      </w:r>
      <w:r w:rsidRPr="00BA78D0">
        <w:t>18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Convention</w:t>
      </w:r>
      <w:r w:rsidR="006252EF">
        <w:t xml:space="preserve"> </w:t>
      </w:r>
      <w:r w:rsidRPr="00603C5A">
        <w:rPr>
          <w:b w:val="0"/>
          <w:bCs/>
        </w:rPr>
        <w:t>(</w:t>
      </w:r>
      <w:r w:rsidRPr="00603C5A">
        <w:rPr>
          <w:b w:val="0"/>
          <w:bCs/>
          <w:i/>
          <w:iCs/>
        </w:rPr>
        <w:t>continued</w:t>
      </w:r>
      <w:r w:rsidRPr="00603C5A">
        <w:rPr>
          <w:b w:val="0"/>
          <w:bCs/>
        </w:rPr>
        <w:t>)</w:t>
      </w:r>
    </w:p>
    <w:p w14:paraId="153FF618" w14:textId="78CCBD4B" w:rsidR="00603C5A" w:rsidRPr="00603C5A" w:rsidRDefault="00603C5A" w:rsidP="00603C5A">
      <w:pPr>
        <w:pStyle w:val="SingleTxtG"/>
        <w:ind w:left="1701"/>
        <w:jc w:val="left"/>
      </w:pPr>
      <w:r w:rsidRPr="00603C5A">
        <w:rPr>
          <w:i/>
          <w:iCs/>
        </w:rPr>
        <w:t>Ninth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periodic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report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of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Denmark</w:t>
      </w:r>
      <w:r w:rsidR="006252EF">
        <w:rPr>
          <w:i/>
          <w:iCs/>
        </w:rPr>
        <w:t xml:space="preserve"> </w:t>
      </w:r>
      <w:r w:rsidRPr="00603C5A">
        <w:t>(</w:t>
      </w:r>
      <w:r w:rsidRPr="00603C5A">
        <w:rPr>
          <w:i/>
          <w:iCs/>
        </w:rPr>
        <w:t>continued</w:t>
      </w:r>
      <w:r w:rsidRPr="00603C5A">
        <w:t>)</w:t>
      </w:r>
      <w:r w:rsidR="006252EF">
        <w:t xml:space="preserve"> </w:t>
      </w:r>
      <w:r w:rsidRPr="00603C5A">
        <w:t>(</w:t>
      </w:r>
      <w:hyperlink r:id="rId9" w:history="1">
        <w:r w:rsidRPr="00603C5A">
          <w:rPr>
            <w:rStyle w:val="Hyperlink"/>
          </w:rPr>
          <w:t>CEDAW/C/DNK/9</w:t>
        </w:r>
      </w:hyperlink>
      <w:r w:rsidRPr="00603C5A">
        <w:t>,</w:t>
      </w:r>
      <w:r w:rsidR="006252EF">
        <w:t xml:space="preserve"> </w:t>
      </w:r>
      <w:hyperlink r:id="rId10" w:history="1">
        <w:r w:rsidRPr="00603C5A">
          <w:rPr>
            <w:rStyle w:val="Hyperlink"/>
          </w:rPr>
          <w:t>CEDAW/C/DNK/Q/9</w:t>
        </w:r>
      </w:hyperlink>
      <w:r w:rsidR="006252EF">
        <w:t xml:space="preserve"> </w:t>
      </w:r>
      <w:r w:rsidRPr="00603C5A">
        <w:t>and</w:t>
      </w:r>
      <w:r w:rsidR="006252EF">
        <w:t xml:space="preserve"> </w:t>
      </w:r>
      <w:hyperlink r:id="rId11" w:history="1">
        <w:r w:rsidRPr="00603C5A">
          <w:rPr>
            <w:rStyle w:val="Hyperlink"/>
          </w:rPr>
          <w:t>CEDAW/C/DNK/RQ/9</w:t>
        </w:r>
      </w:hyperlink>
      <w:r w:rsidRPr="00603C5A">
        <w:t>)</w:t>
      </w:r>
    </w:p>
    <w:p w14:paraId="51D0B090" w14:textId="7241653F" w:rsidR="00603C5A" w:rsidRPr="00BA78D0" w:rsidRDefault="00603C5A" w:rsidP="00603C5A">
      <w:pPr>
        <w:pStyle w:val="ParNoG"/>
      </w:pPr>
      <w:r w:rsidRPr="00BA78D0">
        <w:rPr>
          <w:rFonts w:eastAsia="SimSun"/>
          <w:b/>
          <w:bCs/>
        </w:rPr>
        <w:t>Ms.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Svendsen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(Denmark)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legislation</w:t>
      </w:r>
      <w:r w:rsidR="006252EF">
        <w:t xml:space="preserve"> </w:t>
      </w:r>
      <w:r w:rsidRPr="00BA78D0">
        <w:t>requiring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municipalities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offer</w:t>
      </w:r>
      <w:r w:rsidR="006252EF">
        <w:t xml:space="preserve"> </w:t>
      </w:r>
      <w:r w:rsidRPr="00BA78D0">
        <w:t>temporary</w:t>
      </w:r>
      <w:r w:rsidR="006252EF">
        <w:t xml:space="preserve"> </w:t>
      </w:r>
      <w:r w:rsidRPr="00BA78D0">
        <w:t>accommodation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free</w:t>
      </w:r>
      <w:r w:rsidR="006252EF">
        <w:t xml:space="preserve"> </w:t>
      </w:r>
      <w:r w:rsidRPr="00BA78D0">
        <w:t>counselling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shelters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applied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disabilities.</w:t>
      </w:r>
      <w:r w:rsidR="006252EF">
        <w:t xml:space="preserve"> </w:t>
      </w:r>
      <w:r w:rsidRPr="00BA78D0">
        <w:t>Several</w:t>
      </w:r>
      <w:r w:rsidR="006252EF">
        <w:t xml:space="preserve"> </w:t>
      </w:r>
      <w:r w:rsidRPr="00BA78D0">
        <w:t>shelters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victims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designed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accommodate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list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such</w:t>
      </w:r>
      <w:r w:rsidR="006252EF">
        <w:t xml:space="preserve"> </w:t>
      </w:r>
      <w:r w:rsidRPr="00BA78D0">
        <w:t>shelters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published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website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Organization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Women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Shelters</w:t>
      </w:r>
      <w:r w:rsidR="006252EF">
        <w:t xml:space="preserve"> </w:t>
      </w:r>
      <w:r w:rsidRPr="00BA78D0">
        <w:t>(Landsorganisation</w:t>
      </w:r>
      <w:r w:rsidR="006252EF">
        <w:t xml:space="preserve"> </w:t>
      </w:r>
      <w:r w:rsidRPr="00BA78D0">
        <w:t>af</w:t>
      </w:r>
      <w:r w:rsidR="006252EF">
        <w:t xml:space="preserve"> </w:t>
      </w:r>
      <w:r w:rsidRPr="00BA78D0">
        <w:t>Kvindekrisecentre).</w:t>
      </w:r>
      <w:r w:rsidR="006252EF">
        <w:t xml:space="preserve"> </w:t>
      </w:r>
      <w:r w:rsidRPr="00BA78D0">
        <w:t>Some</w:t>
      </w:r>
      <w:r w:rsidR="006252EF">
        <w:t xml:space="preserve"> </w:t>
      </w:r>
      <w:r w:rsidRPr="00BA78D0">
        <w:t>shelters</w:t>
      </w:r>
      <w:r w:rsidR="006252EF">
        <w:t xml:space="preserve"> </w:t>
      </w:r>
      <w:r w:rsidRPr="00BA78D0">
        <w:t>specialized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providing</w:t>
      </w:r>
      <w:r w:rsidR="006252EF">
        <w:t xml:space="preserve"> </w:t>
      </w:r>
      <w:r w:rsidRPr="00BA78D0">
        <w:t>counselling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victims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who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disabilities.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who</w:t>
      </w:r>
      <w:r w:rsidR="006252EF">
        <w:t xml:space="preserve"> </w:t>
      </w:r>
      <w:r w:rsidRPr="00BA78D0">
        <w:t>received</w:t>
      </w:r>
      <w:r w:rsidR="006252EF">
        <w:t xml:space="preserve"> </w:t>
      </w:r>
      <w:r w:rsidRPr="00BA78D0">
        <w:t>support</w:t>
      </w:r>
      <w:r w:rsidR="006252EF">
        <w:t xml:space="preserve"> </w:t>
      </w:r>
      <w:r w:rsidRPr="00BA78D0">
        <w:t>under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Act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Social</w:t>
      </w:r>
      <w:r w:rsidR="006252EF">
        <w:t xml:space="preserve"> </w:t>
      </w:r>
      <w:r w:rsidRPr="00BA78D0">
        <w:t>Services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continue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receive</w:t>
      </w:r>
      <w:r w:rsidR="006252EF">
        <w:t xml:space="preserve"> </w:t>
      </w:r>
      <w:r w:rsidRPr="00BA78D0">
        <w:t>those</w:t>
      </w:r>
      <w:r w:rsidR="006252EF">
        <w:t xml:space="preserve"> </w:t>
      </w:r>
      <w:r w:rsidRPr="00BA78D0">
        <w:t>forms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support</w:t>
      </w:r>
      <w:r w:rsidR="006252EF">
        <w:t xml:space="preserve"> </w:t>
      </w:r>
      <w:r w:rsidRPr="00BA78D0">
        <w:t>during</w:t>
      </w:r>
      <w:r w:rsidR="006252EF">
        <w:t xml:space="preserve"> </w:t>
      </w:r>
      <w:r w:rsidRPr="00BA78D0">
        <w:t>their</w:t>
      </w:r>
      <w:r w:rsidR="006252EF">
        <w:t xml:space="preserve"> </w:t>
      </w:r>
      <w:r w:rsidRPr="00BA78D0">
        <w:t>stay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shelter.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Board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Social</w:t>
      </w:r>
      <w:r w:rsidR="006252EF">
        <w:t xml:space="preserve"> </w:t>
      </w:r>
      <w:r w:rsidRPr="00BA78D0">
        <w:t>Services</w:t>
      </w:r>
      <w:r w:rsidR="006252EF">
        <w:t xml:space="preserve"> </w:t>
      </w:r>
      <w:r w:rsidRPr="00BA78D0">
        <w:t>provided</w:t>
      </w:r>
      <w:r w:rsidR="006252EF">
        <w:t xml:space="preserve"> </w:t>
      </w:r>
      <w:r w:rsidRPr="00BA78D0">
        <w:t>information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tools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professionals</w:t>
      </w:r>
      <w:r w:rsidR="006252EF">
        <w:t xml:space="preserve"> </w:t>
      </w:r>
      <w:r w:rsidRPr="00BA78D0">
        <w:t>working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</w:t>
      </w:r>
      <w:r w:rsidR="006252EF">
        <w:t xml:space="preserve"> </w:t>
      </w:r>
      <w:r w:rsidRPr="00BA78D0">
        <w:t>who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exposed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violence.</w:t>
      </w:r>
    </w:p>
    <w:p w14:paraId="4E1266D8" w14:textId="660EF6CA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Ms.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Aller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(Denmark)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2020,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Government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published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report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results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obtained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migrant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students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schools.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According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report,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which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based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data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produced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Programme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International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Student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Assessment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2018,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scores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obtained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migrant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girls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improved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slightly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relation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previous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years.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Migrant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girls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boys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similar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absence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patterns.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data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suggested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ethnic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minority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girls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lower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school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dropout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ethnic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minority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boys.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Ministry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Children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Education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process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risk-based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screening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monitor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upper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secondary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schools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poor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results,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high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numbers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migrant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students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high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dropout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rates.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Measures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subsequently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assist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schools.</w:t>
      </w:r>
    </w:p>
    <w:p w14:paraId="330040D7" w14:textId="79B4C06E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Ms.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Midttun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(Denmark)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right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patients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choose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hospital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treated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temporarily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suspended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order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ensure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hospitals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sufficient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capacity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treat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patients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with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coronavirus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disease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(COVID-19)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acute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life-threatening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illnesses.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Although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few</w:t>
      </w:r>
      <w:r w:rsidR="006252EF">
        <w:rPr>
          <w:rFonts w:eastAsia="SimSun"/>
        </w:rPr>
        <w:t xml:space="preserve"> </w:t>
      </w:r>
      <w:r w:rsidR="00625BAC">
        <w:rPr>
          <w:rFonts w:eastAsia="SimSun"/>
        </w:rPr>
        <w:t>routine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operations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postponed,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access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health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care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remained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unchanged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during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COVID-19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pandemic.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health-care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needs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pregnant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prioritized,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guidelines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families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published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some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aspects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care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modified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response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pandemic.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instance,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antenatal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classes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currently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delivered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online.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increase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number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pregnant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wished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give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birth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outside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hospital,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but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still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relatively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number,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accounting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about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3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expectant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mothers.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However,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entitlement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support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midwife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home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births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suspended,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capacity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midwives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needed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hospitals.</w:t>
      </w:r>
    </w:p>
    <w:p w14:paraId="2BC43FD0" w14:textId="4F402DC4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Ms.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Tisheva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wished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know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measures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envisaged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ensure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algorithms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computerized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recruitment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tools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discriminate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against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vulnerable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groups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including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migrant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with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disabilities.</w:t>
      </w:r>
    </w:p>
    <w:p w14:paraId="22D0E1E3" w14:textId="107D1BBA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Mr.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Safarov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useful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know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many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refugee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girls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submitted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successful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many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refused.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also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interesting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learn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reasons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refused,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impact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COVID-19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pandemic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having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naturalization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process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measures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ensure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born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Denmark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remain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extended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period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time.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might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indicate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collected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data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number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country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ensured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refugees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excessive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barriers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efforts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acquire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Committee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interested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hear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Government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plans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simplify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naturalization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process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girls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fled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conflict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situations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domestic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violence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countries.</w:t>
      </w:r>
    </w:p>
    <w:p w14:paraId="42767457" w14:textId="13AE4219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Mr.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Larsen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(Denmark)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political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agreement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conditions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acquiring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naturalization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contained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chapter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born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Denmark,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covered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Convention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Reduction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Statelessness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Convention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Rights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Child.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chapter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question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provided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children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born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naturalized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without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having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meet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usual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requirements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obtaining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lastRenderedPageBreak/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filed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prior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turning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18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years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age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legally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resident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Denmark.</w:t>
      </w:r>
    </w:p>
    <w:p w14:paraId="555A1442" w14:textId="1EF21D96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</w:rPr>
        <w:t>There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significant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difference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proportions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female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approved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between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2015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2020.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total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239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149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acquired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2015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while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170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181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done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2020.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total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77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77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2015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while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155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117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2020.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Although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statistics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available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reasons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refused,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evidence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suggest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greater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proportion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reasons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given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justify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refusals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C6067F">
        <w:rPr>
          <w:rFonts w:eastAsia="SimSun"/>
        </w:rPr>
        <w:t>’</w:t>
      </w:r>
      <w:r w:rsidRPr="00BA78D0">
        <w:rPr>
          <w:rFonts w:eastAsia="SimSun"/>
        </w:rPr>
        <w:t>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differed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from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those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men.</w:t>
      </w:r>
    </w:p>
    <w:p w14:paraId="7BC7FBF8" w14:textId="2DC780D9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</w:rPr>
        <w:t>Refugees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asylum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entitled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resident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country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eight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years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rather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nine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years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normally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required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under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regulations.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Ministry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Immigration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Integration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keep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record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refugee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status,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with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exception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those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meet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minimum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residence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requirement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nine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years.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Consequently,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statistics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available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number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approved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rejected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submitted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girl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refugees.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COVID-19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pandemic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effect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number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refugees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stateless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Danish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citizenship.</w:t>
      </w:r>
    </w:p>
    <w:p w14:paraId="421A4AAF" w14:textId="0C7E4B4C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Ms.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Akizuki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wished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know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Government</w:t>
      </w:r>
      <w:r w:rsidR="00C6067F">
        <w:rPr>
          <w:rFonts w:eastAsia="SimSun"/>
        </w:rPr>
        <w:t>’</w:t>
      </w:r>
      <w:r w:rsidRPr="00BA78D0">
        <w:rPr>
          <w:rFonts w:eastAsia="SimSun"/>
        </w:rPr>
        <w:t>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view,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gender-neutral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legislation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suited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task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mitigating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disproportionate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effect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COVID-19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pandemic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measures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compensate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inadequacy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legislation.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view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property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distribution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="0037416A">
        <w:rPr>
          <w:rFonts w:eastAsia="SimSun"/>
        </w:rPr>
        <w:t>spousal maintenance following a divorce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often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favoured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husbands,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interesting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know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legislation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="0037416A">
        <w:rPr>
          <w:rFonts w:eastAsia="SimSun"/>
        </w:rPr>
        <w:t xml:space="preserve">the dissolution of marriage </w:t>
      </w:r>
      <w:r w:rsidRPr="00BA78D0">
        <w:rPr>
          <w:rFonts w:eastAsia="SimSun"/>
        </w:rPr>
        <w:t>adopted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2018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made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possible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ensure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marital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property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divided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genuinely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equal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manner.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wondered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measures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protect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right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reunification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restricted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risked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losing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residence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permit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divorced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because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permit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family-reunification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procedure.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Committee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appreciate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information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forced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religious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marriages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prevent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them.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also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wished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know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party</w:t>
      </w:r>
      <w:r w:rsidR="00C6067F">
        <w:rPr>
          <w:rFonts w:eastAsia="SimSun"/>
        </w:rPr>
        <w:t>’</w:t>
      </w:r>
      <w:r w:rsidRPr="00BA78D0">
        <w:rPr>
          <w:rFonts w:eastAsia="SimSun"/>
        </w:rPr>
        <w:t>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courts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consider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applying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section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243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Criminal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Code,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which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related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psychological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abuse,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cases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involving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violence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within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religious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marriage.</w:t>
      </w:r>
    </w:p>
    <w:p w14:paraId="05B00381" w14:textId="16F3B99C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Ms.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Appel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(Denmark),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addressing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Committee</w:t>
      </w:r>
      <w:r w:rsidR="00C6067F">
        <w:rPr>
          <w:rFonts w:eastAsia="SimSun"/>
        </w:rPr>
        <w:t>’</w:t>
      </w:r>
      <w:r w:rsidRPr="00BA78D0">
        <w:rPr>
          <w:rFonts w:eastAsia="SimSun"/>
        </w:rPr>
        <w:t>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concerns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about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gender-neutral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legislation,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proposed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legislation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reviewed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order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determine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have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adverse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implications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gender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equality.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Every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year,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number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assessed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bills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reported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parliament.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Although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Government</w:t>
      </w:r>
      <w:r w:rsidR="00C6067F">
        <w:rPr>
          <w:rFonts w:eastAsia="SimSun"/>
        </w:rPr>
        <w:t>’</w:t>
      </w:r>
      <w:r w:rsidRPr="00BA78D0">
        <w:rPr>
          <w:rFonts w:eastAsia="SimSun"/>
        </w:rPr>
        <w:t>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Plan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Intimate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Partner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Violence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employed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gender-neutral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language,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drafted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took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account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different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levels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risk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faced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men.</w:t>
      </w:r>
    </w:p>
    <w:p w14:paraId="4C831CDE" w14:textId="29BB971B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Ms.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Akar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(Denmark)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2016,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parliament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amended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Danish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Aliens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withdraw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right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reunification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from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beneficiaries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temporary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protection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status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residence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permit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least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three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years.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amendment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adopted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because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Government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time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found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necessary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restrict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influx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asylum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seekers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interests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maintaining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social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cohesion.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three-year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waiting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period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applied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temporary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protection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status,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persons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fled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situation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armed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conflict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home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country.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immigration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authorities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examined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cases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determine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necessary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reunification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place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before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three-year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waiting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period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elapsed.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right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reunification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always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upheld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required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international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obligations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Denmark.</w:t>
      </w:r>
    </w:p>
    <w:p w14:paraId="5CF7428B" w14:textId="5D71DC90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</w:rPr>
        <w:t>When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migrant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holding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temporary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residence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permit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obtained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divorce,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immigration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authorities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required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determine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forced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leave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marriage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because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former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spouse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subjected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assault,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abuse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forms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ill-treatment.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left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spouses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because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ill-treatment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stood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greater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chance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leave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remain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Denmark,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even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country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lastRenderedPageBreak/>
        <w:t>relatively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short.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order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such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leave,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however,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required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show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evidence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willingness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integrate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Danish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society,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instance,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enrolling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language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course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finding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employment.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apparent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lack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willingness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integrate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against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former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spouses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prevented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from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doing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so.</w:t>
      </w:r>
    </w:p>
    <w:p w14:paraId="14C0BCCB" w14:textId="4E7BA3F3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Mr.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Thøgersen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(Denmark)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under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Danish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law,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couple</w:t>
      </w:r>
      <w:r w:rsidR="00C6067F">
        <w:rPr>
          <w:rFonts w:eastAsia="SimSun"/>
        </w:rPr>
        <w:t>’</w:t>
      </w:r>
      <w:r w:rsidRPr="00BA78D0">
        <w:rPr>
          <w:rFonts w:eastAsia="SimSun"/>
        </w:rPr>
        <w:t>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assets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divided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equally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decided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divorce.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Couples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unable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agree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assets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divided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option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settling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matter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through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courts.</w:t>
      </w:r>
    </w:p>
    <w:p w14:paraId="4117799C" w14:textId="2A74EF0E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Mr.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Safarov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wished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know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Government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taking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steps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simplify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nationality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procedures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women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girls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were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victims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armed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conflict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domestic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kinds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violence.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also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wondered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whether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Government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had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envisaged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reform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nationality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requirements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second-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third-generation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non-nationals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living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Denmark.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Furthermore,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full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account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child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custody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procedures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for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families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which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one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parent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was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non-national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State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party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welcome.</w:t>
      </w:r>
    </w:p>
    <w:p w14:paraId="3CA1228D" w14:textId="426712AC" w:rsidR="00603C5A" w:rsidRPr="00BA78D0" w:rsidRDefault="00603C5A" w:rsidP="00603C5A">
      <w:pPr>
        <w:pStyle w:val="ParNoG"/>
        <w:rPr>
          <w:rFonts w:eastAsia="SimSun"/>
        </w:rPr>
      </w:pPr>
      <w:r w:rsidRPr="00BA78D0">
        <w:rPr>
          <w:rFonts w:eastAsia="SimSun"/>
          <w:b/>
          <w:bCs/>
        </w:rPr>
        <w:t>The</w:t>
      </w:r>
      <w:r w:rsidR="006252EF">
        <w:rPr>
          <w:rFonts w:eastAsia="SimSun"/>
          <w:b/>
          <w:bCs/>
        </w:rPr>
        <w:t xml:space="preserve"> </w:t>
      </w:r>
      <w:r w:rsidRPr="00BA78D0">
        <w:rPr>
          <w:rFonts w:eastAsia="SimSun"/>
          <w:b/>
          <w:bCs/>
        </w:rPr>
        <w:t>Chair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said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that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she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be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grateful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if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delegation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could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provide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answers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to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those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questions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in</w:t>
      </w:r>
      <w:r w:rsidR="006252EF">
        <w:rPr>
          <w:rFonts w:eastAsia="SimSun"/>
        </w:rPr>
        <w:t xml:space="preserve"> </w:t>
      </w:r>
      <w:r w:rsidRPr="00BA78D0">
        <w:rPr>
          <w:rFonts w:eastAsia="SimSun"/>
        </w:rPr>
        <w:t>writing.</w:t>
      </w:r>
    </w:p>
    <w:p w14:paraId="6B4214FC" w14:textId="50C95070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Gant</w:t>
      </w:r>
      <w:r w:rsidR="006252EF">
        <w:t xml:space="preserve"> </w:t>
      </w:r>
      <w:r w:rsidRPr="00BA78D0">
        <w:t>(Greenland,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wished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clarify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although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territorially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ethnically</w:t>
      </w:r>
      <w:r w:rsidR="006252EF">
        <w:t xml:space="preserve"> </w:t>
      </w:r>
      <w:r w:rsidRPr="00BA78D0">
        <w:t>defined,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described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de</w:t>
      </w:r>
      <w:r w:rsidR="006252EF">
        <w:t xml:space="preserve"> </w:t>
      </w:r>
      <w:r w:rsidRPr="00BA78D0">
        <w:t>facto</w:t>
      </w:r>
      <w:r w:rsidR="006252EF">
        <w:t xml:space="preserve"> </w:t>
      </w:r>
      <w:r w:rsidRPr="00BA78D0">
        <w:t>indigenous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account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indigenous</w:t>
      </w:r>
      <w:r w:rsidR="006252EF">
        <w:t xml:space="preserve"> </w:t>
      </w:r>
      <w:r w:rsidRPr="00BA78D0">
        <w:t>Greenlanders</w:t>
      </w:r>
      <w:r w:rsidR="00C6067F">
        <w:t>’</w:t>
      </w:r>
      <w:r w:rsidR="006252EF">
        <w:t xml:space="preserve"> </w:t>
      </w:r>
      <w:r w:rsidRPr="00BA78D0">
        <w:t>making</w:t>
      </w:r>
      <w:r w:rsidR="006252EF">
        <w:t xml:space="preserve"> </w:t>
      </w:r>
      <w:r w:rsidRPr="00BA78D0">
        <w:t>up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overwhelming</w:t>
      </w:r>
      <w:r w:rsidR="006252EF">
        <w:t xml:space="preserve"> </w:t>
      </w:r>
      <w:r w:rsidRPr="00BA78D0">
        <w:t>majority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population,</w:t>
      </w:r>
      <w:r w:rsidR="006252EF">
        <w:t xml:space="preserve"> </w:t>
      </w:r>
      <w:r w:rsidRPr="00BA78D0">
        <w:t>which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small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spread</w:t>
      </w:r>
      <w:r w:rsidR="006252EF">
        <w:t xml:space="preserve"> </w:t>
      </w:r>
      <w:r w:rsidRPr="00BA78D0">
        <w:t>out</w:t>
      </w:r>
      <w:r w:rsidR="006252EF">
        <w:t xml:space="preserve"> </w:t>
      </w:r>
      <w:r w:rsidRPr="00BA78D0">
        <w:t>over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vast</w:t>
      </w:r>
      <w:r w:rsidR="006252EF">
        <w:t xml:space="preserve"> </w:t>
      </w:r>
      <w:r w:rsidRPr="00BA78D0">
        <w:t>territory.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vast</w:t>
      </w:r>
      <w:r w:rsidR="006252EF">
        <w:t xml:space="preserve"> </w:t>
      </w:r>
      <w:r w:rsidRPr="00BA78D0">
        <w:t>majority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therefore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categorized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indigenous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rural.</w:t>
      </w:r>
    </w:p>
    <w:p w14:paraId="6E04A705" w14:textId="1B7D9AC8" w:rsidR="00603C5A" w:rsidRDefault="00603C5A" w:rsidP="00603C5A">
      <w:pPr>
        <w:pStyle w:val="ParNoG"/>
      </w:pPr>
      <w:r w:rsidRPr="00BA78D0">
        <w:t>Although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current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caretaker</w:t>
      </w:r>
      <w:r w:rsidR="006252EF">
        <w:t xml:space="preserve"> </w:t>
      </w:r>
      <w:r w:rsidRPr="00BA78D0">
        <w:t>government,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sure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apprise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incoming</w:t>
      </w:r>
      <w:r w:rsidR="006252EF">
        <w:t xml:space="preserve"> </w:t>
      </w:r>
      <w:r w:rsidRPr="00BA78D0">
        <w:t>Minister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Gender</w:t>
      </w:r>
      <w:r w:rsidR="006252EF">
        <w:t xml:space="preserve"> </w:t>
      </w:r>
      <w:r w:rsidRPr="00BA78D0">
        <w:t>Equality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dialogue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Committee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encourage</w:t>
      </w:r>
      <w:r w:rsidR="006252EF">
        <w:t xml:space="preserve"> </w:t>
      </w:r>
      <w:r w:rsidRPr="00BA78D0">
        <w:t>him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her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bring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Committee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observations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recommendations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attention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parliament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debate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possible</w:t>
      </w:r>
      <w:r w:rsidR="006252EF">
        <w:t xml:space="preserve"> </w:t>
      </w:r>
      <w:r w:rsidRPr="00BA78D0">
        <w:t>action.</w:t>
      </w:r>
    </w:p>
    <w:p w14:paraId="5FFAB91E" w14:textId="4F181C81" w:rsidR="00603C5A" w:rsidRDefault="00603C5A" w:rsidP="00603C5A">
      <w:pPr>
        <w:pStyle w:val="ParNoG"/>
      </w:pPr>
      <w:r w:rsidRPr="00BA78D0">
        <w:t>Greenland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still</w:t>
      </w:r>
      <w:r w:rsidR="006252EF">
        <w:t xml:space="preserve"> </w:t>
      </w:r>
      <w:r w:rsidRPr="00BA78D0">
        <w:t>laying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groundwork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implementation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2030</w:t>
      </w:r>
      <w:r w:rsidR="006252EF">
        <w:t xml:space="preserve"> </w:t>
      </w:r>
      <w:r w:rsidRPr="00BA78D0">
        <w:t>Agenda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Sustainable</w:t>
      </w:r>
      <w:r w:rsidR="006252EF">
        <w:t xml:space="preserve"> </w:t>
      </w:r>
      <w:r w:rsidRPr="00BA78D0">
        <w:t>Development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soon</w:t>
      </w:r>
      <w:r w:rsidR="006252EF">
        <w:t xml:space="preserve"> </w:t>
      </w:r>
      <w:r w:rsidRPr="00BA78D0">
        <w:t>publish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report</w:t>
      </w:r>
      <w:r w:rsidR="006252EF">
        <w:t xml:space="preserve"> </w:t>
      </w:r>
      <w:r w:rsidRPr="00BA78D0">
        <w:t>setting</w:t>
      </w:r>
      <w:r w:rsidR="006252EF">
        <w:t xml:space="preserve"> </w:t>
      </w:r>
      <w:r w:rsidRPr="00BA78D0">
        <w:t>out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approach.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incoming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develop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coherent</w:t>
      </w:r>
      <w:r w:rsidR="006252EF">
        <w:t xml:space="preserve"> </w:t>
      </w:r>
      <w:r w:rsidRPr="00BA78D0">
        <w:t>implementation</w:t>
      </w:r>
      <w:r w:rsidR="006252EF">
        <w:t xml:space="preserve"> </w:t>
      </w:r>
      <w:r w:rsidRPr="00BA78D0">
        <w:t>strategy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related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plans.</w:t>
      </w:r>
    </w:p>
    <w:p w14:paraId="170CB47A" w14:textId="09EDDC0A" w:rsidR="00603C5A" w:rsidRPr="00BA78D0" w:rsidRDefault="00603C5A" w:rsidP="00603C5A">
      <w:pPr>
        <w:pStyle w:val="ParNoG"/>
      </w:pPr>
      <w:r w:rsidRPr="00BA78D0">
        <w:t>As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member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European</w:t>
      </w:r>
      <w:r w:rsidR="006252EF">
        <w:t xml:space="preserve"> </w:t>
      </w:r>
      <w:r w:rsidRPr="00BA78D0">
        <w:t>Union,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did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have</w:t>
      </w:r>
      <w:r w:rsidR="006252EF">
        <w:t xml:space="preserve"> </w:t>
      </w:r>
      <w:r w:rsidRPr="00BA78D0">
        <w:t>access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funding</w:t>
      </w:r>
      <w:r w:rsidR="006252EF">
        <w:t xml:space="preserve"> </w:t>
      </w:r>
      <w:r w:rsidRPr="00BA78D0">
        <w:t>programmes</w:t>
      </w:r>
      <w:r w:rsidR="006252EF">
        <w:t xml:space="preserve"> </w:t>
      </w:r>
      <w:r w:rsidRPr="00BA78D0">
        <w:t>available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member</w:t>
      </w:r>
      <w:r w:rsidR="006252EF">
        <w:t xml:space="preserve"> </w:t>
      </w:r>
      <w:r w:rsidRPr="00BA78D0">
        <w:t>States.</w:t>
      </w:r>
      <w:r w:rsidR="006252EF">
        <w:t xml:space="preserve"> </w:t>
      </w:r>
      <w:r w:rsidRPr="00BA78D0">
        <w:t>However,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entitled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share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€500</w:t>
      </w:r>
      <w:r w:rsidR="006252EF">
        <w:t xml:space="preserve"> </w:t>
      </w:r>
      <w:r w:rsidRPr="00BA78D0">
        <w:t>million</w:t>
      </w:r>
      <w:r w:rsidR="006252EF">
        <w:t xml:space="preserve"> </w:t>
      </w:r>
      <w:r w:rsidRPr="00BA78D0">
        <w:t>earmarked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13</w:t>
      </w:r>
      <w:r w:rsidR="006252EF">
        <w:t xml:space="preserve"> </w:t>
      </w:r>
      <w:r w:rsidRPr="00BA78D0">
        <w:t>overseas</w:t>
      </w:r>
      <w:r w:rsidR="006252EF">
        <w:t xml:space="preserve"> </w:t>
      </w:r>
      <w:r w:rsidRPr="00BA78D0">
        <w:t>countries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territories</w:t>
      </w:r>
      <w:r w:rsidR="006252EF">
        <w:t xml:space="preserve"> </w:t>
      </w:r>
      <w:r w:rsidRPr="00BA78D0">
        <w:t>associated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European</w:t>
      </w:r>
      <w:r w:rsidR="006252EF">
        <w:t xml:space="preserve"> </w:t>
      </w:r>
      <w:r w:rsidRPr="00BA78D0">
        <w:t>Union</w:t>
      </w:r>
      <w:r w:rsidR="006252EF">
        <w:t xml:space="preserve"> </w:t>
      </w:r>
      <w:r w:rsidRPr="00BA78D0">
        <w:t>under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Multiannual</w:t>
      </w:r>
      <w:r w:rsidR="006252EF">
        <w:t xml:space="preserve"> </w:t>
      </w:r>
      <w:r w:rsidRPr="00BA78D0">
        <w:t>Financial</w:t>
      </w:r>
      <w:r w:rsidR="006252EF">
        <w:t xml:space="preserve"> </w:t>
      </w:r>
      <w:r w:rsidRPr="00BA78D0">
        <w:t>Framework</w:t>
      </w:r>
      <w:r w:rsidR="006252EF">
        <w:t xml:space="preserve"> </w:t>
      </w:r>
      <w:r w:rsidRPr="00BA78D0">
        <w:t>2021–2027.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total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€225</w:t>
      </w:r>
      <w:r w:rsidR="006252EF">
        <w:t xml:space="preserve"> </w:t>
      </w:r>
      <w:r w:rsidRPr="00BA78D0">
        <w:t>million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allocated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support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development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education</w:t>
      </w:r>
      <w:r w:rsidR="006252EF">
        <w:t xml:space="preserve"> </w:t>
      </w:r>
      <w:r w:rsidRPr="00BA78D0">
        <w:t>sector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diversification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economy.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eligible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funding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carry</w:t>
      </w:r>
      <w:r w:rsidR="006252EF">
        <w:t xml:space="preserve"> </w:t>
      </w:r>
      <w:r w:rsidRPr="00BA78D0">
        <w:t>out</w:t>
      </w:r>
      <w:r w:rsidR="006252EF">
        <w:t xml:space="preserve"> </w:t>
      </w:r>
      <w:r w:rsidRPr="00BA78D0">
        <w:t>projects</w:t>
      </w:r>
      <w:r w:rsidR="006252EF">
        <w:t xml:space="preserve"> </w:t>
      </w:r>
      <w:r w:rsidRPr="00BA78D0">
        <w:t>designed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address</w:t>
      </w:r>
      <w:r w:rsidR="006252EF">
        <w:t xml:space="preserve"> </w:t>
      </w:r>
      <w:r w:rsidRPr="00BA78D0">
        <w:t>emerging</w:t>
      </w:r>
      <w:r w:rsidR="006252EF">
        <w:t xml:space="preserve"> </w:t>
      </w:r>
      <w:r w:rsidRPr="00BA78D0">
        <w:t>challenges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complement</w:t>
      </w:r>
      <w:r w:rsidR="006252EF">
        <w:t xml:space="preserve"> </w:t>
      </w:r>
      <w:r w:rsidRPr="00BA78D0">
        <w:t>international</w:t>
      </w:r>
      <w:r w:rsidR="006252EF">
        <w:t xml:space="preserve"> </w:t>
      </w:r>
      <w:r w:rsidRPr="00BA78D0">
        <w:t>initiatives.</w:t>
      </w:r>
    </w:p>
    <w:p w14:paraId="56A56E99" w14:textId="6A5B62DE" w:rsidR="00603C5A" w:rsidRPr="00BA78D0" w:rsidRDefault="00603C5A" w:rsidP="00603C5A">
      <w:pPr>
        <w:pStyle w:val="ParNoG"/>
      </w:pPr>
      <w:r w:rsidRPr="00BA78D0">
        <w:t>The</w:t>
      </w:r>
      <w:r w:rsidR="006252EF">
        <w:t xml:space="preserve"> </w:t>
      </w:r>
      <w:r w:rsidRPr="00BA78D0">
        <w:t>prohibition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gender-based</w:t>
      </w:r>
      <w:r w:rsidR="006252EF">
        <w:t xml:space="preserve"> </w:t>
      </w:r>
      <w:r w:rsidRPr="00BA78D0">
        <w:t>discrimination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regulated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Greenlandic</w:t>
      </w:r>
      <w:r w:rsidR="006252EF">
        <w:t xml:space="preserve"> </w:t>
      </w:r>
      <w:r w:rsidRPr="00BA78D0">
        <w:t>Act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Equality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Men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Women,</w:t>
      </w:r>
      <w:r w:rsidR="006252EF">
        <w:t xml:space="preserve"> </w:t>
      </w:r>
      <w:r w:rsidRPr="00BA78D0">
        <w:t>which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established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Council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Gender</w:t>
      </w:r>
      <w:r w:rsidR="006252EF">
        <w:t xml:space="preserve"> </w:t>
      </w:r>
      <w:r w:rsidRPr="00BA78D0">
        <w:t>Equality.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Council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mandate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examine,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own</w:t>
      </w:r>
      <w:r w:rsidR="006252EF">
        <w:t xml:space="preserve"> </w:t>
      </w:r>
      <w:r w:rsidRPr="00BA78D0">
        <w:t>initiative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request,</w:t>
      </w:r>
      <w:r w:rsidR="006252EF">
        <w:t xml:space="preserve"> </w:t>
      </w:r>
      <w:r w:rsidRPr="00BA78D0">
        <w:t>measures</w:t>
      </w:r>
      <w:r w:rsidR="006252EF">
        <w:t xml:space="preserve"> </w:t>
      </w:r>
      <w:r w:rsidRPr="00BA78D0">
        <w:t>relating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gender</w:t>
      </w:r>
      <w:r w:rsidR="006252EF">
        <w:t xml:space="preserve"> </w:t>
      </w:r>
      <w:r w:rsidRPr="00BA78D0">
        <w:t>equality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provided</w:t>
      </w:r>
      <w:r w:rsidR="006252EF">
        <w:t xml:space="preserve"> </w:t>
      </w:r>
      <w:r w:rsidRPr="00BA78D0">
        <w:t>advice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individuals.</w:t>
      </w:r>
      <w:r w:rsidR="006252EF">
        <w:t xml:space="preserve"> </w:t>
      </w:r>
      <w:r w:rsidRPr="00BA78D0">
        <w:t>Individuals</w:t>
      </w:r>
      <w:r w:rsidR="006252EF">
        <w:t xml:space="preserve"> </w:t>
      </w:r>
      <w:r w:rsidRPr="00BA78D0">
        <w:t>who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suffered</w:t>
      </w:r>
      <w:r w:rsidR="006252EF">
        <w:t xml:space="preserve"> </w:t>
      </w:r>
      <w:r w:rsidRPr="00BA78D0">
        <w:t>gender-based</w:t>
      </w:r>
      <w:r w:rsidR="006252EF">
        <w:t xml:space="preserve"> </w:t>
      </w:r>
      <w:r w:rsidRPr="00BA78D0">
        <w:t>discrimination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initiate</w:t>
      </w:r>
      <w:r w:rsidR="006252EF">
        <w:t xml:space="preserve"> </w:t>
      </w:r>
      <w:r w:rsidRPr="00BA78D0">
        <w:t>court</w:t>
      </w:r>
      <w:r w:rsidR="006252EF">
        <w:t xml:space="preserve"> </w:t>
      </w:r>
      <w:r w:rsidRPr="00BA78D0">
        <w:t>proceedings</w:t>
      </w:r>
      <w:r w:rsidR="006252EF">
        <w:t xml:space="preserve"> </w:t>
      </w:r>
      <w:r w:rsidRPr="00BA78D0">
        <w:t>or,</w:t>
      </w:r>
      <w:r w:rsidR="006252EF">
        <w:t xml:space="preserve"> </w:t>
      </w:r>
      <w:r w:rsidRPr="00BA78D0">
        <w:t>if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discriminatory</w:t>
      </w:r>
      <w:r w:rsidR="006252EF">
        <w:t xml:space="preserve"> </w:t>
      </w:r>
      <w:r w:rsidRPr="00BA78D0">
        <w:t>treatment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meted</w:t>
      </w:r>
      <w:r w:rsidR="006252EF">
        <w:t xml:space="preserve"> </w:t>
      </w:r>
      <w:r w:rsidRPr="00BA78D0">
        <w:t>out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public</w:t>
      </w:r>
      <w:r w:rsidR="006252EF">
        <w:t xml:space="preserve"> </w:t>
      </w:r>
      <w:r w:rsidRPr="00BA78D0">
        <w:t>authorities,</w:t>
      </w:r>
      <w:r w:rsidR="006252EF">
        <w:t xml:space="preserve"> </w:t>
      </w:r>
      <w:r w:rsidRPr="00BA78D0">
        <w:t>file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complaint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Greenlandic</w:t>
      </w:r>
      <w:r w:rsidR="006252EF">
        <w:t xml:space="preserve"> </w:t>
      </w:r>
      <w:r w:rsidRPr="00BA78D0">
        <w:t>Parliamentary</w:t>
      </w:r>
      <w:r w:rsidR="006252EF">
        <w:t xml:space="preserve"> </w:t>
      </w:r>
      <w:r w:rsidRPr="00BA78D0">
        <w:t>Ombudsman.</w:t>
      </w:r>
      <w:r w:rsidR="006252EF">
        <w:t xml:space="preserve"> </w:t>
      </w:r>
      <w:r w:rsidRPr="00BA78D0">
        <w:t>There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currently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plans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expand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mandate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Council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Gender</w:t>
      </w:r>
      <w:r w:rsidR="006252EF">
        <w:t xml:space="preserve"> </w:t>
      </w:r>
      <w:r w:rsidRPr="00BA78D0">
        <w:t>Equality.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cooperation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Danish</w:t>
      </w:r>
      <w:r w:rsidR="006252EF">
        <w:t xml:space="preserve"> </w:t>
      </w:r>
      <w:r w:rsidRPr="00BA78D0">
        <w:t>Institute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Rights,</w:t>
      </w:r>
      <w:r w:rsidR="006252EF">
        <w:t xml:space="preserve"> </w:t>
      </w:r>
      <w:r w:rsidRPr="00BA78D0">
        <w:t>whose</w:t>
      </w:r>
      <w:r w:rsidR="006252EF">
        <w:t xml:space="preserve"> </w:t>
      </w:r>
      <w:r w:rsidRPr="00BA78D0">
        <w:t>mandate</w:t>
      </w:r>
      <w:r w:rsidR="006252EF">
        <w:t xml:space="preserve"> </w:t>
      </w:r>
      <w:r w:rsidRPr="00BA78D0">
        <w:t>extended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Greenland,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Rights</w:t>
      </w:r>
      <w:r w:rsidR="006252EF">
        <w:t xml:space="preserve"> </w:t>
      </w:r>
      <w:r w:rsidRPr="00BA78D0">
        <w:t>Council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Greenland,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embedded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law.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Council,</w:t>
      </w:r>
      <w:r w:rsidR="006252EF">
        <w:t xml:space="preserve"> </w:t>
      </w:r>
      <w:r w:rsidRPr="00BA78D0">
        <w:t>which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an</w:t>
      </w:r>
      <w:r w:rsidR="006252EF">
        <w:t xml:space="preserve"> </w:t>
      </w:r>
      <w:r w:rsidRPr="00BA78D0">
        <w:t>independent</w:t>
      </w:r>
      <w:r w:rsidR="006252EF">
        <w:t xml:space="preserve"> </w:t>
      </w:r>
      <w:r w:rsidRPr="00BA78D0">
        <w:t>body,</w:t>
      </w:r>
      <w:r w:rsidR="006252EF">
        <w:t xml:space="preserve"> </w:t>
      </w:r>
      <w:r w:rsidRPr="00BA78D0">
        <w:t>proposed</w:t>
      </w:r>
      <w:r w:rsidR="006252EF">
        <w:t xml:space="preserve"> </w:t>
      </w:r>
      <w:r w:rsidRPr="00BA78D0">
        <w:t>activities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Institute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represented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board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governors.</w:t>
      </w:r>
      <w:r w:rsidR="006252EF">
        <w:t xml:space="preserve"> </w:t>
      </w:r>
      <w:r w:rsidRPr="00BA78D0">
        <w:t>Similarly,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representative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Institute</w:t>
      </w:r>
      <w:r w:rsidR="006252EF">
        <w:t xml:space="preserve"> </w:t>
      </w:r>
      <w:r w:rsidRPr="00BA78D0">
        <w:t>attended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Council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meetings.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Danish</w:t>
      </w:r>
      <w:r w:rsidR="006252EF">
        <w:t xml:space="preserve"> </w:t>
      </w:r>
      <w:r w:rsidRPr="00BA78D0">
        <w:t>parliament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recently</w:t>
      </w:r>
      <w:r w:rsidR="006252EF">
        <w:t xml:space="preserve"> </w:t>
      </w:r>
      <w:r w:rsidRPr="00BA78D0">
        <w:t>allocated</w:t>
      </w:r>
      <w:r w:rsidR="006252EF">
        <w:t xml:space="preserve"> </w:t>
      </w:r>
      <w:r w:rsidRPr="00BA78D0">
        <w:t>DKr</w:t>
      </w:r>
      <w:r w:rsidR="006252EF">
        <w:t xml:space="preserve"> </w:t>
      </w:r>
      <w:r w:rsidRPr="00BA78D0">
        <w:t>12</w:t>
      </w:r>
      <w:r w:rsidR="006252EF">
        <w:t xml:space="preserve"> </w:t>
      </w:r>
      <w:r w:rsidRPr="00BA78D0">
        <w:t>million,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disbursed</w:t>
      </w:r>
      <w:r w:rsidR="006252EF">
        <w:t xml:space="preserve"> </w:t>
      </w:r>
      <w:r w:rsidRPr="00BA78D0">
        <w:t>equally</w:t>
      </w:r>
      <w:r w:rsidR="006252EF">
        <w:t xml:space="preserve"> </w:t>
      </w:r>
      <w:r w:rsidRPr="00BA78D0">
        <w:t>over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next</w:t>
      </w:r>
      <w:r w:rsidR="006252EF">
        <w:t xml:space="preserve"> </w:t>
      </w:r>
      <w:r w:rsidRPr="00BA78D0">
        <w:t>four</w:t>
      </w:r>
      <w:r w:rsidR="006252EF">
        <w:t xml:space="preserve"> </w:t>
      </w:r>
      <w:r w:rsidRPr="00BA78D0">
        <w:t>years,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strengthen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cooperation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two</w:t>
      </w:r>
      <w:r w:rsidR="006252EF">
        <w:t xml:space="preserve"> </w:t>
      </w:r>
      <w:r w:rsidRPr="00BA78D0">
        <w:t>bodies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further</w:t>
      </w:r>
      <w:r w:rsidR="006252EF">
        <w:t xml:space="preserve"> </w:t>
      </w:r>
      <w:r w:rsidRPr="00BA78D0">
        <w:t>promote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rights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Greenland.</w:t>
      </w:r>
      <w:r w:rsidR="006252EF">
        <w:t xml:space="preserve"> </w:t>
      </w:r>
      <w:r w:rsidRPr="00BA78D0">
        <w:t>Lastly,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wished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clarify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Greenlandic</w:t>
      </w:r>
      <w:r w:rsidR="006252EF">
        <w:t xml:space="preserve"> </w:t>
      </w:r>
      <w:r w:rsidRPr="00BA78D0">
        <w:t>government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Strategy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Plan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period</w:t>
      </w:r>
      <w:r w:rsidR="006252EF">
        <w:t xml:space="preserve"> </w:t>
      </w:r>
      <w:r w:rsidRPr="00BA78D0">
        <w:t>2014–2017</w:t>
      </w:r>
      <w:r w:rsidR="006252EF">
        <w:t xml:space="preserve"> </w:t>
      </w:r>
      <w:r w:rsidRPr="00BA78D0">
        <w:t>remained</w:t>
      </w:r>
      <w:r w:rsidR="006252EF">
        <w:t xml:space="preserve"> </w:t>
      </w:r>
      <w:r w:rsidRPr="00BA78D0">
        <w:t>valid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still</w:t>
      </w:r>
      <w:r w:rsidR="006252EF">
        <w:t xml:space="preserve"> </w:t>
      </w:r>
      <w:r w:rsidRPr="00BA78D0">
        <w:t>being</w:t>
      </w:r>
      <w:r w:rsidR="006252EF">
        <w:t xml:space="preserve"> </w:t>
      </w:r>
      <w:r w:rsidRPr="00BA78D0">
        <w:t>implemented.</w:t>
      </w:r>
    </w:p>
    <w:p w14:paraId="00D0FF04" w14:textId="6F25DC5E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Poulsen</w:t>
      </w:r>
      <w:r w:rsidR="006252EF">
        <w:t xml:space="preserve"> </w:t>
      </w:r>
      <w:r w:rsidRPr="00BA78D0">
        <w:t>(Faroe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since</w:t>
      </w:r>
      <w:r w:rsidR="006252EF">
        <w:t xml:space="preserve"> </w:t>
      </w:r>
      <w:r w:rsidRPr="00BA78D0">
        <w:t>2012,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working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implement</w:t>
      </w:r>
      <w:r w:rsidR="006252EF">
        <w:t xml:space="preserve"> </w:t>
      </w:r>
      <w:r w:rsidRPr="00BA78D0">
        <w:t>various</w:t>
      </w:r>
      <w:r w:rsidR="006252EF">
        <w:t xml:space="preserve"> </w:t>
      </w:r>
      <w:r w:rsidRPr="00BA78D0">
        <w:t>initiatives</w:t>
      </w:r>
      <w:r w:rsidR="006252EF">
        <w:t xml:space="preserve"> </w:t>
      </w:r>
      <w:r w:rsidRPr="00BA78D0">
        <w:t>provided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plan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combat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violence.</w:t>
      </w:r>
      <w:r w:rsidR="006252EF">
        <w:t xml:space="preserve"> </w:t>
      </w:r>
      <w:r w:rsidRPr="00BA78D0">
        <w:t>Although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ratified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Council</w:t>
      </w:r>
      <w:r w:rsidR="006252EF">
        <w:t xml:space="preserve"> </w:t>
      </w:r>
      <w:r w:rsidRPr="00BA78D0">
        <w:t>of</w:t>
      </w:r>
      <w:r w:rsidR="006252EF">
        <w:rPr>
          <w:lang w:val="en-CA"/>
        </w:rPr>
        <w:t xml:space="preserve"> </w:t>
      </w:r>
      <w:r w:rsidRPr="00BA78D0">
        <w:rPr>
          <w:lang w:val="en-CA"/>
        </w:rPr>
        <w:lastRenderedPageBreak/>
        <w:t>E</w:t>
      </w:r>
      <w:r w:rsidRPr="00BA78D0">
        <w:t>urope</w:t>
      </w:r>
      <w:r w:rsidR="006252EF">
        <w:t xml:space="preserve"> </w:t>
      </w:r>
      <w:r w:rsidRPr="00BA78D0">
        <w:t>Convention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Preventing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Combating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(Istanbul</w:t>
      </w:r>
      <w:r w:rsidR="006252EF">
        <w:t xml:space="preserve"> </w:t>
      </w:r>
      <w:r w:rsidRPr="00BA78D0">
        <w:t>Convention),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taken</w:t>
      </w:r>
      <w:r w:rsidR="006252EF">
        <w:t xml:space="preserve"> </w:t>
      </w:r>
      <w:r w:rsidRPr="00BA78D0">
        <w:t>specific</w:t>
      </w:r>
      <w:r w:rsidR="006252EF">
        <w:t xml:space="preserve"> </w:t>
      </w:r>
      <w:r w:rsidRPr="00BA78D0">
        <w:t>measures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prevent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combat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violence.</w:t>
      </w:r>
      <w:r w:rsidR="006252EF">
        <w:t xml:space="preserve"> </w:t>
      </w:r>
      <w:r w:rsidRPr="00BA78D0">
        <w:t>Additional</w:t>
      </w:r>
      <w:r w:rsidR="006252EF">
        <w:t xml:space="preserve"> </w:t>
      </w:r>
      <w:r w:rsidRPr="00BA78D0">
        <w:t>funding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allocated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shelters,</w:t>
      </w:r>
      <w:r w:rsidR="006252EF">
        <w:t xml:space="preserve"> </w:t>
      </w:r>
      <w:r w:rsidRPr="00BA78D0">
        <w:t>support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provided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perpetrators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such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victims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childhood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abuse,</w:t>
      </w:r>
      <w:r w:rsidR="006252EF">
        <w:t xml:space="preserve"> </w:t>
      </w:r>
      <w:r w:rsidRPr="00BA78D0">
        <w:t>awareness-raising</w:t>
      </w:r>
      <w:r w:rsidR="006252EF">
        <w:t xml:space="preserve"> </w:t>
      </w:r>
      <w:r w:rsidRPr="00BA78D0">
        <w:t>campaigns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carried</w:t>
      </w:r>
      <w:r w:rsidR="006252EF">
        <w:t xml:space="preserve"> </w:t>
      </w:r>
      <w:r w:rsidRPr="00BA78D0">
        <w:t>out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data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collected.</w:t>
      </w:r>
      <w:r w:rsidR="006252EF">
        <w:t xml:space="preserve"> </w:t>
      </w:r>
      <w:r w:rsidRPr="00BA78D0">
        <w:t>An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plan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combat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developed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being</w:t>
      </w:r>
      <w:r w:rsidR="006252EF">
        <w:t xml:space="preserve"> </w:t>
      </w:r>
      <w:r w:rsidRPr="00BA78D0">
        <w:t>implemented.</w:t>
      </w:r>
    </w:p>
    <w:p w14:paraId="1BDE95A9" w14:textId="40148E5B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Ameline</w:t>
      </w:r>
      <w:r w:rsidR="006252EF">
        <w:rPr>
          <w:b/>
          <w:bCs/>
        </w:rPr>
        <w:t xml:space="preserve"> </w:t>
      </w:r>
      <w:r w:rsidRPr="00BA78D0">
        <w:t>said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like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hear</w:t>
      </w:r>
      <w:r w:rsidR="006252EF">
        <w:t xml:space="preserve"> </w:t>
      </w:r>
      <w:r w:rsidRPr="00BA78D0">
        <w:t>more</w:t>
      </w:r>
      <w:r w:rsidR="006252EF">
        <w:t xml:space="preserve"> </w:t>
      </w:r>
      <w:r w:rsidRPr="00BA78D0">
        <w:t>about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efforts</w:t>
      </w:r>
      <w:r w:rsidR="006252EF">
        <w:t xml:space="preserve"> </w:t>
      </w:r>
      <w:r w:rsidRPr="00BA78D0">
        <w:t>being</w:t>
      </w:r>
      <w:r w:rsidR="006252EF">
        <w:t xml:space="preserve"> </w:t>
      </w:r>
      <w:r w:rsidRPr="00BA78D0">
        <w:t>made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accelerate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legal</w:t>
      </w:r>
      <w:r w:rsidR="006252EF">
        <w:t xml:space="preserve"> </w:t>
      </w:r>
      <w:r w:rsidRPr="00BA78D0">
        <w:t>harmonization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Denmark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order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achieve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more</w:t>
      </w:r>
      <w:r w:rsidR="006252EF">
        <w:t xml:space="preserve"> </w:t>
      </w:r>
      <w:r w:rsidRPr="00BA78D0">
        <w:t>effective</w:t>
      </w:r>
      <w:r w:rsidR="006252EF">
        <w:t xml:space="preserve"> </w:t>
      </w:r>
      <w:r w:rsidRPr="00BA78D0">
        <w:t>implementation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Convention.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like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know</w:t>
      </w:r>
      <w:r w:rsidR="006252EF">
        <w:t xml:space="preserve"> </w:t>
      </w:r>
      <w:r w:rsidRPr="00BA78D0">
        <w:t>whether</w:t>
      </w:r>
      <w:r w:rsidR="006252EF">
        <w:t xml:space="preserve"> </w:t>
      </w:r>
      <w:r w:rsidRPr="00BA78D0">
        <w:t>there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plans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introduce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mechanism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enhance</w:t>
      </w:r>
      <w:r w:rsidR="006252EF">
        <w:t xml:space="preserve"> </w:t>
      </w:r>
      <w:r w:rsidRPr="00BA78D0">
        <w:t>cooperation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different</w:t>
      </w:r>
      <w:r w:rsidR="006252EF">
        <w:t xml:space="preserve"> </w:t>
      </w:r>
      <w:r w:rsidRPr="00BA78D0">
        <w:t>parliaments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governments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matters</w:t>
      </w:r>
      <w:r w:rsidR="006252EF">
        <w:t xml:space="preserve"> </w:t>
      </w:r>
      <w:r w:rsidRPr="00BA78D0">
        <w:t>such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gender</w:t>
      </w:r>
      <w:r w:rsidR="006252EF">
        <w:t xml:space="preserve"> </w:t>
      </w:r>
      <w:r w:rsidRPr="00BA78D0">
        <w:t>equality.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delegation</w:t>
      </w:r>
      <w:r w:rsidR="006252EF">
        <w:t xml:space="preserve"> </w:t>
      </w:r>
      <w:r w:rsidRPr="00BA78D0">
        <w:t>might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explain</w:t>
      </w:r>
      <w:r w:rsidR="006252EF">
        <w:t xml:space="preserve"> </w:t>
      </w:r>
      <w:r w:rsidRPr="00BA78D0">
        <w:t>how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intended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guarantee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living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remote</w:t>
      </w:r>
      <w:r w:rsidR="006252EF">
        <w:t xml:space="preserve"> </w:t>
      </w:r>
      <w:r w:rsidRPr="00BA78D0">
        <w:t>communities</w:t>
      </w:r>
      <w:r w:rsidR="006252EF">
        <w:t xml:space="preserve"> </w:t>
      </w:r>
      <w:r w:rsidRPr="00BA78D0">
        <w:t>equal</w:t>
      </w:r>
      <w:r w:rsidR="006252EF">
        <w:t xml:space="preserve"> </w:t>
      </w:r>
      <w:r w:rsidRPr="00BA78D0">
        <w:t>access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courts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legal</w:t>
      </w:r>
      <w:r w:rsidR="006252EF">
        <w:t xml:space="preserve"> </w:t>
      </w:r>
      <w:r w:rsidRPr="00BA78D0">
        <w:t>aid.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wished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point</w:t>
      </w:r>
      <w:r w:rsidR="006252EF">
        <w:t xml:space="preserve"> </w:t>
      </w:r>
      <w:r w:rsidRPr="00BA78D0">
        <w:t>out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ratifying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Istanbul</w:t>
      </w:r>
      <w:r w:rsidR="006252EF">
        <w:t xml:space="preserve"> </w:t>
      </w:r>
      <w:r w:rsidRPr="00BA78D0">
        <w:t>Convention,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contribute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greater</w:t>
      </w:r>
      <w:r w:rsidR="006252EF">
        <w:t xml:space="preserve"> </w:t>
      </w:r>
      <w:r w:rsidRPr="00BA78D0">
        <w:t>legal</w:t>
      </w:r>
      <w:r w:rsidR="006252EF">
        <w:t xml:space="preserve"> </w:t>
      </w:r>
      <w:r w:rsidRPr="00BA78D0">
        <w:t>harmonization</w:t>
      </w:r>
      <w:r w:rsidR="006252EF">
        <w:t xml:space="preserve"> </w:t>
      </w:r>
      <w:r w:rsidRPr="00BA78D0">
        <w:t>throughout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State</w:t>
      </w:r>
      <w:r w:rsidR="006252EF">
        <w:t xml:space="preserve"> </w:t>
      </w:r>
      <w:r w:rsidRPr="00BA78D0">
        <w:t>party.</w:t>
      </w:r>
    </w:p>
    <w:p w14:paraId="7E641F25" w14:textId="17F7D278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Nolsøe</w:t>
      </w:r>
      <w:r w:rsidR="006252EF">
        <w:t xml:space="preserve"> </w:t>
      </w:r>
      <w:r w:rsidRPr="00BA78D0">
        <w:t>(Faroe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while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legally</w:t>
      </w:r>
      <w:r w:rsidR="006252EF">
        <w:t xml:space="preserve"> </w:t>
      </w:r>
      <w:r w:rsidRPr="00BA78D0">
        <w:t>competent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act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most</w:t>
      </w:r>
      <w:r w:rsidR="006252EF">
        <w:t xml:space="preserve"> </w:t>
      </w:r>
      <w:r w:rsidRPr="00BA78D0">
        <w:t>areas,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did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have</w:t>
      </w:r>
      <w:r w:rsidR="006252EF">
        <w:t xml:space="preserve"> </w:t>
      </w:r>
      <w:r w:rsidRPr="00BA78D0">
        <w:t>jurisdiction</w:t>
      </w:r>
      <w:r w:rsidR="006252EF">
        <w:t xml:space="preserve"> </w:t>
      </w:r>
      <w:r w:rsidRPr="00BA78D0">
        <w:t>over</w:t>
      </w:r>
      <w:r w:rsidR="006252EF">
        <w:t xml:space="preserve"> </w:t>
      </w:r>
      <w:r w:rsidRPr="00BA78D0">
        <w:t>matters</w:t>
      </w:r>
      <w:r w:rsidR="006252EF">
        <w:t xml:space="preserve"> </w:t>
      </w:r>
      <w:r w:rsidRPr="00BA78D0">
        <w:t>such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citizenship,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Supreme</w:t>
      </w:r>
      <w:r w:rsidR="006252EF">
        <w:t xml:space="preserve"> </w:t>
      </w:r>
      <w:r w:rsidRPr="00BA78D0">
        <w:t>Court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foreign</w:t>
      </w:r>
      <w:r w:rsidR="006252EF">
        <w:t xml:space="preserve"> </w:t>
      </w:r>
      <w:r w:rsidRPr="00BA78D0">
        <w:t>policy,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over</w:t>
      </w:r>
      <w:r w:rsidR="006252EF">
        <w:t xml:space="preserve"> </w:t>
      </w:r>
      <w:r w:rsidRPr="00BA78D0">
        <w:t>areas</w:t>
      </w:r>
      <w:r w:rsidR="006252EF">
        <w:t xml:space="preserve"> </w:t>
      </w:r>
      <w:r w:rsidRPr="00BA78D0">
        <w:t>where</w:t>
      </w:r>
      <w:r w:rsidR="006252EF">
        <w:t xml:space="preserve"> </w:t>
      </w:r>
      <w:r w:rsidRPr="00BA78D0">
        <w:t>legal</w:t>
      </w:r>
      <w:r w:rsidR="006252EF">
        <w:t xml:space="preserve"> </w:t>
      </w:r>
      <w:r w:rsidRPr="00BA78D0">
        <w:t>competence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yet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transferred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it,</w:t>
      </w:r>
      <w:r w:rsidR="006252EF">
        <w:t xml:space="preserve"> </w:t>
      </w:r>
      <w:r w:rsidRPr="00BA78D0">
        <w:t>such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policing,</w:t>
      </w:r>
      <w:r w:rsidR="006252EF">
        <w:t xml:space="preserve"> </w:t>
      </w:r>
      <w:r w:rsidRPr="00BA78D0">
        <w:t>prosecutorial</w:t>
      </w:r>
      <w:r w:rsidR="006252EF">
        <w:t xml:space="preserve"> </w:t>
      </w:r>
      <w:r w:rsidRPr="00BA78D0">
        <w:t>authority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judicial</w:t>
      </w:r>
      <w:r w:rsidR="006252EF">
        <w:t xml:space="preserve"> </w:t>
      </w:r>
      <w:r w:rsidRPr="00BA78D0">
        <w:t>administration.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Department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Legal</w:t>
      </w:r>
      <w:r w:rsidR="006252EF">
        <w:t xml:space="preserve"> </w:t>
      </w:r>
      <w:r w:rsidRPr="00BA78D0">
        <w:t>Affairs</w:t>
      </w:r>
      <w:r w:rsidR="006252EF">
        <w:t xml:space="preserve"> </w:t>
      </w:r>
      <w:r w:rsidRPr="00BA78D0">
        <w:t>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Faroese</w:t>
      </w:r>
      <w:r w:rsidR="006252EF">
        <w:t xml:space="preserve"> </w:t>
      </w:r>
      <w:r w:rsidRPr="00BA78D0">
        <w:t>Prime</w:t>
      </w:r>
      <w:r w:rsidR="006252EF">
        <w:t xml:space="preserve"> </w:t>
      </w:r>
      <w:r w:rsidRPr="00BA78D0">
        <w:t>Minister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Office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taken</w:t>
      </w:r>
      <w:r w:rsidR="006252EF">
        <w:t xml:space="preserve"> </w:t>
      </w:r>
      <w:r w:rsidRPr="00BA78D0">
        <w:t>steps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raise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awareness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public</w:t>
      </w:r>
      <w:r w:rsidR="006252EF">
        <w:t xml:space="preserve"> </w:t>
      </w:r>
      <w:r w:rsidRPr="00BA78D0">
        <w:t>authorities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Convention.</w:t>
      </w:r>
      <w:r w:rsidR="006252EF">
        <w:t xml:space="preserve"> </w:t>
      </w:r>
      <w:r w:rsidRPr="00BA78D0">
        <w:t>All</w:t>
      </w:r>
      <w:r w:rsidR="006252EF">
        <w:t xml:space="preserve"> </w:t>
      </w:r>
      <w:r w:rsidRPr="00BA78D0">
        <w:t>bills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scrutinized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ensure</w:t>
      </w:r>
      <w:r w:rsidR="006252EF">
        <w:t xml:space="preserve"> </w:t>
      </w:r>
      <w:r w:rsidRPr="00BA78D0">
        <w:t>their</w:t>
      </w:r>
      <w:r w:rsidR="006252EF">
        <w:t xml:space="preserve"> </w:t>
      </w:r>
      <w:r w:rsidRPr="00BA78D0">
        <w:t>compatibility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laws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higher</w:t>
      </w:r>
      <w:r w:rsidR="006252EF">
        <w:t xml:space="preserve"> </w:t>
      </w:r>
      <w:r w:rsidRPr="00BA78D0">
        <w:t>standing,</w:t>
      </w:r>
      <w:r w:rsidR="006252EF">
        <w:t xml:space="preserve"> </w:t>
      </w:r>
      <w:r w:rsidRPr="00BA78D0">
        <w:t>general</w:t>
      </w:r>
      <w:r w:rsidR="006252EF">
        <w:t xml:space="preserve"> </w:t>
      </w:r>
      <w:r w:rsidRPr="00BA78D0">
        <w:t>laws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any</w:t>
      </w:r>
      <w:r w:rsidR="006252EF">
        <w:t xml:space="preserve"> </w:t>
      </w:r>
      <w:r w:rsidRPr="00BA78D0">
        <w:t>applicable</w:t>
      </w:r>
      <w:r w:rsidR="006252EF">
        <w:t xml:space="preserve"> </w:t>
      </w:r>
      <w:r w:rsidRPr="00BA78D0">
        <w:t>international</w:t>
      </w:r>
      <w:r w:rsidR="006252EF">
        <w:t xml:space="preserve"> </w:t>
      </w:r>
      <w:r w:rsidRPr="00BA78D0">
        <w:t>conventions.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handbook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drafting</w:t>
      </w:r>
      <w:r w:rsidR="006252EF">
        <w:t xml:space="preserve"> </w:t>
      </w:r>
      <w:r w:rsidRPr="00BA78D0">
        <w:t>legislation,</w:t>
      </w:r>
      <w:r w:rsidR="006252EF">
        <w:t xml:space="preserve"> </w:t>
      </w:r>
      <w:r w:rsidRPr="00BA78D0">
        <w:t>which</w:t>
      </w:r>
      <w:r w:rsidR="006252EF">
        <w:t xml:space="preserve"> </w:t>
      </w:r>
      <w:r w:rsidRPr="00BA78D0">
        <w:t>included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checklist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used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public</w:t>
      </w:r>
      <w:r w:rsidR="006252EF">
        <w:t xml:space="preserve"> </w:t>
      </w:r>
      <w:r w:rsidRPr="00BA78D0">
        <w:t>authorities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determine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bill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potential</w:t>
      </w:r>
      <w:r w:rsidR="006252EF">
        <w:t xml:space="preserve"> </w:t>
      </w:r>
      <w:r w:rsidRPr="00BA78D0">
        <w:t>impact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rights,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published.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requirement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all</w:t>
      </w:r>
      <w:r w:rsidR="006252EF">
        <w:t xml:space="preserve"> </w:t>
      </w:r>
      <w:r w:rsidRPr="00BA78D0">
        <w:t>bills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drafted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gender</w:t>
      </w:r>
      <w:r w:rsidR="006252EF">
        <w:t xml:space="preserve"> </w:t>
      </w:r>
      <w:r w:rsidRPr="00BA78D0">
        <w:t>neutral</w:t>
      </w:r>
      <w:r w:rsidR="006252EF">
        <w:t xml:space="preserve"> </w:t>
      </w:r>
      <w:r w:rsidRPr="00BA78D0">
        <w:t>language.</w:t>
      </w:r>
      <w:r w:rsidR="006252EF">
        <w:t xml:space="preserve"> </w:t>
      </w:r>
      <w:r w:rsidRPr="00BA78D0">
        <w:t>Assessing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potential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rights</w:t>
      </w:r>
      <w:r w:rsidR="006252EF">
        <w:t xml:space="preserve"> </w:t>
      </w:r>
      <w:r w:rsidRPr="00BA78D0">
        <w:t>impact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bills</w:t>
      </w:r>
      <w:r w:rsidR="006252EF">
        <w:t xml:space="preserve"> </w:t>
      </w:r>
      <w:r w:rsidRPr="00BA78D0">
        <w:t>ahead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time</w:t>
      </w:r>
      <w:r w:rsidR="006252EF">
        <w:t xml:space="preserve"> </w:t>
      </w:r>
      <w:r w:rsidRPr="00BA78D0">
        <w:t>helped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prevent</w:t>
      </w:r>
      <w:r w:rsidR="006252EF">
        <w:t xml:space="preserve"> </w:t>
      </w:r>
      <w:r w:rsidRPr="00BA78D0">
        <w:t>conflicts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existing</w:t>
      </w:r>
      <w:r w:rsidR="006252EF">
        <w:t xml:space="preserve"> </w:t>
      </w:r>
      <w:r w:rsidRPr="00BA78D0">
        <w:t>legislation.</w:t>
      </w:r>
      <w:r w:rsidR="006252EF">
        <w:t xml:space="preserve"> </w:t>
      </w:r>
      <w:r w:rsidRPr="00BA78D0">
        <w:t>Relevant</w:t>
      </w:r>
      <w:r w:rsidR="006252EF">
        <w:t xml:space="preserve"> </w:t>
      </w:r>
      <w:r w:rsidRPr="00BA78D0">
        <w:t>courses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organized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lawmakers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law</w:t>
      </w:r>
      <w:r w:rsidR="006252EF">
        <w:t xml:space="preserve"> </w:t>
      </w:r>
      <w:r w:rsidRPr="00BA78D0">
        <w:t>enforcement</w:t>
      </w:r>
      <w:r w:rsidR="006252EF">
        <w:t xml:space="preserve"> </w:t>
      </w:r>
      <w:r w:rsidRPr="00BA78D0">
        <w:t>officers.</w:t>
      </w:r>
    </w:p>
    <w:p w14:paraId="796DE869" w14:textId="29335127" w:rsidR="00603C5A" w:rsidRDefault="00603C5A" w:rsidP="00603C5A">
      <w:pPr>
        <w:pStyle w:val="ParNoG"/>
      </w:pPr>
      <w:r w:rsidRPr="00BA78D0">
        <w:t>The</w:t>
      </w:r>
      <w:r w:rsidR="006252EF">
        <w:t xml:space="preserve"> </w:t>
      </w:r>
      <w:r w:rsidRPr="00BA78D0">
        <w:t>revised</w:t>
      </w:r>
      <w:r w:rsidR="006252EF">
        <w:t xml:space="preserve"> </w:t>
      </w:r>
      <w:r w:rsidRPr="00BA78D0">
        <w:t>Administration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Justice</w:t>
      </w:r>
      <w:r w:rsidR="006252EF">
        <w:t xml:space="preserve"> </w:t>
      </w:r>
      <w:r w:rsidRPr="00BA78D0">
        <w:t>Act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entered</w:t>
      </w:r>
      <w:r w:rsidR="006252EF">
        <w:t xml:space="preserve"> </w:t>
      </w:r>
      <w:r w:rsidRPr="00BA78D0">
        <w:t>into</w:t>
      </w:r>
      <w:r w:rsidR="006252EF">
        <w:t xml:space="preserve"> </w:t>
      </w:r>
      <w:r w:rsidRPr="00BA78D0">
        <w:t>force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January</w:t>
      </w:r>
      <w:r w:rsidR="006252EF">
        <w:t xml:space="preserve"> </w:t>
      </w:r>
      <w:r w:rsidRPr="00BA78D0">
        <w:t>2021.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same</w:t>
      </w:r>
      <w:r w:rsidR="006252EF">
        <w:t xml:space="preserve"> </w:t>
      </w:r>
      <w:r w:rsidRPr="00BA78D0">
        <w:t>rules</w:t>
      </w:r>
      <w:r w:rsidR="006252EF">
        <w:t xml:space="preserve"> </w:t>
      </w:r>
      <w:r w:rsidRPr="00BA78D0">
        <w:t>therefore</w:t>
      </w:r>
      <w:r w:rsidR="006252EF">
        <w:t xml:space="preserve"> </w:t>
      </w:r>
      <w:r w:rsidRPr="00BA78D0">
        <w:t>applied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regard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Danish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Faroese</w:t>
      </w:r>
      <w:r w:rsidR="006252EF">
        <w:t xml:space="preserve"> </w:t>
      </w:r>
      <w:r w:rsidRPr="00BA78D0">
        <w:t>complaint</w:t>
      </w:r>
      <w:r w:rsidR="006252EF">
        <w:t xml:space="preserve"> </w:t>
      </w:r>
      <w:r w:rsidRPr="00BA78D0">
        <w:t>mechanisms.</w:t>
      </w:r>
      <w:r w:rsidR="006252EF">
        <w:t xml:space="preserve"> </w:t>
      </w:r>
      <w:r w:rsidRPr="00BA78D0">
        <w:t>All</w:t>
      </w:r>
      <w:r w:rsidR="006252EF">
        <w:t xml:space="preserve"> </w:t>
      </w:r>
      <w:r w:rsidRPr="00BA78D0">
        <w:t>persons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need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receive</w:t>
      </w:r>
      <w:r w:rsidR="006252EF">
        <w:t xml:space="preserve"> </w:t>
      </w:r>
      <w:r w:rsidRPr="00BA78D0">
        <w:t>free</w:t>
      </w:r>
      <w:r w:rsidR="006252EF">
        <w:t xml:space="preserve"> </w:t>
      </w:r>
      <w:r w:rsidRPr="00BA78D0">
        <w:t>legal</w:t>
      </w:r>
      <w:r w:rsidR="006252EF">
        <w:t xml:space="preserve"> </w:t>
      </w:r>
      <w:r w:rsidRPr="00BA78D0">
        <w:t>advice</w:t>
      </w:r>
      <w:r w:rsidR="006252EF">
        <w:t xml:space="preserve"> </w:t>
      </w:r>
      <w:r w:rsidRPr="00BA78D0">
        <w:t>under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Faroese</w:t>
      </w:r>
      <w:r w:rsidR="006252EF">
        <w:t xml:space="preserve"> </w:t>
      </w:r>
      <w:r w:rsidRPr="00BA78D0">
        <w:t>legal</w:t>
      </w:r>
      <w:r w:rsidR="006252EF">
        <w:t xml:space="preserve"> </w:t>
      </w:r>
      <w:r w:rsidRPr="00BA78D0">
        <w:t>aid</w:t>
      </w:r>
      <w:r w:rsidR="006252EF">
        <w:t xml:space="preserve"> </w:t>
      </w:r>
      <w:r w:rsidRPr="00BA78D0">
        <w:t>system.</w:t>
      </w:r>
      <w:r w:rsidR="006252EF">
        <w:t xml:space="preserve"> </w:t>
      </w:r>
      <w:r w:rsidRPr="00BA78D0">
        <w:t>Individuals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submit</w:t>
      </w:r>
      <w:r w:rsidR="006252EF">
        <w:t xml:space="preserve"> </w:t>
      </w:r>
      <w:r w:rsidRPr="00BA78D0">
        <w:t>complaints</w:t>
      </w:r>
      <w:r w:rsidR="006252EF">
        <w:t xml:space="preserve"> </w:t>
      </w:r>
      <w:r w:rsidRPr="00BA78D0">
        <w:t>regarding</w:t>
      </w:r>
      <w:r w:rsidR="006252EF">
        <w:t xml:space="preserve"> </w:t>
      </w:r>
      <w:r w:rsidRPr="00BA78D0">
        <w:t>adverse</w:t>
      </w:r>
      <w:r w:rsidR="006252EF">
        <w:t xml:space="preserve"> </w:t>
      </w:r>
      <w:r w:rsidRPr="00BA78D0">
        <w:t>administrative</w:t>
      </w:r>
      <w:r w:rsidR="006252EF">
        <w:t xml:space="preserve"> </w:t>
      </w:r>
      <w:r w:rsidRPr="00BA78D0">
        <w:t>decisions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one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several</w:t>
      </w:r>
      <w:r w:rsidR="006252EF">
        <w:t xml:space="preserve"> </w:t>
      </w:r>
      <w:r w:rsidRPr="00BA78D0">
        <w:t>bodies.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own</w:t>
      </w:r>
      <w:r w:rsidR="006252EF">
        <w:t xml:space="preserve"> </w:t>
      </w:r>
      <w:r w:rsidRPr="00BA78D0">
        <w:t>Ombudsman,</w:t>
      </w:r>
      <w:r w:rsidR="006252EF">
        <w:t xml:space="preserve"> </w:t>
      </w:r>
      <w:r w:rsidRPr="00BA78D0">
        <w:t>who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elected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Faroese</w:t>
      </w:r>
      <w:r w:rsidR="006252EF">
        <w:t xml:space="preserve"> </w:t>
      </w:r>
      <w:r w:rsidRPr="00BA78D0">
        <w:t>parliament.</w:t>
      </w:r>
    </w:p>
    <w:p w14:paraId="1D31CFBD" w14:textId="7C67AFB2" w:rsidR="00603C5A" w:rsidRDefault="00603C5A" w:rsidP="00603C5A">
      <w:pPr>
        <w:pStyle w:val="ParNoG"/>
        <w:rPr>
          <w:b/>
          <w:bCs/>
        </w:rPr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Horni</w:t>
      </w:r>
      <w:r w:rsidR="006252EF">
        <w:rPr>
          <w:b/>
          <w:bCs/>
        </w:rPr>
        <w:t xml:space="preserve"> </w:t>
      </w:r>
      <w:r w:rsidRPr="00BA78D0">
        <w:t>(Faroe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regard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recommendation</w:t>
      </w:r>
      <w:r w:rsidR="006252EF">
        <w:t xml:space="preserve"> </w:t>
      </w:r>
      <w:r w:rsidRPr="00BA78D0">
        <w:t>calling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establishment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rights</w:t>
      </w:r>
      <w:r w:rsidR="006252EF">
        <w:t xml:space="preserve"> </w:t>
      </w:r>
      <w:r w:rsidRPr="00BA78D0">
        <w:t>institution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Ministry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Foreign</w:t>
      </w:r>
      <w:r w:rsidR="006252EF">
        <w:t xml:space="preserve"> </w:t>
      </w:r>
      <w:r w:rsidRPr="00BA78D0">
        <w:t>Affairs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set</w:t>
      </w:r>
      <w:r w:rsidR="006252EF">
        <w:t xml:space="preserve"> </w:t>
      </w:r>
      <w:r w:rsidRPr="00BA78D0">
        <w:t>up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task</w:t>
      </w:r>
      <w:r w:rsidR="006252EF">
        <w:t xml:space="preserve"> </w:t>
      </w:r>
      <w:r w:rsidRPr="00BA78D0">
        <w:t>force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examine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different</w:t>
      </w:r>
      <w:r w:rsidR="006252EF">
        <w:t xml:space="preserve"> </w:t>
      </w:r>
      <w:r w:rsidRPr="00BA78D0">
        <w:t>possibilities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make</w:t>
      </w:r>
      <w:r w:rsidR="006252EF">
        <w:t xml:space="preserve"> </w:t>
      </w:r>
      <w:r w:rsidRPr="00BA78D0">
        <w:t>recommendations.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task</w:t>
      </w:r>
      <w:r w:rsidR="006252EF">
        <w:t xml:space="preserve"> </w:t>
      </w:r>
      <w:r w:rsidRPr="00BA78D0">
        <w:t>force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published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report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working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identify</w:t>
      </w:r>
      <w:r w:rsidR="006252EF">
        <w:t xml:space="preserve"> </w:t>
      </w:r>
      <w:r w:rsidRPr="00BA78D0">
        <w:t>feasible</w:t>
      </w:r>
      <w:r w:rsidR="006252EF">
        <w:t xml:space="preserve"> </w:t>
      </w:r>
      <w:r w:rsidRPr="00BA78D0">
        <w:t>solutions.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wished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recall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absence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rights</w:t>
      </w:r>
      <w:r w:rsidR="006252EF">
        <w:t xml:space="preserve"> </w:t>
      </w:r>
      <w:r w:rsidRPr="00BA78D0">
        <w:t>institution,</w:t>
      </w:r>
      <w:r w:rsidR="006252EF">
        <w:t xml:space="preserve"> </w:t>
      </w:r>
      <w:r w:rsidRPr="00BA78D0">
        <w:t>there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several</w:t>
      </w:r>
      <w:r w:rsidR="006252EF">
        <w:t xml:space="preserve"> </w:t>
      </w:r>
      <w:r w:rsidRPr="00BA78D0">
        <w:t>systems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place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protect</w:t>
      </w:r>
      <w:r w:rsidR="006252EF">
        <w:t xml:space="preserve"> </w:t>
      </w:r>
      <w:r w:rsidRPr="00BA78D0">
        <w:t>citizens</w:t>
      </w:r>
      <w:r w:rsidR="00C6067F">
        <w:t>’</w:t>
      </w:r>
      <w:r w:rsidR="006252EF">
        <w:t xml:space="preserve"> </w:t>
      </w:r>
      <w:r w:rsidRPr="00BA78D0">
        <w:t>rights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Islands.</w:t>
      </w:r>
    </w:p>
    <w:p w14:paraId="4A9E4C52" w14:textId="72930080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Frederiksen</w:t>
      </w:r>
      <w:r w:rsidR="006252EF">
        <w:t xml:space="preserve"> </w:t>
      </w:r>
      <w:r w:rsidRPr="00BA78D0">
        <w:t>(Denmark)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although</w:t>
      </w:r>
      <w:r w:rsidR="006252EF">
        <w:t xml:space="preserve"> </w:t>
      </w:r>
      <w:r w:rsidRPr="00BA78D0">
        <w:t>Denmark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cooperated</w:t>
      </w:r>
      <w:r w:rsidR="006252EF">
        <w:t xml:space="preserve"> </w:t>
      </w:r>
      <w:r w:rsidRPr="00BA78D0">
        <w:t>closely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matters</w:t>
      </w:r>
      <w:r w:rsidR="006252EF">
        <w:t xml:space="preserve"> </w:t>
      </w:r>
      <w:r w:rsidRPr="00BA78D0">
        <w:t>relating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administration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justice,</w:t>
      </w:r>
      <w:r w:rsidR="006252EF">
        <w:t xml:space="preserve"> </w:t>
      </w:r>
      <w:r w:rsidRPr="00BA78D0">
        <w:t>due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significant</w:t>
      </w:r>
      <w:r w:rsidR="006252EF">
        <w:t xml:space="preserve"> </w:t>
      </w:r>
      <w:r w:rsidRPr="00BA78D0">
        <w:t>linguistic,</w:t>
      </w:r>
      <w:r w:rsidR="006252EF">
        <w:t xml:space="preserve"> </w:t>
      </w:r>
      <w:r w:rsidRPr="00BA78D0">
        <w:t>social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cultural</w:t>
      </w:r>
      <w:r w:rsidR="006252EF">
        <w:t xml:space="preserve"> </w:t>
      </w:r>
      <w:r w:rsidRPr="00BA78D0">
        <w:t>differences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them,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different</w:t>
      </w:r>
      <w:r w:rsidR="006252EF">
        <w:t xml:space="preserve"> </w:t>
      </w:r>
      <w:r w:rsidRPr="00BA78D0">
        <w:t>regions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Greenland,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territory,</w:t>
      </w:r>
      <w:r w:rsidR="006252EF">
        <w:t xml:space="preserve"> </w:t>
      </w:r>
      <w:r w:rsidRPr="00BA78D0">
        <w:t>justice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administered</w:t>
      </w:r>
      <w:r w:rsidR="006252EF">
        <w:t xml:space="preserve"> </w:t>
      </w:r>
      <w:r w:rsidRPr="00BA78D0">
        <w:t>through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subsidiarity</w:t>
      </w:r>
      <w:r w:rsidR="006252EF">
        <w:t xml:space="preserve"> </w:t>
      </w:r>
      <w:r w:rsidRPr="00BA78D0">
        <w:t>principle</w:t>
      </w:r>
      <w:r w:rsidR="006252EF">
        <w:t xml:space="preserve"> </w:t>
      </w:r>
      <w:r w:rsidRPr="00BA78D0">
        <w:t>–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other</w:t>
      </w:r>
      <w:r w:rsidR="006252EF">
        <w:t xml:space="preserve"> </w:t>
      </w:r>
      <w:r w:rsidRPr="00BA78D0">
        <w:t>words,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district</w:t>
      </w:r>
      <w:r w:rsidR="006252EF">
        <w:t xml:space="preserve"> </w:t>
      </w:r>
      <w:r w:rsidRPr="00BA78D0">
        <w:t>courts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locally</w:t>
      </w:r>
      <w:r w:rsidR="006252EF">
        <w:t xml:space="preserve"> </w:t>
      </w:r>
      <w:r w:rsidRPr="00BA78D0">
        <w:t>appointed</w:t>
      </w:r>
      <w:r w:rsidR="006252EF">
        <w:t xml:space="preserve"> </w:t>
      </w:r>
      <w:r w:rsidRPr="00BA78D0">
        <w:t>judges.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application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principle</w:t>
      </w:r>
      <w:r w:rsidR="006252EF">
        <w:t xml:space="preserve"> </w:t>
      </w:r>
      <w:r w:rsidRPr="00BA78D0">
        <w:t>ensured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Greenlandic</w:t>
      </w:r>
      <w:r w:rsidR="006252EF">
        <w:t xml:space="preserve"> </w:t>
      </w:r>
      <w:r w:rsidRPr="00BA78D0">
        <w:t>citizens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obtain</w:t>
      </w:r>
      <w:r w:rsidR="006252EF">
        <w:t xml:space="preserve"> </w:t>
      </w:r>
      <w:r w:rsidRPr="00BA78D0">
        <w:t>access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justice</w:t>
      </w:r>
      <w:r w:rsidR="006252EF">
        <w:t xml:space="preserve"> </w:t>
      </w:r>
      <w:r w:rsidRPr="00BA78D0">
        <w:t>locally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their</w:t>
      </w:r>
      <w:r w:rsidR="006252EF">
        <w:t xml:space="preserve"> </w:t>
      </w:r>
      <w:r w:rsidRPr="00BA78D0">
        <w:t>own</w:t>
      </w:r>
      <w:r w:rsidR="006252EF">
        <w:t xml:space="preserve"> </w:t>
      </w:r>
      <w:r w:rsidRPr="00BA78D0">
        <w:t>language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courts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an</w:t>
      </w:r>
      <w:r w:rsidR="006252EF">
        <w:t xml:space="preserve"> </w:t>
      </w:r>
      <w:r w:rsidRPr="00BA78D0">
        <w:t>understanding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local</w:t>
      </w:r>
      <w:r w:rsidR="006252EF">
        <w:t xml:space="preserve"> </w:t>
      </w:r>
      <w:r w:rsidRPr="00BA78D0">
        <w:t>culture.</w:t>
      </w:r>
    </w:p>
    <w:p w14:paraId="559983C6" w14:textId="23E3BA31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Gant</w:t>
      </w:r>
      <w:r w:rsidR="006252EF">
        <w:rPr>
          <w:b/>
          <w:bCs/>
        </w:rPr>
        <w:t xml:space="preserve"> </w:t>
      </w:r>
      <w:r w:rsidRPr="00BA78D0">
        <w:t>(Greenland,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fact</w:t>
      </w:r>
      <w:r w:rsidR="006252EF">
        <w:t xml:space="preserve"> </w:t>
      </w:r>
      <w:r w:rsidRPr="00BA78D0">
        <w:t>complying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provisions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Istanbul</w:t>
      </w:r>
      <w:r w:rsidR="006252EF">
        <w:t xml:space="preserve"> </w:t>
      </w:r>
      <w:r w:rsidRPr="00BA78D0">
        <w:t>Convention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taking</w:t>
      </w:r>
      <w:r w:rsidR="006252EF">
        <w:t xml:space="preserve"> </w:t>
      </w:r>
      <w:r w:rsidRPr="00BA78D0">
        <w:t>measures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protect</w:t>
      </w:r>
      <w:r w:rsidR="006252EF">
        <w:t xml:space="preserve"> </w:t>
      </w:r>
      <w:r w:rsidRPr="00BA78D0">
        <w:t>victim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rights</w:t>
      </w:r>
      <w:r w:rsidR="006252EF">
        <w:t xml:space="preserve"> </w:t>
      </w:r>
      <w:r w:rsidRPr="00BA78D0">
        <w:t>without</w:t>
      </w:r>
      <w:r w:rsidR="006252EF">
        <w:t xml:space="preserve"> </w:t>
      </w:r>
      <w:r w:rsidRPr="00BA78D0">
        <w:t>any</w:t>
      </w:r>
      <w:r w:rsidR="006252EF">
        <w:t xml:space="preserve"> </w:t>
      </w:r>
      <w:r w:rsidRPr="00BA78D0">
        <w:t>form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discrimination.</w:t>
      </w:r>
    </w:p>
    <w:p w14:paraId="12545AD6" w14:textId="5149E43F" w:rsidR="00603C5A" w:rsidRDefault="00603C5A" w:rsidP="00603C5A">
      <w:pPr>
        <w:pStyle w:val="ParNoG"/>
      </w:pPr>
      <w:r w:rsidRPr="00BA78D0">
        <w:rPr>
          <w:b/>
          <w:bCs/>
        </w:rPr>
        <w:t>Mr.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Kristiansen</w:t>
      </w:r>
      <w:r w:rsidR="006252EF">
        <w:t xml:space="preserve"> </w:t>
      </w:r>
      <w:r w:rsidRPr="00BA78D0">
        <w:t>(Faroe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dealt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severely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any</w:t>
      </w:r>
      <w:r w:rsidR="006252EF">
        <w:t xml:space="preserve"> </w:t>
      </w:r>
      <w:r w:rsidRPr="00BA78D0">
        <w:t>other</w:t>
      </w:r>
      <w:r w:rsidR="006252EF">
        <w:t xml:space="preserve"> </w:t>
      </w:r>
      <w:r w:rsidRPr="00BA78D0">
        <w:t>individual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group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prosecuted</w:t>
      </w:r>
      <w:r w:rsidR="006252EF">
        <w:t xml:space="preserve"> </w:t>
      </w:r>
      <w:r w:rsidRPr="00BA78D0">
        <w:t>under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same</w:t>
      </w:r>
      <w:r w:rsidR="006252EF">
        <w:t xml:space="preserve"> </w:t>
      </w:r>
      <w:r w:rsidRPr="00BA78D0">
        <w:t>law.</w:t>
      </w:r>
      <w:r w:rsidR="006252EF">
        <w:t xml:space="preserve"> </w:t>
      </w:r>
      <w:r w:rsidRPr="00BA78D0">
        <w:t>Special</w:t>
      </w:r>
      <w:r w:rsidR="006252EF">
        <w:t xml:space="preserve"> </w:t>
      </w:r>
      <w:r w:rsidRPr="00BA78D0">
        <w:t>provision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made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persons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</w:t>
      </w:r>
      <w:r w:rsidR="006252EF">
        <w:t xml:space="preserve"> </w:t>
      </w:r>
      <w:r w:rsidRPr="00BA78D0">
        <w:t>involved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criminal</w:t>
      </w:r>
      <w:r w:rsidR="006252EF">
        <w:t xml:space="preserve"> </w:t>
      </w:r>
      <w:r w:rsidRPr="00BA78D0">
        <w:t>cases.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example,</w:t>
      </w:r>
      <w:r w:rsidR="006252EF">
        <w:t xml:space="preserve"> </w:t>
      </w:r>
      <w:r w:rsidRPr="00BA78D0">
        <w:t>witnesses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questioned</w:t>
      </w:r>
      <w:r w:rsidR="006252EF">
        <w:t xml:space="preserve"> </w:t>
      </w:r>
      <w:r w:rsidRPr="00BA78D0">
        <w:lastRenderedPageBreak/>
        <w:t>outside</w:t>
      </w:r>
      <w:r w:rsidR="006252EF">
        <w:t xml:space="preserve"> </w:t>
      </w:r>
      <w:r w:rsidRPr="00BA78D0">
        <w:t>ordinary</w:t>
      </w:r>
      <w:r w:rsidR="006252EF">
        <w:t xml:space="preserve"> </w:t>
      </w:r>
      <w:r w:rsidRPr="00BA78D0">
        <w:t>court</w:t>
      </w:r>
      <w:r w:rsidR="006252EF">
        <w:t xml:space="preserve"> </w:t>
      </w:r>
      <w:r w:rsidRPr="00BA78D0">
        <w:t>rooms.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recognized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at</w:t>
      </w:r>
      <w:r w:rsidR="006252EF">
        <w:t xml:space="preserve"> </w:t>
      </w:r>
      <w:r w:rsidRPr="00BA78D0">
        <w:t>greater</w:t>
      </w:r>
      <w:r w:rsidR="006252EF">
        <w:t xml:space="preserve"> </w:t>
      </w:r>
      <w:r w:rsidRPr="00BA78D0">
        <w:t>risk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suffering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than</w:t>
      </w:r>
      <w:r w:rsidR="006252EF">
        <w:t xml:space="preserve"> </w:t>
      </w:r>
      <w:r w:rsidRPr="00BA78D0">
        <w:t>other</w:t>
      </w:r>
      <w:r w:rsidR="006252EF">
        <w:t xml:space="preserve"> </w:t>
      </w:r>
      <w:r w:rsidRPr="00BA78D0">
        <w:t>persons.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2017,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conference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held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raise</w:t>
      </w:r>
      <w:r w:rsidR="006252EF">
        <w:t xml:space="preserve"> </w:t>
      </w:r>
      <w:r w:rsidRPr="00BA78D0">
        <w:t>awareness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issues</w:t>
      </w:r>
      <w:r w:rsidR="006252EF">
        <w:t xml:space="preserve"> </w:t>
      </w:r>
      <w:r w:rsidRPr="00BA78D0">
        <w:t>related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sexuality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persons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disabilities.</w:t>
      </w:r>
      <w:r w:rsidR="006252EF">
        <w:t xml:space="preserve"> </w:t>
      </w:r>
      <w:r w:rsidRPr="00BA78D0">
        <w:t>All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initiatives</w:t>
      </w:r>
      <w:r w:rsidR="006252EF">
        <w:t xml:space="preserve"> </w:t>
      </w:r>
      <w:r w:rsidRPr="00BA78D0">
        <w:t>provided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current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plan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combat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aimed</w:t>
      </w:r>
      <w:r w:rsidR="006252EF">
        <w:t xml:space="preserve"> </w:t>
      </w:r>
      <w:r w:rsidRPr="00BA78D0">
        <w:t>at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disabilities.</w:t>
      </w:r>
    </w:p>
    <w:p w14:paraId="704EF07F" w14:textId="022B7B6C" w:rsidR="00603C5A" w:rsidRDefault="00603C5A" w:rsidP="00603C5A">
      <w:pPr>
        <w:pStyle w:val="ParNoG"/>
      </w:pPr>
      <w:r w:rsidRPr="00BA78D0">
        <w:t>Migrant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overrepresented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women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crisis</w:t>
      </w:r>
      <w:r w:rsidR="006252EF">
        <w:t xml:space="preserve"> </w:t>
      </w:r>
      <w:r w:rsidRPr="00BA78D0">
        <w:t>centre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Tórshavn,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Islands.</w:t>
      </w:r>
      <w:r w:rsidR="006252EF">
        <w:t xml:space="preserve"> </w:t>
      </w:r>
      <w:r w:rsidRPr="00BA78D0">
        <w:t>Several</w:t>
      </w:r>
      <w:r w:rsidR="006252EF">
        <w:t xml:space="preserve"> </w:t>
      </w:r>
      <w:r w:rsidRPr="00BA78D0">
        <w:t>initiatives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launched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inform</w:t>
      </w:r>
      <w:r w:rsidR="006252EF">
        <w:t xml:space="preserve"> </w:t>
      </w:r>
      <w:r w:rsidRPr="00BA78D0">
        <w:t>migrant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their</w:t>
      </w:r>
      <w:r w:rsidR="006252EF">
        <w:t xml:space="preserve"> </w:t>
      </w:r>
      <w:r w:rsidRPr="00BA78D0">
        <w:t>rights.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late</w:t>
      </w:r>
      <w:r w:rsidR="006252EF">
        <w:t xml:space="preserve"> </w:t>
      </w:r>
      <w:r w:rsidRPr="00BA78D0">
        <w:t>2020,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Faroese</w:t>
      </w:r>
      <w:r w:rsidR="006252EF">
        <w:t xml:space="preserve"> </w:t>
      </w:r>
      <w:r w:rsidRPr="00BA78D0">
        <w:t>migration</w:t>
      </w:r>
      <w:r w:rsidR="006252EF">
        <w:t xml:space="preserve"> </w:t>
      </w:r>
      <w:r w:rsidRPr="00BA78D0">
        <w:t>authorities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hired</w:t>
      </w:r>
      <w:r w:rsidR="006252EF">
        <w:t xml:space="preserve"> </w:t>
      </w:r>
      <w:r w:rsidRPr="00BA78D0">
        <w:t>an</w:t>
      </w:r>
      <w:r w:rsidR="006252EF">
        <w:t xml:space="preserve"> </w:t>
      </w:r>
      <w:r w:rsidRPr="00BA78D0">
        <w:t>integration</w:t>
      </w:r>
      <w:r w:rsidR="006252EF">
        <w:t xml:space="preserve"> </w:t>
      </w:r>
      <w:r w:rsidRPr="00BA78D0">
        <w:t>officer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assist</w:t>
      </w:r>
      <w:r w:rsidR="006252EF">
        <w:t xml:space="preserve"> </w:t>
      </w:r>
      <w:r w:rsidRPr="00BA78D0">
        <w:t>newcomers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territory.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welcome</w:t>
      </w:r>
      <w:r w:rsidR="006252EF">
        <w:t xml:space="preserve"> </w:t>
      </w:r>
      <w:r w:rsidRPr="00BA78D0">
        <w:t>pamphlet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produced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distributed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migrant</w:t>
      </w:r>
      <w:r w:rsidR="006252EF">
        <w:t xml:space="preserve"> </w:t>
      </w:r>
      <w:r w:rsidRPr="00BA78D0">
        <w:t>women.</w:t>
      </w:r>
    </w:p>
    <w:p w14:paraId="398D9095" w14:textId="50728CCF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Poulsen</w:t>
      </w:r>
      <w:r w:rsidR="006252EF">
        <w:t xml:space="preserve"> </w:t>
      </w:r>
      <w:r w:rsidRPr="00BA78D0">
        <w:t>(Faroe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results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an</w:t>
      </w:r>
      <w:r w:rsidR="006252EF">
        <w:t xml:space="preserve"> </w:t>
      </w:r>
      <w:r w:rsidRPr="00BA78D0">
        <w:t>extensive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survey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soon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published.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data</w:t>
      </w:r>
      <w:r w:rsidR="006252EF">
        <w:t xml:space="preserve"> </w:t>
      </w:r>
      <w:r w:rsidRPr="00BA78D0">
        <w:t>provided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survey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help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combat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more</w:t>
      </w:r>
      <w:r w:rsidR="006252EF">
        <w:t xml:space="preserve"> </w:t>
      </w:r>
      <w:r w:rsidRPr="00BA78D0">
        <w:t>targeted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systematic</w:t>
      </w:r>
      <w:r w:rsidR="006252EF">
        <w:t xml:space="preserve"> </w:t>
      </w:r>
      <w:r w:rsidRPr="00BA78D0">
        <w:t>fashion.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women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crisis</w:t>
      </w:r>
      <w:r w:rsidR="006252EF">
        <w:t xml:space="preserve"> </w:t>
      </w:r>
      <w:r w:rsidRPr="00BA78D0">
        <w:t>centre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producing</w:t>
      </w:r>
      <w:r w:rsidR="006252EF">
        <w:t xml:space="preserve"> </w:t>
      </w:r>
      <w:r w:rsidRPr="00BA78D0">
        <w:t>data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since</w:t>
      </w:r>
      <w:r w:rsidR="006252EF">
        <w:t xml:space="preserve"> </w:t>
      </w:r>
      <w:r w:rsidRPr="00BA78D0">
        <w:t>its</w:t>
      </w:r>
      <w:r w:rsidR="006252EF">
        <w:t xml:space="preserve"> </w:t>
      </w:r>
      <w:r w:rsidRPr="00BA78D0">
        <w:t>establishment.</w:t>
      </w:r>
      <w:r w:rsidR="006252EF">
        <w:t xml:space="preserve"> </w:t>
      </w:r>
      <w:r w:rsidRPr="00BA78D0">
        <w:t>Data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also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collected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cooperation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University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Islands.</w:t>
      </w:r>
    </w:p>
    <w:p w14:paraId="4FEFE95D" w14:textId="2DD14FE2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Blaasvær</w:t>
      </w:r>
      <w:r w:rsidR="006252EF">
        <w:rPr>
          <w:b/>
          <w:bCs/>
        </w:rPr>
        <w:t xml:space="preserve"> </w:t>
      </w:r>
      <w:r w:rsidRPr="00BA78D0">
        <w:t>(Faroe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that,</w:t>
      </w:r>
      <w:r w:rsidR="006252EF">
        <w:t xml:space="preserve"> </w:t>
      </w:r>
      <w:r w:rsidRPr="00BA78D0">
        <w:t>although</w:t>
      </w:r>
      <w:r w:rsidR="006252EF">
        <w:t xml:space="preserve"> </w:t>
      </w:r>
      <w:r w:rsidRPr="00BA78D0">
        <w:t>there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evidence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prostitution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Islands,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possibility</w:t>
      </w:r>
      <w:r w:rsidR="006252EF">
        <w:t xml:space="preserve"> </w:t>
      </w:r>
      <w:r w:rsidRPr="00BA78D0">
        <w:t>could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completely</w:t>
      </w:r>
      <w:r w:rsidR="006252EF">
        <w:t xml:space="preserve"> </w:t>
      </w:r>
      <w:r w:rsidRPr="00BA78D0">
        <w:t>ruled</w:t>
      </w:r>
      <w:r w:rsidR="006252EF">
        <w:t xml:space="preserve"> </w:t>
      </w:r>
      <w:r w:rsidRPr="00BA78D0">
        <w:t>out.</w:t>
      </w:r>
      <w:r w:rsidR="006252EF">
        <w:t xml:space="preserve"> </w:t>
      </w:r>
      <w:r w:rsidRPr="00BA78D0">
        <w:t>Prostitution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outlawed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revised</w:t>
      </w:r>
      <w:r w:rsidR="006252EF">
        <w:t xml:space="preserve"> </w:t>
      </w:r>
      <w:r w:rsidRPr="00BA78D0">
        <w:t>Faroese</w:t>
      </w:r>
      <w:r w:rsidR="006252EF">
        <w:t xml:space="preserve"> </w:t>
      </w:r>
      <w:r w:rsidRPr="00BA78D0">
        <w:t>Criminal</w:t>
      </w:r>
      <w:r w:rsidR="006252EF">
        <w:t xml:space="preserve"> </w:t>
      </w:r>
      <w:r w:rsidRPr="00BA78D0">
        <w:t>Code.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Faroese</w:t>
      </w:r>
      <w:r w:rsidR="006252EF">
        <w:t xml:space="preserve"> </w:t>
      </w:r>
      <w:r w:rsidRPr="00BA78D0">
        <w:t>police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reason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believe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human</w:t>
      </w:r>
      <w:r w:rsidR="006252EF">
        <w:t xml:space="preserve"> </w:t>
      </w:r>
      <w:r w:rsidRPr="00BA78D0">
        <w:t>trafficking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taking</w:t>
      </w:r>
      <w:r w:rsidR="006252EF">
        <w:t xml:space="preserve"> </w:t>
      </w:r>
      <w:r w:rsidRPr="00BA78D0">
        <w:t>place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received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reports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prostitution.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women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crisis</w:t>
      </w:r>
      <w:r w:rsidR="006252EF">
        <w:t xml:space="preserve"> </w:t>
      </w:r>
      <w:r w:rsidRPr="00BA78D0">
        <w:t>centre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likewise</w:t>
      </w:r>
      <w:r w:rsidR="006252EF">
        <w:t xml:space="preserve"> </w:t>
      </w:r>
      <w:r w:rsidRPr="00BA78D0">
        <w:t>found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evidence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suggest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organized</w:t>
      </w:r>
      <w:r w:rsidR="006252EF">
        <w:t xml:space="preserve"> </w:t>
      </w:r>
      <w:r w:rsidRPr="00BA78D0">
        <w:t>prostitution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trafficking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taking</w:t>
      </w:r>
      <w:r w:rsidR="006252EF">
        <w:t xml:space="preserve"> </w:t>
      </w:r>
      <w:r w:rsidRPr="00BA78D0">
        <w:t>place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did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therefore</w:t>
      </w:r>
      <w:r w:rsidR="006252EF">
        <w:t xml:space="preserve"> </w:t>
      </w:r>
      <w:r w:rsidRPr="00BA78D0">
        <w:t>see</w:t>
      </w:r>
      <w:r w:rsidR="006252EF">
        <w:t xml:space="preserve"> </w:t>
      </w:r>
      <w:r w:rsidRPr="00BA78D0">
        <w:t>any</w:t>
      </w:r>
      <w:r w:rsidR="006252EF">
        <w:t xml:space="preserve"> </w:t>
      </w:r>
      <w:r w:rsidRPr="00BA78D0">
        <w:t>need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conduct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study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prevalence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trafficking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girls,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prostitution.</w:t>
      </w:r>
    </w:p>
    <w:p w14:paraId="2954C810" w14:textId="40A31CC8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Gant</w:t>
      </w:r>
      <w:r w:rsidR="006252EF">
        <w:rPr>
          <w:b/>
          <w:bCs/>
        </w:rPr>
        <w:t xml:space="preserve"> </w:t>
      </w:r>
      <w:r w:rsidRPr="00BA78D0">
        <w:t>(Greenland,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great</w:t>
      </w:r>
      <w:r w:rsidR="006252EF">
        <w:t xml:space="preserve"> </w:t>
      </w:r>
      <w:r w:rsidRPr="00BA78D0">
        <w:t>concern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Greenland.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estimated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over</w:t>
      </w:r>
      <w:r w:rsidR="006252EF">
        <w:t xml:space="preserve"> </w:t>
      </w:r>
      <w:r w:rsidRPr="00BA78D0">
        <w:t>60</w:t>
      </w:r>
      <w:r w:rsidR="006252EF">
        <w:t xml:space="preserve"> </w:t>
      </w:r>
      <w:r w:rsidRPr="00BA78D0">
        <w:t>per</w:t>
      </w:r>
      <w:r w:rsidR="006252EF">
        <w:t xml:space="preserve"> </w:t>
      </w:r>
      <w:r w:rsidRPr="00BA78D0">
        <w:t>cent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exposed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at</w:t>
      </w:r>
      <w:r w:rsidR="006252EF">
        <w:t xml:space="preserve"> </w:t>
      </w:r>
      <w:r w:rsidRPr="00BA78D0">
        <w:t>some</w:t>
      </w:r>
      <w:r w:rsidR="006252EF">
        <w:t xml:space="preserve"> </w:t>
      </w:r>
      <w:r w:rsidRPr="00BA78D0">
        <w:t>point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their</w:t>
      </w:r>
      <w:r w:rsidR="006252EF">
        <w:t xml:space="preserve"> </w:t>
      </w:r>
      <w:r w:rsidRPr="00BA78D0">
        <w:t>adult</w:t>
      </w:r>
      <w:r w:rsidR="006252EF">
        <w:t xml:space="preserve"> </w:t>
      </w:r>
      <w:r w:rsidRPr="00BA78D0">
        <w:t>life.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2019</w:t>
      </w:r>
      <w:r w:rsidR="006252EF">
        <w:t xml:space="preserve"> </w:t>
      </w:r>
      <w:r w:rsidRPr="00BA78D0">
        <w:t>study</w:t>
      </w:r>
      <w:r w:rsidR="006252EF">
        <w:t xml:space="preserve"> </w:t>
      </w:r>
      <w:r w:rsidRPr="00BA78D0">
        <w:t>showed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aged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25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34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especially</w:t>
      </w:r>
      <w:r w:rsidR="006252EF">
        <w:t xml:space="preserve"> </w:t>
      </w:r>
      <w:r w:rsidRPr="00BA78D0">
        <w:t>vulnerable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violence,</w:t>
      </w:r>
      <w:r w:rsidR="006252EF">
        <w:t xml:space="preserve"> </w:t>
      </w:r>
      <w:r w:rsidRPr="00BA78D0">
        <w:t>particularly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hands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current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former</w:t>
      </w:r>
      <w:r w:rsidR="006252EF">
        <w:t xml:space="preserve"> </w:t>
      </w:r>
      <w:r w:rsidRPr="00BA78D0">
        <w:t>partner.</w:t>
      </w:r>
      <w:r w:rsidR="006252EF">
        <w:t xml:space="preserve"> </w:t>
      </w:r>
      <w:r w:rsidRPr="00BA78D0">
        <w:t>Steps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being</w:t>
      </w:r>
      <w:r w:rsidR="006252EF">
        <w:t xml:space="preserve"> </w:t>
      </w:r>
      <w:r w:rsidRPr="00BA78D0">
        <w:t>taken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improve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collection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data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social</w:t>
      </w:r>
      <w:r w:rsidR="006252EF">
        <w:t xml:space="preserve"> </w:t>
      </w:r>
      <w:r w:rsidRPr="00BA78D0">
        <w:t>issues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Greenland,</w:t>
      </w:r>
      <w:r w:rsidR="006252EF">
        <w:t xml:space="preserve"> </w:t>
      </w:r>
      <w:r w:rsidRPr="00BA78D0">
        <w:t>including</w:t>
      </w:r>
      <w:r w:rsidR="006252EF">
        <w:t xml:space="preserve"> </w:t>
      </w:r>
      <w:r w:rsidRPr="00BA78D0">
        <w:t>statistics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violent</w:t>
      </w:r>
      <w:r w:rsidR="006252EF">
        <w:t xml:space="preserve"> </w:t>
      </w:r>
      <w:r w:rsidRPr="00BA78D0">
        <w:t>crimes.</w:t>
      </w:r>
    </w:p>
    <w:p w14:paraId="7406BD13" w14:textId="583A7C8C" w:rsidR="00603C5A" w:rsidRDefault="00603C5A" w:rsidP="00603C5A">
      <w:pPr>
        <w:pStyle w:val="ParNoG"/>
      </w:pPr>
      <w:r w:rsidRPr="00BA78D0">
        <w:t>The</w:t>
      </w:r>
      <w:r w:rsidR="006252EF">
        <w:t xml:space="preserve"> </w:t>
      </w:r>
      <w:r w:rsidRPr="00BA78D0">
        <w:t>Greenlandic</w:t>
      </w:r>
      <w:r w:rsidR="006252EF">
        <w:t xml:space="preserve"> </w:t>
      </w:r>
      <w:r w:rsidRPr="00BA78D0">
        <w:t>government</w:t>
      </w:r>
      <w:r w:rsidR="00C6067F">
        <w:t>’</w:t>
      </w:r>
      <w:r w:rsidRPr="00BA78D0">
        <w:t>s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Strategy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Plan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provided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initiatives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prevent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combat</w:t>
      </w:r>
      <w:r w:rsidR="006252EF">
        <w:t xml:space="preserve"> </w:t>
      </w:r>
      <w:r w:rsidRPr="00BA78D0">
        <w:t>domestic</w:t>
      </w:r>
      <w:r w:rsidR="006252EF">
        <w:t xml:space="preserve"> </w:t>
      </w:r>
      <w:r w:rsidRPr="00BA78D0">
        <w:t>violence,</w:t>
      </w:r>
      <w:r w:rsidR="006252EF">
        <w:t xml:space="preserve"> </w:t>
      </w:r>
      <w:r w:rsidRPr="00BA78D0">
        <w:t>including</w:t>
      </w:r>
      <w:r w:rsidR="006252EF">
        <w:t xml:space="preserve"> </w:t>
      </w:r>
      <w:r w:rsidRPr="00BA78D0">
        <w:t>public</w:t>
      </w:r>
      <w:r w:rsidR="006252EF">
        <w:t xml:space="preserve"> </w:t>
      </w:r>
      <w:r w:rsidRPr="00BA78D0">
        <w:t>information</w:t>
      </w:r>
      <w:r w:rsidR="006252EF">
        <w:t xml:space="preserve"> </w:t>
      </w:r>
      <w:r w:rsidRPr="00BA78D0">
        <w:t>campaigns.</w:t>
      </w:r>
      <w:r w:rsidR="006252EF">
        <w:t xml:space="preserve"> </w:t>
      </w:r>
      <w:r w:rsidRPr="00BA78D0">
        <w:t>Several</w:t>
      </w:r>
      <w:r w:rsidR="006252EF">
        <w:t xml:space="preserve"> </w:t>
      </w:r>
      <w:r w:rsidRPr="00BA78D0">
        <w:t>institutions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tasked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rehabilitating</w:t>
      </w:r>
      <w:r w:rsidR="006252EF">
        <w:t xml:space="preserve"> </w:t>
      </w:r>
      <w:r w:rsidRPr="00BA78D0">
        <w:t>perpetrators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caring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victims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violence.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permanent</w:t>
      </w:r>
      <w:r w:rsidR="006252EF">
        <w:t xml:space="preserve"> </w:t>
      </w:r>
      <w:r w:rsidRPr="00BA78D0">
        <w:t>crisis</w:t>
      </w:r>
      <w:r w:rsidR="006252EF">
        <w:t xml:space="preserve"> </w:t>
      </w:r>
      <w:r w:rsidRPr="00BA78D0">
        <w:t>centre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opened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northern</w:t>
      </w:r>
      <w:r w:rsidR="006252EF">
        <w:t xml:space="preserve"> </w:t>
      </w:r>
      <w:r w:rsidRPr="00BA78D0">
        <w:t>Greenland,</w:t>
      </w:r>
      <w:r w:rsidR="006252EF">
        <w:t xml:space="preserve"> </w:t>
      </w:r>
      <w:r w:rsidRPr="00BA78D0">
        <w:t>which,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2020,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sheltered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cared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number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battered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serious</w:t>
      </w:r>
      <w:r w:rsidR="006252EF">
        <w:t xml:space="preserve"> </w:t>
      </w:r>
      <w:r w:rsidRPr="00BA78D0">
        <w:t>psychological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social</w:t>
      </w:r>
      <w:r w:rsidR="006252EF">
        <w:t xml:space="preserve"> </w:t>
      </w:r>
      <w:r w:rsidRPr="00BA78D0">
        <w:t>problems.</w:t>
      </w:r>
      <w:r w:rsidR="006252EF">
        <w:t xml:space="preserve"> </w:t>
      </w:r>
      <w:r w:rsidRPr="00BA78D0">
        <w:t>Another</w:t>
      </w:r>
      <w:r w:rsidR="006252EF">
        <w:t xml:space="preserve"> </w:t>
      </w:r>
      <w:r w:rsidRPr="00BA78D0">
        <w:t>institution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treated</w:t>
      </w:r>
      <w:r w:rsidR="006252EF">
        <w:t xml:space="preserve"> </w:t>
      </w:r>
      <w:r w:rsidRPr="00BA78D0">
        <w:t>some</w:t>
      </w:r>
      <w:r w:rsidR="006252EF">
        <w:t xml:space="preserve"> </w:t>
      </w:r>
      <w:r w:rsidRPr="00BA78D0">
        <w:t>60</w:t>
      </w:r>
      <w:r w:rsidR="006252EF">
        <w:t xml:space="preserve"> </w:t>
      </w:r>
      <w:r w:rsidR="003E31AC">
        <w:t>persons</w:t>
      </w:r>
      <w:r w:rsidRPr="00BA78D0">
        <w:t>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majority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whom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men</w:t>
      </w:r>
      <w:r w:rsidR="006252EF">
        <w:t xml:space="preserve"> </w:t>
      </w:r>
      <w:r w:rsidRPr="00BA78D0">
        <w:t>aged</w:t>
      </w:r>
      <w:r w:rsidR="006252EF">
        <w:t xml:space="preserve"> </w:t>
      </w:r>
      <w:r w:rsidRPr="00BA78D0">
        <w:t>between</w:t>
      </w:r>
      <w:r w:rsidR="006252EF">
        <w:t xml:space="preserve"> </w:t>
      </w:r>
      <w:r w:rsidRPr="00BA78D0">
        <w:t>18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39</w:t>
      </w:r>
      <w:r w:rsidR="006252EF">
        <w:t xml:space="preserve"> </w:t>
      </w:r>
      <w:r w:rsidRPr="00BA78D0">
        <w:t>years,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aggression.</w:t>
      </w:r>
      <w:r w:rsidR="006252EF">
        <w:t xml:space="preserve"> </w:t>
      </w:r>
      <w:r w:rsidRPr="00BA78D0">
        <w:t>There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plans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further</w:t>
      </w:r>
      <w:r w:rsidR="006252EF">
        <w:t xml:space="preserve"> </w:t>
      </w:r>
      <w:r w:rsidRPr="00BA78D0">
        <w:t>strengthen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capacity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shelters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family</w:t>
      </w:r>
      <w:r w:rsidR="006252EF">
        <w:t xml:space="preserve"> </w:t>
      </w:r>
      <w:r w:rsidRPr="00BA78D0">
        <w:t>centres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upgrade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skills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competencies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staff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amalgamating</w:t>
      </w:r>
      <w:r w:rsidR="006252EF">
        <w:t xml:space="preserve"> </w:t>
      </w:r>
      <w:r w:rsidRPr="00BA78D0">
        <w:t>those</w:t>
      </w:r>
      <w:r w:rsidR="006252EF">
        <w:t xml:space="preserve"> </w:t>
      </w:r>
      <w:r w:rsidRPr="00BA78D0">
        <w:t>establishments.</w:t>
      </w:r>
      <w:r w:rsidR="006252EF">
        <w:t xml:space="preserve"> </w:t>
      </w:r>
      <w:r w:rsidRPr="00BA78D0">
        <w:t>Tools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preventing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addressing</w:t>
      </w:r>
      <w:r w:rsidR="006252EF">
        <w:t xml:space="preserve"> </w:t>
      </w:r>
      <w:r w:rsidRPr="00BA78D0">
        <w:t>violence</w:t>
      </w:r>
      <w:r w:rsidR="006252EF">
        <w:t xml:space="preserve"> </w:t>
      </w:r>
      <w:r w:rsidRPr="00BA78D0">
        <w:t>against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available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website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Ministry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Social</w:t>
      </w:r>
      <w:r w:rsidR="006252EF">
        <w:t xml:space="preserve"> </w:t>
      </w:r>
      <w:r w:rsidRPr="00BA78D0">
        <w:t>Affairs,</w:t>
      </w:r>
      <w:r w:rsidR="006252EF">
        <w:t xml:space="preserve"> </w:t>
      </w:r>
      <w:r w:rsidRPr="00BA78D0">
        <w:t>Family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Justice.</w:t>
      </w:r>
    </w:p>
    <w:p w14:paraId="5C35E1A9" w14:textId="6B9FEFA1" w:rsidR="00603C5A" w:rsidRDefault="00603C5A" w:rsidP="00603C5A">
      <w:pPr>
        <w:pStyle w:val="ParNoG"/>
      </w:pPr>
      <w:r w:rsidRPr="00BA78D0">
        <w:t>Surveys</w:t>
      </w:r>
      <w:r w:rsidR="006252EF">
        <w:t xml:space="preserve"> </w:t>
      </w:r>
      <w:r w:rsidRPr="00BA78D0">
        <w:t>showed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many</w:t>
      </w:r>
      <w:r w:rsidR="006252EF">
        <w:t xml:space="preserve"> </w:t>
      </w:r>
      <w:r w:rsidRPr="00BA78D0">
        <w:t>more</w:t>
      </w:r>
      <w:r w:rsidR="006252EF">
        <w:t xml:space="preserve"> </w:t>
      </w:r>
      <w:r w:rsidRPr="00BA78D0">
        <w:t>girls</w:t>
      </w:r>
      <w:r w:rsidR="006252EF">
        <w:t xml:space="preserve"> </w:t>
      </w:r>
      <w:r w:rsidRPr="00BA78D0">
        <w:t>than</w:t>
      </w:r>
      <w:r w:rsidR="006252EF">
        <w:t xml:space="preserve"> </w:t>
      </w:r>
      <w:r w:rsidRPr="00BA78D0">
        <w:t>boys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subjected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childhood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either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peer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an</w:t>
      </w:r>
      <w:r w:rsidR="006252EF">
        <w:t xml:space="preserve"> </w:t>
      </w:r>
      <w:r w:rsidRPr="00BA78D0">
        <w:t>adult.</w:t>
      </w:r>
      <w:r w:rsidR="006252EF">
        <w:t xml:space="preserve"> </w:t>
      </w:r>
      <w:r w:rsidRPr="00BA78D0">
        <w:t>Efforts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eradicate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children</w:t>
      </w:r>
      <w:r w:rsidR="006252EF">
        <w:t xml:space="preserve"> </w:t>
      </w:r>
      <w:r w:rsidRPr="00BA78D0">
        <w:t>took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form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general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ensure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safety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well-being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children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young</w:t>
      </w:r>
      <w:r w:rsidR="006252EF">
        <w:t xml:space="preserve"> </w:t>
      </w:r>
      <w:r w:rsidRPr="00BA78D0">
        <w:t>people,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targeted</w:t>
      </w:r>
      <w:r w:rsidR="006252EF">
        <w:t xml:space="preserve"> </w:t>
      </w:r>
      <w:r w:rsidRPr="00BA78D0">
        <w:t>prevention</w:t>
      </w:r>
      <w:r w:rsidR="006252EF">
        <w:t xml:space="preserve"> </w:t>
      </w:r>
      <w:r w:rsidRPr="00BA78D0">
        <w:t>measures.</w:t>
      </w:r>
      <w:r w:rsidR="006252EF">
        <w:t xml:space="preserve"> </w:t>
      </w:r>
      <w:r w:rsidRPr="00BA78D0">
        <w:t>Specific</w:t>
      </w:r>
      <w:r w:rsidR="006252EF">
        <w:t xml:space="preserve"> </w:t>
      </w:r>
      <w:r w:rsidRPr="00BA78D0">
        <w:t>treatment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support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made</w:t>
      </w:r>
      <w:r w:rsidR="006252EF">
        <w:t xml:space="preserve"> </w:t>
      </w:r>
      <w:r w:rsidRPr="00BA78D0">
        <w:t>available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children</w:t>
      </w:r>
      <w:r w:rsidR="006252EF">
        <w:t xml:space="preserve"> </w:t>
      </w:r>
      <w:r w:rsidRPr="00BA78D0">
        <w:t>who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sexually</w:t>
      </w:r>
      <w:r w:rsidR="006252EF">
        <w:t xml:space="preserve"> </w:t>
      </w:r>
      <w:r w:rsidRPr="00BA78D0">
        <w:t>abused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efforts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strengthen</w:t>
      </w:r>
      <w:r w:rsidR="006252EF">
        <w:t xml:space="preserve"> </w:t>
      </w:r>
      <w:r w:rsidRPr="00BA78D0">
        <w:t>those</w:t>
      </w:r>
      <w:r w:rsidR="006252EF">
        <w:t xml:space="preserve"> </w:t>
      </w:r>
      <w:r w:rsidRPr="00BA78D0">
        <w:t>services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ongoing.</w:t>
      </w:r>
      <w:r w:rsidR="006252EF">
        <w:t xml:space="preserve"> </w:t>
      </w:r>
      <w:r w:rsidRPr="00BA78D0">
        <w:t>Denmark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undertaken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number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joint</w:t>
      </w:r>
      <w:r w:rsidR="006252EF">
        <w:t xml:space="preserve"> </w:t>
      </w:r>
      <w:r w:rsidRPr="00BA78D0">
        <w:t>initiatives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prevent</w:t>
      </w:r>
      <w:r w:rsidR="006252EF">
        <w:t xml:space="preserve"> </w:t>
      </w:r>
      <w:r w:rsidRPr="00BA78D0">
        <w:t>vulnerable</w:t>
      </w:r>
      <w:r w:rsidR="006252EF">
        <w:t xml:space="preserve"> </w:t>
      </w:r>
      <w:r w:rsidRPr="00BA78D0">
        <w:t>children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young</w:t>
      </w:r>
      <w:r w:rsidR="006252EF">
        <w:t xml:space="preserve"> </w:t>
      </w:r>
      <w:r w:rsidRPr="00BA78D0">
        <w:t>people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from</w:t>
      </w:r>
      <w:r w:rsidR="006252EF">
        <w:t xml:space="preserve"> </w:t>
      </w:r>
      <w:r w:rsidRPr="00BA78D0">
        <w:t>falling</w:t>
      </w:r>
      <w:r w:rsidR="006252EF">
        <w:t xml:space="preserve"> </w:t>
      </w:r>
      <w:r w:rsidRPr="00BA78D0">
        <w:t>victim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support</w:t>
      </w:r>
      <w:r w:rsidR="006252EF">
        <w:t xml:space="preserve"> </w:t>
      </w:r>
      <w:r w:rsidRPr="00BA78D0">
        <w:t>survivors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rehabilitate</w:t>
      </w:r>
      <w:r w:rsidR="006252EF">
        <w:t xml:space="preserve"> </w:t>
      </w:r>
      <w:r w:rsidRPr="00BA78D0">
        <w:t>perpetrators.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national</w:t>
      </w:r>
      <w:r w:rsidR="006252EF">
        <w:t xml:space="preserve"> </w:t>
      </w:r>
      <w:r w:rsidRPr="00BA78D0">
        <w:t>action</w:t>
      </w:r>
      <w:r w:rsidR="006252EF">
        <w:t xml:space="preserve"> </w:t>
      </w:r>
      <w:r w:rsidRPr="00BA78D0">
        <w:t>plan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address</w:t>
      </w:r>
      <w:r w:rsidR="006252EF">
        <w:t xml:space="preserve"> </w:t>
      </w:r>
      <w:r w:rsidRPr="00BA78D0">
        <w:t>parental</w:t>
      </w:r>
      <w:r w:rsidR="006252EF">
        <w:t xml:space="preserve"> </w:t>
      </w:r>
      <w:r w:rsidRPr="00BA78D0">
        <w:t>neglect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strategy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combat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abuse,</w:t>
      </w:r>
      <w:r w:rsidR="006252EF">
        <w:t xml:space="preserve"> </w:t>
      </w:r>
      <w:r w:rsidRPr="00BA78D0">
        <w:t>both</w:t>
      </w:r>
      <w:r w:rsidR="006252EF">
        <w:t xml:space="preserve"> </w:t>
      </w:r>
      <w:r w:rsidRPr="00BA78D0">
        <w:t>covering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period</w:t>
      </w:r>
      <w:r w:rsidR="006252EF">
        <w:t xml:space="preserve"> </w:t>
      </w:r>
      <w:r w:rsidRPr="00BA78D0">
        <w:t>up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2030,</w:t>
      </w:r>
      <w:r w:rsidR="006252EF">
        <w:t xml:space="preserve"> </w:t>
      </w:r>
      <w:r w:rsidRPr="00BA78D0">
        <w:t>were</w:t>
      </w:r>
      <w:r w:rsidR="006252EF">
        <w:t xml:space="preserve"> </w:t>
      </w:r>
      <w:r w:rsidRPr="00BA78D0">
        <w:t>already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place.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impact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work</w:t>
      </w:r>
      <w:r w:rsidR="006252EF">
        <w:t xml:space="preserve"> </w:t>
      </w:r>
      <w:r w:rsidRPr="00BA78D0">
        <w:t>carried</w:t>
      </w:r>
      <w:r w:rsidR="006252EF">
        <w:t xml:space="preserve"> </w:t>
      </w:r>
      <w:r w:rsidRPr="00BA78D0">
        <w:t>out</w:t>
      </w:r>
      <w:r w:rsidR="006252EF">
        <w:t xml:space="preserve"> </w:t>
      </w:r>
      <w:r w:rsidRPr="00BA78D0">
        <w:t>by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special</w:t>
      </w:r>
      <w:r w:rsidR="006252EF">
        <w:t xml:space="preserve"> </w:t>
      </w:r>
      <w:r w:rsidRPr="00BA78D0">
        <w:t>teams</w:t>
      </w:r>
      <w:r w:rsidR="006252EF">
        <w:t xml:space="preserve"> </w:t>
      </w:r>
      <w:r w:rsidRPr="00BA78D0">
        <w:t>tasked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assisting</w:t>
      </w:r>
      <w:r w:rsidR="006252EF">
        <w:t xml:space="preserve"> </w:t>
      </w:r>
      <w:r w:rsidRPr="00BA78D0">
        <w:t>survivors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childhood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would</w:t>
      </w:r>
      <w:r w:rsidR="006252EF">
        <w:t xml:space="preserve"> </w:t>
      </w:r>
      <w:r w:rsidRPr="00BA78D0">
        <w:t>be</w:t>
      </w:r>
      <w:r w:rsidR="006252EF">
        <w:t xml:space="preserve"> </w:t>
      </w:r>
      <w:r w:rsidRPr="00BA78D0">
        <w:t>assessed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2021.</w:t>
      </w:r>
    </w:p>
    <w:p w14:paraId="3090E003" w14:textId="59F3B565" w:rsidR="00603C5A" w:rsidRDefault="00603C5A" w:rsidP="00603C5A">
      <w:pPr>
        <w:pStyle w:val="ParNoG"/>
      </w:pPr>
      <w:r w:rsidRPr="00BA78D0">
        <w:rPr>
          <w:b/>
          <w:bCs/>
        </w:rPr>
        <w:t>The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Chair</w:t>
      </w:r>
      <w:r w:rsidR="006252EF">
        <w:rPr>
          <w:b/>
          <w:bCs/>
        </w:rPr>
        <w:t xml:space="preserve"> </w:t>
      </w:r>
      <w:r w:rsidRPr="00BA78D0">
        <w:t>said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Committee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particularly</w:t>
      </w:r>
      <w:r w:rsidR="006252EF">
        <w:t xml:space="preserve"> </w:t>
      </w:r>
      <w:r w:rsidRPr="00BA78D0">
        <w:t>interested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plight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girls</w:t>
      </w:r>
      <w:r w:rsidR="006252EF">
        <w:t xml:space="preserve"> </w:t>
      </w:r>
      <w:r w:rsidRPr="00BA78D0">
        <w:t>who</w:t>
      </w:r>
      <w:r w:rsidR="006252EF">
        <w:t xml:space="preserve"> </w:t>
      </w:r>
      <w:r w:rsidRPr="00BA78D0">
        <w:t>had</w:t>
      </w:r>
      <w:r w:rsidR="006252EF">
        <w:t xml:space="preserve"> </w:t>
      </w:r>
      <w:r w:rsidRPr="00BA78D0">
        <w:t>been</w:t>
      </w:r>
      <w:r w:rsidR="006252EF">
        <w:t xml:space="preserve"> </w:t>
      </w:r>
      <w:r w:rsidRPr="00BA78D0">
        <w:t>subjected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sexual</w:t>
      </w:r>
      <w:r w:rsidR="006252EF">
        <w:t xml:space="preserve"> </w:t>
      </w:r>
      <w:r w:rsidRPr="00BA78D0">
        <w:t>abuse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Greenland.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wished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invite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delegation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submit</w:t>
      </w:r>
      <w:r w:rsidR="006252EF">
        <w:t xml:space="preserve"> </w:t>
      </w:r>
      <w:r w:rsidRPr="00BA78D0">
        <w:t>any</w:t>
      </w:r>
      <w:r w:rsidR="006252EF">
        <w:t xml:space="preserve"> </w:t>
      </w:r>
      <w:r w:rsidRPr="00BA78D0">
        <w:t>specific</w:t>
      </w:r>
      <w:r w:rsidR="006252EF">
        <w:t xml:space="preserve"> </w:t>
      </w:r>
      <w:r w:rsidRPr="00BA78D0">
        <w:t>information</w:t>
      </w:r>
      <w:r w:rsidR="006252EF">
        <w:t xml:space="preserve"> </w:t>
      </w:r>
      <w:r w:rsidRPr="00BA78D0">
        <w:t>on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subject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Committee</w:t>
      </w:r>
      <w:r w:rsidR="006252EF">
        <w:t xml:space="preserve"> </w:t>
      </w:r>
      <w:r w:rsidRPr="00BA78D0">
        <w:t>within</w:t>
      </w:r>
      <w:r w:rsidR="006252EF">
        <w:t xml:space="preserve"> </w:t>
      </w:r>
      <w:r w:rsidRPr="00BA78D0">
        <w:t>48</w:t>
      </w:r>
      <w:r w:rsidR="006252EF">
        <w:t xml:space="preserve"> </w:t>
      </w:r>
      <w:r w:rsidRPr="00BA78D0">
        <w:t>hours.</w:t>
      </w:r>
    </w:p>
    <w:p w14:paraId="1C78FA26" w14:textId="6F1E2C29" w:rsidR="00603C5A" w:rsidRDefault="00603C5A" w:rsidP="00603C5A">
      <w:pPr>
        <w:pStyle w:val="ParNoG"/>
      </w:pPr>
      <w:r w:rsidRPr="00BA78D0">
        <w:rPr>
          <w:b/>
          <w:bCs/>
        </w:rPr>
        <w:lastRenderedPageBreak/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Gant</w:t>
      </w:r>
      <w:r w:rsidR="006252EF">
        <w:rPr>
          <w:b/>
          <w:bCs/>
        </w:rPr>
        <w:t xml:space="preserve"> </w:t>
      </w:r>
      <w:r w:rsidRPr="00BA78D0">
        <w:t>(Greenland,</w:t>
      </w:r>
      <w:r w:rsidR="006252EF">
        <w:t xml:space="preserve"> </w:t>
      </w:r>
      <w:r w:rsidRPr="00BA78D0">
        <w:t>Denmark)</w:t>
      </w:r>
      <w:r w:rsidR="006252EF">
        <w:t xml:space="preserve"> </w:t>
      </w:r>
      <w:r w:rsidRPr="00BA78D0">
        <w:t>said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there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tradition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prostitution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evidence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suggest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phenomenon</w:t>
      </w:r>
      <w:r w:rsidR="006252EF">
        <w:t xml:space="preserve"> </w:t>
      </w:r>
      <w:r w:rsidRPr="00BA78D0">
        <w:t>existed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territory.</w:t>
      </w:r>
      <w:r w:rsidR="006252EF">
        <w:t xml:space="preserve"> </w:t>
      </w:r>
      <w:r w:rsidRPr="00BA78D0">
        <w:t>As</w:t>
      </w:r>
      <w:r w:rsidR="006252EF">
        <w:t xml:space="preserve"> </w:t>
      </w:r>
      <w:r w:rsidRPr="00BA78D0">
        <w:t>for</w:t>
      </w:r>
      <w:r w:rsidR="006252EF">
        <w:t xml:space="preserve"> </w:t>
      </w:r>
      <w:r w:rsidRPr="00BA78D0">
        <w:t>trafficking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women,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Danish</w:t>
      </w:r>
      <w:r w:rsidR="006252EF">
        <w:t xml:space="preserve"> </w:t>
      </w:r>
      <w:r w:rsidRPr="00BA78D0">
        <w:t>Aliens</w:t>
      </w:r>
      <w:r w:rsidR="006252EF">
        <w:t xml:space="preserve"> </w:t>
      </w:r>
      <w:r w:rsidRPr="00BA78D0">
        <w:t>Act</w:t>
      </w:r>
      <w:r w:rsidR="006252EF">
        <w:t xml:space="preserve"> </w:t>
      </w:r>
      <w:r w:rsidRPr="00BA78D0">
        <w:t>applied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and,</w:t>
      </w:r>
      <w:r w:rsidR="006252EF">
        <w:t xml:space="preserve"> </w:t>
      </w:r>
      <w:r w:rsidRPr="00BA78D0">
        <w:t>with</w:t>
      </w:r>
      <w:r w:rsidR="006252EF">
        <w:t xml:space="preserve"> </w:t>
      </w:r>
      <w:r w:rsidRPr="00BA78D0">
        <w:t>only</w:t>
      </w:r>
      <w:r w:rsidR="006252EF">
        <w:t xml:space="preserve"> </w:t>
      </w:r>
      <w:r w:rsidRPr="00BA78D0">
        <w:t>two</w:t>
      </w:r>
      <w:r w:rsidR="006252EF">
        <w:t xml:space="preserve"> </w:t>
      </w:r>
      <w:r w:rsidRPr="00BA78D0">
        <w:t>transatlantic</w:t>
      </w:r>
      <w:r w:rsidR="006252EF">
        <w:t xml:space="preserve"> </w:t>
      </w:r>
      <w:r w:rsidRPr="00BA78D0">
        <w:t>airports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land</w:t>
      </w:r>
      <w:r w:rsidR="006252EF">
        <w:t xml:space="preserve"> </w:t>
      </w:r>
      <w:r w:rsidRPr="00BA78D0">
        <w:t>borders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speak</w:t>
      </w:r>
      <w:r w:rsidR="006252EF">
        <w:t xml:space="preserve"> </w:t>
      </w:r>
      <w:r w:rsidRPr="00BA78D0">
        <w:t>of,</w:t>
      </w:r>
      <w:r w:rsidR="006252EF">
        <w:t xml:space="preserve"> </w:t>
      </w:r>
      <w:r w:rsidRPr="00BA78D0">
        <w:t>it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all</w:t>
      </w:r>
      <w:r w:rsidR="006252EF">
        <w:t xml:space="preserve"> </w:t>
      </w:r>
      <w:r w:rsidRPr="00BA78D0">
        <w:t>but</w:t>
      </w:r>
      <w:r w:rsidR="006252EF">
        <w:t xml:space="preserve"> </w:t>
      </w:r>
      <w:r w:rsidRPr="00BA78D0">
        <w:t>impossible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enter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territory</w:t>
      </w:r>
      <w:r w:rsidR="006252EF">
        <w:t xml:space="preserve"> </w:t>
      </w:r>
      <w:r w:rsidRPr="00BA78D0">
        <w:t>illegally</w:t>
      </w:r>
      <w:r w:rsidR="006252EF">
        <w:t xml:space="preserve"> </w:t>
      </w:r>
      <w:r w:rsidRPr="00BA78D0">
        <w:t>from</w:t>
      </w:r>
      <w:r w:rsidR="006252EF">
        <w:t xml:space="preserve"> </w:t>
      </w:r>
      <w:r w:rsidRPr="00BA78D0">
        <w:t>abroad.</w:t>
      </w:r>
    </w:p>
    <w:p w14:paraId="5EB426EB" w14:textId="4BEE46AE" w:rsidR="00603C5A" w:rsidRDefault="00603C5A" w:rsidP="00603C5A">
      <w:pPr>
        <w:pStyle w:val="ParNoG"/>
      </w:pPr>
      <w:r w:rsidRPr="00BA78D0">
        <w:rPr>
          <w:b/>
          <w:bCs/>
        </w:rPr>
        <w:t>Ms.</w:t>
      </w:r>
      <w:r w:rsidR="006252EF">
        <w:rPr>
          <w:b/>
          <w:bCs/>
        </w:rPr>
        <w:t xml:space="preserve"> </w:t>
      </w:r>
      <w:r w:rsidRPr="00BA78D0">
        <w:rPr>
          <w:b/>
          <w:bCs/>
        </w:rPr>
        <w:t>Gabr</w:t>
      </w:r>
      <w:r w:rsidR="006252EF">
        <w:rPr>
          <w:b/>
          <w:bCs/>
        </w:rPr>
        <w:t xml:space="preserve"> </w:t>
      </w:r>
      <w:r w:rsidRPr="00BA78D0">
        <w:t>said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fact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there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no</w:t>
      </w:r>
      <w:r w:rsidR="006252EF">
        <w:t xml:space="preserve"> </w:t>
      </w:r>
      <w:r w:rsidRPr="00BA78D0">
        <w:t>evidence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suggest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prostitution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trafficking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took</w:t>
      </w:r>
      <w:r w:rsidR="006252EF">
        <w:t xml:space="preserve"> </w:t>
      </w:r>
      <w:r w:rsidRPr="00BA78D0">
        <w:t>place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or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did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preclude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existence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those</w:t>
      </w:r>
      <w:r w:rsidR="006252EF">
        <w:t xml:space="preserve"> </w:t>
      </w:r>
      <w:r w:rsidRPr="00BA78D0">
        <w:t>phenomena.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wondered</w:t>
      </w:r>
      <w:r w:rsidR="006252EF">
        <w:t xml:space="preserve"> </w:t>
      </w:r>
      <w:r w:rsidRPr="00BA78D0">
        <w:t>whether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absence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cases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not</w:t>
      </w:r>
      <w:r w:rsidR="006252EF">
        <w:t xml:space="preserve"> </w:t>
      </w:r>
      <w:r w:rsidRPr="00BA78D0">
        <w:t>attributable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a</w:t>
      </w:r>
      <w:r w:rsidR="006252EF">
        <w:t xml:space="preserve"> </w:t>
      </w:r>
      <w:r w:rsidRPr="00BA78D0">
        <w:t>lack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awareness</w:t>
      </w:r>
      <w:r w:rsidR="006252EF">
        <w:t xml:space="preserve"> </w:t>
      </w:r>
      <w:r w:rsidRPr="00BA78D0">
        <w:t>raising.</w:t>
      </w:r>
      <w:r w:rsidR="006252EF">
        <w:t xml:space="preserve"> </w:t>
      </w:r>
      <w:r w:rsidRPr="00BA78D0">
        <w:t>She</w:t>
      </w:r>
      <w:r w:rsidR="006252EF">
        <w:t xml:space="preserve"> </w:t>
      </w:r>
      <w:r w:rsidRPr="00BA78D0">
        <w:t>asked</w:t>
      </w:r>
      <w:r w:rsidR="006252EF">
        <w:t xml:space="preserve"> </w:t>
      </w:r>
      <w:r w:rsidRPr="00BA78D0">
        <w:t>how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governments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intended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remedy</w:t>
      </w:r>
      <w:r w:rsidR="006252EF">
        <w:t xml:space="preserve"> </w:t>
      </w:r>
      <w:r w:rsidRPr="00BA78D0">
        <w:t>that</w:t>
      </w:r>
      <w:r w:rsidR="006252EF">
        <w:t xml:space="preserve"> </w:t>
      </w:r>
      <w:r w:rsidRPr="00BA78D0">
        <w:t>shortcoming,</w:t>
      </w:r>
      <w:r w:rsidR="006252EF">
        <w:t xml:space="preserve"> </w:t>
      </w:r>
      <w:r w:rsidRPr="00BA78D0">
        <w:t>what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Faroe</w:t>
      </w:r>
      <w:r w:rsidR="006252EF">
        <w:t xml:space="preserve"> </w:t>
      </w:r>
      <w:r w:rsidRPr="00BA78D0">
        <w:t>Islands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doing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protect</w:t>
      </w:r>
      <w:r w:rsidR="006252EF">
        <w:t xml:space="preserve"> </w:t>
      </w:r>
      <w:r w:rsidRPr="00BA78D0">
        <w:t>migrant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from</w:t>
      </w:r>
      <w:r w:rsidR="006252EF">
        <w:t xml:space="preserve"> </w:t>
      </w:r>
      <w:r w:rsidRPr="00BA78D0">
        <w:t>exploitation</w:t>
      </w:r>
      <w:r w:rsidR="006252EF">
        <w:t xml:space="preserve"> </w:t>
      </w:r>
      <w:r w:rsidRPr="00BA78D0">
        <w:t>and</w:t>
      </w:r>
      <w:r w:rsidR="006252EF">
        <w:t xml:space="preserve"> </w:t>
      </w:r>
      <w:r w:rsidRPr="00BA78D0">
        <w:t>what</w:t>
      </w:r>
      <w:r w:rsidR="006252EF">
        <w:t xml:space="preserve"> </w:t>
      </w:r>
      <w:r w:rsidRPr="00BA78D0">
        <w:t>steps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government</w:t>
      </w:r>
      <w:r w:rsidR="006252EF">
        <w:t xml:space="preserve"> </w:t>
      </w:r>
      <w:r w:rsidRPr="00BA78D0">
        <w:t>of</w:t>
      </w:r>
      <w:r w:rsidR="006252EF">
        <w:t xml:space="preserve"> </w:t>
      </w:r>
      <w:r w:rsidRPr="00BA78D0">
        <w:t>Greenland</w:t>
      </w:r>
      <w:r w:rsidR="006252EF">
        <w:t xml:space="preserve"> </w:t>
      </w:r>
      <w:r w:rsidRPr="00BA78D0">
        <w:t>was</w:t>
      </w:r>
      <w:r w:rsidR="006252EF">
        <w:t xml:space="preserve"> </w:t>
      </w:r>
      <w:r w:rsidRPr="00BA78D0">
        <w:t>taking</w:t>
      </w:r>
      <w:r w:rsidR="006252EF">
        <w:t xml:space="preserve"> </w:t>
      </w:r>
      <w:r w:rsidRPr="00BA78D0">
        <w:t>to</w:t>
      </w:r>
      <w:r w:rsidR="006252EF">
        <w:t xml:space="preserve"> </w:t>
      </w:r>
      <w:r w:rsidRPr="00BA78D0">
        <w:t>protect</w:t>
      </w:r>
      <w:r w:rsidR="006252EF">
        <w:t xml:space="preserve"> </w:t>
      </w:r>
      <w:r w:rsidRPr="00BA78D0">
        <w:t>women</w:t>
      </w:r>
      <w:r w:rsidR="006252EF">
        <w:t xml:space="preserve"> </w:t>
      </w:r>
      <w:r w:rsidRPr="00BA78D0">
        <w:t>from</w:t>
      </w:r>
      <w:r w:rsidR="006252EF">
        <w:t xml:space="preserve"> </w:t>
      </w:r>
      <w:r w:rsidRPr="00BA78D0">
        <w:t>exploitation</w:t>
      </w:r>
      <w:r w:rsidR="006252EF">
        <w:t xml:space="preserve"> </w:t>
      </w:r>
      <w:r w:rsidRPr="00BA78D0">
        <w:t>in</w:t>
      </w:r>
      <w:r w:rsidR="006252EF">
        <w:t xml:space="preserve"> </w:t>
      </w:r>
      <w:r w:rsidRPr="00BA78D0">
        <w:t>the</w:t>
      </w:r>
      <w:r w:rsidR="006252EF">
        <w:t xml:space="preserve"> </w:t>
      </w:r>
      <w:r w:rsidRPr="00BA78D0">
        <w:t>workplace.</w:t>
      </w:r>
    </w:p>
    <w:p w14:paraId="580618F2" w14:textId="49AB3D8C" w:rsidR="00603C5A" w:rsidRPr="00A1442F" w:rsidRDefault="00603C5A" w:rsidP="00A1442F">
      <w:pPr>
        <w:pStyle w:val="ParNoG"/>
      </w:pPr>
      <w:r w:rsidRPr="00A1442F">
        <w:rPr>
          <w:b/>
          <w:bCs/>
        </w:rPr>
        <w:t>Ms.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Gant</w:t>
      </w:r>
      <w:r w:rsidR="006252EF" w:rsidRPr="00A1442F">
        <w:t xml:space="preserve"> </w:t>
      </w:r>
      <w:r w:rsidRPr="00A1442F">
        <w:t>(Greenland,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that,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Greenland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extremely</w:t>
      </w:r>
      <w:r w:rsidR="006252EF" w:rsidRPr="00A1442F">
        <w:t xml:space="preserve"> </w:t>
      </w:r>
      <w:r w:rsidRPr="00A1442F">
        <w:t>small</w:t>
      </w:r>
      <w:r w:rsidR="006252EF" w:rsidRPr="00A1442F">
        <w:t xml:space="preserve"> </w:t>
      </w:r>
      <w:r w:rsidRPr="00A1442F">
        <w:t>population</w:t>
      </w:r>
      <w:r w:rsidR="006252EF" w:rsidRPr="00A1442F">
        <w:t xml:space="preserve"> </w:t>
      </w:r>
      <w:r w:rsidRPr="00A1442F">
        <w:t>spread</w:t>
      </w:r>
      <w:r w:rsidR="006252EF" w:rsidRPr="00A1442F">
        <w:t xml:space="preserve"> </w:t>
      </w:r>
      <w:r w:rsidRPr="00A1442F">
        <w:t>across</w:t>
      </w:r>
      <w:r w:rsidR="006252EF" w:rsidRPr="00A1442F">
        <w:t xml:space="preserve"> </w:t>
      </w:r>
      <w:r w:rsidRPr="00A1442F">
        <w:t>just</w:t>
      </w:r>
      <w:r w:rsidR="006252EF" w:rsidRPr="00A1442F">
        <w:t xml:space="preserve"> </w:t>
      </w:r>
      <w:r w:rsidRPr="00A1442F">
        <w:t>76</w:t>
      </w:r>
      <w:r w:rsidR="006252EF" w:rsidRPr="00A1442F">
        <w:t xml:space="preserve"> </w:t>
      </w:r>
      <w:r w:rsidRPr="00A1442F">
        <w:t>settlements,</w:t>
      </w:r>
      <w:r w:rsidR="006252EF" w:rsidRPr="00A1442F">
        <w:t xml:space="preserve"> </w:t>
      </w:r>
      <w:r w:rsidRPr="00A1442F">
        <w:t>social</w:t>
      </w:r>
      <w:r w:rsidR="006252EF" w:rsidRPr="00A1442F">
        <w:t xml:space="preserve"> </w:t>
      </w:r>
      <w:r w:rsidRPr="00A1442F">
        <w:t>control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very</w:t>
      </w:r>
      <w:r w:rsidR="006252EF" w:rsidRPr="00A1442F">
        <w:t xml:space="preserve"> </w:t>
      </w:r>
      <w:r w:rsidRPr="00A1442F">
        <w:t>tight.</w:t>
      </w:r>
      <w:r w:rsidR="006252EF" w:rsidRPr="00A1442F">
        <w:t xml:space="preserve"> </w:t>
      </w:r>
      <w:r w:rsidRPr="00A1442F">
        <w:t>Accordingly,</w:t>
      </w:r>
      <w:r w:rsidR="006252EF" w:rsidRPr="00A1442F">
        <w:t xml:space="preserve"> </w:t>
      </w:r>
      <w:r w:rsidRPr="00A1442F">
        <w:t>any</w:t>
      </w:r>
      <w:r w:rsidR="006252EF" w:rsidRPr="00A1442F">
        <w:t xml:space="preserve"> </w:t>
      </w:r>
      <w:r w:rsidRPr="00A1442F">
        <w:t>incidents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trafficking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human</w:t>
      </w:r>
      <w:r w:rsidR="006252EF" w:rsidRPr="00A1442F">
        <w:t xml:space="preserve"> </w:t>
      </w:r>
      <w:r w:rsidRPr="00A1442F">
        <w:t>beings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be</w:t>
      </w:r>
      <w:r w:rsidR="006252EF" w:rsidRPr="00A1442F">
        <w:t xml:space="preserve"> </w:t>
      </w:r>
      <w:r w:rsidRPr="00A1442F">
        <w:t>immediately</w:t>
      </w:r>
      <w:r w:rsidR="006252EF" w:rsidRPr="00A1442F">
        <w:t xml:space="preserve"> </w:t>
      </w:r>
      <w:r w:rsidRPr="00A1442F">
        <w:t>detected.</w:t>
      </w:r>
      <w:r w:rsidR="006252EF" w:rsidRPr="00A1442F">
        <w:t xml:space="preserve"> </w:t>
      </w:r>
      <w:r w:rsidRPr="00A1442F">
        <w:t>Recent</w:t>
      </w:r>
      <w:r w:rsidR="006252EF" w:rsidRPr="00A1442F">
        <w:t xml:space="preserve"> </w:t>
      </w:r>
      <w:r w:rsidRPr="00A1442F">
        <w:t>years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brought</w:t>
      </w:r>
      <w:r w:rsidR="006252EF" w:rsidRPr="00A1442F">
        <w:t xml:space="preserve"> </w:t>
      </w:r>
      <w:r w:rsidRPr="00A1442F">
        <w:t>growing</w:t>
      </w:r>
      <w:r w:rsidR="006252EF" w:rsidRPr="00A1442F">
        <w:t xml:space="preserve"> </w:t>
      </w:r>
      <w:r w:rsidRPr="00A1442F">
        <w:t>numbers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migrant</w:t>
      </w:r>
      <w:r w:rsidR="006252EF" w:rsidRPr="00A1442F">
        <w:t xml:space="preserve"> </w:t>
      </w:r>
      <w:r w:rsidRPr="00A1442F">
        <w:t>workers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Greenland,</w:t>
      </w:r>
      <w:r w:rsidR="006252EF" w:rsidRPr="00A1442F">
        <w:t xml:space="preserve"> </w:t>
      </w:r>
      <w:r w:rsidRPr="00A1442F">
        <w:t>mainly</w:t>
      </w:r>
      <w:r w:rsidR="006252EF" w:rsidRPr="00A1442F">
        <w:t xml:space="preserve"> </w:t>
      </w:r>
      <w:r w:rsidRPr="00A1442F">
        <w:t>from</w:t>
      </w:r>
      <w:r w:rsidR="006252EF" w:rsidRPr="00A1442F">
        <w:t xml:space="preserve"> </w:t>
      </w:r>
      <w:r w:rsidRPr="00A1442F">
        <w:t>Asia,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Greenland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aware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working</w:t>
      </w:r>
      <w:r w:rsidR="006252EF" w:rsidRPr="00A1442F">
        <w:t xml:space="preserve"> </w:t>
      </w:r>
      <w:r w:rsidRPr="00A1442F">
        <w:t>conditions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pay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those</w:t>
      </w:r>
      <w:r w:rsidR="006252EF" w:rsidRPr="00A1442F">
        <w:t xml:space="preserve"> </w:t>
      </w:r>
      <w:r w:rsidRPr="00A1442F">
        <w:t>migrants,</w:t>
      </w:r>
      <w:r w:rsidR="006252EF" w:rsidRPr="00A1442F">
        <w:t xml:space="preserve"> </w:t>
      </w:r>
      <w:r w:rsidRPr="00A1442F">
        <w:t>who</w:t>
      </w:r>
      <w:r w:rsidR="006252EF" w:rsidRPr="00A1442F">
        <w:t xml:space="preserve"> </w:t>
      </w:r>
      <w:r w:rsidRPr="00A1442F">
        <w:t>currently</w:t>
      </w:r>
      <w:r w:rsidR="006252EF" w:rsidRPr="00A1442F">
        <w:t xml:space="preserve"> </w:t>
      </w:r>
      <w:r w:rsidRPr="00A1442F">
        <w:t>numbered</w:t>
      </w:r>
      <w:r w:rsidR="006252EF" w:rsidRPr="00A1442F">
        <w:t xml:space="preserve"> </w:t>
      </w:r>
      <w:r w:rsidRPr="00A1442F">
        <w:t>close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800,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not</w:t>
      </w:r>
      <w:r w:rsidR="006252EF" w:rsidRPr="00A1442F">
        <w:t xml:space="preserve"> </w:t>
      </w:r>
      <w:r w:rsidRPr="00A1442F">
        <w:t>always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satisfactory.</w:t>
      </w:r>
      <w:r w:rsidR="006252EF" w:rsidRPr="00A1442F">
        <w:t xml:space="preserve"> </w:t>
      </w:r>
      <w:r w:rsidRPr="00A1442F">
        <w:t>Fortunately,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trade</w:t>
      </w:r>
      <w:r w:rsidR="006252EF" w:rsidRPr="00A1442F">
        <w:t xml:space="preserve"> </w:t>
      </w:r>
      <w:r w:rsidRPr="00A1442F">
        <w:t>unions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monitored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situation</w:t>
      </w:r>
      <w:r w:rsidR="006252EF" w:rsidRPr="00A1442F">
        <w:t xml:space="preserve"> </w:t>
      </w:r>
      <w:r w:rsidRPr="00A1442F">
        <w:t>closely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even</w:t>
      </w:r>
      <w:r w:rsidR="006252EF" w:rsidRPr="00A1442F">
        <w:t xml:space="preserve"> </w:t>
      </w:r>
      <w:r w:rsidRPr="00A1442F">
        <w:t>taken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few</w:t>
      </w:r>
      <w:r w:rsidR="006252EF" w:rsidRPr="00A1442F">
        <w:t xml:space="preserve"> </w:t>
      </w:r>
      <w:r w:rsidRPr="00A1442F">
        <w:t>cases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court,</w:t>
      </w:r>
      <w:r w:rsidR="006252EF" w:rsidRPr="00A1442F">
        <w:t xml:space="preserve"> </w:t>
      </w:r>
      <w:r w:rsidRPr="00A1442F">
        <w:t>resulting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small</w:t>
      </w:r>
      <w:r w:rsidR="006252EF" w:rsidRPr="00A1442F">
        <w:t xml:space="preserve"> </w:t>
      </w:r>
      <w:r w:rsidRPr="00A1442F">
        <w:t>number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receiving</w:t>
      </w:r>
      <w:r w:rsidR="006252EF" w:rsidRPr="00A1442F">
        <w:t xml:space="preserve"> </w:t>
      </w:r>
      <w:r w:rsidRPr="00A1442F">
        <w:t>compensation.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continue</w:t>
      </w:r>
      <w:r w:rsidR="006252EF" w:rsidRPr="00A1442F">
        <w:t xml:space="preserve"> </w:t>
      </w:r>
      <w:r w:rsidRPr="00A1442F">
        <w:t>working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ensure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equal</w:t>
      </w:r>
      <w:r w:rsidR="006252EF" w:rsidRPr="00A1442F">
        <w:t xml:space="preserve"> </w:t>
      </w:r>
      <w:r w:rsidRPr="00A1442F">
        <w:t>pay</w:t>
      </w:r>
      <w:r w:rsidR="006252EF" w:rsidRPr="00A1442F">
        <w:t xml:space="preserve"> </w:t>
      </w:r>
      <w:r w:rsidRPr="00A1442F">
        <w:t>principle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also</w:t>
      </w:r>
      <w:r w:rsidR="006252EF" w:rsidRPr="00A1442F">
        <w:t xml:space="preserve"> </w:t>
      </w:r>
      <w:r w:rsidRPr="00A1442F">
        <w:t>applied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migrant</w:t>
      </w:r>
      <w:r w:rsidR="006252EF" w:rsidRPr="00A1442F">
        <w:t xml:space="preserve"> </w:t>
      </w:r>
      <w:r w:rsidRPr="00A1442F">
        <w:t>workers.</w:t>
      </w:r>
    </w:p>
    <w:p w14:paraId="4CC72827" w14:textId="4F58F3F1" w:rsidR="00603C5A" w:rsidRPr="00A1442F" w:rsidRDefault="00603C5A" w:rsidP="00A1442F">
      <w:pPr>
        <w:pStyle w:val="ParNoG"/>
      </w:pPr>
      <w:r w:rsidRPr="00A1442F">
        <w:rPr>
          <w:b/>
          <w:bCs/>
        </w:rPr>
        <w:t>Ms.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Poulsen</w:t>
      </w:r>
      <w:r w:rsidR="006252EF" w:rsidRPr="00A1442F">
        <w:t xml:space="preserve"> </w:t>
      </w:r>
      <w:r w:rsidRPr="00A1442F">
        <w:t>(Faroe</w:t>
      </w:r>
      <w:r w:rsidR="006252EF" w:rsidRPr="00A1442F">
        <w:t xml:space="preserve"> </w:t>
      </w:r>
      <w:r w:rsidRPr="00A1442F">
        <w:t>Islands,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Faroe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ran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number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information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awareness-raising</w:t>
      </w:r>
      <w:r w:rsidR="006252EF" w:rsidRPr="00A1442F">
        <w:t xml:space="preserve"> </w:t>
      </w:r>
      <w:r w:rsidRPr="00A1442F">
        <w:t>campaigns</w:t>
      </w:r>
      <w:r w:rsidR="006252EF" w:rsidRPr="00A1442F">
        <w:t xml:space="preserve"> </w:t>
      </w:r>
      <w:r w:rsidRPr="00A1442F">
        <w:t>each</w:t>
      </w:r>
      <w:r w:rsidR="006252EF" w:rsidRPr="00A1442F">
        <w:t xml:space="preserve"> </w:t>
      </w:r>
      <w:r w:rsidRPr="00A1442F">
        <w:t>year,</w:t>
      </w:r>
      <w:r w:rsidR="006252EF" w:rsidRPr="00A1442F">
        <w:t xml:space="preserve"> </w:t>
      </w:r>
      <w:r w:rsidRPr="00A1442F">
        <w:t>addressing</w:t>
      </w:r>
      <w:r w:rsidR="006252EF" w:rsidRPr="00A1442F">
        <w:t xml:space="preserve"> </w:t>
      </w:r>
      <w:r w:rsidRPr="00A1442F">
        <w:t>sexual</w:t>
      </w:r>
      <w:r w:rsidR="006252EF" w:rsidRPr="00A1442F">
        <w:t xml:space="preserve"> </w:t>
      </w:r>
      <w:r w:rsidRPr="00A1442F">
        <w:t>issues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situation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migrant</w:t>
      </w:r>
      <w:r w:rsidR="006252EF" w:rsidRPr="00A1442F">
        <w:t xml:space="preserve"> </w:t>
      </w:r>
      <w:r w:rsidRPr="00A1442F">
        <w:t>women,</w:t>
      </w:r>
      <w:r w:rsidR="006252EF" w:rsidRPr="00A1442F">
        <w:t xml:space="preserve"> </w:t>
      </w:r>
      <w:r w:rsidRPr="00A1442F">
        <w:t>among</w:t>
      </w:r>
      <w:r w:rsidR="006252EF" w:rsidRPr="00A1442F">
        <w:t xml:space="preserve"> </w:t>
      </w:r>
      <w:r w:rsidRPr="00A1442F">
        <w:t>other</w:t>
      </w:r>
      <w:r w:rsidR="006252EF" w:rsidRPr="00A1442F">
        <w:t xml:space="preserve"> </w:t>
      </w:r>
      <w:r w:rsidRPr="00A1442F">
        <w:t>subjects.</w:t>
      </w:r>
      <w:r w:rsidR="006252EF" w:rsidRPr="00A1442F">
        <w:t xml:space="preserve"> </w:t>
      </w:r>
      <w:r w:rsidRPr="00A1442F">
        <w:t>It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also</w:t>
      </w:r>
      <w:r w:rsidR="006252EF" w:rsidRPr="00A1442F">
        <w:t xml:space="preserve"> </w:t>
      </w:r>
      <w:r w:rsidRPr="00A1442F">
        <w:t>put</w:t>
      </w:r>
      <w:r w:rsidR="006252EF" w:rsidRPr="00A1442F">
        <w:t xml:space="preserve"> </w:t>
      </w:r>
      <w:r w:rsidRPr="00A1442F">
        <w:t>together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welcome</w:t>
      </w:r>
      <w:r w:rsidR="006252EF" w:rsidRPr="00A1442F">
        <w:t xml:space="preserve"> </w:t>
      </w:r>
      <w:r w:rsidRPr="00A1442F">
        <w:t>pamphlet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migrant</w:t>
      </w:r>
      <w:r w:rsidR="006252EF" w:rsidRPr="00A1442F">
        <w:t xml:space="preserve"> </w:t>
      </w:r>
      <w:r w:rsidRPr="00A1442F">
        <w:t>women,</w:t>
      </w:r>
      <w:r w:rsidR="006252EF" w:rsidRPr="00A1442F">
        <w:t xml:space="preserve"> </w:t>
      </w:r>
      <w:r w:rsidRPr="00A1442F">
        <w:t>which</w:t>
      </w:r>
      <w:r w:rsidR="006252EF" w:rsidRPr="00A1442F">
        <w:t xml:space="preserve"> </w:t>
      </w:r>
      <w:r w:rsidRPr="00A1442F">
        <w:t>informed</w:t>
      </w:r>
      <w:r w:rsidR="006252EF" w:rsidRPr="00A1442F">
        <w:t xml:space="preserve"> </w:t>
      </w:r>
      <w:r w:rsidRPr="00A1442F">
        <w:t>them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rights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addressed</w:t>
      </w:r>
      <w:r w:rsidR="006252EF" w:rsidRPr="00A1442F">
        <w:t xml:space="preserve"> </w:t>
      </w:r>
      <w:r w:rsidRPr="00A1442F">
        <w:t>issues</w:t>
      </w:r>
      <w:r w:rsidR="006252EF" w:rsidRPr="00A1442F">
        <w:t xml:space="preserve"> </w:t>
      </w:r>
      <w:r w:rsidRPr="00A1442F">
        <w:t>surrounding</w:t>
      </w:r>
      <w:r w:rsidR="006252EF" w:rsidRPr="00A1442F">
        <w:t xml:space="preserve"> </w:t>
      </w:r>
      <w:r w:rsidRPr="00A1442F">
        <w:t>gender-based</w:t>
      </w:r>
      <w:r w:rsidR="006252EF" w:rsidRPr="00A1442F">
        <w:t xml:space="preserve"> </w:t>
      </w:r>
      <w:r w:rsidRPr="00A1442F">
        <w:t>violence.</w:t>
      </w:r>
    </w:p>
    <w:p w14:paraId="6143E3B9" w14:textId="0AFAC3F7" w:rsidR="00603C5A" w:rsidRPr="00A1442F" w:rsidRDefault="00603C5A" w:rsidP="00A1442F">
      <w:pPr>
        <w:pStyle w:val="ParNoG"/>
      </w:pPr>
      <w:r w:rsidRPr="00A1442F">
        <w:rPr>
          <w:b/>
          <w:bCs/>
        </w:rPr>
        <w:t>Ms.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Gant</w:t>
      </w:r>
      <w:r w:rsidR="006252EF" w:rsidRPr="00A1442F">
        <w:t xml:space="preserve"> </w:t>
      </w:r>
      <w:r w:rsidRPr="00A1442F">
        <w:t>(Greenland,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12</w:t>
      </w:r>
      <w:r w:rsidR="006252EF" w:rsidRPr="00A1442F">
        <w:t xml:space="preserve"> </w:t>
      </w:r>
      <w:r w:rsidRPr="00A1442F">
        <w:t>out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31</w:t>
      </w:r>
      <w:r w:rsidR="006252EF" w:rsidRPr="00A1442F">
        <w:t xml:space="preserve"> </w:t>
      </w:r>
      <w:r w:rsidRPr="00A1442F">
        <w:t>members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parliament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Greenland,</w:t>
      </w:r>
      <w:r w:rsidR="006252EF" w:rsidRPr="00A1442F">
        <w:t xml:space="preserve"> </w:t>
      </w:r>
      <w:r w:rsidRPr="00A1442F">
        <w:t>2</w:t>
      </w:r>
      <w:r w:rsidR="006252EF" w:rsidRPr="00A1442F">
        <w:t xml:space="preserve"> </w:t>
      </w:r>
      <w:r w:rsidRPr="00A1442F">
        <w:t>out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7</w:t>
      </w:r>
      <w:r w:rsidR="006252EF" w:rsidRPr="00A1442F">
        <w:t xml:space="preserve"> </w:t>
      </w:r>
      <w:r w:rsidRPr="00A1442F">
        <w:t>ministers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outgoing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3</w:t>
      </w:r>
      <w:r w:rsidR="006252EF" w:rsidRPr="00A1442F">
        <w:t xml:space="preserve"> </w:t>
      </w:r>
      <w:r w:rsidRPr="00A1442F">
        <w:t>out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5</w:t>
      </w:r>
      <w:r w:rsidR="006252EF" w:rsidRPr="00A1442F">
        <w:t xml:space="preserve"> </w:t>
      </w:r>
      <w:r w:rsidRPr="00A1442F">
        <w:t>municipal</w:t>
      </w:r>
      <w:r w:rsidR="006252EF" w:rsidRPr="00A1442F">
        <w:t xml:space="preserve"> </w:t>
      </w:r>
      <w:r w:rsidRPr="00A1442F">
        <w:t>council</w:t>
      </w:r>
      <w:r w:rsidR="006252EF" w:rsidRPr="00A1442F">
        <w:t xml:space="preserve"> </w:t>
      </w:r>
      <w:r w:rsidRPr="00A1442F">
        <w:t>mayors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women.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addition,</w:t>
      </w:r>
      <w:r w:rsidR="006252EF" w:rsidRPr="00A1442F">
        <w:t xml:space="preserve"> </w:t>
      </w:r>
      <w:r w:rsidRPr="00A1442F">
        <w:t>since</w:t>
      </w:r>
      <w:r w:rsidR="006252EF" w:rsidRPr="00A1442F">
        <w:t xml:space="preserve"> </w:t>
      </w:r>
      <w:r w:rsidRPr="00A1442F">
        <w:t>2011,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two</w:t>
      </w:r>
      <w:r w:rsidR="006252EF" w:rsidRPr="00A1442F">
        <w:t xml:space="preserve"> </w:t>
      </w:r>
      <w:r w:rsidRPr="00A1442F">
        <w:t>members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Danish</w:t>
      </w:r>
      <w:r w:rsidR="006252EF" w:rsidRPr="00A1442F">
        <w:t xml:space="preserve"> </w:t>
      </w:r>
      <w:r w:rsidRPr="00A1442F">
        <w:t>parliament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represented</w:t>
      </w:r>
      <w:r w:rsidR="006252EF" w:rsidRPr="00A1442F">
        <w:t xml:space="preserve"> </w:t>
      </w:r>
      <w:r w:rsidRPr="00A1442F">
        <w:t>Greenland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women.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composition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current</w:t>
      </w:r>
      <w:r w:rsidR="006252EF" w:rsidRPr="00A1442F">
        <w:t xml:space="preserve"> </w:t>
      </w:r>
      <w:r w:rsidRPr="00A1442F">
        <w:t>Cabinet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fact</w:t>
      </w:r>
      <w:r w:rsidR="006252EF" w:rsidRPr="00A1442F">
        <w:t xml:space="preserve"> </w:t>
      </w:r>
      <w:r w:rsidRPr="00A1442F">
        <w:t>represented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exception</w:t>
      </w:r>
      <w:r w:rsidR="006252EF" w:rsidRPr="00A1442F">
        <w:t xml:space="preserve"> </w:t>
      </w:r>
      <w:r w:rsidRPr="00A1442F">
        <w:t>from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generally</w:t>
      </w:r>
      <w:r w:rsidR="006252EF" w:rsidRPr="00A1442F">
        <w:t xml:space="preserve"> </w:t>
      </w:r>
      <w:r w:rsidRPr="00A1442F">
        <w:t>upward</w:t>
      </w:r>
      <w:r w:rsidR="006252EF" w:rsidRPr="00A1442F">
        <w:t xml:space="preserve"> </w:t>
      </w:r>
      <w:r w:rsidRPr="00A1442F">
        <w:t>path</w:t>
      </w:r>
      <w:r w:rsidR="006252EF" w:rsidRPr="00A1442F">
        <w:t xml:space="preserve"> </w:t>
      </w:r>
      <w:r w:rsidRPr="00A1442F">
        <w:t>toward</w:t>
      </w:r>
      <w:r w:rsidR="00625BAC">
        <w:t>s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equality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politics.</w:t>
      </w:r>
    </w:p>
    <w:p w14:paraId="2ACBA904" w14:textId="42399801" w:rsidR="00603C5A" w:rsidRPr="00A1442F" w:rsidRDefault="00603C5A" w:rsidP="00A1442F">
      <w:pPr>
        <w:pStyle w:val="ParNoG"/>
      </w:pPr>
      <w:r w:rsidRPr="00A1442F">
        <w:t>Turning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subject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discrimination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education,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Greenland</w:t>
      </w:r>
      <w:r w:rsidR="006252EF" w:rsidRPr="00A1442F">
        <w:t xml:space="preserve"> </w:t>
      </w:r>
      <w:r w:rsidRPr="00A1442F">
        <w:t>acknowledged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tendency</w:t>
      </w:r>
      <w:r w:rsidR="006252EF" w:rsidRPr="00A1442F">
        <w:t xml:space="preserve"> </w:t>
      </w:r>
      <w:r w:rsidRPr="00A1442F">
        <w:t>among</w:t>
      </w:r>
      <w:r w:rsidR="006252EF" w:rsidRPr="00A1442F">
        <w:t xml:space="preserve"> </w:t>
      </w:r>
      <w:r w:rsidRPr="00A1442F">
        <w:t>young</w:t>
      </w:r>
      <w:r w:rsidR="006252EF" w:rsidRPr="00A1442F">
        <w:t xml:space="preserve"> </w:t>
      </w:r>
      <w:r w:rsidRPr="00A1442F">
        <w:t>persons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make</w:t>
      </w:r>
      <w:r w:rsidR="006252EF" w:rsidRPr="00A1442F">
        <w:t xml:space="preserve"> </w:t>
      </w:r>
      <w:r w:rsidRPr="00A1442F">
        <w:t>educational</w:t>
      </w:r>
      <w:r w:rsidR="006252EF" w:rsidRPr="00A1442F">
        <w:t xml:space="preserve"> </w:t>
      </w:r>
      <w:r w:rsidRPr="00A1442F">
        <w:t>choices</w:t>
      </w:r>
      <w:r w:rsidR="006252EF" w:rsidRPr="00A1442F">
        <w:t xml:space="preserve"> </w:t>
      </w:r>
      <w:r w:rsidRPr="00A1442F">
        <w:t>along</w:t>
      </w:r>
      <w:r w:rsidR="006252EF" w:rsidRPr="00A1442F">
        <w:t xml:space="preserve"> </w:t>
      </w:r>
      <w:r w:rsidRPr="00A1442F">
        <w:t>traditional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lines,</w:t>
      </w:r>
      <w:r w:rsidR="006252EF" w:rsidRPr="00A1442F">
        <w:t xml:space="preserve"> </w:t>
      </w:r>
      <w:r w:rsidRPr="00A1442F">
        <w:t>with</w:t>
      </w:r>
      <w:r w:rsidR="006252EF" w:rsidRPr="00A1442F">
        <w:t xml:space="preserve"> </w:t>
      </w:r>
      <w:r w:rsidRPr="00A1442F">
        <w:t>men</w:t>
      </w:r>
      <w:r w:rsidR="006252EF" w:rsidRPr="00A1442F">
        <w:t xml:space="preserve"> </w:t>
      </w:r>
      <w:r w:rsidRPr="00A1442F">
        <w:t>going</w:t>
      </w:r>
      <w:r w:rsidR="006252EF" w:rsidRPr="00A1442F">
        <w:t xml:space="preserve"> </w:t>
      </w:r>
      <w:r w:rsidRPr="00A1442F">
        <w:t>into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trades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moving</w:t>
      </w:r>
      <w:r w:rsidR="006252EF" w:rsidRPr="00A1442F">
        <w:t xml:space="preserve"> </w:t>
      </w:r>
      <w:r w:rsidRPr="00A1442F">
        <w:t>into</w:t>
      </w:r>
      <w:r w:rsidR="006252EF" w:rsidRPr="00A1442F">
        <w:t xml:space="preserve"> </w:t>
      </w:r>
      <w:r w:rsidRPr="00A1442F">
        <w:t>education,</w:t>
      </w:r>
      <w:r w:rsidR="006252EF" w:rsidRPr="00A1442F">
        <w:t xml:space="preserve"> </w:t>
      </w:r>
      <w:r w:rsidRPr="00A1442F">
        <w:t>social</w:t>
      </w:r>
      <w:r w:rsidR="006252EF" w:rsidRPr="00A1442F">
        <w:t xml:space="preserve"> </w:t>
      </w:r>
      <w:r w:rsidRPr="00A1442F">
        <w:t>work</w:t>
      </w:r>
      <w:r w:rsidR="006252EF" w:rsidRPr="00A1442F">
        <w:t xml:space="preserve"> </w:t>
      </w:r>
      <w:r w:rsidRPr="00A1442F">
        <w:t>or</w:t>
      </w:r>
      <w:r w:rsidR="006252EF" w:rsidRPr="00A1442F">
        <w:t xml:space="preserve"> </w:t>
      </w:r>
      <w:r w:rsidRPr="00A1442F">
        <w:t>health</w:t>
      </w:r>
      <w:r w:rsidR="006252EF" w:rsidRPr="00A1442F">
        <w:t xml:space="preserve"> </w:t>
      </w:r>
      <w:r w:rsidRPr="00A1442F">
        <w:t>care.</w:t>
      </w:r>
      <w:r w:rsidR="006252EF" w:rsidRPr="00A1442F">
        <w:t xml:space="preserve"> </w:t>
      </w:r>
      <w:r w:rsidRPr="00A1442F">
        <w:t>However,</w:t>
      </w:r>
      <w:r w:rsidR="006252EF" w:rsidRPr="00A1442F">
        <w:t xml:space="preserve"> </w:t>
      </w:r>
      <w:r w:rsidRPr="00A1442F">
        <w:t>its</w:t>
      </w:r>
      <w:r w:rsidR="006252EF" w:rsidRPr="00A1442F">
        <w:t xml:space="preserve"> </w:t>
      </w:r>
      <w:r w:rsidRPr="00A1442F">
        <w:t>major</w:t>
      </w:r>
      <w:r w:rsidR="006252EF" w:rsidRPr="00A1442F">
        <w:t xml:space="preserve"> </w:t>
      </w:r>
      <w:r w:rsidRPr="00A1442F">
        <w:t>concern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not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segregation</w:t>
      </w:r>
      <w:r w:rsidR="006252EF" w:rsidRPr="00A1442F">
        <w:t xml:space="preserve"> </w:t>
      </w:r>
      <w:r w:rsidRPr="00A1442F">
        <w:t>but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relatively</w:t>
      </w:r>
      <w:r w:rsidR="006252EF" w:rsidRPr="00A1442F">
        <w:t xml:space="preserve"> </w:t>
      </w:r>
      <w:r w:rsidRPr="00A1442F">
        <w:t>low</w:t>
      </w:r>
      <w:r w:rsidR="006252EF" w:rsidRPr="00A1442F">
        <w:t xml:space="preserve"> </w:t>
      </w:r>
      <w:r w:rsidRPr="00A1442F">
        <w:t>level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educational</w:t>
      </w:r>
      <w:r w:rsidR="006252EF" w:rsidRPr="00A1442F">
        <w:t xml:space="preserve"> </w:t>
      </w:r>
      <w:r w:rsidRPr="00A1442F">
        <w:t>achievement</w:t>
      </w:r>
      <w:r w:rsidR="006252EF" w:rsidRPr="00A1442F">
        <w:t xml:space="preserve"> </w:t>
      </w:r>
      <w:r w:rsidRPr="00A1442F">
        <w:t>among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population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general:</w:t>
      </w:r>
      <w:r w:rsidR="006252EF" w:rsidRPr="00A1442F">
        <w:t xml:space="preserve"> </w:t>
      </w:r>
      <w:r w:rsidRPr="00A1442F">
        <w:t>currently</w:t>
      </w:r>
      <w:r w:rsidR="006252EF" w:rsidRPr="00A1442F">
        <w:t xml:space="preserve"> </w:t>
      </w:r>
      <w:r w:rsidRPr="00A1442F">
        <w:t>only</w:t>
      </w:r>
      <w:r w:rsidR="006252EF" w:rsidRPr="00A1442F">
        <w:t xml:space="preserve"> </w:t>
      </w:r>
      <w:r w:rsidRPr="00A1442F">
        <w:t>30</w:t>
      </w:r>
      <w:r w:rsidR="006252EF" w:rsidRPr="00A1442F">
        <w:t xml:space="preserve"> </w:t>
      </w:r>
      <w:r w:rsidRPr="00A1442F">
        <w:t>per</w:t>
      </w:r>
      <w:r w:rsidR="006252EF" w:rsidRPr="00A1442F">
        <w:t xml:space="preserve"> </w:t>
      </w:r>
      <w:r w:rsidRPr="00A1442F">
        <w:t>cent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secondary</w:t>
      </w:r>
      <w:r w:rsidR="006252EF" w:rsidRPr="00A1442F">
        <w:t xml:space="preserve"> </w:t>
      </w:r>
      <w:r w:rsidRPr="00A1442F">
        <w:t>school</w:t>
      </w:r>
      <w:r w:rsidR="006252EF" w:rsidRPr="00A1442F">
        <w:t xml:space="preserve"> </w:t>
      </w:r>
      <w:r w:rsidRPr="00A1442F">
        <w:t>leavers</w:t>
      </w:r>
      <w:r w:rsidR="006252EF" w:rsidRPr="00A1442F">
        <w:t xml:space="preserve"> </w:t>
      </w:r>
      <w:r w:rsidRPr="00A1442F">
        <w:t>moved</w:t>
      </w:r>
      <w:r w:rsidR="006252EF" w:rsidRPr="00A1442F">
        <w:t xml:space="preserve"> </w:t>
      </w:r>
      <w:r w:rsidRPr="00A1442F">
        <w:t>directly</w:t>
      </w:r>
      <w:r w:rsidR="006252EF" w:rsidRPr="00A1442F">
        <w:t xml:space="preserve"> </w:t>
      </w:r>
      <w:r w:rsidRPr="00A1442F">
        <w:t>into</w:t>
      </w:r>
      <w:r w:rsidR="006252EF" w:rsidRPr="00A1442F">
        <w:t xml:space="preserve"> </w:t>
      </w:r>
      <w:r w:rsidRPr="00A1442F">
        <w:t>further</w:t>
      </w:r>
      <w:r w:rsidR="006252EF" w:rsidRPr="00A1442F">
        <w:t xml:space="preserve"> </w:t>
      </w:r>
      <w:r w:rsidRPr="00A1442F">
        <w:t>education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recent</w:t>
      </w:r>
      <w:r w:rsidR="006252EF" w:rsidRPr="00A1442F">
        <w:t xml:space="preserve"> </w:t>
      </w:r>
      <w:r w:rsidRPr="00A1442F">
        <w:t>data</w:t>
      </w:r>
      <w:r w:rsidR="006252EF" w:rsidRPr="00A1442F">
        <w:t xml:space="preserve"> </w:t>
      </w:r>
      <w:r w:rsidRPr="00A1442F">
        <w:t>showed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decrease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percentage</w:t>
      </w:r>
      <w:r w:rsidR="006252EF" w:rsidRPr="00A1442F">
        <w:t xml:space="preserve"> </w:t>
      </w:r>
      <w:r w:rsidRPr="00A1442F">
        <w:t>among</w:t>
      </w:r>
      <w:r w:rsidR="006252EF" w:rsidRPr="00A1442F">
        <w:t xml:space="preserve"> </w:t>
      </w:r>
      <w:r w:rsidRPr="00A1442F">
        <w:t>both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men,</w:t>
      </w:r>
      <w:r w:rsidR="006252EF" w:rsidRPr="00A1442F">
        <w:t xml:space="preserve"> </w:t>
      </w:r>
      <w:r w:rsidRPr="00A1442F">
        <w:t>although</w:t>
      </w:r>
      <w:r w:rsidR="006252EF" w:rsidRPr="00A1442F">
        <w:t xml:space="preserve"> </w:t>
      </w:r>
      <w:r w:rsidRPr="00A1442F">
        <w:t>girls</w:t>
      </w:r>
      <w:r w:rsidR="006252EF" w:rsidRPr="00A1442F">
        <w:t xml:space="preserve"> </w:t>
      </w:r>
      <w:r w:rsidRPr="00A1442F">
        <w:t>outperformed</w:t>
      </w:r>
      <w:r w:rsidR="006252EF" w:rsidRPr="00A1442F">
        <w:t xml:space="preserve"> </w:t>
      </w:r>
      <w:r w:rsidRPr="00A1442F">
        <w:t>boys</w:t>
      </w:r>
      <w:r w:rsidR="006252EF" w:rsidRPr="00A1442F">
        <w:t xml:space="preserve"> </w:t>
      </w:r>
      <w:r w:rsidRPr="00A1442F">
        <w:t>at</w:t>
      </w:r>
      <w:r w:rsidR="006252EF" w:rsidRPr="00A1442F">
        <w:t xml:space="preserve"> </w:t>
      </w:r>
      <w:r w:rsidRPr="00A1442F">
        <w:t>school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accounted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73</w:t>
      </w:r>
      <w:r w:rsidR="006252EF" w:rsidRPr="00A1442F">
        <w:t xml:space="preserve"> </w:t>
      </w:r>
      <w:r w:rsidRPr="00A1442F">
        <w:t>per</w:t>
      </w:r>
      <w:r w:rsidR="006252EF" w:rsidRPr="00A1442F">
        <w:t xml:space="preserve"> </w:t>
      </w:r>
      <w:r w:rsidRPr="00A1442F">
        <w:t>cent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students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higher</w:t>
      </w:r>
      <w:r w:rsidR="006252EF" w:rsidRPr="00A1442F">
        <w:t xml:space="preserve"> </w:t>
      </w:r>
      <w:r w:rsidRPr="00A1442F">
        <w:t>education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2019.</w:t>
      </w:r>
    </w:p>
    <w:p w14:paraId="621FC02A" w14:textId="310325ED" w:rsidR="00603C5A" w:rsidRPr="00A1442F" w:rsidRDefault="00603C5A" w:rsidP="00A1442F">
      <w:pPr>
        <w:pStyle w:val="ParNoG"/>
      </w:pPr>
      <w:r w:rsidRPr="00A1442F">
        <w:t>The</w:t>
      </w:r>
      <w:r w:rsidR="006252EF" w:rsidRPr="00A1442F">
        <w:t xml:space="preserve"> </w:t>
      </w:r>
      <w:r w:rsidRPr="00A1442F">
        <w:t>new</w:t>
      </w:r>
      <w:r w:rsidR="006252EF" w:rsidRPr="00A1442F">
        <w:t xml:space="preserve"> </w:t>
      </w:r>
      <w:r w:rsidRPr="00A1442F">
        <w:t>legislation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parental</w:t>
      </w:r>
      <w:r w:rsidR="006252EF" w:rsidRPr="00A1442F">
        <w:t xml:space="preserve"> </w:t>
      </w:r>
      <w:r w:rsidRPr="00A1442F">
        <w:t>leave</w:t>
      </w:r>
      <w:r w:rsidR="006252EF" w:rsidRPr="00A1442F">
        <w:t xml:space="preserve"> </w:t>
      </w:r>
      <w:r w:rsidRPr="00A1442F">
        <w:t>following</w:t>
      </w:r>
      <w:r w:rsidR="006252EF" w:rsidRPr="00A1442F">
        <w:t xml:space="preserve"> </w:t>
      </w:r>
      <w:r w:rsidRPr="00A1442F">
        <w:t>birth</w:t>
      </w:r>
      <w:r w:rsidR="006252EF" w:rsidRPr="00A1442F">
        <w:t xml:space="preserve"> </w:t>
      </w:r>
      <w:r w:rsidRPr="00A1442F">
        <w:t>or</w:t>
      </w:r>
      <w:r w:rsidR="006252EF" w:rsidRPr="00A1442F">
        <w:t xml:space="preserve"> </w:t>
      </w:r>
      <w:r w:rsidRPr="00A1442F">
        <w:t>adoption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designed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equalize</w:t>
      </w:r>
      <w:r w:rsidR="006252EF" w:rsidRPr="00A1442F">
        <w:t xml:space="preserve"> </w:t>
      </w:r>
      <w:r w:rsidRPr="00A1442F">
        <w:t>entitlements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make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option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taking</w:t>
      </w:r>
      <w:r w:rsidR="006252EF" w:rsidRPr="00A1442F">
        <w:t xml:space="preserve"> </w:t>
      </w:r>
      <w:r w:rsidRPr="00A1442F">
        <w:t>parental</w:t>
      </w:r>
      <w:r w:rsidR="006252EF" w:rsidRPr="00A1442F">
        <w:t xml:space="preserve"> </w:t>
      </w:r>
      <w:r w:rsidRPr="00A1442F">
        <w:t>leave</w:t>
      </w:r>
      <w:r w:rsidR="006252EF" w:rsidRPr="00A1442F">
        <w:t xml:space="preserve"> </w:t>
      </w:r>
      <w:r w:rsidRPr="00A1442F">
        <w:t>more</w:t>
      </w:r>
      <w:r w:rsidR="006252EF" w:rsidRPr="00A1442F">
        <w:t xml:space="preserve"> </w:t>
      </w:r>
      <w:r w:rsidRPr="00A1442F">
        <w:t>attractive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young</w:t>
      </w:r>
      <w:r w:rsidR="006252EF" w:rsidRPr="00A1442F">
        <w:t xml:space="preserve"> </w:t>
      </w:r>
      <w:r w:rsidRPr="00A1442F">
        <w:t>mothers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fathers</w:t>
      </w:r>
      <w:r w:rsidR="006252EF" w:rsidRPr="00A1442F">
        <w:t xml:space="preserve"> </w:t>
      </w:r>
      <w:r w:rsidRPr="00A1442F">
        <w:t>alike.</w:t>
      </w:r>
      <w:r w:rsidR="006252EF" w:rsidRPr="00A1442F">
        <w:t xml:space="preserve"> </w:t>
      </w:r>
      <w:r w:rsidRPr="00A1442F">
        <w:t>All</w:t>
      </w:r>
      <w:r w:rsidR="006252EF" w:rsidRPr="00A1442F">
        <w:t xml:space="preserve"> </w:t>
      </w:r>
      <w:r w:rsidRPr="00A1442F">
        <w:t>employees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both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public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private</w:t>
      </w:r>
      <w:r w:rsidR="006252EF" w:rsidRPr="00A1442F">
        <w:t xml:space="preserve"> </w:t>
      </w:r>
      <w:r w:rsidRPr="00A1442F">
        <w:t>sectors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now</w:t>
      </w:r>
      <w:r w:rsidR="006252EF" w:rsidRPr="00A1442F">
        <w:t xml:space="preserve"> </w:t>
      </w:r>
      <w:r w:rsidRPr="00A1442F">
        <w:t>entitled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paid</w:t>
      </w:r>
      <w:r w:rsidR="006252EF" w:rsidRPr="00A1442F">
        <w:t xml:space="preserve"> </w:t>
      </w:r>
      <w:r w:rsidRPr="00A1442F">
        <w:t>maternity</w:t>
      </w:r>
      <w:r w:rsidR="006252EF" w:rsidRPr="00A1442F">
        <w:t xml:space="preserve"> </w:t>
      </w:r>
      <w:r w:rsidRPr="00A1442F">
        <w:t>or</w:t>
      </w:r>
      <w:r w:rsidR="006252EF" w:rsidRPr="00A1442F">
        <w:t xml:space="preserve"> </w:t>
      </w:r>
      <w:r w:rsidRPr="00A1442F">
        <w:t>paternity</w:t>
      </w:r>
      <w:r w:rsidR="006252EF" w:rsidRPr="00A1442F">
        <w:t xml:space="preserve"> </w:t>
      </w:r>
      <w:r w:rsidRPr="00A1442F">
        <w:t>leave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receive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amount</w:t>
      </w:r>
      <w:r w:rsidR="006252EF" w:rsidRPr="00A1442F">
        <w:t xml:space="preserve"> </w:t>
      </w:r>
      <w:r w:rsidRPr="00A1442F">
        <w:t>at</w:t>
      </w:r>
      <w:r w:rsidR="006252EF" w:rsidRPr="00A1442F">
        <w:t xml:space="preserve"> </w:t>
      </w:r>
      <w:r w:rsidRPr="00A1442F">
        <w:t>least</w:t>
      </w:r>
      <w:r w:rsidR="006252EF" w:rsidRPr="00A1442F">
        <w:t xml:space="preserve"> </w:t>
      </w:r>
      <w:r w:rsidRPr="00A1442F">
        <w:t>equivalent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public</w:t>
      </w:r>
      <w:r w:rsidR="006252EF" w:rsidRPr="00A1442F">
        <w:t xml:space="preserve"> </w:t>
      </w:r>
      <w:r w:rsidRPr="00A1442F">
        <w:t>parental</w:t>
      </w:r>
      <w:r w:rsidR="006252EF" w:rsidRPr="00A1442F">
        <w:t xml:space="preserve"> </w:t>
      </w:r>
      <w:r w:rsidRPr="00A1442F">
        <w:t>benefit.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act</w:t>
      </w:r>
      <w:r w:rsidR="006252EF" w:rsidRPr="00A1442F">
        <w:t xml:space="preserve"> </w:t>
      </w:r>
      <w:r w:rsidRPr="00A1442F">
        <w:t>benefited</w:t>
      </w:r>
      <w:r w:rsidR="006252EF" w:rsidRPr="00A1442F">
        <w:t xml:space="preserve"> </w:t>
      </w:r>
      <w:r w:rsidRPr="00A1442F">
        <w:t>new</w:t>
      </w:r>
      <w:r w:rsidR="006252EF" w:rsidRPr="00A1442F">
        <w:t xml:space="preserve"> </w:t>
      </w:r>
      <w:r w:rsidRPr="00A1442F">
        <w:t>parents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several</w:t>
      </w:r>
      <w:r w:rsidR="006252EF" w:rsidRPr="00A1442F">
        <w:t xml:space="preserve"> </w:t>
      </w:r>
      <w:r w:rsidRPr="00A1442F">
        <w:t>ways,</w:t>
      </w:r>
      <w:r w:rsidR="006252EF" w:rsidRPr="00A1442F">
        <w:t xml:space="preserve"> </w:t>
      </w:r>
      <w:r w:rsidRPr="00A1442F">
        <w:t>offering</w:t>
      </w:r>
      <w:r w:rsidR="006252EF" w:rsidRPr="00A1442F">
        <w:t xml:space="preserve"> </w:t>
      </w:r>
      <w:r w:rsidRPr="00A1442F">
        <w:t>them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option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using</w:t>
      </w:r>
      <w:r w:rsidR="006252EF" w:rsidRPr="00A1442F">
        <w:t xml:space="preserve"> </w:t>
      </w:r>
      <w:r w:rsidRPr="00A1442F">
        <w:t>up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four</w:t>
      </w:r>
      <w:r w:rsidR="006252EF" w:rsidRPr="00A1442F">
        <w:t xml:space="preserve"> </w:t>
      </w:r>
      <w:r w:rsidRPr="00A1442F">
        <w:t>weeks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entitlement</w:t>
      </w:r>
      <w:r w:rsidR="006252EF" w:rsidRPr="00A1442F">
        <w:t xml:space="preserve"> </w:t>
      </w:r>
      <w:r w:rsidRPr="00A1442F">
        <w:t>flexibly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order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ease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transition</w:t>
      </w:r>
      <w:r w:rsidR="006252EF" w:rsidRPr="00A1442F">
        <w:t xml:space="preserve"> </w:t>
      </w:r>
      <w:r w:rsidRPr="00A1442F">
        <w:t>back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work.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leave</w:t>
      </w:r>
      <w:r w:rsidR="006252EF" w:rsidRPr="00A1442F">
        <w:t xml:space="preserve"> </w:t>
      </w:r>
      <w:r w:rsidRPr="00A1442F">
        <w:t>conditions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same-sex</w:t>
      </w:r>
      <w:r w:rsidR="006252EF" w:rsidRPr="00A1442F">
        <w:t xml:space="preserve"> </w:t>
      </w:r>
      <w:r w:rsidRPr="00A1442F">
        <w:t>parents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also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improved.</w:t>
      </w:r>
    </w:p>
    <w:p w14:paraId="771BF08F" w14:textId="412D55A4" w:rsidR="00603C5A" w:rsidRPr="00A1442F" w:rsidRDefault="00603C5A" w:rsidP="00A1442F">
      <w:pPr>
        <w:pStyle w:val="ParNoG"/>
      </w:pPr>
      <w:r w:rsidRPr="00A1442F">
        <w:t>Although</w:t>
      </w:r>
      <w:r w:rsidR="006252EF" w:rsidRPr="00A1442F">
        <w:t xml:space="preserve"> </w:t>
      </w:r>
      <w:r w:rsidRPr="00A1442F">
        <w:t>men</w:t>
      </w:r>
      <w:r w:rsidR="006252EF" w:rsidRPr="00A1442F">
        <w:t xml:space="preserve"> </w:t>
      </w:r>
      <w:r w:rsidRPr="00A1442F">
        <w:t>continued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earn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average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25</w:t>
      </w:r>
      <w:r w:rsidR="006252EF" w:rsidRPr="00A1442F">
        <w:t xml:space="preserve"> </w:t>
      </w:r>
      <w:r w:rsidRPr="00A1442F">
        <w:t>per</w:t>
      </w:r>
      <w:r w:rsidR="006252EF" w:rsidRPr="00A1442F">
        <w:t xml:space="preserve"> </w:t>
      </w:r>
      <w:r w:rsidRPr="00A1442F">
        <w:t>cent</w:t>
      </w:r>
      <w:r w:rsidR="006252EF" w:rsidRPr="00A1442F">
        <w:t xml:space="preserve"> </w:t>
      </w:r>
      <w:r w:rsidRPr="00A1442F">
        <w:t>more</w:t>
      </w:r>
      <w:r w:rsidR="006252EF" w:rsidRPr="00A1442F">
        <w:t xml:space="preserve"> </w:t>
      </w:r>
      <w:r w:rsidRPr="00A1442F">
        <w:t>than</w:t>
      </w:r>
      <w:r w:rsidR="006252EF" w:rsidRPr="00A1442F">
        <w:t xml:space="preserve"> </w:t>
      </w:r>
      <w:r w:rsidRPr="00A1442F">
        <w:t>women,</w:t>
      </w:r>
      <w:r w:rsidR="006252EF" w:rsidRPr="00A1442F">
        <w:t xml:space="preserve"> </w:t>
      </w:r>
      <w:r w:rsidRPr="00A1442F">
        <w:t>disposal</w:t>
      </w:r>
      <w:r w:rsidR="006252EF" w:rsidRPr="00A1442F">
        <w:t xml:space="preserve"> </w:t>
      </w:r>
      <w:r w:rsidRPr="00A1442F">
        <w:t>income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increased</w:t>
      </w:r>
      <w:r w:rsidR="006252EF" w:rsidRPr="00A1442F">
        <w:t xml:space="preserve"> </w:t>
      </w:r>
      <w:r w:rsidRPr="00A1442F">
        <w:t>by</w:t>
      </w:r>
      <w:r w:rsidR="006252EF" w:rsidRPr="00A1442F">
        <w:t xml:space="preserve"> </w:t>
      </w:r>
      <w:r w:rsidRPr="00A1442F">
        <w:t>7</w:t>
      </w:r>
      <w:r w:rsidR="006252EF" w:rsidRPr="00A1442F">
        <w:t xml:space="preserve"> </w:t>
      </w:r>
      <w:r w:rsidRPr="00A1442F">
        <w:t>per</w:t>
      </w:r>
      <w:r w:rsidR="006252EF" w:rsidRPr="00A1442F">
        <w:t xml:space="preserve"> </w:t>
      </w:r>
      <w:r w:rsidRPr="00A1442F">
        <w:t>cent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entire</w:t>
      </w:r>
      <w:r w:rsidR="006252EF" w:rsidRPr="00A1442F">
        <w:t xml:space="preserve"> </w:t>
      </w:r>
      <w:r w:rsidRPr="00A1442F">
        <w:t>population</w:t>
      </w:r>
      <w:r w:rsidR="006252EF" w:rsidRPr="00A1442F">
        <w:t xml:space="preserve"> </w:t>
      </w:r>
      <w:r w:rsidRPr="00A1442F">
        <w:t>since</w:t>
      </w:r>
      <w:r w:rsidR="006252EF" w:rsidRPr="00A1442F">
        <w:t xml:space="preserve"> </w:t>
      </w:r>
      <w:r w:rsidRPr="00A1442F">
        <w:t>2017,</w:t>
      </w:r>
      <w:r w:rsidR="006252EF" w:rsidRPr="00A1442F">
        <w:t xml:space="preserve"> </w:t>
      </w:r>
      <w:r w:rsidRPr="00A1442F">
        <w:t>with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enjoying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more</w:t>
      </w:r>
      <w:r w:rsidR="006252EF" w:rsidRPr="00A1442F">
        <w:t xml:space="preserve"> </w:t>
      </w:r>
      <w:r w:rsidRPr="00A1442F">
        <w:t>pronounced</w:t>
      </w:r>
      <w:r w:rsidR="006252EF" w:rsidRPr="00A1442F">
        <w:t xml:space="preserve"> </w:t>
      </w:r>
      <w:r w:rsidRPr="00A1442F">
        <w:t>increase</w:t>
      </w:r>
      <w:r w:rsidR="006252EF" w:rsidRPr="00A1442F">
        <w:t xml:space="preserve"> </w:t>
      </w:r>
      <w:r w:rsidRPr="00A1442F">
        <w:t>than</w:t>
      </w:r>
      <w:r w:rsidR="006252EF" w:rsidRPr="00A1442F">
        <w:t xml:space="preserve"> </w:t>
      </w:r>
      <w:r w:rsidRPr="00A1442F">
        <w:t>men.</w:t>
      </w:r>
      <w:r w:rsidR="006252EF" w:rsidRPr="00A1442F">
        <w:t xml:space="preserve"> </w:t>
      </w:r>
      <w:r w:rsidRPr="00A1442F">
        <w:t>Furthermore,</w:t>
      </w:r>
      <w:r w:rsidR="006252EF" w:rsidRPr="00A1442F">
        <w:t xml:space="preserve"> </w:t>
      </w:r>
      <w:r w:rsidRPr="00A1442F">
        <w:t>there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currently</w:t>
      </w:r>
      <w:r w:rsidR="006252EF" w:rsidRPr="00A1442F">
        <w:t xml:space="preserve"> </w:t>
      </w:r>
      <w:r w:rsidRPr="00A1442F">
        <w:t>fewer</w:t>
      </w:r>
      <w:r w:rsidR="006252EF" w:rsidRPr="00A1442F">
        <w:t xml:space="preserve"> </w:t>
      </w:r>
      <w:r w:rsidRPr="00A1442F">
        <w:t>unemployed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than</w:t>
      </w:r>
      <w:r w:rsidR="006252EF" w:rsidRPr="00A1442F">
        <w:t xml:space="preserve"> </w:t>
      </w:r>
      <w:r w:rsidRPr="00A1442F">
        <w:t>men:</w:t>
      </w:r>
      <w:r w:rsidR="006252EF" w:rsidRPr="00A1442F">
        <w:t xml:space="preserve"> </w:t>
      </w:r>
      <w:r w:rsidRPr="00A1442F">
        <w:t>employment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increased</w:t>
      </w:r>
      <w:r w:rsidR="006252EF" w:rsidRPr="00A1442F">
        <w:t xml:space="preserve"> </w:t>
      </w:r>
      <w:r w:rsidRPr="00A1442F">
        <w:t>slightly</w:t>
      </w:r>
      <w:r w:rsidR="006252EF" w:rsidRPr="00A1442F">
        <w:t xml:space="preserve"> </w:t>
      </w:r>
      <w:r w:rsidRPr="00A1442F">
        <w:t>among</w:t>
      </w:r>
      <w:r w:rsidR="006252EF" w:rsidRPr="00A1442F">
        <w:t xml:space="preserve"> </w:t>
      </w:r>
      <w:r w:rsidRPr="00A1442F">
        <w:t>both</w:t>
      </w:r>
      <w:r w:rsidR="006252EF" w:rsidRPr="00A1442F">
        <w:t xml:space="preserve"> </w:t>
      </w:r>
      <w:r w:rsidRPr="00A1442F">
        <w:t>sexes,</w:t>
      </w:r>
      <w:r w:rsidR="006252EF" w:rsidRPr="00A1442F">
        <w:t xml:space="preserve"> </w:t>
      </w:r>
      <w:r w:rsidRPr="00A1442F">
        <w:t>but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increase</w:t>
      </w:r>
      <w:r w:rsidR="006252EF" w:rsidRPr="00A1442F">
        <w:t xml:space="preserve"> </w:t>
      </w:r>
      <w:r w:rsidRPr="00A1442F">
        <w:t>among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marginally</w:t>
      </w:r>
      <w:r w:rsidR="006252EF" w:rsidRPr="00A1442F">
        <w:t xml:space="preserve"> </w:t>
      </w:r>
      <w:r w:rsidRPr="00A1442F">
        <w:t>greater.</w:t>
      </w:r>
    </w:p>
    <w:p w14:paraId="5B28A182" w14:textId="51DF8B19" w:rsidR="00603C5A" w:rsidRPr="00A1442F" w:rsidRDefault="00603C5A" w:rsidP="00A1442F">
      <w:pPr>
        <w:pStyle w:val="ParNoG"/>
      </w:pPr>
      <w:r w:rsidRPr="00A1442F">
        <w:t>There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also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slight</w:t>
      </w:r>
      <w:r w:rsidR="006252EF" w:rsidRPr="00A1442F">
        <w:t xml:space="preserve"> </w:t>
      </w:r>
      <w:r w:rsidRPr="00A1442F">
        <w:t>improvements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composition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boards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directors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government-owned</w:t>
      </w:r>
      <w:r w:rsidR="006252EF" w:rsidRPr="00A1442F">
        <w:t xml:space="preserve"> </w:t>
      </w:r>
      <w:r w:rsidRPr="00A1442F">
        <w:t>joint</w:t>
      </w:r>
      <w:r w:rsidR="006252EF" w:rsidRPr="00A1442F">
        <w:t xml:space="preserve"> </w:t>
      </w:r>
      <w:r w:rsidRPr="00A1442F">
        <w:t>stock</w:t>
      </w:r>
      <w:r w:rsidR="006252EF" w:rsidRPr="00A1442F">
        <w:t xml:space="preserve"> </w:t>
      </w:r>
      <w:r w:rsidRPr="00A1442F">
        <w:t>companies.</w:t>
      </w:r>
      <w:r w:rsidR="006252EF" w:rsidRPr="00A1442F">
        <w:t xml:space="preserve"> </w:t>
      </w:r>
      <w:r w:rsidRPr="00A1442F">
        <w:t>At</w:t>
      </w:r>
      <w:r w:rsidR="006252EF" w:rsidRPr="00A1442F">
        <w:t xml:space="preserve"> </w:t>
      </w:r>
      <w:r w:rsidRPr="00A1442F">
        <w:t>present,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accounted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46.6</w:t>
      </w:r>
      <w:r w:rsidR="006252EF" w:rsidRPr="00A1442F">
        <w:t xml:space="preserve"> </w:t>
      </w:r>
      <w:r w:rsidRPr="00A1442F">
        <w:t>per</w:t>
      </w:r>
      <w:r w:rsidR="006252EF" w:rsidRPr="00A1442F">
        <w:t xml:space="preserve"> </w:t>
      </w:r>
      <w:r w:rsidRPr="00A1442F">
        <w:t>cent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71</w:t>
      </w:r>
      <w:r w:rsidR="006252EF" w:rsidRPr="00A1442F">
        <w:t xml:space="preserve"> </w:t>
      </w:r>
      <w:r w:rsidRPr="00A1442F">
        <w:t>members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those</w:t>
      </w:r>
      <w:r w:rsidR="006252EF" w:rsidRPr="00A1442F">
        <w:t xml:space="preserve"> </w:t>
      </w:r>
      <w:r w:rsidRPr="00A1442F">
        <w:t>boards,</w:t>
      </w:r>
      <w:r w:rsidR="006252EF" w:rsidRPr="00A1442F">
        <w:t xml:space="preserve"> </w:t>
      </w:r>
      <w:r w:rsidRPr="00A1442F">
        <w:t>but</w:t>
      </w:r>
      <w:r w:rsidR="006252EF" w:rsidRPr="00A1442F">
        <w:t xml:space="preserve"> </w:t>
      </w:r>
      <w:r w:rsidRPr="00A1442F">
        <w:t>between</w:t>
      </w:r>
      <w:r w:rsidR="006252EF" w:rsidRPr="00A1442F">
        <w:t xml:space="preserve"> </w:t>
      </w:r>
      <w:r w:rsidRPr="00A1442F">
        <w:t>2015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2018</w:t>
      </w:r>
      <w:r w:rsidR="006252EF" w:rsidRPr="00A1442F">
        <w:t xml:space="preserve"> </w:t>
      </w:r>
      <w:r w:rsidRPr="00A1442F">
        <w:t>they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held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lastRenderedPageBreak/>
        <w:t>majority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board</w:t>
      </w:r>
      <w:r w:rsidR="006252EF" w:rsidRPr="00A1442F">
        <w:t xml:space="preserve"> </w:t>
      </w:r>
      <w:r w:rsidRPr="00A1442F">
        <w:t>positions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5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14</w:t>
      </w:r>
      <w:r w:rsidR="006252EF" w:rsidRPr="00A1442F">
        <w:t xml:space="preserve"> </w:t>
      </w:r>
      <w:r w:rsidRPr="00A1442F">
        <w:t>boards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chaired</w:t>
      </w:r>
      <w:r w:rsidR="006252EF" w:rsidRPr="00A1442F">
        <w:t xml:space="preserve"> </w:t>
      </w:r>
      <w:r w:rsidRPr="00A1442F">
        <w:t>by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woman.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January</w:t>
      </w:r>
      <w:r w:rsidR="006252EF" w:rsidRPr="00A1442F">
        <w:t xml:space="preserve"> </w:t>
      </w:r>
      <w:r w:rsidRPr="00A1442F">
        <w:t>2021,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launched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new</w:t>
      </w:r>
      <w:r w:rsidR="006252EF" w:rsidRPr="00A1442F">
        <w:t xml:space="preserve"> </w:t>
      </w:r>
      <w:r w:rsidRPr="00A1442F">
        <w:t>recruitment</w:t>
      </w:r>
      <w:r w:rsidR="006252EF" w:rsidRPr="00A1442F">
        <w:t xml:space="preserve"> </w:t>
      </w:r>
      <w:r w:rsidRPr="00A1442F">
        <w:t>portal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make</w:t>
      </w:r>
      <w:r w:rsidR="006252EF" w:rsidRPr="00A1442F">
        <w:t xml:space="preserve"> </w:t>
      </w:r>
      <w:r w:rsidRPr="00A1442F">
        <w:t>it</w:t>
      </w:r>
      <w:r w:rsidR="006252EF" w:rsidRPr="00A1442F">
        <w:t xml:space="preserve"> </w:t>
      </w:r>
      <w:r w:rsidRPr="00A1442F">
        <w:t>easier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potential</w:t>
      </w:r>
      <w:r w:rsidR="006252EF" w:rsidRPr="00A1442F">
        <w:t xml:space="preserve"> </w:t>
      </w:r>
      <w:r w:rsidRPr="00A1442F">
        <w:t>candidates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register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interest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joining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board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joint</w:t>
      </w:r>
      <w:r w:rsidR="006252EF" w:rsidRPr="00A1442F">
        <w:t xml:space="preserve"> </w:t>
      </w:r>
      <w:r w:rsidRPr="00A1442F">
        <w:t>stock</w:t>
      </w:r>
      <w:r w:rsidR="006252EF" w:rsidRPr="00A1442F">
        <w:t xml:space="preserve"> </w:t>
      </w:r>
      <w:r w:rsidRPr="00A1442F">
        <w:t>company</w:t>
      </w:r>
      <w:r w:rsidR="006252EF" w:rsidRPr="00A1442F">
        <w:t xml:space="preserve"> </w:t>
      </w:r>
      <w:r w:rsidRPr="00A1442F">
        <w:t>while</w:t>
      </w:r>
      <w:r w:rsidR="006252EF" w:rsidRPr="00A1442F">
        <w:t xml:space="preserve"> </w:t>
      </w:r>
      <w:r w:rsidRPr="00A1442F">
        <w:t>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same</w:t>
      </w:r>
      <w:r w:rsidR="006252EF" w:rsidRPr="00A1442F">
        <w:t xml:space="preserve"> </w:t>
      </w:r>
      <w:r w:rsidRPr="00A1442F">
        <w:t>time</w:t>
      </w:r>
      <w:r w:rsidR="006252EF" w:rsidRPr="00A1442F">
        <w:t xml:space="preserve"> </w:t>
      </w:r>
      <w:r w:rsidRPr="00A1442F">
        <w:t>promoting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more</w:t>
      </w:r>
      <w:r w:rsidR="006252EF" w:rsidRPr="00A1442F">
        <w:t xml:space="preserve"> </w:t>
      </w:r>
      <w:r w:rsidRPr="00A1442F">
        <w:t>even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balance</w:t>
      </w:r>
      <w:r w:rsidR="006252EF" w:rsidRPr="00A1442F">
        <w:t xml:space="preserve"> </w:t>
      </w:r>
      <w:r w:rsidRPr="00A1442F">
        <w:t>among</w:t>
      </w:r>
      <w:r w:rsidR="006252EF" w:rsidRPr="00A1442F">
        <w:t xml:space="preserve"> </w:t>
      </w:r>
      <w:r w:rsidRPr="00A1442F">
        <w:t>board</w:t>
      </w:r>
      <w:r w:rsidR="006252EF" w:rsidRPr="00A1442F">
        <w:t xml:space="preserve"> </w:t>
      </w:r>
      <w:r w:rsidRPr="00A1442F">
        <w:t>members.</w:t>
      </w:r>
      <w:r w:rsidR="006252EF" w:rsidRPr="00A1442F">
        <w:t xml:space="preserve"> </w:t>
      </w:r>
      <w:r w:rsidRPr="00A1442F">
        <w:t>So</w:t>
      </w:r>
      <w:r w:rsidR="006252EF" w:rsidRPr="00A1442F">
        <w:t xml:space="preserve"> </w:t>
      </w:r>
      <w:r w:rsidRPr="00A1442F">
        <w:t>far,</w:t>
      </w:r>
      <w:r w:rsidR="006252EF" w:rsidRPr="00A1442F">
        <w:t xml:space="preserve"> </w:t>
      </w:r>
      <w:r w:rsidRPr="00A1442F">
        <w:t>99</w:t>
      </w:r>
      <w:r w:rsidR="006252EF" w:rsidRPr="00A1442F">
        <w:t xml:space="preserve"> </w:t>
      </w:r>
      <w:r w:rsidRPr="00A1442F">
        <w:t>male</w:t>
      </w:r>
      <w:r w:rsidR="006252EF" w:rsidRPr="00A1442F">
        <w:t xml:space="preserve"> </w:t>
      </w:r>
      <w:r w:rsidRPr="00A1442F">
        <w:t>candidates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53</w:t>
      </w:r>
      <w:r w:rsidR="006252EF" w:rsidRPr="00A1442F">
        <w:t xml:space="preserve"> </w:t>
      </w:r>
      <w:r w:rsidRPr="00A1442F">
        <w:t>female</w:t>
      </w:r>
      <w:r w:rsidR="006252EF" w:rsidRPr="00A1442F">
        <w:t xml:space="preserve"> </w:t>
      </w:r>
      <w:r w:rsidRPr="00A1442F">
        <w:t>candidates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registered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interest.</w:t>
      </w:r>
    </w:p>
    <w:p w14:paraId="459B2BD9" w14:textId="733BA661" w:rsidR="00603C5A" w:rsidRPr="00A1442F" w:rsidRDefault="00603C5A" w:rsidP="00A1442F">
      <w:pPr>
        <w:pStyle w:val="ParNoG"/>
      </w:pPr>
      <w:r w:rsidRPr="00A1442F">
        <w:rPr>
          <w:b/>
          <w:bCs/>
        </w:rPr>
        <w:t>Ms.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Blaasvær</w:t>
      </w:r>
      <w:r w:rsidR="006252EF" w:rsidRPr="00A1442F">
        <w:t xml:space="preserve"> </w:t>
      </w:r>
      <w:r w:rsidRPr="00A1442F">
        <w:t>(Faroe</w:t>
      </w:r>
      <w:r w:rsidR="006252EF" w:rsidRPr="00A1442F">
        <w:t xml:space="preserve"> </w:t>
      </w:r>
      <w:r w:rsidRPr="00A1442F">
        <w:t>Islands,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that,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Faroe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assumed</w:t>
      </w:r>
      <w:r w:rsidR="006252EF" w:rsidRPr="00A1442F">
        <w:t xml:space="preserve"> </w:t>
      </w:r>
      <w:r w:rsidRPr="00A1442F">
        <w:t>full</w:t>
      </w:r>
      <w:r w:rsidR="006252EF" w:rsidRPr="00A1442F">
        <w:t xml:space="preserve"> </w:t>
      </w:r>
      <w:r w:rsidRPr="00A1442F">
        <w:t>competency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legislation</w:t>
      </w:r>
      <w:r w:rsidR="006252EF" w:rsidRPr="00A1442F">
        <w:t xml:space="preserve"> </w:t>
      </w:r>
      <w:r w:rsidRPr="00A1442F">
        <w:t>governing</w:t>
      </w:r>
      <w:r w:rsidR="006252EF" w:rsidRPr="00A1442F">
        <w:t xml:space="preserve"> </w:t>
      </w:r>
      <w:r w:rsidRPr="00A1442F">
        <w:t>abortion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July</w:t>
      </w:r>
      <w:r w:rsidR="006252EF" w:rsidRPr="00A1442F">
        <w:t xml:space="preserve"> </w:t>
      </w:r>
      <w:r w:rsidRPr="00A1442F">
        <w:t>2018,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question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whether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legislation</w:t>
      </w:r>
      <w:r w:rsidR="006252EF" w:rsidRPr="00A1442F">
        <w:t xml:space="preserve"> </w:t>
      </w:r>
      <w:r w:rsidRPr="00A1442F">
        <w:t>should</w:t>
      </w:r>
      <w:r w:rsidR="006252EF" w:rsidRPr="00A1442F">
        <w:t xml:space="preserve"> </w:t>
      </w:r>
      <w:r w:rsidRPr="00A1442F">
        <w:t>be</w:t>
      </w:r>
      <w:r w:rsidR="006252EF" w:rsidRPr="00A1442F">
        <w:t xml:space="preserve"> </w:t>
      </w:r>
      <w:r w:rsidRPr="00A1442F">
        <w:t>aligned</w:t>
      </w:r>
      <w:r w:rsidR="006252EF" w:rsidRPr="00A1442F">
        <w:t xml:space="preserve"> </w:t>
      </w:r>
      <w:r w:rsidRPr="00A1442F">
        <w:t>with</w:t>
      </w:r>
      <w:r w:rsidR="006252EF" w:rsidRPr="00A1442F">
        <w:t xml:space="preserve"> </w:t>
      </w:r>
      <w:r w:rsidRPr="00A1442F">
        <w:t>current</w:t>
      </w:r>
      <w:r w:rsidR="006252EF" w:rsidRPr="00A1442F">
        <w:t xml:space="preserve"> </w:t>
      </w:r>
      <w:r w:rsidRPr="00A1442F">
        <w:t>Danish</w:t>
      </w:r>
      <w:r w:rsidR="006252EF" w:rsidRPr="00A1442F">
        <w:t xml:space="preserve"> </w:t>
      </w:r>
      <w:r w:rsidRPr="00A1442F">
        <w:t>legislation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require</w:t>
      </w:r>
      <w:r w:rsidR="006252EF" w:rsidRPr="00A1442F">
        <w:t xml:space="preserve"> </w:t>
      </w:r>
      <w:r w:rsidRPr="00A1442F">
        <w:t>some</w:t>
      </w:r>
      <w:r w:rsidR="006252EF" w:rsidRPr="00A1442F">
        <w:t xml:space="preserve"> </w:t>
      </w:r>
      <w:r w:rsidRPr="00A1442F">
        <w:t>discussion.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meantime,</w:t>
      </w:r>
      <w:r w:rsidR="006252EF" w:rsidRPr="00A1442F">
        <w:t xml:space="preserve"> </w:t>
      </w:r>
      <w:r w:rsidRPr="00A1442F">
        <w:t>all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girls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Faroe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access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safe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legal</w:t>
      </w:r>
      <w:r w:rsidR="006252EF" w:rsidRPr="00A1442F">
        <w:t xml:space="preserve"> </w:t>
      </w:r>
      <w:r w:rsidRPr="00A1442F">
        <w:t>abortion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cases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rape,</w:t>
      </w:r>
      <w:r w:rsidR="006252EF" w:rsidRPr="00A1442F">
        <w:t xml:space="preserve"> </w:t>
      </w:r>
      <w:r w:rsidRPr="00A1442F">
        <w:t>incest,</w:t>
      </w:r>
      <w:r w:rsidR="006252EF" w:rsidRPr="00A1442F">
        <w:t xml:space="preserve"> </w:t>
      </w:r>
      <w:r w:rsidRPr="00A1442F">
        <w:t>threats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women</w:t>
      </w:r>
      <w:r w:rsidR="00C6067F">
        <w:t>’</w:t>
      </w:r>
      <w:r w:rsidRPr="00A1442F">
        <w:t>s</w:t>
      </w:r>
      <w:r w:rsidR="006252EF" w:rsidRPr="00A1442F">
        <w:t xml:space="preserve"> </w:t>
      </w:r>
      <w:r w:rsidRPr="00A1442F">
        <w:t>life</w:t>
      </w:r>
      <w:r w:rsidR="006252EF" w:rsidRPr="00A1442F">
        <w:t xml:space="preserve"> </w:t>
      </w:r>
      <w:r w:rsidRPr="00A1442F">
        <w:t>or</w:t>
      </w:r>
      <w:r w:rsidR="006252EF" w:rsidRPr="00A1442F">
        <w:t xml:space="preserve"> </w:t>
      </w:r>
      <w:r w:rsidRPr="00A1442F">
        <w:t>health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severe</w:t>
      </w:r>
      <w:r w:rsidR="006252EF" w:rsidRPr="00A1442F">
        <w:t xml:space="preserve"> </w:t>
      </w:r>
      <w:r w:rsidRPr="00A1442F">
        <w:t>fetal</w:t>
      </w:r>
      <w:r w:rsidR="006252EF" w:rsidRPr="00A1442F">
        <w:t xml:space="preserve"> </w:t>
      </w:r>
      <w:r w:rsidRPr="00A1442F">
        <w:t>abnormality.</w:t>
      </w:r>
    </w:p>
    <w:p w14:paraId="6CEE0BFB" w14:textId="1E430046" w:rsidR="00603C5A" w:rsidRPr="00A1442F" w:rsidRDefault="00603C5A" w:rsidP="00A1442F">
      <w:pPr>
        <w:pStyle w:val="ParNoG"/>
      </w:pPr>
      <w:r w:rsidRPr="00A1442F">
        <w:rPr>
          <w:b/>
          <w:bCs/>
        </w:rPr>
        <w:t>Ms.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Ludvíksdóttir</w:t>
      </w:r>
      <w:r w:rsidR="006252EF" w:rsidRPr="00A1442F">
        <w:t xml:space="preserve"> </w:t>
      </w:r>
      <w:r w:rsidRPr="00A1442F">
        <w:t>(Faroe</w:t>
      </w:r>
      <w:r w:rsidR="006252EF" w:rsidRPr="00A1442F">
        <w:t xml:space="preserve"> </w:t>
      </w:r>
      <w:r w:rsidRPr="00A1442F">
        <w:t>Islands,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research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statistical</w:t>
      </w:r>
      <w:r w:rsidR="006252EF" w:rsidRPr="00A1442F">
        <w:t xml:space="preserve"> </w:t>
      </w:r>
      <w:r w:rsidRPr="00A1442F">
        <w:t>analysis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access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psychological</w:t>
      </w:r>
      <w:r w:rsidR="006252EF" w:rsidRPr="00A1442F">
        <w:t xml:space="preserve"> </w:t>
      </w:r>
      <w:r w:rsidRPr="00A1442F">
        <w:t>effects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COVID-19-related</w:t>
      </w:r>
      <w:r w:rsidR="006252EF" w:rsidRPr="00A1442F">
        <w:t xml:space="preserve"> </w:t>
      </w:r>
      <w:r w:rsidRPr="00A1442F">
        <w:t>isolation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under</w:t>
      </w:r>
      <w:r w:rsidR="006252EF" w:rsidRPr="00A1442F">
        <w:t xml:space="preserve"> </w:t>
      </w:r>
      <w:r w:rsidRPr="00A1442F">
        <w:t>way</w:t>
      </w:r>
      <w:r w:rsidR="006252EF" w:rsidRPr="00A1442F">
        <w:t xml:space="preserve"> </w:t>
      </w:r>
      <w:r w:rsidRPr="00A1442F">
        <w:t>but</w:t>
      </w:r>
      <w:r w:rsidR="006252EF" w:rsidRPr="00A1442F">
        <w:t xml:space="preserve"> </w:t>
      </w:r>
      <w:r w:rsidRPr="00A1442F">
        <w:t>that,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date,</w:t>
      </w:r>
      <w:r w:rsidR="006252EF" w:rsidRPr="00A1442F">
        <w:t xml:space="preserve"> </w:t>
      </w:r>
      <w:r w:rsidRPr="00A1442F">
        <w:t>no</w:t>
      </w:r>
      <w:r w:rsidR="006252EF" w:rsidRPr="00A1442F">
        <w:t xml:space="preserve"> </w:t>
      </w:r>
      <w:r w:rsidRPr="00A1442F">
        <w:t>clear</w:t>
      </w:r>
      <w:r w:rsidR="006252EF" w:rsidRPr="00A1442F">
        <w:t xml:space="preserve"> </w:t>
      </w:r>
      <w:r w:rsidRPr="00A1442F">
        <w:t>deterioration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women</w:t>
      </w:r>
      <w:r w:rsidR="00C6067F">
        <w:t>’</w:t>
      </w:r>
      <w:r w:rsidRPr="00A1442F">
        <w:t>s</w:t>
      </w:r>
      <w:r w:rsidR="006252EF" w:rsidRPr="00A1442F">
        <w:t xml:space="preserve"> </w:t>
      </w:r>
      <w:r w:rsidRPr="00A1442F">
        <w:t>mental</w:t>
      </w:r>
      <w:r w:rsidR="006252EF" w:rsidRPr="00A1442F">
        <w:t xml:space="preserve"> </w:t>
      </w:r>
      <w:r w:rsidRPr="00A1442F">
        <w:t>health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identified,</w:t>
      </w:r>
      <w:r w:rsidR="006252EF" w:rsidRPr="00A1442F">
        <w:t xml:space="preserve"> </w:t>
      </w:r>
      <w:r w:rsidRPr="00A1442F">
        <w:t>possibly</w:t>
      </w:r>
      <w:r w:rsidR="006252EF" w:rsidRPr="00A1442F">
        <w:t xml:space="preserve"> </w:t>
      </w:r>
      <w:r w:rsidRPr="00A1442F">
        <w:t>because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lockdown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Faroe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less</w:t>
      </w:r>
      <w:r w:rsidR="006252EF" w:rsidRPr="00A1442F">
        <w:t xml:space="preserve"> </w:t>
      </w:r>
      <w:r w:rsidRPr="00A1442F">
        <w:t>severe</w:t>
      </w:r>
      <w:r w:rsidR="006252EF" w:rsidRPr="00A1442F">
        <w:t xml:space="preserve"> </w:t>
      </w:r>
      <w:r w:rsidRPr="00A1442F">
        <w:t>than</w:t>
      </w:r>
      <w:r w:rsidR="006252EF" w:rsidRPr="00A1442F">
        <w:t xml:space="preserve"> </w:t>
      </w:r>
      <w:r w:rsidRPr="00A1442F">
        <w:t>elsewhere.</w:t>
      </w:r>
      <w:r w:rsidR="006252EF" w:rsidRPr="00A1442F">
        <w:t xml:space="preserve"> </w:t>
      </w:r>
      <w:r w:rsidRPr="00A1442F">
        <w:t>Furthermore,</w:t>
      </w:r>
      <w:r w:rsidR="006252EF" w:rsidRPr="00A1442F">
        <w:t xml:space="preserve"> </w:t>
      </w:r>
      <w:r w:rsidRPr="00A1442F">
        <w:t>there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various</w:t>
      </w:r>
      <w:r w:rsidR="006252EF" w:rsidRPr="00A1442F">
        <w:t xml:space="preserve"> </w:t>
      </w:r>
      <w:r w:rsidRPr="00A1442F">
        <w:t>programmes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place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help</w:t>
      </w:r>
      <w:r w:rsidR="006252EF" w:rsidRPr="00A1442F">
        <w:t xml:space="preserve"> </w:t>
      </w:r>
      <w:r w:rsidRPr="00A1442F">
        <w:t>persons</w:t>
      </w:r>
      <w:r w:rsidR="006252EF" w:rsidRPr="00A1442F">
        <w:t xml:space="preserve"> </w:t>
      </w:r>
      <w:r w:rsidRPr="00A1442F">
        <w:t>experiencing</w:t>
      </w:r>
      <w:r w:rsidR="006252EF" w:rsidRPr="00A1442F">
        <w:t xml:space="preserve"> </w:t>
      </w:r>
      <w:r w:rsidRPr="00A1442F">
        <w:t>isolation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other</w:t>
      </w:r>
      <w:r w:rsidR="006252EF" w:rsidRPr="00A1442F">
        <w:t xml:space="preserve"> </w:t>
      </w:r>
      <w:r w:rsidRPr="00A1442F">
        <w:t>mental</w:t>
      </w:r>
      <w:r w:rsidR="006252EF" w:rsidRPr="00A1442F">
        <w:t xml:space="preserve"> </w:t>
      </w:r>
      <w:r w:rsidRPr="00A1442F">
        <w:t>health</w:t>
      </w:r>
      <w:r w:rsidR="006252EF" w:rsidRPr="00A1442F">
        <w:t xml:space="preserve"> </w:t>
      </w:r>
      <w:r w:rsidRPr="00A1442F">
        <w:t>problems.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2019,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Council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Public</w:t>
      </w:r>
      <w:r w:rsidR="006252EF" w:rsidRPr="00A1442F">
        <w:t xml:space="preserve"> </w:t>
      </w:r>
      <w:r w:rsidRPr="00A1442F">
        <w:t>Health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launched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="00C6067F">
        <w:t>“</w:t>
      </w:r>
      <w:r w:rsidRPr="00A1442F">
        <w:t>ABC</w:t>
      </w:r>
      <w:r w:rsidR="006252EF" w:rsidRPr="00A1442F">
        <w:t xml:space="preserve"> </w:t>
      </w:r>
      <w:r w:rsidRPr="00A1442F">
        <w:t>(Act-Belong-Commit)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Mental</w:t>
      </w:r>
      <w:r w:rsidR="006252EF" w:rsidRPr="00A1442F">
        <w:t xml:space="preserve"> </w:t>
      </w:r>
      <w:r w:rsidRPr="00A1442F">
        <w:t>Health</w:t>
      </w:r>
      <w:r w:rsidR="00C6067F">
        <w:t>”</w:t>
      </w:r>
      <w:r w:rsidR="006252EF" w:rsidRPr="00A1442F">
        <w:t xml:space="preserve"> </w:t>
      </w:r>
      <w:r w:rsidRPr="00A1442F">
        <w:t>programme</w:t>
      </w:r>
      <w:r w:rsidR="006252EF" w:rsidRPr="00A1442F">
        <w:t xml:space="preserve"> </w:t>
      </w:r>
      <w:r w:rsidRPr="00A1442F">
        <w:t>and,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2020,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law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free</w:t>
      </w:r>
      <w:r w:rsidR="006252EF" w:rsidRPr="00A1442F">
        <w:t xml:space="preserve"> </w:t>
      </w:r>
      <w:r w:rsidRPr="00A1442F">
        <w:t>psychological</w:t>
      </w:r>
      <w:r w:rsidR="006252EF" w:rsidRPr="00A1442F">
        <w:t xml:space="preserve"> </w:t>
      </w:r>
      <w:r w:rsidRPr="00A1442F">
        <w:t>assistance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young</w:t>
      </w:r>
      <w:r w:rsidR="006252EF" w:rsidRPr="00A1442F">
        <w:t xml:space="preserve"> </w:t>
      </w:r>
      <w:r w:rsidRPr="00A1442F">
        <w:t>persons</w:t>
      </w:r>
      <w:r w:rsidR="006252EF" w:rsidRPr="00A1442F">
        <w:t xml:space="preserve"> </w:t>
      </w:r>
      <w:r w:rsidRPr="00A1442F">
        <w:t>aged</w:t>
      </w:r>
      <w:r w:rsidR="006252EF" w:rsidRPr="00A1442F">
        <w:t xml:space="preserve"> </w:t>
      </w:r>
      <w:r w:rsidRPr="00A1442F">
        <w:t>between</w:t>
      </w:r>
      <w:r w:rsidR="006252EF" w:rsidRPr="00A1442F">
        <w:t xml:space="preserve"> </w:t>
      </w:r>
      <w:r w:rsidRPr="00A1442F">
        <w:t>13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35</w:t>
      </w:r>
      <w:r w:rsidR="006252EF" w:rsidRPr="00A1442F">
        <w:t xml:space="preserve"> </w:t>
      </w:r>
      <w:r w:rsidRPr="00A1442F">
        <w:t>who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suffering</w:t>
      </w:r>
      <w:r w:rsidR="006252EF" w:rsidRPr="00A1442F">
        <w:t xml:space="preserve"> </w:t>
      </w:r>
      <w:r w:rsidRPr="00A1442F">
        <w:t>from</w:t>
      </w:r>
      <w:r w:rsidR="006252EF" w:rsidRPr="00A1442F">
        <w:t xml:space="preserve"> </w:t>
      </w:r>
      <w:r w:rsidRPr="00A1442F">
        <w:t>anxiety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mild</w:t>
      </w:r>
      <w:r w:rsidR="006252EF" w:rsidRPr="00A1442F">
        <w:t xml:space="preserve"> </w:t>
      </w:r>
      <w:r w:rsidRPr="00A1442F">
        <w:t>depression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taken</w:t>
      </w:r>
      <w:r w:rsidR="006252EF" w:rsidRPr="00A1442F">
        <w:t xml:space="preserve"> </w:t>
      </w:r>
      <w:r w:rsidRPr="00A1442F">
        <w:t>effect,</w:t>
      </w:r>
      <w:r w:rsidR="006252EF" w:rsidRPr="00A1442F">
        <w:t xml:space="preserve"> </w:t>
      </w:r>
      <w:r w:rsidRPr="00A1442F">
        <w:t>fulfilling</w:t>
      </w:r>
      <w:r w:rsidR="006252EF" w:rsidRPr="00A1442F">
        <w:t xml:space="preserve"> </w:t>
      </w:r>
      <w:r w:rsidRPr="00A1442F">
        <w:t>recommendations</w:t>
      </w:r>
      <w:r w:rsidR="006252EF" w:rsidRPr="00A1442F">
        <w:t xml:space="preserve"> </w:t>
      </w:r>
      <w:r w:rsidRPr="00A1442F">
        <w:t>contained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national</w:t>
      </w:r>
      <w:r w:rsidR="006252EF" w:rsidRPr="00A1442F">
        <w:t xml:space="preserve"> </w:t>
      </w:r>
      <w:r w:rsidRPr="00A1442F">
        <w:t>mental</w:t>
      </w:r>
      <w:r w:rsidR="006252EF" w:rsidRPr="00A1442F">
        <w:t xml:space="preserve"> </w:t>
      </w:r>
      <w:r w:rsidRPr="00A1442F">
        <w:t>health</w:t>
      </w:r>
      <w:r w:rsidR="006252EF" w:rsidRPr="00A1442F">
        <w:t xml:space="preserve"> </w:t>
      </w:r>
      <w:r w:rsidRPr="00A1442F">
        <w:t>action</w:t>
      </w:r>
      <w:r w:rsidR="006252EF" w:rsidRPr="00A1442F">
        <w:t xml:space="preserve"> </w:t>
      </w:r>
      <w:r w:rsidRPr="00A1442F">
        <w:t>plan</w:t>
      </w:r>
      <w:r w:rsidR="006252EF" w:rsidRPr="00A1442F">
        <w:t xml:space="preserve"> </w:t>
      </w:r>
      <w:r w:rsidRPr="00A1442F">
        <w:t>launched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2018.</w:t>
      </w:r>
    </w:p>
    <w:p w14:paraId="034E8876" w14:textId="530ABBC1" w:rsidR="00603C5A" w:rsidRPr="00A1442F" w:rsidRDefault="00603C5A" w:rsidP="00A1442F">
      <w:pPr>
        <w:pStyle w:val="ParNoG"/>
      </w:pPr>
      <w:r w:rsidRPr="00A1442F">
        <w:rPr>
          <w:b/>
          <w:bCs/>
        </w:rPr>
        <w:t>Ms.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Tisheva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like</w:t>
      </w:r>
      <w:r w:rsidR="006252EF" w:rsidRPr="00A1442F">
        <w:t xml:space="preserve"> </w:t>
      </w:r>
      <w:r w:rsidRPr="00A1442F">
        <w:t>information</w:t>
      </w:r>
      <w:r w:rsidR="006252EF" w:rsidRPr="00A1442F">
        <w:t xml:space="preserve"> </w:t>
      </w:r>
      <w:r w:rsidRPr="00A1442F">
        <w:t>about</w:t>
      </w:r>
      <w:r w:rsidR="006252EF" w:rsidRPr="00A1442F">
        <w:t xml:space="preserve"> </w:t>
      </w:r>
      <w:r w:rsidRPr="00A1442F">
        <w:t>specific</w:t>
      </w:r>
      <w:r w:rsidR="006252EF" w:rsidRPr="00A1442F">
        <w:t xml:space="preserve"> </w:t>
      </w:r>
      <w:r w:rsidRPr="00A1442F">
        <w:t>measures</w:t>
      </w:r>
      <w:r w:rsidR="006252EF" w:rsidRPr="00A1442F">
        <w:t xml:space="preserve"> </w:t>
      </w:r>
      <w:r w:rsidRPr="00A1442F">
        <w:t>taken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combat</w:t>
      </w:r>
      <w:r w:rsidR="006252EF" w:rsidRPr="00A1442F">
        <w:t xml:space="preserve"> </w:t>
      </w:r>
      <w:r w:rsidRPr="00A1442F">
        <w:t>sexual</w:t>
      </w:r>
      <w:r w:rsidR="006252EF" w:rsidRPr="00A1442F">
        <w:t xml:space="preserve"> </w:t>
      </w:r>
      <w:r w:rsidRPr="00A1442F">
        <w:t>harassment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Greenland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Faroe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given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increased</w:t>
      </w:r>
      <w:r w:rsidR="006252EF" w:rsidRPr="00A1442F">
        <w:t xml:space="preserve"> </w:t>
      </w:r>
      <w:r w:rsidRPr="00A1442F">
        <w:t>prevalence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sexual</w:t>
      </w:r>
      <w:r w:rsidR="006252EF" w:rsidRPr="00A1442F">
        <w:t xml:space="preserve"> </w:t>
      </w:r>
      <w:r w:rsidRPr="00A1442F">
        <w:t>violence</w:t>
      </w:r>
      <w:r w:rsidR="006252EF" w:rsidRPr="00A1442F">
        <w:t xml:space="preserve"> </w:t>
      </w:r>
      <w:r w:rsidRPr="00A1442F">
        <w:t>generally.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particularly</w:t>
      </w:r>
      <w:r w:rsidR="006252EF" w:rsidRPr="00A1442F">
        <w:t xml:space="preserve"> </w:t>
      </w:r>
      <w:r w:rsidRPr="00A1442F">
        <w:t>wished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know</w:t>
      </w:r>
      <w:r w:rsidR="006252EF" w:rsidRPr="00A1442F">
        <w:t xml:space="preserve"> </w:t>
      </w:r>
      <w:r w:rsidRPr="00A1442F">
        <w:t>whether</w:t>
      </w:r>
      <w:r w:rsidR="006252EF" w:rsidRPr="00A1442F">
        <w:t xml:space="preserve"> </w:t>
      </w:r>
      <w:r w:rsidRPr="00A1442F">
        <w:t>complaints</w:t>
      </w:r>
      <w:r w:rsidR="006252EF" w:rsidRPr="00A1442F">
        <w:t xml:space="preserve"> </w:t>
      </w:r>
      <w:r w:rsidRPr="00A1442F">
        <w:t>mechanisms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effective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victims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unobstructed</w:t>
      </w:r>
      <w:r w:rsidR="006252EF" w:rsidRPr="00A1442F">
        <w:t xml:space="preserve"> </w:t>
      </w:r>
      <w:r w:rsidRPr="00A1442F">
        <w:t>access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justice,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whether</w:t>
      </w:r>
      <w:r w:rsidR="006252EF" w:rsidRPr="00A1442F">
        <w:t xml:space="preserve"> </w:t>
      </w:r>
      <w:r w:rsidRPr="00A1442F">
        <w:t>data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such</w:t>
      </w:r>
      <w:r w:rsidR="006252EF" w:rsidRPr="00A1442F">
        <w:t xml:space="preserve"> </w:t>
      </w:r>
      <w:r w:rsidRPr="00A1442F">
        <w:t>violence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systematically</w:t>
      </w:r>
      <w:r w:rsidR="006252EF" w:rsidRPr="00A1442F">
        <w:t xml:space="preserve"> </w:t>
      </w:r>
      <w:r w:rsidRPr="00A1442F">
        <w:t>collected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analysed.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like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receive</w:t>
      </w:r>
      <w:r w:rsidR="006252EF" w:rsidRPr="00A1442F">
        <w:t xml:space="preserve"> </w:t>
      </w:r>
      <w:r w:rsidRPr="00A1442F">
        <w:t>any</w:t>
      </w:r>
      <w:r w:rsidR="006252EF" w:rsidRPr="00A1442F">
        <w:t xml:space="preserve"> </w:t>
      </w:r>
      <w:r w:rsidRPr="00A1442F">
        <w:t>available</w:t>
      </w:r>
      <w:r w:rsidR="006252EF" w:rsidRPr="00A1442F">
        <w:t xml:space="preserve"> </w:t>
      </w:r>
      <w:r w:rsidRPr="00A1442F">
        <w:t>data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information</w:t>
      </w:r>
      <w:r w:rsidR="006252EF" w:rsidRPr="00A1442F">
        <w:t xml:space="preserve"> </w:t>
      </w:r>
      <w:r w:rsidRPr="00A1442F">
        <w:t>concerning</w:t>
      </w:r>
      <w:r w:rsidR="006252EF" w:rsidRPr="00A1442F">
        <w:t xml:space="preserve"> </w:t>
      </w:r>
      <w:r w:rsidRPr="00A1442F">
        <w:t>complaints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judicial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other</w:t>
      </w:r>
      <w:r w:rsidR="006252EF" w:rsidRPr="00A1442F">
        <w:t xml:space="preserve"> </w:t>
      </w:r>
      <w:r w:rsidRPr="00A1442F">
        <w:t>decisions</w:t>
      </w:r>
      <w:r w:rsidR="006252EF" w:rsidRPr="00A1442F">
        <w:t xml:space="preserve"> </w:t>
      </w:r>
      <w:r w:rsidRPr="00A1442F">
        <w:t>taken</w:t>
      </w:r>
      <w:r w:rsidR="006252EF" w:rsidRPr="00A1442F">
        <w:t xml:space="preserve"> </w:t>
      </w:r>
      <w:r w:rsidRPr="00A1442F">
        <w:t>by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respective</w:t>
      </w:r>
      <w:r w:rsidR="006252EF" w:rsidRPr="00A1442F">
        <w:t xml:space="preserve"> </w:t>
      </w:r>
      <w:r w:rsidRPr="00A1442F">
        <w:t>bodies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cases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sexual</w:t>
      </w:r>
      <w:r w:rsidR="006252EF" w:rsidRPr="00A1442F">
        <w:t xml:space="preserve"> </w:t>
      </w:r>
      <w:r w:rsidRPr="00A1442F">
        <w:t>violence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last</w:t>
      </w:r>
      <w:r w:rsidR="006252EF" w:rsidRPr="00A1442F">
        <w:t xml:space="preserve"> </w:t>
      </w:r>
      <w:r w:rsidRPr="00A1442F">
        <w:t>two</w:t>
      </w:r>
      <w:r w:rsidR="006252EF" w:rsidRPr="00A1442F">
        <w:t xml:space="preserve"> </w:t>
      </w:r>
      <w:r w:rsidRPr="00A1442F">
        <w:t>years.</w:t>
      </w:r>
    </w:p>
    <w:p w14:paraId="76D8BDAF" w14:textId="39D008F0" w:rsidR="00603C5A" w:rsidRPr="00A1442F" w:rsidRDefault="00603C5A" w:rsidP="00A1442F">
      <w:pPr>
        <w:pStyle w:val="ParNoG"/>
      </w:pPr>
      <w:r w:rsidRPr="00A1442F">
        <w:rPr>
          <w:b/>
          <w:bCs/>
        </w:rPr>
        <w:t>The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Chair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that,</w:t>
      </w:r>
      <w:r w:rsidR="006252EF" w:rsidRPr="00A1442F">
        <w:t xml:space="preserve"> </w:t>
      </w:r>
      <w:r w:rsidRPr="00A1442F">
        <w:t>owing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time</w:t>
      </w:r>
      <w:r w:rsidR="006252EF" w:rsidRPr="00A1442F">
        <w:t xml:space="preserve"> </w:t>
      </w:r>
      <w:r w:rsidRPr="00A1442F">
        <w:t>constraints,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delegation</w:t>
      </w:r>
      <w:r w:rsidR="006252EF" w:rsidRPr="00A1442F">
        <w:t xml:space="preserve"> </w:t>
      </w:r>
      <w:r w:rsidRPr="00A1442F">
        <w:t>should</w:t>
      </w:r>
      <w:r w:rsidR="006252EF" w:rsidRPr="00A1442F">
        <w:t xml:space="preserve"> </w:t>
      </w:r>
      <w:r w:rsidRPr="00A1442F">
        <w:t>provide</w:t>
      </w:r>
      <w:r w:rsidR="006252EF" w:rsidRPr="00A1442F">
        <w:t xml:space="preserve"> </w:t>
      </w:r>
      <w:r w:rsidRPr="00A1442F">
        <w:t>written</w:t>
      </w:r>
      <w:r w:rsidR="006252EF" w:rsidRPr="00A1442F">
        <w:t xml:space="preserve"> </w:t>
      </w:r>
      <w:r w:rsidRPr="00A1442F">
        <w:t>answers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Ms.</w:t>
      </w:r>
      <w:r w:rsidR="006252EF" w:rsidRPr="00A1442F">
        <w:t xml:space="preserve"> </w:t>
      </w:r>
      <w:r w:rsidRPr="00A1442F">
        <w:t>Tisheva</w:t>
      </w:r>
      <w:r w:rsidR="00C6067F">
        <w:t>’</w:t>
      </w:r>
      <w:r w:rsidRPr="00A1442F">
        <w:t>s</w:t>
      </w:r>
      <w:r w:rsidR="006252EF" w:rsidRPr="00A1442F">
        <w:t xml:space="preserve"> </w:t>
      </w:r>
      <w:r w:rsidRPr="00A1442F">
        <w:t>question.</w:t>
      </w:r>
      <w:r w:rsidR="006252EF" w:rsidRPr="00A1442F">
        <w:t xml:space="preserve"> </w:t>
      </w:r>
      <w:r w:rsidRPr="00A1442F">
        <w:t>Any</w:t>
      </w:r>
      <w:r w:rsidR="006252EF" w:rsidRPr="00A1442F">
        <w:t xml:space="preserve"> </w:t>
      </w:r>
      <w:r w:rsidRPr="00A1442F">
        <w:t>other</w:t>
      </w:r>
      <w:r w:rsidR="006252EF" w:rsidRPr="00A1442F">
        <w:t xml:space="preserve"> </w:t>
      </w:r>
      <w:r w:rsidRPr="00A1442F">
        <w:t>information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mental</w:t>
      </w:r>
      <w:r w:rsidR="006252EF" w:rsidRPr="00A1442F">
        <w:t xml:space="preserve"> </w:t>
      </w:r>
      <w:r w:rsidRPr="00A1442F">
        <w:t>health,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specifically</w:t>
      </w:r>
      <w:r w:rsidR="006252EF" w:rsidRPr="00A1442F">
        <w:t xml:space="preserve"> </w:t>
      </w:r>
      <w:r w:rsidRPr="00A1442F">
        <w:t>suicide</w:t>
      </w:r>
      <w:r w:rsidR="006252EF" w:rsidRPr="00A1442F">
        <w:t xml:space="preserve"> </w:t>
      </w:r>
      <w:r w:rsidRPr="00A1442F">
        <w:t>prevention,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they</w:t>
      </w:r>
      <w:r w:rsidR="006252EF" w:rsidRPr="00A1442F">
        <w:t xml:space="preserve"> </w:t>
      </w:r>
      <w:r w:rsidRPr="00A1442F">
        <w:t>wished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share</w:t>
      </w:r>
      <w:r w:rsidR="006252EF" w:rsidRPr="00A1442F">
        <w:t xml:space="preserve"> </w:t>
      </w:r>
      <w:r w:rsidRPr="00A1442F">
        <w:t>should</w:t>
      </w:r>
      <w:r w:rsidR="006252EF" w:rsidRPr="00A1442F">
        <w:t xml:space="preserve"> </w:t>
      </w:r>
      <w:r w:rsidRPr="00A1442F">
        <w:t>also</w:t>
      </w:r>
      <w:r w:rsidR="006252EF" w:rsidRPr="00A1442F">
        <w:t xml:space="preserve"> </w:t>
      </w:r>
      <w:r w:rsidRPr="00A1442F">
        <w:t>be</w:t>
      </w:r>
      <w:r w:rsidR="006252EF" w:rsidRPr="00A1442F">
        <w:t xml:space="preserve"> </w:t>
      </w:r>
      <w:r w:rsidRPr="00A1442F">
        <w:t>submitted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writing.</w:t>
      </w:r>
    </w:p>
    <w:p w14:paraId="7FB8468F" w14:textId="142B823C" w:rsidR="00603C5A" w:rsidRPr="00A1442F" w:rsidRDefault="00603C5A" w:rsidP="00A1442F">
      <w:pPr>
        <w:pStyle w:val="ParNoG"/>
      </w:pPr>
      <w:r w:rsidRPr="00A1442F">
        <w:rPr>
          <w:b/>
          <w:bCs/>
        </w:rPr>
        <w:t>Ms.</w:t>
      </w:r>
      <w:r w:rsidR="006252EF" w:rsidRPr="00A1442F">
        <w:rPr>
          <w:b/>
          <w:bCs/>
        </w:rPr>
        <w:t xml:space="preserve"> </w:t>
      </w:r>
      <w:r w:rsidRPr="00A1442F">
        <w:rPr>
          <w:b/>
          <w:bCs/>
        </w:rPr>
        <w:t>Gant</w:t>
      </w:r>
      <w:r w:rsidR="006252EF" w:rsidRPr="00A1442F">
        <w:t xml:space="preserve"> </w:t>
      </w:r>
      <w:r w:rsidRPr="00A1442F">
        <w:t>(Greenland,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corporate</w:t>
      </w:r>
      <w:r w:rsidR="006252EF" w:rsidRPr="00A1442F">
        <w:t xml:space="preserve"> </w:t>
      </w:r>
      <w:r w:rsidRPr="00A1442F">
        <w:t>governance</w:t>
      </w:r>
      <w:r w:rsidR="006252EF" w:rsidRPr="00A1442F">
        <w:t xml:space="preserve"> </w:t>
      </w:r>
      <w:r w:rsidRPr="00A1442F">
        <w:t>policy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Greenland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set</w:t>
      </w:r>
      <w:r w:rsidR="006252EF" w:rsidRPr="00A1442F">
        <w:t xml:space="preserve"> </w:t>
      </w:r>
      <w:r w:rsidRPr="00A1442F">
        <w:t>out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its</w:t>
      </w:r>
      <w:r w:rsidR="006252EF" w:rsidRPr="00A1442F">
        <w:t xml:space="preserve"> </w:t>
      </w:r>
      <w:r w:rsidRPr="00A1442F">
        <w:t>statement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ownership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development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government-owned</w:t>
      </w:r>
      <w:r w:rsidR="006252EF" w:rsidRPr="00A1442F">
        <w:t xml:space="preserve"> </w:t>
      </w:r>
      <w:r w:rsidRPr="00A1442F">
        <w:t>joint</w:t>
      </w:r>
      <w:r w:rsidR="006252EF" w:rsidRPr="00A1442F">
        <w:t xml:space="preserve"> </w:t>
      </w:r>
      <w:r w:rsidRPr="00A1442F">
        <w:t>stock</w:t>
      </w:r>
      <w:r w:rsidR="006252EF" w:rsidRPr="00A1442F">
        <w:t xml:space="preserve"> </w:t>
      </w:r>
      <w:r w:rsidRPr="00A1442F">
        <w:t>companies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its</w:t>
      </w:r>
      <w:r w:rsidR="006252EF" w:rsidRPr="00A1442F">
        <w:t xml:space="preserve"> </w:t>
      </w:r>
      <w:r w:rsidRPr="00A1442F">
        <w:t>guidelines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good</w:t>
      </w:r>
      <w:r w:rsidR="006252EF" w:rsidRPr="00A1442F">
        <w:t xml:space="preserve"> </w:t>
      </w:r>
      <w:r w:rsidRPr="00A1442F">
        <w:t>corporate</w:t>
      </w:r>
      <w:r w:rsidR="006252EF" w:rsidRPr="00A1442F">
        <w:t xml:space="preserve"> </w:t>
      </w:r>
      <w:r w:rsidRPr="00A1442F">
        <w:t>governance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government-owned</w:t>
      </w:r>
      <w:r w:rsidR="006252EF" w:rsidRPr="00A1442F">
        <w:t xml:space="preserve"> </w:t>
      </w:r>
      <w:r w:rsidRPr="00A1442F">
        <w:t>joint</w:t>
      </w:r>
      <w:r w:rsidR="006252EF" w:rsidRPr="00A1442F">
        <w:t xml:space="preserve"> </w:t>
      </w:r>
      <w:r w:rsidRPr="00A1442F">
        <w:t>stock</w:t>
      </w:r>
      <w:r w:rsidR="006252EF" w:rsidRPr="00A1442F">
        <w:t xml:space="preserve"> </w:t>
      </w:r>
      <w:r w:rsidRPr="00A1442F">
        <w:t>companies.</w:t>
      </w:r>
      <w:r w:rsidR="006252EF" w:rsidRPr="00A1442F">
        <w:t xml:space="preserve"> </w:t>
      </w:r>
      <w:r w:rsidRPr="00A1442F">
        <w:t>Those</w:t>
      </w:r>
      <w:r w:rsidR="006252EF" w:rsidRPr="00A1442F">
        <w:t xml:space="preserve"> </w:t>
      </w:r>
      <w:r w:rsidRPr="00A1442F">
        <w:t>documents,</w:t>
      </w:r>
      <w:r w:rsidR="006252EF" w:rsidRPr="00A1442F">
        <w:t xml:space="preserve"> </w:t>
      </w:r>
      <w:r w:rsidR="00625BAC">
        <w:t>which</w:t>
      </w:r>
      <w:r w:rsidR="00625BAC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intended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support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construction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self-sustainable</w:t>
      </w:r>
      <w:r w:rsidR="006252EF" w:rsidRPr="00A1442F">
        <w:t xml:space="preserve"> </w:t>
      </w:r>
      <w:r w:rsidRPr="00A1442F">
        <w:t>economy,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secure</w:t>
      </w:r>
      <w:r w:rsidR="006252EF" w:rsidRPr="00A1442F">
        <w:t xml:space="preserve"> </w:t>
      </w:r>
      <w:r w:rsidRPr="00A1442F">
        <w:t>transparency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guarantee</w:t>
      </w:r>
      <w:r w:rsidR="006252EF" w:rsidRPr="00A1442F">
        <w:t xml:space="preserve"> </w:t>
      </w:r>
      <w:r w:rsidRPr="00A1442F">
        <w:t>social</w:t>
      </w:r>
      <w:r w:rsidR="006252EF" w:rsidRPr="00A1442F">
        <w:t xml:space="preserve"> </w:t>
      </w:r>
      <w:r w:rsidRPr="00A1442F">
        <w:t>responsibility,</w:t>
      </w:r>
      <w:r w:rsidR="006252EF" w:rsidRPr="00A1442F">
        <w:t xml:space="preserve"> </w:t>
      </w:r>
      <w:r w:rsidRPr="00A1442F">
        <w:t>required</w:t>
      </w:r>
      <w:r w:rsidR="006252EF" w:rsidRPr="00A1442F">
        <w:t xml:space="preserve"> </w:t>
      </w:r>
      <w:r w:rsidRPr="00A1442F">
        <w:t>joint</w:t>
      </w:r>
      <w:r w:rsidR="006252EF" w:rsidRPr="00A1442F">
        <w:t xml:space="preserve"> </w:t>
      </w:r>
      <w:r w:rsidRPr="00A1442F">
        <w:t>stock</w:t>
      </w:r>
      <w:r w:rsidR="006252EF" w:rsidRPr="00A1442F">
        <w:t xml:space="preserve"> </w:t>
      </w:r>
      <w:r w:rsidRPr="00A1442F">
        <w:t>companies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report</w:t>
      </w:r>
      <w:r w:rsidR="006252EF" w:rsidRPr="00A1442F">
        <w:t xml:space="preserve"> </w:t>
      </w:r>
      <w:r w:rsidRPr="00A1442F">
        <w:t>annually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corporate</w:t>
      </w:r>
      <w:r w:rsidR="006252EF" w:rsidRPr="00A1442F">
        <w:t xml:space="preserve"> </w:t>
      </w:r>
      <w:r w:rsidRPr="00A1442F">
        <w:t>governance</w:t>
      </w:r>
      <w:r w:rsidR="006252EF" w:rsidRPr="00A1442F">
        <w:t xml:space="preserve"> </w:t>
      </w:r>
      <w:r w:rsidRPr="00A1442F">
        <w:t>activities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undertakings,</w:t>
      </w:r>
      <w:r w:rsidR="006252EF" w:rsidRPr="00A1442F">
        <w:t xml:space="preserve"> </w:t>
      </w:r>
      <w:r w:rsidRPr="00A1442F">
        <w:t>following</w:t>
      </w:r>
      <w:r w:rsidR="006252EF" w:rsidRPr="00A1442F">
        <w:t xml:space="preserve"> </w:t>
      </w:r>
      <w:r w:rsidRPr="00A1442F">
        <w:t>up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past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recommendations,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conduct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yearly</w:t>
      </w:r>
      <w:r w:rsidR="006252EF" w:rsidRPr="00A1442F">
        <w:t xml:space="preserve"> </w:t>
      </w:r>
      <w:r w:rsidRPr="00A1442F">
        <w:t>review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action</w:t>
      </w:r>
      <w:r w:rsidR="006252EF" w:rsidRPr="00A1442F">
        <w:t xml:space="preserve"> </w:t>
      </w:r>
      <w:r w:rsidRPr="00A1442F">
        <w:t>taken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ensure</w:t>
      </w:r>
      <w:r w:rsidR="006252EF" w:rsidRPr="00A1442F">
        <w:t xml:space="preserve"> </w:t>
      </w:r>
      <w:r w:rsidRPr="00A1442F">
        <w:t>diversity,</w:t>
      </w:r>
      <w:r w:rsidR="006252EF" w:rsidRPr="00A1442F">
        <w:t xml:space="preserve"> </w:t>
      </w:r>
      <w:r w:rsidRPr="00A1442F">
        <w:t>including</w:t>
      </w:r>
      <w:r w:rsidR="006252EF" w:rsidRPr="00A1442F">
        <w:t xml:space="preserve"> </w:t>
      </w:r>
      <w:r w:rsidRPr="00A1442F">
        <w:t>equal</w:t>
      </w:r>
      <w:r w:rsidR="006252EF" w:rsidRPr="00A1442F">
        <w:t xml:space="preserve"> </w:t>
      </w:r>
      <w:r w:rsidRPr="00A1442F">
        <w:t>opportunities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equal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representation,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management.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addition,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policy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social</w:t>
      </w:r>
      <w:r w:rsidR="006252EF" w:rsidRPr="00A1442F">
        <w:t xml:space="preserve"> </w:t>
      </w:r>
      <w:r w:rsidRPr="00A1442F">
        <w:t>responsibility</w:t>
      </w:r>
      <w:r w:rsidR="006252EF" w:rsidRPr="00A1442F">
        <w:t xml:space="preserve"> </w:t>
      </w:r>
      <w:r w:rsidRPr="00A1442F">
        <w:t>should</w:t>
      </w:r>
      <w:r w:rsidR="006252EF" w:rsidRPr="00A1442F">
        <w:t xml:space="preserve"> </w:t>
      </w:r>
      <w:r w:rsidRPr="00A1442F">
        <w:t>be</w:t>
      </w:r>
      <w:r w:rsidR="006252EF" w:rsidRPr="00A1442F">
        <w:t xml:space="preserve"> </w:t>
      </w:r>
      <w:r w:rsidRPr="00A1442F">
        <w:t>clearly</w:t>
      </w:r>
      <w:r w:rsidR="006252EF" w:rsidRPr="00A1442F">
        <w:t xml:space="preserve"> </w:t>
      </w:r>
      <w:r w:rsidRPr="00A1442F">
        <w:t>stated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annual</w:t>
      </w:r>
      <w:r w:rsidR="006252EF" w:rsidRPr="00A1442F">
        <w:t xml:space="preserve"> </w:t>
      </w:r>
      <w:r w:rsidRPr="00A1442F">
        <w:t>reports.</w:t>
      </w:r>
    </w:p>
    <w:p w14:paraId="5B77CC91" w14:textId="2A761117" w:rsidR="00603C5A" w:rsidRPr="00A1442F" w:rsidRDefault="00603C5A" w:rsidP="000C739E">
      <w:pPr>
        <w:pStyle w:val="ParNoG"/>
      </w:pPr>
      <w:r w:rsidRPr="00A1442F">
        <w:t>Ownership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control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carbon</w:t>
      </w:r>
      <w:r w:rsidR="006252EF" w:rsidRPr="00A1442F">
        <w:t xml:space="preserve"> </w:t>
      </w:r>
      <w:r w:rsidRPr="00A1442F">
        <w:t>resources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hands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government.</w:t>
      </w:r>
      <w:r w:rsidR="006252EF" w:rsidRPr="00A1442F">
        <w:t xml:space="preserve"> </w:t>
      </w:r>
      <w:r w:rsidRPr="00A1442F">
        <w:t>Currently,</w:t>
      </w:r>
      <w:r w:rsidR="006252EF" w:rsidRPr="00A1442F">
        <w:t xml:space="preserve"> </w:t>
      </w:r>
      <w:r w:rsidRPr="00A1442F">
        <w:t>there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only</w:t>
      </w:r>
      <w:r w:rsidR="006252EF" w:rsidRPr="00A1442F">
        <w:t xml:space="preserve"> </w:t>
      </w:r>
      <w:r w:rsidRPr="00A1442F">
        <w:t>two</w:t>
      </w:r>
      <w:r w:rsidR="006252EF" w:rsidRPr="00A1442F">
        <w:t xml:space="preserve"> </w:t>
      </w:r>
      <w:r w:rsidRPr="00A1442F">
        <w:t>mining</w:t>
      </w:r>
      <w:r w:rsidR="006252EF" w:rsidRPr="00A1442F">
        <w:t xml:space="preserve"> </w:t>
      </w:r>
      <w:r w:rsidRPr="00A1442F">
        <w:t>sites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operation,</w:t>
      </w:r>
      <w:r w:rsidR="006252EF" w:rsidRPr="00A1442F">
        <w:t xml:space="preserve"> </w:t>
      </w:r>
      <w:r w:rsidRPr="00A1442F">
        <w:t>between</w:t>
      </w:r>
      <w:r w:rsidR="006252EF" w:rsidRPr="00A1442F">
        <w:t xml:space="preserve"> </w:t>
      </w:r>
      <w:r w:rsidRPr="00A1442F">
        <w:t>them</w:t>
      </w:r>
      <w:r w:rsidR="006252EF" w:rsidRPr="00A1442F">
        <w:t xml:space="preserve"> </w:t>
      </w:r>
      <w:r w:rsidRPr="00A1442F">
        <w:t>employing</w:t>
      </w:r>
      <w:r w:rsidR="006252EF" w:rsidRPr="00A1442F">
        <w:t xml:space="preserve"> </w:t>
      </w:r>
      <w:r w:rsidRPr="00A1442F">
        <w:t>93</w:t>
      </w:r>
      <w:r w:rsidR="006252EF" w:rsidRPr="00A1442F">
        <w:t xml:space="preserve"> </w:t>
      </w:r>
      <w:r w:rsidRPr="00A1442F">
        <w:t>persons</w:t>
      </w:r>
      <w:r w:rsidR="00A83281">
        <w:t>,</w:t>
      </w:r>
      <w:r w:rsidR="006252EF" w:rsidRPr="00A1442F">
        <w:t xml:space="preserve"> </w:t>
      </w:r>
      <w:r w:rsidRPr="00A1442F">
        <w:t>including</w:t>
      </w:r>
      <w:r w:rsidR="006252EF" w:rsidRPr="00A1442F">
        <w:t xml:space="preserve"> </w:t>
      </w:r>
      <w:r w:rsidRPr="00A1442F">
        <w:t>25</w:t>
      </w:r>
      <w:r w:rsidR="006252EF" w:rsidRPr="00A1442F">
        <w:t xml:space="preserve"> </w:t>
      </w:r>
      <w:r w:rsidRPr="00A1442F">
        <w:t>women,</w:t>
      </w:r>
      <w:r w:rsidR="006252EF" w:rsidRPr="00A1442F">
        <w:t xml:space="preserve"> </w:t>
      </w:r>
      <w:r w:rsidRPr="00A1442F">
        <w:t>but</w:t>
      </w:r>
      <w:r w:rsidR="006252EF" w:rsidRPr="00A1442F">
        <w:t xml:space="preserve"> </w:t>
      </w:r>
      <w:r w:rsidRPr="00A1442F">
        <w:t>there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plans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open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additional</w:t>
      </w:r>
      <w:r w:rsidR="006252EF" w:rsidRPr="00A1442F">
        <w:t xml:space="preserve"> </w:t>
      </w:r>
      <w:r w:rsidRPr="00A1442F">
        <w:t>mine.</w:t>
      </w:r>
      <w:r w:rsidR="006252EF" w:rsidRPr="00A1442F">
        <w:t xml:space="preserve"> </w:t>
      </w:r>
      <w:r w:rsidRPr="00A1442F">
        <w:t>Although</w:t>
      </w:r>
      <w:r w:rsidR="006252EF" w:rsidRPr="00A1442F">
        <w:t xml:space="preserve"> </w:t>
      </w:r>
      <w:r w:rsidRPr="00A1442F">
        <w:t>mines</w:t>
      </w:r>
      <w:r w:rsidR="006252EF" w:rsidRPr="00A1442F">
        <w:t xml:space="preserve"> </w:t>
      </w:r>
      <w:r w:rsidRPr="00A1442F">
        <w:t>tended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be</w:t>
      </w:r>
      <w:r w:rsidR="006252EF" w:rsidRPr="00A1442F">
        <w:t xml:space="preserve"> </w:t>
      </w:r>
      <w:r w:rsidRPr="00A1442F">
        <w:t>located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remote,</w:t>
      </w:r>
      <w:r w:rsidR="006252EF" w:rsidRPr="00A1442F">
        <w:t xml:space="preserve"> </w:t>
      </w:r>
      <w:r w:rsidRPr="00A1442F">
        <w:t>uninhabited</w:t>
      </w:r>
      <w:r w:rsidR="006252EF" w:rsidRPr="00A1442F">
        <w:t xml:space="preserve"> </w:t>
      </w:r>
      <w:r w:rsidRPr="00A1442F">
        <w:t>areas,</w:t>
      </w:r>
      <w:r w:rsidR="006252EF" w:rsidRPr="00A1442F">
        <w:t xml:space="preserve"> </w:t>
      </w:r>
      <w:r w:rsidRPr="00A1442F">
        <w:t>strict</w:t>
      </w:r>
      <w:r w:rsidR="006252EF" w:rsidRPr="00A1442F">
        <w:t xml:space="preserve"> </w:t>
      </w:r>
      <w:r w:rsidRPr="00A1442F">
        <w:t>rules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place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conduct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environmental</w:t>
      </w:r>
      <w:r w:rsidR="006252EF" w:rsidRPr="00A1442F">
        <w:t xml:space="preserve"> </w:t>
      </w:r>
      <w:r w:rsidRPr="00A1442F">
        <w:t>impact</w:t>
      </w:r>
      <w:r w:rsidR="006252EF" w:rsidRPr="00A1442F">
        <w:t xml:space="preserve"> </w:t>
      </w:r>
      <w:r w:rsidRPr="00A1442F">
        <w:t>assessments,</w:t>
      </w:r>
      <w:r w:rsidR="006252EF" w:rsidRPr="00A1442F">
        <w:t xml:space="preserve"> </w:t>
      </w:r>
      <w:r w:rsidRPr="00A1442F">
        <w:t>including</w:t>
      </w:r>
      <w:r w:rsidR="006252EF" w:rsidRPr="00A1442F">
        <w:t xml:space="preserve"> </w:t>
      </w:r>
      <w:r w:rsidRPr="00A1442F">
        <w:t>assessments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effects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human</w:t>
      </w:r>
      <w:r w:rsidR="006252EF" w:rsidRPr="00A1442F">
        <w:t xml:space="preserve"> </w:t>
      </w:r>
      <w:r w:rsidRPr="00A1442F">
        <w:t>health,</w:t>
      </w:r>
      <w:r w:rsidR="006252EF" w:rsidRPr="00A1442F">
        <w:t xml:space="preserve"> </w:t>
      </w:r>
      <w:r w:rsidRPr="00A1442F">
        <w:t>before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licence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granted.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addition,</w:t>
      </w:r>
      <w:r w:rsidR="006252EF" w:rsidRPr="00A1442F">
        <w:t xml:space="preserve"> </w:t>
      </w:r>
      <w:r w:rsidRPr="00A1442F">
        <w:t>tripartite</w:t>
      </w:r>
      <w:r w:rsidR="006252EF" w:rsidRPr="00A1442F">
        <w:t xml:space="preserve"> </w:t>
      </w:r>
      <w:r w:rsidRPr="00A1442F">
        <w:t>agreements</w:t>
      </w:r>
      <w:r w:rsidR="006252EF" w:rsidRPr="00A1442F">
        <w:t xml:space="preserve"> </w:t>
      </w:r>
      <w:r w:rsidRPr="00A1442F">
        <w:t>concluded</w:t>
      </w:r>
      <w:r w:rsidR="006252EF" w:rsidRPr="00A1442F">
        <w:t xml:space="preserve"> </w:t>
      </w:r>
      <w:r w:rsidRPr="00A1442F">
        <w:t>between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licensees,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affected</w:t>
      </w:r>
      <w:r w:rsidR="006252EF" w:rsidRPr="00A1442F">
        <w:t xml:space="preserve"> </w:t>
      </w:r>
      <w:r w:rsidRPr="00A1442F">
        <w:t>municipalities</w:t>
      </w:r>
      <w:r w:rsidR="006252EF" w:rsidRPr="00A1442F">
        <w:t xml:space="preserve"> </w:t>
      </w:r>
      <w:r w:rsidRPr="00A1442F">
        <w:t>ensured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mining</w:t>
      </w:r>
      <w:r w:rsidR="006252EF" w:rsidRPr="00A1442F">
        <w:t xml:space="preserve"> </w:t>
      </w:r>
      <w:r w:rsidRPr="00A1442F">
        <w:t>activities</w:t>
      </w:r>
      <w:r w:rsidR="006252EF" w:rsidRPr="00A1442F">
        <w:t xml:space="preserve"> </w:t>
      </w:r>
      <w:r w:rsidRPr="00A1442F">
        <w:t>benefitted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local</w:t>
      </w:r>
      <w:r w:rsidR="006252EF" w:rsidRPr="00A1442F">
        <w:t xml:space="preserve"> </w:t>
      </w:r>
      <w:r w:rsidRPr="00A1442F">
        <w:t>communities,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example,</w:t>
      </w:r>
      <w:r w:rsidR="006252EF" w:rsidRPr="00A1442F">
        <w:t xml:space="preserve"> </w:t>
      </w:r>
      <w:r w:rsidRPr="00A1442F">
        <w:t>by</w:t>
      </w:r>
      <w:r w:rsidR="006252EF" w:rsidRPr="00A1442F">
        <w:t xml:space="preserve"> </w:t>
      </w:r>
      <w:r w:rsidRPr="00A1442F">
        <w:t>providing</w:t>
      </w:r>
      <w:r w:rsidR="006252EF" w:rsidRPr="00A1442F">
        <w:t xml:space="preserve"> </w:t>
      </w:r>
      <w:r w:rsidRPr="00A1442F">
        <w:t>employment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skills</w:t>
      </w:r>
      <w:r w:rsidR="006252EF" w:rsidRPr="00A1442F">
        <w:t xml:space="preserve"> </w:t>
      </w:r>
      <w:r w:rsidRPr="00A1442F">
        <w:t>development</w:t>
      </w:r>
      <w:r w:rsidR="006252EF" w:rsidRPr="00A1442F">
        <w:t xml:space="preserve"> </w:t>
      </w:r>
      <w:r w:rsidRPr="00A1442F">
        <w:t>opportunities.</w:t>
      </w:r>
      <w:r w:rsidR="006252EF" w:rsidRPr="00A1442F">
        <w:t xml:space="preserve"> </w:t>
      </w:r>
      <w:r w:rsidRPr="00A1442F">
        <w:t>Although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agreements</w:t>
      </w:r>
      <w:r w:rsidR="006252EF" w:rsidRPr="00A1442F">
        <w:t xml:space="preserve"> </w:t>
      </w:r>
      <w:r w:rsidRPr="00A1442F">
        <w:t>did</w:t>
      </w:r>
      <w:r w:rsidR="006252EF" w:rsidRPr="00A1442F">
        <w:t xml:space="preserve"> </w:t>
      </w:r>
      <w:r w:rsidRPr="00A1442F">
        <w:t>not</w:t>
      </w:r>
      <w:r w:rsidR="006252EF" w:rsidRPr="00A1442F">
        <w:t xml:space="preserve"> </w:t>
      </w:r>
      <w:r w:rsidRPr="00A1442F">
        <w:t>specifically</w:t>
      </w:r>
      <w:r w:rsidR="006252EF" w:rsidRPr="00A1442F">
        <w:t xml:space="preserve"> </w:t>
      </w:r>
      <w:r w:rsidRPr="00A1442F">
        <w:t>promote</w:t>
      </w:r>
      <w:r w:rsidR="006252EF" w:rsidRPr="00A1442F">
        <w:t xml:space="preserve"> </w:t>
      </w:r>
      <w:r w:rsidRPr="00A1442F">
        <w:t>women</w:t>
      </w:r>
      <w:r w:rsidR="00C6067F">
        <w:t>’</w:t>
      </w:r>
      <w:r w:rsidRPr="00A1442F">
        <w:t>s</w:t>
      </w:r>
      <w:r w:rsidR="006252EF" w:rsidRPr="00A1442F">
        <w:t xml:space="preserve"> </w:t>
      </w:r>
      <w:r w:rsidRPr="00A1442F">
        <w:t>rights,</w:t>
      </w:r>
      <w:r w:rsidR="006252EF" w:rsidRPr="00A1442F">
        <w:t xml:space="preserve"> </w:t>
      </w:r>
      <w:r w:rsidRPr="00A1442F">
        <w:t>other</w:t>
      </w:r>
      <w:r w:rsidR="006252EF" w:rsidRPr="00A1442F">
        <w:t xml:space="preserve"> </w:t>
      </w:r>
      <w:r w:rsidRPr="00A1442F">
        <w:t>legislation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health,</w:t>
      </w:r>
      <w:r w:rsidR="006252EF" w:rsidRPr="00A1442F">
        <w:t xml:space="preserve"> </w:t>
      </w:r>
      <w:r w:rsidRPr="00A1442F">
        <w:t>conditions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work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equal</w:t>
      </w:r>
      <w:r w:rsidR="006252EF" w:rsidRPr="00A1442F">
        <w:t xml:space="preserve"> </w:t>
      </w:r>
      <w:r w:rsidRPr="00A1442F">
        <w:t>pay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well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provisions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Equality</w:t>
      </w:r>
      <w:r w:rsidR="006252EF" w:rsidRPr="00A1442F">
        <w:t xml:space="preserve"> </w:t>
      </w:r>
      <w:r w:rsidRPr="00A1442F">
        <w:t>Act</w:t>
      </w:r>
      <w:r w:rsidR="006252EF" w:rsidRPr="00A1442F">
        <w:t xml:space="preserve"> </w:t>
      </w:r>
      <w:r w:rsidRPr="00A1442F">
        <w:t>applied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all</w:t>
      </w:r>
      <w:r w:rsidR="006252EF" w:rsidRPr="00A1442F">
        <w:t xml:space="preserve"> </w:t>
      </w:r>
      <w:r w:rsidRPr="00A1442F">
        <w:t>mining</w:t>
      </w:r>
      <w:r w:rsidR="006252EF" w:rsidRPr="00A1442F">
        <w:t xml:space="preserve"> </w:t>
      </w:r>
      <w:r w:rsidRPr="00A1442F">
        <w:t>activity.</w:t>
      </w:r>
    </w:p>
    <w:p w14:paraId="2167C01C" w14:textId="1CF1CA4F" w:rsidR="00603C5A" w:rsidRPr="00A1442F" w:rsidRDefault="00603C5A" w:rsidP="00A1442F">
      <w:pPr>
        <w:pStyle w:val="ParNoG"/>
      </w:pPr>
      <w:r w:rsidRPr="000C739E">
        <w:rPr>
          <w:b/>
          <w:bCs/>
        </w:rPr>
        <w:t>Ms.</w:t>
      </w:r>
      <w:r w:rsidR="006252EF" w:rsidRPr="000C739E">
        <w:rPr>
          <w:b/>
          <w:bCs/>
        </w:rPr>
        <w:t xml:space="preserve"> </w:t>
      </w:r>
      <w:r w:rsidRPr="000C739E">
        <w:rPr>
          <w:b/>
          <w:bCs/>
        </w:rPr>
        <w:t>Øregaard</w:t>
      </w:r>
      <w:r w:rsidR="006252EF" w:rsidRPr="00A1442F">
        <w:t xml:space="preserve"> </w:t>
      </w:r>
      <w:r w:rsidRPr="00A1442F">
        <w:t>(Faroe</w:t>
      </w:r>
      <w:r w:rsidR="006252EF" w:rsidRPr="00A1442F">
        <w:t xml:space="preserve"> </w:t>
      </w:r>
      <w:r w:rsidRPr="00A1442F">
        <w:t>Islands,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outlying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Faroe</w:t>
      </w:r>
      <w:r w:rsidR="006252EF" w:rsidRPr="00A1442F">
        <w:t xml:space="preserve"> </w:t>
      </w:r>
      <w:r w:rsidRPr="00A1442F">
        <w:t>archipelago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not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remote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those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other</w:t>
      </w:r>
      <w:r w:rsidR="006252EF" w:rsidRPr="00A1442F">
        <w:t xml:space="preserve"> </w:t>
      </w:r>
      <w:r w:rsidRPr="00A1442F">
        <w:t>countries:</w:t>
      </w:r>
      <w:r w:rsidR="006252EF" w:rsidRPr="00A1442F">
        <w:t xml:space="preserve"> </w:t>
      </w:r>
      <w:r w:rsidRPr="00A1442F">
        <w:t>most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connected</w:t>
      </w:r>
      <w:r w:rsidR="006252EF" w:rsidRPr="00A1442F">
        <w:t xml:space="preserve"> </w:t>
      </w:r>
      <w:r w:rsidRPr="00A1442F">
        <w:t>by</w:t>
      </w:r>
      <w:r w:rsidR="006252EF" w:rsidRPr="00A1442F">
        <w:t xml:space="preserve"> </w:t>
      </w:r>
      <w:r w:rsidRPr="00A1442F">
        <w:t>bridge,</w:t>
      </w:r>
      <w:r w:rsidR="006252EF" w:rsidRPr="00A1442F">
        <w:t xml:space="preserve"> </w:t>
      </w:r>
      <w:r w:rsidRPr="00A1442F">
        <w:t>tunnel</w:t>
      </w:r>
      <w:r w:rsidR="006252EF" w:rsidRPr="00A1442F">
        <w:t xml:space="preserve"> </w:t>
      </w:r>
      <w:r w:rsidRPr="00A1442F">
        <w:t>or</w:t>
      </w:r>
      <w:r w:rsidR="006252EF" w:rsidRPr="00A1442F">
        <w:t xml:space="preserve"> </w:t>
      </w:r>
      <w:r w:rsidRPr="00A1442F">
        <w:t>ferry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most</w:t>
      </w:r>
      <w:r w:rsidR="006252EF" w:rsidRPr="00A1442F">
        <w:t xml:space="preserve"> </w:t>
      </w:r>
      <w:r w:rsidRPr="00A1442F">
        <w:t>cases</w:t>
      </w:r>
      <w:r w:rsidR="006252EF" w:rsidRPr="00A1442F">
        <w:t xml:space="preserve"> </w:t>
      </w:r>
      <w:r w:rsidRPr="00A1442F">
        <w:t>it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possible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reach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metropolitan</w:t>
      </w:r>
      <w:r w:rsidR="006252EF" w:rsidRPr="00A1442F">
        <w:t xml:space="preserve"> </w:t>
      </w:r>
      <w:r w:rsidRPr="00A1442F">
        <w:t>area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around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hour.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living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remoter</w:t>
      </w:r>
      <w:r w:rsidR="006252EF" w:rsidRPr="00A1442F">
        <w:t xml:space="preserve"> </w:t>
      </w:r>
      <w:r w:rsidRPr="00A1442F">
        <w:t>communities</w:t>
      </w:r>
      <w:r w:rsidR="006252EF" w:rsidRPr="00A1442F">
        <w:t xml:space="preserve"> </w:t>
      </w:r>
      <w:r w:rsidRPr="00A1442F">
        <w:t>therefore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good</w:t>
      </w:r>
      <w:r w:rsidR="006252EF" w:rsidRPr="00A1442F">
        <w:t xml:space="preserve"> </w:t>
      </w:r>
      <w:r w:rsidRPr="00A1442F">
        <w:t>commuting</w:t>
      </w:r>
      <w:r w:rsidR="006252EF" w:rsidRPr="00A1442F">
        <w:t xml:space="preserve"> </w:t>
      </w:r>
      <w:r w:rsidRPr="00A1442F">
        <w:lastRenderedPageBreak/>
        <w:t>possibilities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not</w:t>
      </w:r>
      <w:r w:rsidR="006252EF" w:rsidRPr="00A1442F">
        <w:t xml:space="preserve"> </w:t>
      </w:r>
      <w:r w:rsidRPr="00A1442F">
        <w:t>excluded</w:t>
      </w:r>
      <w:r w:rsidR="006252EF" w:rsidRPr="00A1442F">
        <w:t xml:space="preserve"> </w:t>
      </w:r>
      <w:r w:rsidRPr="00A1442F">
        <w:t>from</w:t>
      </w:r>
      <w:r w:rsidR="006252EF" w:rsidRPr="00A1442F">
        <w:t xml:space="preserve"> </w:t>
      </w:r>
      <w:r w:rsidRPr="00A1442F">
        <w:t>work</w:t>
      </w:r>
      <w:r w:rsidR="006252EF" w:rsidRPr="00A1442F">
        <w:t xml:space="preserve"> </w:t>
      </w:r>
      <w:r w:rsidRPr="00A1442F">
        <w:t>opportunities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capital.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provided</w:t>
      </w:r>
      <w:r w:rsidR="006252EF" w:rsidRPr="00A1442F">
        <w:t xml:space="preserve"> </w:t>
      </w:r>
      <w:r w:rsidRPr="00A1442F">
        <w:t>financial</w:t>
      </w:r>
      <w:r w:rsidR="006252EF" w:rsidRPr="00A1442F">
        <w:t xml:space="preserve"> </w:t>
      </w:r>
      <w:r w:rsidRPr="00A1442F">
        <w:t>support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most</w:t>
      </w:r>
      <w:r w:rsidR="006252EF" w:rsidRPr="00A1442F">
        <w:t xml:space="preserve"> </w:t>
      </w:r>
      <w:r w:rsidRPr="00A1442F">
        <w:t>remote</w:t>
      </w:r>
      <w:r w:rsidR="006252EF" w:rsidRPr="00A1442F">
        <w:t xml:space="preserve"> </w:t>
      </w:r>
      <w:r w:rsidRPr="00A1442F">
        <w:t>islands,</w:t>
      </w:r>
      <w:r w:rsidR="006252EF" w:rsidRPr="00A1442F">
        <w:t xml:space="preserve"> </w:t>
      </w:r>
      <w:r w:rsidRPr="00A1442F">
        <w:t>nonetheless,</w:t>
      </w:r>
      <w:r w:rsidR="006252EF" w:rsidRPr="00A1442F">
        <w:t xml:space="preserve"> </w:t>
      </w:r>
      <w:r w:rsidRPr="00A1442F">
        <w:t>having</w:t>
      </w:r>
      <w:r w:rsidR="006252EF" w:rsidRPr="00A1442F">
        <w:t xml:space="preserve"> </w:t>
      </w:r>
      <w:r w:rsidRPr="00A1442F">
        <w:t>granted</w:t>
      </w:r>
      <w:r w:rsidR="006252EF" w:rsidRPr="00A1442F">
        <w:t xml:space="preserve"> </w:t>
      </w:r>
      <w:r w:rsidRPr="00A1442F">
        <w:t>funding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cultural</w:t>
      </w:r>
      <w:r w:rsidR="006252EF" w:rsidRPr="00A1442F">
        <w:t xml:space="preserve"> </w:t>
      </w:r>
      <w:r w:rsidRPr="00A1442F">
        <w:t>initiatives,</w:t>
      </w:r>
      <w:r w:rsidR="006252EF" w:rsidRPr="00A1442F">
        <w:t xml:space="preserve"> </w:t>
      </w:r>
      <w:r w:rsidRPr="00A1442F">
        <w:t>cafes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maintenance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landing</w:t>
      </w:r>
      <w:r w:rsidR="006252EF" w:rsidRPr="00A1442F">
        <w:t xml:space="preserve"> </w:t>
      </w:r>
      <w:r w:rsidRPr="00A1442F">
        <w:t>sites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course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2020.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projects</w:t>
      </w:r>
      <w:r w:rsidR="006252EF" w:rsidRPr="00A1442F">
        <w:t xml:space="preserve"> </w:t>
      </w:r>
      <w:r w:rsidRPr="00A1442F">
        <w:t>it</w:t>
      </w:r>
      <w:r w:rsidR="006252EF" w:rsidRPr="00A1442F">
        <w:t xml:space="preserve"> </w:t>
      </w:r>
      <w:r w:rsidRPr="00A1442F">
        <w:t>supported</w:t>
      </w:r>
      <w:r w:rsidR="006252EF" w:rsidRPr="00A1442F">
        <w:t xml:space="preserve"> </w:t>
      </w:r>
      <w:r w:rsidRPr="00A1442F">
        <w:t>increased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options</w:t>
      </w:r>
      <w:r w:rsidR="006252EF" w:rsidRPr="00A1442F">
        <w:t xml:space="preserve"> </w:t>
      </w:r>
      <w:r w:rsidRPr="00A1442F">
        <w:t>available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who</w:t>
      </w:r>
      <w:r w:rsidR="006252EF" w:rsidRPr="00A1442F">
        <w:t xml:space="preserve"> </w:t>
      </w:r>
      <w:r w:rsidRPr="00A1442F">
        <w:t>preferred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work</w:t>
      </w:r>
      <w:r w:rsidR="006252EF" w:rsidRPr="00A1442F">
        <w:t xml:space="preserve"> </w:t>
      </w:r>
      <w:r w:rsidRPr="00A1442F">
        <w:t>closer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home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maintain</w:t>
      </w:r>
      <w:r w:rsidR="006252EF" w:rsidRPr="00A1442F">
        <w:t xml:space="preserve"> </w:t>
      </w:r>
      <w:r w:rsidRPr="00A1442F">
        <w:t>tighter</w:t>
      </w:r>
      <w:r w:rsidR="006252EF" w:rsidRPr="00A1442F">
        <w:t xml:space="preserve"> </w:t>
      </w:r>
      <w:r w:rsidRPr="00A1442F">
        <w:t>links</w:t>
      </w:r>
      <w:r w:rsidR="006252EF" w:rsidRPr="00A1442F">
        <w:t xml:space="preserve"> </w:t>
      </w:r>
      <w:r w:rsidRPr="00A1442F">
        <w:t>with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community.</w:t>
      </w:r>
      <w:r w:rsidR="006252EF" w:rsidRPr="00A1442F">
        <w:t xml:space="preserve"> </w:t>
      </w:r>
      <w:r w:rsidRPr="00A1442F">
        <w:t>Residents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remoter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also</w:t>
      </w:r>
      <w:r w:rsidR="006252EF" w:rsidRPr="00A1442F">
        <w:t xml:space="preserve"> </w:t>
      </w:r>
      <w:r w:rsidRPr="00A1442F">
        <w:t>benefited</w:t>
      </w:r>
      <w:r w:rsidR="006252EF" w:rsidRPr="00A1442F">
        <w:t xml:space="preserve"> </w:t>
      </w:r>
      <w:r w:rsidRPr="00A1442F">
        <w:t>from</w:t>
      </w:r>
      <w:r w:rsidR="006252EF" w:rsidRPr="00A1442F">
        <w:t xml:space="preserve"> </w:t>
      </w:r>
      <w:r w:rsidRPr="00A1442F">
        <w:t>lower</w:t>
      </w:r>
      <w:r w:rsidR="006252EF" w:rsidRPr="00A1442F">
        <w:t xml:space="preserve"> </w:t>
      </w:r>
      <w:r w:rsidRPr="00A1442F">
        <w:t>tax</w:t>
      </w:r>
      <w:r w:rsidR="006252EF" w:rsidRPr="00A1442F">
        <w:t xml:space="preserve"> </w:t>
      </w:r>
      <w:r w:rsidRPr="00A1442F">
        <w:t>rates.</w:t>
      </w:r>
    </w:p>
    <w:p w14:paraId="0A9B6802" w14:textId="0B99ADF2" w:rsidR="00603C5A" w:rsidRPr="00A1442F" w:rsidRDefault="00603C5A" w:rsidP="00A1442F">
      <w:pPr>
        <w:pStyle w:val="ParNoG"/>
      </w:pPr>
      <w:r w:rsidRPr="000C739E">
        <w:rPr>
          <w:b/>
          <w:bCs/>
        </w:rPr>
        <w:t>Ms.</w:t>
      </w:r>
      <w:r w:rsidR="006252EF" w:rsidRPr="000C739E">
        <w:rPr>
          <w:b/>
          <w:bCs/>
        </w:rPr>
        <w:t xml:space="preserve"> </w:t>
      </w:r>
      <w:r w:rsidRPr="000C739E">
        <w:rPr>
          <w:b/>
          <w:bCs/>
        </w:rPr>
        <w:t>Bethel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remained</w:t>
      </w:r>
      <w:r w:rsidR="006252EF" w:rsidRPr="00A1442F">
        <w:t xml:space="preserve"> </w:t>
      </w:r>
      <w:r w:rsidRPr="00A1442F">
        <w:t>concerned</w:t>
      </w:r>
      <w:r w:rsidR="006252EF" w:rsidRPr="00A1442F">
        <w:t xml:space="preserve"> </w:t>
      </w:r>
      <w:r w:rsidRPr="00A1442F">
        <w:t>about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lack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dimension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corporate</w:t>
      </w:r>
      <w:r w:rsidR="006252EF" w:rsidRPr="00A1442F">
        <w:t xml:space="preserve"> </w:t>
      </w:r>
      <w:r w:rsidRPr="00A1442F">
        <w:t>policies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sustainable</w:t>
      </w:r>
      <w:r w:rsidR="006252EF" w:rsidRPr="00A1442F">
        <w:t xml:space="preserve"> </w:t>
      </w:r>
      <w:r w:rsidRPr="00A1442F">
        <w:t>development.</w:t>
      </w:r>
      <w:r w:rsidR="006252EF" w:rsidRPr="00A1442F">
        <w:t xml:space="preserve"> </w:t>
      </w:r>
      <w:r w:rsidRPr="00A1442F">
        <w:t>It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important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Inuit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central</w:t>
      </w:r>
      <w:r w:rsidR="006252EF" w:rsidRPr="00A1442F">
        <w:t xml:space="preserve"> </w:t>
      </w:r>
      <w:r w:rsidRPr="00A1442F">
        <w:t>role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development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policies</w:t>
      </w:r>
      <w:r w:rsidR="006252EF" w:rsidRPr="00A1442F">
        <w:t xml:space="preserve"> </w:t>
      </w:r>
      <w:r w:rsidRPr="00A1442F">
        <w:t>related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extractive</w:t>
      </w:r>
      <w:r w:rsidR="006252EF" w:rsidRPr="00A1442F">
        <w:t xml:space="preserve"> </w:t>
      </w:r>
      <w:r w:rsidRPr="00A1442F">
        <w:t>industries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impact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polic</w:t>
      </w:r>
      <w:r w:rsidR="00625BAC">
        <w:t>i</w:t>
      </w:r>
      <w:r w:rsidRPr="00A1442F">
        <w:t>es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address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climate</w:t>
      </w:r>
      <w:r w:rsidR="006252EF" w:rsidRPr="00A1442F">
        <w:t xml:space="preserve"> </w:t>
      </w:r>
      <w:r w:rsidRPr="00A1442F">
        <w:t>crisis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Greenland.</w:t>
      </w:r>
    </w:p>
    <w:p w14:paraId="4BED4014" w14:textId="1D94F511" w:rsidR="00603C5A" w:rsidRPr="00A1442F" w:rsidRDefault="00603C5A" w:rsidP="00A1442F">
      <w:pPr>
        <w:pStyle w:val="ParNoG"/>
      </w:pPr>
      <w:r w:rsidRPr="000C739E">
        <w:rPr>
          <w:b/>
          <w:bCs/>
        </w:rPr>
        <w:t>Ms.</w:t>
      </w:r>
      <w:r w:rsidR="006252EF" w:rsidRPr="000C739E">
        <w:rPr>
          <w:b/>
          <w:bCs/>
        </w:rPr>
        <w:t xml:space="preserve"> </w:t>
      </w:r>
      <w:r w:rsidRPr="000C739E">
        <w:rPr>
          <w:b/>
          <w:bCs/>
        </w:rPr>
        <w:t>Gant</w:t>
      </w:r>
      <w:r w:rsidR="006252EF" w:rsidRPr="00A1442F">
        <w:t xml:space="preserve"> </w:t>
      </w:r>
      <w:r w:rsidRPr="00A1442F">
        <w:t>(Greenland,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could</w:t>
      </w:r>
      <w:r w:rsidR="006252EF" w:rsidRPr="00A1442F">
        <w:t xml:space="preserve"> </w:t>
      </w:r>
      <w:r w:rsidRPr="00A1442F">
        <w:t>assure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Committee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Inuit</w:t>
      </w:r>
      <w:r w:rsidR="006252EF" w:rsidRPr="00A1442F">
        <w:t xml:space="preserve"> </w:t>
      </w:r>
      <w:r w:rsidRPr="00A1442F">
        <w:t>people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very</w:t>
      </w:r>
      <w:r w:rsidR="006252EF" w:rsidRPr="00A1442F">
        <w:t xml:space="preserve"> </w:t>
      </w:r>
      <w:r w:rsidRPr="00A1442F">
        <w:t>much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control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climate</w:t>
      </w:r>
      <w:r w:rsidR="006252EF" w:rsidRPr="00A1442F">
        <w:t xml:space="preserve"> </w:t>
      </w:r>
      <w:r w:rsidRPr="00A1442F">
        <w:t>change</w:t>
      </w:r>
      <w:r w:rsidR="006252EF" w:rsidRPr="00A1442F">
        <w:t xml:space="preserve"> </w:t>
      </w:r>
      <w:r w:rsidRPr="00A1442F">
        <w:t>mitigation</w:t>
      </w:r>
      <w:r w:rsidR="006252EF" w:rsidRPr="00A1442F">
        <w:t xml:space="preserve"> </w:t>
      </w:r>
      <w:r w:rsidRPr="00A1442F">
        <w:t>policies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decisions</w:t>
      </w:r>
      <w:r w:rsidR="006252EF" w:rsidRPr="00A1442F">
        <w:t xml:space="preserve"> </w:t>
      </w:r>
      <w:r w:rsidRPr="00A1442F">
        <w:t>related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mining</w:t>
      </w:r>
      <w:r w:rsidR="006252EF" w:rsidRPr="00A1442F">
        <w:t xml:space="preserve"> </w:t>
      </w:r>
      <w:r w:rsidRPr="00A1442F">
        <w:t>activity.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unaware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any</w:t>
      </w:r>
      <w:r w:rsidR="006252EF" w:rsidRPr="00A1442F">
        <w:t xml:space="preserve"> </w:t>
      </w:r>
      <w:r w:rsidRPr="00A1442F">
        <w:t>forced</w:t>
      </w:r>
      <w:r w:rsidR="006252EF" w:rsidRPr="00A1442F">
        <w:t xml:space="preserve"> </w:t>
      </w:r>
      <w:r w:rsidRPr="00A1442F">
        <w:t>religious</w:t>
      </w:r>
      <w:r w:rsidR="006252EF" w:rsidRPr="00A1442F">
        <w:t xml:space="preserve"> </w:t>
      </w:r>
      <w:r w:rsidRPr="00A1442F">
        <w:t>marriages</w:t>
      </w:r>
      <w:r w:rsidR="006252EF" w:rsidRPr="00A1442F">
        <w:t xml:space="preserve"> </w:t>
      </w:r>
      <w:r w:rsidRPr="00A1442F">
        <w:t>taking</w:t>
      </w:r>
      <w:r w:rsidR="006252EF" w:rsidRPr="00A1442F">
        <w:t xml:space="preserve"> </w:t>
      </w:r>
      <w:r w:rsidRPr="00A1442F">
        <w:t>place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Greenland.</w:t>
      </w:r>
      <w:r w:rsidR="006252EF" w:rsidRPr="00A1442F">
        <w:t xml:space="preserve"> </w:t>
      </w:r>
      <w:r w:rsidRPr="00A1442F">
        <w:t>Its</w:t>
      </w:r>
      <w:r w:rsidR="006252EF" w:rsidRPr="00A1442F">
        <w:t xml:space="preserve"> </w:t>
      </w:r>
      <w:r w:rsidRPr="00A1442F">
        <w:t>communities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very</w:t>
      </w:r>
      <w:r w:rsidR="006252EF" w:rsidRPr="00A1442F">
        <w:t xml:space="preserve"> </w:t>
      </w:r>
      <w:r w:rsidRPr="00A1442F">
        <w:t>homogenous</w:t>
      </w:r>
      <w:r w:rsidR="006252EF" w:rsidRPr="00A1442F">
        <w:t xml:space="preserve"> </w:t>
      </w:r>
      <w:r w:rsidR="00A83281">
        <w:t>in religious terms</w:t>
      </w:r>
      <w:r w:rsidR="00A83281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marriage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governed</w:t>
      </w:r>
      <w:r w:rsidR="006252EF" w:rsidRPr="00A1442F">
        <w:t xml:space="preserve"> </w:t>
      </w:r>
      <w:r w:rsidRPr="00A1442F">
        <w:t>simply</w:t>
      </w:r>
      <w:r w:rsidR="006252EF" w:rsidRPr="00A1442F">
        <w:t xml:space="preserve"> </w:t>
      </w:r>
      <w:r w:rsidRPr="00A1442F">
        <w:t>by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Act</w:t>
      </w:r>
      <w:r w:rsidR="006252EF" w:rsidRPr="00A1442F">
        <w:t xml:space="preserve"> </w:t>
      </w:r>
      <w:r w:rsidRPr="00A1442F">
        <w:t>on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Formation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Dissolution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Marriage.</w:t>
      </w:r>
    </w:p>
    <w:p w14:paraId="04A0044F" w14:textId="07A2D497" w:rsidR="00603C5A" w:rsidRPr="00A1442F" w:rsidRDefault="00603C5A" w:rsidP="00A1442F">
      <w:pPr>
        <w:pStyle w:val="ParNoG"/>
      </w:pPr>
      <w:r w:rsidRPr="000C739E">
        <w:rPr>
          <w:b/>
          <w:bCs/>
        </w:rPr>
        <w:t>Ms.</w:t>
      </w:r>
      <w:r w:rsidR="006252EF" w:rsidRPr="000C739E">
        <w:rPr>
          <w:b/>
          <w:bCs/>
        </w:rPr>
        <w:t xml:space="preserve"> </w:t>
      </w:r>
      <w:r w:rsidRPr="000C739E">
        <w:rPr>
          <w:b/>
          <w:bCs/>
        </w:rPr>
        <w:t>Poulsen</w:t>
      </w:r>
      <w:r w:rsidR="006252EF" w:rsidRPr="00A1442F">
        <w:t xml:space="preserve"> </w:t>
      </w:r>
      <w:r w:rsidRPr="00A1442F">
        <w:t>(Faroe</w:t>
      </w:r>
      <w:r w:rsidR="006252EF" w:rsidRPr="00A1442F">
        <w:t xml:space="preserve"> </w:t>
      </w:r>
      <w:r w:rsidRPr="00A1442F">
        <w:t>Islands,</w:t>
      </w:r>
      <w:r w:rsidR="006252EF" w:rsidRPr="00A1442F">
        <w:t xml:space="preserve"> </w:t>
      </w:r>
      <w:r w:rsidRPr="00A1442F">
        <w:t>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Family</w:t>
      </w:r>
      <w:r w:rsidR="006252EF" w:rsidRPr="00A1442F">
        <w:t xml:space="preserve"> </w:t>
      </w:r>
      <w:r w:rsidRPr="00A1442F">
        <w:t>Law</w:t>
      </w:r>
      <w:r w:rsidR="006252EF" w:rsidRPr="00A1442F">
        <w:t xml:space="preserve"> </w:t>
      </w:r>
      <w:r w:rsidRPr="00A1442F">
        <w:t>Administration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unaware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any</w:t>
      </w:r>
      <w:r w:rsidR="006252EF" w:rsidRPr="00A1442F">
        <w:t xml:space="preserve"> </w:t>
      </w:r>
      <w:r w:rsidRPr="00A1442F">
        <w:t>cases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forced</w:t>
      </w:r>
      <w:r w:rsidR="006252EF" w:rsidRPr="00A1442F">
        <w:t xml:space="preserve"> </w:t>
      </w:r>
      <w:r w:rsidRPr="00A1442F">
        <w:t>religious</w:t>
      </w:r>
      <w:r w:rsidR="006252EF" w:rsidRPr="00A1442F">
        <w:t xml:space="preserve"> </w:t>
      </w:r>
      <w:r w:rsidRPr="00A1442F">
        <w:t>marriage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Faroe</w:t>
      </w:r>
      <w:r w:rsidR="006252EF" w:rsidRPr="00A1442F">
        <w:t xml:space="preserve"> </w:t>
      </w:r>
      <w:r w:rsidRPr="00A1442F">
        <w:t>Islands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authorities</w:t>
      </w:r>
      <w:r w:rsidR="006252EF" w:rsidRPr="00A1442F">
        <w:t xml:space="preserve"> </w:t>
      </w:r>
      <w:r w:rsidRPr="00A1442F">
        <w:t>therefore</w:t>
      </w:r>
      <w:r w:rsidR="006252EF" w:rsidRPr="00A1442F">
        <w:t xml:space="preserve"> </w:t>
      </w:r>
      <w:r w:rsidRPr="00A1442F">
        <w:t>saw</w:t>
      </w:r>
      <w:r w:rsidR="006252EF" w:rsidRPr="00A1442F">
        <w:t xml:space="preserve"> </w:t>
      </w:r>
      <w:r w:rsidRPr="00A1442F">
        <w:t>no</w:t>
      </w:r>
      <w:r w:rsidR="006252EF" w:rsidRPr="00A1442F">
        <w:t xml:space="preserve"> </w:t>
      </w:r>
      <w:r w:rsidRPr="00A1442F">
        <w:t>need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preventive</w:t>
      </w:r>
      <w:r w:rsidR="006252EF" w:rsidRPr="00A1442F">
        <w:t xml:space="preserve"> </w:t>
      </w:r>
      <w:r w:rsidRPr="00A1442F">
        <w:t>action.</w:t>
      </w:r>
    </w:p>
    <w:p w14:paraId="4E0BE3F0" w14:textId="3FA7554D" w:rsidR="00603C5A" w:rsidRPr="00A1442F" w:rsidRDefault="00603C5A" w:rsidP="00A1442F">
      <w:pPr>
        <w:pStyle w:val="ParNoG"/>
      </w:pPr>
      <w:r w:rsidRPr="000C739E">
        <w:rPr>
          <w:b/>
          <w:bCs/>
        </w:rPr>
        <w:t>Ms.</w:t>
      </w:r>
      <w:r w:rsidR="006252EF" w:rsidRPr="000C739E">
        <w:rPr>
          <w:b/>
          <w:bCs/>
        </w:rPr>
        <w:t xml:space="preserve"> </w:t>
      </w:r>
      <w:r w:rsidRPr="000C739E">
        <w:rPr>
          <w:b/>
          <w:bCs/>
        </w:rPr>
        <w:t>Hansen</w:t>
      </w:r>
      <w:r w:rsidR="006252EF" w:rsidRPr="00A1442F">
        <w:t xml:space="preserve"> </w:t>
      </w:r>
      <w:r w:rsidRPr="00A1442F">
        <w:t>(Denmark)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equality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cornerstone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Danish</w:t>
      </w:r>
      <w:r w:rsidR="006252EF" w:rsidRPr="00A1442F">
        <w:t xml:space="preserve"> </w:t>
      </w:r>
      <w:r w:rsidRPr="00A1442F">
        <w:t>democracy,</w:t>
      </w:r>
      <w:r w:rsidR="006252EF" w:rsidRPr="00A1442F">
        <w:t xml:space="preserve"> </w:t>
      </w:r>
      <w:r w:rsidRPr="00A1442F">
        <w:t>central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its</w:t>
      </w:r>
      <w:r w:rsidR="006252EF" w:rsidRPr="00A1442F">
        <w:t xml:space="preserve"> </w:t>
      </w:r>
      <w:r w:rsidRPr="00A1442F">
        <w:t>growth,</w:t>
      </w:r>
      <w:r w:rsidR="006252EF" w:rsidRPr="00A1442F">
        <w:t xml:space="preserve"> </w:t>
      </w:r>
      <w:r w:rsidRPr="00A1442F">
        <w:t>cohesion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social</w:t>
      </w:r>
      <w:r w:rsidR="006252EF" w:rsidRPr="00A1442F">
        <w:t xml:space="preserve"> </w:t>
      </w:r>
      <w:r w:rsidRPr="00A1442F">
        <w:t>welfare,</w:t>
      </w:r>
      <w:r w:rsidR="006252EF" w:rsidRPr="00A1442F">
        <w:t xml:space="preserve"> </w:t>
      </w:r>
      <w:r w:rsidRPr="00A1442F">
        <w:t>yet,</w:t>
      </w:r>
      <w:r w:rsidR="006252EF" w:rsidRPr="00A1442F">
        <w:t xml:space="preserve"> </w:t>
      </w:r>
      <w:r w:rsidRPr="00A1442F">
        <w:t>despite</w:t>
      </w:r>
      <w:r w:rsidR="006252EF" w:rsidRPr="00A1442F">
        <w:t xml:space="preserve"> </w:t>
      </w:r>
      <w:r w:rsidRPr="00A1442F">
        <w:t>ambitious</w:t>
      </w:r>
      <w:r w:rsidR="006252EF" w:rsidRPr="00A1442F">
        <w:t xml:space="preserve"> </w:t>
      </w:r>
      <w:r w:rsidRPr="00A1442F">
        <w:t>targets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a</w:t>
      </w:r>
      <w:r w:rsidR="006252EF" w:rsidRPr="00A1442F">
        <w:t xml:space="preserve"> </w:t>
      </w:r>
      <w:r w:rsidRPr="00A1442F">
        <w:t>high</w:t>
      </w:r>
      <w:r w:rsidR="006252EF" w:rsidRPr="00A1442F">
        <w:t xml:space="preserve"> </w:t>
      </w:r>
      <w:r w:rsidRPr="00A1442F">
        <w:t>degree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parity,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country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still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achieve</w:t>
      </w:r>
      <w:r w:rsidR="006252EF" w:rsidRPr="00A1442F">
        <w:t xml:space="preserve"> </w:t>
      </w:r>
      <w:r w:rsidRPr="00A1442F">
        <w:t>de</w:t>
      </w:r>
      <w:r w:rsidR="006252EF" w:rsidRPr="00A1442F">
        <w:t xml:space="preserve"> </w:t>
      </w:r>
      <w:r w:rsidRPr="00A1442F">
        <w:t>facto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equality.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acknowledged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important</w:t>
      </w:r>
      <w:r w:rsidR="006252EF" w:rsidRPr="00A1442F">
        <w:t xml:space="preserve"> </w:t>
      </w:r>
      <w:r w:rsidRPr="00A1442F">
        <w:t>areas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concern</w:t>
      </w:r>
      <w:r w:rsidR="006252EF" w:rsidRPr="00A1442F">
        <w:t xml:space="preserve"> </w:t>
      </w:r>
      <w:r w:rsidRPr="00A1442F">
        <w:t>highlighted</w:t>
      </w:r>
      <w:r w:rsidR="006252EF" w:rsidRPr="00A1442F">
        <w:t xml:space="preserve"> </w:t>
      </w:r>
      <w:r w:rsidRPr="00A1442F">
        <w:t>by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Committee,</w:t>
      </w:r>
      <w:r w:rsidR="006252EF" w:rsidRPr="00A1442F">
        <w:t xml:space="preserve"> </w:t>
      </w:r>
      <w:r w:rsidRPr="00A1442F">
        <w:t>which</w:t>
      </w:r>
      <w:r w:rsidR="006252EF" w:rsidRPr="00A1442F">
        <w:t xml:space="preserve"> </w:t>
      </w:r>
      <w:r w:rsidRPr="00A1442F">
        <w:t>included</w:t>
      </w:r>
      <w:r w:rsidR="006252EF" w:rsidRPr="00A1442F">
        <w:t xml:space="preserve"> </w:t>
      </w:r>
      <w:r w:rsidRPr="00A1442F">
        <w:t>women</w:t>
      </w:r>
      <w:r w:rsidR="00C6067F">
        <w:t>’</w:t>
      </w:r>
      <w:r w:rsidRPr="00A1442F">
        <w:t>s</w:t>
      </w:r>
      <w:r w:rsidR="006252EF" w:rsidRPr="00A1442F">
        <w:t xml:space="preserve"> </w:t>
      </w:r>
      <w:r w:rsidRPr="00A1442F">
        <w:t>underrepresentation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decision-making,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segregation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labour</w:t>
      </w:r>
      <w:r w:rsidR="006252EF" w:rsidRPr="00A1442F">
        <w:t xml:space="preserve"> </w:t>
      </w:r>
      <w:r w:rsidRPr="00A1442F">
        <w:t>market,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pay</w:t>
      </w:r>
      <w:r w:rsidR="006252EF" w:rsidRPr="00A1442F">
        <w:t xml:space="preserve"> </w:t>
      </w:r>
      <w:r w:rsidRPr="00A1442F">
        <w:t>gap,</w:t>
      </w:r>
      <w:r w:rsidR="006252EF" w:rsidRPr="00A1442F">
        <w:t xml:space="preserve"> </w:t>
      </w:r>
      <w:r w:rsidRPr="00A1442F">
        <w:t>gender-based</w:t>
      </w:r>
      <w:r w:rsidR="006252EF" w:rsidRPr="00A1442F">
        <w:t xml:space="preserve"> </w:t>
      </w:r>
      <w:r w:rsidRPr="00A1442F">
        <w:t>violence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trafficking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human</w:t>
      </w:r>
      <w:r w:rsidR="006252EF" w:rsidRPr="00A1442F">
        <w:t xml:space="preserve"> </w:t>
      </w:r>
      <w:r w:rsidRPr="00A1442F">
        <w:t>beings,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well</w:t>
      </w:r>
      <w:r w:rsidR="006252EF" w:rsidRPr="00A1442F">
        <w:t xml:space="preserve"> </w:t>
      </w:r>
      <w:r w:rsidRPr="00A1442F">
        <w:t>as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need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gender</w:t>
      </w:r>
      <w:r w:rsidR="006252EF" w:rsidRPr="00A1442F">
        <w:t xml:space="preserve"> </w:t>
      </w:r>
      <w:r w:rsidRPr="00A1442F">
        <w:t>neutrality,</w:t>
      </w:r>
      <w:r w:rsidR="006252EF" w:rsidRPr="00A1442F">
        <w:t xml:space="preserve"> </w:t>
      </w:r>
      <w:r w:rsidRPr="00A1442F">
        <w:t>affirmative</w:t>
      </w:r>
      <w:r w:rsidR="006252EF" w:rsidRPr="00A1442F">
        <w:t xml:space="preserve"> </w:t>
      </w:r>
      <w:r w:rsidRPr="00A1442F">
        <w:t>action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better</w:t>
      </w:r>
      <w:r w:rsidR="006252EF" w:rsidRPr="00A1442F">
        <w:t xml:space="preserve"> </w:t>
      </w:r>
      <w:r w:rsidRPr="00A1442F">
        <w:t>sex-disaggregated</w:t>
      </w:r>
      <w:r w:rsidR="006252EF" w:rsidRPr="00A1442F">
        <w:t xml:space="preserve"> </w:t>
      </w:r>
      <w:r w:rsidRPr="00A1442F">
        <w:t>statistics.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COVID-19</w:t>
      </w:r>
      <w:r w:rsidR="006252EF" w:rsidRPr="00A1442F">
        <w:t xml:space="preserve"> </w:t>
      </w:r>
      <w:r w:rsidRPr="00A1442F">
        <w:t>pandemic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been</w:t>
      </w:r>
      <w:r w:rsidR="006252EF" w:rsidRPr="00A1442F">
        <w:t xml:space="preserve"> </w:t>
      </w:r>
      <w:r w:rsidRPr="00A1442F">
        <w:t>an</w:t>
      </w:r>
      <w:r w:rsidR="006252EF" w:rsidRPr="00A1442F">
        <w:t xml:space="preserve"> </w:t>
      </w:r>
      <w:r w:rsidRPr="00A1442F">
        <w:t>undercurrent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many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questions</w:t>
      </w:r>
      <w:r w:rsidR="006252EF" w:rsidRPr="00A1442F">
        <w:t xml:space="preserve"> </w:t>
      </w:r>
      <w:r w:rsidRPr="00A1442F">
        <w:t>raised</w:t>
      </w:r>
      <w:r w:rsidR="006252EF" w:rsidRPr="00A1442F">
        <w:t xml:space="preserve"> </w:t>
      </w:r>
      <w:r w:rsidRPr="00A1442F">
        <w:t>and,</w:t>
      </w:r>
      <w:r w:rsidR="006252EF" w:rsidRPr="00A1442F">
        <w:t xml:space="preserve"> </w:t>
      </w:r>
      <w:r w:rsidRPr="00A1442F">
        <w:t>with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observation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mind,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wished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assure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Committee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Government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continue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work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ensure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no</w:t>
      </w:r>
      <w:r w:rsidR="006252EF" w:rsidRPr="00A1442F">
        <w:t xml:space="preserve"> </w:t>
      </w:r>
      <w:r w:rsidRPr="00A1442F">
        <w:t>woman,</w:t>
      </w:r>
      <w:r w:rsidR="006252EF" w:rsidRPr="00A1442F">
        <w:t xml:space="preserve"> </w:t>
      </w:r>
      <w:r w:rsidRPr="00A1442F">
        <w:t>man,</w:t>
      </w:r>
      <w:r w:rsidR="006252EF" w:rsidRPr="00A1442F">
        <w:t xml:space="preserve"> </w:t>
      </w:r>
      <w:r w:rsidRPr="00A1442F">
        <w:t>girl</w:t>
      </w:r>
      <w:r w:rsidR="006252EF" w:rsidRPr="00A1442F">
        <w:t xml:space="preserve"> </w:t>
      </w:r>
      <w:r w:rsidRPr="00A1442F">
        <w:t>or</w:t>
      </w:r>
      <w:r w:rsidR="006252EF" w:rsidRPr="00A1442F">
        <w:t xml:space="preserve"> </w:t>
      </w:r>
      <w:r w:rsidRPr="00A1442F">
        <w:t>boy</w:t>
      </w:r>
      <w:r w:rsidR="006252EF" w:rsidRPr="00A1442F">
        <w:t xml:space="preserve"> </w:t>
      </w:r>
      <w:r w:rsidRPr="00A1442F">
        <w:t>was</w:t>
      </w:r>
      <w:r w:rsidR="006252EF" w:rsidRPr="00A1442F">
        <w:t xml:space="preserve"> </w:t>
      </w:r>
      <w:r w:rsidRPr="00A1442F">
        <w:t>left</w:t>
      </w:r>
      <w:r w:rsidR="006252EF" w:rsidRPr="00A1442F">
        <w:t xml:space="preserve"> </w:t>
      </w:r>
      <w:r w:rsidRPr="00A1442F">
        <w:t>behind</w:t>
      </w:r>
      <w:r w:rsidR="006252EF" w:rsidRPr="00A1442F">
        <w:t xml:space="preserve"> </w:t>
      </w:r>
      <w:r w:rsidRPr="00A1442F">
        <w:t>during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crisis.</w:t>
      </w:r>
      <w:r w:rsidR="006252EF" w:rsidRPr="00A1442F">
        <w:t xml:space="preserve"> </w:t>
      </w:r>
      <w:r w:rsidRPr="00A1442F">
        <w:t>It</w:t>
      </w:r>
      <w:r w:rsidR="006252EF" w:rsidRPr="00A1442F">
        <w:t xml:space="preserve"> </w:t>
      </w:r>
      <w:r w:rsidRPr="00A1442F">
        <w:t>would</w:t>
      </w:r>
      <w:r w:rsidR="006252EF" w:rsidRPr="00A1442F">
        <w:t xml:space="preserve"> </w:t>
      </w:r>
      <w:r w:rsidRPr="00A1442F">
        <w:t>monitor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situation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vulnerable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especially</w:t>
      </w:r>
      <w:r w:rsidR="006252EF" w:rsidRPr="00A1442F">
        <w:t xml:space="preserve"> </w:t>
      </w:r>
      <w:r w:rsidRPr="00A1442F">
        <w:t>closely,</w:t>
      </w:r>
      <w:r w:rsidR="006252EF" w:rsidRPr="00A1442F">
        <w:t xml:space="preserve"> </w:t>
      </w:r>
      <w:r w:rsidRPr="00A1442F">
        <w:t>mindful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fact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preliminary</w:t>
      </w:r>
      <w:r w:rsidR="006252EF" w:rsidRPr="00A1442F">
        <w:t xml:space="preserve"> </w:t>
      </w:r>
      <w:r w:rsidRPr="00A1442F">
        <w:t>studies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pandemic</w:t>
      </w:r>
      <w:r w:rsidR="00C6067F">
        <w:t>’</w:t>
      </w:r>
      <w:r w:rsidRPr="00A1442F">
        <w:t>s</w:t>
      </w:r>
      <w:r w:rsidR="006252EF" w:rsidRPr="00A1442F">
        <w:t xml:space="preserve"> </w:t>
      </w:r>
      <w:r w:rsidRPr="00A1442F">
        <w:t>consequences</w:t>
      </w:r>
      <w:r w:rsidR="006252EF" w:rsidRPr="00A1442F">
        <w:t xml:space="preserve"> </w:t>
      </w:r>
      <w:r w:rsidRPr="00A1442F">
        <w:t>indicated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persons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situations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financial</w:t>
      </w:r>
      <w:r w:rsidR="006252EF" w:rsidRPr="00A1442F">
        <w:t xml:space="preserve"> </w:t>
      </w:r>
      <w:r w:rsidRPr="00A1442F">
        <w:t>instability,</w:t>
      </w:r>
      <w:r w:rsidR="006252EF" w:rsidRPr="00A1442F">
        <w:t xml:space="preserve"> </w:t>
      </w:r>
      <w:r w:rsidRPr="00A1442F">
        <w:t>women</w:t>
      </w:r>
      <w:r w:rsidR="006252EF" w:rsidRPr="00A1442F">
        <w:t xml:space="preserve"> </w:t>
      </w:r>
      <w:r w:rsidRPr="00A1442F">
        <w:t>victims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violence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mentally</w:t>
      </w:r>
      <w:r w:rsidR="006252EF" w:rsidRPr="00A1442F">
        <w:t xml:space="preserve"> </w:t>
      </w:r>
      <w:r w:rsidRPr="00A1442F">
        <w:t>vulnerable</w:t>
      </w:r>
      <w:r w:rsidR="006252EF" w:rsidRPr="00A1442F">
        <w:t xml:space="preserve"> </w:t>
      </w:r>
      <w:r w:rsidRPr="00A1442F">
        <w:t>people</w:t>
      </w:r>
      <w:r w:rsidR="006252EF" w:rsidRPr="00A1442F">
        <w:t xml:space="preserve"> </w:t>
      </w:r>
      <w:r w:rsidRPr="00A1442F">
        <w:t>were</w:t>
      </w:r>
      <w:r w:rsidR="006252EF" w:rsidRPr="00A1442F">
        <w:t xml:space="preserve"> </w:t>
      </w:r>
      <w:r w:rsidRPr="00A1442F">
        <w:t>suffering</w:t>
      </w:r>
      <w:r w:rsidR="006252EF" w:rsidRPr="00A1442F">
        <w:t xml:space="preserve"> </w:t>
      </w:r>
      <w:r w:rsidRPr="00A1442F">
        <w:t>most.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delegation</w:t>
      </w:r>
      <w:r w:rsidR="006252EF" w:rsidRPr="00A1442F">
        <w:t xml:space="preserve"> </w:t>
      </w:r>
      <w:r w:rsidRPr="00A1442F">
        <w:t>wished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thank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Committee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very</w:t>
      </w:r>
      <w:r w:rsidR="006252EF" w:rsidRPr="00A1442F">
        <w:t xml:space="preserve"> </w:t>
      </w:r>
      <w:r w:rsidRPr="00A1442F">
        <w:t>constructive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open</w:t>
      </w:r>
      <w:r w:rsidR="006252EF" w:rsidRPr="00A1442F">
        <w:t xml:space="preserve"> </w:t>
      </w:r>
      <w:r w:rsidRPr="00A1442F">
        <w:t>dialogue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looked</w:t>
      </w:r>
      <w:r w:rsidR="006252EF" w:rsidRPr="00A1442F">
        <w:t xml:space="preserve"> </w:t>
      </w:r>
      <w:r w:rsidRPr="00A1442F">
        <w:t>forward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receiving</w:t>
      </w:r>
      <w:r w:rsidR="006252EF" w:rsidRPr="00A1442F">
        <w:t xml:space="preserve"> </w:t>
      </w:r>
      <w:r w:rsidRPr="00A1442F">
        <w:t>its</w:t>
      </w:r>
      <w:r w:rsidR="006252EF" w:rsidRPr="00A1442F">
        <w:t xml:space="preserve"> </w:t>
      </w:r>
      <w:r w:rsidRPr="00A1442F">
        <w:t>concluding</w:t>
      </w:r>
      <w:r w:rsidR="006252EF" w:rsidRPr="00A1442F">
        <w:t xml:space="preserve"> </w:t>
      </w:r>
      <w:r w:rsidRPr="00A1442F">
        <w:t>observations.</w:t>
      </w:r>
    </w:p>
    <w:p w14:paraId="39345AD6" w14:textId="219509AB" w:rsidR="00603C5A" w:rsidRPr="00A1442F" w:rsidRDefault="00603C5A" w:rsidP="00A1442F">
      <w:pPr>
        <w:pStyle w:val="ParNoG"/>
      </w:pPr>
      <w:r w:rsidRPr="000C739E">
        <w:rPr>
          <w:b/>
          <w:bCs/>
        </w:rPr>
        <w:t>The</w:t>
      </w:r>
      <w:r w:rsidR="006252EF" w:rsidRPr="000C739E">
        <w:rPr>
          <w:b/>
          <w:bCs/>
        </w:rPr>
        <w:t xml:space="preserve"> </w:t>
      </w:r>
      <w:r w:rsidRPr="000C739E">
        <w:rPr>
          <w:b/>
          <w:bCs/>
        </w:rPr>
        <w:t>Chair</w:t>
      </w:r>
      <w:r w:rsidR="006252EF" w:rsidRPr="00A1442F">
        <w:t xml:space="preserve"> </w:t>
      </w:r>
      <w:r w:rsidRPr="00A1442F">
        <w:t>said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she</w:t>
      </w:r>
      <w:r w:rsidR="006252EF" w:rsidRPr="00A1442F">
        <w:t xml:space="preserve"> </w:t>
      </w:r>
      <w:r w:rsidRPr="00A1442F">
        <w:t>wished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thank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members</w:t>
      </w:r>
      <w:r w:rsidR="006252EF" w:rsidRPr="00A1442F">
        <w:t xml:space="preserve"> </w:t>
      </w:r>
      <w:r w:rsidRPr="00A1442F">
        <w:t>of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delegation</w:t>
      </w:r>
      <w:r w:rsidR="006252EF" w:rsidRPr="00A1442F">
        <w:t xml:space="preserve"> </w:t>
      </w:r>
      <w:r w:rsidRPr="00A1442F">
        <w:t>for</w:t>
      </w:r>
      <w:r w:rsidR="006252EF" w:rsidRPr="00A1442F">
        <w:t xml:space="preserve"> </w:t>
      </w:r>
      <w:r w:rsidRPr="00A1442F">
        <w:t>their</w:t>
      </w:r>
      <w:r w:rsidR="006252EF" w:rsidRPr="00A1442F">
        <w:t xml:space="preserve"> </w:t>
      </w:r>
      <w:r w:rsidRPr="00A1442F">
        <w:t>responses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explanations</w:t>
      </w:r>
      <w:r w:rsidR="006252EF" w:rsidRPr="00A1442F">
        <w:t xml:space="preserve"> </w:t>
      </w:r>
      <w:r w:rsidRPr="00A1442F">
        <w:t>and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remind</w:t>
      </w:r>
      <w:r w:rsidR="006252EF" w:rsidRPr="00A1442F">
        <w:t xml:space="preserve"> </w:t>
      </w:r>
      <w:r w:rsidRPr="00A1442F">
        <w:t>them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any</w:t>
      </w:r>
      <w:r w:rsidR="006252EF" w:rsidRPr="00A1442F">
        <w:t xml:space="preserve"> </w:t>
      </w:r>
      <w:r w:rsidRPr="00A1442F">
        <w:t>information</w:t>
      </w:r>
      <w:r w:rsidR="006252EF" w:rsidRPr="00A1442F">
        <w:t xml:space="preserve"> </w:t>
      </w:r>
      <w:r w:rsidRPr="00A1442F">
        <w:t>that</w:t>
      </w:r>
      <w:r w:rsidR="006252EF" w:rsidRPr="00A1442F">
        <w:t xml:space="preserve"> </w:t>
      </w:r>
      <w:r w:rsidRPr="00A1442F">
        <w:t>time</w:t>
      </w:r>
      <w:r w:rsidR="006252EF" w:rsidRPr="00A1442F">
        <w:t xml:space="preserve"> </w:t>
      </w:r>
      <w:r w:rsidRPr="00A1442F">
        <w:t>constraints</w:t>
      </w:r>
      <w:r w:rsidR="006252EF" w:rsidRPr="00A1442F">
        <w:t xml:space="preserve"> </w:t>
      </w:r>
      <w:r w:rsidRPr="00A1442F">
        <w:t>had</w:t>
      </w:r>
      <w:r w:rsidR="006252EF" w:rsidRPr="00A1442F">
        <w:t xml:space="preserve"> </w:t>
      </w:r>
      <w:r w:rsidRPr="00A1442F">
        <w:t>prevented</w:t>
      </w:r>
      <w:r w:rsidR="006252EF" w:rsidRPr="00A1442F">
        <w:t xml:space="preserve"> </w:t>
      </w:r>
      <w:r w:rsidRPr="00A1442F">
        <w:t>them</w:t>
      </w:r>
      <w:r w:rsidR="006252EF" w:rsidRPr="00A1442F">
        <w:t xml:space="preserve"> </w:t>
      </w:r>
      <w:r w:rsidRPr="00A1442F">
        <w:t>from</w:t>
      </w:r>
      <w:r w:rsidR="006252EF" w:rsidRPr="00A1442F">
        <w:t xml:space="preserve"> </w:t>
      </w:r>
      <w:r w:rsidRPr="00A1442F">
        <w:t>sharing</w:t>
      </w:r>
      <w:r w:rsidR="006252EF" w:rsidRPr="00A1442F">
        <w:t xml:space="preserve"> </w:t>
      </w:r>
      <w:r w:rsidRPr="00A1442F">
        <w:t>during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meeting</w:t>
      </w:r>
      <w:r w:rsidR="006252EF" w:rsidRPr="00A1442F">
        <w:t xml:space="preserve"> </w:t>
      </w:r>
      <w:r w:rsidRPr="00A1442F">
        <w:t>should</w:t>
      </w:r>
      <w:r w:rsidR="006252EF" w:rsidRPr="00A1442F">
        <w:t xml:space="preserve"> </w:t>
      </w:r>
      <w:r w:rsidRPr="00A1442F">
        <w:t>be</w:t>
      </w:r>
      <w:r w:rsidR="006252EF" w:rsidRPr="00A1442F">
        <w:t xml:space="preserve"> </w:t>
      </w:r>
      <w:r w:rsidRPr="00A1442F">
        <w:t>submitted</w:t>
      </w:r>
      <w:r w:rsidR="006252EF" w:rsidRPr="00A1442F">
        <w:t xml:space="preserve"> </w:t>
      </w:r>
      <w:r w:rsidRPr="00A1442F">
        <w:t>to</w:t>
      </w:r>
      <w:r w:rsidR="006252EF" w:rsidRPr="00A1442F">
        <w:t xml:space="preserve"> </w:t>
      </w:r>
      <w:r w:rsidRPr="00A1442F">
        <w:t>the</w:t>
      </w:r>
      <w:r w:rsidR="006252EF" w:rsidRPr="00A1442F">
        <w:t xml:space="preserve"> </w:t>
      </w:r>
      <w:r w:rsidRPr="00A1442F">
        <w:t>Committee</w:t>
      </w:r>
      <w:r w:rsidR="006252EF" w:rsidRPr="00A1442F">
        <w:t xml:space="preserve"> </w:t>
      </w:r>
      <w:r w:rsidRPr="00A1442F">
        <w:t>in</w:t>
      </w:r>
      <w:r w:rsidR="006252EF" w:rsidRPr="00A1442F">
        <w:t xml:space="preserve"> </w:t>
      </w:r>
      <w:r w:rsidRPr="00A1442F">
        <w:t>writing.</w:t>
      </w:r>
    </w:p>
    <w:p w14:paraId="7995BD72" w14:textId="4E36CCE2" w:rsidR="00603C5A" w:rsidRPr="00603C5A" w:rsidRDefault="00603C5A" w:rsidP="00603C5A">
      <w:pPr>
        <w:pStyle w:val="SingleTxtG"/>
        <w:rPr>
          <w:i/>
          <w:iCs/>
        </w:rPr>
      </w:pPr>
      <w:r w:rsidRPr="00603C5A">
        <w:rPr>
          <w:i/>
          <w:iCs/>
        </w:rPr>
        <w:t>The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meeting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rose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at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2.35</w:t>
      </w:r>
      <w:r w:rsidR="006252EF">
        <w:rPr>
          <w:i/>
          <w:iCs/>
        </w:rPr>
        <w:t xml:space="preserve"> </w:t>
      </w:r>
      <w:r w:rsidRPr="00603C5A">
        <w:rPr>
          <w:i/>
          <w:iCs/>
        </w:rPr>
        <w:t>p.m.</w:t>
      </w:r>
      <w:bookmarkEnd w:id="1"/>
    </w:p>
    <w:sectPr w:rsidR="00603C5A" w:rsidRPr="00603C5A" w:rsidSect="005C06D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2B61" w16cex:dateUtc="2021-03-01T07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3D52" w14:textId="77777777" w:rsidR="002E1782" w:rsidRDefault="002E1782">
      <w:pPr>
        <w:spacing w:line="240" w:lineRule="auto"/>
      </w:pPr>
      <w:r>
        <w:separator/>
      </w:r>
    </w:p>
  </w:endnote>
  <w:endnote w:type="continuationSeparator" w:id="0">
    <w:p w14:paraId="780C787D" w14:textId="77777777" w:rsidR="002E1782" w:rsidRDefault="002E1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E540" w14:textId="2E68CCE6" w:rsidR="006252EF" w:rsidRPr="00BE5B1D" w:rsidRDefault="006252EF" w:rsidP="00BE5B1D">
    <w:pPr>
      <w:pStyle w:val="Footer"/>
      <w:tabs>
        <w:tab w:val="right" w:pos="9638"/>
      </w:tabs>
    </w:pPr>
    <w:r w:rsidRPr="00BE5B1D">
      <w:rPr>
        <w:b/>
        <w:bCs/>
        <w:sz w:val="18"/>
      </w:rPr>
      <w:fldChar w:fldCharType="begin"/>
    </w:r>
    <w:r w:rsidRPr="00BE5B1D">
      <w:rPr>
        <w:b/>
        <w:bCs/>
        <w:sz w:val="18"/>
      </w:rPr>
      <w:instrText xml:space="preserve"> PAGE  \* MERGEFORMAT </w:instrText>
    </w:r>
    <w:r w:rsidRPr="00BE5B1D">
      <w:rPr>
        <w:b/>
        <w:bCs/>
        <w:sz w:val="18"/>
      </w:rPr>
      <w:fldChar w:fldCharType="separate"/>
    </w:r>
    <w:r w:rsidRPr="00BE5B1D">
      <w:rPr>
        <w:b/>
        <w:bCs/>
        <w:noProof/>
        <w:sz w:val="18"/>
      </w:rPr>
      <w:t>2</w:t>
    </w:r>
    <w:r w:rsidRPr="00BE5B1D">
      <w:rPr>
        <w:b/>
        <w:bCs/>
        <w:sz w:val="18"/>
      </w:rPr>
      <w:fldChar w:fldCharType="end"/>
    </w:r>
    <w:r>
      <w:tab/>
      <w:t>GE.21-02627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5C67" w14:textId="175C873E" w:rsidR="006252EF" w:rsidRPr="00BE5B1D" w:rsidRDefault="006252EF" w:rsidP="00BE5B1D">
    <w:pPr>
      <w:pStyle w:val="Footer"/>
      <w:tabs>
        <w:tab w:val="right" w:pos="9638"/>
      </w:tabs>
    </w:pPr>
    <w:r>
      <w:t>GE.21-02627</w:t>
    </w:r>
    <w:r>
      <w:tab/>
    </w:r>
    <w:r w:rsidRPr="00BE5B1D">
      <w:rPr>
        <w:b/>
        <w:bCs/>
        <w:sz w:val="18"/>
      </w:rPr>
      <w:fldChar w:fldCharType="begin"/>
    </w:r>
    <w:r w:rsidRPr="00BE5B1D">
      <w:rPr>
        <w:b/>
        <w:bCs/>
        <w:sz w:val="18"/>
      </w:rPr>
      <w:instrText xml:space="preserve"> PAGE  \* MERGEFORMAT </w:instrText>
    </w:r>
    <w:r w:rsidRPr="00BE5B1D">
      <w:rPr>
        <w:b/>
        <w:bCs/>
        <w:sz w:val="18"/>
      </w:rPr>
      <w:fldChar w:fldCharType="separate"/>
    </w:r>
    <w:r w:rsidRPr="00BE5B1D">
      <w:rPr>
        <w:b/>
        <w:bCs/>
        <w:noProof/>
        <w:sz w:val="18"/>
      </w:rPr>
      <w:t>3</w:t>
    </w:r>
    <w:r w:rsidRPr="00BE5B1D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EF19" w14:textId="77777777" w:rsidR="006252EF" w:rsidRDefault="006252EF" w:rsidP="003B0B0F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14:paraId="7F2E53DE" w14:textId="7BCEA38F" w:rsidR="006252EF" w:rsidRDefault="006252EF" w:rsidP="003B0B0F">
    <w:pPr>
      <w:pStyle w:val="FootnoteText"/>
      <w:spacing w:after="120"/>
      <w:ind w:firstLine="0"/>
    </w:pPr>
    <w:r>
      <w:t>This record is subject to correction. Corrections should be set forth in a memorandum and also incorporated in a copy of the record. They should be sent within one week of the date of the present record to the Documents Management Section (DMS-DCM@un.org).</w:t>
    </w:r>
  </w:p>
  <w:p w14:paraId="2F5457EC" w14:textId="6363D054" w:rsidR="006252EF" w:rsidRPr="003B0B0F" w:rsidRDefault="006252EF" w:rsidP="003B0B0F">
    <w:pPr>
      <w:pStyle w:val="FootnoteText"/>
      <w:kinsoku/>
      <w:overflowPunct/>
      <w:autoSpaceDE/>
      <w:autoSpaceDN/>
      <w:adjustRightInd/>
      <w:snapToGrid/>
      <w:spacing w:after="240"/>
      <w:ind w:firstLine="0"/>
      <w:rPr>
        <w:rFonts w:eastAsia="SimSun"/>
        <w:szCs w:val="18"/>
        <w:lang w:eastAsia="zh-CN"/>
      </w:rPr>
    </w:pPr>
    <w:r w:rsidRPr="003B0B0F">
      <w:rPr>
        <w:rFonts w:eastAsia="SimSun"/>
        <w:szCs w:val="18"/>
        <w:lang w:eastAsia="zh-CN"/>
      </w:rPr>
      <w:t>Any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corrected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records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of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the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public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meetings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of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the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Committee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at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this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session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will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be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reissued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for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technical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reasons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after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the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end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of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the</w:t>
    </w:r>
    <w:r>
      <w:rPr>
        <w:rFonts w:eastAsia="SimSun"/>
        <w:szCs w:val="18"/>
        <w:lang w:eastAsia="zh-CN"/>
      </w:rPr>
      <w:t xml:space="preserve"> </w:t>
    </w:r>
    <w:r w:rsidRPr="003B0B0F">
      <w:rPr>
        <w:rFonts w:eastAsia="SimSun"/>
        <w:szCs w:val="18"/>
        <w:lang w:eastAsia="zh-CN"/>
      </w:rPr>
      <w:t>session.</w:t>
    </w:r>
  </w:p>
  <w:p w14:paraId="0E8786DE" w14:textId="66EB842B" w:rsidR="006252EF" w:rsidRDefault="006252EF" w:rsidP="007F139D">
    <w:pPr>
      <w:pStyle w:val="Footer"/>
      <w:rPr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754BFC5" wp14:editId="694DC0D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A48D3" w14:textId="665F90C4" w:rsidR="006252EF" w:rsidRPr="00BE5B1D" w:rsidRDefault="006252EF" w:rsidP="00BE5B1D">
    <w:pPr>
      <w:pStyle w:val="Footer"/>
      <w:rPr>
        <w:sz w:val="20"/>
      </w:rPr>
    </w:pPr>
    <w:r>
      <w:rPr>
        <w:sz w:val="20"/>
      </w:rPr>
      <w:t>GE.21-</w:t>
    </w:r>
    <w:proofErr w:type="gramStart"/>
    <w:r>
      <w:rPr>
        <w:sz w:val="20"/>
      </w:rPr>
      <w:t>02627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7015A5" wp14:editId="69E9FA32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39E">
      <w:rPr>
        <w:sz w:val="20"/>
      </w:rPr>
      <w:t xml:space="preserve">    260221    </w:t>
    </w:r>
    <w:r w:rsidR="00756383">
      <w:rPr>
        <w:sz w:val="20"/>
      </w:rPr>
      <w:t>01</w:t>
    </w:r>
    <w:r w:rsidR="000C739E">
      <w:rPr>
        <w:sz w:val="20"/>
      </w:rPr>
      <w:t>0</w:t>
    </w:r>
    <w:r w:rsidR="00756383">
      <w:rPr>
        <w:sz w:val="20"/>
      </w:rPr>
      <w:t>3</w:t>
    </w:r>
    <w:r w:rsidR="000C739E">
      <w:rPr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DE95" w14:textId="77777777" w:rsidR="002E1782" w:rsidRDefault="002E1782">
      <w:pPr>
        <w:spacing w:line="240" w:lineRule="auto"/>
      </w:pPr>
      <w:r>
        <w:separator/>
      </w:r>
    </w:p>
  </w:footnote>
  <w:footnote w:type="continuationSeparator" w:id="0">
    <w:p w14:paraId="549E7724" w14:textId="77777777" w:rsidR="002E1782" w:rsidRDefault="002E1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C8D7" w14:textId="77777777" w:rsidR="006252EF" w:rsidRDefault="006252EF">
    <w:pPr>
      <w:pStyle w:val="Header"/>
    </w:pPr>
    <w:r>
      <w:t>CEDAW/C/SR.1799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2431" w14:textId="77777777" w:rsidR="006252EF" w:rsidRDefault="006252EF" w:rsidP="005B6BC9">
    <w:pPr>
      <w:pStyle w:val="Header"/>
      <w:jc w:val="right"/>
    </w:pPr>
    <w:r>
      <w:t>CEDAW/C/SR.1799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B08445C"/>
    <w:lvl w:ilvl="0" w:tplc="2030451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5DCBE94">
      <w:numFmt w:val="decimal"/>
      <w:lvlText w:val=""/>
      <w:lvlJc w:val="left"/>
    </w:lvl>
    <w:lvl w:ilvl="2" w:tplc="A86CB32E">
      <w:numFmt w:val="decimal"/>
      <w:lvlText w:val=""/>
      <w:lvlJc w:val="left"/>
    </w:lvl>
    <w:lvl w:ilvl="3" w:tplc="9E408CC0">
      <w:numFmt w:val="decimal"/>
      <w:lvlText w:val=""/>
      <w:lvlJc w:val="left"/>
    </w:lvl>
    <w:lvl w:ilvl="4" w:tplc="3D60D646">
      <w:numFmt w:val="decimal"/>
      <w:lvlText w:val=""/>
      <w:lvlJc w:val="left"/>
    </w:lvl>
    <w:lvl w:ilvl="5" w:tplc="BC1AB80E">
      <w:numFmt w:val="decimal"/>
      <w:lvlText w:val=""/>
      <w:lvlJc w:val="left"/>
    </w:lvl>
    <w:lvl w:ilvl="6" w:tplc="77D83C40">
      <w:numFmt w:val="decimal"/>
      <w:lvlText w:val=""/>
      <w:lvlJc w:val="left"/>
    </w:lvl>
    <w:lvl w:ilvl="7" w:tplc="C8B66F22">
      <w:numFmt w:val="decimal"/>
      <w:lvlText w:val=""/>
      <w:lvlJc w:val="left"/>
    </w:lvl>
    <w:lvl w:ilvl="8" w:tplc="06A40C3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D50032A"/>
    <w:lvl w:ilvl="0" w:tplc="D7EE650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70AE9DA">
      <w:numFmt w:val="decimal"/>
      <w:lvlText w:val=""/>
      <w:lvlJc w:val="left"/>
    </w:lvl>
    <w:lvl w:ilvl="2" w:tplc="D53616E2">
      <w:numFmt w:val="decimal"/>
      <w:lvlText w:val=""/>
      <w:lvlJc w:val="left"/>
    </w:lvl>
    <w:lvl w:ilvl="3" w:tplc="37E26142">
      <w:numFmt w:val="decimal"/>
      <w:lvlText w:val=""/>
      <w:lvlJc w:val="left"/>
    </w:lvl>
    <w:lvl w:ilvl="4" w:tplc="9D646D78">
      <w:numFmt w:val="decimal"/>
      <w:lvlText w:val=""/>
      <w:lvlJc w:val="left"/>
    </w:lvl>
    <w:lvl w:ilvl="5" w:tplc="1012E300">
      <w:numFmt w:val="decimal"/>
      <w:lvlText w:val=""/>
      <w:lvlJc w:val="left"/>
    </w:lvl>
    <w:lvl w:ilvl="6" w:tplc="F5B4C0F0">
      <w:numFmt w:val="decimal"/>
      <w:lvlText w:val=""/>
      <w:lvlJc w:val="left"/>
    </w:lvl>
    <w:lvl w:ilvl="7" w:tplc="65446380">
      <w:numFmt w:val="decimal"/>
      <w:lvlText w:val=""/>
      <w:lvlJc w:val="left"/>
    </w:lvl>
    <w:lvl w:ilvl="8" w:tplc="BF52489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44CBCBC"/>
    <w:lvl w:ilvl="0" w:tplc="B4E670C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234C312">
      <w:numFmt w:val="decimal"/>
      <w:lvlText w:val=""/>
      <w:lvlJc w:val="left"/>
    </w:lvl>
    <w:lvl w:ilvl="2" w:tplc="0324D208">
      <w:numFmt w:val="decimal"/>
      <w:lvlText w:val=""/>
      <w:lvlJc w:val="left"/>
    </w:lvl>
    <w:lvl w:ilvl="3" w:tplc="FD265254">
      <w:numFmt w:val="decimal"/>
      <w:lvlText w:val=""/>
      <w:lvlJc w:val="left"/>
    </w:lvl>
    <w:lvl w:ilvl="4" w:tplc="D408EB0E">
      <w:numFmt w:val="decimal"/>
      <w:lvlText w:val=""/>
      <w:lvlJc w:val="left"/>
    </w:lvl>
    <w:lvl w:ilvl="5" w:tplc="1F96051E">
      <w:numFmt w:val="decimal"/>
      <w:lvlText w:val=""/>
      <w:lvlJc w:val="left"/>
    </w:lvl>
    <w:lvl w:ilvl="6" w:tplc="CACCA960">
      <w:numFmt w:val="decimal"/>
      <w:lvlText w:val=""/>
      <w:lvlJc w:val="left"/>
    </w:lvl>
    <w:lvl w:ilvl="7" w:tplc="5ED23428">
      <w:numFmt w:val="decimal"/>
      <w:lvlText w:val=""/>
      <w:lvlJc w:val="left"/>
    </w:lvl>
    <w:lvl w:ilvl="8" w:tplc="66ECFFE4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D7C65D3C"/>
    <w:lvl w:ilvl="0" w:tplc="192ADEE6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A03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B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00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4D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CF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00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CC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8B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CB6C816A"/>
    <w:lvl w:ilvl="0" w:tplc="5022B21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8446F24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E07215CA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6EC4B55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8417B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43384902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34C13EA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156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7A34C0F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4DD0BF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664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9F6210"/>
    <w:multiLevelType w:val="multilevel"/>
    <w:tmpl w:val="7A3E1CC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D07B2"/>
    <w:multiLevelType w:val="hybridMultilevel"/>
    <w:tmpl w:val="7FEE3222"/>
    <w:lvl w:ilvl="0" w:tplc="40CC3AB6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E3EEA26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EE9091A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4E261E0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29C0F3F0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E446DCD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CF5C904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9778744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47B2DBF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8703ABA"/>
    <w:multiLevelType w:val="hybridMultilevel"/>
    <w:tmpl w:val="0809001D"/>
    <w:styleLink w:val="1ai"/>
    <w:lvl w:ilvl="0" w:tplc="FB8CE942">
      <w:start w:val="1"/>
      <w:numFmt w:val="decimal"/>
      <w:lvlText w:val="%1)"/>
      <w:lvlJc w:val="left"/>
      <w:pPr>
        <w:ind w:left="360" w:hanging="360"/>
      </w:pPr>
    </w:lvl>
    <w:lvl w:ilvl="1" w:tplc="406E1D26">
      <w:start w:val="1"/>
      <w:numFmt w:val="lowerLetter"/>
      <w:lvlText w:val="%2)"/>
      <w:lvlJc w:val="left"/>
      <w:pPr>
        <w:ind w:left="720" w:hanging="360"/>
      </w:pPr>
    </w:lvl>
    <w:lvl w:ilvl="2" w:tplc="8AF2CEDE">
      <w:start w:val="1"/>
      <w:numFmt w:val="lowerRoman"/>
      <w:lvlText w:val="%3)"/>
      <w:lvlJc w:val="left"/>
      <w:pPr>
        <w:ind w:left="1080" w:hanging="360"/>
      </w:pPr>
    </w:lvl>
    <w:lvl w:ilvl="3" w:tplc="921236E8">
      <w:start w:val="1"/>
      <w:numFmt w:val="decimal"/>
      <w:lvlText w:val="(%4)"/>
      <w:lvlJc w:val="left"/>
      <w:pPr>
        <w:ind w:left="1440" w:hanging="360"/>
      </w:pPr>
    </w:lvl>
    <w:lvl w:ilvl="4" w:tplc="DDD4A81C">
      <w:start w:val="1"/>
      <w:numFmt w:val="lowerLetter"/>
      <w:lvlText w:val="(%5)"/>
      <w:lvlJc w:val="left"/>
      <w:pPr>
        <w:ind w:left="1800" w:hanging="360"/>
      </w:pPr>
    </w:lvl>
    <w:lvl w:ilvl="5" w:tplc="EC3EB452">
      <w:start w:val="1"/>
      <w:numFmt w:val="lowerRoman"/>
      <w:lvlText w:val="(%6)"/>
      <w:lvlJc w:val="left"/>
      <w:pPr>
        <w:ind w:left="2160" w:hanging="360"/>
      </w:pPr>
    </w:lvl>
    <w:lvl w:ilvl="6" w:tplc="367A4EBA">
      <w:start w:val="1"/>
      <w:numFmt w:val="decimal"/>
      <w:lvlText w:val="%7."/>
      <w:lvlJc w:val="left"/>
      <w:pPr>
        <w:ind w:left="2520" w:hanging="360"/>
      </w:pPr>
    </w:lvl>
    <w:lvl w:ilvl="7" w:tplc="B7360A4A">
      <w:start w:val="1"/>
      <w:numFmt w:val="lowerLetter"/>
      <w:lvlText w:val="%8."/>
      <w:lvlJc w:val="left"/>
      <w:pPr>
        <w:ind w:left="2880" w:hanging="360"/>
      </w:pPr>
    </w:lvl>
    <w:lvl w:ilvl="8" w:tplc="0154405C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01F605B-F444-4700-B7D7-E2B44836A922}"/>
    <w:docVar w:name="dgnword-eventsink" w:val="649632936"/>
  </w:docVars>
  <w:rsids>
    <w:rsidRoot w:val="00FE4E9D"/>
    <w:rsid w:val="000047B1"/>
    <w:rsid w:val="00017F94"/>
    <w:rsid w:val="00023842"/>
    <w:rsid w:val="000334F9"/>
    <w:rsid w:val="0007796D"/>
    <w:rsid w:val="000B7790"/>
    <w:rsid w:val="000C390E"/>
    <w:rsid w:val="000C4A15"/>
    <w:rsid w:val="000C739E"/>
    <w:rsid w:val="00111F2F"/>
    <w:rsid w:val="0014365E"/>
    <w:rsid w:val="00150724"/>
    <w:rsid w:val="00150DB2"/>
    <w:rsid w:val="0017461C"/>
    <w:rsid w:val="00176178"/>
    <w:rsid w:val="001D4025"/>
    <w:rsid w:val="001E498C"/>
    <w:rsid w:val="001F525A"/>
    <w:rsid w:val="00223272"/>
    <w:rsid w:val="0024779E"/>
    <w:rsid w:val="00257838"/>
    <w:rsid w:val="00291F1D"/>
    <w:rsid w:val="002B774D"/>
    <w:rsid w:val="002E1782"/>
    <w:rsid w:val="002E6AF8"/>
    <w:rsid w:val="002F1C80"/>
    <w:rsid w:val="00353ED5"/>
    <w:rsid w:val="0037416A"/>
    <w:rsid w:val="0039005B"/>
    <w:rsid w:val="00395371"/>
    <w:rsid w:val="003B0B0F"/>
    <w:rsid w:val="003D1AD0"/>
    <w:rsid w:val="003D3938"/>
    <w:rsid w:val="003E31AC"/>
    <w:rsid w:val="00446FE5"/>
    <w:rsid w:val="00452396"/>
    <w:rsid w:val="0046257D"/>
    <w:rsid w:val="00482156"/>
    <w:rsid w:val="004D0848"/>
    <w:rsid w:val="00502B10"/>
    <w:rsid w:val="005505B7"/>
    <w:rsid w:val="00564CA1"/>
    <w:rsid w:val="00573BE5"/>
    <w:rsid w:val="00586ED3"/>
    <w:rsid w:val="00596AA9"/>
    <w:rsid w:val="005A14CB"/>
    <w:rsid w:val="005B43E7"/>
    <w:rsid w:val="005B6BC9"/>
    <w:rsid w:val="005C06D4"/>
    <w:rsid w:val="00603C5A"/>
    <w:rsid w:val="006056E0"/>
    <w:rsid w:val="006252EF"/>
    <w:rsid w:val="00625BAC"/>
    <w:rsid w:val="00640AA0"/>
    <w:rsid w:val="00670DFB"/>
    <w:rsid w:val="006748CF"/>
    <w:rsid w:val="006813D2"/>
    <w:rsid w:val="006861E6"/>
    <w:rsid w:val="006A2080"/>
    <w:rsid w:val="006B627B"/>
    <w:rsid w:val="006E3F0A"/>
    <w:rsid w:val="00706E82"/>
    <w:rsid w:val="0071601D"/>
    <w:rsid w:val="0072392D"/>
    <w:rsid w:val="00756383"/>
    <w:rsid w:val="00766CEC"/>
    <w:rsid w:val="007A26B7"/>
    <w:rsid w:val="007A62E6"/>
    <w:rsid w:val="007F139D"/>
    <w:rsid w:val="0080684C"/>
    <w:rsid w:val="00815502"/>
    <w:rsid w:val="00831242"/>
    <w:rsid w:val="00861053"/>
    <w:rsid w:val="00871C75"/>
    <w:rsid w:val="008776DC"/>
    <w:rsid w:val="00880106"/>
    <w:rsid w:val="008A0E26"/>
    <w:rsid w:val="008C4000"/>
    <w:rsid w:val="008C7952"/>
    <w:rsid w:val="008E2BD2"/>
    <w:rsid w:val="008F4B59"/>
    <w:rsid w:val="008F69EF"/>
    <w:rsid w:val="00936AA1"/>
    <w:rsid w:val="009462DB"/>
    <w:rsid w:val="00957790"/>
    <w:rsid w:val="009705C8"/>
    <w:rsid w:val="009C41E2"/>
    <w:rsid w:val="00A1442F"/>
    <w:rsid w:val="00A24DF2"/>
    <w:rsid w:val="00A319E9"/>
    <w:rsid w:val="00A75EB9"/>
    <w:rsid w:val="00A815AF"/>
    <w:rsid w:val="00A83281"/>
    <w:rsid w:val="00A8722D"/>
    <w:rsid w:val="00AC2CCD"/>
    <w:rsid w:val="00AC3823"/>
    <w:rsid w:val="00AE323C"/>
    <w:rsid w:val="00AE7729"/>
    <w:rsid w:val="00B00181"/>
    <w:rsid w:val="00B34BE7"/>
    <w:rsid w:val="00B41FDC"/>
    <w:rsid w:val="00B43AA9"/>
    <w:rsid w:val="00B43C66"/>
    <w:rsid w:val="00B765F7"/>
    <w:rsid w:val="00B9024D"/>
    <w:rsid w:val="00BA07AB"/>
    <w:rsid w:val="00BA0CA9"/>
    <w:rsid w:val="00BE4745"/>
    <w:rsid w:val="00BE5B1D"/>
    <w:rsid w:val="00BF0958"/>
    <w:rsid w:val="00BF30B9"/>
    <w:rsid w:val="00BF3C2C"/>
    <w:rsid w:val="00C02897"/>
    <w:rsid w:val="00C24A96"/>
    <w:rsid w:val="00C6067F"/>
    <w:rsid w:val="00CB43B4"/>
    <w:rsid w:val="00CB56FC"/>
    <w:rsid w:val="00CC2887"/>
    <w:rsid w:val="00D3439C"/>
    <w:rsid w:val="00D67771"/>
    <w:rsid w:val="00DA22F4"/>
    <w:rsid w:val="00DA40FE"/>
    <w:rsid w:val="00DB1831"/>
    <w:rsid w:val="00DC0AE6"/>
    <w:rsid w:val="00DD3BFD"/>
    <w:rsid w:val="00DF6678"/>
    <w:rsid w:val="00E22CF2"/>
    <w:rsid w:val="00E52D9F"/>
    <w:rsid w:val="00E56B4F"/>
    <w:rsid w:val="00F01808"/>
    <w:rsid w:val="00F164B0"/>
    <w:rsid w:val="00F24D6D"/>
    <w:rsid w:val="00F660DF"/>
    <w:rsid w:val="00F80094"/>
    <w:rsid w:val="00F95C08"/>
    <w:rsid w:val="00FC421E"/>
    <w:rsid w:val="00FE4E9D"/>
    <w:rsid w:val="1F79F879"/>
    <w:rsid w:val="274A0F1E"/>
    <w:rsid w:val="29578F81"/>
    <w:rsid w:val="4B1C07D2"/>
    <w:rsid w:val="61FA7B87"/>
    <w:rsid w:val="7089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17C8A4"/>
  <w15:docId w15:val="{12F5F0E3-3ABD-4769-BEAE-19C1C91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5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215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HAnsi"/>
      <w:lang w:val="fr-CH"/>
    </w:rPr>
  </w:style>
  <w:style w:type="paragraph" w:styleId="Heading3">
    <w:name w:val="heading 3"/>
    <w:basedOn w:val="Normal"/>
    <w:next w:val="Normal"/>
    <w:link w:val="Heading3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HAnsi"/>
      <w:lang w:val="fr-CH"/>
    </w:rPr>
  </w:style>
  <w:style w:type="paragraph" w:styleId="Heading4">
    <w:name w:val="heading 4"/>
    <w:basedOn w:val="Normal"/>
    <w:next w:val="Normal"/>
    <w:link w:val="Heading4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HAnsi"/>
      <w:lang w:val="fr-CH"/>
    </w:rPr>
  </w:style>
  <w:style w:type="paragraph" w:styleId="Heading5">
    <w:name w:val="heading 5"/>
    <w:basedOn w:val="Normal"/>
    <w:next w:val="Normal"/>
    <w:link w:val="Heading5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HAnsi"/>
      <w:lang w:val="fr-CH"/>
    </w:rPr>
  </w:style>
  <w:style w:type="paragraph" w:styleId="Heading6">
    <w:name w:val="heading 6"/>
    <w:basedOn w:val="Normal"/>
    <w:next w:val="Normal"/>
    <w:link w:val="Heading6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HAnsi"/>
      <w:lang w:val="fr-CH"/>
    </w:rPr>
  </w:style>
  <w:style w:type="paragraph" w:styleId="Heading7">
    <w:name w:val="heading 7"/>
    <w:basedOn w:val="Normal"/>
    <w:next w:val="Normal"/>
    <w:link w:val="Heading7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HAnsi"/>
      <w:lang w:val="fr-CH"/>
    </w:rPr>
  </w:style>
  <w:style w:type="paragraph" w:styleId="Heading8">
    <w:name w:val="heading 8"/>
    <w:basedOn w:val="Normal"/>
    <w:next w:val="Normal"/>
    <w:link w:val="Heading8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HAnsi"/>
      <w:lang w:val="fr-CH"/>
    </w:rPr>
  </w:style>
  <w:style w:type="paragraph" w:styleId="Heading9">
    <w:name w:val="heading 9"/>
    <w:basedOn w:val="Normal"/>
    <w:next w:val="Normal"/>
    <w:link w:val="Heading9Char"/>
    <w:semiHidden/>
    <w:qFormat/>
    <w:rsid w:val="00482156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HAnsi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482156"/>
    <w:pPr>
      <w:pBdr>
        <w:bottom w:val="single" w:sz="4" w:space="4" w:color="auto"/>
      </w:pBdr>
      <w:suppressAutoHyphens w:val="0"/>
      <w:spacing w:line="240" w:lineRule="auto"/>
    </w:pPr>
    <w:rPr>
      <w:rFonts w:eastAsiaTheme="minorHAnsi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82156"/>
    <w:rPr>
      <w:rFonts w:ascii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link w:val="FooterChar"/>
    <w:rsid w:val="00482156"/>
    <w:pPr>
      <w:suppressAutoHyphens w:val="0"/>
      <w:spacing w:line="240" w:lineRule="auto"/>
    </w:pPr>
    <w:rPr>
      <w:rFonts w:eastAsiaTheme="minorHAnsi"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82156"/>
    <w:rPr>
      <w:rFonts w:ascii="Times New Roman" w:hAnsi="Times New Roman" w:cs="Times New Roman"/>
      <w:sz w:val="16"/>
      <w:szCs w:val="20"/>
      <w:lang w:val="en-GB"/>
    </w:rPr>
  </w:style>
  <w:style w:type="paragraph" w:customStyle="1" w:styleId="HMG">
    <w:name w:val="_ H __M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  <w:outlineLvl w:val="0"/>
    </w:pPr>
    <w:rPr>
      <w:rFonts w:eastAsiaTheme="minorHAnsi"/>
      <w:b/>
      <w:sz w:val="34"/>
    </w:rPr>
  </w:style>
  <w:style w:type="paragraph" w:customStyle="1" w:styleId="HChG">
    <w:name w:val="_ H _Ch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  <w:outlineLvl w:val="1"/>
    </w:pPr>
    <w:rPr>
      <w:rFonts w:eastAsiaTheme="minorHAnsi"/>
      <w:b/>
      <w:sz w:val="28"/>
    </w:rPr>
  </w:style>
  <w:style w:type="paragraph" w:customStyle="1" w:styleId="H1G">
    <w:name w:val="_ H_1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  <w:outlineLvl w:val="2"/>
    </w:pPr>
    <w:rPr>
      <w:rFonts w:eastAsiaTheme="minorHAnsi"/>
      <w:b/>
      <w:sz w:val="24"/>
    </w:rPr>
  </w:style>
  <w:style w:type="paragraph" w:customStyle="1" w:styleId="H23G">
    <w:name w:val="_ H_2/3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eastAsiaTheme="minorHAnsi"/>
      <w:b/>
    </w:rPr>
  </w:style>
  <w:style w:type="paragraph" w:customStyle="1" w:styleId="H4G">
    <w:name w:val="_ H_4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4"/>
    </w:pPr>
    <w:rPr>
      <w:rFonts w:eastAsiaTheme="minorHAnsi"/>
      <w:i/>
    </w:rPr>
  </w:style>
  <w:style w:type="paragraph" w:customStyle="1" w:styleId="H56G">
    <w:name w:val="_ H_5/6_G"/>
    <w:basedOn w:val="Normal"/>
    <w:next w:val="Normal"/>
    <w:qFormat/>
    <w:rsid w:val="00482156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5"/>
    </w:pPr>
    <w:rPr>
      <w:rFonts w:eastAsiaTheme="minorHAnsi"/>
    </w:rPr>
  </w:style>
  <w:style w:type="paragraph" w:customStyle="1" w:styleId="SingleTxtG">
    <w:name w:val="_ Single Txt_G"/>
    <w:basedOn w:val="Normal"/>
    <w:link w:val="SingleTxtGChar"/>
    <w:qFormat/>
    <w:rsid w:val="00482156"/>
    <w:pPr>
      <w:tabs>
        <w:tab w:val="left" w:pos="1701"/>
        <w:tab w:val="left" w:pos="2268"/>
        <w:tab w:val="left" w:pos="2835"/>
      </w:tabs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HAnsi"/>
    </w:rPr>
  </w:style>
  <w:style w:type="paragraph" w:customStyle="1" w:styleId="SLG">
    <w:name w:val="__S_L_G"/>
    <w:basedOn w:val="Normal"/>
    <w:next w:val="Normal"/>
    <w:rsid w:val="0048215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8215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8215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215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2156"/>
    <w:pPr>
      <w:numPr>
        <w:numId w:val="14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Bullet2G">
    <w:name w:val="_Bullet 2_G"/>
    <w:basedOn w:val="Normal"/>
    <w:qFormat/>
    <w:rsid w:val="00482156"/>
    <w:pPr>
      <w:numPr>
        <w:numId w:val="15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ParNoG">
    <w:name w:val="_ParNo_G"/>
    <w:basedOn w:val="Normal"/>
    <w:qFormat/>
    <w:rsid w:val="00482156"/>
    <w:pPr>
      <w:numPr>
        <w:numId w:val="16"/>
      </w:numPr>
      <w:tabs>
        <w:tab w:val="left" w:pos="1701"/>
        <w:tab w:val="left" w:pos="2268"/>
        <w:tab w:val="left" w:pos="2835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character" w:styleId="FootnoteReference">
    <w:name w:val="footnote reference"/>
    <w:aliases w:val="4_G"/>
    <w:basedOn w:val="DefaultParagraphFont"/>
    <w:qFormat/>
    <w:rsid w:val="00482156"/>
    <w:rPr>
      <w:rFonts w:ascii="Times New Roman" w:hAnsi="Times New Roman"/>
      <w:sz w:val="18"/>
      <w:vertAlign w:val="superscript"/>
      <w:lang w:val="en-GB"/>
    </w:rPr>
  </w:style>
  <w:style w:type="character" w:styleId="EndnoteReference">
    <w:name w:val="endnote reference"/>
    <w:aliases w:val="1_G"/>
    <w:basedOn w:val="FootnoteReference"/>
    <w:qFormat/>
    <w:rsid w:val="00482156"/>
    <w:rPr>
      <w:rFonts w:ascii="Times New Roman" w:hAnsi="Times New Roman"/>
      <w:sz w:val="18"/>
      <w:vertAlign w:val="superscript"/>
      <w:lang w:val="en-GB"/>
    </w:rPr>
  </w:style>
  <w:style w:type="table" w:styleId="TableGrid">
    <w:name w:val="Table Grid"/>
    <w:basedOn w:val="TableNormal"/>
    <w:rsid w:val="0048215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482156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482156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482156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82156"/>
    <w:rPr>
      <w:rFonts w:ascii="Times New Roman" w:hAnsi="Times New Roman" w:cs="Times New Roman"/>
      <w:sz w:val="18"/>
      <w:szCs w:val="20"/>
      <w:lang w:val="en-GB"/>
    </w:rPr>
  </w:style>
  <w:style w:type="paragraph" w:styleId="EndnoteText">
    <w:name w:val="endnote text"/>
    <w:aliases w:val="2_G"/>
    <w:basedOn w:val="FootnoteText"/>
    <w:link w:val="EndnoteTextChar"/>
    <w:qFormat/>
    <w:rsid w:val="00482156"/>
  </w:style>
  <w:style w:type="character" w:customStyle="1" w:styleId="EndnoteTextChar">
    <w:name w:val="Endnote Text Char"/>
    <w:aliases w:val="2_G Char"/>
    <w:basedOn w:val="DefaultParagraphFont"/>
    <w:link w:val="EndnoteText"/>
    <w:rsid w:val="00482156"/>
    <w:rPr>
      <w:rFonts w:ascii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basedOn w:val="DefaultParagraphFont"/>
    <w:qFormat/>
    <w:rsid w:val="00482156"/>
    <w:rPr>
      <w:rFonts w:ascii="Times New Roman" w:hAnsi="Times New Roman"/>
      <w:b/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482156"/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82156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8215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56"/>
    <w:rPr>
      <w:rFonts w:ascii="Tahoma" w:eastAsia="Times New Roman" w:hAnsi="Tahoma" w:cs="Tahoma"/>
      <w:sz w:val="16"/>
      <w:szCs w:val="16"/>
      <w:lang w:val="en-GB"/>
    </w:rPr>
  </w:style>
  <w:style w:type="character" w:customStyle="1" w:styleId="SingleTxtGChar">
    <w:name w:val="_ Single Txt_G Char"/>
    <w:link w:val="SingleTxtG"/>
    <w:locked/>
    <w:rsid w:val="00482156"/>
    <w:rPr>
      <w:rFonts w:ascii="Times New Roman" w:hAnsi="Times New Roman" w:cs="Times New Roman"/>
      <w:sz w:val="20"/>
      <w:szCs w:val="20"/>
      <w:lang w:val="en-GB"/>
    </w:rPr>
  </w:style>
  <w:style w:type="numbering" w:styleId="111111">
    <w:name w:val="Outline List 2"/>
    <w:basedOn w:val="NoList"/>
    <w:semiHidden/>
    <w:rsid w:val="00482156"/>
    <w:pPr>
      <w:numPr>
        <w:numId w:val="18"/>
      </w:numPr>
    </w:pPr>
  </w:style>
  <w:style w:type="numbering" w:styleId="1ai">
    <w:name w:val="Outline List 1"/>
    <w:basedOn w:val="NoList"/>
    <w:semiHidden/>
    <w:rsid w:val="00482156"/>
    <w:pPr>
      <w:numPr>
        <w:numId w:val="20"/>
      </w:numPr>
    </w:pPr>
  </w:style>
  <w:style w:type="table" w:customStyle="1" w:styleId="TableGrid1">
    <w:name w:val="Table Grid1"/>
    <w:basedOn w:val="TableNormal"/>
    <w:rsid w:val="0048215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rsid w:val="00603C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4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2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4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2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docs.org/en/CEDAW/C/DNK/RQ/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ndocs.org/en/CEDAW/C/DNK/Q/9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undocs.org/en/CEDAW/C/DNK/9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559E-21E0-4E7A-AB0D-3AC670A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5659</Words>
  <Characters>30708</Characters>
  <Application>Microsoft Office Word</Application>
  <DocSecurity>4</DocSecurity>
  <Lines>449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CEDAW/C/SR.1799</vt:lpstr>
    </vt:vector>
  </TitlesOfParts>
  <Company>DCM</Company>
  <LinksUpToDate>false</LinksUpToDate>
  <CharactersWithSpaces>36294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CEDAW/C/SR.1799</dc:title>
  <dc:subject>2102627</dc:subject>
  <dc:creator>Brigoli</dc:creator>
  <cp:keywords/>
  <dc:description/>
  <cp:lastModifiedBy>Pauline Anne Princesa ESCALANTE</cp:lastModifiedBy>
  <cp:revision>2</cp:revision>
  <cp:lastPrinted>2017-10-13T08:20:00Z</cp:lastPrinted>
  <dcterms:created xsi:type="dcterms:W3CDTF">2021-03-01T10:47:00Z</dcterms:created>
  <dcterms:modified xsi:type="dcterms:W3CDTF">2021-03-01T10:47:00Z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um">
    <vt:lpwstr>anum</vt:lpwstr>
  </property>
  <property fmtid="{D5CDD505-2E9C-101B-9397-08002B2CF9AE}" pid="3" name="atitle">
    <vt:lpwstr>atitle</vt:lpwstr>
  </property>
  <property fmtid="{D5CDD505-2E9C-101B-9397-08002B2CF9AE}" pid="4" name="bar">
    <vt:lpwstr> </vt:lpwstr>
  </property>
  <property fmtid="{D5CDD505-2E9C-101B-9397-08002B2CF9AE}" pid="5" name="category">
    <vt:lpwstr>CEDAW SR</vt:lpwstr>
  </property>
  <property fmtid="{D5CDD505-2E9C-101B-9397-08002B2CF9AE}" pid="6" name="count">
    <vt:lpwstr>count</vt:lpwstr>
  </property>
  <property fmtid="{D5CDD505-2E9C-101B-9397-08002B2CF9AE}" pid="7" name="date">
    <vt:lpwstr> </vt:lpwstr>
  </property>
  <property fmtid="{D5CDD505-2E9C-101B-9397-08002B2CF9AE}" pid="8" name="Date-Generated">
    <vt:lpwstr>24/02/2021 11:34:43</vt:lpwstr>
  </property>
  <property fmtid="{D5CDD505-2E9C-101B-9397-08002B2CF9AE}" pid="9" name="dist">
    <vt:lpwstr>General</vt:lpwstr>
  </property>
  <property fmtid="{D5CDD505-2E9C-101B-9397-08002B2CF9AE}" pid="10" name="dname">
    <vt:lpwstr>Ms. Acosta Vargas</vt:lpwstr>
  </property>
  <property fmtid="{D5CDD505-2E9C-101B-9397-08002B2CF9AE}" pid="11" name="doctype">
    <vt:lpwstr>Full</vt:lpwstr>
  </property>
  <property fmtid="{D5CDD505-2E9C-101B-9397-08002B2CF9AE}" pid="12" name="Entity">
    <vt:lpwstr>Public</vt:lpwstr>
  </property>
  <property fmtid="{D5CDD505-2E9C-101B-9397-08002B2CF9AE}" pid="13" name="gdoc">
    <vt:lpwstr> </vt:lpwstr>
  </property>
  <property fmtid="{D5CDD505-2E9C-101B-9397-08002B2CF9AE}" pid="14" name="gdocf">
    <vt:lpwstr> </vt:lpwstr>
  </property>
  <property fmtid="{D5CDD505-2E9C-101B-9397-08002B2CF9AE}" pid="15" name="ldate">
    <vt:lpwstr>Wednesday, 24 February 2021, at 3 p.m.</vt:lpwstr>
  </property>
  <property fmtid="{D5CDD505-2E9C-101B-9397-08002B2CF9AE}" pid="16" name="lname1">
    <vt:lpwstr/>
  </property>
  <property fmtid="{D5CDD505-2E9C-101B-9397-08002B2CF9AE}" pid="17" name="lname2">
    <vt:lpwstr/>
  </property>
  <property fmtid="{D5CDD505-2E9C-101B-9397-08002B2CF9AE}" pid="18" name="loca">
    <vt:lpwstr>Palais des Nations, Geneva</vt:lpwstr>
  </property>
  <property fmtid="{D5CDD505-2E9C-101B-9397-08002B2CF9AE}" pid="19" name="mnum">
    <vt:lpwstr>1799th</vt:lpwstr>
  </property>
  <property fmtid="{D5CDD505-2E9C-101B-9397-08002B2CF9AE}" pid="20" name="olang">
    <vt:lpwstr>English</vt:lpwstr>
  </property>
  <property fmtid="{D5CDD505-2E9C-101B-9397-08002B2CF9AE}" pid="21" name="Org">
    <vt:lpwstr>SR</vt:lpwstr>
  </property>
  <property fmtid="{D5CDD505-2E9C-101B-9397-08002B2CF9AE}" pid="22" name="osdate">
    <vt:lpwstr>The meeting was called to order at 3 p.m.</vt:lpwstr>
  </property>
  <property fmtid="{D5CDD505-2E9C-101B-9397-08002B2CF9AE}" pid="23" name="prep">
    <vt:lpwstr>prep</vt:lpwstr>
  </property>
  <property fmtid="{D5CDD505-2E9C-101B-9397-08002B2CF9AE}" pid="24" name="sdate">
    <vt:lpwstr>sdate</vt:lpwstr>
  </property>
  <property fmtid="{D5CDD505-2E9C-101B-9397-08002B2CF9AE}" pid="25" name="snum">
    <vt:lpwstr>Seventy-eighth</vt:lpwstr>
  </property>
  <property fmtid="{D5CDD505-2E9C-101B-9397-08002B2CF9AE}" pid="26" name="stitle">
    <vt:lpwstr>stitle</vt:lpwstr>
  </property>
  <property fmtid="{D5CDD505-2E9C-101B-9397-08002B2CF9AE}" pid="27" name="sym1">
    <vt:lpwstr>C/SR.1799</vt:lpwstr>
  </property>
  <property fmtid="{D5CDD505-2E9C-101B-9397-08002B2CF9AE}" pid="28" name="symh">
    <vt:lpwstr>CEDAW/C/SR.1799</vt:lpwstr>
  </property>
  <property fmtid="{D5CDD505-2E9C-101B-9397-08002B2CF9AE}" pid="29" name="tlang">
    <vt:lpwstr>tlang</vt:lpwstr>
  </property>
  <property fmtid="{D5CDD505-2E9C-101B-9397-08002B2CF9AE}" pid="30" name="virs">
    <vt:lpwstr>virs</vt:lpwstr>
  </property>
</Properties>
</file>