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52E1" w14:textId="77777777" w:rsidR="00BF32CB" w:rsidRPr="003710DB" w:rsidRDefault="00BF32CB" w:rsidP="00BF32CB">
      <w:pPr>
        <w:spacing w:line="240" w:lineRule="auto"/>
        <w:rPr>
          <w:sz w:val="2"/>
          <w:lang w:eastAsia="zh-CN"/>
        </w:rPr>
        <w:sectPr w:rsidR="00BF32CB" w:rsidRPr="003710DB" w:rsidSect="003710D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3710DB">
        <w:rPr>
          <w:rStyle w:val="CommentReference"/>
          <w:szCs w:val="20"/>
        </w:rPr>
        <w:commentReference w:id="1"/>
      </w:r>
    </w:p>
    <w:p w14:paraId="2BC404DD" w14:textId="751C46CD" w:rsidR="003710DB" w:rsidRDefault="003710DB" w:rsidP="003710DB">
      <w:pPr>
        <w:pStyle w:val="TitleH1"/>
        <w:ind w:left="0" w:right="4170" w:firstLine="0"/>
      </w:pPr>
      <w:r w:rsidRPr="00F0188D">
        <w:t>Comité para la Eliminación de la Discriminación</w:t>
      </w:r>
      <w:r>
        <w:t xml:space="preserve"> </w:t>
      </w:r>
      <w:r w:rsidRPr="00F0188D">
        <w:t>contra la Mujer</w:t>
      </w:r>
    </w:p>
    <w:p w14:paraId="58D51657" w14:textId="01C6E8CB" w:rsidR="003710DB" w:rsidRPr="003710DB" w:rsidRDefault="003710DB" w:rsidP="003710DB">
      <w:pPr>
        <w:spacing w:line="120" w:lineRule="exact"/>
        <w:rPr>
          <w:sz w:val="10"/>
        </w:rPr>
      </w:pPr>
    </w:p>
    <w:p w14:paraId="46DD5769" w14:textId="346F42AC" w:rsidR="003710DB" w:rsidRPr="003710DB" w:rsidRDefault="003710DB" w:rsidP="003710DB">
      <w:pPr>
        <w:spacing w:line="120" w:lineRule="exact"/>
        <w:rPr>
          <w:sz w:val="10"/>
        </w:rPr>
      </w:pPr>
    </w:p>
    <w:p w14:paraId="2B5D7DB4" w14:textId="3CAC253A" w:rsidR="003710DB" w:rsidRPr="003710DB" w:rsidRDefault="003710DB" w:rsidP="003710DB">
      <w:pPr>
        <w:spacing w:line="120" w:lineRule="exact"/>
        <w:rPr>
          <w:sz w:val="10"/>
        </w:rPr>
      </w:pPr>
    </w:p>
    <w:p w14:paraId="19FB513A" w14:textId="4A6776A1" w:rsidR="003710DB" w:rsidRDefault="003710DB" w:rsidP="003710DB">
      <w:pPr>
        <w:pStyle w:val="TitleHCH"/>
        <w:ind w:right="1650"/>
      </w:pPr>
      <w:r>
        <w:tab/>
      </w:r>
      <w:r>
        <w:rPr>
          <w:sz w:val="34"/>
        </w:rPr>
        <w:tab/>
      </w:r>
      <w:r>
        <w:t xml:space="preserve">Observaciones finales sobre </w:t>
      </w:r>
      <w:r w:rsidRPr="00394650">
        <w:t>los informes periódicos octavo y noveno combinados de El Salvador</w:t>
      </w:r>
    </w:p>
    <w:p w14:paraId="7E3EEB48" w14:textId="4ED51F78" w:rsidR="003710DB" w:rsidRPr="003710DB" w:rsidRDefault="003710DB" w:rsidP="003710DB">
      <w:pPr>
        <w:spacing w:line="120" w:lineRule="exact"/>
        <w:rPr>
          <w:sz w:val="10"/>
        </w:rPr>
      </w:pPr>
    </w:p>
    <w:p w14:paraId="6125113D" w14:textId="369B40F9" w:rsidR="003710DB" w:rsidRPr="00756D63" w:rsidRDefault="003710DB" w:rsidP="00756D63">
      <w:pPr>
        <w:spacing w:line="120" w:lineRule="exact"/>
        <w:rPr>
          <w:sz w:val="10"/>
        </w:rPr>
      </w:pPr>
    </w:p>
    <w:p w14:paraId="7D185F94" w14:textId="77777777" w:rsidR="00756D63" w:rsidRPr="003710DB" w:rsidRDefault="00756D63" w:rsidP="003710DB">
      <w:pPr>
        <w:spacing w:line="120" w:lineRule="exact"/>
        <w:rPr>
          <w:sz w:val="10"/>
        </w:rPr>
      </w:pPr>
    </w:p>
    <w:p w14:paraId="5967E7B9" w14:textId="51DC5A4D" w:rsidR="003710DB" w:rsidRDefault="003710DB" w:rsidP="003710DB">
      <w:pPr>
        <w:pStyle w:val="TitleH2"/>
        <w:ind w:right="0"/>
      </w:pPr>
      <w:r>
        <w:tab/>
      </w:r>
      <w:r>
        <w:tab/>
        <w:t>Adición</w:t>
      </w:r>
    </w:p>
    <w:p w14:paraId="0D8126E6" w14:textId="2EBE00C0" w:rsidR="003710DB" w:rsidRPr="003710DB" w:rsidRDefault="003710DB" w:rsidP="003710DB">
      <w:pPr>
        <w:spacing w:line="120" w:lineRule="exact"/>
        <w:rPr>
          <w:sz w:val="10"/>
        </w:rPr>
      </w:pPr>
    </w:p>
    <w:p w14:paraId="2DE885F3" w14:textId="6BDB205F" w:rsidR="003710DB" w:rsidRPr="003710DB" w:rsidRDefault="003710DB" w:rsidP="003710D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75136" behindDoc="0" locked="0" layoutInCell="1" allowOverlap="1" wp14:anchorId="255F63A4" wp14:editId="24D6E5F4">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57FD4" id="Straight Connector 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3710DB">
        <w:rPr>
          <w:spacing w:val="5"/>
          <w:w w:val="104"/>
          <w:kern w:val="14"/>
          <w:sz w:val="17"/>
          <w:szCs w:val="20"/>
        </w:rPr>
        <w:t>El presente documento se publica sin haber sido objeto de revisión editorial oficial.</w:t>
      </w:r>
    </w:p>
    <w:p w14:paraId="02319341" w14:textId="3455297C" w:rsidR="003710DB" w:rsidRDefault="003710DB" w:rsidP="003710DB">
      <w:pPr>
        <w:pStyle w:val="TitleH1"/>
        <w:ind w:right="1560"/>
        <w:rPr>
          <w:b w:val="0"/>
          <w:bCs/>
          <w:sz w:val="20"/>
          <w:szCs w:val="20"/>
        </w:rPr>
      </w:pPr>
      <w:r>
        <w:tab/>
      </w:r>
      <w:r>
        <w:tab/>
        <w:t>Información suministrada por El Salvador sobre el seguimiento de las observaciones finales</w:t>
      </w:r>
      <w:r w:rsidRPr="003710DB">
        <w:rPr>
          <w:b w:val="0"/>
          <w:bCs/>
          <w:sz w:val="20"/>
          <w:szCs w:val="20"/>
        </w:rPr>
        <w:t>*</w:t>
      </w:r>
    </w:p>
    <w:p w14:paraId="42255B4E" w14:textId="2E2C9056" w:rsidR="003710DB" w:rsidRPr="003710DB" w:rsidRDefault="003710DB" w:rsidP="003710DB">
      <w:pPr>
        <w:spacing w:line="120" w:lineRule="exact"/>
        <w:rPr>
          <w:sz w:val="10"/>
        </w:rPr>
      </w:pPr>
    </w:p>
    <w:p w14:paraId="7EA9F447" w14:textId="590D3B1B" w:rsidR="003710DB" w:rsidRPr="003710DB" w:rsidRDefault="003710DB" w:rsidP="003710DB">
      <w:pPr>
        <w:spacing w:line="120" w:lineRule="exact"/>
        <w:rPr>
          <w:sz w:val="10"/>
        </w:rPr>
      </w:pPr>
    </w:p>
    <w:p w14:paraId="42EADF6F" w14:textId="4C6AEA1C" w:rsidR="003710DB" w:rsidRDefault="003710DB" w:rsidP="003710DB">
      <w:pPr>
        <w:pStyle w:val="SingleTxtG"/>
        <w:jc w:val="right"/>
        <w:rPr>
          <w:spacing w:val="4"/>
          <w:w w:val="103"/>
        </w:rPr>
      </w:pPr>
      <w:r w:rsidRPr="003710DB">
        <w:rPr>
          <w:spacing w:val="4"/>
          <w:w w:val="103"/>
        </w:rPr>
        <w:t>[Fecha de recepción: 26 de marzo de 2019]</w:t>
      </w:r>
    </w:p>
    <w:p w14:paraId="3CA4119C" w14:textId="77777777" w:rsidR="003710DB" w:rsidRPr="003710DB" w:rsidRDefault="003710DB" w:rsidP="003710DB">
      <w:pPr>
        <w:pStyle w:val="SingleTxtG"/>
        <w:jc w:val="left"/>
        <w:rPr>
          <w:spacing w:val="4"/>
          <w:w w:val="103"/>
        </w:rPr>
      </w:pPr>
    </w:p>
    <w:p w14:paraId="2F6EE599" w14:textId="77777777" w:rsidR="003710DB" w:rsidRDefault="003710DB" w:rsidP="003710DB">
      <w:pPr>
        <w:suppressAutoHyphens w:val="0"/>
        <w:spacing w:line="240" w:lineRule="auto"/>
        <w:sectPr w:rsidR="003710DB" w:rsidSect="003710DB">
          <w:endnotePr>
            <w:numFmt w:val="decimal"/>
          </w:endnotePr>
          <w:type w:val="continuous"/>
          <w:pgSz w:w="12240" w:h="15840"/>
          <w:pgMar w:top="1440" w:right="1200" w:bottom="1152" w:left="1200" w:header="432" w:footer="504" w:gutter="0"/>
          <w:cols w:space="720"/>
          <w:noEndnote/>
          <w:docGrid w:linePitch="360"/>
        </w:sectPr>
      </w:pPr>
    </w:p>
    <w:p w14:paraId="09751D1A" w14:textId="77777777" w:rsidR="003710DB" w:rsidRDefault="003710DB" w:rsidP="003710DB">
      <w:pPr>
        <w:pStyle w:val="H1G"/>
        <w:spacing w:before="0"/>
        <w:ind w:left="1138" w:right="1138" w:hanging="1138"/>
        <w:rPr>
          <w:lang w:val="es-ES"/>
        </w:rPr>
      </w:pPr>
      <w:r>
        <w:rPr>
          <w:lang w:val="es-ES"/>
        </w:rPr>
        <w:lastRenderedPageBreak/>
        <w:tab/>
      </w:r>
      <w:r>
        <w:rPr>
          <w:lang w:val="es-ES"/>
        </w:rPr>
        <w:tab/>
      </w:r>
      <w:r w:rsidRPr="00DE56CE">
        <w:rPr>
          <w:lang w:val="es-ES"/>
        </w:rPr>
        <w:t>Introducción</w:t>
      </w:r>
    </w:p>
    <w:p w14:paraId="6CEA2537" w14:textId="58323FFC" w:rsidR="003710DB" w:rsidRPr="00DE56CE" w:rsidRDefault="003710DB" w:rsidP="003710DB">
      <w:pPr>
        <w:pStyle w:val="SingleTxtG"/>
        <w:tabs>
          <w:tab w:val="left" w:pos="1530"/>
        </w:tabs>
        <w:rPr>
          <w:lang w:val="es-SV"/>
        </w:rPr>
      </w:pPr>
      <w:r>
        <w:rPr>
          <w:lang w:val="es-SV"/>
        </w:rPr>
        <w:t>1.</w:t>
      </w:r>
      <w:r>
        <w:rPr>
          <w:lang w:val="es-SV"/>
        </w:rPr>
        <w:tab/>
      </w:r>
      <w:r w:rsidRPr="00DE56CE">
        <w:rPr>
          <w:lang w:val="es-SV"/>
        </w:rPr>
        <w:t xml:space="preserve">El Salvador presenta el Informe correspondiente en cumplimiento a las observaciones finales dadas por el Comité para la Eliminación de la Discriminación contra la Mujer, en su 66° período de sesiones, al VIII y IX informe de país con referencia </w:t>
      </w:r>
      <w:hyperlink r:id="rId16" w:history="1">
        <w:r w:rsidRPr="00756D63">
          <w:rPr>
            <w:rStyle w:val="Hyperlink"/>
            <w:lang w:val="es-SV"/>
          </w:rPr>
          <w:t>CEDAW/C/SLV/CO/8-9</w:t>
        </w:r>
      </w:hyperlink>
      <w:r w:rsidRPr="00DE56CE">
        <w:rPr>
          <w:lang w:val="es-SV"/>
        </w:rPr>
        <w:t xml:space="preserve"> de fecha marzo de 2017.</w:t>
      </w:r>
    </w:p>
    <w:p w14:paraId="6DA2A6B7" w14:textId="77777777" w:rsidR="003710DB" w:rsidRDefault="003710DB" w:rsidP="003710DB">
      <w:pPr>
        <w:pStyle w:val="H1G"/>
        <w:tabs>
          <w:tab w:val="left" w:pos="1530"/>
        </w:tabs>
        <w:rPr>
          <w:lang w:val="es-SV"/>
        </w:rPr>
      </w:pPr>
      <w:r>
        <w:rPr>
          <w:lang w:val="es-SV"/>
        </w:rPr>
        <w:tab/>
      </w:r>
      <w:r>
        <w:rPr>
          <w:lang w:val="es-SV"/>
        </w:rPr>
        <w:tab/>
      </w:r>
      <w:r w:rsidRPr="00DE56CE">
        <w:rPr>
          <w:lang w:val="es-SV"/>
        </w:rPr>
        <w:t>Seguimiento de las observaciones finales</w:t>
      </w:r>
    </w:p>
    <w:p w14:paraId="13E29E83" w14:textId="77777777" w:rsidR="003710DB" w:rsidRDefault="003710DB" w:rsidP="003710DB">
      <w:pPr>
        <w:pStyle w:val="SingleTxtG"/>
        <w:tabs>
          <w:tab w:val="left" w:pos="1530"/>
        </w:tabs>
        <w:rPr>
          <w:b/>
          <w:lang w:val="es-SV"/>
        </w:rPr>
      </w:pPr>
      <w:r w:rsidRPr="00F60FC4">
        <w:rPr>
          <w:lang w:val="es-SV"/>
        </w:rPr>
        <w:t>2.</w:t>
      </w:r>
      <w:r w:rsidRPr="00F60FC4">
        <w:rPr>
          <w:lang w:val="es-SV"/>
        </w:rPr>
        <w:tab/>
        <w:t>El Comité pide al Estado parte que, en un plazo de dos años, proporcione información por escrito sobre las medidas adoptadas para aplicar las recomendaciones contenidas en los párrafos 13 (a) y (b) y 17 (a) y (c) supra</w:t>
      </w:r>
      <w:r w:rsidRPr="00DE56CE">
        <w:rPr>
          <w:b/>
          <w:lang w:val="es-SV"/>
        </w:rPr>
        <w:t>.</w:t>
      </w:r>
    </w:p>
    <w:p w14:paraId="77E7CDF2" w14:textId="77777777" w:rsidR="003710DB" w:rsidRDefault="003710DB" w:rsidP="003710DB">
      <w:pPr>
        <w:pStyle w:val="H23G"/>
        <w:tabs>
          <w:tab w:val="left" w:pos="1530"/>
        </w:tabs>
        <w:rPr>
          <w:b w:val="0"/>
          <w:i/>
          <w:lang w:val="es-SV"/>
        </w:rPr>
      </w:pPr>
      <w:r>
        <w:rPr>
          <w:lang w:val="es-SV"/>
        </w:rPr>
        <w:tab/>
      </w:r>
      <w:r>
        <w:rPr>
          <w:lang w:val="es-SV"/>
        </w:rPr>
        <w:tab/>
      </w:r>
      <w:r w:rsidRPr="00F60FC4">
        <w:t xml:space="preserve">Recomendación 13. Acceso de las mujeres a la justicia. </w:t>
      </w:r>
      <w:r w:rsidRPr="00F60FC4">
        <w:rPr>
          <w:lang w:val="es-SV"/>
        </w:rPr>
        <w:t>El Comité recomienda que el Estado Parte, de conformidad con la Recomendación general Nº 33 (2015) sobre el acceso de las mujeres a la justicia:(a) Asigne recursos humanos, técnicos y financieros adecuados para permitir el funcionamiento eficaz de la nueva jurisdicción especial creada en materia de delitos contra las mujeres</w:t>
      </w:r>
    </w:p>
    <w:p w14:paraId="12D4AC43" w14:textId="77777777" w:rsidR="003710DB" w:rsidRPr="00DE56CE" w:rsidRDefault="003710DB" w:rsidP="003710DB">
      <w:pPr>
        <w:pStyle w:val="H4G"/>
        <w:tabs>
          <w:tab w:val="left" w:pos="1530"/>
        </w:tabs>
        <w:rPr>
          <w:lang w:val="es-SV"/>
        </w:rPr>
      </w:pPr>
      <w:r>
        <w:rPr>
          <w:lang w:val="es-SV"/>
        </w:rPr>
        <w:tab/>
      </w:r>
      <w:r>
        <w:rPr>
          <w:lang w:val="es-SV"/>
        </w:rPr>
        <w:tab/>
      </w:r>
      <w:r w:rsidRPr="00DE56CE">
        <w:rPr>
          <w:lang w:val="es-SV"/>
        </w:rPr>
        <w:t>Tribunales Especializados para una Vida Libre de Violencia y Discriminación para las Mujeres</w:t>
      </w:r>
    </w:p>
    <w:p w14:paraId="03E136D3" w14:textId="77777777" w:rsidR="003710DB" w:rsidRDefault="003710DB" w:rsidP="003710DB">
      <w:pPr>
        <w:pStyle w:val="SingleTxtG"/>
        <w:tabs>
          <w:tab w:val="left" w:pos="1530"/>
        </w:tabs>
        <w:rPr>
          <w:lang w:val="es-SV"/>
        </w:rPr>
      </w:pPr>
      <w:r>
        <w:rPr>
          <w:lang w:val="es-SV"/>
        </w:rPr>
        <w:t>3.</w:t>
      </w:r>
      <w:r>
        <w:rPr>
          <w:lang w:val="es-SV"/>
        </w:rPr>
        <w:tab/>
      </w:r>
      <w:r w:rsidRPr="00DE56CE">
        <w:rPr>
          <w:lang w:val="es-SV"/>
        </w:rPr>
        <w:t>Como ya fue informado al Comité en Febrero 2016, la Asamblea Legislativa aprobó el Decreto No. 286</w:t>
      </w:r>
      <w:r w:rsidRPr="00DE56CE">
        <w:rPr>
          <w:vertAlign w:val="superscript"/>
          <w:lang w:val="es-SV"/>
        </w:rPr>
        <w:footnoteReference w:id="1"/>
      </w:r>
      <w:r w:rsidRPr="00DE56CE">
        <w:rPr>
          <w:lang w:val="es-SV"/>
        </w:rPr>
        <w:t xml:space="preserve"> para la creación de los Tribunales Especializados para una Vida Libre de Violencia y Discriminación para las Mujeres, los cuales tendrán competencia para conocer sobre los delitos establecidos en la Ley Especial Integral para una Vida Libre de Violencia para las Mujeres (LEIV); denuncias y avisos con base a la Ley de Violencia Intrafamiliar; seguimiento y vigilancia de medidas cautelares y de protección establecidos en la LEIV y la Ley de Igualdad, Equidad y Erradicación de la Discriminación contra las Mujeres (LIE); delitos de discriminación laboral y atentados relativos al derecho de igualdad. Los tribunales con sede en San Salvador, iniciaron sus funciones en junio 2017 y en enero 2018, los tribunales con sede en San Miguel y Santa Ana y con un presupuesto inicial de US$ 1,6 millones de dólares.</w:t>
      </w:r>
    </w:p>
    <w:p w14:paraId="7200DDC5" w14:textId="2AC8D44C" w:rsidR="003710DB" w:rsidRPr="003710DB" w:rsidRDefault="003710DB" w:rsidP="003710DB">
      <w:pPr>
        <w:pStyle w:val="SingleTxtG"/>
        <w:tabs>
          <w:tab w:val="left" w:pos="1530"/>
        </w:tabs>
      </w:pPr>
      <w:r w:rsidRPr="003710DB">
        <w:rPr>
          <w:rFonts w:asciiTheme="majorBidi" w:hAnsiTheme="majorBidi" w:cstheme="majorBidi"/>
          <w:lang w:val="es-SV"/>
        </w:rPr>
        <w:t>Tabla 1.</w:t>
      </w:r>
    </w:p>
    <w:p w14:paraId="2648B359" w14:textId="77777777" w:rsidR="003710DB" w:rsidRDefault="003710DB" w:rsidP="003710DB">
      <w:pPr>
        <w:pStyle w:val="SingleTxtG"/>
        <w:tabs>
          <w:tab w:val="left" w:pos="1530"/>
        </w:tabs>
        <w:rPr>
          <w:b/>
        </w:rPr>
      </w:pPr>
      <w:r w:rsidRPr="00F60FC4">
        <w:rPr>
          <w:b/>
        </w:rPr>
        <w:t>Juzgados y Cámara Especializada para una Vida Libre de Violencia y</w:t>
      </w:r>
      <w:r>
        <w:rPr>
          <w:b/>
        </w:rPr>
        <w:t xml:space="preserve"> </w:t>
      </w:r>
      <w:r w:rsidRPr="00F60FC4">
        <w:rPr>
          <w:b/>
        </w:rPr>
        <w:t>Discriminación para las Mujeres a nivel nacional</w:t>
      </w:r>
    </w:p>
    <w:tbl>
      <w:tblPr>
        <w:tblW w:w="7370" w:type="dxa"/>
        <w:tblInd w:w="1134" w:type="dxa"/>
        <w:tblLayout w:type="fixed"/>
        <w:tblCellMar>
          <w:left w:w="0" w:type="dxa"/>
          <w:right w:w="0" w:type="dxa"/>
        </w:tblCellMar>
        <w:tblLook w:val="04A0" w:firstRow="1" w:lastRow="0" w:firstColumn="1" w:lastColumn="0" w:noHBand="0" w:noVBand="1"/>
      </w:tblPr>
      <w:tblGrid>
        <w:gridCol w:w="2007"/>
        <w:gridCol w:w="3797"/>
        <w:gridCol w:w="1566"/>
      </w:tblGrid>
      <w:tr w:rsidR="003710DB" w:rsidRPr="00F60FC4" w14:paraId="696EC7AE" w14:textId="77777777" w:rsidTr="005F7E69">
        <w:trPr>
          <w:tblHeader/>
        </w:trPr>
        <w:tc>
          <w:tcPr>
            <w:tcW w:w="2007" w:type="dxa"/>
            <w:tcBorders>
              <w:top w:val="single" w:sz="4" w:space="0" w:color="auto"/>
              <w:bottom w:val="single" w:sz="12" w:space="0" w:color="auto"/>
            </w:tcBorders>
            <w:shd w:val="clear" w:color="auto" w:fill="auto"/>
            <w:noWrap/>
            <w:vAlign w:val="bottom"/>
            <w:hideMark/>
          </w:tcPr>
          <w:p w14:paraId="4E151CA5" w14:textId="77777777" w:rsidR="003710DB" w:rsidRPr="00F60FC4" w:rsidRDefault="003710DB" w:rsidP="003710DB">
            <w:pPr>
              <w:tabs>
                <w:tab w:val="left" w:pos="1530"/>
              </w:tabs>
              <w:spacing w:before="80" w:after="80" w:line="200" w:lineRule="exact"/>
              <w:ind w:right="113"/>
              <w:rPr>
                <w:i/>
                <w:sz w:val="16"/>
                <w:lang w:val="es-SV"/>
              </w:rPr>
            </w:pPr>
            <w:r w:rsidRPr="00F60FC4">
              <w:rPr>
                <w:i/>
                <w:sz w:val="16"/>
                <w:lang w:val="es-SV"/>
              </w:rPr>
              <w:t>Ubicación</w:t>
            </w:r>
          </w:p>
        </w:tc>
        <w:tc>
          <w:tcPr>
            <w:tcW w:w="3797" w:type="dxa"/>
            <w:tcBorders>
              <w:top w:val="single" w:sz="4" w:space="0" w:color="auto"/>
              <w:bottom w:val="single" w:sz="12" w:space="0" w:color="auto"/>
            </w:tcBorders>
            <w:shd w:val="clear" w:color="auto" w:fill="auto"/>
            <w:noWrap/>
            <w:vAlign w:val="center"/>
            <w:hideMark/>
          </w:tcPr>
          <w:p w14:paraId="1AF8D271" w14:textId="77777777" w:rsidR="003710DB" w:rsidRPr="00F60FC4" w:rsidRDefault="003710DB" w:rsidP="003710DB">
            <w:pPr>
              <w:tabs>
                <w:tab w:val="left" w:pos="1530"/>
              </w:tabs>
              <w:spacing w:before="80" w:after="80" w:line="200" w:lineRule="exact"/>
              <w:ind w:right="113"/>
              <w:rPr>
                <w:i/>
                <w:sz w:val="16"/>
                <w:lang w:val="es-SV"/>
              </w:rPr>
            </w:pPr>
            <w:r w:rsidRPr="00F60FC4">
              <w:rPr>
                <w:i/>
                <w:sz w:val="16"/>
                <w:lang w:val="es-SV"/>
              </w:rPr>
              <w:t>Tipo de Juzgado</w:t>
            </w:r>
          </w:p>
        </w:tc>
        <w:tc>
          <w:tcPr>
            <w:tcW w:w="1566" w:type="dxa"/>
            <w:tcBorders>
              <w:top w:val="single" w:sz="4" w:space="0" w:color="auto"/>
              <w:bottom w:val="single" w:sz="12" w:space="0" w:color="auto"/>
            </w:tcBorders>
            <w:shd w:val="clear" w:color="auto" w:fill="auto"/>
            <w:noWrap/>
            <w:hideMark/>
          </w:tcPr>
          <w:p w14:paraId="56ADED20" w14:textId="77777777" w:rsidR="003710DB" w:rsidRPr="00F60FC4" w:rsidRDefault="003710DB" w:rsidP="003710DB">
            <w:pPr>
              <w:tabs>
                <w:tab w:val="left" w:pos="1530"/>
              </w:tabs>
              <w:spacing w:before="80" w:after="80" w:line="200" w:lineRule="exact"/>
              <w:ind w:right="113"/>
              <w:jc w:val="right"/>
              <w:rPr>
                <w:i/>
                <w:sz w:val="16"/>
                <w:lang w:val="es-SV"/>
              </w:rPr>
            </w:pPr>
            <w:r w:rsidRPr="00F60FC4">
              <w:rPr>
                <w:i/>
                <w:sz w:val="16"/>
                <w:lang w:val="es-SV"/>
              </w:rPr>
              <w:t>Cantidad</w:t>
            </w:r>
          </w:p>
        </w:tc>
      </w:tr>
      <w:tr w:rsidR="003710DB" w:rsidRPr="00F60FC4" w14:paraId="2407293D" w14:textId="77777777" w:rsidTr="005F7E69">
        <w:trPr>
          <w:trHeight w:hRule="exact" w:val="113"/>
        </w:trPr>
        <w:tc>
          <w:tcPr>
            <w:tcW w:w="2007" w:type="dxa"/>
            <w:tcBorders>
              <w:top w:val="single" w:sz="12" w:space="0" w:color="auto"/>
            </w:tcBorders>
            <w:shd w:val="clear" w:color="auto" w:fill="auto"/>
            <w:noWrap/>
          </w:tcPr>
          <w:p w14:paraId="59EF3CFE" w14:textId="77777777" w:rsidR="003710DB" w:rsidRPr="00F60FC4" w:rsidRDefault="003710DB" w:rsidP="003710DB">
            <w:pPr>
              <w:tabs>
                <w:tab w:val="left" w:pos="1530"/>
              </w:tabs>
              <w:spacing w:before="40" w:after="120"/>
              <w:ind w:right="113"/>
              <w:rPr>
                <w:lang w:val="es-SV"/>
              </w:rPr>
            </w:pPr>
          </w:p>
        </w:tc>
        <w:tc>
          <w:tcPr>
            <w:tcW w:w="3797" w:type="dxa"/>
            <w:tcBorders>
              <w:top w:val="single" w:sz="12" w:space="0" w:color="auto"/>
            </w:tcBorders>
            <w:shd w:val="clear" w:color="auto" w:fill="auto"/>
            <w:noWrap/>
            <w:vAlign w:val="center"/>
          </w:tcPr>
          <w:p w14:paraId="4A03D3DC" w14:textId="77777777" w:rsidR="003710DB" w:rsidRPr="00F60FC4" w:rsidRDefault="003710DB" w:rsidP="003710DB">
            <w:pPr>
              <w:tabs>
                <w:tab w:val="left" w:pos="1530"/>
              </w:tabs>
              <w:spacing w:before="40" w:after="120"/>
              <w:ind w:right="113"/>
              <w:rPr>
                <w:lang w:val="es-SV"/>
              </w:rPr>
            </w:pPr>
          </w:p>
        </w:tc>
        <w:tc>
          <w:tcPr>
            <w:tcW w:w="1566" w:type="dxa"/>
            <w:tcBorders>
              <w:top w:val="single" w:sz="12" w:space="0" w:color="auto"/>
            </w:tcBorders>
            <w:shd w:val="clear" w:color="auto" w:fill="auto"/>
            <w:noWrap/>
          </w:tcPr>
          <w:p w14:paraId="0FE374DE" w14:textId="77777777" w:rsidR="003710DB" w:rsidRPr="00F60FC4" w:rsidRDefault="003710DB" w:rsidP="003710DB">
            <w:pPr>
              <w:tabs>
                <w:tab w:val="left" w:pos="1530"/>
              </w:tabs>
              <w:spacing w:before="40" w:after="120"/>
              <w:ind w:right="113"/>
              <w:jc w:val="right"/>
              <w:rPr>
                <w:lang w:val="es-SV"/>
              </w:rPr>
            </w:pPr>
          </w:p>
        </w:tc>
      </w:tr>
      <w:tr w:rsidR="003710DB" w:rsidRPr="00F60FC4" w14:paraId="02665E67" w14:textId="77777777" w:rsidTr="005F7E69">
        <w:tc>
          <w:tcPr>
            <w:tcW w:w="2007" w:type="dxa"/>
            <w:vMerge w:val="restart"/>
            <w:shd w:val="clear" w:color="auto" w:fill="auto"/>
            <w:noWrap/>
            <w:hideMark/>
          </w:tcPr>
          <w:p w14:paraId="41C5D2AA" w14:textId="77777777" w:rsidR="003710DB" w:rsidRPr="00F60FC4" w:rsidRDefault="003710DB" w:rsidP="003710DB">
            <w:pPr>
              <w:tabs>
                <w:tab w:val="left" w:pos="1530"/>
              </w:tabs>
              <w:spacing w:before="40" w:after="40"/>
              <w:ind w:right="115"/>
              <w:rPr>
                <w:lang w:val="es-SV"/>
              </w:rPr>
            </w:pPr>
            <w:r w:rsidRPr="00F60FC4">
              <w:rPr>
                <w:lang w:val="es-SV"/>
              </w:rPr>
              <w:t>San Salvador</w:t>
            </w:r>
          </w:p>
        </w:tc>
        <w:tc>
          <w:tcPr>
            <w:tcW w:w="3797" w:type="dxa"/>
            <w:shd w:val="clear" w:color="auto" w:fill="auto"/>
            <w:noWrap/>
            <w:vAlign w:val="center"/>
            <w:hideMark/>
          </w:tcPr>
          <w:p w14:paraId="5D2FA4DD" w14:textId="77777777" w:rsidR="003710DB" w:rsidRPr="00F60FC4" w:rsidRDefault="003710DB" w:rsidP="003710DB">
            <w:pPr>
              <w:tabs>
                <w:tab w:val="left" w:pos="1530"/>
              </w:tabs>
              <w:spacing w:before="40" w:after="40"/>
              <w:ind w:right="115"/>
              <w:rPr>
                <w:lang w:val="es-SV"/>
              </w:rPr>
            </w:pPr>
            <w:r w:rsidRPr="00F60FC4">
              <w:rPr>
                <w:lang w:val="es-SV"/>
              </w:rPr>
              <w:t>Juzgado de Instrucción</w:t>
            </w:r>
          </w:p>
        </w:tc>
        <w:tc>
          <w:tcPr>
            <w:tcW w:w="1566" w:type="dxa"/>
            <w:shd w:val="clear" w:color="auto" w:fill="auto"/>
            <w:noWrap/>
            <w:hideMark/>
          </w:tcPr>
          <w:p w14:paraId="07D49BB7" w14:textId="77777777" w:rsidR="003710DB" w:rsidRPr="00F60FC4" w:rsidRDefault="003710DB" w:rsidP="003710DB">
            <w:pPr>
              <w:tabs>
                <w:tab w:val="left" w:pos="1530"/>
              </w:tabs>
              <w:spacing w:before="40" w:after="40"/>
              <w:ind w:right="115"/>
              <w:jc w:val="right"/>
              <w:rPr>
                <w:lang w:val="es-SV"/>
              </w:rPr>
            </w:pPr>
            <w:r w:rsidRPr="00F60FC4">
              <w:rPr>
                <w:lang w:val="es-SV"/>
              </w:rPr>
              <w:t>1</w:t>
            </w:r>
          </w:p>
        </w:tc>
      </w:tr>
      <w:tr w:rsidR="003710DB" w:rsidRPr="00F60FC4" w14:paraId="68520377" w14:textId="77777777" w:rsidTr="005F7E69">
        <w:tc>
          <w:tcPr>
            <w:tcW w:w="2007" w:type="dxa"/>
            <w:vMerge/>
            <w:shd w:val="clear" w:color="auto" w:fill="auto"/>
            <w:hideMark/>
          </w:tcPr>
          <w:p w14:paraId="2C403B42" w14:textId="77777777" w:rsidR="003710DB" w:rsidRPr="00F60FC4" w:rsidRDefault="003710DB" w:rsidP="003710DB">
            <w:pPr>
              <w:tabs>
                <w:tab w:val="left" w:pos="1530"/>
              </w:tabs>
              <w:spacing w:before="40" w:after="40"/>
              <w:ind w:right="115"/>
              <w:rPr>
                <w:lang w:val="es-SV"/>
              </w:rPr>
            </w:pPr>
          </w:p>
        </w:tc>
        <w:tc>
          <w:tcPr>
            <w:tcW w:w="3797" w:type="dxa"/>
            <w:shd w:val="clear" w:color="auto" w:fill="auto"/>
            <w:noWrap/>
            <w:vAlign w:val="center"/>
            <w:hideMark/>
          </w:tcPr>
          <w:p w14:paraId="372E2267" w14:textId="77777777" w:rsidR="003710DB" w:rsidRPr="00F60FC4" w:rsidRDefault="003710DB" w:rsidP="003710DB">
            <w:pPr>
              <w:tabs>
                <w:tab w:val="left" w:pos="1530"/>
              </w:tabs>
              <w:spacing w:before="40" w:after="40"/>
              <w:ind w:right="115"/>
              <w:rPr>
                <w:lang w:val="es-SV"/>
              </w:rPr>
            </w:pPr>
            <w:r w:rsidRPr="00F60FC4">
              <w:rPr>
                <w:lang w:val="es-SV"/>
              </w:rPr>
              <w:t>Juzgado de Sentencia</w:t>
            </w:r>
          </w:p>
        </w:tc>
        <w:tc>
          <w:tcPr>
            <w:tcW w:w="1566" w:type="dxa"/>
            <w:shd w:val="clear" w:color="auto" w:fill="auto"/>
            <w:noWrap/>
            <w:hideMark/>
          </w:tcPr>
          <w:p w14:paraId="7FEAA893" w14:textId="77777777" w:rsidR="003710DB" w:rsidRPr="00F60FC4" w:rsidRDefault="003710DB" w:rsidP="003710DB">
            <w:pPr>
              <w:tabs>
                <w:tab w:val="left" w:pos="1530"/>
              </w:tabs>
              <w:spacing w:before="40" w:after="40"/>
              <w:ind w:right="115"/>
              <w:jc w:val="right"/>
              <w:rPr>
                <w:lang w:val="es-SV"/>
              </w:rPr>
            </w:pPr>
            <w:r w:rsidRPr="00F60FC4">
              <w:rPr>
                <w:lang w:val="es-SV"/>
              </w:rPr>
              <w:t>1</w:t>
            </w:r>
          </w:p>
        </w:tc>
      </w:tr>
      <w:tr w:rsidR="003710DB" w:rsidRPr="00F60FC4" w14:paraId="69FE6FAA" w14:textId="77777777" w:rsidTr="005F7E69">
        <w:tc>
          <w:tcPr>
            <w:tcW w:w="2007" w:type="dxa"/>
            <w:vMerge/>
            <w:shd w:val="clear" w:color="auto" w:fill="auto"/>
            <w:hideMark/>
          </w:tcPr>
          <w:p w14:paraId="2D5BD402" w14:textId="77777777" w:rsidR="003710DB" w:rsidRPr="00F60FC4" w:rsidRDefault="003710DB" w:rsidP="003710DB">
            <w:pPr>
              <w:tabs>
                <w:tab w:val="left" w:pos="1530"/>
              </w:tabs>
              <w:spacing w:before="40" w:after="40"/>
              <w:ind w:right="115"/>
              <w:rPr>
                <w:lang w:val="es-SV"/>
              </w:rPr>
            </w:pPr>
          </w:p>
        </w:tc>
        <w:tc>
          <w:tcPr>
            <w:tcW w:w="3797" w:type="dxa"/>
            <w:shd w:val="clear" w:color="auto" w:fill="auto"/>
            <w:noWrap/>
            <w:vAlign w:val="center"/>
            <w:hideMark/>
          </w:tcPr>
          <w:p w14:paraId="36E11A28" w14:textId="77777777" w:rsidR="003710DB" w:rsidRPr="00F60FC4" w:rsidRDefault="003710DB" w:rsidP="003710DB">
            <w:pPr>
              <w:tabs>
                <w:tab w:val="left" w:pos="1530"/>
              </w:tabs>
              <w:spacing w:before="40" w:after="40"/>
              <w:ind w:right="115"/>
              <w:rPr>
                <w:lang w:val="es-SV"/>
              </w:rPr>
            </w:pPr>
            <w:r w:rsidRPr="00F60FC4">
              <w:rPr>
                <w:lang w:val="es-SV"/>
              </w:rPr>
              <w:t>Cámara</w:t>
            </w:r>
          </w:p>
        </w:tc>
        <w:tc>
          <w:tcPr>
            <w:tcW w:w="1566" w:type="dxa"/>
            <w:shd w:val="clear" w:color="auto" w:fill="auto"/>
            <w:noWrap/>
            <w:hideMark/>
          </w:tcPr>
          <w:p w14:paraId="74B54AAB" w14:textId="77777777" w:rsidR="003710DB" w:rsidRPr="00F60FC4" w:rsidRDefault="003710DB" w:rsidP="003710DB">
            <w:pPr>
              <w:tabs>
                <w:tab w:val="left" w:pos="1530"/>
              </w:tabs>
              <w:spacing w:before="40" w:after="40"/>
              <w:ind w:right="115"/>
              <w:jc w:val="right"/>
              <w:rPr>
                <w:lang w:val="es-SV"/>
              </w:rPr>
            </w:pPr>
            <w:r w:rsidRPr="00F60FC4">
              <w:rPr>
                <w:lang w:val="es-SV"/>
              </w:rPr>
              <w:t>1</w:t>
            </w:r>
          </w:p>
        </w:tc>
      </w:tr>
      <w:tr w:rsidR="003710DB" w:rsidRPr="00F60FC4" w14:paraId="5F933EFC" w14:textId="77777777" w:rsidTr="005F7E69">
        <w:tc>
          <w:tcPr>
            <w:tcW w:w="2007" w:type="dxa"/>
            <w:vMerge w:val="restart"/>
            <w:shd w:val="clear" w:color="auto" w:fill="auto"/>
            <w:noWrap/>
            <w:hideMark/>
          </w:tcPr>
          <w:p w14:paraId="610EBC2D" w14:textId="77777777" w:rsidR="003710DB" w:rsidRPr="00F60FC4" w:rsidRDefault="003710DB" w:rsidP="003710DB">
            <w:pPr>
              <w:tabs>
                <w:tab w:val="left" w:pos="1530"/>
              </w:tabs>
              <w:spacing w:before="40" w:after="40"/>
              <w:ind w:right="115"/>
              <w:rPr>
                <w:lang w:val="es-SV"/>
              </w:rPr>
            </w:pPr>
            <w:r w:rsidRPr="00F60FC4">
              <w:rPr>
                <w:lang w:val="es-SV"/>
              </w:rPr>
              <w:t>Santa Ana</w:t>
            </w:r>
          </w:p>
        </w:tc>
        <w:tc>
          <w:tcPr>
            <w:tcW w:w="3797" w:type="dxa"/>
            <w:shd w:val="clear" w:color="auto" w:fill="auto"/>
            <w:noWrap/>
            <w:vAlign w:val="center"/>
            <w:hideMark/>
          </w:tcPr>
          <w:p w14:paraId="0D55E803" w14:textId="77777777" w:rsidR="003710DB" w:rsidRPr="00F60FC4" w:rsidRDefault="003710DB" w:rsidP="003710DB">
            <w:pPr>
              <w:tabs>
                <w:tab w:val="left" w:pos="1530"/>
              </w:tabs>
              <w:spacing w:before="40" w:after="40"/>
              <w:ind w:right="115"/>
              <w:rPr>
                <w:lang w:val="es-SV"/>
              </w:rPr>
            </w:pPr>
            <w:r w:rsidRPr="00F60FC4">
              <w:rPr>
                <w:lang w:val="es-SV"/>
              </w:rPr>
              <w:t>Juzgado de Instrucción</w:t>
            </w:r>
          </w:p>
        </w:tc>
        <w:tc>
          <w:tcPr>
            <w:tcW w:w="1566" w:type="dxa"/>
            <w:shd w:val="clear" w:color="auto" w:fill="auto"/>
            <w:noWrap/>
            <w:hideMark/>
          </w:tcPr>
          <w:p w14:paraId="33B27084" w14:textId="77777777" w:rsidR="003710DB" w:rsidRPr="00F60FC4" w:rsidRDefault="003710DB" w:rsidP="003710DB">
            <w:pPr>
              <w:tabs>
                <w:tab w:val="left" w:pos="1530"/>
              </w:tabs>
              <w:spacing w:before="40" w:after="40"/>
              <w:ind w:right="115"/>
              <w:jc w:val="right"/>
              <w:rPr>
                <w:lang w:val="es-SV"/>
              </w:rPr>
            </w:pPr>
            <w:r w:rsidRPr="00F60FC4">
              <w:rPr>
                <w:lang w:val="es-SV"/>
              </w:rPr>
              <w:t>1</w:t>
            </w:r>
          </w:p>
        </w:tc>
      </w:tr>
      <w:tr w:rsidR="003710DB" w:rsidRPr="00F60FC4" w14:paraId="14AF98D1" w14:textId="77777777" w:rsidTr="005F7E69">
        <w:tc>
          <w:tcPr>
            <w:tcW w:w="2007" w:type="dxa"/>
            <w:vMerge/>
            <w:shd w:val="clear" w:color="auto" w:fill="auto"/>
            <w:hideMark/>
          </w:tcPr>
          <w:p w14:paraId="2EE42AE1" w14:textId="77777777" w:rsidR="003710DB" w:rsidRPr="00F60FC4" w:rsidRDefault="003710DB" w:rsidP="003710DB">
            <w:pPr>
              <w:tabs>
                <w:tab w:val="left" w:pos="1530"/>
              </w:tabs>
              <w:spacing w:before="40" w:after="40"/>
              <w:ind w:right="115"/>
              <w:rPr>
                <w:lang w:val="es-SV"/>
              </w:rPr>
            </w:pPr>
          </w:p>
        </w:tc>
        <w:tc>
          <w:tcPr>
            <w:tcW w:w="3797" w:type="dxa"/>
            <w:shd w:val="clear" w:color="auto" w:fill="auto"/>
            <w:noWrap/>
            <w:vAlign w:val="center"/>
            <w:hideMark/>
          </w:tcPr>
          <w:p w14:paraId="024DD1B5" w14:textId="77777777" w:rsidR="003710DB" w:rsidRPr="00F60FC4" w:rsidRDefault="003710DB" w:rsidP="003710DB">
            <w:pPr>
              <w:tabs>
                <w:tab w:val="left" w:pos="1530"/>
              </w:tabs>
              <w:spacing w:before="40" w:after="40"/>
              <w:ind w:right="115"/>
              <w:rPr>
                <w:lang w:val="es-SV"/>
              </w:rPr>
            </w:pPr>
            <w:r w:rsidRPr="00F60FC4">
              <w:rPr>
                <w:lang w:val="es-SV"/>
              </w:rPr>
              <w:t>Juzgado de Sentencia</w:t>
            </w:r>
          </w:p>
        </w:tc>
        <w:tc>
          <w:tcPr>
            <w:tcW w:w="1566" w:type="dxa"/>
            <w:shd w:val="clear" w:color="auto" w:fill="auto"/>
            <w:noWrap/>
            <w:hideMark/>
          </w:tcPr>
          <w:p w14:paraId="7E72C9AB" w14:textId="77777777" w:rsidR="003710DB" w:rsidRPr="00F60FC4" w:rsidRDefault="003710DB" w:rsidP="003710DB">
            <w:pPr>
              <w:tabs>
                <w:tab w:val="left" w:pos="1530"/>
              </w:tabs>
              <w:spacing w:before="40" w:after="40"/>
              <w:ind w:right="115"/>
              <w:jc w:val="right"/>
              <w:rPr>
                <w:lang w:val="es-SV"/>
              </w:rPr>
            </w:pPr>
            <w:r w:rsidRPr="00F60FC4">
              <w:rPr>
                <w:lang w:val="es-SV"/>
              </w:rPr>
              <w:t>1</w:t>
            </w:r>
          </w:p>
        </w:tc>
      </w:tr>
      <w:tr w:rsidR="003710DB" w:rsidRPr="00F60FC4" w14:paraId="7002AC49" w14:textId="77777777" w:rsidTr="005F7E69">
        <w:tc>
          <w:tcPr>
            <w:tcW w:w="2007" w:type="dxa"/>
            <w:vMerge w:val="restart"/>
            <w:shd w:val="clear" w:color="auto" w:fill="auto"/>
            <w:noWrap/>
            <w:hideMark/>
          </w:tcPr>
          <w:p w14:paraId="2F863F80" w14:textId="77777777" w:rsidR="003710DB" w:rsidRPr="00F60FC4" w:rsidRDefault="003710DB" w:rsidP="003710DB">
            <w:pPr>
              <w:tabs>
                <w:tab w:val="left" w:pos="1530"/>
              </w:tabs>
              <w:spacing w:before="40" w:after="40"/>
              <w:ind w:right="115"/>
              <w:rPr>
                <w:lang w:val="es-SV"/>
              </w:rPr>
            </w:pPr>
            <w:r w:rsidRPr="00F60FC4">
              <w:rPr>
                <w:lang w:val="es-SV"/>
              </w:rPr>
              <w:t>San Miguel</w:t>
            </w:r>
          </w:p>
        </w:tc>
        <w:tc>
          <w:tcPr>
            <w:tcW w:w="3797" w:type="dxa"/>
            <w:shd w:val="clear" w:color="auto" w:fill="auto"/>
            <w:noWrap/>
            <w:vAlign w:val="center"/>
            <w:hideMark/>
          </w:tcPr>
          <w:p w14:paraId="4C3EE678" w14:textId="77777777" w:rsidR="003710DB" w:rsidRPr="00F60FC4" w:rsidRDefault="003710DB" w:rsidP="003710DB">
            <w:pPr>
              <w:tabs>
                <w:tab w:val="left" w:pos="1530"/>
              </w:tabs>
              <w:spacing w:before="40" w:after="40"/>
              <w:ind w:right="115"/>
              <w:rPr>
                <w:lang w:val="es-SV"/>
              </w:rPr>
            </w:pPr>
            <w:r w:rsidRPr="00F60FC4">
              <w:rPr>
                <w:lang w:val="es-SV"/>
              </w:rPr>
              <w:t>Juzgado de Instrucción</w:t>
            </w:r>
          </w:p>
        </w:tc>
        <w:tc>
          <w:tcPr>
            <w:tcW w:w="1566" w:type="dxa"/>
            <w:shd w:val="clear" w:color="auto" w:fill="auto"/>
            <w:noWrap/>
            <w:hideMark/>
          </w:tcPr>
          <w:p w14:paraId="241C62AF" w14:textId="77777777" w:rsidR="003710DB" w:rsidRPr="00F60FC4" w:rsidRDefault="003710DB" w:rsidP="003710DB">
            <w:pPr>
              <w:tabs>
                <w:tab w:val="left" w:pos="1530"/>
              </w:tabs>
              <w:spacing w:before="40" w:after="40"/>
              <w:ind w:right="115"/>
              <w:jc w:val="right"/>
              <w:rPr>
                <w:lang w:val="es-SV"/>
              </w:rPr>
            </w:pPr>
            <w:r w:rsidRPr="00F60FC4">
              <w:rPr>
                <w:lang w:val="es-SV"/>
              </w:rPr>
              <w:t>1</w:t>
            </w:r>
          </w:p>
        </w:tc>
      </w:tr>
      <w:tr w:rsidR="003710DB" w:rsidRPr="00F60FC4" w14:paraId="03635399" w14:textId="77777777" w:rsidTr="005F7E69">
        <w:tc>
          <w:tcPr>
            <w:tcW w:w="2007" w:type="dxa"/>
            <w:vMerge/>
            <w:tcBorders>
              <w:bottom w:val="single" w:sz="4" w:space="0" w:color="auto"/>
            </w:tcBorders>
            <w:shd w:val="clear" w:color="auto" w:fill="auto"/>
            <w:hideMark/>
          </w:tcPr>
          <w:p w14:paraId="31986F1F" w14:textId="77777777" w:rsidR="003710DB" w:rsidRPr="00F60FC4" w:rsidRDefault="003710DB" w:rsidP="003710DB">
            <w:pPr>
              <w:tabs>
                <w:tab w:val="left" w:pos="1530"/>
              </w:tabs>
              <w:spacing w:before="40" w:after="40"/>
              <w:ind w:right="115"/>
              <w:rPr>
                <w:lang w:val="es-SV"/>
              </w:rPr>
            </w:pPr>
          </w:p>
        </w:tc>
        <w:tc>
          <w:tcPr>
            <w:tcW w:w="3797" w:type="dxa"/>
            <w:tcBorders>
              <w:bottom w:val="single" w:sz="4" w:space="0" w:color="auto"/>
            </w:tcBorders>
            <w:shd w:val="clear" w:color="auto" w:fill="auto"/>
            <w:noWrap/>
            <w:vAlign w:val="center"/>
            <w:hideMark/>
          </w:tcPr>
          <w:p w14:paraId="3FEBC2D1" w14:textId="77777777" w:rsidR="003710DB" w:rsidRPr="00F60FC4" w:rsidRDefault="003710DB" w:rsidP="003710DB">
            <w:pPr>
              <w:tabs>
                <w:tab w:val="left" w:pos="1530"/>
              </w:tabs>
              <w:spacing w:before="40" w:after="40"/>
              <w:ind w:right="115"/>
              <w:rPr>
                <w:lang w:val="es-SV"/>
              </w:rPr>
            </w:pPr>
            <w:r w:rsidRPr="00F60FC4">
              <w:rPr>
                <w:lang w:val="es-SV"/>
              </w:rPr>
              <w:t>Juzgado de Sentencia</w:t>
            </w:r>
          </w:p>
        </w:tc>
        <w:tc>
          <w:tcPr>
            <w:tcW w:w="1566" w:type="dxa"/>
            <w:tcBorders>
              <w:bottom w:val="single" w:sz="4" w:space="0" w:color="auto"/>
            </w:tcBorders>
            <w:shd w:val="clear" w:color="auto" w:fill="auto"/>
            <w:noWrap/>
            <w:hideMark/>
          </w:tcPr>
          <w:p w14:paraId="529D9B80" w14:textId="77777777" w:rsidR="003710DB" w:rsidRPr="00F60FC4" w:rsidRDefault="003710DB" w:rsidP="003710DB">
            <w:pPr>
              <w:tabs>
                <w:tab w:val="left" w:pos="1530"/>
              </w:tabs>
              <w:spacing w:before="40" w:after="40"/>
              <w:ind w:right="115"/>
              <w:jc w:val="right"/>
              <w:rPr>
                <w:lang w:val="es-SV"/>
              </w:rPr>
            </w:pPr>
            <w:r w:rsidRPr="00F60FC4">
              <w:rPr>
                <w:lang w:val="es-SV"/>
              </w:rPr>
              <w:t>1</w:t>
            </w:r>
          </w:p>
        </w:tc>
      </w:tr>
      <w:tr w:rsidR="003710DB" w:rsidRPr="00D66AC7" w14:paraId="6F273E29" w14:textId="77777777" w:rsidTr="005F7E69">
        <w:tc>
          <w:tcPr>
            <w:tcW w:w="5804" w:type="dxa"/>
            <w:gridSpan w:val="2"/>
            <w:tcBorders>
              <w:top w:val="single" w:sz="4" w:space="0" w:color="auto"/>
              <w:bottom w:val="single" w:sz="12" w:space="0" w:color="auto"/>
            </w:tcBorders>
            <w:shd w:val="clear" w:color="auto" w:fill="auto"/>
            <w:noWrap/>
            <w:hideMark/>
          </w:tcPr>
          <w:p w14:paraId="148ABCBF" w14:textId="77777777" w:rsidR="003710DB" w:rsidRPr="00D66AC7" w:rsidRDefault="003710DB" w:rsidP="003710DB">
            <w:pPr>
              <w:tabs>
                <w:tab w:val="left" w:pos="1530"/>
              </w:tabs>
              <w:spacing w:before="80" w:after="80"/>
              <w:ind w:left="283"/>
              <w:rPr>
                <w:b/>
                <w:lang w:val="es-SV"/>
              </w:rPr>
            </w:pPr>
            <w:r w:rsidRPr="00D66AC7">
              <w:rPr>
                <w:b/>
                <w:lang w:val="es-SV"/>
              </w:rPr>
              <w:t>Total</w:t>
            </w:r>
          </w:p>
        </w:tc>
        <w:tc>
          <w:tcPr>
            <w:tcW w:w="1566" w:type="dxa"/>
            <w:tcBorders>
              <w:top w:val="single" w:sz="4" w:space="0" w:color="auto"/>
              <w:bottom w:val="single" w:sz="12" w:space="0" w:color="auto"/>
            </w:tcBorders>
            <w:shd w:val="clear" w:color="auto" w:fill="auto"/>
            <w:noWrap/>
            <w:hideMark/>
          </w:tcPr>
          <w:p w14:paraId="2977ACA7" w14:textId="77777777" w:rsidR="003710DB" w:rsidRPr="00D66AC7" w:rsidRDefault="003710DB" w:rsidP="003710DB">
            <w:pPr>
              <w:tabs>
                <w:tab w:val="left" w:pos="1530"/>
              </w:tabs>
              <w:spacing w:before="80" w:after="80"/>
              <w:jc w:val="right"/>
              <w:rPr>
                <w:b/>
                <w:lang w:val="es-SV"/>
              </w:rPr>
            </w:pPr>
            <w:r w:rsidRPr="00D66AC7">
              <w:rPr>
                <w:b/>
                <w:lang w:val="es-SV"/>
              </w:rPr>
              <w:t>7</w:t>
            </w:r>
          </w:p>
        </w:tc>
      </w:tr>
    </w:tbl>
    <w:p w14:paraId="4F888D46" w14:textId="77777777" w:rsidR="003710DB" w:rsidRDefault="003710DB" w:rsidP="003710DB">
      <w:pPr>
        <w:pStyle w:val="NormalG"/>
        <w:tabs>
          <w:tab w:val="left" w:pos="1530"/>
        </w:tabs>
        <w:spacing w:before="120" w:after="240" w:line="220" w:lineRule="exact"/>
        <w:ind w:left="1134" w:right="1134" w:firstLine="170"/>
        <w:rPr>
          <w:lang w:val="es-SV"/>
        </w:rPr>
      </w:pPr>
      <w:r w:rsidRPr="00A6674D">
        <w:rPr>
          <w:i/>
          <w:sz w:val="18"/>
          <w:szCs w:val="18"/>
        </w:rPr>
        <w:t>Fuente</w:t>
      </w:r>
      <w:r w:rsidRPr="00DE56CE">
        <w:rPr>
          <w:lang w:val="es-SV"/>
        </w:rPr>
        <w:t>: Corte Suprema de Justicia</w:t>
      </w:r>
    </w:p>
    <w:p w14:paraId="44A0A34D" w14:textId="1AED015F" w:rsidR="003710DB" w:rsidRDefault="003710DB" w:rsidP="003710DB">
      <w:pPr>
        <w:pStyle w:val="H23G"/>
        <w:tabs>
          <w:tab w:val="left" w:pos="1530"/>
        </w:tabs>
        <w:rPr>
          <w:lang w:val="es-SV"/>
        </w:rPr>
      </w:pPr>
      <w:r>
        <w:rPr>
          <w:lang w:val="es-SV"/>
        </w:rPr>
        <w:lastRenderedPageBreak/>
        <w:tab/>
      </w:r>
      <w:r>
        <w:rPr>
          <w:lang w:val="es-SV"/>
        </w:rPr>
        <w:tab/>
      </w:r>
      <w:r w:rsidRPr="00D66AC7">
        <w:rPr>
          <w:lang w:val="es-SV"/>
        </w:rPr>
        <w:t>En cumplimiento a la Recomendación 13(a) se informa lo siguiente</w:t>
      </w:r>
      <w:r w:rsidRPr="00DE56CE">
        <w:rPr>
          <w:lang w:val="es-SV"/>
        </w:rPr>
        <w:t>: La asignación del recurso humano, técnico y financiero para el funcionamiento de los Tribunales Especializados para una Vida Libre de Violencia y Discriminación para las Mujeres es la siguiente:</w:t>
      </w:r>
    </w:p>
    <w:p w14:paraId="61A597E3" w14:textId="77777777" w:rsidR="003710DB" w:rsidRPr="003710DB" w:rsidRDefault="003710DB" w:rsidP="003710DB">
      <w:pPr>
        <w:pStyle w:val="SingleTxtG"/>
        <w:tabs>
          <w:tab w:val="left" w:pos="1530"/>
        </w:tabs>
        <w:rPr>
          <w:rFonts w:asciiTheme="majorBidi" w:hAnsiTheme="majorBidi" w:cstheme="majorBidi"/>
          <w:lang w:val="es-SV"/>
        </w:rPr>
      </w:pPr>
      <w:r w:rsidRPr="003710DB">
        <w:rPr>
          <w:rFonts w:asciiTheme="majorBidi" w:hAnsiTheme="majorBidi" w:cstheme="majorBidi"/>
          <w:lang w:val="es-SV"/>
        </w:rPr>
        <w:t>Tabla 2.</w:t>
      </w:r>
    </w:p>
    <w:p w14:paraId="28C0D448" w14:textId="77777777" w:rsidR="003710DB" w:rsidRPr="00DE56CE" w:rsidRDefault="003710DB" w:rsidP="003710DB">
      <w:pPr>
        <w:pStyle w:val="SingleTxtG"/>
        <w:tabs>
          <w:tab w:val="left" w:pos="1530"/>
        </w:tabs>
        <w:rPr>
          <w:lang w:val="es-SV"/>
        </w:rPr>
      </w:pPr>
      <w:r w:rsidRPr="00DE56CE">
        <w:rPr>
          <w:b/>
          <w:lang w:val="es-SV"/>
        </w:rPr>
        <w:t>Personal asignado a Juzgados Especializados</w:t>
      </w:r>
      <w:r>
        <w:rPr>
          <w:b/>
          <w:lang w:val="bg-BG"/>
        </w:rPr>
        <w:t xml:space="preserve"> </w:t>
      </w:r>
      <w:r w:rsidRPr="00DE56CE">
        <w:rPr>
          <w:b/>
          <w:lang w:val="es-SV"/>
        </w:rPr>
        <w:t>Para una Vida Libre de Violencia y</w:t>
      </w:r>
      <w:r>
        <w:rPr>
          <w:b/>
          <w:lang w:val="es-SV"/>
        </w:rPr>
        <w:t xml:space="preserve"> </w:t>
      </w:r>
      <w:r w:rsidRPr="00DE56CE">
        <w:rPr>
          <w:b/>
          <w:lang w:val="es-SV"/>
        </w:rPr>
        <w:t>Discriminación para las Mujeres. 2017</w:t>
      </w:r>
    </w:p>
    <w:tbl>
      <w:tblPr>
        <w:tblW w:w="7370" w:type="dxa"/>
        <w:tblInd w:w="1134" w:type="dxa"/>
        <w:tblLayout w:type="fixed"/>
        <w:tblCellMar>
          <w:left w:w="0" w:type="dxa"/>
          <w:right w:w="0" w:type="dxa"/>
        </w:tblCellMar>
        <w:tblLook w:val="04A0" w:firstRow="1" w:lastRow="0" w:firstColumn="1" w:lastColumn="0" w:noHBand="0" w:noVBand="1"/>
      </w:tblPr>
      <w:tblGrid>
        <w:gridCol w:w="2832"/>
        <w:gridCol w:w="1104"/>
        <w:gridCol w:w="1104"/>
        <w:gridCol w:w="1226"/>
        <w:gridCol w:w="1104"/>
      </w:tblGrid>
      <w:tr w:rsidR="003710DB" w:rsidRPr="00D66AC7" w14:paraId="30AEE089" w14:textId="77777777" w:rsidTr="005F7E69">
        <w:trPr>
          <w:tblHeader/>
        </w:trPr>
        <w:tc>
          <w:tcPr>
            <w:tcW w:w="3279" w:type="dxa"/>
            <w:vMerge w:val="restart"/>
            <w:tcBorders>
              <w:top w:val="single" w:sz="4" w:space="0" w:color="auto"/>
              <w:bottom w:val="single" w:sz="12" w:space="0" w:color="auto"/>
            </w:tcBorders>
            <w:shd w:val="clear" w:color="auto" w:fill="auto"/>
            <w:noWrap/>
            <w:hideMark/>
          </w:tcPr>
          <w:p w14:paraId="089C8874" w14:textId="77777777" w:rsidR="003710DB" w:rsidRPr="00D66AC7" w:rsidRDefault="003710DB" w:rsidP="003710DB">
            <w:pPr>
              <w:pStyle w:val="SingleTxtG"/>
              <w:tabs>
                <w:tab w:val="left" w:pos="1530"/>
              </w:tabs>
              <w:suppressAutoHyphens w:val="0"/>
              <w:spacing w:before="80" w:after="80" w:line="200" w:lineRule="exact"/>
              <w:ind w:left="0" w:right="0"/>
              <w:jc w:val="left"/>
              <w:rPr>
                <w:bCs/>
                <w:i/>
                <w:sz w:val="16"/>
                <w:lang w:val="es-SV"/>
              </w:rPr>
            </w:pPr>
            <w:r w:rsidRPr="00D66AC7">
              <w:rPr>
                <w:bCs/>
                <w:i/>
                <w:sz w:val="16"/>
                <w:lang w:val="es-SV"/>
              </w:rPr>
              <w:t>Cargo nominal y funcional</w:t>
            </w:r>
          </w:p>
        </w:tc>
        <w:tc>
          <w:tcPr>
            <w:tcW w:w="2552" w:type="dxa"/>
            <w:gridSpan w:val="2"/>
            <w:tcBorders>
              <w:top w:val="single" w:sz="4" w:space="0" w:color="auto"/>
              <w:bottom w:val="single" w:sz="12" w:space="0" w:color="auto"/>
            </w:tcBorders>
            <w:shd w:val="clear" w:color="auto" w:fill="auto"/>
            <w:noWrap/>
            <w:vAlign w:val="bottom"/>
            <w:hideMark/>
          </w:tcPr>
          <w:p w14:paraId="782B89C0" w14:textId="77777777" w:rsidR="003710DB" w:rsidRPr="00D66AC7" w:rsidRDefault="003710DB" w:rsidP="003710DB">
            <w:pPr>
              <w:pStyle w:val="SingleTxtG"/>
              <w:tabs>
                <w:tab w:val="left" w:pos="1530"/>
              </w:tabs>
              <w:suppressAutoHyphens w:val="0"/>
              <w:spacing w:before="80" w:after="80" w:line="200" w:lineRule="exact"/>
              <w:ind w:left="0" w:right="0"/>
              <w:jc w:val="center"/>
              <w:rPr>
                <w:bCs/>
                <w:i/>
                <w:sz w:val="16"/>
                <w:lang w:val="es-SV"/>
              </w:rPr>
            </w:pPr>
            <w:r w:rsidRPr="00D66AC7">
              <w:rPr>
                <w:bCs/>
                <w:i/>
                <w:sz w:val="16"/>
                <w:lang w:val="es-SV"/>
              </w:rPr>
              <w:t>Sexo</w:t>
            </w:r>
          </w:p>
        </w:tc>
        <w:tc>
          <w:tcPr>
            <w:tcW w:w="1417" w:type="dxa"/>
            <w:vMerge w:val="restart"/>
            <w:tcBorders>
              <w:top w:val="single" w:sz="4" w:space="0" w:color="auto"/>
              <w:bottom w:val="single" w:sz="12" w:space="0" w:color="auto"/>
            </w:tcBorders>
            <w:shd w:val="clear" w:color="auto" w:fill="auto"/>
            <w:noWrap/>
            <w:hideMark/>
          </w:tcPr>
          <w:p w14:paraId="3950931F" w14:textId="77777777" w:rsidR="003710DB" w:rsidRPr="00D66AC7" w:rsidRDefault="003710DB" w:rsidP="003710DB">
            <w:pPr>
              <w:pStyle w:val="SingleTxtG"/>
              <w:tabs>
                <w:tab w:val="left" w:pos="1530"/>
              </w:tabs>
              <w:suppressAutoHyphens w:val="0"/>
              <w:spacing w:before="80" w:after="80" w:line="200" w:lineRule="exact"/>
              <w:ind w:left="0" w:right="0"/>
              <w:jc w:val="right"/>
              <w:rPr>
                <w:bCs/>
                <w:i/>
                <w:sz w:val="16"/>
                <w:lang w:val="es-SV"/>
              </w:rPr>
            </w:pPr>
            <w:r w:rsidRPr="00D66AC7">
              <w:rPr>
                <w:bCs/>
                <w:i/>
                <w:sz w:val="16"/>
                <w:lang w:val="es-SV"/>
              </w:rPr>
              <w:t>Vacante</w:t>
            </w:r>
          </w:p>
        </w:tc>
        <w:tc>
          <w:tcPr>
            <w:tcW w:w="1276" w:type="dxa"/>
            <w:vMerge w:val="restart"/>
            <w:tcBorders>
              <w:top w:val="single" w:sz="4" w:space="0" w:color="auto"/>
              <w:bottom w:val="single" w:sz="12" w:space="0" w:color="auto"/>
            </w:tcBorders>
            <w:shd w:val="clear" w:color="auto" w:fill="auto"/>
            <w:noWrap/>
            <w:hideMark/>
          </w:tcPr>
          <w:p w14:paraId="6328D637" w14:textId="77777777" w:rsidR="003710DB" w:rsidRPr="00D66AC7" w:rsidRDefault="003710DB" w:rsidP="003710DB">
            <w:pPr>
              <w:pStyle w:val="SingleTxtG"/>
              <w:tabs>
                <w:tab w:val="left" w:pos="1530"/>
              </w:tabs>
              <w:suppressAutoHyphens w:val="0"/>
              <w:spacing w:before="80" w:after="80" w:line="200" w:lineRule="exact"/>
              <w:ind w:left="0" w:right="0"/>
              <w:jc w:val="right"/>
              <w:rPr>
                <w:b/>
                <w:bCs/>
                <w:i/>
                <w:sz w:val="16"/>
                <w:lang w:val="es-SV"/>
              </w:rPr>
            </w:pPr>
            <w:r w:rsidRPr="00D66AC7">
              <w:rPr>
                <w:b/>
                <w:bCs/>
                <w:i/>
                <w:sz w:val="16"/>
                <w:lang w:val="es-SV"/>
              </w:rPr>
              <w:t>Total</w:t>
            </w:r>
          </w:p>
        </w:tc>
      </w:tr>
      <w:tr w:rsidR="003710DB" w:rsidRPr="00D66AC7" w14:paraId="2951DFD8" w14:textId="77777777" w:rsidTr="005F7E69">
        <w:trPr>
          <w:tblHeader/>
        </w:trPr>
        <w:tc>
          <w:tcPr>
            <w:tcW w:w="3279" w:type="dxa"/>
            <w:vMerge/>
            <w:tcBorders>
              <w:top w:val="single" w:sz="12" w:space="0" w:color="auto"/>
            </w:tcBorders>
            <w:shd w:val="clear" w:color="auto" w:fill="auto"/>
            <w:vAlign w:val="bottom"/>
            <w:hideMark/>
          </w:tcPr>
          <w:p w14:paraId="3FE8B878" w14:textId="77777777" w:rsidR="003710DB" w:rsidRPr="00D66AC7" w:rsidRDefault="003710DB" w:rsidP="003710DB">
            <w:pPr>
              <w:pStyle w:val="SingleTxtG"/>
              <w:tabs>
                <w:tab w:val="left" w:pos="1530"/>
              </w:tabs>
              <w:suppressAutoHyphens w:val="0"/>
              <w:spacing w:before="40" w:after="40" w:line="220" w:lineRule="exact"/>
              <w:ind w:left="0" w:right="0"/>
              <w:jc w:val="left"/>
              <w:rPr>
                <w:b/>
                <w:bCs/>
                <w:sz w:val="18"/>
                <w:lang w:val="es-SV"/>
              </w:rPr>
            </w:pPr>
          </w:p>
        </w:tc>
        <w:tc>
          <w:tcPr>
            <w:tcW w:w="1276" w:type="dxa"/>
            <w:tcBorders>
              <w:top w:val="single" w:sz="12" w:space="0" w:color="auto"/>
            </w:tcBorders>
            <w:shd w:val="clear" w:color="auto" w:fill="auto"/>
            <w:noWrap/>
            <w:vAlign w:val="center"/>
            <w:hideMark/>
          </w:tcPr>
          <w:p w14:paraId="5DF99F1F" w14:textId="77777777" w:rsidR="003710DB" w:rsidRPr="00D66AC7" w:rsidRDefault="003710DB" w:rsidP="003710DB">
            <w:pPr>
              <w:pStyle w:val="SingleTxtG"/>
              <w:tabs>
                <w:tab w:val="left" w:pos="1530"/>
              </w:tabs>
              <w:suppressAutoHyphens w:val="0"/>
              <w:spacing w:before="40" w:after="40" w:line="220" w:lineRule="exact"/>
              <w:ind w:left="0" w:right="0"/>
              <w:jc w:val="center"/>
              <w:rPr>
                <w:bCs/>
                <w:sz w:val="18"/>
                <w:lang w:val="es-SV"/>
              </w:rPr>
            </w:pPr>
            <w:r w:rsidRPr="00D66AC7">
              <w:rPr>
                <w:bCs/>
                <w:sz w:val="18"/>
                <w:lang w:val="es-SV"/>
              </w:rPr>
              <w:t>Mujer</w:t>
            </w:r>
          </w:p>
        </w:tc>
        <w:tc>
          <w:tcPr>
            <w:tcW w:w="1276" w:type="dxa"/>
            <w:tcBorders>
              <w:top w:val="single" w:sz="12" w:space="0" w:color="auto"/>
            </w:tcBorders>
            <w:shd w:val="clear" w:color="auto" w:fill="auto"/>
            <w:noWrap/>
            <w:vAlign w:val="center"/>
            <w:hideMark/>
          </w:tcPr>
          <w:p w14:paraId="4C5A45B2" w14:textId="77777777" w:rsidR="003710DB" w:rsidRPr="00D66AC7" w:rsidRDefault="003710DB" w:rsidP="003710DB">
            <w:pPr>
              <w:pStyle w:val="SingleTxtG"/>
              <w:tabs>
                <w:tab w:val="left" w:pos="1530"/>
              </w:tabs>
              <w:suppressAutoHyphens w:val="0"/>
              <w:spacing w:before="40" w:after="40" w:line="220" w:lineRule="exact"/>
              <w:ind w:left="0" w:right="0"/>
              <w:jc w:val="center"/>
              <w:rPr>
                <w:bCs/>
                <w:sz w:val="18"/>
                <w:lang w:val="es-SV"/>
              </w:rPr>
            </w:pPr>
            <w:r w:rsidRPr="00D66AC7">
              <w:rPr>
                <w:bCs/>
                <w:sz w:val="18"/>
                <w:lang w:val="es-SV"/>
              </w:rPr>
              <w:t>Hombre</w:t>
            </w:r>
          </w:p>
        </w:tc>
        <w:tc>
          <w:tcPr>
            <w:tcW w:w="1417" w:type="dxa"/>
            <w:vMerge/>
            <w:tcBorders>
              <w:top w:val="single" w:sz="12" w:space="0" w:color="auto"/>
            </w:tcBorders>
            <w:shd w:val="clear" w:color="auto" w:fill="auto"/>
            <w:vAlign w:val="center"/>
            <w:hideMark/>
          </w:tcPr>
          <w:p w14:paraId="3E30AAE9" w14:textId="77777777" w:rsidR="003710DB" w:rsidRPr="00D66AC7" w:rsidRDefault="003710DB" w:rsidP="003710DB">
            <w:pPr>
              <w:pStyle w:val="SingleTxtG"/>
              <w:tabs>
                <w:tab w:val="left" w:pos="1530"/>
              </w:tabs>
              <w:suppressAutoHyphens w:val="0"/>
              <w:spacing w:before="40" w:after="40" w:line="220" w:lineRule="exact"/>
              <w:ind w:left="0" w:right="0"/>
              <w:jc w:val="right"/>
              <w:rPr>
                <w:b/>
                <w:bCs/>
                <w:sz w:val="18"/>
                <w:lang w:val="es-SV"/>
              </w:rPr>
            </w:pPr>
          </w:p>
        </w:tc>
        <w:tc>
          <w:tcPr>
            <w:tcW w:w="1276" w:type="dxa"/>
            <w:vMerge/>
            <w:tcBorders>
              <w:top w:val="single" w:sz="12" w:space="0" w:color="auto"/>
            </w:tcBorders>
            <w:shd w:val="clear" w:color="auto" w:fill="auto"/>
            <w:vAlign w:val="center"/>
            <w:hideMark/>
          </w:tcPr>
          <w:p w14:paraId="6C19800A" w14:textId="77777777" w:rsidR="003710DB" w:rsidRPr="00D66AC7" w:rsidRDefault="003710DB" w:rsidP="003710DB">
            <w:pPr>
              <w:pStyle w:val="SingleTxtG"/>
              <w:tabs>
                <w:tab w:val="left" w:pos="1530"/>
              </w:tabs>
              <w:suppressAutoHyphens w:val="0"/>
              <w:spacing w:before="40" w:after="40" w:line="220" w:lineRule="exact"/>
              <w:ind w:left="0" w:right="0"/>
              <w:jc w:val="right"/>
              <w:rPr>
                <w:b/>
                <w:bCs/>
                <w:sz w:val="18"/>
                <w:lang w:val="es-SV"/>
              </w:rPr>
            </w:pPr>
          </w:p>
        </w:tc>
      </w:tr>
      <w:tr w:rsidR="003710DB" w:rsidRPr="00D66AC7" w14:paraId="698ACC14" w14:textId="77777777" w:rsidTr="005F7E69">
        <w:tc>
          <w:tcPr>
            <w:tcW w:w="3279" w:type="dxa"/>
            <w:shd w:val="clear" w:color="auto" w:fill="auto"/>
            <w:noWrap/>
            <w:hideMark/>
          </w:tcPr>
          <w:p w14:paraId="45051DA3"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Magistrado de Cámara I</w:t>
            </w:r>
          </w:p>
        </w:tc>
        <w:tc>
          <w:tcPr>
            <w:tcW w:w="1276" w:type="dxa"/>
            <w:shd w:val="clear" w:color="auto" w:fill="auto"/>
            <w:noWrap/>
            <w:vAlign w:val="center"/>
            <w:hideMark/>
          </w:tcPr>
          <w:p w14:paraId="704ECA95"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2</w:t>
            </w:r>
          </w:p>
        </w:tc>
        <w:tc>
          <w:tcPr>
            <w:tcW w:w="1276" w:type="dxa"/>
            <w:shd w:val="clear" w:color="auto" w:fill="auto"/>
            <w:noWrap/>
            <w:vAlign w:val="center"/>
            <w:hideMark/>
          </w:tcPr>
          <w:p w14:paraId="19BEA434"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0</w:t>
            </w:r>
          </w:p>
        </w:tc>
        <w:tc>
          <w:tcPr>
            <w:tcW w:w="1417" w:type="dxa"/>
            <w:shd w:val="clear" w:color="auto" w:fill="auto"/>
            <w:noWrap/>
            <w:vAlign w:val="center"/>
            <w:hideMark/>
          </w:tcPr>
          <w:p w14:paraId="41AE0BEC"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0</w:t>
            </w:r>
          </w:p>
        </w:tc>
        <w:tc>
          <w:tcPr>
            <w:tcW w:w="1276" w:type="dxa"/>
            <w:shd w:val="clear" w:color="auto" w:fill="auto"/>
            <w:noWrap/>
            <w:vAlign w:val="center"/>
            <w:hideMark/>
          </w:tcPr>
          <w:p w14:paraId="4D0C3CF1" w14:textId="77777777" w:rsidR="003710DB" w:rsidRPr="00D66AC7" w:rsidRDefault="003710DB" w:rsidP="003710DB">
            <w:pPr>
              <w:pStyle w:val="SingleTxtG"/>
              <w:tabs>
                <w:tab w:val="left" w:pos="1530"/>
              </w:tabs>
              <w:suppressAutoHyphens w:val="0"/>
              <w:spacing w:before="40" w:after="40" w:line="220" w:lineRule="exact"/>
              <w:ind w:left="0" w:right="0"/>
              <w:jc w:val="right"/>
              <w:rPr>
                <w:b/>
                <w:sz w:val="18"/>
                <w:lang w:val="es-SV"/>
              </w:rPr>
            </w:pPr>
            <w:r w:rsidRPr="00D66AC7">
              <w:rPr>
                <w:b/>
                <w:sz w:val="18"/>
                <w:lang w:val="es-SV"/>
              </w:rPr>
              <w:t>2</w:t>
            </w:r>
          </w:p>
        </w:tc>
      </w:tr>
      <w:tr w:rsidR="003710DB" w:rsidRPr="00D66AC7" w14:paraId="317C6EEE" w14:textId="77777777" w:rsidTr="005F7E69">
        <w:tc>
          <w:tcPr>
            <w:tcW w:w="3279" w:type="dxa"/>
            <w:shd w:val="clear" w:color="auto" w:fill="auto"/>
            <w:noWrap/>
            <w:hideMark/>
          </w:tcPr>
          <w:p w14:paraId="0CC41600"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Secretario de Cámara I</w:t>
            </w:r>
          </w:p>
        </w:tc>
        <w:tc>
          <w:tcPr>
            <w:tcW w:w="1276" w:type="dxa"/>
            <w:shd w:val="clear" w:color="auto" w:fill="auto"/>
            <w:noWrap/>
            <w:vAlign w:val="center"/>
            <w:hideMark/>
          </w:tcPr>
          <w:p w14:paraId="598CC5B5"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1</w:t>
            </w:r>
          </w:p>
        </w:tc>
        <w:tc>
          <w:tcPr>
            <w:tcW w:w="1276" w:type="dxa"/>
            <w:shd w:val="clear" w:color="auto" w:fill="auto"/>
            <w:noWrap/>
            <w:vAlign w:val="center"/>
            <w:hideMark/>
          </w:tcPr>
          <w:p w14:paraId="08898414"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0</w:t>
            </w:r>
          </w:p>
        </w:tc>
        <w:tc>
          <w:tcPr>
            <w:tcW w:w="1417" w:type="dxa"/>
            <w:shd w:val="clear" w:color="auto" w:fill="auto"/>
            <w:noWrap/>
            <w:vAlign w:val="center"/>
            <w:hideMark/>
          </w:tcPr>
          <w:p w14:paraId="1E9CA625"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0</w:t>
            </w:r>
          </w:p>
        </w:tc>
        <w:tc>
          <w:tcPr>
            <w:tcW w:w="1276" w:type="dxa"/>
            <w:shd w:val="clear" w:color="auto" w:fill="auto"/>
            <w:noWrap/>
            <w:vAlign w:val="center"/>
            <w:hideMark/>
          </w:tcPr>
          <w:p w14:paraId="7A9E99BA" w14:textId="77777777" w:rsidR="003710DB" w:rsidRPr="00D66AC7" w:rsidRDefault="003710DB" w:rsidP="003710DB">
            <w:pPr>
              <w:pStyle w:val="SingleTxtG"/>
              <w:tabs>
                <w:tab w:val="left" w:pos="1530"/>
              </w:tabs>
              <w:suppressAutoHyphens w:val="0"/>
              <w:spacing w:before="40" w:after="40" w:line="220" w:lineRule="exact"/>
              <w:ind w:left="0" w:right="0"/>
              <w:jc w:val="right"/>
              <w:rPr>
                <w:b/>
                <w:sz w:val="18"/>
                <w:lang w:val="es-SV"/>
              </w:rPr>
            </w:pPr>
            <w:r w:rsidRPr="00D66AC7">
              <w:rPr>
                <w:b/>
                <w:sz w:val="18"/>
                <w:lang w:val="es-SV"/>
              </w:rPr>
              <w:t>1</w:t>
            </w:r>
          </w:p>
        </w:tc>
      </w:tr>
      <w:tr w:rsidR="003710DB" w:rsidRPr="00D66AC7" w14:paraId="49165034" w14:textId="77777777" w:rsidTr="005F7E69">
        <w:tc>
          <w:tcPr>
            <w:tcW w:w="3279" w:type="dxa"/>
            <w:shd w:val="clear" w:color="auto" w:fill="auto"/>
            <w:noWrap/>
            <w:hideMark/>
          </w:tcPr>
          <w:p w14:paraId="0DB86BC4"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Colaborador Judicial A-I</w:t>
            </w:r>
          </w:p>
        </w:tc>
        <w:tc>
          <w:tcPr>
            <w:tcW w:w="1276" w:type="dxa"/>
            <w:shd w:val="clear" w:color="auto" w:fill="auto"/>
            <w:noWrap/>
            <w:vAlign w:val="center"/>
            <w:hideMark/>
          </w:tcPr>
          <w:p w14:paraId="770B06BB"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4</w:t>
            </w:r>
          </w:p>
        </w:tc>
        <w:tc>
          <w:tcPr>
            <w:tcW w:w="1276" w:type="dxa"/>
            <w:shd w:val="clear" w:color="auto" w:fill="auto"/>
            <w:noWrap/>
            <w:vAlign w:val="center"/>
            <w:hideMark/>
          </w:tcPr>
          <w:p w14:paraId="7D0E2D8A"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0</w:t>
            </w:r>
          </w:p>
        </w:tc>
        <w:tc>
          <w:tcPr>
            <w:tcW w:w="1417" w:type="dxa"/>
            <w:shd w:val="clear" w:color="auto" w:fill="auto"/>
            <w:noWrap/>
            <w:vAlign w:val="center"/>
            <w:hideMark/>
          </w:tcPr>
          <w:p w14:paraId="23F5FFD8"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0</w:t>
            </w:r>
          </w:p>
        </w:tc>
        <w:tc>
          <w:tcPr>
            <w:tcW w:w="1276" w:type="dxa"/>
            <w:shd w:val="clear" w:color="auto" w:fill="auto"/>
            <w:noWrap/>
            <w:vAlign w:val="center"/>
            <w:hideMark/>
          </w:tcPr>
          <w:p w14:paraId="2F64CCEC" w14:textId="77777777" w:rsidR="003710DB" w:rsidRPr="00D66AC7" w:rsidRDefault="003710DB" w:rsidP="003710DB">
            <w:pPr>
              <w:pStyle w:val="SingleTxtG"/>
              <w:tabs>
                <w:tab w:val="left" w:pos="1530"/>
              </w:tabs>
              <w:suppressAutoHyphens w:val="0"/>
              <w:spacing w:before="40" w:after="40" w:line="220" w:lineRule="exact"/>
              <w:ind w:left="0" w:right="0"/>
              <w:jc w:val="right"/>
              <w:rPr>
                <w:b/>
                <w:sz w:val="18"/>
                <w:lang w:val="es-SV"/>
              </w:rPr>
            </w:pPr>
            <w:r w:rsidRPr="00D66AC7">
              <w:rPr>
                <w:b/>
                <w:sz w:val="18"/>
                <w:lang w:val="es-SV"/>
              </w:rPr>
              <w:t>4</w:t>
            </w:r>
          </w:p>
        </w:tc>
      </w:tr>
      <w:tr w:rsidR="003710DB" w:rsidRPr="00D66AC7" w14:paraId="5FA1DAA6" w14:textId="77777777" w:rsidTr="005F7E69">
        <w:tc>
          <w:tcPr>
            <w:tcW w:w="3279" w:type="dxa"/>
            <w:shd w:val="clear" w:color="auto" w:fill="auto"/>
            <w:noWrap/>
            <w:hideMark/>
          </w:tcPr>
          <w:p w14:paraId="780FA5E4"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Oficial Mayor A-I</w:t>
            </w:r>
          </w:p>
        </w:tc>
        <w:tc>
          <w:tcPr>
            <w:tcW w:w="1276" w:type="dxa"/>
            <w:shd w:val="clear" w:color="auto" w:fill="auto"/>
            <w:noWrap/>
            <w:vAlign w:val="center"/>
            <w:hideMark/>
          </w:tcPr>
          <w:p w14:paraId="0B5C1537"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0</w:t>
            </w:r>
          </w:p>
        </w:tc>
        <w:tc>
          <w:tcPr>
            <w:tcW w:w="1276" w:type="dxa"/>
            <w:shd w:val="clear" w:color="auto" w:fill="auto"/>
            <w:noWrap/>
            <w:vAlign w:val="center"/>
            <w:hideMark/>
          </w:tcPr>
          <w:p w14:paraId="66A69C58"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1</w:t>
            </w:r>
          </w:p>
        </w:tc>
        <w:tc>
          <w:tcPr>
            <w:tcW w:w="1417" w:type="dxa"/>
            <w:shd w:val="clear" w:color="auto" w:fill="auto"/>
            <w:noWrap/>
            <w:vAlign w:val="center"/>
            <w:hideMark/>
          </w:tcPr>
          <w:p w14:paraId="20C8D31B"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0</w:t>
            </w:r>
          </w:p>
        </w:tc>
        <w:tc>
          <w:tcPr>
            <w:tcW w:w="1276" w:type="dxa"/>
            <w:shd w:val="clear" w:color="auto" w:fill="auto"/>
            <w:noWrap/>
            <w:vAlign w:val="center"/>
            <w:hideMark/>
          </w:tcPr>
          <w:p w14:paraId="5357854E" w14:textId="77777777" w:rsidR="003710DB" w:rsidRPr="00D66AC7" w:rsidRDefault="003710DB" w:rsidP="003710DB">
            <w:pPr>
              <w:pStyle w:val="SingleTxtG"/>
              <w:tabs>
                <w:tab w:val="left" w:pos="1530"/>
              </w:tabs>
              <w:suppressAutoHyphens w:val="0"/>
              <w:spacing w:before="40" w:after="40" w:line="220" w:lineRule="exact"/>
              <w:ind w:left="0" w:right="0"/>
              <w:jc w:val="right"/>
              <w:rPr>
                <w:b/>
                <w:sz w:val="18"/>
                <w:lang w:val="es-SV"/>
              </w:rPr>
            </w:pPr>
            <w:r w:rsidRPr="00D66AC7">
              <w:rPr>
                <w:b/>
                <w:sz w:val="18"/>
                <w:lang w:val="es-SV"/>
              </w:rPr>
              <w:t>1</w:t>
            </w:r>
          </w:p>
        </w:tc>
      </w:tr>
      <w:tr w:rsidR="003710DB" w:rsidRPr="00D66AC7" w14:paraId="6185BE8F" w14:textId="77777777" w:rsidTr="005F7E69">
        <w:tc>
          <w:tcPr>
            <w:tcW w:w="3279" w:type="dxa"/>
            <w:shd w:val="clear" w:color="auto" w:fill="auto"/>
            <w:noWrap/>
            <w:hideMark/>
          </w:tcPr>
          <w:p w14:paraId="5F4DFFEC"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Ordenanza A-I</w:t>
            </w:r>
          </w:p>
        </w:tc>
        <w:tc>
          <w:tcPr>
            <w:tcW w:w="1276" w:type="dxa"/>
            <w:shd w:val="clear" w:color="auto" w:fill="auto"/>
            <w:noWrap/>
            <w:vAlign w:val="center"/>
            <w:hideMark/>
          </w:tcPr>
          <w:p w14:paraId="4E5FF6F8"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0</w:t>
            </w:r>
          </w:p>
        </w:tc>
        <w:tc>
          <w:tcPr>
            <w:tcW w:w="1276" w:type="dxa"/>
            <w:shd w:val="clear" w:color="auto" w:fill="auto"/>
            <w:noWrap/>
            <w:vAlign w:val="center"/>
            <w:hideMark/>
          </w:tcPr>
          <w:p w14:paraId="52927A0F"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1</w:t>
            </w:r>
          </w:p>
        </w:tc>
        <w:tc>
          <w:tcPr>
            <w:tcW w:w="1417" w:type="dxa"/>
            <w:shd w:val="clear" w:color="auto" w:fill="auto"/>
            <w:noWrap/>
            <w:vAlign w:val="center"/>
            <w:hideMark/>
          </w:tcPr>
          <w:p w14:paraId="586175DA"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0</w:t>
            </w:r>
          </w:p>
        </w:tc>
        <w:tc>
          <w:tcPr>
            <w:tcW w:w="1276" w:type="dxa"/>
            <w:shd w:val="clear" w:color="auto" w:fill="auto"/>
            <w:noWrap/>
            <w:vAlign w:val="center"/>
            <w:hideMark/>
          </w:tcPr>
          <w:p w14:paraId="2DF31552" w14:textId="77777777" w:rsidR="003710DB" w:rsidRPr="00D66AC7" w:rsidRDefault="003710DB" w:rsidP="003710DB">
            <w:pPr>
              <w:pStyle w:val="SingleTxtG"/>
              <w:tabs>
                <w:tab w:val="left" w:pos="1530"/>
              </w:tabs>
              <w:suppressAutoHyphens w:val="0"/>
              <w:spacing w:before="40" w:after="40" w:line="220" w:lineRule="exact"/>
              <w:ind w:left="0" w:right="0"/>
              <w:jc w:val="right"/>
              <w:rPr>
                <w:b/>
                <w:sz w:val="18"/>
                <w:lang w:val="es-SV"/>
              </w:rPr>
            </w:pPr>
            <w:r w:rsidRPr="00D66AC7">
              <w:rPr>
                <w:b/>
                <w:sz w:val="18"/>
                <w:lang w:val="es-SV"/>
              </w:rPr>
              <w:t>1</w:t>
            </w:r>
          </w:p>
        </w:tc>
      </w:tr>
      <w:tr w:rsidR="003710DB" w:rsidRPr="00D66AC7" w14:paraId="63BA3F88" w14:textId="77777777" w:rsidTr="005F7E69">
        <w:tc>
          <w:tcPr>
            <w:tcW w:w="3279" w:type="dxa"/>
            <w:shd w:val="clear" w:color="auto" w:fill="auto"/>
            <w:noWrap/>
            <w:hideMark/>
          </w:tcPr>
          <w:p w14:paraId="62EC50A2"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Juez de 1a Instancia I</w:t>
            </w:r>
          </w:p>
        </w:tc>
        <w:tc>
          <w:tcPr>
            <w:tcW w:w="1276" w:type="dxa"/>
            <w:shd w:val="clear" w:color="auto" w:fill="auto"/>
            <w:noWrap/>
            <w:vAlign w:val="center"/>
            <w:hideMark/>
          </w:tcPr>
          <w:p w14:paraId="1EDE4B25"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2</w:t>
            </w:r>
          </w:p>
        </w:tc>
        <w:tc>
          <w:tcPr>
            <w:tcW w:w="1276" w:type="dxa"/>
            <w:shd w:val="clear" w:color="auto" w:fill="auto"/>
            <w:noWrap/>
            <w:vAlign w:val="center"/>
            <w:hideMark/>
          </w:tcPr>
          <w:p w14:paraId="50F57A52"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0</w:t>
            </w:r>
          </w:p>
        </w:tc>
        <w:tc>
          <w:tcPr>
            <w:tcW w:w="1417" w:type="dxa"/>
            <w:shd w:val="clear" w:color="auto" w:fill="auto"/>
            <w:noWrap/>
            <w:vAlign w:val="center"/>
            <w:hideMark/>
          </w:tcPr>
          <w:p w14:paraId="7462783F"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0</w:t>
            </w:r>
          </w:p>
        </w:tc>
        <w:tc>
          <w:tcPr>
            <w:tcW w:w="1276" w:type="dxa"/>
            <w:shd w:val="clear" w:color="auto" w:fill="auto"/>
            <w:noWrap/>
            <w:vAlign w:val="center"/>
            <w:hideMark/>
          </w:tcPr>
          <w:p w14:paraId="00AC0EA3" w14:textId="77777777" w:rsidR="003710DB" w:rsidRPr="00D66AC7" w:rsidRDefault="003710DB" w:rsidP="003710DB">
            <w:pPr>
              <w:pStyle w:val="SingleTxtG"/>
              <w:tabs>
                <w:tab w:val="left" w:pos="1530"/>
              </w:tabs>
              <w:suppressAutoHyphens w:val="0"/>
              <w:spacing w:before="40" w:after="40" w:line="220" w:lineRule="exact"/>
              <w:ind w:left="0" w:right="0"/>
              <w:jc w:val="right"/>
              <w:rPr>
                <w:b/>
                <w:sz w:val="18"/>
                <w:lang w:val="es-SV"/>
              </w:rPr>
            </w:pPr>
            <w:r w:rsidRPr="00D66AC7">
              <w:rPr>
                <w:b/>
                <w:sz w:val="18"/>
                <w:lang w:val="es-SV"/>
              </w:rPr>
              <w:t>2</w:t>
            </w:r>
          </w:p>
        </w:tc>
      </w:tr>
      <w:tr w:rsidR="003710DB" w:rsidRPr="00D66AC7" w14:paraId="5D187936" w14:textId="77777777" w:rsidTr="005F7E69">
        <w:tc>
          <w:tcPr>
            <w:tcW w:w="3279" w:type="dxa"/>
            <w:shd w:val="clear" w:color="auto" w:fill="auto"/>
            <w:noWrap/>
            <w:hideMark/>
          </w:tcPr>
          <w:p w14:paraId="7B2426B6"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Secretario de 1a Instancia I</w:t>
            </w:r>
          </w:p>
        </w:tc>
        <w:tc>
          <w:tcPr>
            <w:tcW w:w="1276" w:type="dxa"/>
            <w:shd w:val="clear" w:color="auto" w:fill="auto"/>
            <w:noWrap/>
            <w:vAlign w:val="center"/>
            <w:hideMark/>
          </w:tcPr>
          <w:p w14:paraId="34EE0569"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2</w:t>
            </w:r>
          </w:p>
        </w:tc>
        <w:tc>
          <w:tcPr>
            <w:tcW w:w="1276" w:type="dxa"/>
            <w:shd w:val="clear" w:color="auto" w:fill="auto"/>
            <w:noWrap/>
            <w:vAlign w:val="center"/>
            <w:hideMark/>
          </w:tcPr>
          <w:p w14:paraId="2A525933"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0</w:t>
            </w:r>
          </w:p>
        </w:tc>
        <w:tc>
          <w:tcPr>
            <w:tcW w:w="1417" w:type="dxa"/>
            <w:shd w:val="clear" w:color="auto" w:fill="auto"/>
            <w:noWrap/>
            <w:vAlign w:val="center"/>
            <w:hideMark/>
          </w:tcPr>
          <w:p w14:paraId="3434BB04"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0</w:t>
            </w:r>
          </w:p>
        </w:tc>
        <w:tc>
          <w:tcPr>
            <w:tcW w:w="1276" w:type="dxa"/>
            <w:shd w:val="clear" w:color="auto" w:fill="auto"/>
            <w:noWrap/>
            <w:vAlign w:val="center"/>
            <w:hideMark/>
          </w:tcPr>
          <w:p w14:paraId="65F758D9" w14:textId="77777777" w:rsidR="003710DB" w:rsidRPr="00D66AC7" w:rsidRDefault="003710DB" w:rsidP="003710DB">
            <w:pPr>
              <w:pStyle w:val="SingleTxtG"/>
              <w:tabs>
                <w:tab w:val="left" w:pos="1530"/>
              </w:tabs>
              <w:suppressAutoHyphens w:val="0"/>
              <w:spacing w:before="40" w:after="40" w:line="220" w:lineRule="exact"/>
              <w:ind w:left="0" w:right="0"/>
              <w:jc w:val="right"/>
              <w:rPr>
                <w:b/>
                <w:sz w:val="18"/>
                <w:lang w:val="es-SV"/>
              </w:rPr>
            </w:pPr>
            <w:r w:rsidRPr="00D66AC7">
              <w:rPr>
                <w:b/>
                <w:sz w:val="18"/>
                <w:lang w:val="es-SV"/>
              </w:rPr>
              <w:t>2</w:t>
            </w:r>
          </w:p>
        </w:tc>
      </w:tr>
      <w:tr w:rsidR="003710DB" w:rsidRPr="00D66AC7" w14:paraId="47128265" w14:textId="77777777" w:rsidTr="005F7E69">
        <w:tc>
          <w:tcPr>
            <w:tcW w:w="3279" w:type="dxa"/>
            <w:shd w:val="clear" w:color="auto" w:fill="auto"/>
            <w:noWrap/>
            <w:hideMark/>
          </w:tcPr>
          <w:p w14:paraId="0EEEFA8A"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Colaborador Judicial B-I</w:t>
            </w:r>
          </w:p>
        </w:tc>
        <w:tc>
          <w:tcPr>
            <w:tcW w:w="1276" w:type="dxa"/>
            <w:shd w:val="clear" w:color="auto" w:fill="auto"/>
            <w:noWrap/>
            <w:vAlign w:val="center"/>
            <w:hideMark/>
          </w:tcPr>
          <w:p w14:paraId="010E4585"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5</w:t>
            </w:r>
          </w:p>
        </w:tc>
        <w:tc>
          <w:tcPr>
            <w:tcW w:w="1276" w:type="dxa"/>
            <w:shd w:val="clear" w:color="auto" w:fill="auto"/>
            <w:noWrap/>
            <w:vAlign w:val="center"/>
            <w:hideMark/>
          </w:tcPr>
          <w:p w14:paraId="1B8DBA70"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2</w:t>
            </w:r>
          </w:p>
        </w:tc>
        <w:tc>
          <w:tcPr>
            <w:tcW w:w="1417" w:type="dxa"/>
            <w:shd w:val="clear" w:color="auto" w:fill="auto"/>
            <w:noWrap/>
            <w:vAlign w:val="center"/>
            <w:hideMark/>
          </w:tcPr>
          <w:p w14:paraId="27361A3B"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0</w:t>
            </w:r>
          </w:p>
        </w:tc>
        <w:tc>
          <w:tcPr>
            <w:tcW w:w="1276" w:type="dxa"/>
            <w:shd w:val="clear" w:color="auto" w:fill="auto"/>
            <w:noWrap/>
            <w:vAlign w:val="center"/>
            <w:hideMark/>
          </w:tcPr>
          <w:p w14:paraId="6199099C" w14:textId="77777777" w:rsidR="003710DB" w:rsidRPr="00D66AC7" w:rsidRDefault="003710DB" w:rsidP="003710DB">
            <w:pPr>
              <w:pStyle w:val="SingleTxtG"/>
              <w:tabs>
                <w:tab w:val="left" w:pos="1530"/>
              </w:tabs>
              <w:suppressAutoHyphens w:val="0"/>
              <w:spacing w:before="40" w:after="40" w:line="220" w:lineRule="exact"/>
              <w:ind w:left="0" w:right="0"/>
              <w:jc w:val="right"/>
              <w:rPr>
                <w:b/>
                <w:sz w:val="18"/>
                <w:lang w:val="es-SV"/>
              </w:rPr>
            </w:pPr>
            <w:r w:rsidRPr="00D66AC7">
              <w:rPr>
                <w:b/>
                <w:sz w:val="18"/>
                <w:lang w:val="es-SV"/>
              </w:rPr>
              <w:t>7</w:t>
            </w:r>
          </w:p>
        </w:tc>
      </w:tr>
      <w:tr w:rsidR="003710DB" w:rsidRPr="00D66AC7" w14:paraId="25B99068" w14:textId="77777777" w:rsidTr="005F7E69">
        <w:tc>
          <w:tcPr>
            <w:tcW w:w="3279" w:type="dxa"/>
            <w:shd w:val="clear" w:color="auto" w:fill="auto"/>
            <w:noWrap/>
            <w:hideMark/>
          </w:tcPr>
          <w:p w14:paraId="2C21413F"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Notificador B-I</w:t>
            </w:r>
          </w:p>
        </w:tc>
        <w:tc>
          <w:tcPr>
            <w:tcW w:w="1276" w:type="dxa"/>
            <w:shd w:val="clear" w:color="auto" w:fill="auto"/>
            <w:noWrap/>
            <w:vAlign w:val="center"/>
            <w:hideMark/>
          </w:tcPr>
          <w:p w14:paraId="12D0DE96"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0</w:t>
            </w:r>
          </w:p>
        </w:tc>
        <w:tc>
          <w:tcPr>
            <w:tcW w:w="1276" w:type="dxa"/>
            <w:shd w:val="clear" w:color="auto" w:fill="auto"/>
            <w:noWrap/>
            <w:vAlign w:val="center"/>
            <w:hideMark/>
          </w:tcPr>
          <w:p w14:paraId="71F7EC04"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2</w:t>
            </w:r>
          </w:p>
        </w:tc>
        <w:tc>
          <w:tcPr>
            <w:tcW w:w="1417" w:type="dxa"/>
            <w:shd w:val="clear" w:color="auto" w:fill="auto"/>
            <w:noWrap/>
            <w:vAlign w:val="center"/>
            <w:hideMark/>
          </w:tcPr>
          <w:p w14:paraId="4F265940"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0</w:t>
            </w:r>
          </w:p>
        </w:tc>
        <w:tc>
          <w:tcPr>
            <w:tcW w:w="1276" w:type="dxa"/>
            <w:shd w:val="clear" w:color="auto" w:fill="auto"/>
            <w:noWrap/>
            <w:vAlign w:val="center"/>
            <w:hideMark/>
          </w:tcPr>
          <w:p w14:paraId="0D3AD993" w14:textId="77777777" w:rsidR="003710DB" w:rsidRPr="00D66AC7" w:rsidRDefault="003710DB" w:rsidP="003710DB">
            <w:pPr>
              <w:pStyle w:val="SingleTxtG"/>
              <w:tabs>
                <w:tab w:val="left" w:pos="1530"/>
              </w:tabs>
              <w:suppressAutoHyphens w:val="0"/>
              <w:spacing w:before="40" w:after="40" w:line="220" w:lineRule="exact"/>
              <w:ind w:left="0" w:right="0"/>
              <w:jc w:val="right"/>
              <w:rPr>
                <w:b/>
                <w:sz w:val="18"/>
                <w:lang w:val="es-SV"/>
              </w:rPr>
            </w:pPr>
            <w:r w:rsidRPr="00D66AC7">
              <w:rPr>
                <w:b/>
                <w:sz w:val="18"/>
                <w:lang w:val="es-SV"/>
              </w:rPr>
              <w:t>2</w:t>
            </w:r>
          </w:p>
        </w:tc>
      </w:tr>
      <w:tr w:rsidR="003710DB" w:rsidRPr="00D66AC7" w14:paraId="094F264E" w14:textId="77777777" w:rsidTr="005F7E69">
        <w:tc>
          <w:tcPr>
            <w:tcW w:w="3279" w:type="dxa"/>
            <w:shd w:val="clear" w:color="auto" w:fill="auto"/>
            <w:noWrap/>
            <w:hideMark/>
          </w:tcPr>
          <w:p w14:paraId="5AE59B81"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Ordenanza B-I</w:t>
            </w:r>
          </w:p>
        </w:tc>
        <w:tc>
          <w:tcPr>
            <w:tcW w:w="1276" w:type="dxa"/>
            <w:shd w:val="clear" w:color="auto" w:fill="auto"/>
            <w:noWrap/>
            <w:vAlign w:val="center"/>
            <w:hideMark/>
          </w:tcPr>
          <w:p w14:paraId="358B86C5"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1</w:t>
            </w:r>
          </w:p>
        </w:tc>
        <w:tc>
          <w:tcPr>
            <w:tcW w:w="1276" w:type="dxa"/>
            <w:shd w:val="clear" w:color="auto" w:fill="auto"/>
            <w:noWrap/>
            <w:vAlign w:val="center"/>
            <w:hideMark/>
          </w:tcPr>
          <w:p w14:paraId="44BE046A"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1</w:t>
            </w:r>
          </w:p>
        </w:tc>
        <w:tc>
          <w:tcPr>
            <w:tcW w:w="1417" w:type="dxa"/>
            <w:shd w:val="clear" w:color="auto" w:fill="auto"/>
            <w:noWrap/>
            <w:vAlign w:val="center"/>
            <w:hideMark/>
          </w:tcPr>
          <w:p w14:paraId="48BC2FF9"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0</w:t>
            </w:r>
          </w:p>
        </w:tc>
        <w:tc>
          <w:tcPr>
            <w:tcW w:w="1276" w:type="dxa"/>
            <w:shd w:val="clear" w:color="auto" w:fill="auto"/>
            <w:noWrap/>
            <w:vAlign w:val="center"/>
            <w:hideMark/>
          </w:tcPr>
          <w:p w14:paraId="768938A6" w14:textId="77777777" w:rsidR="003710DB" w:rsidRPr="00D66AC7" w:rsidRDefault="003710DB" w:rsidP="003710DB">
            <w:pPr>
              <w:pStyle w:val="SingleTxtG"/>
              <w:tabs>
                <w:tab w:val="left" w:pos="1530"/>
              </w:tabs>
              <w:suppressAutoHyphens w:val="0"/>
              <w:spacing w:before="40" w:after="40" w:line="220" w:lineRule="exact"/>
              <w:ind w:left="0" w:right="0"/>
              <w:jc w:val="right"/>
              <w:rPr>
                <w:b/>
                <w:sz w:val="18"/>
                <w:lang w:val="es-SV"/>
              </w:rPr>
            </w:pPr>
            <w:r w:rsidRPr="00D66AC7">
              <w:rPr>
                <w:b/>
                <w:sz w:val="18"/>
                <w:lang w:val="es-SV"/>
              </w:rPr>
              <w:t>2</w:t>
            </w:r>
          </w:p>
        </w:tc>
      </w:tr>
      <w:tr w:rsidR="003710DB" w:rsidRPr="00D66AC7" w14:paraId="1150C769" w14:textId="77777777" w:rsidTr="005F7E69">
        <w:tc>
          <w:tcPr>
            <w:tcW w:w="3279" w:type="dxa"/>
            <w:shd w:val="clear" w:color="auto" w:fill="auto"/>
            <w:noWrap/>
            <w:hideMark/>
          </w:tcPr>
          <w:p w14:paraId="3C7D2453"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Juez de 1a Instancia II</w:t>
            </w:r>
          </w:p>
        </w:tc>
        <w:tc>
          <w:tcPr>
            <w:tcW w:w="1276" w:type="dxa"/>
            <w:shd w:val="clear" w:color="auto" w:fill="auto"/>
            <w:noWrap/>
            <w:vAlign w:val="center"/>
            <w:hideMark/>
          </w:tcPr>
          <w:p w14:paraId="27E76184"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3</w:t>
            </w:r>
          </w:p>
        </w:tc>
        <w:tc>
          <w:tcPr>
            <w:tcW w:w="1276" w:type="dxa"/>
            <w:shd w:val="clear" w:color="auto" w:fill="auto"/>
            <w:noWrap/>
            <w:vAlign w:val="center"/>
            <w:hideMark/>
          </w:tcPr>
          <w:p w14:paraId="7294C4DD"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1</w:t>
            </w:r>
          </w:p>
        </w:tc>
        <w:tc>
          <w:tcPr>
            <w:tcW w:w="1417" w:type="dxa"/>
            <w:shd w:val="clear" w:color="auto" w:fill="auto"/>
            <w:noWrap/>
            <w:vAlign w:val="center"/>
            <w:hideMark/>
          </w:tcPr>
          <w:p w14:paraId="5051502A"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0</w:t>
            </w:r>
          </w:p>
        </w:tc>
        <w:tc>
          <w:tcPr>
            <w:tcW w:w="1276" w:type="dxa"/>
            <w:shd w:val="clear" w:color="auto" w:fill="auto"/>
            <w:noWrap/>
            <w:vAlign w:val="center"/>
            <w:hideMark/>
          </w:tcPr>
          <w:p w14:paraId="5A7D3B17" w14:textId="77777777" w:rsidR="003710DB" w:rsidRPr="00D66AC7" w:rsidRDefault="003710DB" w:rsidP="003710DB">
            <w:pPr>
              <w:pStyle w:val="SingleTxtG"/>
              <w:tabs>
                <w:tab w:val="left" w:pos="1530"/>
              </w:tabs>
              <w:suppressAutoHyphens w:val="0"/>
              <w:spacing w:before="40" w:after="40" w:line="220" w:lineRule="exact"/>
              <w:ind w:left="0" w:right="0"/>
              <w:jc w:val="right"/>
              <w:rPr>
                <w:b/>
                <w:sz w:val="18"/>
                <w:lang w:val="es-SV"/>
              </w:rPr>
            </w:pPr>
            <w:r w:rsidRPr="00D66AC7">
              <w:rPr>
                <w:b/>
                <w:sz w:val="18"/>
                <w:lang w:val="es-SV"/>
              </w:rPr>
              <w:t>4</w:t>
            </w:r>
          </w:p>
        </w:tc>
      </w:tr>
      <w:tr w:rsidR="003710DB" w:rsidRPr="00D66AC7" w14:paraId="6C04090B" w14:textId="77777777" w:rsidTr="005F7E69">
        <w:tc>
          <w:tcPr>
            <w:tcW w:w="3279" w:type="dxa"/>
            <w:shd w:val="clear" w:color="auto" w:fill="auto"/>
            <w:noWrap/>
            <w:hideMark/>
          </w:tcPr>
          <w:p w14:paraId="62FEC9C1"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Secretario de 1a Instancia II</w:t>
            </w:r>
          </w:p>
        </w:tc>
        <w:tc>
          <w:tcPr>
            <w:tcW w:w="1276" w:type="dxa"/>
            <w:shd w:val="clear" w:color="auto" w:fill="auto"/>
            <w:noWrap/>
            <w:vAlign w:val="center"/>
            <w:hideMark/>
          </w:tcPr>
          <w:p w14:paraId="638EDD4F"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3</w:t>
            </w:r>
          </w:p>
        </w:tc>
        <w:tc>
          <w:tcPr>
            <w:tcW w:w="1276" w:type="dxa"/>
            <w:shd w:val="clear" w:color="auto" w:fill="auto"/>
            <w:noWrap/>
            <w:vAlign w:val="center"/>
            <w:hideMark/>
          </w:tcPr>
          <w:p w14:paraId="7ACD04A0"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1</w:t>
            </w:r>
          </w:p>
        </w:tc>
        <w:tc>
          <w:tcPr>
            <w:tcW w:w="1417" w:type="dxa"/>
            <w:shd w:val="clear" w:color="auto" w:fill="auto"/>
            <w:noWrap/>
            <w:vAlign w:val="center"/>
            <w:hideMark/>
          </w:tcPr>
          <w:p w14:paraId="263761AB"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0</w:t>
            </w:r>
          </w:p>
        </w:tc>
        <w:tc>
          <w:tcPr>
            <w:tcW w:w="1276" w:type="dxa"/>
            <w:shd w:val="clear" w:color="auto" w:fill="auto"/>
            <w:noWrap/>
            <w:vAlign w:val="center"/>
            <w:hideMark/>
          </w:tcPr>
          <w:p w14:paraId="35AA9432" w14:textId="77777777" w:rsidR="003710DB" w:rsidRPr="00D66AC7" w:rsidRDefault="003710DB" w:rsidP="003710DB">
            <w:pPr>
              <w:pStyle w:val="SingleTxtG"/>
              <w:tabs>
                <w:tab w:val="left" w:pos="1530"/>
              </w:tabs>
              <w:suppressAutoHyphens w:val="0"/>
              <w:spacing w:before="40" w:after="40" w:line="220" w:lineRule="exact"/>
              <w:ind w:left="0" w:right="0"/>
              <w:jc w:val="right"/>
              <w:rPr>
                <w:b/>
                <w:sz w:val="18"/>
                <w:lang w:val="es-SV"/>
              </w:rPr>
            </w:pPr>
            <w:r w:rsidRPr="00D66AC7">
              <w:rPr>
                <w:b/>
                <w:sz w:val="18"/>
                <w:lang w:val="es-SV"/>
              </w:rPr>
              <w:t>4</w:t>
            </w:r>
          </w:p>
        </w:tc>
      </w:tr>
      <w:tr w:rsidR="003710DB" w:rsidRPr="00D66AC7" w14:paraId="4DEAD4E9" w14:textId="77777777" w:rsidTr="005F7E69">
        <w:tc>
          <w:tcPr>
            <w:tcW w:w="3279" w:type="dxa"/>
            <w:shd w:val="clear" w:color="auto" w:fill="auto"/>
            <w:noWrap/>
            <w:hideMark/>
          </w:tcPr>
          <w:p w14:paraId="71DBE4C0"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Colaborador Judicial B-II</w:t>
            </w:r>
          </w:p>
        </w:tc>
        <w:tc>
          <w:tcPr>
            <w:tcW w:w="1276" w:type="dxa"/>
            <w:shd w:val="clear" w:color="auto" w:fill="auto"/>
            <w:noWrap/>
            <w:vAlign w:val="center"/>
            <w:hideMark/>
          </w:tcPr>
          <w:p w14:paraId="1BE3A066"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9</w:t>
            </w:r>
          </w:p>
        </w:tc>
        <w:tc>
          <w:tcPr>
            <w:tcW w:w="1276" w:type="dxa"/>
            <w:shd w:val="clear" w:color="auto" w:fill="auto"/>
            <w:noWrap/>
            <w:vAlign w:val="center"/>
            <w:hideMark/>
          </w:tcPr>
          <w:p w14:paraId="068D2C45"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3</w:t>
            </w:r>
          </w:p>
        </w:tc>
        <w:tc>
          <w:tcPr>
            <w:tcW w:w="1417" w:type="dxa"/>
            <w:shd w:val="clear" w:color="auto" w:fill="auto"/>
            <w:noWrap/>
            <w:vAlign w:val="center"/>
            <w:hideMark/>
          </w:tcPr>
          <w:p w14:paraId="70E803EB"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0</w:t>
            </w:r>
          </w:p>
        </w:tc>
        <w:tc>
          <w:tcPr>
            <w:tcW w:w="1276" w:type="dxa"/>
            <w:shd w:val="clear" w:color="auto" w:fill="auto"/>
            <w:noWrap/>
            <w:vAlign w:val="center"/>
            <w:hideMark/>
          </w:tcPr>
          <w:p w14:paraId="0FEB38B3" w14:textId="77777777" w:rsidR="003710DB" w:rsidRPr="00D66AC7" w:rsidRDefault="003710DB" w:rsidP="003710DB">
            <w:pPr>
              <w:pStyle w:val="SingleTxtG"/>
              <w:tabs>
                <w:tab w:val="left" w:pos="1530"/>
              </w:tabs>
              <w:suppressAutoHyphens w:val="0"/>
              <w:spacing w:before="40" w:after="40" w:line="220" w:lineRule="exact"/>
              <w:ind w:left="0" w:right="0"/>
              <w:jc w:val="right"/>
              <w:rPr>
                <w:b/>
                <w:sz w:val="18"/>
                <w:lang w:val="es-SV"/>
              </w:rPr>
            </w:pPr>
            <w:r w:rsidRPr="00D66AC7">
              <w:rPr>
                <w:b/>
                <w:sz w:val="18"/>
                <w:lang w:val="es-SV"/>
              </w:rPr>
              <w:t>12</w:t>
            </w:r>
          </w:p>
        </w:tc>
      </w:tr>
      <w:tr w:rsidR="003710DB" w:rsidRPr="00D66AC7" w14:paraId="77307F12" w14:textId="77777777" w:rsidTr="005F7E69">
        <w:tc>
          <w:tcPr>
            <w:tcW w:w="3279" w:type="dxa"/>
            <w:shd w:val="clear" w:color="auto" w:fill="auto"/>
            <w:noWrap/>
            <w:hideMark/>
          </w:tcPr>
          <w:p w14:paraId="44F6DD17"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Notificador B-II</w:t>
            </w:r>
          </w:p>
        </w:tc>
        <w:tc>
          <w:tcPr>
            <w:tcW w:w="1276" w:type="dxa"/>
            <w:shd w:val="clear" w:color="auto" w:fill="auto"/>
            <w:noWrap/>
            <w:vAlign w:val="center"/>
            <w:hideMark/>
          </w:tcPr>
          <w:p w14:paraId="4D8C8B27"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0</w:t>
            </w:r>
          </w:p>
        </w:tc>
        <w:tc>
          <w:tcPr>
            <w:tcW w:w="1276" w:type="dxa"/>
            <w:shd w:val="clear" w:color="auto" w:fill="auto"/>
            <w:noWrap/>
            <w:vAlign w:val="center"/>
            <w:hideMark/>
          </w:tcPr>
          <w:p w14:paraId="23C3422B"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4</w:t>
            </w:r>
          </w:p>
        </w:tc>
        <w:tc>
          <w:tcPr>
            <w:tcW w:w="1417" w:type="dxa"/>
            <w:shd w:val="clear" w:color="auto" w:fill="auto"/>
            <w:noWrap/>
            <w:vAlign w:val="center"/>
            <w:hideMark/>
          </w:tcPr>
          <w:p w14:paraId="14CE2DC9"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0</w:t>
            </w:r>
          </w:p>
        </w:tc>
        <w:tc>
          <w:tcPr>
            <w:tcW w:w="1276" w:type="dxa"/>
            <w:shd w:val="clear" w:color="auto" w:fill="auto"/>
            <w:noWrap/>
            <w:vAlign w:val="center"/>
            <w:hideMark/>
          </w:tcPr>
          <w:p w14:paraId="44BF3A68" w14:textId="77777777" w:rsidR="003710DB" w:rsidRPr="00D66AC7" w:rsidRDefault="003710DB" w:rsidP="003710DB">
            <w:pPr>
              <w:pStyle w:val="SingleTxtG"/>
              <w:tabs>
                <w:tab w:val="left" w:pos="1530"/>
              </w:tabs>
              <w:suppressAutoHyphens w:val="0"/>
              <w:spacing w:before="40" w:after="40" w:line="220" w:lineRule="exact"/>
              <w:ind w:left="0" w:right="0"/>
              <w:jc w:val="right"/>
              <w:rPr>
                <w:b/>
                <w:sz w:val="18"/>
                <w:lang w:val="es-SV"/>
              </w:rPr>
            </w:pPr>
            <w:r w:rsidRPr="00D66AC7">
              <w:rPr>
                <w:b/>
                <w:sz w:val="18"/>
                <w:lang w:val="es-SV"/>
              </w:rPr>
              <w:t>4</w:t>
            </w:r>
          </w:p>
        </w:tc>
      </w:tr>
      <w:tr w:rsidR="003710DB" w:rsidRPr="00D66AC7" w14:paraId="6BBA5B85" w14:textId="77777777" w:rsidTr="005F7E69">
        <w:tc>
          <w:tcPr>
            <w:tcW w:w="3279" w:type="dxa"/>
            <w:tcBorders>
              <w:bottom w:val="single" w:sz="4" w:space="0" w:color="auto"/>
            </w:tcBorders>
            <w:shd w:val="clear" w:color="auto" w:fill="auto"/>
            <w:noWrap/>
            <w:hideMark/>
          </w:tcPr>
          <w:p w14:paraId="1A87C6D5"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Ordenanza B-II</w:t>
            </w:r>
          </w:p>
        </w:tc>
        <w:tc>
          <w:tcPr>
            <w:tcW w:w="1276" w:type="dxa"/>
            <w:tcBorders>
              <w:bottom w:val="single" w:sz="4" w:space="0" w:color="auto"/>
            </w:tcBorders>
            <w:shd w:val="clear" w:color="auto" w:fill="auto"/>
            <w:noWrap/>
            <w:vAlign w:val="center"/>
            <w:hideMark/>
          </w:tcPr>
          <w:p w14:paraId="65E3A56E"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0</w:t>
            </w:r>
          </w:p>
        </w:tc>
        <w:tc>
          <w:tcPr>
            <w:tcW w:w="1276" w:type="dxa"/>
            <w:tcBorders>
              <w:bottom w:val="single" w:sz="4" w:space="0" w:color="auto"/>
            </w:tcBorders>
            <w:shd w:val="clear" w:color="auto" w:fill="auto"/>
            <w:noWrap/>
            <w:vAlign w:val="center"/>
            <w:hideMark/>
          </w:tcPr>
          <w:p w14:paraId="694E54CF"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3</w:t>
            </w:r>
          </w:p>
        </w:tc>
        <w:tc>
          <w:tcPr>
            <w:tcW w:w="1417" w:type="dxa"/>
            <w:tcBorders>
              <w:bottom w:val="single" w:sz="4" w:space="0" w:color="auto"/>
            </w:tcBorders>
            <w:shd w:val="clear" w:color="auto" w:fill="auto"/>
            <w:noWrap/>
            <w:vAlign w:val="center"/>
            <w:hideMark/>
          </w:tcPr>
          <w:p w14:paraId="7D187FF5"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1</w:t>
            </w:r>
          </w:p>
        </w:tc>
        <w:tc>
          <w:tcPr>
            <w:tcW w:w="1276" w:type="dxa"/>
            <w:tcBorders>
              <w:bottom w:val="single" w:sz="4" w:space="0" w:color="auto"/>
            </w:tcBorders>
            <w:shd w:val="clear" w:color="auto" w:fill="auto"/>
            <w:noWrap/>
            <w:vAlign w:val="center"/>
            <w:hideMark/>
          </w:tcPr>
          <w:p w14:paraId="2FF1D663" w14:textId="77777777" w:rsidR="003710DB" w:rsidRPr="00D66AC7" w:rsidRDefault="003710DB" w:rsidP="003710DB">
            <w:pPr>
              <w:pStyle w:val="SingleTxtG"/>
              <w:tabs>
                <w:tab w:val="left" w:pos="1530"/>
              </w:tabs>
              <w:suppressAutoHyphens w:val="0"/>
              <w:spacing w:before="40" w:after="40" w:line="220" w:lineRule="exact"/>
              <w:ind w:left="0" w:right="0"/>
              <w:jc w:val="right"/>
              <w:rPr>
                <w:b/>
                <w:sz w:val="18"/>
                <w:lang w:val="es-SV"/>
              </w:rPr>
            </w:pPr>
            <w:r w:rsidRPr="00D66AC7">
              <w:rPr>
                <w:b/>
                <w:sz w:val="18"/>
                <w:lang w:val="es-SV"/>
              </w:rPr>
              <w:t>4</w:t>
            </w:r>
          </w:p>
        </w:tc>
      </w:tr>
      <w:tr w:rsidR="003710DB" w:rsidRPr="00CB556E" w14:paraId="1BBFAA6A" w14:textId="77777777" w:rsidTr="005F7E69">
        <w:tc>
          <w:tcPr>
            <w:tcW w:w="3279" w:type="dxa"/>
            <w:tcBorders>
              <w:top w:val="single" w:sz="4" w:space="0" w:color="auto"/>
              <w:bottom w:val="single" w:sz="12" w:space="0" w:color="auto"/>
            </w:tcBorders>
            <w:shd w:val="clear" w:color="auto" w:fill="auto"/>
            <w:noWrap/>
            <w:hideMark/>
          </w:tcPr>
          <w:p w14:paraId="6755E910" w14:textId="77777777" w:rsidR="003710DB" w:rsidRPr="00CB556E" w:rsidRDefault="003710DB" w:rsidP="003710DB">
            <w:pPr>
              <w:pStyle w:val="SingleTxtG"/>
              <w:tabs>
                <w:tab w:val="left" w:pos="1530"/>
              </w:tabs>
              <w:suppressAutoHyphens w:val="0"/>
              <w:spacing w:before="80" w:after="80" w:line="220" w:lineRule="exact"/>
              <w:ind w:left="283" w:right="0"/>
              <w:jc w:val="left"/>
              <w:rPr>
                <w:b/>
                <w:bCs/>
                <w:sz w:val="18"/>
                <w:lang w:val="es-SV"/>
              </w:rPr>
            </w:pPr>
            <w:r w:rsidRPr="00CB556E">
              <w:rPr>
                <w:b/>
                <w:bCs/>
                <w:sz w:val="18"/>
                <w:lang w:val="es-SV"/>
              </w:rPr>
              <w:t>Total</w:t>
            </w:r>
          </w:p>
        </w:tc>
        <w:tc>
          <w:tcPr>
            <w:tcW w:w="1276" w:type="dxa"/>
            <w:tcBorders>
              <w:top w:val="single" w:sz="4" w:space="0" w:color="auto"/>
              <w:bottom w:val="single" w:sz="12" w:space="0" w:color="auto"/>
            </w:tcBorders>
            <w:shd w:val="clear" w:color="auto" w:fill="auto"/>
            <w:noWrap/>
            <w:vAlign w:val="center"/>
            <w:hideMark/>
          </w:tcPr>
          <w:p w14:paraId="65DAEC71" w14:textId="77777777" w:rsidR="003710DB" w:rsidRPr="00CB556E" w:rsidRDefault="003710DB" w:rsidP="003710DB">
            <w:pPr>
              <w:pStyle w:val="SingleTxtG"/>
              <w:tabs>
                <w:tab w:val="left" w:pos="1530"/>
              </w:tabs>
              <w:suppressAutoHyphens w:val="0"/>
              <w:spacing w:before="80" w:after="80" w:line="220" w:lineRule="exact"/>
              <w:ind w:left="0" w:right="0"/>
              <w:jc w:val="center"/>
              <w:rPr>
                <w:b/>
                <w:bCs/>
                <w:sz w:val="18"/>
                <w:lang w:val="es-SV"/>
              </w:rPr>
            </w:pPr>
            <w:r w:rsidRPr="00CB556E">
              <w:rPr>
                <w:b/>
                <w:bCs/>
                <w:sz w:val="18"/>
                <w:lang w:val="es-SV"/>
              </w:rPr>
              <w:t>32</w:t>
            </w:r>
          </w:p>
        </w:tc>
        <w:tc>
          <w:tcPr>
            <w:tcW w:w="1276" w:type="dxa"/>
            <w:tcBorders>
              <w:top w:val="single" w:sz="4" w:space="0" w:color="auto"/>
              <w:bottom w:val="single" w:sz="12" w:space="0" w:color="auto"/>
            </w:tcBorders>
            <w:shd w:val="clear" w:color="auto" w:fill="auto"/>
            <w:noWrap/>
            <w:vAlign w:val="center"/>
            <w:hideMark/>
          </w:tcPr>
          <w:p w14:paraId="1AAD9EE4" w14:textId="77777777" w:rsidR="003710DB" w:rsidRPr="00CB556E" w:rsidRDefault="003710DB" w:rsidP="003710DB">
            <w:pPr>
              <w:pStyle w:val="SingleTxtG"/>
              <w:tabs>
                <w:tab w:val="left" w:pos="1530"/>
              </w:tabs>
              <w:suppressAutoHyphens w:val="0"/>
              <w:spacing w:before="80" w:after="80" w:line="220" w:lineRule="exact"/>
              <w:ind w:left="0" w:right="0"/>
              <w:jc w:val="center"/>
              <w:rPr>
                <w:b/>
                <w:bCs/>
                <w:sz w:val="18"/>
                <w:lang w:val="es-SV"/>
              </w:rPr>
            </w:pPr>
            <w:r w:rsidRPr="00CB556E">
              <w:rPr>
                <w:b/>
                <w:bCs/>
                <w:sz w:val="18"/>
                <w:lang w:val="es-SV"/>
              </w:rPr>
              <w:t>19</w:t>
            </w:r>
          </w:p>
        </w:tc>
        <w:tc>
          <w:tcPr>
            <w:tcW w:w="1417" w:type="dxa"/>
            <w:tcBorders>
              <w:top w:val="single" w:sz="4" w:space="0" w:color="auto"/>
              <w:bottom w:val="single" w:sz="12" w:space="0" w:color="auto"/>
            </w:tcBorders>
            <w:shd w:val="clear" w:color="auto" w:fill="auto"/>
            <w:noWrap/>
            <w:vAlign w:val="center"/>
            <w:hideMark/>
          </w:tcPr>
          <w:p w14:paraId="11B563A1" w14:textId="77777777" w:rsidR="003710DB" w:rsidRPr="00CB556E" w:rsidRDefault="003710DB" w:rsidP="003710DB">
            <w:pPr>
              <w:pStyle w:val="SingleTxtG"/>
              <w:tabs>
                <w:tab w:val="left" w:pos="1530"/>
              </w:tabs>
              <w:suppressAutoHyphens w:val="0"/>
              <w:spacing w:before="80" w:after="80" w:line="220" w:lineRule="exact"/>
              <w:ind w:left="0" w:right="0"/>
              <w:jc w:val="right"/>
              <w:rPr>
                <w:b/>
                <w:bCs/>
                <w:sz w:val="18"/>
                <w:lang w:val="es-SV"/>
              </w:rPr>
            </w:pPr>
            <w:r w:rsidRPr="00CB556E">
              <w:rPr>
                <w:b/>
                <w:bCs/>
                <w:sz w:val="18"/>
                <w:lang w:val="es-SV"/>
              </w:rPr>
              <w:t>1</w:t>
            </w:r>
          </w:p>
        </w:tc>
        <w:tc>
          <w:tcPr>
            <w:tcW w:w="1276" w:type="dxa"/>
            <w:tcBorders>
              <w:top w:val="single" w:sz="4" w:space="0" w:color="auto"/>
              <w:bottom w:val="single" w:sz="12" w:space="0" w:color="auto"/>
            </w:tcBorders>
            <w:shd w:val="clear" w:color="auto" w:fill="auto"/>
            <w:noWrap/>
            <w:vAlign w:val="center"/>
            <w:hideMark/>
          </w:tcPr>
          <w:p w14:paraId="76BBBFF2" w14:textId="77777777" w:rsidR="003710DB" w:rsidRPr="00CB556E" w:rsidRDefault="003710DB" w:rsidP="003710DB">
            <w:pPr>
              <w:pStyle w:val="SingleTxtG"/>
              <w:tabs>
                <w:tab w:val="left" w:pos="1530"/>
              </w:tabs>
              <w:suppressAutoHyphens w:val="0"/>
              <w:spacing w:before="80" w:after="80" w:line="220" w:lineRule="exact"/>
              <w:ind w:left="0" w:right="0"/>
              <w:jc w:val="right"/>
              <w:rPr>
                <w:b/>
                <w:bCs/>
                <w:sz w:val="18"/>
                <w:lang w:val="es-SV"/>
              </w:rPr>
            </w:pPr>
            <w:r w:rsidRPr="00CB556E">
              <w:rPr>
                <w:b/>
                <w:bCs/>
                <w:sz w:val="18"/>
                <w:lang w:val="es-SV"/>
              </w:rPr>
              <w:t>52</w:t>
            </w:r>
          </w:p>
        </w:tc>
      </w:tr>
    </w:tbl>
    <w:p w14:paraId="22F975F5" w14:textId="77777777" w:rsidR="003710DB" w:rsidRDefault="003710DB" w:rsidP="003710DB">
      <w:pPr>
        <w:pStyle w:val="NormalG"/>
        <w:tabs>
          <w:tab w:val="left" w:pos="1530"/>
        </w:tabs>
        <w:spacing w:before="120" w:after="240" w:line="220" w:lineRule="exact"/>
        <w:ind w:left="1134" w:right="1134" w:firstLine="170"/>
        <w:rPr>
          <w:lang w:val="es-SV"/>
        </w:rPr>
      </w:pPr>
      <w:r w:rsidRPr="00A6674D">
        <w:rPr>
          <w:i/>
          <w:sz w:val="18"/>
          <w:szCs w:val="18"/>
        </w:rPr>
        <w:t>Fuente</w:t>
      </w:r>
      <w:r w:rsidRPr="00DE56CE">
        <w:rPr>
          <w:lang w:val="es-SV"/>
        </w:rPr>
        <w:t>: Corte Suprema de Justicia. 2018</w:t>
      </w:r>
    </w:p>
    <w:p w14:paraId="572EFC7D" w14:textId="77777777" w:rsidR="003710DB" w:rsidRDefault="003710DB" w:rsidP="003710DB">
      <w:pPr>
        <w:pStyle w:val="SingleTxtG"/>
        <w:tabs>
          <w:tab w:val="left" w:pos="1530"/>
        </w:tabs>
        <w:rPr>
          <w:lang w:val="es-SV"/>
        </w:rPr>
      </w:pPr>
      <w:r>
        <w:rPr>
          <w:lang w:val="es-SV"/>
        </w:rPr>
        <w:t>4.</w:t>
      </w:r>
      <w:r>
        <w:rPr>
          <w:lang w:val="es-SV"/>
        </w:rPr>
        <w:tab/>
      </w:r>
      <w:r w:rsidRPr="00DE56CE">
        <w:rPr>
          <w:lang w:val="es-SV"/>
        </w:rPr>
        <w:t>El Estado parte informa que para el año de 2017, la Corte Suprema de Justicia (CSJ)ha realizado 12 cursos de formación para el personal de los tribunales especializados; y 17 cursos en el año 2018. Entre las temáticas desarrolladas están: Fortalecimiento por Disciplina de la competencia de los profesionales en el Marco de la Normativa Especializada; Reparación Integral a las víctimas de violencia y discriminación para las mujeres; Programa de capacitación de Derecho Penal para la Jurisdicción Especializada para una Vida Libre de Violencia y Discriminación para las Mujeres; Análisis e Interpretación de Peritaje Médico Legal en los Delitos Sexuales, de Violencia Intrafamiliar y Feminicidio. (Anexo 1)</w:t>
      </w:r>
    </w:p>
    <w:p w14:paraId="40992200" w14:textId="398EB953" w:rsidR="003710DB" w:rsidRDefault="003710DB" w:rsidP="003710DB">
      <w:pPr>
        <w:pStyle w:val="SingleTxtG"/>
        <w:tabs>
          <w:tab w:val="left" w:pos="1530"/>
        </w:tabs>
        <w:rPr>
          <w:lang w:val="es-SV"/>
        </w:rPr>
      </w:pPr>
      <w:r>
        <w:rPr>
          <w:lang w:val="es-SV"/>
        </w:rPr>
        <w:t>5.</w:t>
      </w:r>
      <w:r>
        <w:rPr>
          <w:lang w:val="es-SV"/>
        </w:rPr>
        <w:tab/>
      </w:r>
      <w:r w:rsidRPr="00DE56CE">
        <w:rPr>
          <w:lang w:val="es-SV"/>
        </w:rPr>
        <w:t>Adicionalmente, la</w:t>
      </w:r>
      <w:r w:rsidR="00510B25">
        <w:rPr>
          <w:lang w:val="es-SV"/>
        </w:rPr>
        <w:t xml:space="preserve"> </w:t>
      </w:r>
      <w:r w:rsidRPr="00DE56CE">
        <w:rPr>
          <w:lang w:val="es-SV"/>
        </w:rPr>
        <w:t>CSJ en coordinación con ISDEMU en el año 2016 brindaron un curso propedéutico (parte del proceso de selección) a personas aspirantes a cargos de la jurisdicción especializada, siendo impartido a 92 aspirantes a plazas jurídicas (71 mujeres y 21 hombres), así como a 133 aspirantes a conformar los equipos multidisciplinarios (118 mujeres y 15 hombres).</w:t>
      </w:r>
    </w:p>
    <w:p w14:paraId="4DBA24A1" w14:textId="6B4C2D9E" w:rsidR="003710DB" w:rsidRDefault="003710DB" w:rsidP="003710DB">
      <w:pPr>
        <w:pStyle w:val="SingleTxtG"/>
        <w:tabs>
          <w:tab w:val="left" w:pos="1530"/>
        </w:tabs>
        <w:rPr>
          <w:lang w:val="es-SV"/>
        </w:rPr>
      </w:pPr>
      <w:r>
        <w:rPr>
          <w:lang w:val="es-SV"/>
        </w:rPr>
        <w:t>6.</w:t>
      </w:r>
      <w:r>
        <w:rPr>
          <w:lang w:val="es-SV"/>
        </w:rPr>
        <w:tab/>
      </w:r>
      <w:r w:rsidRPr="00DE56CE">
        <w:rPr>
          <w:lang w:val="es-SV"/>
        </w:rPr>
        <w:t xml:space="preserve">Es necesario mencionar </w:t>
      </w:r>
      <w:r w:rsidR="00510B25" w:rsidRPr="00DE56CE">
        <w:rPr>
          <w:lang w:val="es-SV"/>
        </w:rPr>
        <w:t>que los</w:t>
      </w:r>
      <w:r w:rsidRPr="00DE56CE">
        <w:rPr>
          <w:lang w:val="es-SV"/>
        </w:rPr>
        <w:t xml:space="preserve"> Tribunales Especializados, cuentan con un Equipo Multidisciplinario que apoya en la realización de estudios necesarios según sea requerido por los tribunales, y que está integrado de la siguiente manera:</w:t>
      </w:r>
    </w:p>
    <w:p w14:paraId="2BADBDB9" w14:textId="77777777" w:rsidR="003710DB" w:rsidRDefault="003710DB">
      <w:pPr>
        <w:suppressAutoHyphens w:val="0"/>
        <w:spacing w:after="200" w:line="276" w:lineRule="auto"/>
        <w:rPr>
          <w:rFonts w:asciiTheme="majorBidi" w:eastAsia="Times New Roman" w:hAnsiTheme="majorBidi" w:cstheme="majorBidi"/>
          <w:spacing w:val="0"/>
          <w:w w:val="100"/>
          <w:szCs w:val="20"/>
          <w:lang w:val="es-SV"/>
        </w:rPr>
      </w:pPr>
      <w:r>
        <w:rPr>
          <w:rFonts w:asciiTheme="majorBidi" w:hAnsiTheme="majorBidi" w:cstheme="majorBidi"/>
          <w:lang w:val="es-SV"/>
        </w:rPr>
        <w:br w:type="page"/>
      </w:r>
    </w:p>
    <w:p w14:paraId="791C0B07" w14:textId="7BE56DAF" w:rsidR="003710DB" w:rsidRPr="003710DB" w:rsidRDefault="003710DB" w:rsidP="003710DB">
      <w:pPr>
        <w:pStyle w:val="SingleTxtG"/>
        <w:tabs>
          <w:tab w:val="left" w:pos="1530"/>
        </w:tabs>
        <w:rPr>
          <w:rFonts w:asciiTheme="majorBidi" w:hAnsiTheme="majorBidi" w:cstheme="majorBidi"/>
          <w:lang w:val="es-SV"/>
        </w:rPr>
      </w:pPr>
      <w:r w:rsidRPr="003710DB">
        <w:rPr>
          <w:rFonts w:asciiTheme="majorBidi" w:hAnsiTheme="majorBidi" w:cstheme="majorBidi"/>
          <w:lang w:val="es-SV"/>
        </w:rPr>
        <w:lastRenderedPageBreak/>
        <w:t>Tabla 3.</w:t>
      </w:r>
    </w:p>
    <w:p w14:paraId="43E003E1" w14:textId="77777777" w:rsidR="003710DB" w:rsidRPr="00DE56CE" w:rsidRDefault="003710DB" w:rsidP="003710DB">
      <w:pPr>
        <w:pStyle w:val="SingleTxtG"/>
        <w:tabs>
          <w:tab w:val="left" w:pos="1530"/>
        </w:tabs>
        <w:rPr>
          <w:lang w:val="es-SV"/>
        </w:rPr>
      </w:pPr>
      <w:r w:rsidRPr="00DE56CE">
        <w:rPr>
          <w:b/>
          <w:lang w:val="es-SV"/>
        </w:rPr>
        <w:t>Personal asignado a equipos multidisciplinarios de</w:t>
      </w:r>
      <w:r>
        <w:rPr>
          <w:b/>
          <w:lang w:val="es-SV"/>
        </w:rPr>
        <w:t xml:space="preserve"> </w:t>
      </w:r>
      <w:r w:rsidRPr="00DE56CE">
        <w:rPr>
          <w:b/>
          <w:lang w:val="es-SV"/>
        </w:rPr>
        <w:t>los Juzgados Especializados para una Vida Libre de Violencia y</w:t>
      </w:r>
      <w:r>
        <w:rPr>
          <w:b/>
          <w:lang w:val="es-SV"/>
        </w:rPr>
        <w:t xml:space="preserve"> </w:t>
      </w:r>
      <w:r w:rsidRPr="00DE56CE">
        <w:rPr>
          <w:b/>
          <w:lang w:val="es-SV"/>
        </w:rPr>
        <w:t>Discriminación para las Mujeres. 2017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2"/>
        <w:gridCol w:w="1747"/>
        <w:gridCol w:w="1849"/>
        <w:gridCol w:w="1692"/>
      </w:tblGrid>
      <w:tr w:rsidR="003710DB" w:rsidRPr="0046661D" w14:paraId="3CF8094B" w14:textId="77777777" w:rsidTr="005F7E69">
        <w:trPr>
          <w:cantSplit/>
          <w:tblHeader/>
        </w:trPr>
        <w:tc>
          <w:tcPr>
            <w:tcW w:w="2721" w:type="dxa"/>
            <w:vMerge w:val="restart"/>
            <w:tcBorders>
              <w:top w:val="single" w:sz="4" w:space="0" w:color="auto"/>
              <w:bottom w:val="single" w:sz="12" w:space="0" w:color="auto"/>
            </w:tcBorders>
            <w:shd w:val="clear" w:color="auto" w:fill="auto"/>
            <w:vAlign w:val="center"/>
          </w:tcPr>
          <w:p w14:paraId="04019DCB" w14:textId="77777777" w:rsidR="003710DB" w:rsidRPr="00D66AC7" w:rsidRDefault="003710DB" w:rsidP="003710DB">
            <w:pPr>
              <w:pStyle w:val="SingleTxtG"/>
              <w:tabs>
                <w:tab w:val="left" w:pos="1530"/>
              </w:tabs>
              <w:suppressAutoHyphens w:val="0"/>
              <w:spacing w:before="80" w:after="80" w:line="200" w:lineRule="exact"/>
              <w:ind w:left="0" w:right="0"/>
              <w:jc w:val="left"/>
              <w:rPr>
                <w:i/>
                <w:sz w:val="16"/>
                <w:lang w:val="es-SV"/>
              </w:rPr>
            </w:pPr>
            <w:r w:rsidRPr="00D66AC7">
              <w:rPr>
                <w:i/>
                <w:sz w:val="16"/>
                <w:lang w:val="es-SV"/>
              </w:rPr>
              <w:t>Especialidad</w:t>
            </w:r>
          </w:p>
        </w:tc>
        <w:tc>
          <w:tcPr>
            <w:tcW w:w="4698" w:type="dxa"/>
            <w:gridSpan w:val="2"/>
            <w:tcBorders>
              <w:top w:val="single" w:sz="4" w:space="0" w:color="auto"/>
              <w:bottom w:val="single" w:sz="12" w:space="0" w:color="auto"/>
            </w:tcBorders>
            <w:shd w:val="clear" w:color="auto" w:fill="auto"/>
            <w:vAlign w:val="bottom"/>
          </w:tcPr>
          <w:p w14:paraId="4D0F1A0F" w14:textId="77777777" w:rsidR="003710DB" w:rsidRPr="00D66AC7" w:rsidRDefault="003710DB" w:rsidP="003710DB">
            <w:pPr>
              <w:pStyle w:val="SingleTxtG"/>
              <w:tabs>
                <w:tab w:val="left" w:pos="1530"/>
              </w:tabs>
              <w:suppressAutoHyphens w:val="0"/>
              <w:spacing w:before="80" w:after="80" w:line="200" w:lineRule="exact"/>
              <w:ind w:left="0" w:right="0"/>
              <w:jc w:val="center"/>
              <w:rPr>
                <w:i/>
                <w:sz w:val="16"/>
                <w:lang w:val="es-SV"/>
              </w:rPr>
            </w:pPr>
            <w:r w:rsidRPr="00D66AC7">
              <w:rPr>
                <w:i/>
                <w:sz w:val="16"/>
                <w:lang w:val="es-SV"/>
              </w:rPr>
              <w:t>Sexo</w:t>
            </w:r>
          </w:p>
        </w:tc>
        <w:tc>
          <w:tcPr>
            <w:tcW w:w="2210" w:type="dxa"/>
            <w:vMerge w:val="restart"/>
            <w:tcBorders>
              <w:top w:val="single" w:sz="4" w:space="0" w:color="auto"/>
              <w:bottom w:val="single" w:sz="12" w:space="0" w:color="auto"/>
            </w:tcBorders>
            <w:shd w:val="clear" w:color="auto" w:fill="auto"/>
            <w:vAlign w:val="center"/>
          </w:tcPr>
          <w:p w14:paraId="57679CD2" w14:textId="77777777" w:rsidR="003710DB" w:rsidRPr="00BB5C7A" w:rsidRDefault="003710DB" w:rsidP="003710DB">
            <w:pPr>
              <w:pStyle w:val="SingleTxtG"/>
              <w:tabs>
                <w:tab w:val="left" w:pos="1530"/>
              </w:tabs>
              <w:suppressAutoHyphens w:val="0"/>
              <w:spacing w:before="80" w:after="80" w:line="200" w:lineRule="exact"/>
              <w:ind w:left="0" w:right="0"/>
              <w:jc w:val="right"/>
              <w:rPr>
                <w:b/>
                <w:i/>
                <w:sz w:val="16"/>
                <w:lang w:val="es-SV"/>
              </w:rPr>
            </w:pPr>
            <w:r w:rsidRPr="00BB5C7A">
              <w:rPr>
                <w:b/>
                <w:i/>
                <w:sz w:val="16"/>
                <w:lang w:val="es-SV"/>
              </w:rPr>
              <w:t>Total</w:t>
            </w:r>
          </w:p>
        </w:tc>
      </w:tr>
      <w:tr w:rsidR="003710DB" w:rsidRPr="0046661D" w14:paraId="2C85669E" w14:textId="77777777" w:rsidTr="005F7E69">
        <w:trPr>
          <w:cantSplit/>
          <w:tblHeader/>
        </w:trPr>
        <w:tc>
          <w:tcPr>
            <w:tcW w:w="2721" w:type="dxa"/>
            <w:vMerge/>
            <w:tcBorders>
              <w:top w:val="single" w:sz="12" w:space="0" w:color="auto"/>
            </w:tcBorders>
            <w:shd w:val="clear" w:color="auto" w:fill="auto"/>
            <w:vAlign w:val="bottom"/>
          </w:tcPr>
          <w:p w14:paraId="12895665"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p>
        </w:tc>
        <w:tc>
          <w:tcPr>
            <w:tcW w:w="2282" w:type="dxa"/>
            <w:tcBorders>
              <w:top w:val="single" w:sz="12" w:space="0" w:color="auto"/>
            </w:tcBorders>
            <w:shd w:val="clear" w:color="auto" w:fill="auto"/>
            <w:vAlign w:val="center"/>
          </w:tcPr>
          <w:p w14:paraId="39C4137E" w14:textId="77777777" w:rsidR="003710DB" w:rsidRPr="0046661D" w:rsidRDefault="003710DB" w:rsidP="003710DB">
            <w:pPr>
              <w:pStyle w:val="SingleTxtG"/>
              <w:tabs>
                <w:tab w:val="left" w:pos="1530"/>
              </w:tabs>
              <w:suppressAutoHyphens w:val="0"/>
              <w:spacing w:before="40" w:after="40" w:line="220" w:lineRule="exact"/>
              <w:ind w:left="0" w:right="0"/>
              <w:jc w:val="center"/>
              <w:rPr>
                <w:sz w:val="18"/>
                <w:lang w:val="es-SV"/>
              </w:rPr>
            </w:pPr>
            <w:r w:rsidRPr="0046661D">
              <w:rPr>
                <w:sz w:val="18"/>
                <w:lang w:val="es-SV"/>
              </w:rPr>
              <w:t>Mujer</w:t>
            </w:r>
          </w:p>
        </w:tc>
        <w:tc>
          <w:tcPr>
            <w:tcW w:w="2416" w:type="dxa"/>
            <w:tcBorders>
              <w:top w:val="single" w:sz="12" w:space="0" w:color="auto"/>
            </w:tcBorders>
            <w:shd w:val="clear" w:color="auto" w:fill="auto"/>
            <w:vAlign w:val="center"/>
          </w:tcPr>
          <w:p w14:paraId="322CA875" w14:textId="77777777" w:rsidR="003710DB" w:rsidRPr="0046661D" w:rsidRDefault="003710DB" w:rsidP="003710DB">
            <w:pPr>
              <w:pStyle w:val="SingleTxtG"/>
              <w:tabs>
                <w:tab w:val="left" w:pos="1530"/>
              </w:tabs>
              <w:suppressAutoHyphens w:val="0"/>
              <w:spacing w:before="40" w:after="40" w:line="220" w:lineRule="exact"/>
              <w:ind w:left="0" w:right="0"/>
              <w:jc w:val="center"/>
              <w:rPr>
                <w:sz w:val="18"/>
                <w:lang w:val="es-SV"/>
              </w:rPr>
            </w:pPr>
            <w:r w:rsidRPr="0046661D">
              <w:rPr>
                <w:sz w:val="18"/>
                <w:lang w:val="es-SV"/>
              </w:rPr>
              <w:t>Hombre</w:t>
            </w:r>
          </w:p>
        </w:tc>
        <w:tc>
          <w:tcPr>
            <w:tcW w:w="2210" w:type="dxa"/>
            <w:vMerge/>
            <w:tcBorders>
              <w:top w:val="single" w:sz="12" w:space="0" w:color="auto"/>
            </w:tcBorders>
            <w:shd w:val="clear" w:color="auto" w:fill="auto"/>
            <w:vAlign w:val="bottom"/>
          </w:tcPr>
          <w:p w14:paraId="7647689E" w14:textId="77777777" w:rsidR="003710DB" w:rsidRPr="0046661D" w:rsidRDefault="003710DB" w:rsidP="003710DB">
            <w:pPr>
              <w:pStyle w:val="SingleTxtG"/>
              <w:tabs>
                <w:tab w:val="left" w:pos="1530"/>
              </w:tabs>
              <w:suppressAutoHyphens w:val="0"/>
              <w:spacing w:before="40" w:after="40" w:line="220" w:lineRule="exact"/>
              <w:ind w:left="0" w:right="0"/>
              <w:jc w:val="right"/>
              <w:rPr>
                <w:b/>
                <w:sz w:val="18"/>
                <w:lang w:val="es-SV"/>
              </w:rPr>
            </w:pPr>
          </w:p>
        </w:tc>
      </w:tr>
      <w:tr w:rsidR="003710DB" w:rsidRPr="0046661D" w14:paraId="16B25E9B" w14:textId="77777777" w:rsidTr="005F7E69">
        <w:trPr>
          <w:cantSplit/>
          <w:tblHeader/>
        </w:trPr>
        <w:tc>
          <w:tcPr>
            <w:tcW w:w="2721" w:type="dxa"/>
            <w:shd w:val="clear" w:color="auto" w:fill="auto"/>
          </w:tcPr>
          <w:p w14:paraId="14BE808F"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Psicología</w:t>
            </w:r>
          </w:p>
        </w:tc>
        <w:tc>
          <w:tcPr>
            <w:tcW w:w="2282" w:type="dxa"/>
            <w:shd w:val="clear" w:color="auto" w:fill="auto"/>
            <w:vAlign w:val="center"/>
          </w:tcPr>
          <w:p w14:paraId="6B56BA86"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6</w:t>
            </w:r>
          </w:p>
        </w:tc>
        <w:tc>
          <w:tcPr>
            <w:tcW w:w="2416" w:type="dxa"/>
            <w:shd w:val="clear" w:color="auto" w:fill="auto"/>
            <w:vAlign w:val="center"/>
          </w:tcPr>
          <w:p w14:paraId="793E98F1"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0</w:t>
            </w:r>
          </w:p>
        </w:tc>
        <w:tc>
          <w:tcPr>
            <w:tcW w:w="2210" w:type="dxa"/>
            <w:shd w:val="clear" w:color="auto" w:fill="auto"/>
            <w:vAlign w:val="bottom"/>
          </w:tcPr>
          <w:p w14:paraId="717E55E6" w14:textId="77777777" w:rsidR="003710DB" w:rsidRPr="0046661D" w:rsidRDefault="003710DB" w:rsidP="003710DB">
            <w:pPr>
              <w:pStyle w:val="SingleTxtG"/>
              <w:tabs>
                <w:tab w:val="left" w:pos="1530"/>
              </w:tabs>
              <w:suppressAutoHyphens w:val="0"/>
              <w:spacing w:before="40" w:after="40" w:line="220" w:lineRule="exact"/>
              <w:ind w:left="0" w:right="0"/>
              <w:jc w:val="right"/>
              <w:rPr>
                <w:b/>
                <w:sz w:val="18"/>
                <w:lang w:val="es-SV"/>
              </w:rPr>
            </w:pPr>
            <w:r w:rsidRPr="0046661D">
              <w:rPr>
                <w:b/>
                <w:sz w:val="18"/>
                <w:lang w:val="es-SV"/>
              </w:rPr>
              <w:t>6</w:t>
            </w:r>
          </w:p>
        </w:tc>
      </w:tr>
      <w:tr w:rsidR="003710DB" w:rsidRPr="0046661D" w14:paraId="054EB28D" w14:textId="77777777" w:rsidTr="005F7E69">
        <w:trPr>
          <w:cantSplit/>
          <w:tblHeader/>
        </w:trPr>
        <w:tc>
          <w:tcPr>
            <w:tcW w:w="2721" w:type="dxa"/>
            <w:shd w:val="clear" w:color="auto" w:fill="auto"/>
          </w:tcPr>
          <w:p w14:paraId="53E41223"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Trabajo Social</w:t>
            </w:r>
          </w:p>
        </w:tc>
        <w:tc>
          <w:tcPr>
            <w:tcW w:w="2282" w:type="dxa"/>
            <w:shd w:val="clear" w:color="auto" w:fill="auto"/>
            <w:vAlign w:val="center"/>
          </w:tcPr>
          <w:p w14:paraId="6F989A89"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4</w:t>
            </w:r>
          </w:p>
        </w:tc>
        <w:tc>
          <w:tcPr>
            <w:tcW w:w="2416" w:type="dxa"/>
            <w:shd w:val="clear" w:color="auto" w:fill="auto"/>
            <w:vAlign w:val="center"/>
          </w:tcPr>
          <w:p w14:paraId="4C6D6118"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1</w:t>
            </w:r>
          </w:p>
        </w:tc>
        <w:tc>
          <w:tcPr>
            <w:tcW w:w="2210" w:type="dxa"/>
            <w:shd w:val="clear" w:color="auto" w:fill="auto"/>
            <w:vAlign w:val="bottom"/>
          </w:tcPr>
          <w:p w14:paraId="1B32C224" w14:textId="77777777" w:rsidR="003710DB" w:rsidRPr="0046661D" w:rsidRDefault="003710DB" w:rsidP="003710DB">
            <w:pPr>
              <w:pStyle w:val="SingleTxtG"/>
              <w:tabs>
                <w:tab w:val="left" w:pos="1530"/>
              </w:tabs>
              <w:suppressAutoHyphens w:val="0"/>
              <w:spacing w:before="40" w:after="40" w:line="220" w:lineRule="exact"/>
              <w:ind w:left="0" w:right="0"/>
              <w:jc w:val="right"/>
              <w:rPr>
                <w:b/>
                <w:sz w:val="18"/>
                <w:lang w:val="es-SV"/>
              </w:rPr>
            </w:pPr>
            <w:r w:rsidRPr="0046661D">
              <w:rPr>
                <w:b/>
                <w:sz w:val="18"/>
                <w:lang w:val="es-SV"/>
              </w:rPr>
              <w:t>5</w:t>
            </w:r>
          </w:p>
        </w:tc>
      </w:tr>
      <w:tr w:rsidR="003710DB" w:rsidRPr="0046661D" w14:paraId="67CF8383" w14:textId="77777777" w:rsidTr="005F7E69">
        <w:trPr>
          <w:cantSplit/>
          <w:tblHeader/>
        </w:trPr>
        <w:tc>
          <w:tcPr>
            <w:tcW w:w="2721" w:type="dxa"/>
            <w:shd w:val="clear" w:color="auto" w:fill="auto"/>
          </w:tcPr>
          <w:p w14:paraId="37248C09"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Educación</w:t>
            </w:r>
          </w:p>
        </w:tc>
        <w:tc>
          <w:tcPr>
            <w:tcW w:w="2282" w:type="dxa"/>
            <w:shd w:val="clear" w:color="auto" w:fill="auto"/>
            <w:vAlign w:val="center"/>
          </w:tcPr>
          <w:p w14:paraId="101D13AF"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0</w:t>
            </w:r>
          </w:p>
        </w:tc>
        <w:tc>
          <w:tcPr>
            <w:tcW w:w="2416" w:type="dxa"/>
            <w:shd w:val="clear" w:color="auto" w:fill="auto"/>
            <w:vAlign w:val="center"/>
          </w:tcPr>
          <w:p w14:paraId="4688CEF4"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1</w:t>
            </w:r>
          </w:p>
        </w:tc>
        <w:tc>
          <w:tcPr>
            <w:tcW w:w="2210" w:type="dxa"/>
            <w:shd w:val="clear" w:color="auto" w:fill="auto"/>
            <w:vAlign w:val="bottom"/>
          </w:tcPr>
          <w:p w14:paraId="09785131" w14:textId="77777777" w:rsidR="003710DB" w:rsidRPr="0046661D" w:rsidRDefault="003710DB" w:rsidP="003710DB">
            <w:pPr>
              <w:pStyle w:val="SingleTxtG"/>
              <w:tabs>
                <w:tab w:val="left" w:pos="1530"/>
              </w:tabs>
              <w:suppressAutoHyphens w:val="0"/>
              <w:spacing w:before="40" w:after="40" w:line="220" w:lineRule="exact"/>
              <w:ind w:left="0" w:right="0"/>
              <w:jc w:val="right"/>
              <w:rPr>
                <w:b/>
                <w:sz w:val="18"/>
                <w:lang w:val="es-SV"/>
              </w:rPr>
            </w:pPr>
            <w:r w:rsidRPr="0046661D">
              <w:rPr>
                <w:b/>
                <w:sz w:val="18"/>
                <w:lang w:val="es-SV"/>
              </w:rPr>
              <w:t>1</w:t>
            </w:r>
          </w:p>
        </w:tc>
      </w:tr>
      <w:tr w:rsidR="003710DB" w:rsidRPr="0046661D" w14:paraId="07EFA6B4" w14:textId="77777777" w:rsidTr="005F7E69">
        <w:trPr>
          <w:cantSplit/>
          <w:tblHeader/>
        </w:trPr>
        <w:tc>
          <w:tcPr>
            <w:tcW w:w="2721" w:type="dxa"/>
            <w:tcBorders>
              <w:bottom w:val="single" w:sz="4" w:space="0" w:color="auto"/>
            </w:tcBorders>
            <w:shd w:val="clear" w:color="auto" w:fill="auto"/>
          </w:tcPr>
          <w:p w14:paraId="1EF53A11"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Motorista</w:t>
            </w:r>
          </w:p>
        </w:tc>
        <w:tc>
          <w:tcPr>
            <w:tcW w:w="2282" w:type="dxa"/>
            <w:tcBorders>
              <w:bottom w:val="single" w:sz="4" w:space="0" w:color="auto"/>
            </w:tcBorders>
            <w:shd w:val="clear" w:color="auto" w:fill="auto"/>
            <w:vAlign w:val="center"/>
          </w:tcPr>
          <w:p w14:paraId="40C17338"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0</w:t>
            </w:r>
          </w:p>
        </w:tc>
        <w:tc>
          <w:tcPr>
            <w:tcW w:w="2416" w:type="dxa"/>
            <w:tcBorders>
              <w:bottom w:val="single" w:sz="4" w:space="0" w:color="auto"/>
            </w:tcBorders>
            <w:shd w:val="clear" w:color="auto" w:fill="auto"/>
            <w:vAlign w:val="center"/>
          </w:tcPr>
          <w:p w14:paraId="586E0B67" w14:textId="77777777" w:rsidR="003710DB" w:rsidRPr="00D66AC7" w:rsidRDefault="003710DB" w:rsidP="003710DB">
            <w:pPr>
              <w:pStyle w:val="SingleTxtG"/>
              <w:tabs>
                <w:tab w:val="left" w:pos="1530"/>
              </w:tabs>
              <w:suppressAutoHyphens w:val="0"/>
              <w:spacing w:before="40" w:after="40" w:line="220" w:lineRule="exact"/>
              <w:ind w:left="0" w:right="0"/>
              <w:jc w:val="center"/>
              <w:rPr>
                <w:sz w:val="18"/>
                <w:lang w:val="es-SV"/>
              </w:rPr>
            </w:pPr>
            <w:r w:rsidRPr="00D66AC7">
              <w:rPr>
                <w:sz w:val="18"/>
                <w:lang w:val="es-SV"/>
              </w:rPr>
              <w:t>1</w:t>
            </w:r>
          </w:p>
        </w:tc>
        <w:tc>
          <w:tcPr>
            <w:tcW w:w="2210" w:type="dxa"/>
            <w:tcBorders>
              <w:bottom w:val="single" w:sz="4" w:space="0" w:color="auto"/>
            </w:tcBorders>
            <w:shd w:val="clear" w:color="auto" w:fill="auto"/>
            <w:vAlign w:val="bottom"/>
          </w:tcPr>
          <w:p w14:paraId="10B84304" w14:textId="77777777" w:rsidR="003710DB" w:rsidRPr="0046661D" w:rsidRDefault="003710DB" w:rsidP="003710DB">
            <w:pPr>
              <w:pStyle w:val="SingleTxtG"/>
              <w:tabs>
                <w:tab w:val="left" w:pos="1530"/>
              </w:tabs>
              <w:suppressAutoHyphens w:val="0"/>
              <w:spacing w:before="40" w:after="40" w:line="220" w:lineRule="exact"/>
              <w:ind w:left="0" w:right="0"/>
              <w:jc w:val="right"/>
              <w:rPr>
                <w:b/>
                <w:sz w:val="18"/>
                <w:lang w:val="es-SV"/>
              </w:rPr>
            </w:pPr>
            <w:r w:rsidRPr="0046661D">
              <w:rPr>
                <w:b/>
                <w:sz w:val="18"/>
                <w:lang w:val="es-SV"/>
              </w:rPr>
              <w:t>1</w:t>
            </w:r>
          </w:p>
        </w:tc>
      </w:tr>
      <w:tr w:rsidR="003710DB" w:rsidRPr="0046661D" w14:paraId="751EF6BF" w14:textId="77777777" w:rsidTr="005F7E69">
        <w:trPr>
          <w:cantSplit/>
          <w:tblHeader/>
        </w:trPr>
        <w:tc>
          <w:tcPr>
            <w:tcW w:w="7419" w:type="dxa"/>
            <w:gridSpan w:val="3"/>
            <w:tcBorders>
              <w:top w:val="single" w:sz="4" w:space="0" w:color="auto"/>
              <w:bottom w:val="single" w:sz="12" w:space="0" w:color="auto"/>
            </w:tcBorders>
            <w:shd w:val="clear" w:color="auto" w:fill="auto"/>
          </w:tcPr>
          <w:p w14:paraId="0FDB0E5A" w14:textId="77777777" w:rsidR="003710DB" w:rsidRPr="0046661D" w:rsidRDefault="003710DB" w:rsidP="003710DB">
            <w:pPr>
              <w:pStyle w:val="SingleTxtG"/>
              <w:tabs>
                <w:tab w:val="left" w:pos="1530"/>
              </w:tabs>
              <w:suppressAutoHyphens w:val="0"/>
              <w:spacing w:before="80" w:after="80" w:line="220" w:lineRule="exact"/>
              <w:ind w:left="283" w:right="0"/>
              <w:jc w:val="left"/>
              <w:rPr>
                <w:b/>
                <w:sz w:val="18"/>
                <w:lang w:val="es-SV"/>
              </w:rPr>
            </w:pPr>
            <w:r w:rsidRPr="0046661D">
              <w:rPr>
                <w:b/>
                <w:sz w:val="18"/>
                <w:lang w:val="es-SV"/>
              </w:rPr>
              <w:t>Total</w:t>
            </w:r>
          </w:p>
        </w:tc>
        <w:tc>
          <w:tcPr>
            <w:tcW w:w="2210" w:type="dxa"/>
            <w:tcBorders>
              <w:top w:val="single" w:sz="4" w:space="0" w:color="auto"/>
              <w:bottom w:val="single" w:sz="12" w:space="0" w:color="auto"/>
            </w:tcBorders>
            <w:shd w:val="clear" w:color="auto" w:fill="auto"/>
            <w:vAlign w:val="bottom"/>
          </w:tcPr>
          <w:p w14:paraId="61C246B2" w14:textId="77777777" w:rsidR="003710DB" w:rsidRPr="0046661D" w:rsidRDefault="003710DB" w:rsidP="003710DB">
            <w:pPr>
              <w:pStyle w:val="SingleTxtG"/>
              <w:tabs>
                <w:tab w:val="left" w:pos="1530"/>
              </w:tabs>
              <w:suppressAutoHyphens w:val="0"/>
              <w:spacing w:before="80" w:after="80" w:line="220" w:lineRule="exact"/>
              <w:ind w:left="0" w:right="0"/>
              <w:jc w:val="right"/>
              <w:rPr>
                <w:b/>
                <w:sz w:val="18"/>
                <w:lang w:val="es-SV"/>
              </w:rPr>
            </w:pPr>
            <w:r w:rsidRPr="0046661D">
              <w:rPr>
                <w:b/>
                <w:sz w:val="18"/>
                <w:lang w:val="es-SV"/>
              </w:rPr>
              <w:t>13</w:t>
            </w:r>
          </w:p>
        </w:tc>
      </w:tr>
    </w:tbl>
    <w:p w14:paraId="3FED06A8" w14:textId="77777777" w:rsidR="003710DB" w:rsidRDefault="003710DB" w:rsidP="003710DB">
      <w:pPr>
        <w:pStyle w:val="NormalG"/>
        <w:tabs>
          <w:tab w:val="left" w:pos="1530"/>
        </w:tabs>
        <w:spacing w:before="120" w:after="240" w:line="220" w:lineRule="exact"/>
        <w:ind w:left="1134" w:right="1134" w:firstLine="170"/>
        <w:rPr>
          <w:lang w:val="es-SV"/>
        </w:rPr>
      </w:pPr>
      <w:r w:rsidRPr="00A6674D">
        <w:rPr>
          <w:i/>
          <w:sz w:val="18"/>
          <w:szCs w:val="18"/>
        </w:rPr>
        <w:t>Fuente</w:t>
      </w:r>
      <w:r w:rsidRPr="00DE56CE">
        <w:rPr>
          <w:lang w:val="es-SV"/>
        </w:rPr>
        <w:t>: Corte Suprema de Justicia. 2018</w:t>
      </w:r>
    </w:p>
    <w:p w14:paraId="03252BE2" w14:textId="77777777" w:rsidR="003710DB" w:rsidRDefault="003710DB" w:rsidP="003710DB">
      <w:pPr>
        <w:pStyle w:val="SingleTxtG"/>
        <w:tabs>
          <w:tab w:val="left" w:pos="1530"/>
        </w:tabs>
        <w:rPr>
          <w:lang w:val="es-SV"/>
        </w:rPr>
      </w:pPr>
      <w:r>
        <w:rPr>
          <w:lang w:val="es-SV"/>
        </w:rPr>
        <w:t>7.</w:t>
      </w:r>
      <w:r>
        <w:rPr>
          <w:lang w:val="es-SV"/>
        </w:rPr>
        <w:tab/>
      </w:r>
      <w:r w:rsidRPr="00DE56CE">
        <w:rPr>
          <w:lang w:val="es-SV"/>
        </w:rPr>
        <w:t>El Estado Salvadoreño informa que la CSJ actualmente está trabajando en la elaboración del Manual de Competencia del Equipo Multidisciplinario, y el Protocolo para la atención de usuarias y usuarios del equipo multidisciplinario, mismo que contiene todos los elementos necesarios para garantizar una atención con calidad, laicidad, empatía, especialización, prioridad de atención, atención integral y calidez.</w:t>
      </w:r>
    </w:p>
    <w:p w14:paraId="44113034" w14:textId="77777777" w:rsidR="003710DB" w:rsidRPr="00DE56CE" w:rsidRDefault="003710DB" w:rsidP="003710DB">
      <w:pPr>
        <w:pStyle w:val="SingleTxtG"/>
        <w:tabs>
          <w:tab w:val="left" w:pos="1530"/>
        </w:tabs>
        <w:rPr>
          <w:lang w:val="es-SV"/>
        </w:rPr>
      </w:pPr>
      <w:r>
        <w:rPr>
          <w:lang w:val="es-SV"/>
        </w:rPr>
        <w:t>8.</w:t>
      </w:r>
      <w:r>
        <w:rPr>
          <w:lang w:val="es-SV"/>
        </w:rPr>
        <w:tab/>
      </w:r>
      <w:r w:rsidRPr="00DE56CE">
        <w:rPr>
          <w:lang w:val="es-SV"/>
        </w:rPr>
        <w:t xml:space="preserve">Parte del trabajo del Equipo Multidisciplinario es la elaboración de distintos tipos de informes (social, psicológico, psicosocial, educativo), según lo solicitado por la Jueza Especializada de Instrucción y la Jueza Especializada de Sentencia. La población destinataria y/o beneficiaria de la elaboración de estos informes son las mujeres usuarias de la Jurisdicción Especializada, su grupo familiar, denunciados o demandados, a quienes se les practican los distintos tipos de informes. A la fecha se han elaborado 336 informes: 156 de tipo social, 7 psicológico, 169 psicosocial y 4 psicosocial educativo. </w:t>
      </w:r>
    </w:p>
    <w:p w14:paraId="62731016" w14:textId="77777777" w:rsidR="003710DB" w:rsidRDefault="003710DB" w:rsidP="003710DB">
      <w:pPr>
        <w:pStyle w:val="SingleTxtG"/>
        <w:tabs>
          <w:tab w:val="left" w:pos="1530"/>
        </w:tabs>
        <w:rPr>
          <w:lang w:val="es-SV"/>
        </w:rPr>
      </w:pPr>
      <w:r>
        <w:rPr>
          <w:lang w:val="es-SV"/>
        </w:rPr>
        <w:t>9.</w:t>
      </w:r>
      <w:r>
        <w:rPr>
          <w:lang w:val="es-SV"/>
        </w:rPr>
        <w:tab/>
      </w:r>
      <w:r w:rsidRPr="00DE56CE">
        <w:rPr>
          <w:lang w:val="es-SV"/>
        </w:rPr>
        <w:t>En ese mismo marco, la CSJ ha creado una base de datos con las direcciones, teléfonos y perfil de programas e instituciones públicas y privadas, que brindan terapias psicológicas, educación en derecho, y fortalecimiento de redes de apoyo, a fin de que la Jueza Especializada de Instrucción, pueda remitir a las usuarias, su grupo familiar y demandados o denunciados. El total de casos tramitados en la jurisdicción especializada son los siguientes: juzgados especializados de instrucción, 1,760casos</w:t>
      </w:r>
      <w:r w:rsidRPr="00DE56CE">
        <w:rPr>
          <w:vertAlign w:val="superscript"/>
          <w:lang w:val="es-SV"/>
        </w:rPr>
        <w:footnoteReference w:id="2"/>
      </w:r>
      <w:r w:rsidRPr="00DE56CE">
        <w:rPr>
          <w:lang w:val="es-SV"/>
        </w:rPr>
        <w:t>; juzgados especializados de sentencia, 64 casos</w:t>
      </w:r>
      <w:r w:rsidRPr="00DE56CE">
        <w:rPr>
          <w:vertAlign w:val="superscript"/>
          <w:lang w:val="es-SV"/>
        </w:rPr>
        <w:footnoteReference w:id="3"/>
      </w:r>
      <w:r w:rsidRPr="00DE56CE">
        <w:rPr>
          <w:lang w:val="es-SV"/>
        </w:rPr>
        <w:t>; mientras que la Cámara Especializada ha tramitado 38 casos</w:t>
      </w:r>
      <w:r w:rsidRPr="00DE56CE">
        <w:rPr>
          <w:vertAlign w:val="superscript"/>
          <w:lang w:val="es-SV"/>
        </w:rPr>
        <w:footnoteReference w:id="4"/>
      </w:r>
      <w:r w:rsidRPr="00DE56CE">
        <w:rPr>
          <w:lang w:val="es-SV"/>
        </w:rPr>
        <w:t>. (Anexo 2)</w:t>
      </w:r>
    </w:p>
    <w:p w14:paraId="733CFAA0" w14:textId="77777777" w:rsidR="003710DB" w:rsidRDefault="003710DB" w:rsidP="003710DB">
      <w:pPr>
        <w:pStyle w:val="H23G"/>
        <w:tabs>
          <w:tab w:val="left" w:pos="1530"/>
        </w:tabs>
        <w:rPr>
          <w:lang w:val="es-SV"/>
        </w:rPr>
      </w:pPr>
      <w:r>
        <w:rPr>
          <w:lang w:val="es-SV"/>
        </w:rPr>
        <w:lastRenderedPageBreak/>
        <w:tab/>
      </w:r>
      <w:r>
        <w:rPr>
          <w:lang w:val="es-SV"/>
        </w:rPr>
        <w:tab/>
      </w:r>
      <w:r w:rsidRPr="00DE56CE">
        <w:rPr>
          <w:lang w:val="es-SV"/>
        </w:rPr>
        <w:t>En cumplimiento a la Recomendación 13(b): Refuerce las capacidades de la Policía Nacional Civil, la Procuraduría General y el Instituto de Medicina Legal para la aplicación de protocolos y para el seguimiento de su implementación.</w:t>
      </w:r>
    </w:p>
    <w:p w14:paraId="0567B5C7" w14:textId="77777777" w:rsidR="003710DB" w:rsidRPr="00DE56CE" w:rsidRDefault="003710DB" w:rsidP="003710DB">
      <w:pPr>
        <w:pStyle w:val="H4G"/>
        <w:tabs>
          <w:tab w:val="left" w:pos="1530"/>
        </w:tabs>
        <w:rPr>
          <w:lang w:val="es-SV"/>
        </w:rPr>
      </w:pPr>
      <w:r>
        <w:rPr>
          <w:lang w:val="es-SV"/>
        </w:rPr>
        <w:tab/>
      </w:r>
      <w:r>
        <w:rPr>
          <w:lang w:val="es-SV"/>
        </w:rPr>
        <w:tab/>
      </w:r>
      <w:r w:rsidRPr="00DE56CE">
        <w:rPr>
          <w:lang w:val="es-SV"/>
        </w:rPr>
        <w:t>Unidades Institucionales de Atención Especializada para Mujeres que enfrentan violencia.</w:t>
      </w:r>
    </w:p>
    <w:p w14:paraId="76B54B43" w14:textId="77777777" w:rsidR="003710DB" w:rsidRDefault="003710DB" w:rsidP="003710DB">
      <w:pPr>
        <w:pStyle w:val="SingleTxtG"/>
        <w:tabs>
          <w:tab w:val="left" w:pos="1530"/>
        </w:tabs>
        <w:rPr>
          <w:b/>
          <w:lang w:val="es-SV"/>
        </w:rPr>
      </w:pPr>
      <w:r>
        <w:rPr>
          <w:lang w:val="es-SV"/>
        </w:rPr>
        <w:t>10.</w:t>
      </w:r>
      <w:r>
        <w:rPr>
          <w:lang w:val="es-SV"/>
        </w:rPr>
        <w:tab/>
      </w:r>
      <w:r w:rsidRPr="00DE56CE">
        <w:rPr>
          <w:lang w:val="es-SV"/>
        </w:rPr>
        <w:t xml:space="preserve">ISDEMU, como ente rector de las políticas públicas en la temática de mujer, el año 2016 pone </w:t>
      </w:r>
      <w:r w:rsidRPr="00F57613">
        <w:rPr>
          <w:lang w:val="es-SV"/>
        </w:rPr>
        <w:t>en funcionamiento el Sistema Nacional de Atención (SNA), que constituye un mecanismo de gestión y articulación interinstitucional a nivel nacional</w:t>
      </w:r>
      <w:r w:rsidRPr="00DE56CE">
        <w:rPr>
          <w:lang w:val="es-SV"/>
        </w:rPr>
        <w:t>, para la atención integral y especializada de las mujeres que enfrentan violencia por razón de género. El SNA está integrado por las instituciones que tienen responsabilidad de brindar atención especializada de acuerdo a lo establecido en la LEIV. El SNA tiene como propósitos: a) Prestar servicios integrales y especializados a mujeres con el fin de atender, proteger y restablecer sus derechos vulnerados; b) Fortalecer la capacidad de respuesta institucional en la ruta de atención en todos los casos de violencia contra las mujeres; c) Aplicación de medidas cautelares a favor de las víctimas.</w:t>
      </w:r>
    </w:p>
    <w:p w14:paraId="24153D7B" w14:textId="77777777" w:rsidR="003710DB" w:rsidRDefault="003710DB" w:rsidP="003710DB">
      <w:pPr>
        <w:pStyle w:val="SingleTxtG"/>
        <w:tabs>
          <w:tab w:val="left" w:pos="1530"/>
        </w:tabs>
        <w:rPr>
          <w:lang w:val="es-SV"/>
        </w:rPr>
      </w:pPr>
      <w:r>
        <w:rPr>
          <w:lang w:val="es-SV"/>
        </w:rPr>
        <w:t>11.</w:t>
      </w:r>
      <w:r>
        <w:rPr>
          <w:lang w:val="es-SV"/>
        </w:rPr>
        <w:tab/>
      </w:r>
      <w:r w:rsidRPr="00DE56CE">
        <w:rPr>
          <w:lang w:val="es-SV"/>
        </w:rPr>
        <w:t>El Art. 25 de la LEIV establece que deben instalarse las Unidades Integrales de Atención Especializadas (UIAEM) en las siguientes instituciones y sus correspondientes delegaciones departamentales: Corte Suprema de Justicia (CSJ), Fiscalía General de la República (FGR), Procuraduría General de la República (PGR), Procuraduría para la Defensa de los Derechos Humanos (PDDH), Policía Nacional Civil (PNC), Instituto de Medicina Legal (IML) y Ministerio de Salud (MINSAL).</w:t>
      </w:r>
    </w:p>
    <w:p w14:paraId="5DE46023" w14:textId="27FC833F" w:rsidR="003710DB" w:rsidRDefault="003710DB" w:rsidP="003710DB">
      <w:pPr>
        <w:pStyle w:val="SingleTxtG"/>
        <w:tabs>
          <w:tab w:val="left" w:pos="1530"/>
        </w:tabs>
        <w:rPr>
          <w:lang w:val="es-SV"/>
        </w:rPr>
      </w:pPr>
      <w:r>
        <w:rPr>
          <w:lang w:val="es-SV"/>
        </w:rPr>
        <w:t>12.</w:t>
      </w:r>
      <w:r>
        <w:rPr>
          <w:lang w:val="es-SV"/>
        </w:rPr>
        <w:tab/>
      </w:r>
      <w:r w:rsidRPr="00DE56CE">
        <w:rPr>
          <w:lang w:val="es-SV"/>
        </w:rPr>
        <w:t xml:space="preserve">Desde la entrada en vigencia de la LEIV a la fecha, se ha incrementado progresivamente la disponibilidad de servicios de atención para mujeres a nivel nacional, contándose a junio de 2018 con 101 UIAEM, con cobertura en los 14 departamentos del país (Anexo 3). Cada una de las instituciones responsables de brindar </w:t>
      </w:r>
      <w:r w:rsidR="00510B25" w:rsidRPr="00DE56CE">
        <w:rPr>
          <w:lang w:val="es-SV"/>
        </w:rPr>
        <w:t>atención, ha</w:t>
      </w:r>
      <w:r w:rsidRPr="00DE56CE">
        <w:rPr>
          <w:lang w:val="es-SV"/>
        </w:rPr>
        <w:t xml:space="preserve"> desarrollado herramientas técnicas que orientan el quehacer de estas unidades especializadas para la investigación de los delitos de violencia contra las mujeres, se mencionan los más importantes:</w:t>
      </w:r>
    </w:p>
    <w:p w14:paraId="1D49115C" w14:textId="77777777" w:rsidR="003710DB" w:rsidRDefault="003710DB" w:rsidP="003710DB">
      <w:pPr>
        <w:pStyle w:val="SingleTxtG"/>
        <w:tabs>
          <w:tab w:val="left" w:pos="1530"/>
        </w:tabs>
        <w:rPr>
          <w:lang w:val="es-SV"/>
        </w:rPr>
      </w:pPr>
      <w:r>
        <w:rPr>
          <w:lang w:val="es-SV"/>
        </w:rPr>
        <w:t>13.</w:t>
      </w:r>
      <w:r>
        <w:rPr>
          <w:lang w:val="es-SV"/>
        </w:rPr>
        <w:tab/>
      </w:r>
      <w:r w:rsidRPr="00DE56CE">
        <w:rPr>
          <w:lang w:val="es-SV"/>
        </w:rPr>
        <w:t>Fiscalía General de la República:</w:t>
      </w:r>
    </w:p>
    <w:p w14:paraId="172BA674" w14:textId="77777777" w:rsidR="003710DB" w:rsidRPr="00DE56CE" w:rsidRDefault="003710DB" w:rsidP="003710DB">
      <w:pPr>
        <w:pStyle w:val="Bullet1G"/>
        <w:tabs>
          <w:tab w:val="left" w:pos="1530"/>
        </w:tabs>
        <w:rPr>
          <w:lang w:val="es-SV"/>
        </w:rPr>
      </w:pPr>
      <w:r w:rsidRPr="00DE56CE">
        <w:rPr>
          <w:lang w:val="es-SV"/>
        </w:rPr>
        <w:t>Protocolo de actuación para la investigación del Feminicidio;</w:t>
      </w:r>
    </w:p>
    <w:p w14:paraId="009D742E" w14:textId="77777777" w:rsidR="003710DB" w:rsidRPr="00DE56CE" w:rsidRDefault="003710DB" w:rsidP="003710DB">
      <w:pPr>
        <w:pStyle w:val="Bullet1G"/>
        <w:tabs>
          <w:tab w:val="left" w:pos="1530"/>
        </w:tabs>
        <w:rPr>
          <w:lang w:val="es-SV"/>
        </w:rPr>
      </w:pPr>
      <w:r w:rsidRPr="00DE56CE">
        <w:rPr>
          <w:lang w:val="es-SV"/>
        </w:rPr>
        <w:t>Guía de Uso de Cámara Gesell;</w:t>
      </w:r>
    </w:p>
    <w:p w14:paraId="337EB97E" w14:textId="77777777" w:rsidR="003710DB" w:rsidRPr="00DE56CE" w:rsidRDefault="003710DB" w:rsidP="003710DB">
      <w:pPr>
        <w:pStyle w:val="Bullet1G"/>
        <w:tabs>
          <w:tab w:val="left" w:pos="1530"/>
        </w:tabs>
        <w:rPr>
          <w:lang w:val="es-SV"/>
        </w:rPr>
      </w:pPr>
      <w:r w:rsidRPr="00DE56CE">
        <w:rPr>
          <w:lang w:val="es-SV"/>
        </w:rPr>
        <w:t>Protocolo de Atención legal y psicosocial para personas que enfrentan violencia, con énfasis en niñez, adolescencia, mujeres y otra población en condiciones de vulnerabilidad;</w:t>
      </w:r>
    </w:p>
    <w:p w14:paraId="1F9ED3C5" w14:textId="77777777" w:rsidR="003710DB" w:rsidRDefault="003710DB" w:rsidP="003710DB">
      <w:pPr>
        <w:pStyle w:val="Bullet1G"/>
        <w:tabs>
          <w:tab w:val="left" w:pos="1530"/>
        </w:tabs>
        <w:rPr>
          <w:lang w:val="es-SV"/>
        </w:rPr>
      </w:pPr>
      <w:r w:rsidRPr="00DE56CE">
        <w:rPr>
          <w:lang w:val="es-SV"/>
        </w:rPr>
        <w:t>Política de Persecución Penal en casos de violencia contra las mujeres</w:t>
      </w:r>
      <w:r w:rsidRPr="00DE56CE">
        <w:rPr>
          <w:vertAlign w:val="superscript"/>
          <w:lang w:val="es-SV"/>
        </w:rPr>
        <w:footnoteReference w:id="5"/>
      </w:r>
      <w:r>
        <w:rPr>
          <w:lang w:val="es-SV"/>
        </w:rPr>
        <w:t>;</w:t>
      </w:r>
    </w:p>
    <w:p w14:paraId="2B2EE600" w14:textId="77777777" w:rsidR="003710DB" w:rsidRDefault="003710DB" w:rsidP="003710DB">
      <w:pPr>
        <w:pStyle w:val="Bullet1G"/>
        <w:tabs>
          <w:tab w:val="left" w:pos="1530"/>
        </w:tabs>
        <w:rPr>
          <w:lang w:val="es-SV"/>
        </w:rPr>
      </w:pPr>
      <w:r>
        <w:rPr>
          <w:lang w:val="es-SV"/>
        </w:rPr>
        <w:t>Policía Nacional Civil;</w:t>
      </w:r>
    </w:p>
    <w:p w14:paraId="413A5D63" w14:textId="77777777" w:rsidR="003710DB" w:rsidRPr="00DE56CE" w:rsidRDefault="003710DB" w:rsidP="003710DB">
      <w:pPr>
        <w:pStyle w:val="Bullet1G"/>
        <w:tabs>
          <w:tab w:val="left" w:pos="1530"/>
        </w:tabs>
        <w:rPr>
          <w:lang w:val="es-SV"/>
        </w:rPr>
      </w:pPr>
      <w:r w:rsidRPr="00DE56CE">
        <w:rPr>
          <w:lang w:val="es-SV"/>
        </w:rPr>
        <w:t>Manual de normas y procedimientos investigativos Tomo III/III en atención a la LEIV;</w:t>
      </w:r>
    </w:p>
    <w:p w14:paraId="771D76D1" w14:textId="77777777" w:rsidR="003710DB" w:rsidRPr="00DE56CE" w:rsidRDefault="003710DB" w:rsidP="003710DB">
      <w:pPr>
        <w:pStyle w:val="Bullet1G"/>
        <w:tabs>
          <w:tab w:val="left" w:pos="1530"/>
        </w:tabs>
        <w:rPr>
          <w:lang w:val="es-SV"/>
        </w:rPr>
      </w:pPr>
      <w:r w:rsidRPr="00DE56CE">
        <w:rPr>
          <w:lang w:val="es-SV"/>
        </w:rPr>
        <w:t>Protocolo de Abordaje de llamadas telefónicas de mujeres en situación de Violencia de</w:t>
      </w:r>
      <w:r>
        <w:rPr>
          <w:lang w:val="es-SV"/>
        </w:rPr>
        <w:t>;</w:t>
      </w:r>
      <w:r w:rsidRPr="00DE56CE">
        <w:rPr>
          <w:lang w:val="es-SV"/>
        </w:rPr>
        <w:t xml:space="preserve"> </w:t>
      </w:r>
    </w:p>
    <w:p w14:paraId="40641BF9" w14:textId="77777777" w:rsidR="003710DB" w:rsidRPr="00DE56CE" w:rsidRDefault="003710DB" w:rsidP="003710DB">
      <w:pPr>
        <w:pStyle w:val="Bullet1G"/>
        <w:tabs>
          <w:tab w:val="left" w:pos="1530"/>
        </w:tabs>
        <w:rPr>
          <w:lang w:val="es-SV"/>
        </w:rPr>
      </w:pPr>
      <w:r w:rsidRPr="00DE56CE">
        <w:rPr>
          <w:lang w:val="es-SV"/>
        </w:rPr>
        <w:t>Género;</w:t>
      </w:r>
    </w:p>
    <w:p w14:paraId="5B91F699" w14:textId="77777777" w:rsidR="003710DB" w:rsidRPr="00DE56CE" w:rsidRDefault="003710DB" w:rsidP="003710DB">
      <w:pPr>
        <w:pStyle w:val="Bullet1G"/>
        <w:tabs>
          <w:tab w:val="left" w:pos="1530"/>
        </w:tabs>
        <w:rPr>
          <w:lang w:val="es-SV"/>
        </w:rPr>
      </w:pPr>
      <w:r w:rsidRPr="00DE56CE">
        <w:rPr>
          <w:lang w:val="es-SV"/>
        </w:rPr>
        <w:t>Protocolo de Atención a mujeres víctimas de Violencia Sexual;</w:t>
      </w:r>
    </w:p>
    <w:p w14:paraId="09AE2EF1" w14:textId="77777777" w:rsidR="003710DB" w:rsidRPr="00DE56CE" w:rsidRDefault="003710DB" w:rsidP="003710DB">
      <w:pPr>
        <w:pStyle w:val="Bullet1G"/>
        <w:tabs>
          <w:tab w:val="left" w:pos="1530"/>
        </w:tabs>
        <w:rPr>
          <w:lang w:val="es-SV"/>
        </w:rPr>
      </w:pPr>
      <w:r w:rsidRPr="00DE56CE">
        <w:rPr>
          <w:lang w:val="es-SV"/>
        </w:rPr>
        <w:t>Protocolo con enfoque de Género y Derechos Humanos para el abordaje diferenciado de la Diversidad Humana en los servicios policiales de División Víctimas y Testigos;</w:t>
      </w:r>
    </w:p>
    <w:p w14:paraId="7A4B817B" w14:textId="77777777" w:rsidR="003710DB" w:rsidRDefault="003710DB" w:rsidP="003710DB">
      <w:pPr>
        <w:pStyle w:val="Bullet1G"/>
        <w:tabs>
          <w:tab w:val="left" w:pos="1530"/>
        </w:tabs>
        <w:rPr>
          <w:lang w:val="es-SV"/>
        </w:rPr>
      </w:pPr>
      <w:r w:rsidRPr="00DE56CE">
        <w:rPr>
          <w:lang w:val="es-SV"/>
        </w:rPr>
        <w:t>Protocolo para la atención, abordaje y procedimiento policial en casos de mujeres: niñas, adolescentes, adultas y adultas mayores, sobrevivientes d</w:t>
      </w:r>
      <w:r>
        <w:rPr>
          <w:lang w:val="es-SV"/>
        </w:rPr>
        <w:t>e la violencia sexual;</w:t>
      </w:r>
    </w:p>
    <w:p w14:paraId="3DB332C9" w14:textId="77777777" w:rsidR="003710DB" w:rsidRDefault="003710DB" w:rsidP="003710DB">
      <w:pPr>
        <w:pStyle w:val="Bullet1G"/>
        <w:tabs>
          <w:tab w:val="left" w:pos="1530"/>
        </w:tabs>
        <w:rPr>
          <w:lang w:val="es-SV"/>
        </w:rPr>
      </w:pPr>
      <w:r w:rsidRPr="00DE56CE">
        <w:rPr>
          <w:lang w:val="es-SV"/>
        </w:rPr>
        <w:t>Procuraduría General de la República:</w:t>
      </w:r>
    </w:p>
    <w:p w14:paraId="1EB02077" w14:textId="77777777" w:rsidR="003710DB" w:rsidRPr="00DE56CE" w:rsidRDefault="003710DB" w:rsidP="003710DB">
      <w:pPr>
        <w:pStyle w:val="Bullet1G"/>
        <w:tabs>
          <w:tab w:val="left" w:pos="1530"/>
        </w:tabs>
        <w:rPr>
          <w:lang w:val="es-SV"/>
        </w:rPr>
      </w:pPr>
      <w:r w:rsidRPr="00DE56CE">
        <w:rPr>
          <w:lang w:val="es-SV"/>
        </w:rPr>
        <w:lastRenderedPageBreak/>
        <w:t>Protocolo prevención, atención, protección y sanción de hechos de violencia y discriminación contra mujeres trabajadoras de la Procuraduría General de la República;</w:t>
      </w:r>
    </w:p>
    <w:p w14:paraId="65DA27BB" w14:textId="77777777" w:rsidR="003710DB" w:rsidRPr="00DE56CE" w:rsidRDefault="003710DB" w:rsidP="003710DB">
      <w:pPr>
        <w:pStyle w:val="Bullet1G"/>
        <w:tabs>
          <w:tab w:val="left" w:pos="1530"/>
        </w:tabs>
        <w:rPr>
          <w:lang w:val="es-SV"/>
        </w:rPr>
      </w:pPr>
      <w:r w:rsidRPr="00DE56CE">
        <w:rPr>
          <w:lang w:val="es-SV"/>
        </w:rPr>
        <w:t>Directriz para la atención de mujeres en conflicto con la ley;</w:t>
      </w:r>
    </w:p>
    <w:p w14:paraId="7D331B1B" w14:textId="77777777" w:rsidR="003710DB" w:rsidRPr="00DE56CE" w:rsidRDefault="003710DB" w:rsidP="003710DB">
      <w:pPr>
        <w:pStyle w:val="Bullet1G"/>
        <w:tabs>
          <w:tab w:val="left" w:pos="1530"/>
        </w:tabs>
        <w:rPr>
          <w:lang w:val="es-SV"/>
        </w:rPr>
      </w:pPr>
      <w:r w:rsidRPr="00DE56CE">
        <w:rPr>
          <w:lang w:val="es-SV"/>
        </w:rPr>
        <w:t>Directriz para promocionar el trabajo de sensibilización de las Unidades de Atención Especializada para las Mujeres hacia las mujeres del área rural;</w:t>
      </w:r>
    </w:p>
    <w:p w14:paraId="2CA3C369" w14:textId="77777777" w:rsidR="003710DB" w:rsidRPr="00DE56CE" w:rsidRDefault="003710DB" w:rsidP="003710DB">
      <w:pPr>
        <w:pStyle w:val="Bullet1G"/>
        <w:tabs>
          <w:tab w:val="left" w:pos="1530"/>
        </w:tabs>
        <w:rPr>
          <w:lang w:val="es-SV"/>
        </w:rPr>
      </w:pPr>
      <w:r w:rsidRPr="00DE56CE">
        <w:rPr>
          <w:lang w:val="es-SV"/>
        </w:rPr>
        <w:t>Proceso de Atención por Violencia hacia las Mujeres;</w:t>
      </w:r>
    </w:p>
    <w:p w14:paraId="218C5C80" w14:textId="77777777" w:rsidR="003710DB" w:rsidRPr="00DE56CE" w:rsidRDefault="003710DB" w:rsidP="003710DB">
      <w:pPr>
        <w:pStyle w:val="Bullet1G"/>
        <w:tabs>
          <w:tab w:val="left" w:pos="1530"/>
        </w:tabs>
        <w:rPr>
          <w:lang w:val="es-SV"/>
        </w:rPr>
      </w:pPr>
      <w:r w:rsidRPr="00DE56CE">
        <w:rPr>
          <w:lang w:val="es-SV"/>
        </w:rPr>
        <w:t>Proceso para la Atención por Discriminación contra las Mujeres;</w:t>
      </w:r>
    </w:p>
    <w:p w14:paraId="20C56DAC" w14:textId="77777777" w:rsidR="003710DB" w:rsidRPr="00DE56CE" w:rsidRDefault="003710DB" w:rsidP="003710DB">
      <w:pPr>
        <w:pStyle w:val="Bullet1G"/>
        <w:tabs>
          <w:tab w:val="left" w:pos="1530"/>
        </w:tabs>
        <w:rPr>
          <w:lang w:val="es-SV"/>
        </w:rPr>
      </w:pPr>
      <w:r w:rsidRPr="00DE56CE">
        <w:rPr>
          <w:lang w:val="es-SV"/>
        </w:rPr>
        <w:t>Instructivo del Proceso de Atención por Violencia hacia las Mujeres por Nota de Derivación de la Unidad de Defensoría Pública Penal;</w:t>
      </w:r>
    </w:p>
    <w:p w14:paraId="510D2AC9" w14:textId="77777777" w:rsidR="003710DB" w:rsidRPr="00DE56CE" w:rsidRDefault="003710DB" w:rsidP="003710DB">
      <w:pPr>
        <w:pStyle w:val="Bullet1G"/>
        <w:tabs>
          <w:tab w:val="left" w:pos="1530"/>
        </w:tabs>
        <w:rPr>
          <w:lang w:val="es-SV"/>
        </w:rPr>
      </w:pPr>
      <w:r w:rsidRPr="00DE56CE">
        <w:rPr>
          <w:lang w:val="es-SV"/>
        </w:rPr>
        <w:t>Documento de Coordinación Interinstitucional e Intersectorial para la Ruta de Atención Integral a Mujeres en situación de Violencia de la Zona Norte de San Salvador;</w:t>
      </w:r>
    </w:p>
    <w:p w14:paraId="012F4FEB" w14:textId="77777777" w:rsidR="003710DB" w:rsidRDefault="003710DB" w:rsidP="003710DB">
      <w:pPr>
        <w:pStyle w:val="Bullet1G"/>
        <w:tabs>
          <w:tab w:val="left" w:pos="1530"/>
        </w:tabs>
        <w:rPr>
          <w:lang w:val="es-SV"/>
        </w:rPr>
      </w:pPr>
      <w:r w:rsidRPr="00DE56CE">
        <w:rPr>
          <w:lang w:val="es-SV"/>
        </w:rPr>
        <w:t>Documento de Coordinación Interinstitucional para la Ruta de Atención Integral e Integrada a Mujeres, Niñas, Niños y Adolescentes en diversas situaciones de Violencia de la Zona Sur.</w:t>
      </w:r>
    </w:p>
    <w:p w14:paraId="0F199742" w14:textId="1FA1D8D7" w:rsidR="003710DB" w:rsidRDefault="003710DB" w:rsidP="003710DB">
      <w:pPr>
        <w:pStyle w:val="SingleTxtG"/>
        <w:tabs>
          <w:tab w:val="left" w:pos="1530"/>
        </w:tabs>
        <w:rPr>
          <w:lang w:val="es-SV"/>
        </w:rPr>
      </w:pPr>
      <w:r>
        <w:rPr>
          <w:lang w:val="es-SV"/>
        </w:rPr>
        <w:t>14.</w:t>
      </w:r>
      <w:r>
        <w:rPr>
          <w:lang w:val="es-SV"/>
        </w:rPr>
        <w:tab/>
      </w:r>
      <w:r w:rsidRPr="0046661D">
        <w:rPr>
          <w:lang w:val="es-SV"/>
        </w:rPr>
        <w:t>La Fiscalía General de la República (FGR)</w:t>
      </w:r>
      <w:r w:rsidRPr="00DE56CE">
        <w:rPr>
          <w:lang w:val="es-SV"/>
        </w:rPr>
        <w:t xml:space="preserve"> cuenta con seis UIAEM a nivel nacional, distribuidas en las siguientes Oficinas </w:t>
      </w:r>
      <w:r w:rsidR="00510B25" w:rsidRPr="00DE56CE">
        <w:rPr>
          <w:lang w:val="es-SV"/>
        </w:rPr>
        <w:t>Fiscales en</w:t>
      </w:r>
      <w:r w:rsidRPr="00DE56CE">
        <w:rPr>
          <w:lang w:val="es-SV"/>
        </w:rPr>
        <w:t xml:space="preserve"> los Departamentos de: San Salvador, La Libertad; San Vicente, Santa Ana, Sonsonate y San Miguel. Las UIAEM fueron creadas mediante el Manual de Procedimiento, el cual describe las funciones del personal que integra la unidad; se rigen por los lineamientos contenidos en la Política de Persecución Penal, el Protocolo de actuación para la investigación del feminicidio, el Protocolo de Atención Legal y Psicosocial a víctimas, entre otros.</w:t>
      </w:r>
    </w:p>
    <w:p w14:paraId="63CC6AE2" w14:textId="77777777" w:rsidR="003710DB" w:rsidRDefault="003710DB" w:rsidP="003710DB">
      <w:pPr>
        <w:pStyle w:val="SingleTxtG"/>
        <w:tabs>
          <w:tab w:val="left" w:pos="1530"/>
        </w:tabs>
        <w:rPr>
          <w:lang w:val="es-SV"/>
        </w:rPr>
      </w:pPr>
      <w:r>
        <w:rPr>
          <w:lang w:val="es-SV"/>
        </w:rPr>
        <w:t>15.</w:t>
      </w:r>
      <w:r>
        <w:rPr>
          <w:lang w:val="es-SV"/>
        </w:rPr>
        <w:tab/>
      </w:r>
      <w:r w:rsidRPr="00DE56CE">
        <w:rPr>
          <w:lang w:val="es-SV"/>
        </w:rPr>
        <w:t>Las UIAEM de la FGR son responsables de conocer de las investigaciones realizadas en los 11 delitos de la LEIV y los delitos de naturaleza sexual de mujeres mayores de quince años. Para tal fin, a octubre de 2018 cuentan con 43 personas asignadas, de las cuales 39 son mujeres y 4 son hombres. (Anexo 4). El presupuesto para el funcionamiento de estas UIAEM forma parte del presupuesto anual de la FGR.</w:t>
      </w:r>
    </w:p>
    <w:p w14:paraId="342D5660" w14:textId="77777777" w:rsidR="003710DB" w:rsidRDefault="003710DB" w:rsidP="003710DB">
      <w:pPr>
        <w:pStyle w:val="SingleTxtG"/>
        <w:tabs>
          <w:tab w:val="left" w:pos="1530"/>
        </w:tabs>
        <w:rPr>
          <w:lang w:val="es-SV"/>
        </w:rPr>
      </w:pPr>
      <w:r>
        <w:rPr>
          <w:lang w:val="es-SV"/>
        </w:rPr>
        <w:t>16.</w:t>
      </w:r>
      <w:r>
        <w:rPr>
          <w:lang w:val="es-SV"/>
        </w:rPr>
        <w:tab/>
      </w:r>
      <w:r w:rsidRPr="00DE56CE">
        <w:rPr>
          <w:lang w:val="es-SV"/>
        </w:rPr>
        <w:t>En el 2017 la FGR capacitó al personal asignado en las 6 UIAEM, en las 19 Unidades de Niñez, Adolescencia y Mujer en su relación familiar, así como personal de las 19 Oficinas Fiscales; quienes fueron formados y sensibilizados en 57 diferentes procesos de formación; y de enero a octubre de 2018 se han desarrollado 114 procesos de formación. (Anexo 5)</w:t>
      </w:r>
    </w:p>
    <w:p w14:paraId="4A57832E" w14:textId="77777777" w:rsidR="003710DB" w:rsidRDefault="003710DB" w:rsidP="003710DB">
      <w:pPr>
        <w:pStyle w:val="SingleTxtG"/>
        <w:tabs>
          <w:tab w:val="left" w:pos="1530"/>
        </w:tabs>
        <w:rPr>
          <w:b/>
          <w:lang w:val="es-SV"/>
        </w:rPr>
      </w:pPr>
      <w:r>
        <w:rPr>
          <w:lang w:val="es-SV"/>
        </w:rPr>
        <w:t>17.</w:t>
      </w:r>
      <w:r>
        <w:rPr>
          <w:lang w:val="es-SV"/>
        </w:rPr>
        <w:tab/>
      </w:r>
      <w:r w:rsidRPr="00DE56CE">
        <w:rPr>
          <w:lang w:val="es-SV"/>
        </w:rPr>
        <w:t>En Julio 2017 la Fiscalía General de la República crea la Dirección Nacional de la Mujer, Niñez, Adolescencia, Población LGBTI y otros Grupos en condición de Vulnerabilidad (DNMPV), compuesta por una Directora y cuatro Coordinaciones: 1) Mujer; 2) Niñez y Adolescencia; 3) Población LGBTI y otros grupos en condición de vulnerabilidad; 4) Atención Integral para Víctimas.</w:t>
      </w:r>
    </w:p>
    <w:p w14:paraId="1A50618B" w14:textId="77777777" w:rsidR="003710DB" w:rsidRDefault="003710DB" w:rsidP="003710DB">
      <w:pPr>
        <w:pStyle w:val="SingleTxtG"/>
        <w:tabs>
          <w:tab w:val="left" w:pos="1530"/>
        </w:tabs>
        <w:rPr>
          <w:lang w:val="es-SV"/>
        </w:rPr>
      </w:pPr>
      <w:r>
        <w:rPr>
          <w:lang w:val="es-SV"/>
        </w:rPr>
        <w:t>18.</w:t>
      </w:r>
      <w:r>
        <w:rPr>
          <w:lang w:val="es-SV"/>
        </w:rPr>
        <w:tab/>
      </w:r>
      <w:r w:rsidRPr="00DE56CE">
        <w:rPr>
          <w:lang w:val="es-SV"/>
        </w:rPr>
        <w:t>Las competencias de las cuatro coordinaciones en general son: Crear mecanismos estandarizados de abordaje en la investigación de los delitos cometidos en perjuicio de la mujer, niñas, niños, adolescentes, población LGBTI y otros grupos en condición de vulnerabilidad a nivel nacional, garantizando de forma prioritaria sus derechos en la aplicación de la ley; Coordinar y verificar con Jefes de Oficina y UIAEM el seguimiento de los casos, en casos relevantes y cuando se considere necesario; Velar que en la atención, se utilicen los mecanismos necesarios para evitar la victimización, utilización de espacios que reúnan las condiciones de privacidad y confort. A octubre 2018, la Dirección está conformada por siete personas, de las cuales seis son mujeres y uno es hombre (Anexo 6). El presupuesto para su funcionamiento forma parte del presupuesto regular de la FGR.</w:t>
      </w:r>
    </w:p>
    <w:p w14:paraId="18BABF35" w14:textId="77777777" w:rsidR="003710DB" w:rsidRDefault="003710DB" w:rsidP="003710DB">
      <w:pPr>
        <w:pStyle w:val="SingleTxtG"/>
        <w:tabs>
          <w:tab w:val="left" w:pos="1530"/>
        </w:tabs>
        <w:rPr>
          <w:lang w:val="es-SV"/>
        </w:rPr>
      </w:pPr>
      <w:r>
        <w:rPr>
          <w:lang w:val="es-SV"/>
        </w:rPr>
        <w:t>19.</w:t>
      </w:r>
      <w:r>
        <w:rPr>
          <w:lang w:val="es-SV"/>
        </w:rPr>
        <w:tab/>
      </w:r>
      <w:r w:rsidRPr="00DE56CE">
        <w:rPr>
          <w:lang w:val="es-SV"/>
        </w:rPr>
        <w:t>La FGR informa que en el 2017 realizó 35 procesos de formación para el personal de la DNMPV, y de enero a octubre de 2018 realizó 41 procesos de formación. (Anexo 7)</w:t>
      </w:r>
    </w:p>
    <w:p w14:paraId="4F460016" w14:textId="77777777" w:rsidR="003710DB" w:rsidRPr="00DE56CE" w:rsidRDefault="003710DB" w:rsidP="003710DB">
      <w:pPr>
        <w:pStyle w:val="SingleTxtG"/>
        <w:tabs>
          <w:tab w:val="left" w:pos="1530"/>
        </w:tabs>
        <w:rPr>
          <w:lang w:val="es-SV"/>
        </w:rPr>
      </w:pPr>
      <w:r>
        <w:rPr>
          <w:lang w:val="es-SV"/>
        </w:rPr>
        <w:lastRenderedPageBreak/>
        <w:t>20.</w:t>
      </w:r>
      <w:r>
        <w:rPr>
          <w:lang w:val="es-SV"/>
        </w:rPr>
        <w:tab/>
      </w:r>
      <w:r w:rsidRPr="00DE56CE">
        <w:rPr>
          <w:lang w:val="es-SV"/>
        </w:rPr>
        <w:t>En cumplimiento del Art. 56 de la LEIV, la Fiscalía General de la República, presentó en noviembre 2018, la Política de persecución penal en materia de violencia contra las mujeres, con el objeto de establecer criterios y lineamientos para la persecución penal en materia de violencia contra las mujeres a efecto de realizar investigaciones y judicializar los casos de manera efectiva y eficaz, con perspectiva de género desde la interseccionalidad, para reducir la impunidad. Dicha política es vinculante para todo el personal de la FGR y en lo que no contradiga sus propias normativas, a la Policía Nacional Civil y otras instituciones que colaboran con las funciones de investigación.</w:t>
      </w:r>
    </w:p>
    <w:p w14:paraId="4B7E2FCC" w14:textId="472F7B82" w:rsidR="003710DB" w:rsidRPr="00D66AC7" w:rsidRDefault="003710DB" w:rsidP="003710DB">
      <w:pPr>
        <w:pStyle w:val="SingleTxtG"/>
        <w:tabs>
          <w:tab w:val="left" w:pos="1530"/>
        </w:tabs>
      </w:pPr>
      <w:r w:rsidRPr="0046661D">
        <w:rPr>
          <w:lang w:val="es-SV"/>
        </w:rPr>
        <w:t>21</w:t>
      </w:r>
      <w:r>
        <w:rPr>
          <w:b/>
          <w:i/>
          <w:lang w:val="es-SV"/>
        </w:rPr>
        <w:t>.</w:t>
      </w:r>
      <w:r>
        <w:rPr>
          <w:b/>
          <w:i/>
          <w:lang w:val="es-SV"/>
        </w:rPr>
        <w:tab/>
      </w:r>
      <w:r w:rsidRPr="0046661D">
        <w:rPr>
          <w:lang w:val="es-SV"/>
        </w:rPr>
        <w:t>La Procuraduría General de la República (PGR</w:t>
      </w:r>
      <w:r w:rsidRPr="00DE56CE">
        <w:rPr>
          <w:b/>
          <w:i/>
          <w:lang w:val="es-SV"/>
        </w:rPr>
        <w:t>)</w:t>
      </w:r>
      <w:r w:rsidRPr="00DE56CE">
        <w:rPr>
          <w:lang w:val="es-SV"/>
        </w:rPr>
        <w:t xml:space="preserve">, cuenta con 15 UIAEM, una en cada departamento del país y tiene además una Unidad de Atención Especializada para las Mujeres ubicada en el municipio de Soyapango. Entre sus competencias se encuentran: Brindar </w:t>
      </w:r>
      <w:r w:rsidR="00510B25" w:rsidRPr="00DE56CE">
        <w:rPr>
          <w:lang w:val="es-SV"/>
        </w:rPr>
        <w:t>servicios integrales</w:t>
      </w:r>
      <w:r w:rsidRPr="00DE56CE">
        <w:rPr>
          <w:lang w:val="es-SV"/>
        </w:rPr>
        <w:t xml:space="preserve"> en condiciones higiénicas y de privacidad, con atención de calidad y con calidez, priorizando la atención en crisis; asesorar e informar sobre los derechos, las medidas relativas a su protección y seguridad, a las mujeres que enfrentan violencia o discriminación; brindar asesoría, asistencia y representación legal en las áreas de violencia por razón de género, violencia </w:t>
      </w:r>
      <w:r w:rsidRPr="00D66AC7">
        <w:t>intrafamiliar y discriminación a mujeres; brindar acompañamiento en el área legal y psicosocial a mujeres que enfrenten hechos de violencia, en sede judicial o administrativa; coordinar con casas de acogida y enlaces con redes de apoyo; facilitar los Grupos de Autoayuda y/o formación y apoyo; recibir y canalizar las denuncias formuladas por cualquier persona y organización ante hechos de discriminación.</w:t>
      </w:r>
    </w:p>
    <w:p w14:paraId="42FC7CDA" w14:textId="3AAB1A60" w:rsidR="003710DB" w:rsidRPr="00D66AC7" w:rsidRDefault="003710DB" w:rsidP="003710DB">
      <w:pPr>
        <w:pStyle w:val="SingleTxtG"/>
        <w:tabs>
          <w:tab w:val="left" w:pos="1530"/>
        </w:tabs>
      </w:pPr>
      <w:r>
        <w:t>22.</w:t>
      </w:r>
      <w:r>
        <w:tab/>
      </w:r>
      <w:r w:rsidRPr="00D66AC7">
        <w:t xml:space="preserve">Al </w:t>
      </w:r>
      <w:r w:rsidR="00510B25" w:rsidRPr="00D66AC7">
        <w:t>cierre del</w:t>
      </w:r>
      <w:r w:rsidRPr="00D66AC7">
        <w:t xml:space="preserve"> año 2018, la PGR informa que tiene destacados 49 personas en las UIAEM, de las cuales 46 son mujeres y 3 son hombres (Anexo 8). Con un presupuesto de $1,084,372.00 dólares anuales, que forman parte del presupuesto institucional. La PGR reporta que en el 2017 realizó 24 actividades formativas, dirigidas a personal asignado en las UIAEM; mientras que de enero a octubre de 2018 realizaron 10 actividades formativas. (Anexo No. 9)</w:t>
      </w:r>
    </w:p>
    <w:p w14:paraId="6B4E8591" w14:textId="77777777" w:rsidR="003710DB" w:rsidRDefault="003710DB" w:rsidP="003710DB">
      <w:pPr>
        <w:pStyle w:val="SingleTxtG"/>
        <w:tabs>
          <w:tab w:val="left" w:pos="1530"/>
        </w:tabs>
        <w:rPr>
          <w:lang w:val="es-SV"/>
        </w:rPr>
      </w:pPr>
      <w:r>
        <w:t>23.</w:t>
      </w:r>
      <w:r>
        <w:tab/>
      </w:r>
      <w:r w:rsidRPr="00D66AC7">
        <w:t>La Policía Nacional Civil(PNC)cuenta con 31 UIAEM a nivel nacional, las cuales tiene entre sus competencias: recibir denuncias por delitos de violencia contra las mujeres por razón de género; Informar sobre los derechos que asisten a las usuarias, medidas de protección, servicios de emergencia, casas de acogida; coordinar acciones de carácter asistencial física y psicológica (aplicación de retrovirales, anticonceptivos</w:t>
      </w:r>
      <w:r w:rsidRPr="00DE56CE">
        <w:rPr>
          <w:lang w:val="es-SV"/>
        </w:rPr>
        <w:t xml:space="preserve"> de emergencias, entre otros); acompañar a las mujeres cuando así lo requieran en los procesos judiciales y dar seguimiento al caso; coordinaciones interinstitucionales para la atención integral a las usuarias.</w:t>
      </w:r>
    </w:p>
    <w:p w14:paraId="3E670BBB" w14:textId="4BCFFE5A" w:rsidR="003710DB" w:rsidRDefault="003710DB" w:rsidP="003710DB">
      <w:pPr>
        <w:pStyle w:val="SingleTxtG"/>
        <w:tabs>
          <w:tab w:val="left" w:pos="1530"/>
        </w:tabs>
        <w:rPr>
          <w:lang w:val="es-SV"/>
        </w:rPr>
      </w:pPr>
      <w:r>
        <w:rPr>
          <w:lang w:val="es-SV"/>
        </w:rPr>
        <w:t>24.</w:t>
      </w:r>
      <w:r>
        <w:rPr>
          <w:lang w:val="es-SV"/>
        </w:rPr>
        <w:tab/>
      </w:r>
      <w:r w:rsidRPr="00DE56CE">
        <w:rPr>
          <w:lang w:val="es-SV"/>
        </w:rPr>
        <w:t>El marco operativo de las UIAEM de la PNC</w:t>
      </w:r>
      <w:r w:rsidR="00510B25">
        <w:rPr>
          <w:lang w:val="es-SV"/>
        </w:rPr>
        <w:t xml:space="preserve"> </w:t>
      </w:r>
      <w:r w:rsidRPr="00DE56CE">
        <w:rPr>
          <w:lang w:val="es-SV"/>
        </w:rPr>
        <w:t xml:space="preserve">contempla: Perfil de </w:t>
      </w:r>
      <w:r w:rsidR="00510B25" w:rsidRPr="00DE56CE">
        <w:rPr>
          <w:lang w:val="es-SV"/>
        </w:rPr>
        <w:t>la Unidad</w:t>
      </w:r>
      <w:r w:rsidRPr="00DE56CE">
        <w:rPr>
          <w:lang w:val="es-SV"/>
        </w:rPr>
        <w:t xml:space="preserve"> Institucional de Atención Especializada a las Mujeres en Situación de Violencia de la Oficina de Denuncia y Atención Ciudadana; Procedimiento de Abordaje: Lineamientos Policiales para el abordaje especializado de la violencia contra las mujeres; Protocolo para la Atención, Abordaje y Procedimiento policial en caso de Mujeres: Niñas, Adolescentes, Adultas y Adultas Mayores sobrevivientes de Violencia Sexual.</w:t>
      </w:r>
    </w:p>
    <w:p w14:paraId="1239C8BF" w14:textId="055DB304" w:rsidR="003710DB" w:rsidRDefault="003710DB" w:rsidP="003710DB">
      <w:pPr>
        <w:pStyle w:val="SingleTxtG"/>
        <w:tabs>
          <w:tab w:val="left" w:pos="1530"/>
        </w:tabs>
        <w:rPr>
          <w:lang w:val="es-SV"/>
        </w:rPr>
      </w:pPr>
      <w:r>
        <w:rPr>
          <w:lang w:val="es-SV"/>
        </w:rPr>
        <w:t>25.</w:t>
      </w:r>
      <w:r>
        <w:rPr>
          <w:lang w:val="es-SV"/>
        </w:rPr>
        <w:tab/>
      </w:r>
      <w:r w:rsidRPr="00DE56CE">
        <w:rPr>
          <w:lang w:val="es-SV"/>
        </w:rPr>
        <w:t>Al cierre del año 2018, la PNC informa que 179 personas están destacadas en las UIAEM (96 mujeres y 83 hombres), (Anexo 10). El presupuesto asignado para el 2018 para el funcionamiento de las UIAEM fue de</w:t>
      </w:r>
      <w:r w:rsidR="00510B25">
        <w:rPr>
          <w:lang w:val="es-SV"/>
        </w:rPr>
        <w:t xml:space="preserve"> </w:t>
      </w:r>
      <w:r w:rsidRPr="00DE56CE">
        <w:rPr>
          <w:lang w:val="es-SV"/>
        </w:rPr>
        <w:t>US $1,194,464.44, de los cuales US $1,184,464.44 corresponde a salarios y US $10,000.00 corresponde al pago de servicios y combustible.</w:t>
      </w:r>
    </w:p>
    <w:p w14:paraId="4DD7099F" w14:textId="77777777" w:rsidR="003710DB" w:rsidRDefault="003710DB" w:rsidP="003710DB">
      <w:pPr>
        <w:pStyle w:val="SingleTxtG"/>
        <w:tabs>
          <w:tab w:val="left" w:pos="1530"/>
        </w:tabs>
        <w:rPr>
          <w:lang w:val="es-SV"/>
        </w:rPr>
      </w:pPr>
      <w:r>
        <w:rPr>
          <w:lang w:val="es-SV"/>
        </w:rPr>
        <w:t>26.</w:t>
      </w:r>
      <w:r>
        <w:rPr>
          <w:lang w:val="es-SV"/>
        </w:rPr>
        <w:tab/>
      </w:r>
      <w:r w:rsidRPr="00DE56CE">
        <w:rPr>
          <w:lang w:val="es-SV"/>
        </w:rPr>
        <w:t>La PNC ha fortalecido al personal que labora en la UIAEM con los siguientes procesos de formación: Primer Curso avanzado en Derechos y Procedimientos con Mujeres en situación de Violencia, Discriminación y Delitos por razones de Género, realizado en abril de 2017, en el cual fueron formados 34 funcionarios de las UIAEM (19 mujeres y 15 hombres); Curso en Derechos y Procedimientos con Mujeres en situación de Violencia, Discriminación y Delitos por razones de Género, realizado en febrero de 2018, en el cual se formaron 35 funcionarios (20 mujeres y 15 hombres). También se han realizado dos Cursos para la Investigación Criminal de Delitos de Violencia de Género contra las Mujeres, con la participación de 50 personas (14 mujeres y 36 hombres).</w:t>
      </w:r>
    </w:p>
    <w:p w14:paraId="4D99087B" w14:textId="76A95EA4" w:rsidR="003710DB" w:rsidRDefault="003710DB" w:rsidP="003710DB">
      <w:pPr>
        <w:pStyle w:val="SingleTxtG"/>
        <w:tabs>
          <w:tab w:val="left" w:pos="1530"/>
        </w:tabs>
        <w:rPr>
          <w:lang w:val="es-SV"/>
        </w:rPr>
      </w:pPr>
      <w:r>
        <w:rPr>
          <w:lang w:val="es-SV"/>
        </w:rPr>
        <w:lastRenderedPageBreak/>
        <w:t>27.</w:t>
      </w:r>
      <w:r>
        <w:rPr>
          <w:lang w:val="es-SV"/>
        </w:rPr>
        <w:tab/>
      </w:r>
      <w:r w:rsidRPr="00DE56CE">
        <w:rPr>
          <w:lang w:val="es-SV"/>
        </w:rPr>
        <w:t>En este período la PNC</w:t>
      </w:r>
      <w:r w:rsidR="00510B25">
        <w:rPr>
          <w:lang w:val="es-SV"/>
        </w:rPr>
        <w:t xml:space="preserve"> </w:t>
      </w:r>
      <w:r w:rsidRPr="00DE56CE">
        <w:rPr>
          <w:lang w:val="es-SV"/>
        </w:rPr>
        <w:t>destaca la creación de21 Equipos Especializados de Investigación Criminal de Violencia contra la Mujer (EVIM), que complementan el trabajo que se realiza a través de las UIAEM.</w:t>
      </w:r>
    </w:p>
    <w:p w14:paraId="02E729DC" w14:textId="77777777" w:rsidR="003710DB" w:rsidRDefault="003710DB" w:rsidP="003710DB">
      <w:pPr>
        <w:pStyle w:val="SingleTxtG"/>
        <w:tabs>
          <w:tab w:val="left" w:pos="1530"/>
        </w:tabs>
        <w:rPr>
          <w:lang w:val="es-SV"/>
        </w:rPr>
      </w:pPr>
      <w:r w:rsidRPr="0046661D">
        <w:rPr>
          <w:lang w:val="es-SV"/>
        </w:rPr>
        <w:t>28.</w:t>
      </w:r>
      <w:r w:rsidRPr="0046661D">
        <w:rPr>
          <w:lang w:val="es-SV"/>
        </w:rPr>
        <w:tab/>
        <w:t>El Instituto de Medina Legal</w:t>
      </w:r>
      <w:r w:rsidRPr="00DE56CE">
        <w:rPr>
          <w:lang w:val="es-SV"/>
        </w:rPr>
        <w:t xml:space="preserve"> cuenta con dos UIAEM a nivel nacional, cuyo personal ha sido capacitado en las siguientes áreas: Prevención, atención y erradicación del acoso sexual y laboral; Análisis e interpretación de peritaje IML en los delitos sexuales; Feminicidio; Violencia intrafamiliar y Feminicidio; Autopsia psicológica; Delitos sexuales; Taller Protocolo de actuación para investigación del Feminicidio.</w:t>
      </w:r>
    </w:p>
    <w:p w14:paraId="793D81DC" w14:textId="77777777" w:rsidR="003710DB" w:rsidRDefault="003710DB" w:rsidP="003710DB">
      <w:pPr>
        <w:pStyle w:val="H23G"/>
        <w:tabs>
          <w:tab w:val="left" w:pos="1530"/>
        </w:tabs>
        <w:rPr>
          <w:lang w:val="es-SV"/>
        </w:rPr>
      </w:pPr>
      <w:r>
        <w:rPr>
          <w:lang w:val="es-SV"/>
        </w:rPr>
        <w:tab/>
      </w:r>
      <w:r>
        <w:rPr>
          <w:lang w:val="es-SV"/>
        </w:rPr>
        <w:tab/>
      </w:r>
      <w:r w:rsidRPr="00DE56CE">
        <w:rPr>
          <w:lang w:val="es-SV"/>
        </w:rPr>
        <w:t>Recomendación 17.</w:t>
      </w:r>
      <w:r>
        <w:rPr>
          <w:lang w:val="es-SV"/>
        </w:rPr>
        <w:t xml:space="preserve"> </w:t>
      </w:r>
      <w:r w:rsidRPr="00DE56CE">
        <w:rPr>
          <w:lang w:val="es-SV"/>
        </w:rPr>
        <w:t xml:space="preserve">Sobre Mecanismo Nacional para el Adelanto de la Mujer, el Comité recomienda que el Estado Parte: (a) Acelere la adopción de leyes que refuercen el rol rector del Instituto Salvadoreño para el </w:t>
      </w:r>
      <w:r>
        <w:rPr>
          <w:lang w:val="es-SV"/>
        </w:rPr>
        <w:t>Desarrollo de la Mujer (ISDEMU)</w:t>
      </w:r>
    </w:p>
    <w:p w14:paraId="47ABC3D1" w14:textId="08354DAA" w:rsidR="003710DB" w:rsidRDefault="003710DB" w:rsidP="003710DB">
      <w:pPr>
        <w:pStyle w:val="SingleTxtG"/>
        <w:tabs>
          <w:tab w:val="left" w:pos="1530"/>
        </w:tabs>
        <w:rPr>
          <w:lang w:val="es-SV"/>
        </w:rPr>
      </w:pPr>
      <w:r>
        <w:rPr>
          <w:lang w:val="es-SV"/>
        </w:rPr>
        <w:t>29.</w:t>
      </w:r>
      <w:r>
        <w:rPr>
          <w:lang w:val="es-SV"/>
        </w:rPr>
        <w:tab/>
      </w:r>
      <w:r w:rsidRPr="00DE56CE">
        <w:rPr>
          <w:lang w:val="es-SV"/>
        </w:rPr>
        <w:t>Al Estado Salvadoreño le complace informar que</w:t>
      </w:r>
      <w:r w:rsidR="00510B25">
        <w:rPr>
          <w:lang w:val="es-SV"/>
        </w:rPr>
        <w:t xml:space="preserve"> </w:t>
      </w:r>
      <w:r w:rsidRPr="00DE56CE">
        <w:rPr>
          <w:lang w:val="es-SV"/>
        </w:rPr>
        <w:t>en septiembre de 2018, a iniciativa del Presidente de la República</w:t>
      </w:r>
      <w:r w:rsidR="00510B25">
        <w:rPr>
          <w:lang w:val="es-SV"/>
        </w:rPr>
        <w:t xml:space="preserve"> </w:t>
      </w:r>
      <w:r w:rsidRPr="00DE56CE">
        <w:rPr>
          <w:lang w:val="es-SV"/>
        </w:rPr>
        <w:t>Profesor Salvador Sánchez Cerén, por medio de la Ministra de Trabajo y Previsión Social, presentó</w:t>
      </w:r>
      <w:r w:rsidR="00510B25">
        <w:rPr>
          <w:lang w:val="es-SV"/>
        </w:rPr>
        <w:t xml:space="preserve"> </w:t>
      </w:r>
      <w:r w:rsidRPr="00DE56CE">
        <w:rPr>
          <w:lang w:val="es-SV"/>
        </w:rPr>
        <w:t xml:space="preserve">el </w:t>
      </w:r>
      <w:r w:rsidRPr="00DE56CE">
        <w:rPr>
          <w:b/>
          <w:lang w:val="es-SV"/>
        </w:rPr>
        <w:t>Proyecto de Decreto Legislativo de la</w:t>
      </w:r>
      <w:r w:rsidR="00510B25">
        <w:rPr>
          <w:b/>
          <w:lang w:val="es-SV"/>
        </w:rPr>
        <w:t xml:space="preserve"> </w:t>
      </w:r>
      <w:r w:rsidRPr="00DE56CE">
        <w:rPr>
          <w:b/>
          <w:lang w:val="es-SV"/>
        </w:rPr>
        <w:t>Ley del Instituto Salvadoreño para las Mujeres</w:t>
      </w:r>
      <w:r w:rsidRPr="00434F89">
        <w:rPr>
          <w:vertAlign w:val="superscript"/>
          <w:lang w:val="es-SV"/>
        </w:rPr>
        <w:footnoteReference w:id="6"/>
      </w:r>
      <w:r w:rsidRPr="00DE56CE">
        <w:rPr>
          <w:lang w:val="es-SV"/>
        </w:rPr>
        <w:t>, el cual desarrolla la creación del Instituto Salvadoreño para las Mujeres (IMUJERES), como institución rectora para el avance de los derechos de las mujeres y tendrá por objeto velar por la incorporación sistemática del principio de transversalidad de la igualdad y no discriminación, así como el derecho a una vida libre de violencia para las mujeres.</w:t>
      </w:r>
    </w:p>
    <w:p w14:paraId="23841340" w14:textId="04135A39" w:rsidR="003710DB" w:rsidRDefault="003710DB" w:rsidP="003710DB">
      <w:pPr>
        <w:pStyle w:val="SingleTxtG"/>
        <w:tabs>
          <w:tab w:val="left" w:pos="1530"/>
        </w:tabs>
        <w:rPr>
          <w:lang w:val="es-SV"/>
        </w:rPr>
      </w:pPr>
      <w:r>
        <w:rPr>
          <w:lang w:val="es-SV"/>
        </w:rPr>
        <w:t>30.</w:t>
      </w:r>
      <w:r>
        <w:rPr>
          <w:lang w:val="es-SV"/>
        </w:rPr>
        <w:tab/>
      </w:r>
      <w:r w:rsidRPr="00DE56CE">
        <w:rPr>
          <w:lang w:val="es-SV"/>
        </w:rPr>
        <w:t>La actual Ley del Instituto Salvadoreño para el Desarrollo de la Mujer, emitida por Decreto Legislativo No. 644, de fecha 29 de febrero de 1996, atribuye funciones que requieren ser armonizadas y actualizadas, con el propósito de garantizar el cumplimiento de las atribuciones y responsabilidades derivadas de las siguientes leyes: LIE, LEIV, así como la Ley contra la Violencia Intrafamiliar. Por ello, es necesario la emisión de una nueva ley que reoriente las atribuciones que</w:t>
      </w:r>
      <w:r w:rsidR="00510B25">
        <w:rPr>
          <w:lang w:val="es-SV"/>
        </w:rPr>
        <w:t xml:space="preserve"> </w:t>
      </w:r>
      <w:r w:rsidRPr="00DE56CE">
        <w:rPr>
          <w:lang w:val="es-SV"/>
        </w:rPr>
        <w:t xml:space="preserve">ahora se confieren al IMUJERES. En ese sentido, se propone mediante el </w:t>
      </w:r>
      <w:r w:rsidRPr="00DE56CE">
        <w:rPr>
          <w:b/>
          <w:lang w:val="es-SV"/>
        </w:rPr>
        <w:t xml:space="preserve">Proyecto de Decreto Legislativo de </w:t>
      </w:r>
      <w:r w:rsidR="00510B25" w:rsidRPr="00DE56CE">
        <w:rPr>
          <w:b/>
          <w:lang w:val="es-SV"/>
        </w:rPr>
        <w:t>la Ley</w:t>
      </w:r>
      <w:r w:rsidRPr="00DE56CE">
        <w:rPr>
          <w:b/>
          <w:lang w:val="es-SV"/>
        </w:rPr>
        <w:t xml:space="preserve"> del Instituto Salvadoreño para las Mujeres,</w:t>
      </w:r>
      <w:r w:rsidRPr="00DE56CE">
        <w:rPr>
          <w:lang w:val="es-SV"/>
        </w:rPr>
        <w:t xml:space="preserve"> crear una institución de derecho público, con autonomía en lo técnico, financiero y administrativo, dotado de personalidad jurídica y patrimonio propio. A la fecha, el Proyecto de Ley se encuentra aún en estudio por parte de la Asamblea Legislativa, para su oportun</w:t>
      </w:r>
      <w:r>
        <w:rPr>
          <w:lang w:val="es-SV"/>
        </w:rPr>
        <w:t>a aprobación conforme a derecho</w:t>
      </w:r>
      <w:r w:rsidRPr="00DE56CE">
        <w:rPr>
          <w:vertAlign w:val="superscript"/>
          <w:lang w:val="es-SV"/>
        </w:rPr>
        <w:footnoteReference w:id="7"/>
      </w:r>
      <w:r>
        <w:rPr>
          <w:lang w:val="es-SV"/>
        </w:rPr>
        <w:t>.</w:t>
      </w:r>
    </w:p>
    <w:p w14:paraId="1CE34E6D" w14:textId="77777777" w:rsidR="003710DB" w:rsidRPr="00F57613" w:rsidRDefault="003710DB" w:rsidP="003710DB">
      <w:pPr>
        <w:pStyle w:val="H23G"/>
        <w:tabs>
          <w:tab w:val="left" w:pos="1530"/>
        </w:tabs>
      </w:pPr>
      <w:r>
        <w:rPr>
          <w:lang w:val="es-SV"/>
        </w:rPr>
        <w:tab/>
      </w:r>
      <w:r>
        <w:rPr>
          <w:lang w:val="es-SV"/>
        </w:rPr>
        <w:tab/>
      </w:r>
      <w:r w:rsidRPr="00DE56CE">
        <w:rPr>
          <w:lang w:val="es-SV"/>
        </w:rPr>
        <w:t>Recomendación 17.</w:t>
      </w:r>
      <w:r>
        <w:rPr>
          <w:lang w:val="es-SV"/>
        </w:rPr>
        <w:t xml:space="preserve"> </w:t>
      </w:r>
      <w:r w:rsidRPr="00DE56CE">
        <w:rPr>
          <w:lang w:val="es-SV"/>
        </w:rPr>
        <w:t xml:space="preserve">Sobre Mecanismo </w:t>
      </w:r>
      <w:r w:rsidRPr="00F57613">
        <w:t>Nacional para el Adelanto de la Mujer, el Comité recomienda que el Estado Parte: (c) Continúe fortaleciendo al ISDEMU, proporcionándole los recursos humanos, técnicos y financieros necesarios para asegurar la efectiva coordinación e implementación de políticas públicas para el adelanto de la mujer y, en particular, para cumplir con su mandato en e</w:t>
      </w:r>
      <w:r>
        <w:t>l área de recopilación de datos</w:t>
      </w:r>
    </w:p>
    <w:p w14:paraId="57446CB6" w14:textId="1A02E635" w:rsidR="003710DB" w:rsidRPr="00DE56CE" w:rsidRDefault="003710DB" w:rsidP="003710DB">
      <w:pPr>
        <w:pStyle w:val="SingleTxtG"/>
        <w:tabs>
          <w:tab w:val="left" w:pos="1530"/>
        </w:tabs>
        <w:rPr>
          <w:lang w:val="es-SV"/>
        </w:rPr>
      </w:pPr>
      <w:r>
        <w:rPr>
          <w:lang w:val="es-SV"/>
        </w:rPr>
        <w:t>31.</w:t>
      </w:r>
      <w:r>
        <w:rPr>
          <w:lang w:val="es-SV"/>
        </w:rPr>
        <w:tab/>
      </w:r>
      <w:r w:rsidRPr="00DE56CE">
        <w:rPr>
          <w:lang w:val="es-SV"/>
        </w:rPr>
        <w:t xml:space="preserve">El Estado Salvadoreño informa </w:t>
      </w:r>
      <w:r w:rsidR="00510B25" w:rsidRPr="00DE56CE">
        <w:rPr>
          <w:lang w:val="es-SV"/>
        </w:rPr>
        <w:t>que durante</w:t>
      </w:r>
      <w:r w:rsidRPr="00DE56CE">
        <w:rPr>
          <w:lang w:val="es-SV"/>
        </w:rPr>
        <w:t xml:space="preserve"> el período 2017-2018, el ISDEMU ha mantenido un promedio de doscientos sesenta personas empleadas, de las cuales el 90% son mujeres y el 20% son </w:t>
      </w:r>
      <w:r w:rsidR="00510B25" w:rsidRPr="00DE56CE">
        <w:rPr>
          <w:lang w:val="es-SV"/>
        </w:rPr>
        <w:t>hombres. Para</w:t>
      </w:r>
      <w:r w:rsidRPr="00DE56CE">
        <w:rPr>
          <w:lang w:val="es-SV"/>
        </w:rPr>
        <w:t xml:space="preserve"> el cierre del 2018, el 51% del personal desempeña labores técnicas de rectoría; el 4% son especialistas; el 11% es personal de gerencias, jefaturas de área y coordinadoras departamentales; el 24% es personal administrativo y el 10% personal operativo. En </w:t>
      </w:r>
      <w:r w:rsidR="00510B25" w:rsidRPr="00DE56CE">
        <w:rPr>
          <w:lang w:val="es-SV"/>
        </w:rPr>
        <w:t>el ejercicio</w:t>
      </w:r>
      <w:r w:rsidRPr="00DE56CE">
        <w:rPr>
          <w:lang w:val="es-SV"/>
        </w:rPr>
        <w:t xml:space="preserve"> fiscal 2019, con excepción de la Directora Ejecutiva, el 100% del </w:t>
      </w:r>
      <w:r w:rsidRPr="00DE56CE">
        <w:rPr>
          <w:lang w:val="es-SV"/>
        </w:rPr>
        <w:lastRenderedPageBreak/>
        <w:t>personal se encuentra contratado por el régimen de Ley de Salarios, lo que da estabilidad laboral al personal permitiendo la cualificación del personal y la continuidad de los procesos de trabajo.</w:t>
      </w:r>
    </w:p>
    <w:p w14:paraId="770B5609" w14:textId="2C7D2D1F" w:rsidR="003710DB" w:rsidRPr="00DE56CE" w:rsidRDefault="003710DB" w:rsidP="003710DB">
      <w:pPr>
        <w:pStyle w:val="SingleTxtG"/>
        <w:tabs>
          <w:tab w:val="left" w:pos="1530"/>
        </w:tabs>
        <w:rPr>
          <w:b/>
          <w:lang w:val="es-SV"/>
        </w:rPr>
      </w:pPr>
      <w:r>
        <w:rPr>
          <w:lang w:val="es-SV"/>
        </w:rPr>
        <w:t>32.</w:t>
      </w:r>
      <w:r>
        <w:rPr>
          <w:lang w:val="es-SV"/>
        </w:rPr>
        <w:tab/>
      </w:r>
      <w:r w:rsidRPr="00DE56CE">
        <w:rPr>
          <w:lang w:val="es-SV"/>
        </w:rPr>
        <w:t xml:space="preserve">El presupuesto institucional durante el período 2014-2018 mantuvo una constante, con muy leves variaciones de cinco millones cien mil dólares. Con el propósito de fortalecer la capacidad institucional, para el año 2019, el Estado parte le complace informar que la Asamblea Legislativa aprobó un incremento de setecientos mil dólares adicionales, que </w:t>
      </w:r>
      <w:r w:rsidR="00510B25" w:rsidRPr="00DE56CE">
        <w:rPr>
          <w:lang w:val="es-SV"/>
        </w:rPr>
        <w:t>representa un</w:t>
      </w:r>
      <w:r w:rsidRPr="00DE56CE">
        <w:rPr>
          <w:lang w:val="es-SV"/>
        </w:rPr>
        <w:t xml:space="preserve"> 13.6%, tal como se detalla en la tabla a continuación: </w:t>
      </w:r>
    </w:p>
    <w:p w14:paraId="08F081E5" w14:textId="77777777" w:rsidR="003710DB" w:rsidRPr="003710DB" w:rsidRDefault="003710DB" w:rsidP="003710DB">
      <w:pPr>
        <w:pStyle w:val="SingleTxtG"/>
        <w:tabs>
          <w:tab w:val="left" w:pos="1530"/>
        </w:tabs>
        <w:rPr>
          <w:rFonts w:asciiTheme="majorBidi" w:hAnsiTheme="majorBidi" w:cstheme="majorBidi"/>
          <w:lang w:val="es-SV"/>
        </w:rPr>
      </w:pPr>
      <w:r w:rsidRPr="003710DB">
        <w:rPr>
          <w:rFonts w:asciiTheme="majorBidi" w:hAnsiTheme="majorBidi" w:cstheme="majorBidi"/>
          <w:lang w:val="es-SV"/>
        </w:rPr>
        <w:t>Tabla No. 4</w:t>
      </w:r>
    </w:p>
    <w:p w14:paraId="0DB3F3F4" w14:textId="77777777" w:rsidR="003710DB" w:rsidRPr="00DE56CE" w:rsidRDefault="003710DB" w:rsidP="003710DB">
      <w:pPr>
        <w:pStyle w:val="SingleTxtG"/>
        <w:tabs>
          <w:tab w:val="left" w:pos="1530"/>
        </w:tabs>
        <w:spacing w:after="0"/>
        <w:rPr>
          <w:b/>
          <w:lang w:val="es-SV"/>
        </w:rPr>
      </w:pPr>
      <w:r w:rsidRPr="00DE56CE">
        <w:rPr>
          <w:b/>
          <w:lang w:val="es-SV"/>
        </w:rPr>
        <w:t>Presupuesto ISDEMU</w:t>
      </w:r>
    </w:p>
    <w:p w14:paraId="4BA28F3D" w14:textId="77777777" w:rsidR="003710DB" w:rsidRPr="00CB556E" w:rsidRDefault="003710DB" w:rsidP="003710DB">
      <w:pPr>
        <w:pStyle w:val="SingleTxtG"/>
        <w:tabs>
          <w:tab w:val="left" w:pos="1530"/>
        </w:tabs>
        <w:rPr>
          <w:sz w:val="16"/>
          <w:szCs w:val="16"/>
          <w:lang w:val="es-SV"/>
        </w:rPr>
      </w:pPr>
      <w:r w:rsidRPr="00CB556E">
        <w:rPr>
          <w:sz w:val="16"/>
          <w:szCs w:val="16"/>
          <w:lang w:val="es-SV"/>
        </w:rPr>
        <w:t>Recursos del Presupuesto General de la Nación 2017-2019</w:t>
      </w:r>
    </w:p>
    <w:tbl>
      <w:tblPr>
        <w:tblW w:w="7370" w:type="dxa"/>
        <w:tblInd w:w="1134" w:type="dxa"/>
        <w:tblLayout w:type="fixed"/>
        <w:tblCellMar>
          <w:left w:w="0" w:type="dxa"/>
          <w:right w:w="0" w:type="dxa"/>
        </w:tblCellMar>
        <w:tblLook w:val="04A0" w:firstRow="1" w:lastRow="0" w:firstColumn="1" w:lastColumn="0" w:noHBand="0" w:noVBand="1"/>
      </w:tblPr>
      <w:tblGrid>
        <w:gridCol w:w="1796"/>
        <w:gridCol w:w="1858"/>
        <w:gridCol w:w="1858"/>
        <w:gridCol w:w="1858"/>
      </w:tblGrid>
      <w:tr w:rsidR="003710DB" w:rsidRPr="00D66AC7" w14:paraId="7B5D27A1" w14:textId="77777777" w:rsidTr="005F7E69">
        <w:trPr>
          <w:tblHeader/>
        </w:trPr>
        <w:tc>
          <w:tcPr>
            <w:tcW w:w="2507" w:type="dxa"/>
            <w:tcBorders>
              <w:top w:val="single" w:sz="4" w:space="0" w:color="auto"/>
              <w:bottom w:val="single" w:sz="12" w:space="0" w:color="auto"/>
            </w:tcBorders>
            <w:shd w:val="clear" w:color="auto" w:fill="auto"/>
            <w:noWrap/>
            <w:vAlign w:val="bottom"/>
            <w:hideMark/>
          </w:tcPr>
          <w:p w14:paraId="365DE875" w14:textId="77777777" w:rsidR="003710DB" w:rsidRPr="00D66AC7" w:rsidRDefault="003710DB" w:rsidP="003710DB">
            <w:pPr>
              <w:pStyle w:val="SingleTxtG"/>
              <w:tabs>
                <w:tab w:val="left" w:pos="1530"/>
              </w:tabs>
              <w:suppressAutoHyphens w:val="0"/>
              <w:spacing w:before="80" w:after="80" w:line="200" w:lineRule="exact"/>
              <w:ind w:left="0" w:right="0"/>
              <w:jc w:val="left"/>
              <w:rPr>
                <w:i/>
                <w:sz w:val="16"/>
                <w:lang w:val="es-SV"/>
              </w:rPr>
            </w:pPr>
            <w:r w:rsidRPr="00D66AC7">
              <w:rPr>
                <w:i/>
                <w:sz w:val="16"/>
                <w:lang w:val="es-SV"/>
              </w:rPr>
              <w:t>Tipo de gasto</w:t>
            </w:r>
          </w:p>
        </w:tc>
        <w:tc>
          <w:tcPr>
            <w:tcW w:w="2591" w:type="dxa"/>
            <w:tcBorders>
              <w:top w:val="single" w:sz="4" w:space="0" w:color="auto"/>
              <w:bottom w:val="single" w:sz="12" w:space="0" w:color="auto"/>
            </w:tcBorders>
            <w:shd w:val="clear" w:color="auto" w:fill="auto"/>
            <w:noWrap/>
            <w:vAlign w:val="bottom"/>
            <w:hideMark/>
          </w:tcPr>
          <w:p w14:paraId="4BABAD6A" w14:textId="77777777" w:rsidR="003710DB" w:rsidRPr="00D66AC7" w:rsidRDefault="003710DB" w:rsidP="003710DB">
            <w:pPr>
              <w:pStyle w:val="SingleTxtG"/>
              <w:tabs>
                <w:tab w:val="left" w:pos="1530"/>
              </w:tabs>
              <w:suppressAutoHyphens w:val="0"/>
              <w:spacing w:before="80" w:after="80" w:line="200" w:lineRule="exact"/>
              <w:ind w:left="0" w:right="0"/>
              <w:jc w:val="right"/>
              <w:rPr>
                <w:i/>
                <w:sz w:val="16"/>
                <w:lang w:val="es-SV"/>
              </w:rPr>
            </w:pPr>
            <w:r w:rsidRPr="00D66AC7">
              <w:rPr>
                <w:i/>
                <w:sz w:val="16"/>
                <w:lang w:val="es-SV"/>
              </w:rPr>
              <w:t>2017</w:t>
            </w:r>
          </w:p>
        </w:tc>
        <w:tc>
          <w:tcPr>
            <w:tcW w:w="2591" w:type="dxa"/>
            <w:tcBorders>
              <w:top w:val="single" w:sz="4" w:space="0" w:color="auto"/>
              <w:bottom w:val="single" w:sz="12" w:space="0" w:color="auto"/>
            </w:tcBorders>
            <w:shd w:val="clear" w:color="auto" w:fill="auto"/>
            <w:noWrap/>
            <w:vAlign w:val="bottom"/>
            <w:hideMark/>
          </w:tcPr>
          <w:p w14:paraId="14289E57" w14:textId="77777777" w:rsidR="003710DB" w:rsidRPr="00D66AC7" w:rsidRDefault="003710DB" w:rsidP="003710DB">
            <w:pPr>
              <w:pStyle w:val="SingleTxtG"/>
              <w:tabs>
                <w:tab w:val="left" w:pos="1530"/>
              </w:tabs>
              <w:suppressAutoHyphens w:val="0"/>
              <w:spacing w:before="80" w:after="80" w:line="200" w:lineRule="exact"/>
              <w:ind w:left="0" w:right="0"/>
              <w:jc w:val="right"/>
              <w:rPr>
                <w:i/>
                <w:sz w:val="16"/>
                <w:lang w:val="es-SV"/>
              </w:rPr>
            </w:pPr>
            <w:r w:rsidRPr="00D66AC7">
              <w:rPr>
                <w:i/>
                <w:sz w:val="16"/>
                <w:lang w:val="es-SV"/>
              </w:rPr>
              <w:t>2018</w:t>
            </w:r>
          </w:p>
        </w:tc>
        <w:tc>
          <w:tcPr>
            <w:tcW w:w="2591" w:type="dxa"/>
            <w:tcBorders>
              <w:top w:val="single" w:sz="4" w:space="0" w:color="auto"/>
              <w:bottom w:val="single" w:sz="12" w:space="0" w:color="auto"/>
            </w:tcBorders>
            <w:shd w:val="clear" w:color="auto" w:fill="auto"/>
            <w:noWrap/>
            <w:vAlign w:val="bottom"/>
            <w:hideMark/>
          </w:tcPr>
          <w:p w14:paraId="754F397B" w14:textId="77777777" w:rsidR="003710DB" w:rsidRPr="00D66AC7" w:rsidRDefault="003710DB" w:rsidP="003710DB">
            <w:pPr>
              <w:pStyle w:val="SingleTxtG"/>
              <w:tabs>
                <w:tab w:val="left" w:pos="1530"/>
              </w:tabs>
              <w:suppressAutoHyphens w:val="0"/>
              <w:spacing w:before="80" w:after="80" w:line="200" w:lineRule="exact"/>
              <w:ind w:left="0" w:right="0"/>
              <w:jc w:val="right"/>
              <w:rPr>
                <w:i/>
                <w:sz w:val="16"/>
                <w:lang w:val="es-SV"/>
              </w:rPr>
            </w:pPr>
            <w:r w:rsidRPr="00D66AC7">
              <w:rPr>
                <w:i/>
                <w:sz w:val="16"/>
                <w:lang w:val="es-SV"/>
              </w:rPr>
              <w:t>2019</w:t>
            </w:r>
          </w:p>
        </w:tc>
      </w:tr>
      <w:tr w:rsidR="003710DB" w:rsidRPr="00D66AC7" w14:paraId="2E211B0D" w14:textId="77777777" w:rsidTr="005F7E69">
        <w:tc>
          <w:tcPr>
            <w:tcW w:w="2507" w:type="dxa"/>
            <w:tcBorders>
              <w:top w:val="single" w:sz="12" w:space="0" w:color="auto"/>
            </w:tcBorders>
            <w:shd w:val="clear" w:color="auto" w:fill="auto"/>
            <w:noWrap/>
            <w:hideMark/>
          </w:tcPr>
          <w:p w14:paraId="3FC646BF"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Gastos corrientes</w:t>
            </w:r>
          </w:p>
        </w:tc>
        <w:tc>
          <w:tcPr>
            <w:tcW w:w="2591" w:type="dxa"/>
            <w:tcBorders>
              <w:top w:val="single" w:sz="12" w:space="0" w:color="auto"/>
            </w:tcBorders>
            <w:shd w:val="clear" w:color="auto" w:fill="auto"/>
            <w:noWrap/>
            <w:vAlign w:val="bottom"/>
            <w:hideMark/>
          </w:tcPr>
          <w:p w14:paraId="3494DF96"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$5143,445</w:t>
            </w:r>
          </w:p>
        </w:tc>
        <w:tc>
          <w:tcPr>
            <w:tcW w:w="2591" w:type="dxa"/>
            <w:tcBorders>
              <w:top w:val="single" w:sz="12" w:space="0" w:color="auto"/>
            </w:tcBorders>
            <w:shd w:val="clear" w:color="auto" w:fill="auto"/>
            <w:noWrap/>
            <w:vAlign w:val="bottom"/>
            <w:hideMark/>
          </w:tcPr>
          <w:p w14:paraId="4E523AEF"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$5163,155</w:t>
            </w:r>
          </w:p>
        </w:tc>
        <w:tc>
          <w:tcPr>
            <w:tcW w:w="2591" w:type="dxa"/>
            <w:tcBorders>
              <w:top w:val="single" w:sz="12" w:space="0" w:color="auto"/>
            </w:tcBorders>
            <w:shd w:val="clear" w:color="auto" w:fill="auto"/>
            <w:noWrap/>
            <w:vAlign w:val="bottom"/>
            <w:hideMark/>
          </w:tcPr>
          <w:p w14:paraId="43ABBA91"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$5864,860</w:t>
            </w:r>
          </w:p>
        </w:tc>
      </w:tr>
      <w:tr w:rsidR="003710DB" w:rsidRPr="00D66AC7" w14:paraId="56F27064" w14:textId="77777777" w:rsidTr="005F7E69">
        <w:tc>
          <w:tcPr>
            <w:tcW w:w="2507" w:type="dxa"/>
            <w:tcBorders>
              <w:bottom w:val="single" w:sz="4" w:space="0" w:color="auto"/>
            </w:tcBorders>
            <w:shd w:val="clear" w:color="auto" w:fill="auto"/>
            <w:noWrap/>
            <w:hideMark/>
          </w:tcPr>
          <w:p w14:paraId="47179B69" w14:textId="77777777" w:rsidR="003710DB" w:rsidRPr="00D66AC7" w:rsidRDefault="003710DB" w:rsidP="003710DB">
            <w:pPr>
              <w:pStyle w:val="SingleTxtG"/>
              <w:tabs>
                <w:tab w:val="left" w:pos="1530"/>
              </w:tabs>
              <w:suppressAutoHyphens w:val="0"/>
              <w:spacing w:before="40" w:after="40" w:line="220" w:lineRule="exact"/>
              <w:ind w:left="0" w:right="0"/>
              <w:jc w:val="left"/>
              <w:rPr>
                <w:sz w:val="18"/>
                <w:lang w:val="es-SV"/>
              </w:rPr>
            </w:pPr>
            <w:r w:rsidRPr="00D66AC7">
              <w:rPr>
                <w:sz w:val="18"/>
                <w:lang w:val="es-SV"/>
              </w:rPr>
              <w:t>Proyectos de inversión</w:t>
            </w:r>
          </w:p>
        </w:tc>
        <w:tc>
          <w:tcPr>
            <w:tcW w:w="2591" w:type="dxa"/>
            <w:tcBorders>
              <w:bottom w:val="single" w:sz="4" w:space="0" w:color="auto"/>
            </w:tcBorders>
            <w:shd w:val="clear" w:color="auto" w:fill="auto"/>
            <w:noWrap/>
            <w:vAlign w:val="bottom"/>
            <w:hideMark/>
          </w:tcPr>
          <w:p w14:paraId="6FB1F53E"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$180,000</w:t>
            </w:r>
          </w:p>
        </w:tc>
        <w:tc>
          <w:tcPr>
            <w:tcW w:w="2591" w:type="dxa"/>
            <w:tcBorders>
              <w:bottom w:val="single" w:sz="4" w:space="0" w:color="auto"/>
            </w:tcBorders>
            <w:shd w:val="clear" w:color="auto" w:fill="auto"/>
            <w:noWrap/>
            <w:vAlign w:val="bottom"/>
            <w:hideMark/>
          </w:tcPr>
          <w:p w14:paraId="191A2D28"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$43,000</w:t>
            </w:r>
          </w:p>
        </w:tc>
        <w:tc>
          <w:tcPr>
            <w:tcW w:w="2591" w:type="dxa"/>
            <w:tcBorders>
              <w:bottom w:val="single" w:sz="4" w:space="0" w:color="auto"/>
            </w:tcBorders>
            <w:shd w:val="clear" w:color="auto" w:fill="auto"/>
            <w:noWrap/>
            <w:vAlign w:val="bottom"/>
            <w:hideMark/>
          </w:tcPr>
          <w:p w14:paraId="1C432516" w14:textId="77777777" w:rsidR="003710DB" w:rsidRPr="00D66AC7" w:rsidRDefault="003710DB" w:rsidP="003710DB">
            <w:pPr>
              <w:pStyle w:val="SingleTxtG"/>
              <w:tabs>
                <w:tab w:val="left" w:pos="1530"/>
              </w:tabs>
              <w:suppressAutoHyphens w:val="0"/>
              <w:spacing w:before="40" w:after="40" w:line="220" w:lineRule="exact"/>
              <w:ind w:left="0" w:right="0"/>
              <w:jc w:val="right"/>
              <w:rPr>
                <w:sz w:val="18"/>
                <w:lang w:val="es-SV"/>
              </w:rPr>
            </w:pPr>
            <w:r w:rsidRPr="00D66AC7">
              <w:rPr>
                <w:sz w:val="18"/>
                <w:lang w:val="es-SV"/>
              </w:rPr>
              <w:t>$300,000</w:t>
            </w:r>
          </w:p>
        </w:tc>
      </w:tr>
      <w:tr w:rsidR="003710DB" w:rsidRPr="00BB5C7A" w14:paraId="078FF132" w14:textId="77777777" w:rsidTr="005F7E69">
        <w:tc>
          <w:tcPr>
            <w:tcW w:w="2507" w:type="dxa"/>
            <w:tcBorders>
              <w:top w:val="single" w:sz="4" w:space="0" w:color="auto"/>
              <w:bottom w:val="single" w:sz="12" w:space="0" w:color="auto"/>
            </w:tcBorders>
            <w:shd w:val="clear" w:color="auto" w:fill="auto"/>
            <w:noWrap/>
            <w:hideMark/>
          </w:tcPr>
          <w:p w14:paraId="2DCE9D65" w14:textId="77777777" w:rsidR="003710DB" w:rsidRPr="00BB5C7A" w:rsidRDefault="003710DB" w:rsidP="003710DB">
            <w:pPr>
              <w:pStyle w:val="SingleTxtG"/>
              <w:tabs>
                <w:tab w:val="left" w:pos="1530"/>
              </w:tabs>
              <w:suppressAutoHyphens w:val="0"/>
              <w:spacing w:before="80" w:after="80" w:line="220" w:lineRule="exact"/>
              <w:ind w:left="283" w:right="0"/>
              <w:jc w:val="left"/>
              <w:rPr>
                <w:b/>
                <w:sz w:val="18"/>
                <w:lang w:val="es-SV"/>
              </w:rPr>
            </w:pPr>
            <w:r w:rsidRPr="00BB5C7A">
              <w:rPr>
                <w:b/>
                <w:sz w:val="18"/>
                <w:lang w:val="es-SV"/>
              </w:rPr>
              <w:t>Total</w:t>
            </w:r>
          </w:p>
        </w:tc>
        <w:tc>
          <w:tcPr>
            <w:tcW w:w="2591" w:type="dxa"/>
            <w:tcBorders>
              <w:top w:val="single" w:sz="4" w:space="0" w:color="auto"/>
              <w:bottom w:val="single" w:sz="12" w:space="0" w:color="auto"/>
            </w:tcBorders>
            <w:shd w:val="clear" w:color="auto" w:fill="auto"/>
            <w:noWrap/>
            <w:vAlign w:val="bottom"/>
            <w:hideMark/>
          </w:tcPr>
          <w:p w14:paraId="6A790933" w14:textId="77777777" w:rsidR="003710DB" w:rsidRPr="00BB5C7A" w:rsidRDefault="003710DB" w:rsidP="003710DB">
            <w:pPr>
              <w:pStyle w:val="SingleTxtG"/>
              <w:tabs>
                <w:tab w:val="left" w:pos="1530"/>
              </w:tabs>
              <w:suppressAutoHyphens w:val="0"/>
              <w:spacing w:before="80" w:after="80" w:line="220" w:lineRule="exact"/>
              <w:ind w:left="0" w:right="0"/>
              <w:jc w:val="right"/>
              <w:rPr>
                <w:b/>
                <w:sz w:val="18"/>
                <w:lang w:val="es-SV"/>
              </w:rPr>
            </w:pPr>
            <w:r w:rsidRPr="00BB5C7A">
              <w:rPr>
                <w:b/>
                <w:sz w:val="18"/>
                <w:lang w:val="es-SV"/>
              </w:rPr>
              <w:t>$5,325,462</w:t>
            </w:r>
          </w:p>
        </w:tc>
        <w:tc>
          <w:tcPr>
            <w:tcW w:w="2591" w:type="dxa"/>
            <w:tcBorders>
              <w:top w:val="single" w:sz="4" w:space="0" w:color="auto"/>
              <w:bottom w:val="single" w:sz="12" w:space="0" w:color="auto"/>
            </w:tcBorders>
            <w:shd w:val="clear" w:color="auto" w:fill="auto"/>
            <w:noWrap/>
            <w:vAlign w:val="bottom"/>
            <w:hideMark/>
          </w:tcPr>
          <w:p w14:paraId="4062DDBE" w14:textId="77777777" w:rsidR="003710DB" w:rsidRPr="00BB5C7A" w:rsidRDefault="003710DB" w:rsidP="003710DB">
            <w:pPr>
              <w:pStyle w:val="SingleTxtG"/>
              <w:tabs>
                <w:tab w:val="left" w:pos="1530"/>
              </w:tabs>
              <w:suppressAutoHyphens w:val="0"/>
              <w:spacing w:before="80" w:after="80" w:line="220" w:lineRule="exact"/>
              <w:ind w:left="0" w:right="0"/>
              <w:jc w:val="right"/>
              <w:rPr>
                <w:b/>
                <w:sz w:val="18"/>
                <w:lang w:val="es-SV"/>
              </w:rPr>
            </w:pPr>
            <w:r w:rsidRPr="00BB5C7A">
              <w:rPr>
                <w:b/>
                <w:sz w:val="18"/>
                <w:lang w:val="es-SV"/>
              </w:rPr>
              <w:t>$5,208,173</w:t>
            </w:r>
          </w:p>
        </w:tc>
        <w:tc>
          <w:tcPr>
            <w:tcW w:w="2591" w:type="dxa"/>
            <w:tcBorders>
              <w:top w:val="single" w:sz="4" w:space="0" w:color="auto"/>
              <w:bottom w:val="single" w:sz="12" w:space="0" w:color="auto"/>
            </w:tcBorders>
            <w:shd w:val="clear" w:color="auto" w:fill="auto"/>
            <w:noWrap/>
            <w:vAlign w:val="bottom"/>
            <w:hideMark/>
          </w:tcPr>
          <w:p w14:paraId="2BE1914D" w14:textId="77777777" w:rsidR="003710DB" w:rsidRPr="00BB5C7A" w:rsidRDefault="003710DB" w:rsidP="003710DB">
            <w:pPr>
              <w:pStyle w:val="SingleTxtG"/>
              <w:tabs>
                <w:tab w:val="left" w:pos="1530"/>
              </w:tabs>
              <w:suppressAutoHyphens w:val="0"/>
              <w:spacing w:before="80" w:after="80" w:line="220" w:lineRule="exact"/>
              <w:ind w:left="0" w:right="0"/>
              <w:jc w:val="right"/>
              <w:rPr>
                <w:b/>
                <w:sz w:val="18"/>
                <w:lang w:val="es-SV"/>
              </w:rPr>
            </w:pPr>
            <w:r w:rsidRPr="00BB5C7A">
              <w:rPr>
                <w:b/>
                <w:sz w:val="18"/>
                <w:lang w:val="es-SV"/>
              </w:rPr>
              <w:t>$6,166,879</w:t>
            </w:r>
          </w:p>
        </w:tc>
      </w:tr>
    </w:tbl>
    <w:p w14:paraId="3824C3D0" w14:textId="77777777" w:rsidR="003710DB" w:rsidRPr="00D66AC7" w:rsidRDefault="003710DB" w:rsidP="003710DB">
      <w:pPr>
        <w:pStyle w:val="NormalG"/>
        <w:tabs>
          <w:tab w:val="left" w:pos="1530"/>
        </w:tabs>
        <w:spacing w:before="120" w:line="220" w:lineRule="exact"/>
        <w:ind w:left="1134" w:right="1134" w:firstLine="170"/>
        <w:rPr>
          <w:sz w:val="18"/>
          <w:lang w:val="es-SV"/>
        </w:rPr>
      </w:pPr>
      <w:r w:rsidRPr="00A6674D">
        <w:rPr>
          <w:i/>
          <w:sz w:val="18"/>
          <w:szCs w:val="18"/>
        </w:rPr>
        <w:t>Fuente</w:t>
      </w:r>
      <w:r w:rsidRPr="00D66AC7">
        <w:rPr>
          <w:sz w:val="18"/>
          <w:lang w:val="es-SV"/>
        </w:rPr>
        <w:t xml:space="preserve">: ISDEMU. Elaboración propia con base a registros administrativos (2017-2019). </w:t>
      </w:r>
    </w:p>
    <w:p w14:paraId="7578C253" w14:textId="77777777" w:rsidR="003710DB" w:rsidRDefault="003710DB" w:rsidP="003710DB">
      <w:pPr>
        <w:pStyle w:val="SingleTxtG"/>
        <w:tabs>
          <w:tab w:val="left" w:pos="1530"/>
        </w:tabs>
        <w:spacing w:before="240"/>
        <w:rPr>
          <w:lang w:val="es-SV"/>
        </w:rPr>
      </w:pPr>
      <w:r>
        <w:rPr>
          <w:lang w:val="es-SV"/>
        </w:rPr>
        <w:t>33.</w:t>
      </w:r>
      <w:r>
        <w:rPr>
          <w:lang w:val="es-SV"/>
        </w:rPr>
        <w:tab/>
      </w:r>
      <w:r w:rsidRPr="00DE56CE">
        <w:rPr>
          <w:lang w:val="es-SV"/>
        </w:rPr>
        <w:t>Al Estado Salvadoreño le complace informar que en cumplimiento a las recomendaciones del Comité de la CEDAW, el ISDEMU en 2017 crea la Coordinación de Planificación, con responsabilidades de coordinación técnica del proceso de planificación institucional y dar seguimiento al Sistema de Información y Estadísticas Institucionales.</w:t>
      </w:r>
      <w:r>
        <w:rPr>
          <w:lang w:val="es-SV"/>
        </w:rPr>
        <w:t xml:space="preserve"> </w:t>
      </w:r>
      <w:r w:rsidRPr="00DE56CE">
        <w:rPr>
          <w:lang w:val="es-SV"/>
        </w:rPr>
        <w:t>En dicha unidad, laboran a tiempo completo tres personas.</w:t>
      </w:r>
    </w:p>
    <w:p w14:paraId="34C3DA19" w14:textId="490B9C4A" w:rsidR="003710DB" w:rsidRDefault="003710DB" w:rsidP="003710DB">
      <w:pPr>
        <w:pStyle w:val="SingleTxtG"/>
        <w:tabs>
          <w:tab w:val="left" w:pos="1530"/>
        </w:tabs>
        <w:rPr>
          <w:rStyle w:val="Hyperlink"/>
          <w:b/>
          <w:lang w:val="es-SV"/>
        </w:rPr>
      </w:pPr>
      <w:r>
        <w:rPr>
          <w:lang w:val="es-SV"/>
        </w:rPr>
        <w:t>34.</w:t>
      </w:r>
      <w:r>
        <w:rPr>
          <w:lang w:val="es-SV"/>
        </w:rPr>
        <w:tab/>
      </w:r>
      <w:r w:rsidRPr="00DE56CE">
        <w:rPr>
          <w:lang w:val="es-SV"/>
        </w:rPr>
        <w:t xml:space="preserve">El sistema de información cuenta con cinco módulos: 1. Planificación institucional que da seguimiento a todos los procesos de rectoría de políticas públicas a nivel nacional y municipal; 2. Módulo del Plan Nacional de Igualdad 2016-2020; 3. Módulo del Plan Quinquenal de la Política Nacional para el acceso de las mujeres a una vida libre de violencia; </w:t>
      </w:r>
      <w:r w:rsidRPr="00A6674D">
        <w:rPr>
          <w:lang w:val="es-SV"/>
        </w:rPr>
        <w:t xml:space="preserve">4. Módulo seguimiento al MESECVI; 5. Módulo seguimiento a CEDAW (en construcción). El Centro de Información funciona bajo la dirección </w:t>
      </w:r>
      <w:hyperlink r:id="rId17" w:history="1">
        <w:r w:rsidRPr="00A6674D">
          <w:rPr>
            <w:rStyle w:val="Hyperlink"/>
            <w:b/>
            <w:lang w:val="es-SV"/>
          </w:rPr>
          <w:t>www.infoigualdad-isdemu.gob.sv</w:t>
        </w:r>
      </w:hyperlink>
      <w:r>
        <w:rPr>
          <w:rStyle w:val="Hyperlink"/>
          <w:b/>
          <w:lang w:val="es-SV"/>
        </w:rPr>
        <w:t>.</w:t>
      </w:r>
    </w:p>
    <w:p w14:paraId="3776E817" w14:textId="488A583C" w:rsidR="003710DB" w:rsidRPr="00A6674D" w:rsidRDefault="003710DB" w:rsidP="003710DB">
      <w:pPr>
        <w:pStyle w:val="SingleTxtG"/>
        <w:tabs>
          <w:tab w:val="left" w:pos="1530"/>
        </w:tabs>
        <w:rPr>
          <w:b/>
        </w:rPr>
      </w:pPr>
      <w:r>
        <w:rPr>
          <w:b/>
          <w:noProof/>
        </w:rPr>
        <mc:AlternateContent>
          <mc:Choice Requires="wps">
            <w:drawing>
              <wp:anchor distT="0" distB="0" distL="114300" distR="114300" simplePos="0" relativeHeight="251677184" behindDoc="0" locked="0" layoutInCell="1" allowOverlap="1" wp14:anchorId="7E67C1D8" wp14:editId="5230961B">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DC2F2" id="Straight Connector 6"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3710DB" w:rsidRPr="00A6674D" w:rsidSect="003710DB">
      <w:endnotePr>
        <w:numFmt w:val="decimal"/>
      </w:endnotePr>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9-05-08T09:49:00Z" w:initials="Start">
    <w:p w14:paraId="1BD5A3DE" w14:textId="77777777" w:rsidR="00BF32CB" w:rsidRPr="003710DB" w:rsidRDefault="00BF32CB">
      <w:pPr>
        <w:pStyle w:val="CommentText"/>
        <w:rPr>
          <w:lang w:val="en-US"/>
        </w:rPr>
      </w:pPr>
      <w:r>
        <w:fldChar w:fldCharType="begin"/>
      </w:r>
      <w:r w:rsidRPr="003710DB">
        <w:rPr>
          <w:rStyle w:val="CommentReference"/>
          <w:lang w:val="en-US"/>
        </w:rPr>
        <w:instrText xml:space="preserve"> </w:instrText>
      </w:r>
      <w:r w:rsidRPr="003710DB">
        <w:rPr>
          <w:lang w:val="en-US"/>
        </w:rPr>
        <w:instrText>PAGE \# "'Page: '#'</w:instrText>
      </w:r>
      <w:r w:rsidRPr="003710DB">
        <w:rPr>
          <w:lang w:val="en-US"/>
        </w:rPr>
        <w:br/>
        <w:instrText>'"</w:instrText>
      </w:r>
      <w:r w:rsidRPr="003710DB">
        <w:rPr>
          <w:rStyle w:val="CommentReference"/>
          <w:lang w:val="en-US"/>
        </w:rPr>
        <w:instrText xml:space="preserve"> </w:instrText>
      </w:r>
      <w:r>
        <w:fldChar w:fldCharType="end"/>
      </w:r>
      <w:r>
        <w:rPr>
          <w:rStyle w:val="CommentReference"/>
        </w:rPr>
        <w:annotationRef/>
      </w:r>
      <w:r w:rsidRPr="003710DB">
        <w:rPr>
          <w:lang w:val="en-US"/>
        </w:rPr>
        <w:t>&lt;&lt;ODS JOB NO&gt;&gt;N1911224S&lt;&lt;ODS JOB NO&gt;&gt;</w:t>
      </w:r>
    </w:p>
    <w:p w14:paraId="6DFC3FD5" w14:textId="77777777" w:rsidR="00BF32CB" w:rsidRPr="003710DB" w:rsidRDefault="00BF32CB">
      <w:pPr>
        <w:pStyle w:val="CommentText"/>
        <w:rPr>
          <w:lang w:val="en-US"/>
        </w:rPr>
      </w:pPr>
      <w:r w:rsidRPr="003710DB">
        <w:rPr>
          <w:lang w:val="en-US"/>
        </w:rPr>
        <w:t>&lt;&lt;ODS DOC SYMBOL1&gt;&gt;CEDAW/C/SLV/CO/8-9/Add.1&lt;&lt;ODS DOC SYMBOL1&gt;&gt;</w:t>
      </w:r>
    </w:p>
    <w:p w14:paraId="0129B376" w14:textId="77777777" w:rsidR="00BF32CB" w:rsidRDefault="00BF32C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29B37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4BED1" w14:textId="77777777" w:rsidR="006E2EB6" w:rsidRDefault="006E2EB6" w:rsidP="00556720">
      <w:r>
        <w:separator/>
      </w:r>
    </w:p>
  </w:endnote>
  <w:endnote w:type="continuationSeparator" w:id="0">
    <w:p w14:paraId="6943FECB" w14:textId="77777777" w:rsidR="006E2EB6" w:rsidRDefault="006E2EB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F32CB" w14:paraId="24655522" w14:textId="77777777" w:rsidTr="00BF32CB">
      <w:tc>
        <w:tcPr>
          <w:tcW w:w="4920" w:type="dxa"/>
          <w:shd w:val="clear" w:color="auto" w:fill="auto"/>
        </w:tcPr>
        <w:p w14:paraId="5B5D0376" w14:textId="77777777" w:rsidR="00BF32CB" w:rsidRPr="00BF32CB" w:rsidRDefault="00BF32CB" w:rsidP="00BF32C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19-06398</w:t>
          </w:r>
          <w:r>
            <w:rPr>
              <w:b w:val="0"/>
              <w:color w:val="000000"/>
              <w:w w:val="103"/>
              <w:sz w:val="14"/>
            </w:rPr>
            <w:fldChar w:fldCharType="end"/>
          </w:r>
        </w:p>
      </w:tc>
      <w:tc>
        <w:tcPr>
          <w:tcW w:w="4920" w:type="dxa"/>
          <w:shd w:val="clear" w:color="auto" w:fill="auto"/>
        </w:tcPr>
        <w:p w14:paraId="1A5AB1D7" w14:textId="77777777" w:rsidR="00BF32CB" w:rsidRPr="00BF32CB" w:rsidRDefault="00BF32CB" w:rsidP="00BF32C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5E7FAC87" w14:textId="77777777" w:rsidR="00BF32CB" w:rsidRPr="00BF32CB" w:rsidRDefault="00BF32CB" w:rsidP="00BF3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F32CB" w14:paraId="6F16564C" w14:textId="77777777" w:rsidTr="00BF32CB">
      <w:tc>
        <w:tcPr>
          <w:tcW w:w="4920" w:type="dxa"/>
          <w:shd w:val="clear" w:color="auto" w:fill="auto"/>
        </w:tcPr>
        <w:p w14:paraId="27BE1BC4" w14:textId="77777777" w:rsidR="00BF32CB" w:rsidRPr="00BF32CB" w:rsidRDefault="00BF32CB" w:rsidP="00BF32C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433BFAEE" w14:textId="77777777" w:rsidR="00BF32CB" w:rsidRPr="00BF32CB" w:rsidRDefault="00BF32CB" w:rsidP="00BF32C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19-06398</w:t>
          </w:r>
          <w:r>
            <w:rPr>
              <w:b w:val="0"/>
              <w:color w:val="000000"/>
              <w:w w:val="103"/>
              <w:sz w:val="14"/>
            </w:rPr>
            <w:fldChar w:fldCharType="end"/>
          </w:r>
        </w:p>
      </w:tc>
    </w:tr>
  </w:tbl>
  <w:p w14:paraId="46F999A5" w14:textId="77777777" w:rsidR="00BF32CB" w:rsidRPr="00BF32CB" w:rsidRDefault="00BF32CB" w:rsidP="00BF3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AC8F" w14:textId="77777777" w:rsidR="00BF32CB" w:rsidRPr="00BF32CB" w:rsidRDefault="00BF32CB" w:rsidP="00BF32CB">
    <w:pPr>
      <w:pStyle w:val="Footer"/>
      <w:spacing w:line="120" w:lineRule="exact"/>
      <w:rPr>
        <w:b w:val="0"/>
        <w:sz w:val="10"/>
      </w:rPr>
    </w:pPr>
    <w:r>
      <w:rPr>
        <w:b w:val="0"/>
        <w:sz w:val="10"/>
      </w:rPr>
      <w:drawing>
        <wp:anchor distT="0" distB="0" distL="114300" distR="114300" simplePos="0" relativeHeight="251662336" behindDoc="0" locked="0" layoutInCell="1" allowOverlap="1" wp14:anchorId="5E4DAEC2" wp14:editId="65362CF4">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SLV/CO/8-9/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LV/CO/8-9/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F32CB" w14:paraId="6BB2BC84" w14:textId="77777777" w:rsidTr="00BF32CB">
      <w:tc>
        <w:tcPr>
          <w:tcW w:w="3830" w:type="dxa"/>
          <w:shd w:val="clear" w:color="auto" w:fill="auto"/>
        </w:tcPr>
        <w:p w14:paraId="7935C309" w14:textId="300E6C15" w:rsidR="00BF32CB" w:rsidRDefault="00BF32CB" w:rsidP="00BF32CB">
          <w:pPr>
            <w:pStyle w:val="ReleaseDate"/>
          </w:pPr>
          <w:r>
            <w:t xml:space="preserve">19-06398 (S)    </w:t>
          </w:r>
          <w:r w:rsidR="003710DB">
            <w:t>1604</w:t>
          </w:r>
          <w:r>
            <w:t>19    080519</w:t>
          </w:r>
        </w:p>
        <w:p w14:paraId="1E882F5A" w14:textId="77777777" w:rsidR="00BF32CB" w:rsidRPr="00BF32CB" w:rsidRDefault="00BF32CB" w:rsidP="00BF32CB">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*1906398*</w:t>
          </w:r>
        </w:p>
      </w:tc>
      <w:tc>
        <w:tcPr>
          <w:tcW w:w="4920" w:type="dxa"/>
          <w:shd w:val="clear" w:color="auto" w:fill="auto"/>
        </w:tcPr>
        <w:p w14:paraId="698D4591" w14:textId="77777777" w:rsidR="00BF32CB" w:rsidRDefault="00BF32CB" w:rsidP="00BF32CB">
          <w:pPr>
            <w:pStyle w:val="Footer"/>
            <w:jc w:val="right"/>
            <w:rPr>
              <w:b w:val="0"/>
              <w:sz w:val="20"/>
            </w:rPr>
          </w:pPr>
          <w:r>
            <w:rPr>
              <w:b w:val="0"/>
              <w:sz w:val="20"/>
            </w:rPr>
            <w:drawing>
              <wp:inline distT="0" distB="0" distL="0" distR="0" wp14:anchorId="6A677CBB" wp14:editId="1F2907F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2F702EC" w14:textId="77777777" w:rsidR="00BF32CB" w:rsidRPr="00BF32CB" w:rsidRDefault="00BF32CB" w:rsidP="00BF32C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7E451" w14:textId="0B510106" w:rsidR="006E2EB6" w:rsidRPr="003710DB" w:rsidRDefault="003710DB" w:rsidP="003710DB">
      <w:pPr>
        <w:pStyle w:val="Footer"/>
        <w:spacing w:after="80"/>
        <w:ind w:left="792"/>
        <w:rPr>
          <w:sz w:val="16"/>
        </w:rPr>
      </w:pPr>
      <w:r w:rsidRPr="003710DB">
        <w:rPr>
          <w:sz w:val="16"/>
        </w:rPr>
        <w:t>__________________</w:t>
      </w:r>
    </w:p>
  </w:footnote>
  <w:footnote w:type="continuationSeparator" w:id="0">
    <w:p w14:paraId="20477A2F" w14:textId="6376B8F3" w:rsidR="006E2EB6" w:rsidRPr="003710DB" w:rsidRDefault="003710DB" w:rsidP="003710DB">
      <w:pPr>
        <w:pStyle w:val="Footer"/>
        <w:spacing w:after="80"/>
        <w:ind w:left="792"/>
        <w:rPr>
          <w:sz w:val="16"/>
        </w:rPr>
      </w:pPr>
      <w:r w:rsidRPr="003710DB">
        <w:rPr>
          <w:sz w:val="16"/>
        </w:rPr>
        <w:t>__________________</w:t>
      </w:r>
    </w:p>
  </w:footnote>
  <w:footnote w:id="1">
    <w:p w14:paraId="5892B2F1" w14:textId="77777777" w:rsidR="003710DB" w:rsidRPr="00F60FC4" w:rsidRDefault="003710DB" w:rsidP="003710DB">
      <w:pPr>
        <w:pStyle w:val="FootnoteText"/>
        <w:tabs>
          <w:tab w:val="clear" w:pos="418"/>
          <w:tab w:val="right" w:pos="1195"/>
          <w:tab w:val="left" w:pos="1267"/>
          <w:tab w:val="left" w:pos="1742"/>
          <w:tab w:val="left" w:pos="2218"/>
          <w:tab w:val="left" w:pos="2693"/>
        </w:tabs>
        <w:ind w:left="1267" w:right="1267" w:hanging="432"/>
      </w:pPr>
      <w:r>
        <w:tab/>
      </w:r>
      <w:r w:rsidRPr="00F60FC4">
        <w:rPr>
          <w:rStyle w:val="FootnoteReference"/>
        </w:rPr>
        <w:footnoteRef/>
      </w:r>
      <w:r>
        <w:tab/>
      </w:r>
      <w:r w:rsidRPr="00F60FC4">
        <w:t xml:space="preserve">Asamblea Legislativa de El Salvador. Decreto Legislativo No. 286, 25 de febrero de 2016. Disponible en: </w:t>
      </w:r>
      <w:hyperlink r:id="rId1" w:history="1">
        <w:r w:rsidRPr="00F60FC4">
          <w:rPr>
            <w:rStyle w:val="Hyperlink"/>
          </w:rPr>
          <w:t>https://www.asamblea.gob.sv/decretos/details/2709</w:t>
        </w:r>
      </w:hyperlink>
      <w:r>
        <w:rPr>
          <w:rStyle w:val="Hyperlink"/>
        </w:rPr>
        <w:t>.</w:t>
      </w:r>
    </w:p>
  </w:footnote>
  <w:footnote w:id="2">
    <w:p w14:paraId="0EE7BACB" w14:textId="77777777" w:rsidR="003710DB" w:rsidRPr="00D66AC7" w:rsidRDefault="003710DB" w:rsidP="003710DB">
      <w:pPr>
        <w:pStyle w:val="FootnoteText"/>
        <w:tabs>
          <w:tab w:val="clear" w:pos="418"/>
          <w:tab w:val="right" w:pos="1195"/>
          <w:tab w:val="left" w:pos="1267"/>
          <w:tab w:val="left" w:pos="1742"/>
          <w:tab w:val="left" w:pos="2218"/>
          <w:tab w:val="left" w:pos="2693"/>
        </w:tabs>
        <w:ind w:left="1267" w:right="1267" w:hanging="432"/>
      </w:pPr>
      <w:r>
        <w:tab/>
      </w:r>
      <w:r w:rsidRPr="00D66AC7">
        <w:rPr>
          <w:rStyle w:val="FootnoteReference"/>
        </w:rPr>
        <w:footnoteRef/>
      </w:r>
      <w:r>
        <w:tab/>
      </w:r>
      <w:r w:rsidRPr="00D66AC7">
        <w:t xml:space="preserve">CSJ. Datos a diciembre de 2018. Reporte de la Corte Suprema de Justicia. Boletín Informativo # 1 Enero-2019. Disponible en </w:t>
      </w:r>
      <w:hyperlink r:id="rId2" w:history="1">
        <w:r w:rsidRPr="00D66AC7">
          <w:rPr>
            <w:rStyle w:val="Hyperlink"/>
          </w:rPr>
          <w:t>www.csj.gob.sv/Comunicaciones/2019/ENERO/BOLETINES/30.01.2019%20Boletín%201%20Jurisdicción%20Especializada%20para%20una%20Vida%20Libre%20de%20Violencia%20y%20Discriminación%20para%20las%20Mujeres%20(1).pdf</w:t>
        </w:r>
      </w:hyperlink>
      <w:r>
        <w:rPr>
          <w:rStyle w:val="Hyperlink"/>
        </w:rPr>
        <w:t>.</w:t>
      </w:r>
    </w:p>
  </w:footnote>
  <w:footnote w:id="3">
    <w:p w14:paraId="6AF5BF28" w14:textId="77777777" w:rsidR="003710DB" w:rsidRPr="00D66AC7" w:rsidRDefault="003710DB" w:rsidP="003710DB">
      <w:pPr>
        <w:pStyle w:val="FootnoteText"/>
        <w:tabs>
          <w:tab w:val="clear" w:pos="418"/>
          <w:tab w:val="right" w:pos="1195"/>
          <w:tab w:val="left" w:pos="1267"/>
          <w:tab w:val="left" w:pos="1742"/>
          <w:tab w:val="left" w:pos="2218"/>
          <w:tab w:val="left" w:pos="2693"/>
        </w:tabs>
        <w:ind w:left="1267" w:right="1267" w:hanging="432"/>
      </w:pPr>
      <w:r>
        <w:tab/>
      </w:r>
      <w:r w:rsidRPr="00D66AC7">
        <w:rPr>
          <w:rStyle w:val="FootnoteReference"/>
        </w:rPr>
        <w:footnoteRef/>
      </w:r>
      <w:r>
        <w:tab/>
      </w:r>
      <w:r w:rsidRPr="00D66AC7">
        <w:t>Datos de enero de 2017 a octubre de 2018. Información proporcionada por la Corte Suprema de Justicia al 11 de octubre de 2018.</w:t>
      </w:r>
    </w:p>
  </w:footnote>
  <w:footnote w:id="4">
    <w:p w14:paraId="70B35152" w14:textId="77777777" w:rsidR="003710DB" w:rsidRPr="00D66AC7" w:rsidRDefault="003710DB" w:rsidP="003710DB">
      <w:pPr>
        <w:pStyle w:val="FootnoteText"/>
        <w:tabs>
          <w:tab w:val="clear" w:pos="418"/>
          <w:tab w:val="right" w:pos="1195"/>
          <w:tab w:val="left" w:pos="1267"/>
          <w:tab w:val="left" w:pos="1742"/>
          <w:tab w:val="left" w:pos="2218"/>
          <w:tab w:val="left" w:pos="2693"/>
        </w:tabs>
        <w:ind w:left="1267" w:right="1267" w:hanging="432"/>
      </w:pPr>
      <w:r>
        <w:tab/>
      </w:r>
      <w:r w:rsidRPr="00D66AC7">
        <w:rPr>
          <w:rStyle w:val="FootnoteReference"/>
        </w:rPr>
        <w:footnoteRef/>
      </w:r>
      <w:r>
        <w:tab/>
      </w:r>
      <w:r w:rsidRPr="00D66AC7">
        <w:t xml:space="preserve">CSJ. Datos a junio de 2018. Reporte de la Corte Suprema de Justicia. Boletín Informativo # 3 junio-2018. Disponible en </w:t>
      </w:r>
      <w:hyperlink r:id="rId3" w:history="1">
        <w:r w:rsidRPr="00D66AC7">
          <w:rPr>
            <w:rStyle w:val="Hyperlink"/>
          </w:rPr>
          <w:t>http://www.csj.gob.sv/Comunicaciones/2018/07_JULIO/BOLETINES/060718%20Boletin%2003%20Jurisdicci%C3%B3n%20Especializada%20para%20una%20Vida%20Libre%20de%20Violencia%20y%20Discriminaci%C3%B3n%20para%20las%20Mujeres.pdf</w:t>
        </w:r>
      </w:hyperlink>
      <w:r>
        <w:rPr>
          <w:rStyle w:val="Hyperlink"/>
        </w:rPr>
        <w:t>.</w:t>
      </w:r>
    </w:p>
  </w:footnote>
  <w:footnote w:id="5">
    <w:p w14:paraId="2A43B74B" w14:textId="77777777" w:rsidR="003710DB" w:rsidRPr="00D9488C" w:rsidRDefault="003710DB" w:rsidP="003710DB">
      <w:pPr>
        <w:pStyle w:val="FootnoteText"/>
        <w:tabs>
          <w:tab w:val="clear" w:pos="418"/>
          <w:tab w:val="right" w:pos="1195"/>
          <w:tab w:val="left" w:pos="1267"/>
          <w:tab w:val="left" w:pos="1742"/>
          <w:tab w:val="left" w:pos="2218"/>
          <w:tab w:val="left" w:pos="2693"/>
        </w:tabs>
        <w:ind w:left="1267" w:right="1267" w:hanging="432"/>
        <w:rPr>
          <w:sz w:val="16"/>
          <w:szCs w:val="16"/>
        </w:rPr>
      </w:pPr>
      <w:r>
        <w:rPr>
          <w:sz w:val="16"/>
          <w:szCs w:val="16"/>
        </w:rPr>
        <w:tab/>
      </w:r>
      <w:r w:rsidRPr="00D66AC7">
        <w:rPr>
          <w:rStyle w:val="FootnoteReference"/>
        </w:rPr>
        <w:footnoteRef/>
      </w:r>
      <w:r>
        <w:rPr>
          <w:sz w:val="16"/>
          <w:szCs w:val="16"/>
        </w:rPr>
        <w:tab/>
      </w:r>
      <w:r w:rsidRPr="00D9488C">
        <w:rPr>
          <w:sz w:val="16"/>
          <w:szCs w:val="16"/>
        </w:rPr>
        <w:t>FGR. Política de Persecución Penal en casos de violencia contra las mujeres. Disponible en: http://www.fiscalia.gob.sv/wp-content/uploads/ppp/Politica-de-Persecucion-Penal-2017.pdf</w:t>
      </w:r>
      <w:r>
        <w:rPr>
          <w:sz w:val="16"/>
          <w:szCs w:val="16"/>
        </w:rPr>
        <w:t>.</w:t>
      </w:r>
      <w:r w:rsidRPr="00D9488C">
        <w:rPr>
          <w:sz w:val="16"/>
          <w:szCs w:val="16"/>
        </w:rPr>
        <w:t xml:space="preserve"> </w:t>
      </w:r>
    </w:p>
  </w:footnote>
  <w:footnote w:id="6">
    <w:p w14:paraId="02DB7F82" w14:textId="77777777" w:rsidR="003710DB" w:rsidRPr="00D66AC7" w:rsidRDefault="003710DB" w:rsidP="003710DB">
      <w:pPr>
        <w:pStyle w:val="FootnoteText"/>
        <w:tabs>
          <w:tab w:val="clear" w:pos="418"/>
          <w:tab w:val="right" w:pos="1195"/>
          <w:tab w:val="left" w:pos="1267"/>
          <w:tab w:val="left" w:pos="1742"/>
          <w:tab w:val="left" w:pos="2218"/>
          <w:tab w:val="left" w:pos="2693"/>
        </w:tabs>
        <w:ind w:left="1267" w:right="1267" w:hanging="432"/>
      </w:pPr>
      <w:r>
        <w:tab/>
      </w:r>
      <w:r w:rsidRPr="00D66AC7">
        <w:rPr>
          <w:rStyle w:val="FootnoteReference"/>
        </w:rPr>
        <w:footnoteRef/>
      </w:r>
      <w:r>
        <w:tab/>
      </w:r>
      <w:r w:rsidRPr="00D66AC7">
        <w:t>ISDEMU. Proyecto de Decreto Legislativo de la Ley del Instituto Salvadoreño para las Mujeres, 2018. Disponible en: http://www.isdemu.gob.sv/index.php?option=com_phocadownload&amp;view=category&amp;id=200%3Ainforme-cedaw&amp;Itemid=234&amp;lang=es</w:t>
      </w:r>
      <w:r>
        <w:t>.</w:t>
      </w:r>
    </w:p>
  </w:footnote>
  <w:footnote w:id="7">
    <w:p w14:paraId="39B747BD" w14:textId="77777777" w:rsidR="003710DB" w:rsidRPr="00D66AC7" w:rsidRDefault="003710DB" w:rsidP="003710DB">
      <w:pPr>
        <w:pStyle w:val="FootnoteText"/>
        <w:tabs>
          <w:tab w:val="clear" w:pos="418"/>
          <w:tab w:val="right" w:pos="1195"/>
          <w:tab w:val="left" w:pos="1267"/>
          <w:tab w:val="left" w:pos="1742"/>
          <w:tab w:val="left" w:pos="2218"/>
          <w:tab w:val="left" w:pos="2693"/>
        </w:tabs>
        <w:ind w:left="1267" w:right="1267" w:hanging="432"/>
      </w:pPr>
      <w:r>
        <w:tab/>
      </w:r>
      <w:r w:rsidRPr="00D66AC7">
        <w:rPr>
          <w:rStyle w:val="FootnoteReference"/>
        </w:rPr>
        <w:footnoteRef/>
      </w:r>
      <w:r>
        <w:tab/>
      </w:r>
      <w:r w:rsidRPr="00D66AC7">
        <w:t>ISDEMU. Proyecto de Decreto Legislativo de la Ley del Instituto Salvadoreño para las Mujeres, 2018. Disponible en: http://www.isdemu.gob.sv/index.php?option=com_phocadownload&amp;view=category&amp;id=200%3Ainforme-cedaw&amp;Itemid=234&amp;lang=es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F32CB" w:rsidRPr="00966344" w14:paraId="2241842B" w14:textId="77777777" w:rsidTr="00BF32CB">
      <w:trPr>
        <w:trHeight w:hRule="exact" w:val="864"/>
      </w:trPr>
      <w:tc>
        <w:tcPr>
          <w:tcW w:w="4939" w:type="dxa"/>
          <w:shd w:val="clear" w:color="auto" w:fill="auto"/>
          <w:vAlign w:val="bottom"/>
        </w:tcPr>
        <w:p w14:paraId="46430EA4" w14:textId="77777777" w:rsidR="00BF32CB" w:rsidRPr="00BF32CB" w:rsidRDefault="00BF32CB" w:rsidP="00BF32C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CEDAW/C/SLV/CO/8-9/Add.1</w:t>
          </w:r>
          <w:r>
            <w:rPr>
              <w:b/>
              <w:color w:val="000000"/>
            </w:rPr>
            <w:fldChar w:fldCharType="end"/>
          </w:r>
        </w:p>
      </w:tc>
      <w:tc>
        <w:tcPr>
          <w:tcW w:w="4920" w:type="dxa"/>
          <w:shd w:val="clear" w:color="auto" w:fill="auto"/>
          <w:vAlign w:val="bottom"/>
        </w:tcPr>
        <w:p w14:paraId="159578A1" w14:textId="77777777" w:rsidR="00BF32CB" w:rsidRDefault="00BF32CB" w:rsidP="00BF32CB">
          <w:pPr>
            <w:pStyle w:val="Header"/>
          </w:pPr>
        </w:p>
      </w:tc>
    </w:tr>
  </w:tbl>
  <w:p w14:paraId="46782AA1" w14:textId="77777777" w:rsidR="00BF32CB" w:rsidRPr="00BF32CB" w:rsidRDefault="00BF32CB" w:rsidP="00BF32C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F32CB" w:rsidRPr="00966344" w14:paraId="111EB775" w14:textId="77777777" w:rsidTr="00BF32CB">
      <w:trPr>
        <w:trHeight w:hRule="exact" w:val="864"/>
      </w:trPr>
      <w:tc>
        <w:tcPr>
          <w:tcW w:w="4939" w:type="dxa"/>
          <w:shd w:val="clear" w:color="auto" w:fill="auto"/>
          <w:vAlign w:val="bottom"/>
        </w:tcPr>
        <w:p w14:paraId="57AB80EB" w14:textId="77777777" w:rsidR="00BF32CB" w:rsidRDefault="00BF32CB" w:rsidP="00BF32CB">
          <w:pPr>
            <w:pStyle w:val="Header"/>
          </w:pPr>
        </w:p>
      </w:tc>
      <w:tc>
        <w:tcPr>
          <w:tcW w:w="4920" w:type="dxa"/>
          <w:shd w:val="clear" w:color="auto" w:fill="auto"/>
          <w:vAlign w:val="bottom"/>
        </w:tcPr>
        <w:p w14:paraId="697D9089" w14:textId="77777777" w:rsidR="00BF32CB" w:rsidRPr="00BF32CB" w:rsidRDefault="00BF32CB" w:rsidP="00BF32C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CEDAW/C/SLV/CO/8-9/Add.1</w:t>
          </w:r>
          <w:r>
            <w:rPr>
              <w:b/>
              <w:color w:val="000000"/>
            </w:rPr>
            <w:fldChar w:fldCharType="end"/>
          </w:r>
        </w:p>
      </w:tc>
    </w:tr>
  </w:tbl>
  <w:p w14:paraId="6270B541" w14:textId="77777777" w:rsidR="00BF32CB" w:rsidRPr="00BF32CB" w:rsidRDefault="00BF32CB" w:rsidP="00BF32C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F32CB" w:rsidRPr="00966344" w14:paraId="6E4C2AF0" w14:textId="77777777" w:rsidTr="00BF32CB">
      <w:trPr>
        <w:gridAfter w:val="1"/>
        <w:wAfter w:w="15" w:type="dxa"/>
        <w:trHeight w:hRule="exact" w:val="864"/>
      </w:trPr>
      <w:tc>
        <w:tcPr>
          <w:tcW w:w="1267" w:type="dxa"/>
          <w:tcBorders>
            <w:bottom w:val="single" w:sz="4" w:space="0" w:color="auto"/>
          </w:tcBorders>
          <w:shd w:val="clear" w:color="auto" w:fill="auto"/>
          <w:vAlign w:val="bottom"/>
        </w:tcPr>
        <w:p w14:paraId="3285D2D9" w14:textId="77777777" w:rsidR="00BF32CB" w:rsidRDefault="00BF32CB" w:rsidP="00BF32CB">
          <w:pPr>
            <w:pStyle w:val="Header"/>
            <w:spacing w:after="120"/>
          </w:pPr>
        </w:p>
      </w:tc>
      <w:tc>
        <w:tcPr>
          <w:tcW w:w="2059" w:type="dxa"/>
          <w:tcBorders>
            <w:bottom w:val="single" w:sz="4" w:space="0" w:color="auto"/>
          </w:tcBorders>
          <w:shd w:val="clear" w:color="auto" w:fill="auto"/>
          <w:vAlign w:val="bottom"/>
        </w:tcPr>
        <w:p w14:paraId="52F6927E" w14:textId="77777777" w:rsidR="00BF32CB" w:rsidRPr="00BF32CB" w:rsidRDefault="00BF32CB" w:rsidP="00BF32C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85EC66F" w14:textId="77777777" w:rsidR="00BF32CB" w:rsidRDefault="00BF32CB" w:rsidP="00BF32CB">
          <w:pPr>
            <w:pStyle w:val="Header"/>
            <w:spacing w:after="120"/>
          </w:pPr>
        </w:p>
      </w:tc>
      <w:tc>
        <w:tcPr>
          <w:tcW w:w="6480" w:type="dxa"/>
          <w:gridSpan w:val="3"/>
          <w:tcBorders>
            <w:bottom w:val="single" w:sz="4" w:space="0" w:color="auto"/>
          </w:tcBorders>
          <w:shd w:val="clear" w:color="auto" w:fill="auto"/>
          <w:vAlign w:val="bottom"/>
        </w:tcPr>
        <w:p w14:paraId="46EF8849" w14:textId="77777777" w:rsidR="00BF32CB" w:rsidRPr="003710DB" w:rsidRDefault="00BF32CB" w:rsidP="00BF32CB">
          <w:pPr>
            <w:spacing w:after="80" w:line="240" w:lineRule="auto"/>
            <w:jc w:val="right"/>
            <w:rPr>
              <w:position w:val="-4"/>
              <w:lang w:val="en-US"/>
            </w:rPr>
          </w:pPr>
          <w:r w:rsidRPr="003710DB">
            <w:rPr>
              <w:position w:val="-4"/>
              <w:sz w:val="40"/>
              <w:lang w:val="en-US"/>
            </w:rPr>
            <w:t>CEDAW</w:t>
          </w:r>
          <w:r w:rsidRPr="003710DB">
            <w:rPr>
              <w:position w:val="-4"/>
              <w:lang w:val="en-US"/>
            </w:rPr>
            <w:t>/C/SLV/CO/8-9/Add.1</w:t>
          </w:r>
        </w:p>
      </w:tc>
    </w:tr>
    <w:tr w:rsidR="00BF32CB" w:rsidRPr="00BF32CB" w14:paraId="1A51E59D" w14:textId="77777777" w:rsidTr="00BF32CB">
      <w:trPr>
        <w:trHeight w:hRule="exact" w:val="2880"/>
      </w:trPr>
      <w:tc>
        <w:tcPr>
          <w:tcW w:w="1267" w:type="dxa"/>
          <w:tcBorders>
            <w:top w:val="single" w:sz="4" w:space="0" w:color="auto"/>
            <w:bottom w:val="single" w:sz="12" w:space="0" w:color="auto"/>
          </w:tcBorders>
          <w:shd w:val="clear" w:color="auto" w:fill="auto"/>
        </w:tcPr>
        <w:p w14:paraId="7B1831E5" w14:textId="77777777" w:rsidR="00BF32CB" w:rsidRPr="00BF32CB" w:rsidRDefault="00BF32CB" w:rsidP="00BF32CB">
          <w:pPr>
            <w:pStyle w:val="Header"/>
            <w:spacing w:before="120"/>
            <w:jc w:val="center"/>
          </w:pPr>
          <w:r>
            <w:t xml:space="preserve"> </w:t>
          </w:r>
          <w:r>
            <w:drawing>
              <wp:inline distT="0" distB="0" distL="0" distR="0" wp14:anchorId="16F079FF" wp14:editId="2284DE3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A3F1001" w14:textId="77777777" w:rsidR="00BF32CB" w:rsidRPr="00BF32CB" w:rsidRDefault="00BF32CB" w:rsidP="00BF32C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055F346" w14:textId="77777777" w:rsidR="00BF32CB" w:rsidRPr="003710DB" w:rsidRDefault="00BF32CB" w:rsidP="00BF32CB">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4C62700A" w14:textId="77777777" w:rsidR="00BF32CB" w:rsidRDefault="00BF32CB" w:rsidP="00BF32CB">
          <w:pPr>
            <w:pStyle w:val="Distribution"/>
            <w:spacing w:before="240"/>
          </w:pPr>
          <w:r>
            <w:t>Distr. general</w:t>
          </w:r>
        </w:p>
        <w:p w14:paraId="7770FE87" w14:textId="1140B250" w:rsidR="00BF32CB" w:rsidRDefault="003710DB" w:rsidP="00BF32CB">
          <w:pPr>
            <w:pStyle w:val="Publication"/>
          </w:pPr>
          <w:r>
            <w:t xml:space="preserve">16 de abril </w:t>
          </w:r>
          <w:r w:rsidR="00BF32CB">
            <w:t>de 2019</w:t>
          </w:r>
        </w:p>
        <w:p w14:paraId="3749BCF7" w14:textId="3B7D6B48" w:rsidR="00966344" w:rsidRDefault="00870CE9" w:rsidP="00BF32CB">
          <w:pPr>
            <w:pStyle w:val="Original"/>
          </w:pPr>
          <w:r>
            <w:t>Español</w:t>
          </w:r>
        </w:p>
        <w:p w14:paraId="13FE355D" w14:textId="0BF50C98" w:rsidR="00BF32CB" w:rsidRPr="00BF32CB" w:rsidRDefault="00BF32CB" w:rsidP="00966344">
          <w:pPr>
            <w:pStyle w:val="Original"/>
          </w:pPr>
          <w:r>
            <w:t xml:space="preserve">Original: </w:t>
          </w:r>
          <w:r w:rsidR="00966344">
            <w:t>e</w:t>
          </w:r>
          <w:r w:rsidR="003710DB">
            <w:t>spa</w:t>
          </w:r>
          <w:r w:rsidR="003710DB">
            <w:rPr>
              <w:lang w:val="es-419"/>
            </w:rPr>
            <w:t>ñol, francés e inglés únicamente</w:t>
          </w:r>
          <w:bookmarkStart w:id="0" w:name="_GoBack"/>
          <w:bookmarkEnd w:id="0"/>
        </w:p>
      </w:tc>
    </w:tr>
  </w:tbl>
  <w:p w14:paraId="52E26DAF" w14:textId="77777777" w:rsidR="00BF32CB" w:rsidRPr="003710DB" w:rsidRDefault="00BF32CB" w:rsidP="00BF32CB">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606"/>
    <w:multiLevelType w:val="singleLevel"/>
    <w:tmpl w:val="E3328F78"/>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0A8C14D4"/>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67D5E61"/>
    <w:multiLevelType w:val="hybridMultilevel"/>
    <w:tmpl w:val="736A3D5C"/>
    <w:lvl w:ilvl="0" w:tplc="CA0CAD0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4CE669A5"/>
    <w:multiLevelType w:val="multilevel"/>
    <w:tmpl w:val="941431A6"/>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7A884C10"/>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DAF69A6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5"/>
  </w:num>
  <w:num w:numId="18">
    <w:abstractNumId w:val="1"/>
  </w:num>
  <w:num w:numId="19">
    <w:abstractNumId w:val="4"/>
  </w:num>
  <w:num w:numId="20">
    <w:abstractNumId w:val="3"/>
  </w:num>
  <w:num w:numId="21">
    <w:abstractNumId w:val="6"/>
  </w:num>
  <w:num w:numId="22">
    <w:abstractNumId w:val="0"/>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6398*"/>
    <w:docVar w:name="CreationDt" w:val="08/05/2019 9:49: AM"/>
    <w:docVar w:name="DocCategory" w:val="Doc"/>
    <w:docVar w:name="DocType" w:val="Final"/>
    <w:docVar w:name="DutyStation" w:val="New York"/>
    <w:docVar w:name="FooterJN" w:val="19-06398"/>
    <w:docVar w:name="jobn" w:val="19-06398 (S)"/>
    <w:docVar w:name="jobnDT" w:val="19-06398 (S)   080519"/>
    <w:docVar w:name="jobnDTDT" w:val="19-06398 (S)   080519   080519"/>
    <w:docVar w:name="JobNo" w:val="1906398S"/>
    <w:docVar w:name="JobNo2" w:val="19112249:49: AM"/>
    <w:docVar w:name="LocalDrive" w:val="0"/>
    <w:docVar w:name="OandT" w:val="Joyce/Ginebra"/>
    <w:docVar w:name="sss1" w:val="CEDAW/C/SLV/CO/8-9/Add.1"/>
    <w:docVar w:name="sss2" w:val="-"/>
    <w:docVar w:name="Symbol1" w:val="CEDAW/C/SLV/CO/8-9/Add.1"/>
    <w:docVar w:name="Symbol2" w:val="-"/>
  </w:docVars>
  <w:rsids>
    <w:rsidRoot w:val="006E2EB6"/>
    <w:rsid w:val="000038B5"/>
    <w:rsid w:val="00004E3F"/>
    <w:rsid w:val="00017FCF"/>
    <w:rsid w:val="000208D6"/>
    <w:rsid w:val="000212C7"/>
    <w:rsid w:val="00021A3D"/>
    <w:rsid w:val="00022CF4"/>
    <w:rsid w:val="00024D1E"/>
    <w:rsid w:val="00046C68"/>
    <w:rsid w:val="00047284"/>
    <w:rsid w:val="00057CC9"/>
    <w:rsid w:val="00065018"/>
    <w:rsid w:val="0007408A"/>
    <w:rsid w:val="00074A9B"/>
    <w:rsid w:val="0009543B"/>
    <w:rsid w:val="000A35EA"/>
    <w:rsid w:val="000A3E91"/>
    <w:rsid w:val="000A6A5B"/>
    <w:rsid w:val="000B13EC"/>
    <w:rsid w:val="000B64F4"/>
    <w:rsid w:val="000C4659"/>
    <w:rsid w:val="000C4C9C"/>
    <w:rsid w:val="000D32BA"/>
    <w:rsid w:val="000F50EE"/>
    <w:rsid w:val="000F5173"/>
    <w:rsid w:val="0011115C"/>
    <w:rsid w:val="001263EE"/>
    <w:rsid w:val="00132A0D"/>
    <w:rsid w:val="0016437F"/>
    <w:rsid w:val="00183560"/>
    <w:rsid w:val="00186556"/>
    <w:rsid w:val="001B6439"/>
    <w:rsid w:val="001D10CD"/>
    <w:rsid w:val="001D19CD"/>
    <w:rsid w:val="001F0B42"/>
    <w:rsid w:val="001F0FB0"/>
    <w:rsid w:val="001F4363"/>
    <w:rsid w:val="001F7D29"/>
    <w:rsid w:val="00203989"/>
    <w:rsid w:val="00204F7A"/>
    <w:rsid w:val="00214645"/>
    <w:rsid w:val="00220FF0"/>
    <w:rsid w:val="00253A8A"/>
    <w:rsid w:val="002540F2"/>
    <w:rsid w:val="002609DE"/>
    <w:rsid w:val="00262329"/>
    <w:rsid w:val="002706A2"/>
    <w:rsid w:val="0027236B"/>
    <w:rsid w:val="00284FE1"/>
    <w:rsid w:val="002C4047"/>
    <w:rsid w:val="002D5D47"/>
    <w:rsid w:val="002D65B7"/>
    <w:rsid w:val="002E7072"/>
    <w:rsid w:val="002F1C36"/>
    <w:rsid w:val="002F4C5A"/>
    <w:rsid w:val="00300BF5"/>
    <w:rsid w:val="0031383D"/>
    <w:rsid w:val="003143BC"/>
    <w:rsid w:val="00314F83"/>
    <w:rsid w:val="00321224"/>
    <w:rsid w:val="003710DB"/>
    <w:rsid w:val="00371A70"/>
    <w:rsid w:val="0039057F"/>
    <w:rsid w:val="003916AB"/>
    <w:rsid w:val="003A2BCA"/>
    <w:rsid w:val="003B0678"/>
    <w:rsid w:val="003B3AA6"/>
    <w:rsid w:val="003C5E36"/>
    <w:rsid w:val="003D4A2F"/>
    <w:rsid w:val="003E3B08"/>
    <w:rsid w:val="003E723B"/>
    <w:rsid w:val="00413A05"/>
    <w:rsid w:val="00415D50"/>
    <w:rsid w:val="00420B10"/>
    <w:rsid w:val="00424D9B"/>
    <w:rsid w:val="00426D65"/>
    <w:rsid w:val="0044179B"/>
    <w:rsid w:val="0045011D"/>
    <w:rsid w:val="004806BF"/>
    <w:rsid w:val="00481F6A"/>
    <w:rsid w:val="00483899"/>
    <w:rsid w:val="00487775"/>
    <w:rsid w:val="00491134"/>
    <w:rsid w:val="00491BEC"/>
    <w:rsid w:val="004B4C46"/>
    <w:rsid w:val="004D17DB"/>
    <w:rsid w:val="004E20D3"/>
    <w:rsid w:val="004E4DE1"/>
    <w:rsid w:val="00507FED"/>
    <w:rsid w:val="00510B25"/>
    <w:rsid w:val="005228C9"/>
    <w:rsid w:val="00524F13"/>
    <w:rsid w:val="00525EEE"/>
    <w:rsid w:val="0052744F"/>
    <w:rsid w:val="00536BB4"/>
    <w:rsid w:val="005375F8"/>
    <w:rsid w:val="0054233B"/>
    <w:rsid w:val="005428BC"/>
    <w:rsid w:val="00545FD6"/>
    <w:rsid w:val="00550A12"/>
    <w:rsid w:val="00554643"/>
    <w:rsid w:val="00556720"/>
    <w:rsid w:val="005832B1"/>
    <w:rsid w:val="00583D31"/>
    <w:rsid w:val="00593F73"/>
    <w:rsid w:val="005A1C47"/>
    <w:rsid w:val="005A2CC3"/>
    <w:rsid w:val="005A745D"/>
    <w:rsid w:val="005B6F9A"/>
    <w:rsid w:val="005C0F51"/>
    <w:rsid w:val="005C49C8"/>
    <w:rsid w:val="005C74CF"/>
    <w:rsid w:val="005D089B"/>
    <w:rsid w:val="005D6FDC"/>
    <w:rsid w:val="005E0EC0"/>
    <w:rsid w:val="005E363E"/>
    <w:rsid w:val="005E658B"/>
    <w:rsid w:val="006033A3"/>
    <w:rsid w:val="00624E78"/>
    <w:rsid w:val="00630929"/>
    <w:rsid w:val="00642782"/>
    <w:rsid w:val="00655AB1"/>
    <w:rsid w:val="006667F8"/>
    <w:rsid w:val="00670C6D"/>
    <w:rsid w:val="00672E12"/>
    <w:rsid w:val="00674235"/>
    <w:rsid w:val="006827D2"/>
    <w:rsid w:val="0068455A"/>
    <w:rsid w:val="00685DA7"/>
    <w:rsid w:val="006B5FE4"/>
    <w:rsid w:val="006B63BE"/>
    <w:rsid w:val="006B6A8C"/>
    <w:rsid w:val="006E2EB6"/>
    <w:rsid w:val="00711EF5"/>
    <w:rsid w:val="0072157B"/>
    <w:rsid w:val="00732E99"/>
    <w:rsid w:val="00736779"/>
    <w:rsid w:val="00744AF4"/>
    <w:rsid w:val="00756D63"/>
    <w:rsid w:val="007612F9"/>
    <w:rsid w:val="007669E0"/>
    <w:rsid w:val="007729E3"/>
    <w:rsid w:val="00774D29"/>
    <w:rsid w:val="00796ED4"/>
    <w:rsid w:val="00797A0E"/>
    <w:rsid w:val="007A7442"/>
    <w:rsid w:val="007A77FB"/>
    <w:rsid w:val="007B4237"/>
    <w:rsid w:val="007B476D"/>
    <w:rsid w:val="007B514F"/>
    <w:rsid w:val="007C36EB"/>
    <w:rsid w:val="007C5E21"/>
    <w:rsid w:val="007D4E5B"/>
    <w:rsid w:val="007D7E4A"/>
    <w:rsid w:val="008265AB"/>
    <w:rsid w:val="00826D31"/>
    <w:rsid w:val="00827D94"/>
    <w:rsid w:val="0083072B"/>
    <w:rsid w:val="008350F0"/>
    <w:rsid w:val="008358A6"/>
    <w:rsid w:val="00840806"/>
    <w:rsid w:val="00855C0C"/>
    <w:rsid w:val="00855FFA"/>
    <w:rsid w:val="00870A67"/>
    <w:rsid w:val="00870CE9"/>
    <w:rsid w:val="008723C3"/>
    <w:rsid w:val="00884FB4"/>
    <w:rsid w:val="00885576"/>
    <w:rsid w:val="008A11AE"/>
    <w:rsid w:val="008E3585"/>
    <w:rsid w:val="008F0B18"/>
    <w:rsid w:val="008F3E1E"/>
    <w:rsid w:val="008F5C2D"/>
    <w:rsid w:val="00922427"/>
    <w:rsid w:val="00926813"/>
    <w:rsid w:val="009457D2"/>
    <w:rsid w:val="00946BF5"/>
    <w:rsid w:val="00952029"/>
    <w:rsid w:val="00966344"/>
    <w:rsid w:val="009909DA"/>
    <w:rsid w:val="00994FEB"/>
    <w:rsid w:val="009A0D24"/>
    <w:rsid w:val="009B2F09"/>
    <w:rsid w:val="009B36E1"/>
    <w:rsid w:val="009D0090"/>
    <w:rsid w:val="009E0F90"/>
    <w:rsid w:val="009E1969"/>
    <w:rsid w:val="009E74F6"/>
    <w:rsid w:val="009F73D4"/>
    <w:rsid w:val="00A041A3"/>
    <w:rsid w:val="00A20AC0"/>
    <w:rsid w:val="00A440CD"/>
    <w:rsid w:val="00A458DD"/>
    <w:rsid w:val="00A650DB"/>
    <w:rsid w:val="00A72249"/>
    <w:rsid w:val="00A82517"/>
    <w:rsid w:val="00A8524E"/>
    <w:rsid w:val="00A966CD"/>
    <w:rsid w:val="00AA165C"/>
    <w:rsid w:val="00AD6C94"/>
    <w:rsid w:val="00AF38EB"/>
    <w:rsid w:val="00AF608B"/>
    <w:rsid w:val="00B03825"/>
    <w:rsid w:val="00B13315"/>
    <w:rsid w:val="00B32A78"/>
    <w:rsid w:val="00B40947"/>
    <w:rsid w:val="00B5102F"/>
    <w:rsid w:val="00B565FD"/>
    <w:rsid w:val="00B64A31"/>
    <w:rsid w:val="00B83250"/>
    <w:rsid w:val="00B839B5"/>
    <w:rsid w:val="00B85923"/>
    <w:rsid w:val="00B9063A"/>
    <w:rsid w:val="00B95B84"/>
    <w:rsid w:val="00B9620C"/>
    <w:rsid w:val="00BA1462"/>
    <w:rsid w:val="00BA7EF1"/>
    <w:rsid w:val="00BB0D3B"/>
    <w:rsid w:val="00BB3BFB"/>
    <w:rsid w:val="00BB43E8"/>
    <w:rsid w:val="00BB778A"/>
    <w:rsid w:val="00BC5683"/>
    <w:rsid w:val="00BF32CB"/>
    <w:rsid w:val="00BF5B27"/>
    <w:rsid w:val="00BF6BE0"/>
    <w:rsid w:val="00C02934"/>
    <w:rsid w:val="00C04769"/>
    <w:rsid w:val="00C30AD5"/>
    <w:rsid w:val="00C518FF"/>
    <w:rsid w:val="00C51D2D"/>
    <w:rsid w:val="00C52DD2"/>
    <w:rsid w:val="00C533DC"/>
    <w:rsid w:val="00C64A80"/>
    <w:rsid w:val="00C7003D"/>
    <w:rsid w:val="00C71F5A"/>
    <w:rsid w:val="00C74BA3"/>
    <w:rsid w:val="00C779E4"/>
    <w:rsid w:val="00C87519"/>
    <w:rsid w:val="00C962B8"/>
    <w:rsid w:val="00CA0E8B"/>
    <w:rsid w:val="00CB54FB"/>
    <w:rsid w:val="00CC31EA"/>
    <w:rsid w:val="00CD294C"/>
    <w:rsid w:val="00CD4142"/>
    <w:rsid w:val="00CD61C3"/>
    <w:rsid w:val="00CD72B1"/>
    <w:rsid w:val="00CE4B39"/>
    <w:rsid w:val="00CF42E9"/>
    <w:rsid w:val="00D04C66"/>
    <w:rsid w:val="00D15D85"/>
    <w:rsid w:val="00D20817"/>
    <w:rsid w:val="00D366BB"/>
    <w:rsid w:val="00D41E9E"/>
    <w:rsid w:val="00D43162"/>
    <w:rsid w:val="00D57688"/>
    <w:rsid w:val="00D80A51"/>
    <w:rsid w:val="00D91A95"/>
    <w:rsid w:val="00D962CA"/>
    <w:rsid w:val="00DA119C"/>
    <w:rsid w:val="00DC7B16"/>
    <w:rsid w:val="00DE55A6"/>
    <w:rsid w:val="00DF34AE"/>
    <w:rsid w:val="00E0340A"/>
    <w:rsid w:val="00E06985"/>
    <w:rsid w:val="00E1514C"/>
    <w:rsid w:val="00E33AEC"/>
    <w:rsid w:val="00E4310C"/>
    <w:rsid w:val="00E445F9"/>
    <w:rsid w:val="00E72470"/>
    <w:rsid w:val="00E73601"/>
    <w:rsid w:val="00E7541B"/>
    <w:rsid w:val="00E767C1"/>
    <w:rsid w:val="00E86002"/>
    <w:rsid w:val="00E93FB6"/>
    <w:rsid w:val="00E95D57"/>
    <w:rsid w:val="00EC6195"/>
    <w:rsid w:val="00ED181D"/>
    <w:rsid w:val="00ED663D"/>
    <w:rsid w:val="00ED69CA"/>
    <w:rsid w:val="00ED7F8A"/>
    <w:rsid w:val="00F075D6"/>
    <w:rsid w:val="00F21C28"/>
    <w:rsid w:val="00F27BF6"/>
    <w:rsid w:val="00F30184"/>
    <w:rsid w:val="00F31052"/>
    <w:rsid w:val="00F32866"/>
    <w:rsid w:val="00F367E8"/>
    <w:rsid w:val="00F41482"/>
    <w:rsid w:val="00F4788E"/>
    <w:rsid w:val="00F52FFB"/>
    <w:rsid w:val="00F5593E"/>
    <w:rsid w:val="00F94BC6"/>
    <w:rsid w:val="00FA0EFB"/>
    <w:rsid w:val="00FA3D4C"/>
    <w:rsid w:val="00FC56AE"/>
    <w:rsid w:val="00FD3101"/>
    <w:rsid w:val="00FD4A3D"/>
    <w:rsid w:val="00FE1D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2ABFB"/>
  <w15:chartTrackingRefBased/>
  <w15:docId w15:val="{EAFA4763-E0DD-46B8-9FEC-8A758E77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C6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670C6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70C6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70C6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70C6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70C6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70C6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70C6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70C6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70C6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70C6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70C6D"/>
    <w:pPr>
      <w:keepNext/>
      <w:keepLines/>
      <w:spacing w:line="270" w:lineRule="exact"/>
      <w:outlineLvl w:val="0"/>
    </w:pPr>
    <w:rPr>
      <w:b/>
      <w:kern w:val="14"/>
      <w:sz w:val="24"/>
    </w:rPr>
  </w:style>
  <w:style w:type="paragraph" w:customStyle="1" w:styleId="HCh">
    <w:name w:val="_ H _Ch"/>
    <w:basedOn w:val="H1"/>
    <w:next w:val="Normal"/>
    <w:qFormat/>
    <w:rsid w:val="00670C6D"/>
    <w:pPr>
      <w:spacing w:line="300" w:lineRule="exact"/>
    </w:pPr>
    <w:rPr>
      <w:spacing w:val="-2"/>
      <w:sz w:val="28"/>
    </w:rPr>
  </w:style>
  <w:style w:type="paragraph" w:customStyle="1" w:styleId="HM">
    <w:name w:val="_ H __M"/>
    <w:basedOn w:val="HCh"/>
    <w:next w:val="Normal"/>
    <w:qFormat/>
    <w:rsid w:val="00670C6D"/>
    <w:pPr>
      <w:spacing w:line="360" w:lineRule="exact"/>
    </w:pPr>
    <w:rPr>
      <w:spacing w:val="-3"/>
      <w:w w:val="99"/>
      <w:sz w:val="34"/>
    </w:rPr>
  </w:style>
  <w:style w:type="paragraph" w:customStyle="1" w:styleId="H23">
    <w:name w:val="_ H_2/3"/>
    <w:basedOn w:val="H1"/>
    <w:next w:val="Normal"/>
    <w:qFormat/>
    <w:rsid w:val="00670C6D"/>
    <w:pPr>
      <w:spacing w:line="240" w:lineRule="exact"/>
      <w:outlineLvl w:val="1"/>
    </w:pPr>
    <w:rPr>
      <w:spacing w:val="2"/>
      <w:sz w:val="20"/>
    </w:rPr>
  </w:style>
  <w:style w:type="paragraph" w:customStyle="1" w:styleId="H4">
    <w:name w:val="_ H_4"/>
    <w:basedOn w:val="Normal"/>
    <w:next w:val="SingleTxt"/>
    <w:qFormat/>
    <w:rsid w:val="00670C6D"/>
    <w:pPr>
      <w:keepNext/>
      <w:keepLines/>
      <w:tabs>
        <w:tab w:val="right" w:pos="360"/>
      </w:tabs>
      <w:outlineLvl w:val="3"/>
    </w:pPr>
    <w:rPr>
      <w:i/>
      <w:spacing w:val="3"/>
      <w:kern w:val="14"/>
    </w:rPr>
  </w:style>
  <w:style w:type="paragraph" w:customStyle="1" w:styleId="H56">
    <w:name w:val="_ H_5/6"/>
    <w:basedOn w:val="Normal"/>
    <w:next w:val="Normal"/>
    <w:qFormat/>
    <w:rsid w:val="00670C6D"/>
    <w:pPr>
      <w:keepNext/>
      <w:keepLines/>
      <w:tabs>
        <w:tab w:val="right" w:pos="360"/>
      </w:tabs>
      <w:outlineLvl w:val="4"/>
    </w:pPr>
    <w:rPr>
      <w:kern w:val="14"/>
    </w:rPr>
  </w:style>
  <w:style w:type="paragraph" w:customStyle="1" w:styleId="DualTxt">
    <w:name w:val="__Dual Txt"/>
    <w:basedOn w:val="Normal"/>
    <w:qFormat/>
    <w:rsid w:val="00670C6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70C6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70C6D"/>
    <w:pPr>
      <w:spacing w:line="540" w:lineRule="exact"/>
    </w:pPr>
    <w:rPr>
      <w:spacing w:val="-8"/>
      <w:w w:val="96"/>
      <w:sz w:val="57"/>
    </w:rPr>
  </w:style>
  <w:style w:type="paragraph" w:customStyle="1" w:styleId="SS">
    <w:name w:val="__S_S"/>
    <w:basedOn w:val="HCh"/>
    <w:next w:val="Normal"/>
    <w:qFormat/>
    <w:rsid w:val="00670C6D"/>
    <w:pPr>
      <w:ind w:left="1267" w:right="1267"/>
    </w:pPr>
  </w:style>
  <w:style w:type="paragraph" w:customStyle="1" w:styleId="SingleTxt">
    <w:name w:val="__Single Txt"/>
    <w:basedOn w:val="Normal"/>
    <w:qFormat/>
    <w:rsid w:val="00670C6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70C6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Normal"/>
    <w:qFormat/>
    <w:rsid w:val="00670C6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70C6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70C6D"/>
    <w:rPr>
      <w:rFonts w:ascii="Tahoma" w:hAnsi="Tahoma" w:cs="Tahoma"/>
      <w:sz w:val="16"/>
      <w:szCs w:val="16"/>
    </w:rPr>
  </w:style>
  <w:style w:type="character" w:customStyle="1" w:styleId="BalloonTextChar">
    <w:name w:val="Balloon Text Char"/>
    <w:basedOn w:val="DefaultParagraphFont"/>
    <w:link w:val="BalloonText"/>
    <w:semiHidden/>
    <w:rsid w:val="00670C6D"/>
    <w:rPr>
      <w:rFonts w:ascii="Tahoma" w:eastAsiaTheme="minorHAnsi" w:hAnsi="Tahoma" w:cs="Tahoma"/>
      <w:spacing w:val="4"/>
      <w:w w:val="103"/>
      <w:sz w:val="16"/>
      <w:szCs w:val="16"/>
      <w:lang w:val="es-ES" w:eastAsia="en-US"/>
    </w:rPr>
  </w:style>
  <w:style w:type="paragraph" w:customStyle="1" w:styleId="Bullet1">
    <w:name w:val="Bullet 1"/>
    <w:basedOn w:val="Normal"/>
    <w:qFormat/>
    <w:rsid w:val="00670C6D"/>
    <w:pPr>
      <w:numPr>
        <w:numId w:val="17"/>
      </w:numPr>
      <w:spacing w:after="120"/>
      <w:ind w:right="1264"/>
      <w:jc w:val="both"/>
    </w:pPr>
  </w:style>
  <w:style w:type="paragraph" w:customStyle="1" w:styleId="Bullet2">
    <w:name w:val="Bullet 2"/>
    <w:basedOn w:val="Normal"/>
    <w:qFormat/>
    <w:rsid w:val="00670C6D"/>
    <w:pPr>
      <w:numPr>
        <w:numId w:val="18"/>
      </w:numPr>
      <w:spacing w:after="120"/>
      <w:ind w:right="1264"/>
      <w:jc w:val="both"/>
    </w:pPr>
  </w:style>
  <w:style w:type="paragraph" w:customStyle="1" w:styleId="Bullet3">
    <w:name w:val="Bullet 3"/>
    <w:basedOn w:val="SingleTxt"/>
    <w:qFormat/>
    <w:rsid w:val="00670C6D"/>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70C6D"/>
    <w:pPr>
      <w:spacing w:line="240" w:lineRule="auto"/>
    </w:pPr>
    <w:rPr>
      <w:b/>
      <w:bCs/>
      <w:color w:val="4F81BD"/>
      <w:sz w:val="18"/>
      <w:szCs w:val="18"/>
    </w:rPr>
  </w:style>
  <w:style w:type="character" w:styleId="CommentReference">
    <w:name w:val="annotation reference"/>
    <w:semiHidden/>
    <w:rsid w:val="00670C6D"/>
    <w:rPr>
      <w:sz w:val="6"/>
    </w:rPr>
  </w:style>
  <w:style w:type="paragraph" w:customStyle="1" w:styleId="Distribution">
    <w:name w:val="Distribution"/>
    <w:next w:val="Normal"/>
    <w:autoRedefine/>
    <w:qFormat/>
    <w:rsid w:val="00670C6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670C6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670C6D"/>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670C6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670C6D"/>
    <w:pPr>
      <w:spacing w:after="80"/>
    </w:pPr>
  </w:style>
  <w:style w:type="character" w:customStyle="1" w:styleId="EndnoteTextChar">
    <w:name w:val="Endnote Text Char"/>
    <w:basedOn w:val="DefaultParagraphFont"/>
    <w:link w:val="EndnoteText"/>
    <w:semiHidden/>
    <w:rsid w:val="00670C6D"/>
    <w:rPr>
      <w:rFonts w:ascii="Times New Roman" w:eastAsiaTheme="minorHAnsi" w:hAnsi="Times New Roman" w:cs="Times New Roman"/>
      <w:spacing w:val="5"/>
      <w:w w:val="104"/>
      <w:sz w:val="17"/>
      <w:lang w:val="es-ES" w:eastAsia="en-US"/>
    </w:rPr>
  </w:style>
  <w:style w:type="paragraph" w:styleId="Footer">
    <w:name w:val="footer"/>
    <w:link w:val="FooterChar"/>
    <w:qFormat/>
    <w:rsid w:val="00670C6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670C6D"/>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670C6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70C6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70C6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70C6D"/>
    <w:pPr>
      <w:spacing w:before="240"/>
    </w:pPr>
    <w:rPr>
      <w:b/>
      <w:spacing w:val="-2"/>
      <w:w w:val="100"/>
    </w:rPr>
  </w:style>
  <w:style w:type="paragraph" w:customStyle="1" w:styleId="HdChapterBdLg">
    <w:name w:val="Hd Chapter Bd Lg"/>
    <w:basedOn w:val="HdChapterBD"/>
    <w:next w:val="Normal"/>
    <w:qFormat/>
    <w:rsid w:val="00670C6D"/>
    <w:rPr>
      <w:spacing w:val="-3"/>
      <w:w w:val="99"/>
      <w:kern w:val="14"/>
      <w:sz w:val="34"/>
      <w:szCs w:val="34"/>
    </w:rPr>
  </w:style>
  <w:style w:type="paragraph" w:styleId="Header">
    <w:name w:val="header"/>
    <w:link w:val="HeaderChar"/>
    <w:qFormat/>
    <w:rsid w:val="00670C6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670C6D"/>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uiPriority w:val="9"/>
    <w:rsid w:val="00670C6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70C6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70C6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70C6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70C6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70C6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70C6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70C6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70C6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70C6D"/>
    <w:pPr>
      <w:keepNext/>
      <w:spacing w:before="190" w:line="270" w:lineRule="exact"/>
    </w:pPr>
    <w:rPr>
      <w:b/>
      <w:kern w:val="14"/>
      <w:sz w:val="24"/>
    </w:rPr>
  </w:style>
  <w:style w:type="paragraph" w:customStyle="1" w:styleId="JournalHeading2">
    <w:name w:val="Journal_Heading2"/>
    <w:basedOn w:val="Normal"/>
    <w:next w:val="Normal"/>
    <w:qFormat/>
    <w:rsid w:val="00670C6D"/>
    <w:pPr>
      <w:keepNext/>
      <w:keepLines/>
      <w:spacing w:before="240"/>
      <w:outlineLvl w:val="1"/>
    </w:pPr>
    <w:rPr>
      <w:b/>
      <w:spacing w:val="2"/>
      <w:kern w:val="14"/>
    </w:rPr>
  </w:style>
  <w:style w:type="paragraph" w:customStyle="1" w:styleId="JournalHeading4">
    <w:name w:val="Journal_Heading4"/>
    <w:basedOn w:val="Normal"/>
    <w:next w:val="Normal"/>
    <w:qFormat/>
    <w:rsid w:val="00670C6D"/>
    <w:pPr>
      <w:keepNext/>
      <w:keepLines/>
      <w:spacing w:before="240"/>
      <w:outlineLvl w:val="3"/>
    </w:pPr>
    <w:rPr>
      <w:i/>
      <w:kern w:val="14"/>
    </w:rPr>
  </w:style>
  <w:style w:type="character" w:styleId="LineNumber">
    <w:name w:val="line number"/>
    <w:qFormat/>
    <w:rsid w:val="00670C6D"/>
    <w:rPr>
      <w:sz w:val="14"/>
    </w:rPr>
  </w:style>
  <w:style w:type="paragraph" w:styleId="NoSpacing">
    <w:name w:val="No Spacing"/>
    <w:basedOn w:val="Normal"/>
    <w:uiPriority w:val="1"/>
    <w:rsid w:val="00670C6D"/>
    <w:pPr>
      <w:spacing w:line="240" w:lineRule="auto"/>
    </w:pPr>
  </w:style>
  <w:style w:type="paragraph" w:customStyle="1" w:styleId="NormalBullet">
    <w:name w:val="Normal Bullet"/>
    <w:basedOn w:val="Normal"/>
    <w:next w:val="Normal"/>
    <w:qFormat/>
    <w:rsid w:val="00670C6D"/>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670C6D"/>
    <w:pPr>
      <w:tabs>
        <w:tab w:val="left" w:leader="dot" w:pos="2218"/>
        <w:tab w:val="left" w:pos="2707"/>
        <w:tab w:val="right" w:leader="dot" w:pos="9835"/>
      </w:tabs>
    </w:pPr>
    <w:rPr>
      <w:kern w:val="14"/>
    </w:rPr>
  </w:style>
  <w:style w:type="paragraph" w:customStyle="1" w:styleId="Original">
    <w:name w:val="Original"/>
    <w:next w:val="Normal"/>
    <w:autoRedefine/>
    <w:qFormat/>
    <w:rsid w:val="00670C6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670C6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670C6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670C6D"/>
    <w:pPr>
      <w:tabs>
        <w:tab w:val="right" w:pos="9965"/>
      </w:tabs>
      <w:spacing w:line="210" w:lineRule="exact"/>
    </w:pPr>
    <w:rPr>
      <w:spacing w:val="5"/>
      <w:w w:val="104"/>
      <w:kern w:val="14"/>
      <w:sz w:val="17"/>
    </w:rPr>
  </w:style>
  <w:style w:type="paragraph" w:customStyle="1" w:styleId="SmallX">
    <w:name w:val="SmallX"/>
    <w:basedOn w:val="Small"/>
    <w:next w:val="Normal"/>
    <w:qFormat/>
    <w:rsid w:val="00670C6D"/>
    <w:pPr>
      <w:spacing w:line="180" w:lineRule="exact"/>
      <w:jc w:val="right"/>
    </w:pPr>
    <w:rPr>
      <w:spacing w:val="6"/>
      <w:w w:val="106"/>
      <w:sz w:val="14"/>
    </w:rPr>
  </w:style>
  <w:style w:type="paragraph" w:customStyle="1" w:styleId="TitleHCH">
    <w:name w:val="Title_H_CH"/>
    <w:basedOn w:val="HCh"/>
    <w:next w:val="Normal"/>
    <w:qFormat/>
    <w:rsid w:val="00670C6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next w:val="Normal"/>
    <w:qFormat/>
    <w:rsid w:val="00670C6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70C6D"/>
    <w:pPr>
      <w:outlineLvl w:val="9"/>
    </w:pPr>
    <w:rPr>
      <w:rFonts w:eastAsiaTheme="majorEastAsia" w:cstheme="majorBidi"/>
      <w:lang w:bidi="en-US"/>
    </w:rPr>
  </w:style>
  <w:style w:type="paragraph" w:customStyle="1" w:styleId="XLarge">
    <w:name w:val="XLarge"/>
    <w:basedOn w:val="HM"/>
    <w:qFormat/>
    <w:rsid w:val="00670C6D"/>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BF32CB"/>
    <w:pPr>
      <w:spacing w:line="240" w:lineRule="auto"/>
    </w:pPr>
    <w:rPr>
      <w:szCs w:val="20"/>
    </w:rPr>
  </w:style>
  <w:style w:type="character" w:customStyle="1" w:styleId="CommentTextChar">
    <w:name w:val="Comment Text Char"/>
    <w:basedOn w:val="DefaultParagraphFont"/>
    <w:link w:val="CommentText"/>
    <w:uiPriority w:val="99"/>
    <w:semiHidden/>
    <w:rsid w:val="00BF32CB"/>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F32CB"/>
    <w:rPr>
      <w:b/>
      <w:bCs/>
    </w:rPr>
  </w:style>
  <w:style w:type="character" w:customStyle="1" w:styleId="CommentSubjectChar">
    <w:name w:val="Comment Subject Char"/>
    <w:basedOn w:val="CommentTextChar"/>
    <w:link w:val="CommentSubject"/>
    <w:uiPriority w:val="99"/>
    <w:semiHidden/>
    <w:rsid w:val="00BF32CB"/>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3710DB"/>
    <w:pPr>
      <w:keepNext/>
      <w:keepLines/>
      <w:tabs>
        <w:tab w:val="right" w:pos="851"/>
      </w:tabs>
      <w:spacing w:before="360" w:after="240" w:line="300" w:lineRule="exact"/>
      <w:ind w:left="1134" w:right="1134" w:hanging="1134"/>
    </w:pPr>
    <w:rPr>
      <w:rFonts w:eastAsia="Times New Roman"/>
      <w:b/>
      <w:spacing w:val="0"/>
      <w:w w:val="100"/>
      <w:sz w:val="28"/>
      <w:szCs w:val="20"/>
      <w:lang w:val="es-ES_tradnl"/>
    </w:rPr>
  </w:style>
  <w:style w:type="paragraph" w:customStyle="1" w:styleId="SingleTxtG">
    <w:name w:val="_ Single Txt_G"/>
    <w:basedOn w:val="Normal"/>
    <w:qFormat/>
    <w:rsid w:val="003710DB"/>
    <w:pPr>
      <w:spacing w:after="120" w:line="240" w:lineRule="atLeast"/>
      <w:ind w:left="1134" w:right="1134"/>
      <w:jc w:val="both"/>
    </w:pPr>
    <w:rPr>
      <w:rFonts w:eastAsia="Times New Roman"/>
      <w:spacing w:val="0"/>
      <w:w w:val="100"/>
      <w:szCs w:val="20"/>
      <w:lang w:val="es-ES_tradnl"/>
    </w:rPr>
  </w:style>
  <w:style w:type="paragraph" w:customStyle="1" w:styleId="Bullet1G">
    <w:name w:val="_Bullet 1_G"/>
    <w:basedOn w:val="Normal"/>
    <w:qFormat/>
    <w:rsid w:val="003710DB"/>
    <w:pPr>
      <w:numPr>
        <w:numId w:val="21"/>
      </w:numPr>
      <w:spacing w:after="120" w:line="240" w:lineRule="atLeast"/>
      <w:ind w:right="1134"/>
      <w:jc w:val="both"/>
    </w:pPr>
    <w:rPr>
      <w:rFonts w:eastAsia="Times New Roman"/>
      <w:spacing w:val="0"/>
      <w:w w:val="100"/>
      <w:szCs w:val="20"/>
      <w:lang w:val="es-ES_tradnl"/>
    </w:rPr>
  </w:style>
  <w:style w:type="paragraph" w:customStyle="1" w:styleId="H1G">
    <w:name w:val="_ H_1_G"/>
    <w:basedOn w:val="Normal"/>
    <w:next w:val="Normal"/>
    <w:qFormat/>
    <w:rsid w:val="003710DB"/>
    <w:pPr>
      <w:keepNext/>
      <w:keepLines/>
      <w:tabs>
        <w:tab w:val="right" w:pos="851"/>
      </w:tabs>
      <w:spacing w:before="360" w:after="240" w:line="270" w:lineRule="exact"/>
      <w:ind w:left="1134" w:right="1134" w:hanging="1134"/>
    </w:pPr>
    <w:rPr>
      <w:rFonts w:eastAsia="Times New Roman"/>
      <w:b/>
      <w:spacing w:val="0"/>
      <w:w w:val="100"/>
      <w:sz w:val="24"/>
      <w:szCs w:val="20"/>
      <w:lang w:val="es-ES_tradnl"/>
    </w:rPr>
  </w:style>
  <w:style w:type="paragraph" w:customStyle="1" w:styleId="H23G">
    <w:name w:val="_ H_2/3_G"/>
    <w:basedOn w:val="Normal"/>
    <w:next w:val="Normal"/>
    <w:qFormat/>
    <w:rsid w:val="003710DB"/>
    <w:pPr>
      <w:keepNext/>
      <w:keepLines/>
      <w:tabs>
        <w:tab w:val="right" w:pos="851"/>
      </w:tabs>
      <w:spacing w:before="240" w:after="120"/>
      <w:ind w:left="1134" w:right="1134" w:hanging="1134"/>
    </w:pPr>
    <w:rPr>
      <w:rFonts w:eastAsia="Times New Roman"/>
      <w:b/>
      <w:spacing w:val="0"/>
      <w:w w:val="100"/>
      <w:szCs w:val="20"/>
      <w:lang w:val="es-ES_tradnl"/>
    </w:rPr>
  </w:style>
  <w:style w:type="paragraph" w:customStyle="1" w:styleId="H4G">
    <w:name w:val="_ H_4_G"/>
    <w:basedOn w:val="Normal"/>
    <w:next w:val="Normal"/>
    <w:qFormat/>
    <w:rsid w:val="003710DB"/>
    <w:pPr>
      <w:keepNext/>
      <w:keepLines/>
      <w:tabs>
        <w:tab w:val="right" w:pos="851"/>
      </w:tabs>
      <w:spacing w:before="240" w:after="120"/>
      <w:ind w:left="1134" w:right="1134" w:hanging="1134"/>
    </w:pPr>
    <w:rPr>
      <w:rFonts w:eastAsia="Times New Roman"/>
      <w:i/>
      <w:spacing w:val="0"/>
      <w:w w:val="100"/>
      <w:szCs w:val="20"/>
      <w:lang w:val="es-ES_tradnl"/>
    </w:rPr>
  </w:style>
  <w:style w:type="character" w:styleId="Hyperlink">
    <w:name w:val="Hyperlink"/>
    <w:basedOn w:val="DefaultParagraphFont"/>
    <w:semiHidden/>
    <w:rsid w:val="003710DB"/>
    <w:rPr>
      <w:color w:val="0000FF"/>
      <w:u w:val="none"/>
    </w:rPr>
  </w:style>
  <w:style w:type="table" w:styleId="TableGrid">
    <w:name w:val="Table Grid"/>
    <w:basedOn w:val="TableNormal"/>
    <w:rsid w:val="003710DB"/>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G">
    <w:name w:val="_ Normal_G"/>
    <w:basedOn w:val="Normal"/>
    <w:link w:val="NormalGChar"/>
    <w:rsid w:val="003710DB"/>
    <w:pPr>
      <w:suppressAutoHyphens w:val="0"/>
      <w:spacing w:line="240" w:lineRule="atLeast"/>
    </w:pPr>
    <w:rPr>
      <w:rFonts w:eastAsia="Times New Roman"/>
      <w:bCs/>
      <w:spacing w:val="0"/>
      <w:w w:val="100"/>
      <w:szCs w:val="20"/>
      <w:lang w:eastAsia="es-ES"/>
    </w:rPr>
  </w:style>
  <w:style w:type="character" w:customStyle="1" w:styleId="NormalGChar">
    <w:name w:val="_ Normal_G Char"/>
    <w:link w:val="NormalG"/>
    <w:rsid w:val="003710DB"/>
    <w:rPr>
      <w:rFonts w:ascii="Times New Roman" w:eastAsia="Times New Roman" w:hAnsi="Times New Roman" w:cs="Times New Roman"/>
      <w:bCs/>
      <w:sz w:val="20"/>
      <w:szCs w:val="20"/>
      <w:lang w:val="es-ES" w:eastAsia="es-ES"/>
    </w:rPr>
  </w:style>
  <w:style w:type="character" w:styleId="FollowedHyperlink">
    <w:name w:val="FollowedHyperlink"/>
    <w:basedOn w:val="DefaultParagraphFont"/>
    <w:uiPriority w:val="99"/>
    <w:semiHidden/>
    <w:unhideWhenUsed/>
    <w:rsid w:val="00756D63"/>
    <w:rPr>
      <w:color w:val="0000FF"/>
      <w:u w:val="none"/>
    </w:rPr>
  </w:style>
  <w:style w:type="character" w:styleId="UnresolvedMention">
    <w:name w:val="Unresolved Mention"/>
    <w:basedOn w:val="DefaultParagraphFont"/>
    <w:uiPriority w:val="99"/>
    <w:semiHidden/>
    <w:unhideWhenUsed/>
    <w:rsid w:val="00756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nfoigualdad-isdemu.gob.sv" TargetMode="External"/><Relationship Id="rId2" Type="http://schemas.openxmlformats.org/officeDocument/2006/relationships/numbering" Target="numbering.xml"/><Relationship Id="rId16" Type="http://schemas.openxmlformats.org/officeDocument/2006/relationships/hyperlink" Target="https://undocs.org/sp/CEDAW/C/SLV/CO/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csj.gob.sv/Comunicaciones/2018/07_JULIO/BOLETINES/060718%20Boletin%2003%20Jurisdicci%C3%B3n%20Especializada%20para%20una%20Vida%20Libre%20de%20Violencia%20y%20Discriminaci%C3%B3n%20para%20las%20Mujeres.pdf" TargetMode="External"/><Relationship Id="rId2" Type="http://schemas.openxmlformats.org/officeDocument/2006/relationships/hyperlink" Target="http://www.csj.gob.sv/Comunicaciones/2019/ENERO/BOLETINES/30.01.2019%20Bolet&#237;n%201%20Jurisdicci&#243;n%20Especializada%20para%20una%20Vida%20Libre%20de%20Violencia%20y%20Discriminaci&#243;n%20para%20las%20Mujeres%20(1).pdf" TargetMode="External"/><Relationship Id="rId1" Type="http://schemas.openxmlformats.org/officeDocument/2006/relationships/hyperlink" Target="https://www.asamblea.gob.sv/decretos/details/270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3DBD5-8515-4DA2-8707-791242B5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3709</Words>
  <Characters>20108</Characters>
  <Application>Microsoft Office Word</Application>
  <DocSecurity>0</DocSecurity>
  <Lines>467</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Janssen</dc:creator>
  <cp:keywords/>
  <dc:description/>
  <cp:lastModifiedBy>Joyce Janssen</cp:lastModifiedBy>
  <cp:revision>3</cp:revision>
  <dcterms:created xsi:type="dcterms:W3CDTF">2019-05-08T14:05:00Z</dcterms:created>
  <dcterms:modified xsi:type="dcterms:W3CDTF">2019-05-08T14:24:00Z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1906398</vt:lpwstr>
  </property>
  <property fmtid="{D5CDD505-2E9C-101B-9397-08002B2CF9AE}" pid="3" name="ODSRefJobNo">
    <vt:lpwstr>1911224</vt:lpwstr>
  </property>
  <property fmtid="{D5CDD505-2E9C-101B-9397-08002B2CF9AE}" pid="4" name="Symbol1">
    <vt:lpwstr>CEDAW/C/SLV/CO/8-9/Add.1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Release Date">
    <vt:lpwstr>160419</vt:lpwstr>
  </property>
  <property fmtid="{D5CDD505-2E9C-101B-9397-08002B2CF9AE}" pid="9" name="Title1">
    <vt:lpwstr>Comité para la Eliminación de la Discriminación contra la Mujer_x000d_</vt:lpwstr>
  </property>
  <property fmtid="{D5CDD505-2E9C-101B-9397-08002B2CF9AE}" pid="10" name="Title2">
    <vt:lpwstr>		Observaciones finales sobre los informes periódicos octavo y noveno combinados de El Salvador_x000d_</vt:lpwstr>
  </property>
  <property fmtid="{D5CDD505-2E9C-101B-9397-08002B2CF9AE}" pid="11" name="Title3">
    <vt:lpwstr>		Adición_x000d_</vt:lpwstr>
  </property>
  <property fmtid="{D5CDD505-2E9C-101B-9397-08002B2CF9AE}" pid="12" name="Title4">
    <vt:lpwstr>		Información suministrada por El Salvador sobre el seguimiento de las observaciones finales*_x000d_</vt:lpwstr>
  </property>
  <property fmtid="{D5CDD505-2E9C-101B-9397-08002B2CF9AE}" pid="13" name="Comment">
    <vt:lpwstr/>
  </property>
  <property fmtid="{D5CDD505-2E9C-101B-9397-08002B2CF9AE}" pid="14" name="DraftPages">
    <vt:lpwstr> </vt:lpwstr>
  </property>
  <property fmtid="{D5CDD505-2E9C-101B-9397-08002B2CF9AE}" pid="15" name="Operator">
    <vt:lpwstr>Joyce</vt:lpwstr>
  </property>
  <property fmtid="{D5CDD505-2E9C-101B-9397-08002B2CF9AE}" pid="16" name="Translator">
    <vt:lpwstr>Ginebra</vt:lpwstr>
  </property>
</Properties>
</file>