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B51F" w14:textId="77777777" w:rsidR="0002437B" w:rsidRDefault="007A649B" w:rsidP="0002437B">
      <w:pPr>
        <w:spacing w:line="240" w:lineRule="auto"/>
        <w:rPr>
          <w:sz w:val="2"/>
        </w:rPr>
      </w:pPr>
      <w:r>
        <w:rPr>
          <w:rStyle w:val="CommentReference"/>
        </w:rPr>
        <w:commentReference w:id="0"/>
      </w:r>
    </w:p>
    <w:p w14:paraId="5079CD85" w14:textId="60B4D802" w:rsidR="007A649B" w:rsidRPr="007A649B" w:rsidRDefault="007A649B" w:rsidP="007A649B">
      <w:pPr>
        <w:spacing w:line="20" w:lineRule="exact"/>
        <w:rPr>
          <w:sz w:val="2"/>
        </w:rPr>
        <w:sectPr w:rsidR="007A649B" w:rsidRPr="007A649B" w:rsidSect="00062766">
          <w:headerReference w:type="even" r:id="rId9"/>
          <w:headerReference w:type="default" r:id="rId10"/>
          <w:footerReference w:type="even" r:id="rId11"/>
          <w:footerReference w:type="default" r:id="rId12"/>
          <w:headerReference w:type="first" r:id="rId13"/>
          <w:footerReference w:type="first" r:id="rId14"/>
          <w:pgSz w:w="12240" w:h="15840"/>
          <w:pgMar w:top="1440" w:right="1200" w:bottom="1728" w:left="1200" w:header="432" w:footer="576" w:gutter="0"/>
          <w:cols w:space="720"/>
          <w:titlePg/>
          <w:docGrid w:linePitch="360"/>
        </w:sectPr>
      </w:pPr>
    </w:p>
    <w:p w14:paraId="6BCE40DA" w14:textId="5B218ABC" w:rsidR="00E73100" w:rsidRPr="00477480" w:rsidRDefault="00E73100" w:rsidP="00CD1C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 w:lineRule="exact"/>
        <w:ind w:right="1260"/>
        <w:rPr>
          <w:sz w:val="2"/>
        </w:rPr>
      </w:pPr>
    </w:p>
    <w:p w14:paraId="09BCDE67" w14:textId="77777777" w:rsidR="00062766" w:rsidRPr="00477480" w:rsidRDefault="00062766" w:rsidP="000627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 w:lineRule="exact"/>
        <w:ind w:right="1260"/>
        <w:rPr>
          <w:sz w:val="2"/>
        </w:rPr>
      </w:pPr>
    </w:p>
    <w:p w14:paraId="629AEDB8" w14:textId="2A61EC8E" w:rsidR="00E73100" w:rsidRPr="00477480" w:rsidRDefault="00CD1C65" w:rsidP="00CD1C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477480">
        <w:t xml:space="preserve">Comité pour l’élimination de la discrimination </w:t>
      </w:r>
      <w:r w:rsidRPr="00477480">
        <w:br/>
        <w:t>à l’égard des femmes</w:t>
      </w:r>
    </w:p>
    <w:p w14:paraId="6C9E95DD" w14:textId="34E13F90" w:rsidR="00E73100" w:rsidRPr="00477480" w:rsidRDefault="00E73100" w:rsidP="00CD1C65">
      <w:pPr>
        <w:pStyle w:val="SingleTxt"/>
        <w:spacing w:after="0" w:line="120" w:lineRule="exact"/>
        <w:rPr>
          <w:sz w:val="10"/>
        </w:rPr>
      </w:pPr>
    </w:p>
    <w:p w14:paraId="40505772" w14:textId="77777777" w:rsidR="00CD1C65" w:rsidRPr="00477480" w:rsidRDefault="00CD1C65" w:rsidP="00E73100">
      <w:pPr>
        <w:pStyle w:val="SingleTxt"/>
        <w:spacing w:after="0" w:line="120" w:lineRule="exact"/>
        <w:rPr>
          <w:sz w:val="10"/>
        </w:rPr>
      </w:pPr>
    </w:p>
    <w:p w14:paraId="1AE84050" w14:textId="77777777" w:rsidR="00E73100" w:rsidRPr="00477480" w:rsidRDefault="00E73100" w:rsidP="00E73100">
      <w:pPr>
        <w:pStyle w:val="SingleTxt"/>
        <w:spacing w:after="0" w:line="120" w:lineRule="exact"/>
        <w:rPr>
          <w:sz w:val="10"/>
        </w:rPr>
      </w:pPr>
    </w:p>
    <w:p w14:paraId="5AF80ECF" w14:textId="345FAE41" w:rsidR="00E73100" w:rsidRPr="00477480" w:rsidRDefault="00E73100" w:rsidP="00CD1C65">
      <w:pPr>
        <w:pStyle w:val="TitleHCH"/>
        <w:ind w:right="1260"/>
      </w:pPr>
      <w:r w:rsidRPr="00477480">
        <w:tab/>
      </w:r>
      <w:r w:rsidRPr="00477480">
        <w:tab/>
      </w:r>
      <w:r w:rsidR="00CD1C65" w:rsidRPr="00477480">
        <w:t>Observations finales concernant le rapport d’El Salvador valant huitième à neuvième rapports périodiques</w:t>
      </w:r>
    </w:p>
    <w:p w14:paraId="795CFB8E" w14:textId="77777777" w:rsidR="00E73100" w:rsidRPr="00477480" w:rsidRDefault="00E73100" w:rsidP="00E73100">
      <w:pPr>
        <w:pStyle w:val="SingleTxt"/>
        <w:spacing w:after="0" w:line="120" w:lineRule="exact"/>
        <w:rPr>
          <w:b/>
          <w:bCs/>
          <w:sz w:val="10"/>
        </w:rPr>
      </w:pPr>
    </w:p>
    <w:p w14:paraId="7F2B670D" w14:textId="6F9DF0BF" w:rsidR="00E73100" w:rsidRPr="00477480" w:rsidRDefault="00E73100" w:rsidP="00E73100">
      <w:pPr>
        <w:pStyle w:val="SingleTxt"/>
        <w:spacing w:after="0" w:line="120" w:lineRule="exact"/>
        <w:rPr>
          <w:b/>
          <w:bCs/>
          <w:sz w:val="10"/>
        </w:rPr>
      </w:pPr>
    </w:p>
    <w:p w14:paraId="1929D510" w14:textId="0046C773" w:rsidR="00CD1C65" w:rsidRPr="00477480" w:rsidRDefault="00CD1C65" w:rsidP="00CD1C65">
      <w:pPr>
        <w:pStyle w:val="SingleTxt"/>
      </w:pPr>
      <w:r w:rsidRPr="00477480">
        <w:t>Additif</w:t>
      </w:r>
    </w:p>
    <w:p w14:paraId="365E286C" w14:textId="55418011" w:rsidR="00CD1C65" w:rsidRPr="00477480" w:rsidRDefault="00CD1C65" w:rsidP="00CD1C65">
      <w:pPr>
        <w:pStyle w:val="SingleTxt"/>
        <w:spacing w:after="0" w:line="120" w:lineRule="exact"/>
        <w:rPr>
          <w:sz w:val="10"/>
        </w:rPr>
      </w:pPr>
    </w:p>
    <w:p w14:paraId="4CDAE351" w14:textId="044F7DC9" w:rsidR="00CD1C65" w:rsidRPr="00477480" w:rsidRDefault="00CD1C65" w:rsidP="00CD1C65">
      <w:pPr>
        <w:pStyle w:val="SingleTxt"/>
        <w:spacing w:after="0" w:line="120" w:lineRule="exact"/>
        <w:rPr>
          <w:sz w:val="10"/>
        </w:rPr>
      </w:pPr>
    </w:p>
    <w:p w14:paraId="789935F3" w14:textId="35F4C9E1" w:rsidR="00CD1C65" w:rsidRPr="00477480" w:rsidRDefault="00CD1C65" w:rsidP="00CD1C65">
      <w:pPr>
        <w:pStyle w:val="TitleHCH"/>
        <w:ind w:right="1260"/>
      </w:pPr>
      <w:r w:rsidRPr="00477480">
        <w:rPr>
          <w:w w:val="100"/>
        </w:rPr>
        <w:tab/>
      </w:r>
      <w:r w:rsidRPr="00477480">
        <w:rPr>
          <w:w w:val="100"/>
        </w:rPr>
        <w:tab/>
        <w:t>Renseignements reçus d’El Salvador au sujet de la suite donnée aux observations finales</w:t>
      </w:r>
      <w:r w:rsidRPr="00477480">
        <w:rPr>
          <w:b w:val="0"/>
          <w:w w:val="100"/>
          <w:vertAlign w:val="superscript"/>
        </w:rPr>
        <w:footnoteReference w:customMarkFollows="1" w:id="1"/>
        <w:t>*</w:t>
      </w:r>
    </w:p>
    <w:p w14:paraId="25776AAE" w14:textId="44B1EEE9" w:rsidR="00CD1C65" w:rsidRPr="00477480" w:rsidRDefault="00CD1C65" w:rsidP="00CD1C65">
      <w:pPr>
        <w:pStyle w:val="SingleTxt"/>
      </w:pPr>
    </w:p>
    <w:p w14:paraId="3D2D5A54" w14:textId="664B9D66" w:rsidR="00CD1C65" w:rsidRPr="00477480" w:rsidRDefault="00CD1C65" w:rsidP="000836DA">
      <w:pPr>
        <w:pStyle w:val="SingleTxt"/>
        <w:jc w:val="right"/>
      </w:pPr>
      <w:r w:rsidRPr="00477480">
        <w:t>[Date de réception : 26 mars 2019]</w:t>
      </w:r>
    </w:p>
    <w:p w14:paraId="7DE23A0D" w14:textId="6ADA096B" w:rsidR="000836DA" w:rsidRPr="00477480" w:rsidRDefault="000836DA">
      <w:pPr>
        <w:spacing w:after="200" w:line="276" w:lineRule="auto"/>
      </w:pPr>
      <w:r w:rsidRPr="00477480">
        <w:br w:type="page"/>
      </w:r>
    </w:p>
    <w:p w14:paraId="49A84216" w14:textId="20913F8E" w:rsidR="000836DA" w:rsidRPr="00477480" w:rsidRDefault="000836DA" w:rsidP="00621527">
      <w:pPr>
        <w:pStyle w:val="TitleH1"/>
        <w:spacing w:line="220" w:lineRule="exact"/>
      </w:pPr>
      <w:r w:rsidRPr="00477480">
        <w:lastRenderedPageBreak/>
        <w:tab/>
      </w:r>
      <w:r w:rsidRPr="00477480">
        <w:tab/>
        <w:t>Introduction</w:t>
      </w:r>
    </w:p>
    <w:p w14:paraId="557BE75E" w14:textId="0D67EB8D" w:rsidR="000836DA" w:rsidRPr="00477480" w:rsidRDefault="000836DA" w:rsidP="000836DA">
      <w:pPr>
        <w:pStyle w:val="SingleTxt"/>
        <w:spacing w:after="0" w:line="120" w:lineRule="exact"/>
        <w:jc w:val="left"/>
        <w:rPr>
          <w:sz w:val="10"/>
        </w:rPr>
      </w:pPr>
    </w:p>
    <w:p w14:paraId="66C43100" w14:textId="0F98B05C" w:rsidR="000836DA" w:rsidRPr="00477480" w:rsidRDefault="000836DA" w:rsidP="000836DA">
      <w:pPr>
        <w:pStyle w:val="SingleTxt"/>
        <w:spacing w:after="0" w:line="120" w:lineRule="exact"/>
        <w:jc w:val="left"/>
        <w:rPr>
          <w:sz w:val="10"/>
        </w:rPr>
      </w:pPr>
    </w:p>
    <w:p w14:paraId="6FB2675A" w14:textId="163171E6" w:rsidR="000836DA" w:rsidRPr="00477480" w:rsidRDefault="000836DA" w:rsidP="0032223E">
      <w:pPr>
        <w:pStyle w:val="SingleTxt"/>
        <w:numPr>
          <w:ilvl w:val="0"/>
          <w:numId w:val="5"/>
        </w:numPr>
        <w:spacing w:line="240" w:lineRule="exact"/>
        <w:ind w:left="1267" w:firstLine="0"/>
        <w:rPr>
          <w:spacing w:val="3"/>
        </w:rPr>
      </w:pPr>
      <w:r w:rsidRPr="00477480">
        <w:rPr>
          <w:spacing w:val="3"/>
        </w:rPr>
        <w:t xml:space="preserve">El Salvador présente le rapport suivant conformément aux observations finales formulées par le Comité pour l’élimination de la discrimination à l’égard des femmes en mars 2017, à sa </w:t>
      </w:r>
      <w:r w:rsidR="00E357B6" w:rsidRPr="00477480">
        <w:rPr>
          <w:spacing w:val="3"/>
        </w:rPr>
        <w:t xml:space="preserve">soixante-sixième </w:t>
      </w:r>
      <w:r w:rsidRPr="00477480">
        <w:rPr>
          <w:spacing w:val="3"/>
        </w:rPr>
        <w:t>session, concernant ses huitième et neuvième rapports périodiques présentés en un seul document (</w:t>
      </w:r>
      <w:hyperlink r:id="rId15" w:history="1">
        <w:r w:rsidRPr="00477480">
          <w:rPr>
            <w:rStyle w:val="Hyperlink"/>
            <w:spacing w:val="3"/>
          </w:rPr>
          <w:t>CEDAW/C/SLV/CO/8-9</w:t>
        </w:r>
      </w:hyperlink>
      <w:r w:rsidRPr="00477480">
        <w:rPr>
          <w:spacing w:val="3"/>
        </w:rPr>
        <w:t>).</w:t>
      </w:r>
    </w:p>
    <w:p w14:paraId="570B8703" w14:textId="50DCB1A8" w:rsidR="000836DA" w:rsidRPr="00477480" w:rsidRDefault="000836DA" w:rsidP="000836DA">
      <w:pPr>
        <w:pStyle w:val="SingleTxt"/>
        <w:spacing w:after="0" w:line="120" w:lineRule="exact"/>
        <w:rPr>
          <w:sz w:val="10"/>
        </w:rPr>
      </w:pPr>
    </w:p>
    <w:p w14:paraId="3D985C56" w14:textId="191B3513" w:rsidR="000836DA" w:rsidRPr="00477480" w:rsidRDefault="000836DA" w:rsidP="000836DA">
      <w:pPr>
        <w:pStyle w:val="SingleTxt"/>
        <w:spacing w:after="0" w:line="120" w:lineRule="exact"/>
        <w:rPr>
          <w:sz w:val="10"/>
        </w:rPr>
      </w:pPr>
    </w:p>
    <w:p w14:paraId="43CFC79C" w14:textId="3C5B6E12" w:rsidR="000836DA" w:rsidRPr="00477480" w:rsidRDefault="000836DA" w:rsidP="00621527">
      <w:pPr>
        <w:pStyle w:val="TitleH1"/>
        <w:spacing w:line="220" w:lineRule="exact"/>
      </w:pPr>
      <w:r w:rsidRPr="00477480">
        <w:tab/>
      </w:r>
      <w:r w:rsidRPr="00477480">
        <w:tab/>
        <w:t>Suite donnée aux observations finales</w:t>
      </w:r>
    </w:p>
    <w:p w14:paraId="70A92A17" w14:textId="24C0A43A" w:rsidR="000836DA" w:rsidRPr="00477480" w:rsidRDefault="000836DA" w:rsidP="000836DA">
      <w:pPr>
        <w:pStyle w:val="SingleTxt"/>
        <w:spacing w:after="0" w:line="120" w:lineRule="exact"/>
        <w:rPr>
          <w:sz w:val="10"/>
        </w:rPr>
      </w:pPr>
    </w:p>
    <w:p w14:paraId="0D6916D2" w14:textId="139D3049" w:rsidR="000836DA" w:rsidRPr="00477480" w:rsidRDefault="000836DA" w:rsidP="000836DA">
      <w:pPr>
        <w:pStyle w:val="SingleTxt"/>
        <w:spacing w:after="0" w:line="120" w:lineRule="exact"/>
        <w:rPr>
          <w:sz w:val="10"/>
        </w:rPr>
      </w:pPr>
    </w:p>
    <w:p w14:paraId="6A756253" w14:textId="08605A78" w:rsidR="000836DA" w:rsidRPr="00477480" w:rsidRDefault="000836DA" w:rsidP="0032223E">
      <w:pPr>
        <w:pStyle w:val="SingleTxt"/>
        <w:numPr>
          <w:ilvl w:val="0"/>
          <w:numId w:val="5"/>
        </w:numPr>
        <w:spacing w:line="240" w:lineRule="exact"/>
        <w:ind w:left="1267" w:firstLine="0"/>
      </w:pPr>
      <w:r w:rsidRPr="00477480">
        <w:t>Le Comité demande à l’État partie de lui fournir, dans un délai de deux ans, des informations écrites sur les mesures qu’il aura prises pour donner suite aux recommandations énoncées aux paragraphes 13, a) et b) et 1</w:t>
      </w:r>
      <w:r w:rsidR="00C6784C" w:rsidRPr="00477480">
        <w:t>9</w:t>
      </w:r>
      <w:r w:rsidRPr="00477480">
        <w:t xml:space="preserve">, a) et c). </w:t>
      </w:r>
    </w:p>
    <w:p w14:paraId="5F82C9CB" w14:textId="69172F32" w:rsidR="00965AF9" w:rsidRPr="00477480" w:rsidRDefault="00965AF9" w:rsidP="00965AF9">
      <w:pPr>
        <w:pStyle w:val="SingleTxt"/>
        <w:spacing w:after="0" w:line="120" w:lineRule="exact"/>
        <w:rPr>
          <w:sz w:val="10"/>
        </w:rPr>
      </w:pPr>
    </w:p>
    <w:p w14:paraId="7E8EEFC8" w14:textId="6AA01C80" w:rsidR="000836DA" w:rsidRPr="00477480" w:rsidRDefault="000836DA" w:rsidP="006215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477480">
        <w:tab/>
      </w:r>
      <w:r w:rsidRPr="00477480">
        <w:tab/>
      </w:r>
      <w:r w:rsidRPr="00477480">
        <w:rPr>
          <w:spacing w:val="4"/>
          <w:szCs w:val="20"/>
        </w:rPr>
        <w:t>Recommandation énoncée au paragraphe 13. Accès des femmes à la justice. Le Comité recommande à l’État partie, conformément à sa recommandation générale no 33 sur l’accès des femmes à la justice : a)</w:t>
      </w:r>
      <w:r w:rsidR="008F6F6F" w:rsidRPr="00477480">
        <w:rPr>
          <w:spacing w:val="4"/>
          <w:szCs w:val="20"/>
        </w:rPr>
        <w:t> </w:t>
      </w:r>
      <w:r w:rsidRPr="00477480">
        <w:rPr>
          <w:spacing w:val="4"/>
          <w:szCs w:val="20"/>
        </w:rPr>
        <w:t>d’allouer les ressources humaines, techniques et financières nécessaires au bon fonctionnement de la nouvelle juridiction spéciale pour les délits commis à l’encontre des femmes</w:t>
      </w:r>
      <w:r w:rsidRPr="00477480">
        <w:rPr>
          <w:spacing w:val="4"/>
        </w:rPr>
        <w:t>.</w:t>
      </w:r>
    </w:p>
    <w:p w14:paraId="6AD30470" w14:textId="3C5E2417" w:rsidR="000836DA" w:rsidRPr="00477480" w:rsidRDefault="000836DA" w:rsidP="000836DA">
      <w:pPr>
        <w:pStyle w:val="SingleTxt"/>
        <w:spacing w:after="0" w:line="120" w:lineRule="exact"/>
        <w:rPr>
          <w:sz w:val="10"/>
        </w:rPr>
      </w:pPr>
    </w:p>
    <w:p w14:paraId="1708A906" w14:textId="61C6867A" w:rsidR="000836DA" w:rsidRPr="00477480" w:rsidRDefault="000836DA" w:rsidP="000836D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Juridictions spécialisées pour une vie libre de violence et de discrimination pour</w:t>
      </w:r>
      <w:r w:rsidR="008F6F6F" w:rsidRPr="00477480">
        <w:t> </w:t>
      </w:r>
      <w:r w:rsidRPr="00477480">
        <w:t xml:space="preserve">les femmes </w:t>
      </w:r>
    </w:p>
    <w:p w14:paraId="7DF0BC0F" w14:textId="176B7FD1" w:rsidR="000836DA" w:rsidRPr="00477480" w:rsidRDefault="000836DA" w:rsidP="000836DA">
      <w:pPr>
        <w:pStyle w:val="SingleTxt"/>
        <w:spacing w:after="0" w:line="120" w:lineRule="exact"/>
        <w:rPr>
          <w:sz w:val="10"/>
        </w:rPr>
      </w:pPr>
    </w:p>
    <w:p w14:paraId="6B5747B4" w14:textId="3B60CDE5" w:rsidR="008F6F6F" w:rsidRPr="00477480" w:rsidRDefault="008F6F6F" w:rsidP="0032223E">
      <w:pPr>
        <w:pStyle w:val="SingleTxt"/>
        <w:numPr>
          <w:ilvl w:val="0"/>
          <w:numId w:val="5"/>
        </w:numPr>
        <w:spacing w:line="240" w:lineRule="exact"/>
        <w:ind w:left="1267" w:firstLine="0"/>
      </w:pPr>
      <w:r w:rsidRPr="00477480">
        <w:t>Ainsi qu’en a été informé le Comité en février 2016, l’Assemblée législative a adopté le décret n</w:t>
      </w:r>
      <w:r w:rsidRPr="00477480">
        <w:rPr>
          <w:vertAlign w:val="superscript"/>
        </w:rPr>
        <w:t>o</w:t>
      </w:r>
      <w:r w:rsidRPr="00477480">
        <w:t> 286</w:t>
      </w:r>
      <w:r w:rsidRPr="00477480">
        <w:rPr>
          <w:vertAlign w:val="superscript"/>
        </w:rPr>
        <w:footnoteReference w:id="2"/>
      </w:r>
      <w:r w:rsidRPr="00477480">
        <w:t xml:space="preserve"> portant création de juridictions spécialisées pour une vie libre de violence et de discrimination pour les femmes, qui seront compétentes pour juger les infractions définies par la loi spéciale intégrale visant à garantir aux femmes une vie sans violence. </w:t>
      </w:r>
      <w:r w:rsidRPr="00477480">
        <w:rPr>
          <w:spacing w:val="2"/>
          <w:w w:val="100"/>
        </w:rPr>
        <w:t>Elles pourront également traiter les plaintes déposées et les avertissements émis dans le cadre de la loi sur la violence familiale, suivre et réévaluer les mesures de prévention et de protection prévues par la loi spéciale intégrale et par la loi sur l’égalité, l’équité et l’élimination de la discrimination à l’égard des femmes, et connaître les cas de discrimination professionnelle et les atteintes au droit à l’égalité.</w:t>
      </w:r>
      <w:r w:rsidRPr="00477480">
        <w:t xml:space="preserve"> </w:t>
      </w:r>
      <w:r w:rsidRPr="00477480">
        <w:rPr>
          <w:spacing w:val="2"/>
          <w:w w:val="100"/>
        </w:rPr>
        <w:t>Les juridictions situées à San Salvador ont ouvert leurs portes en juin 2017, tandis que celles situées à San Miguel et à Santa Ana sont entrées en fonctionnement en janvier 2018. Elles disposent d’un budget initial de 1,6 million de dollars.</w:t>
      </w:r>
    </w:p>
    <w:p w14:paraId="0BC794E6" w14:textId="02A7F2B5" w:rsidR="008F6F6F" w:rsidRPr="00477480" w:rsidRDefault="008F6F6F" w:rsidP="008F6F6F">
      <w:pPr>
        <w:pStyle w:val="SingleTxt"/>
        <w:spacing w:after="0" w:line="120" w:lineRule="exact"/>
        <w:rPr>
          <w:sz w:val="10"/>
        </w:rPr>
      </w:pPr>
    </w:p>
    <w:p w14:paraId="0016B13F" w14:textId="2BD2F54D" w:rsidR="008F6F6F" w:rsidRPr="00477480" w:rsidRDefault="008F6F6F" w:rsidP="008F6F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77480">
        <w:tab/>
      </w:r>
      <w:r w:rsidRPr="00477480">
        <w:tab/>
      </w:r>
      <w:r w:rsidRPr="00477480">
        <w:rPr>
          <w:b w:val="0"/>
        </w:rPr>
        <w:t>Tableau 1</w:t>
      </w:r>
    </w:p>
    <w:p w14:paraId="3A4CF0F5" w14:textId="7CEDE9F1" w:rsidR="008F6F6F" w:rsidRPr="00477480" w:rsidRDefault="008F6F6F" w:rsidP="006215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7" w:hanging="1267"/>
        <w:rPr>
          <w:bCs/>
        </w:rPr>
      </w:pPr>
      <w:r w:rsidRPr="00477480">
        <w:rPr>
          <w:bCs/>
        </w:rPr>
        <w:tab/>
      </w:r>
      <w:r w:rsidRPr="00477480">
        <w:rPr>
          <w:bCs/>
        </w:rPr>
        <w:tab/>
        <w:t>Répartition de la cour et des tribunaux spécialisés pour une vie libre</w:t>
      </w:r>
      <w:r w:rsidRPr="00477480">
        <w:rPr>
          <w:bCs/>
        </w:rPr>
        <w:br/>
        <w:t xml:space="preserve">de violence et de discrimination pour les femmes au niveau national </w:t>
      </w:r>
    </w:p>
    <w:p w14:paraId="4E34AC33" w14:textId="55BF0A40" w:rsidR="008F6F6F" w:rsidRPr="00477480" w:rsidRDefault="008F6F6F" w:rsidP="008F6F6F">
      <w:pPr>
        <w:pStyle w:val="SingleTxt"/>
        <w:spacing w:after="0" w:line="120" w:lineRule="exact"/>
        <w:rPr>
          <w:sz w:val="10"/>
        </w:rPr>
      </w:pPr>
    </w:p>
    <w:p w14:paraId="352DFA6C" w14:textId="35DB2816" w:rsidR="008F6F6F" w:rsidRPr="00477480" w:rsidRDefault="008F6F6F" w:rsidP="008F6F6F">
      <w:pPr>
        <w:pStyle w:val="SingleTxt"/>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2900"/>
        <w:gridCol w:w="2880"/>
        <w:gridCol w:w="1540"/>
      </w:tblGrid>
      <w:tr w:rsidR="008F6F6F" w:rsidRPr="00477480" w14:paraId="23413AE6" w14:textId="77777777" w:rsidTr="0013480E">
        <w:trPr>
          <w:tblHeader/>
        </w:trPr>
        <w:tc>
          <w:tcPr>
            <w:tcW w:w="2900" w:type="dxa"/>
            <w:tcBorders>
              <w:top w:val="single" w:sz="4" w:space="0" w:color="auto"/>
              <w:bottom w:val="single" w:sz="12" w:space="0" w:color="auto"/>
            </w:tcBorders>
            <w:shd w:val="clear" w:color="auto" w:fill="auto"/>
            <w:vAlign w:val="bottom"/>
          </w:tcPr>
          <w:p w14:paraId="37D8ECE4" w14:textId="0516A38F" w:rsidR="008F6F6F" w:rsidRPr="00477480" w:rsidRDefault="008F6F6F" w:rsidP="008F6F6F">
            <w:pPr>
              <w:tabs>
                <w:tab w:val="left" w:pos="288"/>
                <w:tab w:val="left" w:pos="576"/>
                <w:tab w:val="left" w:pos="864"/>
                <w:tab w:val="left" w:pos="1152"/>
              </w:tabs>
              <w:suppressAutoHyphens/>
              <w:spacing w:before="81" w:after="81" w:line="160" w:lineRule="exact"/>
              <w:ind w:right="40"/>
              <w:rPr>
                <w:i/>
                <w:sz w:val="14"/>
              </w:rPr>
            </w:pPr>
            <w:r w:rsidRPr="00477480">
              <w:rPr>
                <w:i/>
                <w:sz w:val="14"/>
              </w:rPr>
              <w:t>Lieu</w:t>
            </w:r>
          </w:p>
        </w:tc>
        <w:tc>
          <w:tcPr>
            <w:tcW w:w="2880" w:type="dxa"/>
            <w:tcBorders>
              <w:top w:val="single" w:sz="4" w:space="0" w:color="auto"/>
              <w:bottom w:val="single" w:sz="12" w:space="0" w:color="auto"/>
            </w:tcBorders>
            <w:shd w:val="clear" w:color="auto" w:fill="auto"/>
            <w:vAlign w:val="bottom"/>
          </w:tcPr>
          <w:p w14:paraId="1804B68E" w14:textId="64DC8C9D" w:rsidR="008F6F6F" w:rsidRPr="00477480" w:rsidRDefault="008F6F6F" w:rsidP="008F6F6F">
            <w:pPr>
              <w:tabs>
                <w:tab w:val="left" w:pos="288"/>
                <w:tab w:val="left" w:pos="576"/>
                <w:tab w:val="left" w:pos="864"/>
                <w:tab w:val="left" w:pos="1152"/>
              </w:tabs>
              <w:suppressAutoHyphens/>
              <w:spacing w:before="81" w:after="81" w:line="160" w:lineRule="exact"/>
              <w:ind w:left="144" w:right="43"/>
              <w:rPr>
                <w:i/>
                <w:sz w:val="14"/>
              </w:rPr>
            </w:pPr>
            <w:r w:rsidRPr="00477480">
              <w:rPr>
                <w:i/>
                <w:sz w:val="14"/>
              </w:rPr>
              <w:t>Type de juridiction</w:t>
            </w:r>
          </w:p>
        </w:tc>
        <w:tc>
          <w:tcPr>
            <w:tcW w:w="1540" w:type="dxa"/>
            <w:tcBorders>
              <w:top w:val="single" w:sz="4" w:space="0" w:color="auto"/>
              <w:bottom w:val="single" w:sz="12" w:space="0" w:color="auto"/>
            </w:tcBorders>
            <w:shd w:val="clear" w:color="auto" w:fill="auto"/>
            <w:vAlign w:val="bottom"/>
          </w:tcPr>
          <w:p w14:paraId="07DC2341" w14:textId="36640774" w:rsidR="008F6F6F" w:rsidRPr="00477480" w:rsidRDefault="008F6F6F" w:rsidP="008F6F6F">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Nombre</w:t>
            </w:r>
          </w:p>
        </w:tc>
      </w:tr>
      <w:tr w:rsidR="008F6F6F" w:rsidRPr="00477480" w14:paraId="21A44441" w14:textId="77777777" w:rsidTr="0013480E">
        <w:trPr>
          <w:trHeight w:hRule="exact" w:val="115"/>
          <w:tblHeader/>
        </w:trPr>
        <w:tc>
          <w:tcPr>
            <w:tcW w:w="2900" w:type="dxa"/>
            <w:tcBorders>
              <w:top w:val="single" w:sz="12" w:space="0" w:color="auto"/>
            </w:tcBorders>
            <w:shd w:val="clear" w:color="auto" w:fill="auto"/>
            <w:vAlign w:val="bottom"/>
          </w:tcPr>
          <w:p w14:paraId="132C4E92" w14:textId="77777777" w:rsidR="008F6F6F" w:rsidRPr="00477480" w:rsidRDefault="008F6F6F" w:rsidP="008F6F6F">
            <w:pPr>
              <w:tabs>
                <w:tab w:val="left" w:pos="288"/>
                <w:tab w:val="left" w:pos="576"/>
                <w:tab w:val="left" w:pos="864"/>
                <w:tab w:val="left" w:pos="1152"/>
              </w:tabs>
              <w:suppressAutoHyphens/>
              <w:spacing w:before="40" w:after="40" w:line="210" w:lineRule="exact"/>
              <w:ind w:right="40"/>
              <w:rPr>
                <w:sz w:val="17"/>
              </w:rPr>
            </w:pPr>
          </w:p>
        </w:tc>
        <w:tc>
          <w:tcPr>
            <w:tcW w:w="2880" w:type="dxa"/>
            <w:tcBorders>
              <w:top w:val="single" w:sz="12" w:space="0" w:color="auto"/>
            </w:tcBorders>
            <w:shd w:val="clear" w:color="auto" w:fill="auto"/>
            <w:vAlign w:val="bottom"/>
          </w:tcPr>
          <w:p w14:paraId="25CEED70" w14:textId="77777777" w:rsidR="008F6F6F" w:rsidRPr="00477480" w:rsidRDefault="008F6F6F" w:rsidP="008F6F6F">
            <w:pPr>
              <w:tabs>
                <w:tab w:val="left" w:pos="288"/>
                <w:tab w:val="left" w:pos="576"/>
                <w:tab w:val="left" w:pos="864"/>
                <w:tab w:val="left" w:pos="1152"/>
              </w:tabs>
              <w:suppressAutoHyphens/>
              <w:spacing w:before="40" w:after="40" w:line="210" w:lineRule="exact"/>
              <w:ind w:left="144" w:right="43"/>
              <w:rPr>
                <w:sz w:val="17"/>
              </w:rPr>
            </w:pPr>
          </w:p>
        </w:tc>
        <w:tc>
          <w:tcPr>
            <w:tcW w:w="1540" w:type="dxa"/>
            <w:tcBorders>
              <w:top w:val="single" w:sz="12" w:space="0" w:color="auto"/>
            </w:tcBorders>
            <w:shd w:val="clear" w:color="auto" w:fill="auto"/>
            <w:vAlign w:val="bottom"/>
          </w:tcPr>
          <w:p w14:paraId="0E77B696" w14:textId="77777777" w:rsidR="008F6F6F" w:rsidRPr="00477480" w:rsidRDefault="008F6F6F" w:rsidP="008F6F6F">
            <w:pPr>
              <w:tabs>
                <w:tab w:val="left" w:pos="288"/>
                <w:tab w:val="left" w:pos="576"/>
                <w:tab w:val="left" w:pos="864"/>
                <w:tab w:val="left" w:pos="1152"/>
              </w:tabs>
              <w:suppressAutoHyphens/>
              <w:spacing w:before="40" w:after="40" w:line="210" w:lineRule="exact"/>
              <w:ind w:left="144" w:right="43"/>
              <w:jc w:val="right"/>
              <w:rPr>
                <w:sz w:val="17"/>
              </w:rPr>
            </w:pPr>
          </w:p>
        </w:tc>
      </w:tr>
      <w:tr w:rsidR="008F6F6F" w:rsidRPr="00477480" w14:paraId="55BA7418" w14:textId="77777777" w:rsidTr="0013480E">
        <w:tc>
          <w:tcPr>
            <w:tcW w:w="2900" w:type="dxa"/>
            <w:shd w:val="clear" w:color="auto" w:fill="auto"/>
            <w:vAlign w:val="bottom"/>
          </w:tcPr>
          <w:p w14:paraId="187D4B92" w14:textId="46A8B428" w:rsidR="008F6F6F" w:rsidRPr="00477480" w:rsidRDefault="008F6F6F" w:rsidP="008F6F6F">
            <w:pPr>
              <w:tabs>
                <w:tab w:val="left" w:pos="288"/>
                <w:tab w:val="left" w:pos="576"/>
                <w:tab w:val="left" w:pos="864"/>
                <w:tab w:val="left" w:pos="1152"/>
              </w:tabs>
              <w:suppressAutoHyphens/>
              <w:spacing w:before="40" w:after="40" w:line="210" w:lineRule="exact"/>
              <w:ind w:right="40"/>
              <w:rPr>
                <w:sz w:val="17"/>
              </w:rPr>
            </w:pPr>
            <w:r w:rsidRPr="00477480">
              <w:rPr>
                <w:sz w:val="17"/>
              </w:rPr>
              <w:t>San Salvador</w:t>
            </w:r>
          </w:p>
        </w:tc>
        <w:tc>
          <w:tcPr>
            <w:tcW w:w="2880" w:type="dxa"/>
            <w:shd w:val="clear" w:color="auto" w:fill="auto"/>
            <w:vAlign w:val="bottom"/>
          </w:tcPr>
          <w:p w14:paraId="19C8D47E" w14:textId="1D30681E" w:rsidR="008F6F6F" w:rsidRPr="00477480" w:rsidRDefault="008F6F6F" w:rsidP="008F6F6F">
            <w:pPr>
              <w:tabs>
                <w:tab w:val="left" w:pos="288"/>
                <w:tab w:val="left" w:pos="576"/>
                <w:tab w:val="left" w:pos="864"/>
                <w:tab w:val="left" w:pos="1152"/>
              </w:tabs>
              <w:suppressAutoHyphens/>
              <w:spacing w:before="40" w:after="40" w:line="210" w:lineRule="exact"/>
              <w:ind w:left="144" w:right="43"/>
              <w:rPr>
                <w:sz w:val="17"/>
              </w:rPr>
            </w:pPr>
            <w:r w:rsidRPr="00477480">
              <w:rPr>
                <w:sz w:val="17"/>
              </w:rPr>
              <w:t>Tribunal d’instruction</w:t>
            </w:r>
          </w:p>
        </w:tc>
        <w:tc>
          <w:tcPr>
            <w:tcW w:w="1540" w:type="dxa"/>
            <w:shd w:val="clear" w:color="auto" w:fill="auto"/>
            <w:vAlign w:val="bottom"/>
          </w:tcPr>
          <w:p w14:paraId="488C9EF2" w14:textId="65171413" w:rsidR="008F6F6F" w:rsidRPr="00477480" w:rsidRDefault="008F6F6F" w:rsidP="008F6F6F">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r>
      <w:tr w:rsidR="008F6F6F" w:rsidRPr="00477480" w14:paraId="2FECB225" w14:textId="77777777" w:rsidTr="0013480E">
        <w:tc>
          <w:tcPr>
            <w:tcW w:w="2900" w:type="dxa"/>
            <w:shd w:val="clear" w:color="auto" w:fill="auto"/>
            <w:vAlign w:val="bottom"/>
          </w:tcPr>
          <w:p w14:paraId="6D048FD0" w14:textId="77777777" w:rsidR="008F6F6F" w:rsidRPr="00477480" w:rsidRDefault="008F6F6F" w:rsidP="008F6F6F">
            <w:pPr>
              <w:tabs>
                <w:tab w:val="left" w:pos="288"/>
                <w:tab w:val="left" w:pos="576"/>
                <w:tab w:val="left" w:pos="864"/>
                <w:tab w:val="left" w:pos="1152"/>
              </w:tabs>
              <w:suppressAutoHyphens/>
              <w:spacing w:before="40" w:after="40" w:line="210" w:lineRule="exact"/>
              <w:ind w:right="40"/>
              <w:rPr>
                <w:sz w:val="17"/>
              </w:rPr>
            </w:pPr>
          </w:p>
        </w:tc>
        <w:tc>
          <w:tcPr>
            <w:tcW w:w="2880" w:type="dxa"/>
            <w:shd w:val="clear" w:color="auto" w:fill="auto"/>
            <w:vAlign w:val="bottom"/>
          </w:tcPr>
          <w:p w14:paraId="630E0942" w14:textId="2A21C741" w:rsidR="008F6F6F" w:rsidRPr="00477480" w:rsidRDefault="008F6F6F" w:rsidP="008F6F6F">
            <w:pPr>
              <w:tabs>
                <w:tab w:val="left" w:pos="288"/>
                <w:tab w:val="left" w:pos="576"/>
                <w:tab w:val="left" w:pos="864"/>
                <w:tab w:val="left" w:pos="1152"/>
              </w:tabs>
              <w:suppressAutoHyphens/>
              <w:spacing w:before="40" w:after="40" w:line="210" w:lineRule="exact"/>
              <w:ind w:left="144" w:right="43"/>
              <w:rPr>
                <w:sz w:val="17"/>
              </w:rPr>
            </w:pPr>
            <w:r w:rsidRPr="00477480">
              <w:rPr>
                <w:sz w:val="17"/>
              </w:rPr>
              <w:t>Tribunal (de jugement)</w:t>
            </w:r>
          </w:p>
        </w:tc>
        <w:tc>
          <w:tcPr>
            <w:tcW w:w="1540" w:type="dxa"/>
            <w:shd w:val="clear" w:color="auto" w:fill="auto"/>
            <w:vAlign w:val="bottom"/>
          </w:tcPr>
          <w:p w14:paraId="2C861BFE" w14:textId="006B5852" w:rsidR="008F6F6F" w:rsidRPr="00477480" w:rsidRDefault="0013480E" w:rsidP="008F6F6F">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r>
      <w:tr w:rsidR="008F6F6F" w:rsidRPr="00477480" w14:paraId="00C3DD10" w14:textId="77777777" w:rsidTr="0013480E">
        <w:tc>
          <w:tcPr>
            <w:tcW w:w="2900" w:type="dxa"/>
            <w:shd w:val="clear" w:color="auto" w:fill="auto"/>
            <w:vAlign w:val="bottom"/>
          </w:tcPr>
          <w:p w14:paraId="267B0B3C" w14:textId="77777777" w:rsidR="008F6F6F" w:rsidRPr="00477480" w:rsidRDefault="008F6F6F" w:rsidP="008F6F6F">
            <w:pPr>
              <w:tabs>
                <w:tab w:val="left" w:pos="288"/>
                <w:tab w:val="left" w:pos="576"/>
                <w:tab w:val="left" w:pos="864"/>
                <w:tab w:val="left" w:pos="1152"/>
              </w:tabs>
              <w:suppressAutoHyphens/>
              <w:spacing w:before="40" w:after="40" w:line="210" w:lineRule="exact"/>
              <w:ind w:right="40"/>
              <w:rPr>
                <w:sz w:val="17"/>
              </w:rPr>
            </w:pPr>
          </w:p>
        </w:tc>
        <w:tc>
          <w:tcPr>
            <w:tcW w:w="2880" w:type="dxa"/>
            <w:shd w:val="clear" w:color="auto" w:fill="auto"/>
            <w:vAlign w:val="bottom"/>
          </w:tcPr>
          <w:p w14:paraId="596AD5CF" w14:textId="3CC39834" w:rsidR="008F6F6F" w:rsidRPr="00477480" w:rsidRDefault="0013480E" w:rsidP="008F6F6F">
            <w:pPr>
              <w:tabs>
                <w:tab w:val="left" w:pos="288"/>
                <w:tab w:val="left" w:pos="576"/>
                <w:tab w:val="left" w:pos="864"/>
                <w:tab w:val="left" w:pos="1152"/>
              </w:tabs>
              <w:suppressAutoHyphens/>
              <w:spacing w:before="40" w:after="40" w:line="210" w:lineRule="exact"/>
              <w:ind w:left="144" w:right="43"/>
              <w:rPr>
                <w:sz w:val="17"/>
              </w:rPr>
            </w:pPr>
            <w:r w:rsidRPr="00477480">
              <w:rPr>
                <w:sz w:val="17"/>
              </w:rPr>
              <w:t>Cour spécialisée</w:t>
            </w:r>
          </w:p>
        </w:tc>
        <w:tc>
          <w:tcPr>
            <w:tcW w:w="1540" w:type="dxa"/>
            <w:shd w:val="clear" w:color="auto" w:fill="auto"/>
            <w:vAlign w:val="bottom"/>
          </w:tcPr>
          <w:p w14:paraId="72995E4E" w14:textId="36B2DF5A" w:rsidR="008F6F6F" w:rsidRPr="00477480" w:rsidRDefault="0013480E" w:rsidP="008F6F6F">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r>
      <w:tr w:rsidR="008F6F6F" w:rsidRPr="00477480" w14:paraId="5AC478F4" w14:textId="77777777" w:rsidTr="0013480E">
        <w:tc>
          <w:tcPr>
            <w:tcW w:w="2900" w:type="dxa"/>
            <w:shd w:val="clear" w:color="auto" w:fill="auto"/>
            <w:vAlign w:val="bottom"/>
          </w:tcPr>
          <w:p w14:paraId="750452B3" w14:textId="28D918A0" w:rsidR="008F6F6F" w:rsidRPr="00477480" w:rsidRDefault="0013480E" w:rsidP="008F6F6F">
            <w:pPr>
              <w:tabs>
                <w:tab w:val="left" w:pos="288"/>
                <w:tab w:val="left" w:pos="576"/>
                <w:tab w:val="left" w:pos="864"/>
                <w:tab w:val="left" w:pos="1152"/>
              </w:tabs>
              <w:suppressAutoHyphens/>
              <w:spacing w:before="40" w:after="40" w:line="210" w:lineRule="exact"/>
              <w:ind w:right="40"/>
              <w:rPr>
                <w:sz w:val="17"/>
              </w:rPr>
            </w:pPr>
            <w:r w:rsidRPr="00477480">
              <w:rPr>
                <w:sz w:val="17"/>
              </w:rPr>
              <w:t>Santa Ana</w:t>
            </w:r>
          </w:p>
        </w:tc>
        <w:tc>
          <w:tcPr>
            <w:tcW w:w="2880" w:type="dxa"/>
            <w:shd w:val="clear" w:color="auto" w:fill="auto"/>
            <w:vAlign w:val="bottom"/>
          </w:tcPr>
          <w:p w14:paraId="41E59D75" w14:textId="25F27F52" w:rsidR="008F6F6F" w:rsidRPr="00477480" w:rsidRDefault="0013480E" w:rsidP="008F6F6F">
            <w:pPr>
              <w:tabs>
                <w:tab w:val="left" w:pos="288"/>
                <w:tab w:val="left" w:pos="576"/>
                <w:tab w:val="left" w:pos="864"/>
                <w:tab w:val="left" w:pos="1152"/>
              </w:tabs>
              <w:suppressAutoHyphens/>
              <w:spacing w:before="40" w:after="40" w:line="210" w:lineRule="exact"/>
              <w:ind w:left="144" w:right="43"/>
              <w:rPr>
                <w:sz w:val="17"/>
              </w:rPr>
            </w:pPr>
            <w:r w:rsidRPr="00477480">
              <w:rPr>
                <w:sz w:val="17"/>
              </w:rPr>
              <w:t>Tribunal d’instruction</w:t>
            </w:r>
          </w:p>
        </w:tc>
        <w:tc>
          <w:tcPr>
            <w:tcW w:w="1540" w:type="dxa"/>
            <w:shd w:val="clear" w:color="auto" w:fill="auto"/>
            <w:vAlign w:val="bottom"/>
          </w:tcPr>
          <w:p w14:paraId="20D65D42" w14:textId="630B3578" w:rsidR="008F6F6F" w:rsidRPr="00477480" w:rsidRDefault="0013480E" w:rsidP="008F6F6F">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r>
      <w:tr w:rsidR="008F6F6F" w:rsidRPr="00477480" w14:paraId="5D68D310" w14:textId="77777777" w:rsidTr="0013480E">
        <w:tc>
          <w:tcPr>
            <w:tcW w:w="2900" w:type="dxa"/>
            <w:shd w:val="clear" w:color="auto" w:fill="auto"/>
            <w:vAlign w:val="bottom"/>
          </w:tcPr>
          <w:p w14:paraId="3E610986" w14:textId="77777777" w:rsidR="008F6F6F" w:rsidRPr="00477480" w:rsidRDefault="008F6F6F" w:rsidP="008F6F6F">
            <w:pPr>
              <w:tabs>
                <w:tab w:val="left" w:pos="288"/>
                <w:tab w:val="left" w:pos="576"/>
                <w:tab w:val="left" w:pos="864"/>
                <w:tab w:val="left" w:pos="1152"/>
              </w:tabs>
              <w:suppressAutoHyphens/>
              <w:spacing w:before="40" w:after="40" w:line="210" w:lineRule="exact"/>
              <w:ind w:right="40"/>
              <w:rPr>
                <w:sz w:val="17"/>
              </w:rPr>
            </w:pPr>
          </w:p>
        </w:tc>
        <w:tc>
          <w:tcPr>
            <w:tcW w:w="2880" w:type="dxa"/>
            <w:shd w:val="clear" w:color="auto" w:fill="auto"/>
            <w:vAlign w:val="bottom"/>
          </w:tcPr>
          <w:p w14:paraId="2BB72E33" w14:textId="37D512AE" w:rsidR="008F6F6F" w:rsidRPr="00477480" w:rsidRDefault="0013480E" w:rsidP="008F6F6F">
            <w:pPr>
              <w:tabs>
                <w:tab w:val="left" w:pos="288"/>
                <w:tab w:val="left" w:pos="576"/>
                <w:tab w:val="left" w:pos="864"/>
                <w:tab w:val="left" w:pos="1152"/>
              </w:tabs>
              <w:suppressAutoHyphens/>
              <w:spacing w:before="40" w:after="40" w:line="210" w:lineRule="exact"/>
              <w:ind w:left="144" w:right="43"/>
              <w:rPr>
                <w:sz w:val="17"/>
              </w:rPr>
            </w:pPr>
            <w:r w:rsidRPr="00477480">
              <w:rPr>
                <w:sz w:val="17"/>
              </w:rPr>
              <w:t>Tribunal (de jugement)</w:t>
            </w:r>
          </w:p>
        </w:tc>
        <w:tc>
          <w:tcPr>
            <w:tcW w:w="1540" w:type="dxa"/>
            <w:shd w:val="clear" w:color="auto" w:fill="auto"/>
            <w:vAlign w:val="bottom"/>
          </w:tcPr>
          <w:p w14:paraId="2D74302C" w14:textId="043A6A04" w:rsidR="008F6F6F" w:rsidRPr="00477480" w:rsidRDefault="0013480E" w:rsidP="008F6F6F">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r>
      <w:tr w:rsidR="008F6F6F" w:rsidRPr="00477480" w14:paraId="67EAD544" w14:textId="77777777" w:rsidTr="0013480E">
        <w:tc>
          <w:tcPr>
            <w:tcW w:w="2900" w:type="dxa"/>
            <w:shd w:val="clear" w:color="auto" w:fill="auto"/>
            <w:vAlign w:val="bottom"/>
          </w:tcPr>
          <w:p w14:paraId="1975E6CE" w14:textId="6552439F" w:rsidR="008F6F6F" w:rsidRPr="00477480" w:rsidRDefault="0013480E" w:rsidP="008F6F6F">
            <w:pPr>
              <w:tabs>
                <w:tab w:val="left" w:pos="288"/>
                <w:tab w:val="left" w:pos="576"/>
                <w:tab w:val="left" w:pos="864"/>
                <w:tab w:val="left" w:pos="1152"/>
              </w:tabs>
              <w:suppressAutoHyphens/>
              <w:spacing w:before="40" w:after="40" w:line="210" w:lineRule="exact"/>
              <w:ind w:right="40"/>
              <w:rPr>
                <w:sz w:val="17"/>
              </w:rPr>
            </w:pPr>
            <w:r w:rsidRPr="00477480">
              <w:rPr>
                <w:sz w:val="17"/>
              </w:rPr>
              <w:t>San Miguel</w:t>
            </w:r>
          </w:p>
        </w:tc>
        <w:tc>
          <w:tcPr>
            <w:tcW w:w="2880" w:type="dxa"/>
            <w:shd w:val="clear" w:color="auto" w:fill="auto"/>
            <w:vAlign w:val="bottom"/>
          </w:tcPr>
          <w:p w14:paraId="5B242614" w14:textId="56ABE0F1" w:rsidR="008F6F6F" w:rsidRPr="00477480" w:rsidRDefault="0013480E" w:rsidP="008F6F6F">
            <w:pPr>
              <w:tabs>
                <w:tab w:val="left" w:pos="288"/>
                <w:tab w:val="left" w:pos="576"/>
                <w:tab w:val="left" w:pos="864"/>
                <w:tab w:val="left" w:pos="1152"/>
              </w:tabs>
              <w:suppressAutoHyphens/>
              <w:spacing w:before="40" w:after="40" w:line="210" w:lineRule="exact"/>
              <w:ind w:left="144" w:right="43"/>
              <w:rPr>
                <w:sz w:val="17"/>
              </w:rPr>
            </w:pPr>
            <w:r w:rsidRPr="00477480">
              <w:rPr>
                <w:sz w:val="17"/>
              </w:rPr>
              <w:t>Tribunal d’instruction</w:t>
            </w:r>
          </w:p>
        </w:tc>
        <w:tc>
          <w:tcPr>
            <w:tcW w:w="1540" w:type="dxa"/>
            <w:shd w:val="clear" w:color="auto" w:fill="auto"/>
            <w:vAlign w:val="bottom"/>
          </w:tcPr>
          <w:p w14:paraId="14D5C4C7" w14:textId="1AE16062" w:rsidR="008F6F6F" w:rsidRPr="00477480" w:rsidRDefault="0013480E" w:rsidP="008F6F6F">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r>
      <w:tr w:rsidR="008F6F6F" w:rsidRPr="00477480" w14:paraId="7B68FBF3" w14:textId="77777777" w:rsidTr="0013480E">
        <w:tc>
          <w:tcPr>
            <w:tcW w:w="2900" w:type="dxa"/>
            <w:tcBorders>
              <w:bottom w:val="single" w:sz="4" w:space="0" w:color="auto"/>
            </w:tcBorders>
            <w:shd w:val="clear" w:color="auto" w:fill="auto"/>
            <w:vAlign w:val="bottom"/>
          </w:tcPr>
          <w:p w14:paraId="37047CC7" w14:textId="77777777" w:rsidR="008F6F6F" w:rsidRPr="00477480" w:rsidRDefault="008F6F6F" w:rsidP="00965AF9">
            <w:pPr>
              <w:tabs>
                <w:tab w:val="left" w:pos="288"/>
                <w:tab w:val="left" w:pos="576"/>
                <w:tab w:val="left" w:pos="864"/>
                <w:tab w:val="left" w:pos="1152"/>
              </w:tabs>
              <w:suppressAutoHyphens/>
              <w:spacing w:before="40" w:after="81" w:line="210" w:lineRule="exact"/>
              <w:ind w:right="40"/>
              <w:rPr>
                <w:sz w:val="17"/>
              </w:rPr>
            </w:pPr>
          </w:p>
        </w:tc>
        <w:tc>
          <w:tcPr>
            <w:tcW w:w="2880" w:type="dxa"/>
            <w:tcBorders>
              <w:bottom w:val="single" w:sz="4" w:space="0" w:color="auto"/>
            </w:tcBorders>
            <w:shd w:val="clear" w:color="auto" w:fill="auto"/>
            <w:vAlign w:val="bottom"/>
          </w:tcPr>
          <w:p w14:paraId="4233A76C" w14:textId="79D30044" w:rsidR="008F6F6F" w:rsidRPr="00477480" w:rsidRDefault="0013480E" w:rsidP="00965AF9">
            <w:pPr>
              <w:tabs>
                <w:tab w:val="left" w:pos="288"/>
                <w:tab w:val="left" w:pos="576"/>
                <w:tab w:val="left" w:pos="864"/>
                <w:tab w:val="left" w:pos="1152"/>
              </w:tabs>
              <w:suppressAutoHyphens/>
              <w:spacing w:before="40" w:after="81" w:line="210" w:lineRule="exact"/>
              <w:ind w:left="144" w:right="43"/>
              <w:rPr>
                <w:sz w:val="17"/>
              </w:rPr>
            </w:pPr>
            <w:r w:rsidRPr="00477480">
              <w:rPr>
                <w:sz w:val="17"/>
              </w:rPr>
              <w:t>Tribunal (de jugement)</w:t>
            </w:r>
          </w:p>
        </w:tc>
        <w:tc>
          <w:tcPr>
            <w:tcW w:w="1540" w:type="dxa"/>
            <w:tcBorders>
              <w:bottom w:val="single" w:sz="4" w:space="0" w:color="auto"/>
            </w:tcBorders>
            <w:shd w:val="clear" w:color="auto" w:fill="auto"/>
            <w:vAlign w:val="bottom"/>
          </w:tcPr>
          <w:p w14:paraId="52AABEDD" w14:textId="2EBE2538" w:rsidR="008F6F6F" w:rsidRPr="00477480" w:rsidRDefault="0013480E" w:rsidP="00965AF9">
            <w:pPr>
              <w:tabs>
                <w:tab w:val="left" w:pos="288"/>
                <w:tab w:val="left" w:pos="576"/>
                <w:tab w:val="left" w:pos="864"/>
                <w:tab w:val="left" w:pos="1152"/>
              </w:tabs>
              <w:suppressAutoHyphens/>
              <w:spacing w:before="40" w:after="81" w:line="210" w:lineRule="exact"/>
              <w:ind w:left="144" w:right="43"/>
              <w:jc w:val="right"/>
              <w:rPr>
                <w:sz w:val="17"/>
              </w:rPr>
            </w:pPr>
            <w:r w:rsidRPr="00477480">
              <w:rPr>
                <w:sz w:val="17"/>
              </w:rPr>
              <w:t>1</w:t>
            </w:r>
          </w:p>
        </w:tc>
      </w:tr>
      <w:tr w:rsidR="008F6F6F" w:rsidRPr="00477480" w14:paraId="2158AB04" w14:textId="77777777" w:rsidTr="0013480E">
        <w:tc>
          <w:tcPr>
            <w:tcW w:w="2900" w:type="dxa"/>
            <w:tcBorders>
              <w:top w:val="single" w:sz="4" w:space="0" w:color="auto"/>
              <w:bottom w:val="single" w:sz="12" w:space="0" w:color="auto"/>
            </w:tcBorders>
            <w:shd w:val="clear" w:color="auto" w:fill="auto"/>
            <w:vAlign w:val="bottom"/>
          </w:tcPr>
          <w:p w14:paraId="0596870D" w14:textId="546B79B6" w:rsidR="008F6F6F" w:rsidRPr="00477480" w:rsidRDefault="0013480E" w:rsidP="00965AF9">
            <w:pPr>
              <w:tabs>
                <w:tab w:val="left" w:pos="288"/>
                <w:tab w:val="left" w:pos="576"/>
                <w:tab w:val="left" w:pos="864"/>
                <w:tab w:val="left" w:pos="1152"/>
              </w:tabs>
              <w:suppressAutoHyphens/>
              <w:spacing w:before="81" w:after="81" w:line="210" w:lineRule="exact"/>
              <w:ind w:right="40"/>
              <w:rPr>
                <w:b/>
                <w:sz w:val="17"/>
              </w:rPr>
            </w:pPr>
            <w:r w:rsidRPr="00477480">
              <w:rPr>
                <w:b/>
                <w:sz w:val="17"/>
              </w:rPr>
              <w:tab/>
              <w:t>Total</w:t>
            </w:r>
          </w:p>
        </w:tc>
        <w:tc>
          <w:tcPr>
            <w:tcW w:w="2880" w:type="dxa"/>
            <w:tcBorders>
              <w:top w:val="single" w:sz="4" w:space="0" w:color="auto"/>
              <w:bottom w:val="single" w:sz="12" w:space="0" w:color="auto"/>
            </w:tcBorders>
            <w:shd w:val="clear" w:color="auto" w:fill="auto"/>
            <w:vAlign w:val="bottom"/>
          </w:tcPr>
          <w:p w14:paraId="7AC7B53E" w14:textId="77777777" w:rsidR="008F6F6F" w:rsidRPr="00477480" w:rsidRDefault="008F6F6F" w:rsidP="00965AF9">
            <w:pPr>
              <w:tabs>
                <w:tab w:val="left" w:pos="288"/>
                <w:tab w:val="left" w:pos="576"/>
                <w:tab w:val="left" w:pos="864"/>
                <w:tab w:val="left" w:pos="1152"/>
              </w:tabs>
              <w:suppressAutoHyphens/>
              <w:spacing w:before="81" w:after="81" w:line="210" w:lineRule="exact"/>
              <w:ind w:left="144" w:right="43"/>
              <w:rPr>
                <w:b/>
                <w:sz w:val="17"/>
              </w:rPr>
            </w:pPr>
          </w:p>
        </w:tc>
        <w:tc>
          <w:tcPr>
            <w:tcW w:w="1540" w:type="dxa"/>
            <w:tcBorders>
              <w:top w:val="single" w:sz="4" w:space="0" w:color="auto"/>
              <w:bottom w:val="single" w:sz="12" w:space="0" w:color="auto"/>
            </w:tcBorders>
            <w:shd w:val="clear" w:color="auto" w:fill="auto"/>
            <w:vAlign w:val="bottom"/>
          </w:tcPr>
          <w:p w14:paraId="5A80FC37" w14:textId="3A292897" w:rsidR="008F6F6F" w:rsidRPr="00477480" w:rsidRDefault="0013480E" w:rsidP="00965AF9">
            <w:pPr>
              <w:tabs>
                <w:tab w:val="left" w:pos="288"/>
                <w:tab w:val="left" w:pos="576"/>
                <w:tab w:val="left" w:pos="864"/>
                <w:tab w:val="left" w:pos="1152"/>
              </w:tabs>
              <w:suppressAutoHyphens/>
              <w:spacing w:before="81" w:after="81" w:line="210" w:lineRule="exact"/>
              <w:ind w:left="144" w:right="43"/>
              <w:jc w:val="right"/>
              <w:rPr>
                <w:b/>
                <w:sz w:val="17"/>
              </w:rPr>
            </w:pPr>
            <w:r w:rsidRPr="00477480">
              <w:rPr>
                <w:b/>
                <w:sz w:val="17"/>
              </w:rPr>
              <w:t>7</w:t>
            </w:r>
          </w:p>
        </w:tc>
      </w:tr>
    </w:tbl>
    <w:p w14:paraId="44982D16" w14:textId="08AC5D27" w:rsidR="008F6F6F" w:rsidRPr="00477480" w:rsidRDefault="0013480E" w:rsidP="008F6F6F">
      <w:pPr>
        <w:pStyle w:val="SingleTxt"/>
        <w:spacing w:line="240" w:lineRule="exact"/>
      </w:pPr>
      <w:r w:rsidRPr="00477480">
        <w:rPr>
          <w:i/>
          <w:sz w:val="14"/>
          <w:szCs w:val="14"/>
        </w:rPr>
        <w:t>Source</w:t>
      </w:r>
      <w:r w:rsidRPr="00477480">
        <w:rPr>
          <w:sz w:val="14"/>
          <w:szCs w:val="14"/>
        </w:rPr>
        <w:t> : Cour suprême de justice</w:t>
      </w:r>
      <w:r w:rsidRPr="00477480">
        <w:t>.</w:t>
      </w:r>
    </w:p>
    <w:p w14:paraId="492D8ADE" w14:textId="3C1E74D8" w:rsidR="0013480E" w:rsidRPr="00477480" w:rsidRDefault="0013480E" w:rsidP="00134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 xml:space="preserve">L’État partie souhaite informer le Comité des </w:t>
      </w:r>
      <w:r w:rsidR="00016093" w:rsidRPr="00477480">
        <w:t>éléments</w:t>
      </w:r>
      <w:r w:rsidRPr="00477480">
        <w:t xml:space="preserve"> ci-après, en application </w:t>
      </w:r>
      <w:r w:rsidRPr="00477480">
        <w:br/>
        <w:t>de la recommandation formulée au paragraphe 13</w:t>
      </w:r>
      <w:r w:rsidR="00E357B6" w:rsidRPr="00477480">
        <w:t> </w:t>
      </w:r>
      <w:r w:rsidRPr="00477480">
        <w:t>a) concernant l’attribution des ressources humaines, techniques et financières nécessaires au bon fonctionnement des juridictions spécialisées pour une vie libre de violence et de discrimination pour les femmes :</w:t>
      </w:r>
    </w:p>
    <w:p w14:paraId="5E34E460" w14:textId="1AAEC711" w:rsidR="0013480E" w:rsidRPr="00477480" w:rsidRDefault="0013480E" w:rsidP="0013480E">
      <w:pPr>
        <w:pStyle w:val="SingleTxt"/>
        <w:spacing w:after="0" w:line="120" w:lineRule="exact"/>
        <w:rPr>
          <w:sz w:val="10"/>
        </w:rPr>
      </w:pPr>
    </w:p>
    <w:p w14:paraId="62828237" w14:textId="7AE35D7E" w:rsidR="0013480E" w:rsidRPr="00477480" w:rsidRDefault="0013480E" w:rsidP="0013480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477480">
        <w:tab/>
      </w:r>
      <w:r w:rsidRPr="00477480">
        <w:tab/>
      </w:r>
      <w:r w:rsidRPr="00477480">
        <w:rPr>
          <w:b w:val="0"/>
        </w:rPr>
        <w:t>Tableau 2</w:t>
      </w:r>
    </w:p>
    <w:p w14:paraId="5BB01BD3" w14:textId="28EF91AD" w:rsidR="0013480E" w:rsidRPr="00477480" w:rsidRDefault="0013480E" w:rsidP="0013480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477480">
        <w:tab/>
      </w:r>
      <w:r w:rsidRPr="00477480">
        <w:tab/>
        <w:t xml:space="preserve">Personnel affecté aux juridictions spécialisées pour une vie libre de violence </w:t>
      </w:r>
      <w:r w:rsidRPr="00477480">
        <w:br/>
        <w:t>et de discrimination pour les femmes, 2017</w:t>
      </w:r>
    </w:p>
    <w:p w14:paraId="09B46BAC" w14:textId="69936672" w:rsidR="0013480E" w:rsidRPr="00477480" w:rsidRDefault="0013480E" w:rsidP="0013480E">
      <w:pPr>
        <w:pStyle w:val="SingleTxt"/>
        <w:spacing w:after="0" w:line="120" w:lineRule="exact"/>
        <w:rPr>
          <w:sz w:val="10"/>
        </w:rPr>
      </w:pPr>
    </w:p>
    <w:p w14:paraId="56CE0FC2" w14:textId="3A3F7858" w:rsidR="0013480E" w:rsidRPr="00477480" w:rsidRDefault="0013480E" w:rsidP="0013480E">
      <w:pPr>
        <w:pStyle w:val="SingleTxt"/>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170"/>
        <w:gridCol w:w="900"/>
        <w:gridCol w:w="990"/>
        <w:gridCol w:w="1260"/>
        <w:gridCol w:w="1005"/>
      </w:tblGrid>
      <w:tr w:rsidR="00997A59" w:rsidRPr="00477480" w14:paraId="374BBA3D" w14:textId="77777777" w:rsidTr="00771C59">
        <w:trPr>
          <w:tblHeader/>
        </w:trPr>
        <w:tc>
          <w:tcPr>
            <w:tcW w:w="3170" w:type="dxa"/>
            <w:tcBorders>
              <w:top w:val="single" w:sz="4" w:space="0" w:color="auto"/>
            </w:tcBorders>
            <w:shd w:val="clear" w:color="auto" w:fill="auto"/>
            <w:vAlign w:val="bottom"/>
          </w:tcPr>
          <w:p w14:paraId="626CFE0E" w14:textId="77777777" w:rsidR="00997A59" w:rsidRPr="00477480" w:rsidRDefault="00997A59" w:rsidP="0013480E">
            <w:pPr>
              <w:tabs>
                <w:tab w:val="left" w:pos="288"/>
                <w:tab w:val="left" w:pos="576"/>
                <w:tab w:val="left" w:pos="864"/>
                <w:tab w:val="left" w:pos="1152"/>
              </w:tabs>
              <w:suppressAutoHyphens/>
              <w:spacing w:before="81" w:after="81" w:line="160" w:lineRule="exact"/>
              <w:ind w:right="40"/>
              <w:rPr>
                <w:i/>
                <w:sz w:val="14"/>
              </w:rPr>
            </w:pPr>
          </w:p>
        </w:tc>
        <w:tc>
          <w:tcPr>
            <w:tcW w:w="1890" w:type="dxa"/>
            <w:gridSpan w:val="2"/>
            <w:tcBorders>
              <w:top w:val="single" w:sz="4" w:space="0" w:color="auto"/>
              <w:bottom w:val="single" w:sz="4" w:space="0" w:color="auto"/>
            </w:tcBorders>
            <w:shd w:val="clear" w:color="auto" w:fill="auto"/>
            <w:vAlign w:val="bottom"/>
          </w:tcPr>
          <w:p w14:paraId="6AA6369E" w14:textId="05B151CA" w:rsidR="00997A59" w:rsidRPr="00477480" w:rsidRDefault="00997A59" w:rsidP="00997A59">
            <w:pPr>
              <w:tabs>
                <w:tab w:val="left" w:pos="288"/>
                <w:tab w:val="left" w:pos="576"/>
                <w:tab w:val="left" w:pos="864"/>
                <w:tab w:val="left" w:pos="1152"/>
              </w:tabs>
              <w:suppressAutoHyphens/>
              <w:spacing w:before="81" w:after="81" w:line="160" w:lineRule="exact"/>
              <w:ind w:left="144" w:right="43"/>
              <w:jc w:val="center"/>
              <w:rPr>
                <w:i/>
                <w:sz w:val="14"/>
              </w:rPr>
            </w:pPr>
            <w:r w:rsidRPr="00477480">
              <w:rPr>
                <w:i/>
                <w:sz w:val="14"/>
              </w:rPr>
              <w:t>Sexe</w:t>
            </w:r>
          </w:p>
        </w:tc>
        <w:tc>
          <w:tcPr>
            <w:tcW w:w="1260" w:type="dxa"/>
            <w:tcBorders>
              <w:top w:val="single" w:sz="4" w:space="0" w:color="auto"/>
            </w:tcBorders>
            <w:shd w:val="clear" w:color="auto" w:fill="auto"/>
            <w:vAlign w:val="bottom"/>
          </w:tcPr>
          <w:p w14:paraId="058A4263" w14:textId="77777777" w:rsidR="00997A59" w:rsidRPr="00477480" w:rsidRDefault="00997A59" w:rsidP="0013480E">
            <w:pPr>
              <w:tabs>
                <w:tab w:val="left" w:pos="288"/>
                <w:tab w:val="left" w:pos="576"/>
                <w:tab w:val="left" w:pos="864"/>
                <w:tab w:val="left" w:pos="1152"/>
              </w:tabs>
              <w:suppressAutoHyphens/>
              <w:spacing w:before="81" w:after="81" w:line="160" w:lineRule="exact"/>
              <w:ind w:left="144" w:right="43"/>
              <w:jc w:val="right"/>
              <w:rPr>
                <w:i/>
                <w:sz w:val="14"/>
              </w:rPr>
            </w:pPr>
          </w:p>
        </w:tc>
        <w:tc>
          <w:tcPr>
            <w:tcW w:w="1005" w:type="dxa"/>
            <w:tcBorders>
              <w:top w:val="single" w:sz="4" w:space="0" w:color="auto"/>
            </w:tcBorders>
            <w:shd w:val="clear" w:color="auto" w:fill="auto"/>
            <w:vAlign w:val="bottom"/>
          </w:tcPr>
          <w:p w14:paraId="24219487" w14:textId="77777777" w:rsidR="00997A59" w:rsidRPr="00477480" w:rsidRDefault="00997A59" w:rsidP="0013480E">
            <w:pPr>
              <w:tabs>
                <w:tab w:val="left" w:pos="288"/>
                <w:tab w:val="left" w:pos="576"/>
                <w:tab w:val="left" w:pos="864"/>
                <w:tab w:val="left" w:pos="1152"/>
              </w:tabs>
              <w:suppressAutoHyphens/>
              <w:spacing w:before="81" w:after="81" w:line="160" w:lineRule="exact"/>
              <w:ind w:left="144" w:right="43"/>
              <w:jc w:val="right"/>
              <w:rPr>
                <w:i/>
                <w:sz w:val="14"/>
              </w:rPr>
            </w:pPr>
          </w:p>
        </w:tc>
      </w:tr>
      <w:tr w:rsidR="0013480E" w:rsidRPr="00477480" w14:paraId="53B5D738" w14:textId="77777777" w:rsidTr="00771C59">
        <w:trPr>
          <w:tblHeader/>
        </w:trPr>
        <w:tc>
          <w:tcPr>
            <w:tcW w:w="3170" w:type="dxa"/>
            <w:tcBorders>
              <w:bottom w:val="single" w:sz="12" w:space="0" w:color="auto"/>
            </w:tcBorders>
            <w:shd w:val="clear" w:color="auto" w:fill="auto"/>
            <w:vAlign w:val="bottom"/>
          </w:tcPr>
          <w:p w14:paraId="6F347CAA" w14:textId="187ABD2B" w:rsidR="0013480E" w:rsidRPr="00477480" w:rsidRDefault="00997A59" w:rsidP="0013480E">
            <w:pPr>
              <w:tabs>
                <w:tab w:val="left" w:pos="288"/>
                <w:tab w:val="left" w:pos="576"/>
                <w:tab w:val="left" w:pos="864"/>
                <w:tab w:val="left" w:pos="1152"/>
              </w:tabs>
              <w:suppressAutoHyphens/>
              <w:spacing w:before="81" w:after="81" w:line="160" w:lineRule="exact"/>
              <w:ind w:right="40"/>
              <w:rPr>
                <w:i/>
                <w:sz w:val="14"/>
              </w:rPr>
            </w:pPr>
            <w:r w:rsidRPr="00477480">
              <w:rPr>
                <w:i/>
                <w:sz w:val="14"/>
              </w:rPr>
              <w:t>Nom du poste et de la fonction</w:t>
            </w:r>
          </w:p>
        </w:tc>
        <w:tc>
          <w:tcPr>
            <w:tcW w:w="900" w:type="dxa"/>
            <w:tcBorders>
              <w:top w:val="single" w:sz="4" w:space="0" w:color="auto"/>
              <w:bottom w:val="single" w:sz="12" w:space="0" w:color="auto"/>
            </w:tcBorders>
            <w:shd w:val="clear" w:color="auto" w:fill="auto"/>
            <w:vAlign w:val="bottom"/>
          </w:tcPr>
          <w:p w14:paraId="4B9F830A" w14:textId="07189D17" w:rsidR="0013480E" w:rsidRPr="00477480" w:rsidRDefault="00997A59" w:rsidP="0013480E">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Femmes</w:t>
            </w:r>
          </w:p>
        </w:tc>
        <w:tc>
          <w:tcPr>
            <w:tcW w:w="990" w:type="dxa"/>
            <w:tcBorders>
              <w:top w:val="single" w:sz="4" w:space="0" w:color="auto"/>
              <w:bottom w:val="single" w:sz="12" w:space="0" w:color="auto"/>
            </w:tcBorders>
            <w:shd w:val="clear" w:color="auto" w:fill="auto"/>
            <w:vAlign w:val="bottom"/>
          </w:tcPr>
          <w:p w14:paraId="4172E515" w14:textId="6ED99678" w:rsidR="0013480E" w:rsidRPr="00477480" w:rsidRDefault="00997A59" w:rsidP="0013480E">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Hommes</w:t>
            </w:r>
          </w:p>
        </w:tc>
        <w:tc>
          <w:tcPr>
            <w:tcW w:w="1260" w:type="dxa"/>
            <w:tcBorders>
              <w:bottom w:val="single" w:sz="12" w:space="0" w:color="auto"/>
            </w:tcBorders>
            <w:shd w:val="clear" w:color="auto" w:fill="auto"/>
            <w:vAlign w:val="bottom"/>
          </w:tcPr>
          <w:p w14:paraId="6FCB3749" w14:textId="32D9B604" w:rsidR="0013480E" w:rsidRPr="00477480" w:rsidRDefault="00997A59" w:rsidP="0013480E">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Vacance de poste</w:t>
            </w:r>
          </w:p>
        </w:tc>
        <w:tc>
          <w:tcPr>
            <w:tcW w:w="1005" w:type="dxa"/>
            <w:tcBorders>
              <w:bottom w:val="single" w:sz="12" w:space="0" w:color="auto"/>
            </w:tcBorders>
            <w:shd w:val="clear" w:color="auto" w:fill="auto"/>
            <w:vAlign w:val="bottom"/>
          </w:tcPr>
          <w:p w14:paraId="6214D17F" w14:textId="3DC24E5B" w:rsidR="0013480E" w:rsidRPr="00477480" w:rsidRDefault="00997A59" w:rsidP="0013480E">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Total</w:t>
            </w:r>
          </w:p>
        </w:tc>
      </w:tr>
      <w:tr w:rsidR="0013480E" w:rsidRPr="00477480" w14:paraId="74D47C49" w14:textId="77777777" w:rsidTr="00771C59">
        <w:trPr>
          <w:trHeight w:hRule="exact" w:val="115"/>
          <w:tblHeader/>
        </w:trPr>
        <w:tc>
          <w:tcPr>
            <w:tcW w:w="3170" w:type="dxa"/>
            <w:tcBorders>
              <w:top w:val="single" w:sz="12" w:space="0" w:color="auto"/>
            </w:tcBorders>
            <w:shd w:val="clear" w:color="auto" w:fill="auto"/>
            <w:vAlign w:val="bottom"/>
          </w:tcPr>
          <w:p w14:paraId="728CA67C" w14:textId="77777777" w:rsidR="0013480E" w:rsidRPr="00477480" w:rsidRDefault="0013480E" w:rsidP="0013480E">
            <w:pPr>
              <w:tabs>
                <w:tab w:val="left" w:pos="288"/>
                <w:tab w:val="left" w:pos="576"/>
                <w:tab w:val="left" w:pos="864"/>
                <w:tab w:val="left" w:pos="1152"/>
              </w:tabs>
              <w:suppressAutoHyphens/>
              <w:spacing w:before="40" w:after="40" w:line="210" w:lineRule="exact"/>
              <w:ind w:right="40"/>
              <w:rPr>
                <w:sz w:val="17"/>
              </w:rPr>
            </w:pPr>
          </w:p>
        </w:tc>
        <w:tc>
          <w:tcPr>
            <w:tcW w:w="900" w:type="dxa"/>
            <w:tcBorders>
              <w:top w:val="single" w:sz="12" w:space="0" w:color="auto"/>
            </w:tcBorders>
            <w:shd w:val="clear" w:color="auto" w:fill="auto"/>
            <w:vAlign w:val="bottom"/>
          </w:tcPr>
          <w:p w14:paraId="18DBCAC0" w14:textId="77777777" w:rsidR="0013480E" w:rsidRPr="00477480" w:rsidRDefault="0013480E" w:rsidP="0013480E">
            <w:pPr>
              <w:tabs>
                <w:tab w:val="left" w:pos="288"/>
                <w:tab w:val="left" w:pos="576"/>
                <w:tab w:val="left" w:pos="864"/>
                <w:tab w:val="left" w:pos="1152"/>
              </w:tabs>
              <w:suppressAutoHyphens/>
              <w:spacing w:before="40" w:after="40" w:line="210" w:lineRule="exact"/>
              <w:ind w:left="144" w:right="43"/>
              <w:jc w:val="right"/>
              <w:rPr>
                <w:sz w:val="17"/>
              </w:rPr>
            </w:pPr>
          </w:p>
        </w:tc>
        <w:tc>
          <w:tcPr>
            <w:tcW w:w="990" w:type="dxa"/>
            <w:tcBorders>
              <w:top w:val="single" w:sz="12" w:space="0" w:color="auto"/>
            </w:tcBorders>
            <w:shd w:val="clear" w:color="auto" w:fill="auto"/>
            <w:vAlign w:val="bottom"/>
          </w:tcPr>
          <w:p w14:paraId="42FDEA36" w14:textId="77777777" w:rsidR="0013480E" w:rsidRPr="00477480" w:rsidRDefault="0013480E" w:rsidP="0013480E">
            <w:pPr>
              <w:tabs>
                <w:tab w:val="left" w:pos="288"/>
                <w:tab w:val="left" w:pos="576"/>
                <w:tab w:val="left" w:pos="864"/>
                <w:tab w:val="left" w:pos="1152"/>
              </w:tabs>
              <w:suppressAutoHyphens/>
              <w:spacing w:before="40" w:after="40" w:line="210" w:lineRule="exact"/>
              <w:ind w:left="144" w:right="43"/>
              <w:jc w:val="right"/>
              <w:rPr>
                <w:sz w:val="17"/>
              </w:rPr>
            </w:pPr>
          </w:p>
        </w:tc>
        <w:tc>
          <w:tcPr>
            <w:tcW w:w="1260" w:type="dxa"/>
            <w:tcBorders>
              <w:top w:val="single" w:sz="12" w:space="0" w:color="auto"/>
            </w:tcBorders>
            <w:shd w:val="clear" w:color="auto" w:fill="auto"/>
            <w:vAlign w:val="bottom"/>
          </w:tcPr>
          <w:p w14:paraId="220EF7E1" w14:textId="77777777" w:rsidR="0013480E" w:rsidRPr="00477480" w:rsidRDefault="0013480E" w:rsidP="0013480E">
            <w:pPr>
              <w:tabs>
                <w:tab w:val="left" w:pos="288"/>
                <w:tab w:val="left" w:pos="576"/>
                <w:tab w:val="left" w:pos="864"/>
                <w:tab w:val="left" w:pos="1152"/>
              </w:tabs>
              <w:suppressAutoHyphens/>
              <w:spacing w:before="40" w:after="40" w:line="210" w:lineRule="exact"/>
              <w:ind w:left="144" w:right="43"/>
              <w:jc w:val="right"/>
              <w:rPr>
                <w:sz w:val="17"/>
              </w:rPr>
            </w:pPr>
          </w:p>
        </w:tc>
        <w:tc>
          <w:tcPr>
            <w:tcW w:w="1005" w:type="dxa"/>
            <w:tcBorders>
              <w:top w:val="single" w:sz="12" w:space="0" w:color="auto"/>
            </w:tcBorders>
            <w:shd w:val="clear" w:color="auto" w:fill="auto"/>
            <w:vAlign w:val="bottom"/>
          </w:tcPr>
          <w:p w14:paraId="3348398C" w14:textId="77777777" w:rsidR="0013480E" w:rsidRPr="00477480" w:rsidRDefault="0013480E" w:rsidP="0013480E">
            <w:pPr>
              <w:tabs>
                <w:tab w:val="left" w:pos="288"/>
                <w:tab w:val="left" w:pos="576"/>
                <w:tab w:val="left" w:pos="864"/>
                <w:tab w:val="left" w:pos="1152"/>
              </w:tabs>
              <w:suppressAutoHyphens/>
              <w:spacing w:before="40" w:after="40" w:line="210" w:lineRule="exact"/>
              <w:ind w:left="144" w:right="43"/>
              <w:jc w:val="right"/>
              <w:rPr>
                <w:sz w:val="17"/>
              </w:rPr>
            </w:pPr>
          </w:p>
        </w:tc>
      </w:tr>
      <w:tr w:rsidR="00997A59" w:rsidRPr="00477480" w14:paraId="604355F9" w14:textId="77777777" w:rsidTr="00771C59">
        <w:tc>
          <w:tcPr>
            <w:tcW w:w="3170" w:type="dxa"/>
            <w:shd w:val="clear" w:color="auto" w:fill="auto"/>
            <w:vAlign w:val="bottom"/>
          </w:tcPr>
          <w:p w14:paraId="020E5045" w14:textId="50E5270A"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Président de la Cour spécialisée I</w:t>
            </w:r>
          </w:p>
        </w:tc>
        <w:tc>
          <w:tcPr>
            <w:tcW w:w="900" w:type="dxa"/>
            <w:shd w:val="clear" w:color="auto" w:fill="auto"/>
            <w:vAlign w:val="center"/>
          </w:tcPr>
          <w:p w14:paraId="7A2A2122" w14:textId="6F2B9A99"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c>
          <w:tcPr>
            <w:tcW w:w="990" w:type="dxa"/>
            <w:shd w:val="clear" w:color="auto" w:fill="auto"/>
            <w:vAlign w:val="center"/>
          </w:tcPr>
          <w:p w14:paraId="3D460CCA" w14:textId="76D6E075"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260" w:type="dxa"/>
            <w:shd w:val="clear" w:color="auto" w:fill="auto"/>
            <w:vAlign w:val="center"/>
          </w:tcPr>
          <w:p w14:paraId="43658078" w14:textId="2C6DD287"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27FE4254" w14:textId="0C325FC9"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r>
      <w:tr w:rsidR="00997A59" w:rsidRPr="00477480" w14:paraId="580D311E" w14:textId="77777777" w:rsidTr="00771C59">
        <w:tc>
          <w:tcPr>
            <w:tcW w:w="3170" w:type="dxa"/>
            <w:shd w:val="clear" w:color="auto" w:fill="auto"/>
          </w:tcPr>
          <w:p w14:paraId="124619E9" w14:textId="7629A14A"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Greffier de la Cour spécialisée I</w:t>
            </w:r>
          </w:p>
        </w:tc>
        <w:tc>
          <w:tcPr>
            <w:tcW w:w="900" w:type="dxa"/>
            <w:shd w:val="clear" w:color="auto" w:fill="auto"/>
            <w:vAlign w:val="center"/>
          </w:tcPr>
          <w:p w14:paraId="265CBB11" w14:textId="172F6023"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990" w:type="dxa"/>
            <w:shd w:val="clear" w:color="auto" w:fill="auto"/>
            <w:vAlign w:val="center"/>
          </w:tcPr>
          <w:p w14:paraId="4E813039" w14:textId="0F87E766"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260" w:type="dxa"/>
            <w:shd w:val="clear" w:color="auto" w:fill="auto"/>
            <w:vAlign w:val="center"/>
          </w:tcPr>
          <w:p w14:paraId="4D23EBA0" w14:textId="6BC4EEDF"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761328B2" w14:textId="7D0CD167"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r>
      <w:tr w:rsidR="00997A59" w:rsidRPr="00477480" w14:paraId="0C06B701" w14:textId="77777777" w:rsidTr="00771C59">
        <w:tc>
          <w:tcPr>
            <w:tcW w:w="3170" w:type="dxa"/>
            <w:shd w:val="clear" w:color="auto" w:fill="auto"/>
          </w:tcPr>
          <w:p w14:paraId="0D2240DD" w14:textId="361D7B0F"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Collaborateur judiciaire A-I</w:t>
            </w:r>
          </w:p>
        </w:tc>
        <w:tc>
          <w:tcPr>
            <w:tcW w:w="900" w:type="dxa"/>
            <w:shd w:val="clear" w:color="auto" w:fill="auto"/>
            <w:vAlign w:val="center"/>
          </w:tcPr>
          <w:p w14:paraId="761F2683" w14:textId="6FCA47F0"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4</w:t>
            </w:r>
          </w:p>
        </w:tc>
        <w:tc>
          <w:tcPr>
            <w:tcW w:w="990" w:type="dxa"/>
            <w:shd w:val="clear" w:color="auto" w:fill="auto"/>
            <w:vAlign w:val="center"/>
          </w:tcPr>
          <w:p w14:paraId="241573B1" w14:textId="3E36B534"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260" w:type="dxa"/>
            <w:shd w:val="clear" w:color="auto" w:fill="auto"/>
            <w:vAlign w:val="center"/>
          </w:tcPr>
          <w:p w14:paraId="660409C4" w14:textId="53D25ED6"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43F79472" w14:textId="488D1481"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4</w:t>
            </w:r>
          </w:p>
        </w:tc>
      </w:tr>
      <w:tr w:rsidR="00997A59" w:rsidRPr="00477480" w14:paraId="443E3185" w14:textId="77777777" w:rsidTr="00771C59">
        <w:tc>
          <w:tcPr>
            <w:tcW w:w="3170" w:type="dxa"/>
            <w:shd w:val="clear" w:color="auto" w:fill="auto"/>
          </w:tcPr>
          <w:p w14:paraId="78A74FD1" w14:textId="2406CCF0"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Administrateur général A-I</w:t>
            </w:r>
          </w:p>
        </w:tc>
        <w:tc>
          <w:tcPr>
            <w:tcW w:w="900" w:type="dxa"/>
            <w:shd w:val="clear" w:color="auto" w:fill="auto"/>
            <w:vAlign w:val="center"/>
          </w:tcPr>
          <w:p w14:paraId="45ADF671" w14:textId="67586DC1"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990" w:type="dxa"/>
            <w:shd w:val="clear" w:color="auto" w:fill="auto"/>
            <w:vAlign w:val="center"/>
          </w:tcPr>
          <w:p w14:paraId="3DD42E15" w14:textId="46777D99"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1260" w:type="dxa"/>
            <w:shd w:val="clear" w:color="auto" w:fill="auto"/>
            <w:vAlign w:val="center"/>
          </w:tcPr>
          <w:p w14:paraId="0FF8BE17" w14:textId="711A336A"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54A11F64" w14:textId="15336BBC"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r>
      <w:tr w:rsidR="00997A59" w:rsidRPr="00477480" w14:paraId="63055FA5" w14:textId="77777777" w:rsidTr="00771C59">
        <w:tc>
          <w:tcPr>
            <w:tcW w:w="3170" w:type="dxa"/>
            <w:shd w:val="clear" w:color="auto" w:fill="auto"/>
          </w:tcPr>
          <w:p w14:paraId="20FE8E44" w14:textId="33F0C88A"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Concierge A-I</w:t>
            </w:r>
          </w:p>
        </w:tc>
        <w:tc>
          <w:tcPr>
            <w:tcW w:w="900" w:type="dxa"/>
            <w:shd w:val="clear" w:color="auto" w:fill="auto"/>
            <w:vAlign w:val="center"/>
          </w:tcPr>
          <w:p w14:paraId="60A47D19" w14:textId="70B8D972"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990" w:type="dxa"/>
            <w:shd w:val="clear" w:color="auto" w:fill="auto"/>
            <w:vAlign w:val="center"/>
          </w:tcPr>
          <w:p w14:paraId="21602357" w14:textId="7E7AD58F"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1260" w:type="dxa"/>
            <w:shd w:val="clear" w:color="auto" w:fill="auto"/>
            <w:vAlign w:val="center"/>
          </w:tcPr>
          <w:p w14:paraId="003892BB" w14:textId="495FC58F"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1561C669" w14:textId="7A2AED77"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r>
      <w:tr w:rsidR="00997A59" w:rsidRPr="00477480" w14:paraId="42767418" w14:textId="77777777" w:rsidTr="00771C59">
        <w:tc>
          <w:tcPr>
            <w:tcW w:w="3170" w:type="dxa"/>
            <w:shd w:val="clear" w:color="auto" w:fill="auto"/>
          </w:tcPr>
          <w:p w14:paraId="6033194F" w14:textId="374A1633"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Juge I</w:t>
            </w:r>
          </w:p>
        </w:tc>
        <w:tc>
          <w:tcPr>
            <w:tcW w:w="900" w:type="dxa"/>
            <w:shd w:val="clear" w:color="auto" w:fill="auto"/>
            <w:vAlign w:val="center"/>
          </w:tcPr>
          <w:p w14:paraId="235ECBFC" w14:textId="5BE4EB5C"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c>
          <w:tcPr>
            <w:tcW w:w="990" w:type="dxa"/>
            <w:shd w:val="clear" w:color="auto" w:fill="auto"/>
            <w:vAlign w:val="center"/>
          </w:tcPr>
          <w:p w14:paraId="06C445B0" w14:textId="78260F72"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260" w:type="dxa"/>
            <w:shd w:val="clear" w:color="auto" w:fill="auto"/>
            <w:vAlign w:val="center"/>
          </w:tcPr>
          <w:p w14:paraId="32B21AD3" w14:textId="672B7F40"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75BBD8BB" w14:textId="0ABD9764"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r>
      <w:tr w:rsidR="00997A59" w:rsidRPr="00477480" w14:paraId="379A77E0" w14:textId="77777777" w:rsidTr="00771C59">
        <w:tc>
          <w:tcPr>
            <w:tcW w:w="3170" w:type="dxa"/>
            <w:shd w:val="clear" w:color="auto" w:fill="auto"/>
          </w:tcPr>
          <w:p w14:paraId="5550A7CA" w14:textId="3042619E"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Greffier auprès du tribunal I</w:t>
            </w:r>
          </w:p>
        </w:tc>
        <w:tc>
          <w:tcPr>
            <w:tcW w:w="900" w:type="dxa"/>
            <w:shd w:val="clear" w:color="auto" w:fill="auto"/>
            <w:vAlign w:val="center"/>
          </w:tcPr>
          <w:p w14:paraId="1241DFE1" w14:textId="26658257"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c>
          <w:tcPr>
            <w:tcW w:w="990" w:type="dxa"/>
            <w:shd w:val="clear" w:color="auto" w:fill="auto"/>
            <w:vAlign w:val="center"/>
          </w:tcPr>
          <w:p w14:paraId="04367902" w14:textId="1F460120"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260" w:type="dxa"/>
            <w:shd w:val="clear" w:color="auto" w:fill="auto"/>
            <w:vAlign w:val="center"/>
          </w:tcPr>
          <w:p w14:paraId="38CCF308" w14:textId="5BA5E0F8"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29944151" w14:textId="05B47AB7"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r>
      <w:tr w:rsidR="00997A59" w:rsidRPr="00477480" w14:paraId="5E62D1FD" w14:textId="77777777" w:rsidTr="00771C59">
        <w:tc>
          <w:tcPr>
            <w:tcW w:w="3170" w:type="dxa"/>
            <w:shd w:val="clear" w:color="auto" w:fill="auto"/>
          </w:tcPr>
          <w:p w14:paraId="3BF58FBC" w14:textId="7DA7C1FC"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Collaborateur judiciaire B-I</w:t>
            </w:r>
          </w:p>
        </w:tc>
        <w:tc>
          <w:tcPr>
            <w:tcW w:w="900" w:type="dxa"/>
            <w:shd w:val="clear" w:color="auto" w:fill="auto"/>
            <w:vAlign w:val="center"/>
          </w:tcPr>
          <w:p w14:paraId="56980473" w14:textId="77D4722E"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5</w:t>
            </w:r>
          </w:p>
        </w:tc>
        <w:tc>
          <w:tcPr>
            <w:tcW w:w="990" w:type="dxa"/>
            <w:shd w:val="clear" w:color="auto" w:fill="auto"/>
            <w:vAlign w:val="center"/>
          </w:tcPr>
          <w:p w14:paraId="20EF91DC" w14:textId="2C2D354A"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c>
          <w:tcPr>
            <w:tcW w:w="1260" w:type="dxa"/>
            <w:shd w:val="clear" w:color="auto" w:fill="auto"/>
            <w:vAlign w:val="center"/>
          </w:tcPr>
          <w:p w14:paraId="21BB75D9" w14:textId="5D6224FC"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2FA4BFE7" w14:textId="1931ADDE"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7</w:t>
            </w:r>
          </w:p>
        </w:tc>
      </w:tr>
      <w:tr w:rsidR="00997A59" w:rsidRPr="00477480" w14:paraId="3386331F" w14:textId="77777777" w:rsidTr="00771C59">
        <w:tc>
          <w:tcPr>
            <w:tcW w:w="3170" w:type="dxa"/>
            <w:shd w:val="clear" w:color="auto" w:fill="auto"/>
          </w:tcPr>
          <w:p w14:paraId="101EC548" w14:textId="08B1410D"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Notifiant B-I</w:t>
            </w:r>
          </w:p>
        </w:tc>
        <w:tc>
          <w:tcPr>
            <w:tcW w:w="900" w:type="dxa"/>
            <w:shd w:val="clear" w:color="auto" w:fill="auto"/>
            <w:vAlign w:val="center"/>
          </w:tcPr>
          <w:p w14:paraId="078323FE" w14:textId="21E7DAB8"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990" w:type="dxa"/>
            <w:shd w:val="clear" w:color="auto" w:fill="auto"/>
            <w:vAlign w:val="center"/>
          </w:tcPr>
          <w:p w14:paraId="4D0869AA" w14:textId="56BE79BE"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c>
          <w:tcPr>
            <w:tcW w:w="1260" w:type="dxa"/>
            <w:shd w:val="clear" w:color="auto" w:fill="auto"/>
            <w:vAlign w:val="center"/>
          </w:tcPr>
          <w:p w14:paraId="56CA86E8" w14:textId="64515100"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32A65E8E" w14:textId="1E9D6B2E"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r>
      <w:tr w:rsidR="00997A59" w:rsidRPr="00477480" w14:paraId="7AA22807" w14:textId="77777777" w:rsidTr="00771C59">
        <w:tc>
          <w:tcPr>
            <w:tcW w:w="3170" w:type="dxa"/>
            <w:shd w:val="clear" w:color="auto" w:fill="auto"/>
          </w:tcPr>
          <w:p w14:paraId="3E63F551" w14:textId="4D86D26E"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Concierge B-I</w:t>
            </w:r>
          </w:p>
        </w:tc>
        <w:tc>
          <w:tcPr>
            <w:tcW w:w="900" w:type="dxa"/>
            <w:shd w:val="clear" w:color="auto" w:fill="auto"/>
            <w:vAlign w:val="center"/>
          </w:tcPr>
          <w:p w14:paraId="1BC70217" w14:textId="1825990F"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990" w:type="dxa"/>
            <w:shd w:val="clear" w:color="auto" w:fill="auto"/>
            <w:vAlign w:val="center"/>
          </w:tcPr>
          <w:p w14:paraId="3CA7E1C8" w14:textId="756D83A7"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1260" w:type="dxa"/>
            <w:shd w:val="clear" w:color="auto" w:fill="auto"/>
            <w:vAlign w:val="center"/>
          </w:tcPr>
          <w:p w14:paraId="0F8D7CB1" w14:textId="05608825"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41F54D45" w14:textId="6353AB43"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2</w:t>
            </w:r>
          </w:p>
        </w:tc>
      </w:tr>
      <w:tr w:rsidR="00997A59" w:rsidRPr="00477480" w14:paraId="0ED7B36A" w14:textId="77777777" w:rsidTr="00771C59">
        <w:tc>
          <w:tcPr>
            <w:tcW w:w="3170" w:type="dxa"/>
            <w:shd w:val="clear" w:color="auto" w:fill="auto"/>
          </w:tcPr>
          <w:p w14:paraId="39E69E30" w14:textId="48439649"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Juge II</w:t>
            </w:r>
          </w:p>
        </w:tc>
        <w:tc>
          <w:tcPr>
            <w:tcW w:w="900" w:type="dxa"/>
            <w:shd w:val="clear" w:color="auto" w:fill="auto"/>
            <w:vAlign w:val="center"/>
          </w:tcPr>
          <w:p w14:paraId="5F4F64D6" w14:textId="1BDE0F8B"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3</w:t>
            </w:r>
          </w:p>
        </w:tc>
        <w:tc>
          <w:tcPr>
            <w:tcW w:w="990" w:type="dxa"/>
            <w:shd w:val="clear" w:color="auto" w:fill="auto"/>
            <w:vAlign w:val="center"/>
          </w:tcPr>
          <w:p w14:paraId="03DC57F0" w14:textId="3107180C"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1260" w:type="dxa"/>
            <w:shd w:val="clear" w:color="auto" w:fill="auto"/>
            <w:vAlign w:val="center"/>
          </w:tcPr>
          <w:p w14:paraId="37263EC5" w14:textId="783241F3"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5142E854" w14:textId="3B18ECF5"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4</w:t>
            </w:r>
          </w:p>
        </w:tc>
      </w:tr>
      <w:tr w:rsidR="00997A59" w:rsidRPr="00477480" w14:paraId="749B6EEF" w14:textId="77777777" w:rsidTr="00771C59">
        <w:tc>
          <w:tcPr>
            <w:tcW w:w="3170" w:type="dxa"/>
            <w:shd w:val="clear" w:color="auto" w:fill="auto"/>
          </w:tcPr>
          <w:p w14:paraId="040A9545" w14:textId="63E93D91"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Greffier auprès du tribunal II</w:t>
            </w:r>
          </w:p>
        </w:tc>
        <w:tc>
          <w:tcPr>
            <w:tcW w:w="900" w:type="dxa"/>
            <w:shd w:val="clear" w:color="auto" w:fill="auto"/>
            <w:vAlign w:val="center"/>
          </w:tcPr>
          <w:p w14:paraId="250D2E8B" w14:textId="46473936"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3</w:t>
            </w:r>
          </w:p>
        </w:tc>
        <w:tc>
          <w:tcPr>
            <w:tcW w:w="990" w:type="dxa"/>
            <w:shd w:val="clear" w:color="auto" w:fill="auto"/>
            <w:vAlign w:val="center"/>
          </w:tcPr>
          <w:p w14:paraId="05BF4000" w14:textId="356AAE06"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w:t>
            </w:r>
          </w:p>
        </w:tc>
        <w:tc>
          <w:tcPr>
            <w:tcW w:w="1260" w:type="dxa"/>
            <w:shd w:val="clear" w:color="auto" w:fill="auto"/>
            <w:vAlign w:val="center"/>
          </w:tcPr>
          <w:p w14:paraId="1506E7A4" w14:textId="58A2FB1D"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44F1356D" w14:textId="7F8866B1"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4</w:t>
            </w:r>
          </w:p>
        </w:tc>
      </w:tr>
      <w:tr w:rsidR="00997A59" w:rsidRPr="00477480" w14:paraId="742EAED4" w14:textId="77777777" w:rsidTr="00771C59">
        <w:tc>
          <w:tcPr>
            <w:tcW w:w="3170" w:type="dxa"/>
            <w:shd w:val="clear" w:color="auto" w:fill="auto"/>
          </w:tcPr>
          <w:p w14:paraId="09FBCCF3" w14:textId="05EBD5B8"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Collaborateur judiciaire B-II</w:t>
            </w:r>
          </w:p>
        </w:tc>
        <w:tc>
          <w:tcPr>
            <w:tcW w:w="900" w:type="dxa"/>
            <w:shd w:val="clear" w:color="auto" w:fill="auto"/>
            <w:vAlign w:val="center"/>
          </w:tcPr>
          <w:p w14:paraId="1BF23F27" w14:textId="2ED8885E"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9</w:t>
            </w:r>
          </w:p>
        </w:tc>
        <w:tc>
          <w:tcPr>
            <w:tcW w:w="990" w:type="dxa"/>
            <w:shd w:val="clear" w:color="auto" w:fill="auto"/>
            <w:vAlign w:val="center"/>
          </w:tcPr>
          <w:p w14:paraId="376D6979" w14:textId="43F43F90"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3</w:t>
            </w:r>
          </w:p>
        </w:tc>
        <w:tc>
          <w:tcPr>
            <w:tcW w:w="1260" w:type="dxa"/>
            <w:shd w:val="clear" w:color="auto" w:fill="auto"/>
            <w:vAlign w:val="center"/>
          </w:tcPr>
          <w:p w14:paraId="7B742A89" w14:textId="0C3740BF"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3290B2F8" w14:textId="3EBB932A"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12</w:t>
            </w:r>
          </w:p>
        </w:tc>
      </w:tr>
      <w:tr w:rsidR="00997A59" w:rsidRPr="00477480" w14:paraId="1519E52E" w14:textId="77777777" w:rsidTr="00771C59">
        <w:tc>
          <w:tcPr>
            <w:tcW w:w="3170" w:type="dxa"/>
            <w:shd w:val="clear" w:color="auto" w:fill="auto"/>
          </w:tcPr>
          <w:p w14:paraId="3DF5F9F2" w14:textId="4372B8DA" w:rsidR="00997A59" w:rsidRPr="00477480" w:rsidRDefault="00997A59" w:rsidP="00997A59">
            <w:pPr>
              <w:tabs>
                <w:tab w:val="left" w:pos="288"/>
                <w:tab w:val="left" w:pos="576"/>
                <w:tab w:val="left" w:pos="864"/>
                <w:tab w:val="left" w:pos="1152"/>
              </w:tabs>
              <w:suppressAutoHyphens/>
              <w:spacing w:before="40" w:after="40" w:line="210" w:lineRule="exact"/>
              <w:ind w:right="40"/>
              <w:rPr>
                <w:szCs w:val="20"/>
              </w:rPr>
            </w:pPr>
            <w:r w:rsidRPr="00477480">
              <w:rPr>
                <w:szCs w:val="20"/>
              </w:rPr>
              <w:t>Notifiant B-II</w:t>
            </w:r>
          </w:p>
        </w:tc>
        <w:tc>
          <w:tcPr>
            <w:tcW w:w="900" w:type="dxa"/>
            <w:shd w:val="clear" w:color="auto" w:fill="auto"/>
            <w:vAlign w:val="center"/>
          </w:tcPr>
          <w:p w14:paraId="2082875E" w14:textId="3D097971"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990" w:type="dxa"/>
            <w:shd w:val="clear" w:color="auto" w:fill="auto"/>
            <w:vAlign w:val="center"/>
          </w:tcPr>
          <w:p w14:paraId="4A8FDB71" w14:textId="2F84ACF5"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4</w:t>
            </w:r>
          </w:p>
        </w:tc>
        <w:tc>
          <w:tcPr>
            <w:tcW w:w="1260" w:type="dxa"/>
            <w:shd w:val="clear" w:color="auto" w:fill="auto"/>
            <w:vAlign w:val="center"/>
          </w:tcPr>
          <w:p w14:paraId="0BE26408" w14:textId="0FEC02BB"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0</w:t>
            </w:r>
          </w:p>
        </w:tc>
        <w:tc>
          <w:tcPr>
            <w:tcW w:w="1005" w:type="dxa"/>
            <w:shd w:val="clear" w:color="auto" w:fill="auto"/>
            <w:vAlign w:val="center"/>
          </w:tcPr>
          <w:p w14:paraId="0724428E" w14:textId="6C317D99" w:rsidR="00997A59" w:rsidRPr="00477480" w:rsidRDefault="00997A59" w:rsidP="00997A59">
            <w:pPr>
              <w:tabs>
                <w:tab w:val="left" w:pos="288"/>
                <w:tab w:val="left" w:pos="576"/>
                <w:tab w:val="left" w:pos="864"/>
                <w:tab w:val="left" w:pos="1152"/>
              </w:tabs>
              <w:suppressAutoHyphens/>
              <w:spacing w:before="40" w:after="40" w:line="210" w:lineRule="exact"/>
              <w:ind w:left="144" w:right="43"/>
              <w:jc w:val="right"/>
              <w:rPr>
                <w:szCs w:val="20"/>
              </w:rPr>
            </w:pPr>
            <w:r w:rsidRPr="00477480">
              <w:rPr>
                <w:szCs w:val="20"/>
              </w:rPr>
              <w:t>4</w:t>
            </w:r>
          </w:p>
        </w:tc>
      </w:tr>
      <w:tr w:rsidR="00997A59" w:rsidRPr="00477480" w14:paraId="77A56C8A" w14:textId="77777777" w:rsidTr="00771C59">
        <w:tc>
          <w:tcPr>
            <w:tcW w:w="3170" w:type="dxa"/>
            <w:tcBorders>
              <w:bottom w:val="single" w:sz="4" w:space="0" w:color="auto"/>
            </w:tcBorders>
            <w:shd w:val="clear" w:color="auto" w:fill="auto"/>
          </w:tcPr>
          <w:p w14:paraId="308C8345" w14:textId="4B6EA156" w:rsidR="00997A59" w:rsidRPr="00477480" w:rsidRDefault="00997A59" w:rsidP="00997A59">
            <w:pPr>
              <w:tabs>
                <w:tab w:val="left" w:pos="288"/>
                <w:tab w:val="left" w:pos="576"/>
                <w:tab w:val="left" w:pos="864"/>
                <w:tab w:val="left" w:pos="1152"/>
              </w:tabs>
              <w:suppressAutoHyphens/>
              <w:spacing w:before="40" w:after="81" w:line="210" w:lineRule="exact"/>
              <w:ind w:right="40"/>
              <w:rPr>
                <w:szCs w:val="20"/>
              </w:rPr>
            </w:pPr>
            <w:r w:rsidRPr="00477480">
              <w:rPr>
                <w:szCs w:val="20"/>
              </w:rPr>
              <w:t>Concierge B-II</w:t>
            </w:r>
          </w:p>
        </w:tc>
        <w:tc>
          <w:tcPr>
            <w:tcW w:w="900" w:type="dxa"/>
            <w:tcBorders>
              <w:bottom w:val="single" w:sz="4" w:space="0" w:color="auto"/>
            </w:tcBorders>
            <w:shd w:val="clear" w:color="auto" w:fill="auto"/>
            <w:vAlign w:val="center"/>
          </w:tcPr>
          <w:p w14:paraId="1994AF08" w14:textId="41AC433A" w:rsidR="00997A59" w:rsidRPr="00477480" w:rsidRDefault="00997A59" w:rsidP="00997A59">
            <w:pPr>
              <w:tabs>
                <w:tab w:val="left" w:pos="288"/>
                <w:tab w:val="left" w:pos="576"/>
                <w:tab w:val="left" w:pos="864"/>
                <w:tab w:val="left" w:pos="1152"/>
              </w:tabs>
              <w:suppressAutoHyphens/>
              <w:spacing w:before="40" w:after="81" w:line="210" w:lineRule="exact"/>
              <w:ind w:left="144" w:right="43"/>
              <w:jc w:val="right"/>
              <w:rPr>
                <w:szCs w:val="20"/>
              </w:rPr>
            </w:pPr>
            <w:r w:rsidRPr="00477480">
              <w:rPr>
                <w:szCs w:val="20"/>
              </w:rPr>
              <w:t>0</w:t>
            </w:r>
          </w:p>
        </w:tc>
        <w:tc>
          <w:tcPr>
            <w:tcW w:w="990" w:type="dxa"/>
            <w:tcBorders>
              <w:bottom w:val="single" w:sz="4" w:space="0" w:color="auto"/>
            </w:tcBorders>
            <w:shd w:val="clear" w:color="auto" w:fill="auto"/>
            <w:vAlign w:val="center"/>
          </w:tcPr>
          <w:p w14:paraId="780B8BE3" w14:textId="089BF099" w:rsidR="00997A59" w:rsidRPr="00477480" w:rsidRDefault="00997A59" w:rsidP="00997A59">
            <w:pPr>
              <w:tabs>
                <w:tab w:val="left" w:pos="288"/>
                <w:tab w:val="left" w:pos="576"/>
                <w:tab w:val="left" w:pos="864"/>
                <w:tab w:val="left" w:pos="1152"/>
              </w:tabs>
              <w:suppressAutoHyphens/>
              <w:spacing w:before="40" w:after="81" w:line="210" w:lineRule="exact"/>
              <w:ind w:left="144" w:right="43"/>
              <w:jc w:val="right"/>
              <w:rPr>
                <w:szCs w:val="20"/>
              </w:rPr>
            </w:pPr>
            <w:r w:rsidRPr="00477480">
              <w:rPr>
                <w:szCs w:val="20"/>
              </w:rPr>
              <w:t>3</w:t>
            </w:r>
          </w:p>
        </w:tc>
        <w:tc>
          <w:tcPr>
            <w:tcW w:w="1260" w:type="dxa"/>
            <w:tcBorders>
              <w:bottom w:val="single" w:sz="4" w:space="0" w:color="auto"/>
            </w:tcBorders>
            <w:shd w:val="clear" w:color="auto" w:fill="auto"/>
            <w:vAlign w:val="center"/>
          </w:tcPr>
          <w:p w14:paraId="6E027654" w14:textId="6169DFF7" w:rsidR="00997A59" w:rsidRPr="00477480" w:rsidRDefault="00997A59" w:rsidP="00997A59">
            <w:pPr>
              <w:tabs>
                <w:tab w:val="left" w:pos="288"/>
                <w:tab w:val="left" w:pos="576"/>
                <w:tab w:val="left" w:pos="864"/>
                <w:tab w:val="left" w:pos="1152"/>
              </w:tabs>
              <w:suppressAutoHyphens/>
              <w:spacing w:before="40" w:after="81" w:line="210" w:lineRule="exact"/>
              <w:ind w:left="144" w:right="43"/>
              <w:jc w:val="right"/>
              <w:rPr>
                <w:szCs w:val="20"/>
              </w:rPr>
            </w:pPr>
            <w:r w:rsidRPr="00477480">
              <w:rPr>
                <w:szCs w:val="20"/>
              </w:rPr>
              <w:t>1</w:t>
            </w:r>
          </w:p>
        </w:tc>
        <w:tc>
          <w:tcPr>
            <w:tcW w:w="1005" w:type="dxa"/>
            <w:tcBorders>
              <w:bottom w:val="single" w:sz="4" w:space="0" w:color="auto"/>
            </w:tcBorders>
            <w:shd w:val="clear" w:color="auto" w:fill="auto"/>
            <w:vAlign w:val="center"/>
          </w:tcPr>
          <w:p w14:paraId="6F825FE3" w14:textId="35C20463" w:rsidR="00997A59" w:rsidRPr="00477480" w:rsidRDefault="00997A59" w:rsidP="00997A59">
            <w:pPr>
              <w:tabs>
                <w:tab w:val="left" w:pos="288"/>
                <w:tab w:val="left" w:pos="576"/>
                <w:tab w:val="left" w:pos="864"/>
                <w:tab w:val="left" w:pos="1152"/>
              </w:tabs>
              <w:suppressAutoHyphens/>
              <w:spacing w:before="40" w:after="81" w:line="210" w:lineRule="exact"/>
              <w:ind w:left="144" w:right="43"/>
              <w:jc w:val="right"/>
              <w:rPr>
                <w:szCs w:val="20"/>
              </w:rPr>
            </w:pPr>
            <w:r w:rsidRPr="00477480">
              <w:rPr>
                <w:szCs w:val="20"/>
              </w:rPr>
              <w:t>4</w:t>
            </w:r>
          </w:p>
        </w:tc>
      </w:tr>
      <w:tr w:rsidR="00997A59" w:rsidRPr="00477480" w14:paraId="7699D636" w14:textId="77777777" w:rsidTr="00771C59">
        <w:tc>
          <w:tcPr>
            <w:tcW w:w="3170" w:type="dxa"/>
            <w:tcBorders>
              <w:top w:val="single" w:sz="4" w:space="0" w:color="auto"/>
              <w:bottom w:val="single" w:sz="12" w:space="0" w:color="auto"/>
            </w:tcBorders>
            <w:shd w:val="clear" w:color="auto" w:fill="auto"/>
            <w:vAlign w:val="bottom"/>
          </w:tcPr>
          <w:p w14:paraId="1D79D3E7" w14:textId="6D0EB501" w:rsidR="00997A59" w:rsidRPr="00477480" w:rsidRDefault="00997A59" w:rsidP="00997A59">
            <w:pPr>
              <w:tabs>
                <w:tab w:val="left" w:pos="288"/>
                <w:tab w:val="left" w:pos="576"/>
                <w:tab w:val="left" w:pos="864"/>
                <w:tab w:val="left" w:pos="1152"/>
              </w:tabs>
              <w:suppressAutoHyphens/>
              <w:spacing w:before="81" w:after="81" w:line="210" w:lineRule="exact"/>
              <w:ind w:right="40"/>
              <w:rPr>
                <w:b/>
                <w:szCs w:val="20"/>
              </w:rPr>
            </w:pPr>
            <w:r w:rsidRPr="00477480">
              <w:rPr>
                <w:b/>
                <w:szCs w:val="20"/>
              </w:rPr>
              <w:tab/>
              <w:t>Total</w:t>
            </w:r>
          </w:p>
        </w:tc>
        <w:tc>
          <w:tcPr>
            <w:tcW w:w="900" w:type="dxa"/>
            <w:tcBorders>
              <w:top w:val="single" w:sz="4" w:space="0" w:color="auto"/>
              <w:bottom w:val="single" w:sz="12" w:space="0" w:color="auto"/>
            </w:tcBorders>
            <w:shd w:val="clear" w:color="auto" w:fill="auto"/>
            <w:vAlign w:val="center"/>
          </w:tcPr>
          <w:p w14:paraId="65C3159D" w14:textId="6F2F14E4" w:rsidR="00997A59" w:rsidRPr="00477480" w:rsidRDefault="00997A59" w:rsidP="00997A59">
            <w:pPr>
              <w:tabs>
                <w:tab w:val="left" w:pos="288"/>
                <w:tab w:val="left" w:pos="576"/>
                <w:tab w:val="left" w:pos="864"/>
                <w:tab w:val="left" w:pos="1152"/>
              </w:tabs>
              <w:suppressAutoHyphens/>
              <w:spacing w:before="81" w:after="81" w:line="210" w:lineRule="exact"/>
              <w:ind w:left="144" w:right="43"/>
              <w:jc w:val="right"/>
              <w:rPr>
                <w:b/>
                <w:szCs w:val="20"/>
              </w:rPr>
            </w:pPr>
            <w:r w:rsidRPr="00477480">
              <w:rPr>
                <w:b/>
                <w:bCs/>
                <w:szCs w:val="20"/>
              </w:rPr>
              <w:t>32</w:t>
            </w:r>
          </w:p>
        </w:tc>
        <w:tc>
          <w:tcPr>
            <w:tcW w:w="990" w:type="dxa"/>
            <w:tcBorders>
              <w:top w:val="single" w:sz="4" w:space="0" w:color="auto"/>
              <w:bottom w:val="single" w:sz="12" w:space="0" w:color="auto"/>
            </w:tcBorders>
            <w:shd w:val="clear" w:color="auto" w:fill="auto"/>
            <w:vAlign w:val="center"/>
          </w:tcPr>
          <w:p w14:paraId="082119EE" w14:textId="7C41613E" w:rsidR="00997A59" w:rsidRPr="00477480" w:rsidRDefault="00997A59" w:rsidP="00997A59">
            <w:pPr>
              <w:tabs>
                <w:tab w:val="left" w:pos="288"/>
                <w:tab w:val="left" w:pos="576"/>
                <w:tab w:val="left" w:pos="864"/>
                <w:tab w:val="left" w:pos="1152"/>
              </w:tabs>
              <w:suppressAutoHyphens/>
              <w:spacing w:before="81" w:after="81" w:line="210" w:lineRule="exact"/>
              <w:ind w:left="144" w:right="43"/>
              <w:jc w:val="right"/>
              <w:rPr>
                <w:b/>
                <w:szCs w:val="20"/>
              </w:rPr>
            </w:pPr>
            <w:r w:rsidRPr="00477480">
              <w:rPr>
                <w:b/>
                <w:bCs/>
                <w:szCs w:val="20"/>
              </w:rPr>
              <w:t>19</w:t>
            </w:r>
          </w:p>
        </w:tc>
        <w:tc>
          <w:tcPr>
            <w:tcW w:w="1260" w:type="dxa"/>
            <w:tcBorders>
              <w:top w:val="single" w:sz="4" w:space="0" w:color="auto"/>
              <w:bottom w:val="single" w:sz="12" w:space="0" w:color="auto"/>
            </w:tcBorders>
            <w:shd w:val="clear" w:color="auto" w:fill="auto"/>
            <w:vAlign w:val="center"/>
          </w:tcPr>
          <w:p w14:paraId="78EC7688" w14:textId="733C6F72" w:rsidR="00997A59" w:rsidRPr="00477480" w:rsidRDefault="00997A59" w:rsidP="00997A59">
            <w:pPr>
              <w:tabs>
                <w:tab w:val="left" w:pos="288"/>
                <w:tab w:val="left" w:pos="576"/>
                <w:tab w:val="left" w:pos="864"/>
                <w:tab w:val="left" w:pos="1152"/>
              </w:tabs>
              <w:suppressAutoHyphens/>
              <w:spacing w:before="81" w:after="81" w:line="210" w:lineRule="exact"/>
              <w:ind w:left="144" w:right="43"/>
              <w:jc w:val="right"/>
              <w:rPr>
                <w:b/>
                <w:szCs w:val="20"/>
              </w:rPr>
            </w:pPr>
            <w:r w:rsidRPr="00477480">
              <w:rPr>
                <w:b/>
                <w:bCs/>
                <w:szCs w:val="20"/>
              </w:rPr>
              <w:t>1</w:t>
            </w:r>
          </w:p>
        </w:tc>
        <w:tc>
          <w:tcPr>
            <w:tcW w:w="1005" w:type="dxa"/>
            <w:tcBorders>
              <w:top w:val="single" w:sz="4" w:space="0" w:color="auto"/>
              <w:bottom w:val="single" w:sz="12" w:space="0" w:color="auto"/>
            </w:tcBorders>
            <w:shd w:val="clear" w:color="auto" w:fill="auto"/>
            <w:vAlign w:val="center"/>
          </w:tcPr>
          <w:p w14:paraId="228C2CA7" w14:textId="708C6637" w:rsidR="00997A59" w:rsidRPr="00477480" w:rsidRDefault="00997A59" w:rsidP="00997A59">
            <w:pPr>
              <w:tabs>
                <w:tab w:val="left" w:pos="288"/>
                <w:tab w:val="left" w:pos="576"/>
                <w:tab w:val="left" w:pos="864"/>
                <w:tab w:val="left" w:pos="1152"/>
              </w:tabs>
              <w:suppressAutoHyphens/>
              <w:spacing w:before="81" w:after="81" w:line="210" w:lineRule="exact"/>
              <w:ind w:left="144" w:right="43"/>
              <w:jc w:val="right"/>
              <w:rPr>
                <w:b/>
                <w:szCs w:val="20"/>
              </w:rPr>
            </w:pPr>
            <w:r w:rsidRPr="00477480">
              <w:rPr>
                <w:b/>
                <w:bCs/>
                <w:szCs w:val="20"/>
              </w:rPr>
              <w:t>52</w:t>
            </w:r>
          </w:p>
        </w:tc>
      </w:tr>
    </w:tbl>
    <w:p w14:paraId="327B8017" w14:textId="6244CBA1" w:rsidR="0013480E" w:rsidRPr="00477480" w:rsidRDefault="0013480E" w:rsidP="00997A59">
      <w:pPr>
        <w:pStyle w:val="SingleTxt"/>
        <w:spacing w:after="0" w:line="120" w:lineRule="exact"/>
        <w:rPr>
          <w:sz w:val="10"/>
        </w:rPr>
      </w:pPr>
    </w:p>
    <w:p w14:paraId="0444BFC6" w14:textId="1591FED8" w:rsidR="00997A59" w:rsidRPr="00477480" w:rsidRDefault="00997A59" w:rsidP="0095607A">
      <w:pPr>
        <w:pStyle w:val="SingleTxt"/>
        <w:spacing w:after="0" w:line="210" w:lineRule="exact"/>
        <w:rPr>
          <w:sz w:val="17"/>
          <w:szCs w:val="17"/>
        </w:rPr>
      </w:pPr>
      <w:r w:rsidRPr="00477480">
        <w:rPr>
          <w:i/>
          <w:sz w:val="17"/>
          <w:szCs w:val="17"/>
        </w:rPr>
        <w:t>Source</w:t>
      </w:r>
      <w:r w:rsidRPr="00477480">
        <w:rPr>
          <w:sz w:val="17"/>
          <w:szCs w:val="17"/>
        </w:rPr>
        <w:t> : Cour suprême de justice, 2018.</w:t>
      </w:r>
    </w:p>
    <w:p w14:paraId="1CEA6FA0" w14:textId="6DC6398F" w:rsidR="00965AF9" w:rsidRPr="00477480" w:rsidRDefault="00965AF9" w:rsidP="0095607A">
      <w:pPr>
        <w:pStyle w:val="SingleTxt"/>
        <w:spacing w:after="0" w:line="120" w:lineRule="exact"/>
        <w:rPr>
          <w:sz w:val="10"/>
        </w:rPr>
      </w:pPr>
    </w:p>
    <w:p w14:paraId="689B0733" w14:textId="77777777" w:rsidR="0095607A" w:rsidRPr="00477480" w:rsidRDefault="0095607A" w:rsidP="00965AF9">
      <w:pPr>
        <w:pStyle w:val="SingleTxt"/>
        <w:spacing w:after="0" w:line="120" w:lineRule="exact"/>
        <w:rPr>
          <w:sz w:val="10"/>
        </w:rPr>
      </w:pPr>
    </w:p>
    <w:p w14:paraId="373DF8FA" w14:textId="0F7B0DFC" w:rsidR="0013480E" w:rsidRPr="00477480" w:rsidRDefault="0013480E" w:rsidP="0032223E">
      <w:pPr>
        <w:pStyle w:val="SingleTxt"/>
        <w:numPr>
          <w:ilvl w:val="0"/>
          <w:numId w:val="5"/>
        </w:numPr>
        <w:spacing w:line="240" w:lineRule="exact"/>
        <w:ind w:left="1267" w:firstLine="0"/>
      </w:pPr>
      <w:r w:rsidRPr="00477480">
        <w:t>L’État partie indique que la Cour suprême de Justice a organisé 12 stages de formation à l’intention des fonctionnaires des juridictions spécialisées en 2017, contre 17 stages en 2018. Voici quelques thématiques abordées lors de ces formations : renforcement des connaissances et des compétences des professionnels concernant la législation spéciale sur le droit des femmes ; réparation intégrale aux femmes victimes d’actes de violence et de discrimination fondée sur le genre ; programme de formation au droit pénal des juridictions spécialisées pour une vie libre de violence et de discrimination pour les femmes ; analyse et interprétation de l’expertise médico-légale dans les cas de crimes sexuels, de violence familiale et de féminicides (annexe 1).</w:t>
      </w:r>
    </w:p>
    <w:p w14:paraId="5F85686F" w14:textId="7ED42C46" w:rsidR="0013480E" w:rsidRPr="00477480" w:rsidRDefault="0013480E" w:rsidP="0032223E">
      <w:pPr>
        <w:pStyle w:val="SingleTxt"/>
        <w:numPr>
          <w:ilvl w:val="0"/>
          <w:numId w:val="5"/>
        </w:numPr>
        <w:spacing w:line="240" w:lineRule="exact"/>
        <w:ind w:left="1267" w:firstLine="0"/>
      </w:pPr>
      <w:r w:rsidRPr="00477480">
        <w:t>En outre, la Cour suprême de justice, en collaboration avec l’Institut salvadorien pour la promotion de la femme, a organisé durant l’année 2016 un cours préparatoire à l’intention des personnes souhaitant rejoindre les juridictions spécialisées (lequel faisait partie du processus de sélection). Cette formation a été dispensée à 92 personnes ayant postulé à des postes juridiques (71 femmes et 21 hommes) et à 133 personnes souhaitant intégrer les équipes multidisciplinaires (118 femmes et 15 hommes).</w:t>
      </w:r>
    </w:p>
    <w:p w14:paraId="30D10E7E" w14:textId="04F14AC5" w:rsidR="00997A59" w:rsidRPr="00477480" w:rsidRDefault="0013480E" w:rsidP="0032223E">
      <w:pPr>
        <w:pStyle w:val="SingleTxt"/>
        <w:numPr>
          <w:ilvl w:val="0"/>
          <w:numId w:val="5"/>
        </w:numPr>
        <w:spacing w:line="240" w:lineRule="exact"/>
        <w:ind w:left="1267" w:firstLine="0"/>
      </w:pPr>
      <w:r w:rsidRPr="00477480">
        <w:t xml:space="preserve">Il convient de mentionner que les tribunaux spécialisés ont à leur disposition des équipes </w:t>
      </w:r>
      <w:bookmarkStart w:id="1" w:name="_GoBack"/>
      <w:bookmarkEnd w:id="1"/>
      <w:r w:rsidRPr="00477480">
        <w:t>multidisciplinaires, dont le rôle est de réaliser les études demandées par les tribunaux, et qui se composent comme suit :</w:t>
      </w:r>
    </w:p>
    <w:p w14:paraId="37CE09A9" w14:textId="700358C2" w:rsidR="001278EE" w:rsidRPr="00477480" w:rsidRDefault="001278EE" w:rsidP="001278EE">
      <w:pPr>
        <w:pStyle w:val="SingleTxt"/>
        <w:spacing w:after="0" w:line="120" w:lineRule="exact"/>
        <w:rPr>
          <w:sz w:val="10"/>
        </w:rPr>
      </w:pPr>
    </w:p>
    <w:p w14:paraId="4B70EBCF" w14:textId="06113657" w:rsidR="001278EE" w:rsidRPr="00477480" w:rsidRDefault="001278EE" w:rsidP="00127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77480">
        <w:tab/>
      </w:r>
      <w:r w:rsidRPr="00477480">
        <w:tab/>
      </w:r>
      <w:r w:rsidRPr="00477480">
        <w:rPr>
          <w:b w:val="0"/>
        </w:rPr>
        <w:t>Tableau 3</w:t>
      </w:r>
    </w:p>
    <w:p w14:paraId="789A8FB6" w14:textId="69DCF328" w:rsidR="001278EE" w:rsidRPr="00477480" w:rsidRDefault="001278EE" w:rsidP="00127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Personnel faisant partie des équipes multidisciplinaires des tribunaux spécialisés pour une vie libre de violence et de discrimination pour les femmes, 2017</w:t>
      </w:r>
    </w:p>
    <w:p w14:paraId="5662FAED" w14:textId="2E412BD1" w:rsidR="001278EE" w:rsidRPr="00477480" w:rsidRDefault="001278EE" w:rsidP="001278EE">
      <w:pPr>
        <w:pStyle w:val="SingleTxt"/>
        <w:spacing w:after="0" w:line="120" w:lineRule="exact"/>
        <w:rPr>
          <w:sz w:val="10"/>
        </w:rPr>
      </w:pPr>
    </w:p>
    <w:p w14:paraId="153AC2FA" w14:textId="0A56A054" w:rsidR="001278EE" w:rsidRPr="00477480" w:rsidRDefault="001278EE" w:rsidP="001278EE">
      <w:pPr>
        <w:pStyle w:val="SingleTxt"/>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710"/>
        <w:gridCol w:w="1260"/>
        <w:gridCol w:w="1080"/>
        <w:gridCol w:w="1270"/>
      </w:tblGrid>
      <w:tr w:rsidR="001278EE" w:rsidRPr="00477480" w14:paraId="320E4978" w14:textId="77777777" w:rsidTr="00771C59">
        <w:trPr>
          <w:tblHeader/>
        </w:trPr>
        <w:tc>
          <w:tcPr>
            <w:tcW w:w="3710" w:type="dxa"/>
            <w:vMerge w:val="restart"/>
            <w:tcBorders>
              <w:top w:val="single" w:sz="4" w:space="0" w:color="auto"/>
            </w:tcBorders>
            <w:shd w:val="clear" w:color="auto" w:fill="auto"/>
            <w:vAlign w:val="bottom"/>
          </w:tcPr>
          <w:p w14:paraId="2E5CB197" w14:textId="3BDCD2D5" w:rsidR="001278EE" w:rsidRPr="00477480" w:rsidRDefault="001278EE" w:rsidP="001278EE">
            <w:pPr>
              <w:tabs>
                <w:tab w:val="left" w:pos="288"/>
                <w:tab w:val="left" w:pos="576"/>
                <w:tab w:val="left" w:pos="864"/>
                <w:tab w:val="left" w:pos="1152"/>
              </w:tabs>
              <w:suppressAutoHyphens/>
              <w:spacing w:before="81" w:after="81" w:line="160" w:lineRule="exact"/>
              <w:ind w:right="40"/>
              <w:rPr>
                <w:i/>
                <w:sz w:val="14"/>
              </w:rPr>
            </w:pPr>
            <w:r w:rsidRPr="00477480">
              <w:rPr>
                <w:i/>
                <w:sz w:val="14"/>
              </w:rPr>
              <w:t>Spécialité</w:t>
            </w:r>
          </w:p>
        </w:tc>
        <w:tc>
          <w:tcPr>
            <w:tcW w:w="2340" w:type="dxa"/>
            <w:gridSpan w:val="2"/>
            <w:tcBorders>
              <w:top w:val="single" w:sz="4" w:space="0" w:color="auto"/>
              <w:bottom w:val="single" w:sz="4" w:space="0" w:color="auto"/>
            </w:tcBorders>
            <w:shd w:val="clear" w:color="auto" w:fill="auto"/>
            <w:vAlign w:val="bottom"/>
          </w:tcPr>
          <w:p w14:paraId="1AB2A1DB" w14:textId="4DEA5543" w:rsidR="001278EE" w:rsidRPr="00477480" w:rsidRDefault="001278EE" w:rsidP="001278EE">
            <w:pPr>
              <w:tabs>
                <w:tab w:val="left" w:pos="288"/>
                <w:tab w:val="left" w:pos="576"/>
                <w:tab w:val="left" w:pos="864"/>
                <w:tab w:val="left" w:pos="1152"/>
              </w:tabs>
              <w:suppressAutoHyphens/>
              <w:spacing w:before="81" w:after="81" w:line="160" w:lineRule="exact"/>
              <w:ind w:left="144" w:right="43"/>
              <w:jc w:val="center"/>
              <w:rPr>
                <w:i/>
                <w:sz w:val="14"/>
              </w:rPr>
            </w:pPr>
            <w:r w:rsidRPr="00477480">
              <w:rPr>
                <w:i/>
                <w:sz w:val="14"/>
              </w:rPr>
              <w:t>Sexe</w:t>
            </w:r>
          </w:p>
        </w:tc>
        <w:tc>
          <w:tcPr>
            <w:tcW w:w="1270" w:type="dxa"/>
            <w:vMerge w:val="restart"/>
            <w:tcBorders>
              <w:top w:val="single" w:sz="4" w:space="0" w:color="auto"/>
            </w:tcBorders>
            <w:shd w:val="clear" w:color="auto" w:fill="auto"/>
            <w:vAlign w:val="bottom"/>
          </w:tcPr>
          <w:p w14:paraId="51F7FF69" w14:textId="1554882C" w:rsidR="001278EE" w:rsidRPr="00477480" w:rsidRDefault="001278EE" w:rsidP="001278EE">
            <w:pPr>
              <w:tabs>
                <w:tab w:val="left" w:pos="288"/>
                <w:tab w:val="left" w:pos="576"/>
                <w:tab w:val="left" w:pos="864"/>
                <w:tab w:val="left" w:pos="1152"/>
              </w:tabs>
              <w:suppressAutoHyphens/>
              <w:spacing w:before="81" w:after="81" w:line="160" w:lineRule="exact"/>
              <w:ind w:left="144" w:right="43"/>
              <w:jc w:val="right"/>
              <w:rPr>
                <w:b/>
                <w:i/>
                <w:sz w:val="14"/>
              </w:rPr>
            </w:pPr>
            <w:r w:rsidRPr="00477480">
              <w:rPr>
                <w:b/>
                <w:i/>
                <w:sz w:val="14"/>
              </w:rPr>
              <w:t>Total</w:t>
            </w:r>
          </w:p>
        </w:tc>
      </w:tr>
      <w:tr w:rsidR="001278EE" w:rsidRPr="00477480" w14:paraId="158945B9" w14:textId="77777777" w:rsidTr="00771C59">
        <w:trPr>
          <w:tblHeader/>
        </w:trPr>
        <w:tc>
          <w:tcPr>
            <w:tcW w:w="3710" w:type="dxa"/>
            <w:vMerge/>
            <w:tcBorders>
              <w:bottom w:val="single" w:sz="12" w:space="0" w:color="auto"/>
            </w:tcBorders>
            <w:shd w:val="clear" w:color="auto" w:fill="auto"/>
            <w:vAlign w:val="bottom"/>
          </w:tcPr>
          <w:p w14:paraId="692550C4" w14:textId="58D343CC" w:rsidR="001278EE" w:rsidRPr="00477480" w:rsidRDefault="001278EE" w:rsidP="001278EE">
            <w:pPr>
              <w:tabs>
                <w:tab w:val="left" w:pos="288"/>
                <w:tab w:val="left" w:pos="576"/>
                <w:tab w:val="left" w:pos="864"/>
                <w:tab w:val="left" w:pos="1152"/>
              </w:tabs>
              <w:suppressAutoHyphens/>
              <w:spacing w:before="81" w:after="81" w:line="160" w:lineRule="exact"/>
              <w:ind w:right="40"/>
              <w:rPr>
                <w:i/>
                <w:sz w:val="14"/>
              </w:rPr>
            </w:pPr>
          </w:p>
        </w:tc>
        <w:tc>
          <w:tcPr>
            <w:tcW w:w="1260" w:type="dxa"/>
            <w:tcBorders>
              <w:top w:val="single" w:sz="4" w:space="0" w:color="auto"/>
              <w:bottom w:val="single" w:sz="12" w:space="0" w:color="auto"/>
            </w:tcBorders>
            <w:shd w:val="clear" w:color="auto" w:fill="auto"/>
            <w:vAlign w:val="bottom"/>
          </w:tcPr>
          <w:p w14:paraId="579856AE" w14:textId="278B99D4" w:rsidR="001278EE" w:rsidRPr="00477480" w:rsidRDefault="001278EE" w:rsidP="001278EE">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Femme</w:t>
            </w:r>
          </w:p>
        </w:tc>
        <w:tc>
          <w:tcPr>
            <w:tcW w:w="1080" w:type="dxa"/>
            <w:tcBorders>
              <w:top w:val="single" w:sz="4" w:space="0" w:color="auto"/>
              <w:bottom w:val="single" w:sz="12" w:space="0" w:color="auto"/>
            </w:tcBorders>
            <w:shd w:val="clear" w:color="auto" w:fill="auto"/>
            <w:vAlign w:val="bottom"/>
          </w:tcPr>
          <w:p w14:paraId="0A422522" w14:textId="784C70AD" w:rsidR="001278EE" w:rsidRPr="00477480" w:rsidRDefault="001278EE" w:rsidP="001278EE">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Homme</w:t>
            </w:r>
          </w:p>
        </w:tc>
        <w:tc>
          <w:tcPr>
            <w:tcW w:w="1270" w:type="dxa"/>
            <w:vMerge/>
            <w:tcBorders>
              <w:bottom w:val="single" w:sz="12" w:space="0" w:color="auto"/>
            </w:tcBorders>
            <w:shd w:val="clear" w:color="auto" w:fill="auto"/>
            <w:vAlign w:val="bottom"/>
          </w:tcPr>
          <w:p w14:paraId="26974D9D" w14:textId="70B61BC7" w:rsidR="001278EE" w:rsidRPr="00477480" w:rsidRDefault="001278EE" w:rsidP="001278EE">
            <w:pPr>
              <w:tabs>
                <w:tab w:val="left" w:pos="288"/>
                <w:tab w:val="left" w:pos="576"/>
                <w:tab w:val="left" w:pos="864"/>
                <w:tab w:val="left" w:pos="1152"/>
              </w:tabs>
              <w:suppressAutoHyphens/>
              <w:spacing w:before="81" w:after="81" w:line="160" w:lineRule="exact"/>
              <w:ind w:left="144" w:right="43"/>
              <w:jc w:val="right"/>
              <w:rPr>
                <w:i/>
                <w:sz w:val="14"/>
              </w:rPr>
            </w:pPr>
          </w:p>
        </w:tc>
      </w:tr>
      <w:tr w:rsidR="001278EE" w:rsidRPr="00477480" w14:paraId="46C80B04" w14:textId="77777777" w:rsidTr="00771C59">
        <w:trPr>
          <w:trHeight w:hRule="exact" w:val="115"/>
          <w:tblHeader/>
        </w:trPr>
        <w:tc>
          <w:tcPr>
            <w:tcW w:w="3710" w:type="dxa"/>
            <w:tcBorders>
              <w:top w:val="single" w:sz="12" w:space="0" w:color="auto"/>
            </w:tcBorders>
            <w:shd w:val="clear" w:color="auto" w:fill="auto"/>
            <w:vAlign w:val="bottom"/>
          </w:tcPr>
          <w:p w14:paraId="193C55F8" w14:textId="77777777" w:rsidR="001278EE" w:rsidRPr="00477480" w:rsidRDefault="001278EE" w:rsidP="001278EE">
            <w:pPr>
              <w:tabs>
                <w:tab w:val="left" w:pos="288"/>
                <w:tab w:val="left" w:pos="576"/>
                <w:tab w:val="left" w:pos="864"/>
                <w:tab w:val="left" w:pos="1152"/>
              </w:tabs>
              <w:suppressAutoHyphens/>
              <w:spacing w:before="40" w:after="40" w:line="210" w:lineRule="exact"/>
              <w:ind w:right="40"/>
              <w:rPr>
                <w:sz w:val="17"/>
              </w:rPr>
            </w:pPr>
          </w:p>
        </w:tc>
        <w:tc>
          <w:tcPr>
            <w:tcW w:w="1260" w:type="dxa"/>
            <w:tcBorders>
              <w:top w:val="single" w:sz="12" w:space="0" w:color="auto"/>
            </w:tcBorders>
            <w:shd w:val="clear" w:color="auto" w:fill="auto"/>
            <w:vAlign w:val="bottom"/>
          </w:tcPr>
          <w:p w14:paraId="3ABAD8A5" w14:textId="77777777"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p>
        </w:tc>
        <w:tc>
          <w:tcPr>
            <w:tcW w:w="1080" w:type="dxa"/>
            <w:tcBorders>
              <w:top w:val="single" w:sz="12" w:space="0" w:color="auto"/>
            </w:tcBorders>
            <w:shd w:val="clear" w:color="auto" w:fill="auto"/>
            <w:vAlign w:val="bottom"/>
          </w:tcPr>
          <w:p w14:paraId="2D160BB5" w14:textId="77777777"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p>
        </w:tc>
        <w:tc>
          <w:tcPr>
            <w:tcW w:w="1270" w:type="dxa"/>
            <w:tcBorders>
              <w:top w:val="single" w:sz="12" w:space="0" w:color="auto"/>
            </w:tcBorders>
            <w:shd w:val="clear" w:color="auto" w:fill="auto"/>
            <w:vAlign w:val="bottom"/>
          </w:tcPr>
          <w:p w14:paraId="41CBE975" w14:textId="77777777"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p>
        </w:tc>
      </w:tr>
      <w:tr w:rsidR="001278EE" w:rsidRPr="00477480" w14:paraId="0E505B8D" w14:textId="77777777" w:rsidTr="00771C59">
        <w:tc>
          <w:tcPr>
            <w:tcW w:w="3710" w:type="dxa"/>
            <w:shd w:val="clear" w:color="auto" w:fill="auto"/>
            <w:vAlign w:val="bottom"/>
          </w:tcPr>
          <w:p w14:paraId="4E447AD6" w14:textId="750764AF" w:rsidR="001278EE" w:rsidRPr="00477480" w:rsidRDefault="001278EE" w:rsidP="001278EE">
            <w:pPr>
              <w:tabs>
                <w:tab w:val="left" w:pos="288"/>
                <w:tab w:val="left" w:pos="576"/>
                <w:tab w:val="left" w:pos="864"/>
                <w:tab w:val="left" w:pos="1152"/>
              </w:tabs>
              <w:suppressAutoHyphens/>
              <w:spacing w:before="40" w:after="40" w:line="210" w:lineRule="exact"/>
              <w:ind w:right="40"/>
              <w:rPr>
                <w:sz w:val="17"/>
              </w:rPr>
            </w:pPr>
            <w:r w:rsidRPr="00477480">
              <w:rPr>
                <w:sz w:val="17"/>
              </w:rPr>
              <w:t>Psychologie</w:t>
            </w:r>
          </w:p>
        </w:tc>
        <w:tc>
          <w:tcPr>
            <w:tcW w:w="1260" w:type="dxa"/>
            <w:shd w:val="clear" w:color="auto" w:fill="auto"/>
            <w:vAlign w:val="bottom"/>
          </w:tcPr>
          <w:p w14:paraId="34293929" w14:textId="15C2FF5F"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6</w:t>
            </w:r>
          </w:p>
        </w:tc>
        <w:tc>
          <w:tcPr>
            <w:tcW w:w="1080" w:type="dxa"/>
            <w:shd w:val="clear" w:color="auto" w:fill="auto"/>
            <w:vAlign w:val="bottom"/>
          </w:tcPr>
          <w:p w14:paraId="2C82B66F" w14:textId="58447CE6"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0</w:t>
            </w:r>
          </w:p>
        </w:tc>
        <w:tc>
          <w:tcPr>
            <w:tcW w:w="1270" w:type="dxa"/>
            <w:shd w:val="clear" w:color="auto" w:fill="auto"/>
            <w:vAlign w:val="bottom"/>
          </w:tcPr>
          <w:p w14:paraId="2D9D8050" w14:textId="690DBF91"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b/>
                <w:sz w:val="17"/>
              </w:rPr>
            </w:pPr>
            <w:r w:rsidRPr="00477480">
              <w:rPr>
                <w:b/>
                <w:sz w:val="17"/>
              </w:rPr>
              <w:t>6</w:t>
            </w:r>
          </w:p>
        </w:tc>
      </w:tr>
      <w:tr w:rsidR="001278EE" w:rsidRPr="00477480" w14:paraId="5E5A00CD" w14:textId="77777777" w:rsidTr="00771C59">
        <w:tc>
          <w:tcPr>
            <w:tcW w:w="3710" w:type="dxa"/>
            <w:shd w:val="clear" w:color="auto" w:fill="auto"/>
            <w:vAlign w:val="bottom"/>
          </w:tcPr>
          <w:p w14:paraId="3BD4E592" w14:textId="3A658EB3" w:rsidR="001278EE" w:rsidRPr="00477480" w:rsidRDefault="001278EE" w:rsidP="001278EE">
            <w:pPr>
              <w:tabs>
                <w:tab w:val="left" w:pos="288"/>
                <w:tab w:val="left" w:pos="576"/>
                <w:tab w:val="left" w:pos="864"/>
                <w:tab w:val="left" w:pos="1152"/>
              </w:tabs>
              <w:suppressAutoHyphens/>
              <w:spacing w:before="40" w:after="40" w:line="210" w:lineRule="exact"/>
              <w:ind w:right="40"/>
              <w:rPr>
                <w:sz w:val="17"/>
              </w:rPr>
            </w:pPr>
            <w:r w:rsidRPr="00477480">
              <w:rPr>
                <w:sz w:val="17"/>
              </w:rPr>
              <w:t>Travail social</w:t>
            </w:r>
          </w:p>
        </w:tc>
        <w:tc>
          <w:tcPr>
            <w:tcW w:w="1260" w:type="dxa"/>
            <w:shd w:val="clear" w:color="auto" w:fill="auto"/>
            <w:vAlign w:val="bottom"/>
          </w:tcPr>
          <w:p w14:paraId="7177F877" w14:textId="74CB9CBA"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4</w:t>
            </w:r>
          </w:p>
        </w:tc>
        <w:tc>
          <w:tcPr>
            <w:tcW w:w="1080" w:type="dxa"/>
            <w:shd w:val="clear" w:color="auto" w:fill="auto"/>
            <w:vAlign w:val="bottom"/>
          </w:tcPr>
          <w:p w14:paraId="2283D2AF" w14:textId="5678785E"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c>
          <w:tcPr>
            <w:tcW w:w="1270" w:type="dxa"/>
            <w:shd w:val="clear" w:color="auto" w:fill="auto"/>
            <w:vAlign w:val="bottom"/>
          </w:tcPr>
          <w:p w14:paraId="36365B51" w14:textId="4F7B0DFE"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b/>
                <w:sz w:val="17"/>
              </w:rPr>
            </w:pPr>
            <w:r w:rsidRPr="00477480">
              <w:rPr>
                <w:b/>
                <w:sz w:val="17"/>
              </w:rPr>
              <w:t>5</w:t>
            </w:r>
          </w:p>
        </w:tc>
      </w:tr>
      <w:tr w:rsidR="001278EE" w:rsidRPr="00477480" w14:paraId="2CD82325" w14:textId="77777777" w:rsidTr="00771C59">
        <w:tc>
          <w:tcPr>
            <w:tcW w:w="3710" w:type="dxa"/>
            <w:shd w:val="clear" w:color="auto" w:fill="auto"/>
            <w:vAlign w:val="bottom"/>
          </w:tcPr>
          <w:p w14:paraId="3DDD922A" w14:textId="6C31E31B" w:rsidR="001278EE" w:rsidRPr="00477480" w:rsidRDefault="001278EE" w:rsidP="001278EE">
            <w:pPr>
              <w:tabs>
                <w:tab w:val="left" w:pos="288"/>
                <w:tab w:val="left" w:pos="576"/>
                <w:tab w:val="left" w:pos="864"/>
                <w:tab w:val="left" w:pos="1152"/>
              </w:tabs>
              <w:suppressAutoHyphens/>
              <w:spacing w:before="40" w:after="40" w:line="210" w:lineRule="exact"/>
              <w:ind w:right="40"/>
              <w:rPr>
                <w:sz w:val="17"/>
              </w:rPr>
            </w:pPr>
            <w:r w:rsidRPr="00477480">
              <w:rPr>
                <w:sz w:val="17"/>
              </w:rPr>
              <w:t>Éducation</w:t>
            </w:r>
          </w:p>
        </w:tc>
        <w:tc>
          <w:tcPr>
            <w:tcW w:w="1260" w:type="dxa"/>
            <w:shd w:val="clear" w:color="auto" w:fill="auto"/>
            <w:vAlign w:val="bottom"/>
          </w:tcPr>
          <w:p w14:paraId="783D18FD" w14:textId="424874C5"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0</w:t>
            </w:r>
          </w:p>
        </w:tc>
        <w:tc>
          <w:tcPr>
            <w:tcW w:w="1080" w:type="dxa"/>
            <w:shd w:val="clear" w:color="auto" w:fill="auto"/>
            <w:vAlign w:val="bottom"/>
          </w:tcPr>
          <w:p w14:paraId="5AF4A9E7" w14:textId="66AE8ECE"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sz w:val="17"/>
              </w:rPr>
            </w:pPr>
            <w:r w:rsidRPr="00477480">
              <w:rPr>
                <w:sz w:val="17"/>
              </w:rPr>
              <w:t>1</w:t>
            </w:r>
          </w:p>
        </w:tc>
        <w:tc>
          <w:tcPr>
            <w:tcW w:w="1270" w:type="dxa"/>
            <w:shd w:val="clear" w:color="auto" w:fill="auto"/>
            <w:vAlign w:val="bottom"/>
          </w:tcPr>
          <w:p w14:paraId="7726F6D4" w14:textId="3ED4ADD4" w:rsidR="001278EE" w:rsidRPr="00477480" w:rsidRDefault="001278EE" w:rsidP="001278EE">
            <w:pPr>
              <w:tabs>
                <w:tab w:val="left" w:pos="288"/>
                <w:tab w:val="left" w:pos="576"/>
                <w:tab w:val="left" w:pos="864"/>
                <w:tab w:val="left" w:pos="1152"/>
              </w:tabs>
              <w:suppressAutoHyphens/>
              <w:spacing w:before="40" w:after="40" w:line="210" w:lineRule="exact"/>
              <w:ind w:left="144" w:right="43"/>
              <w:jc w:val="right"/>
              <w:rPr>
                <w:b/>
                <w:sz w:val="17"/>
              </w:rPr>
            </w:pPr>
            <w:r w:rsidRPr="00477480">
              <w:rPr>
                <w:b/>
                <w:sz w:val="17"/>
              </w:rPr>
              <w:t>1</w:t>
            </w:r>
          </w:p>
        </w:tc>
      </w:tr>
      <w:tr w:rsidR="001278EE" w:rsidRPr="00477480" w14:paraId="64C9EF76" w14:textId="77777777" w:rsidTr="00771C59">
        <w:tc>
          <w:tcPr>
            <w:tcW w:w="3710" w:type="dxa"/>
            <w:tcBorders>
              <w:bottom w:val="single" w:sz="4" w:space="0" w:color="auto"/>
            </w:tcBorders>
            <w:shd w:val="clear" w:color="auto" w:fill="auto"/>
            <w:vAlign w:val="bottom"/>
          </w:tcPr>
          <w:p w14:paraId="7AC90D4B" w14:textId="4386644F" w:rsidR="001278EE" w:rsidRPr="00477480" w:rsidRDefault="001278EE" w:rsidP="001278EE">
            <w:pPr>
              <w:tabs>
                <w:tab w:val="left" w:pos="288"/>
                <w:tab w:val="left" w:pos="576"/>
                <w:tab w:val="left" w:pos="864"/>
                <w:tab w:val="left" w:pos="1152"/>
              </w:tabs>
              <w:suppressAutoHyphens/>
              <w:spacing w:before="40" w:after="81" w:line="210" w:lineRule="exact"/>
              <w:ind w:right="40"/>
              <w:rPr>
                <w:sz w:val="17"/>
              </w:rPr>
            </w:pPr>
            <w:r w:rsidRPr="00477480">
              <w:rPr>
                <w:sz w:val="17"/>
              </w:rPr>
              <w:t>Motard</w:t>
            </w:r>
          </w:p>
        </w:tc>
        <w:tc>
          <w:tcPr>
            <w:tcW w:w="1260" w:type="dxa"/>
            <w:tcBorders>
              <w:bottom w:val="single" w:sz="4" w:space="0" w:color="auto"/>
            </w:tcBorders>
            <w:shd w:val="clear" w:color="auto" w:fill="auto"/>
            <w:vAlign w:val="bottom"/>
          </w:tcPr>
          <w:p w14:paraId="0E0FE1B2" w14:textId="70B4844D" w:rsidR="001278EE" w:rsidRPr="00477480" w:rsidRDefault="001278EE" w:rsidP="001278EE">
            <w:pPr>
              <w:tabs>
                <w:tab w:val="left" w:pos="288"/>
                <w:tab w:val="left" w:pos="576"/>
                <w:tab w:val="left" w:pos="864"/>
                <w:tab w:val="left" w:pos="1152"/>
              </w:tabs>
              <w:suppressAutoHyphens/>
              <w:spacing w:before="40" w:after="81" w:line="210" w:lineRule="exact"/>
              <w:ind w:left="144" w:right="43"/>
              <w:jc w:val="right"/>
              <w:rPr>
                <w:sz w:val="17"/>
              </w:rPr>
            </w:pPr>
            <w:r w:rsidRPr="00477480">
              <w:rPr>
                <w:sz w:val="17"/>
              </w:rPr>
              <w:t>0</w:t>
            </w:r>
          </w:p>
        </w:tc>
        <w:tc>
          <w:tcPr>
            <w:tcW w:w="1080" w:type="dxa"/>
            <w:tcBorders>
              <w:bottom w:val="single" w:sz="4" w:space="0" w:color="auto"/>
            </w:tcBorders>
            <w:shd w:val="clear" w:color="auto" w:fill="auto"/>
            <w:vAlign w:val="bottom"/>
          </w:tcPr>
          <w:p w14:paraId="12522F6D" w14:textId="51A95AD0" w:rsidR="001278EE" w:rsidRPr="00477480" w:rsidRDefault="001278EE" w:rsidP="001278EE">
            <w:pPr>
              <w:tabs>
                <w:tab w:val="left" w:pos="288"/>
                <w:tab w:val="left" w:pos="576"/>
                <w:tab w:val="left" w:pos="864"/>
                <w:tab w:val="left" w:pos="1152"/>
              </w:tabs>
              <w:suppressAutoHyphens/>
              <w:spacing w:before="40" w:after="81" w:line="210" w:lineRule="exact"/>
              <w:ind w:left="144" w:right="43"/>
              <w:jc w:val="right"/>
              <w:rPr>
                <w:sz w:val="17"/>
              </w:rPr>
            </w:pPr>
            <w:r w:rsidRPr="00477480">
              <w:rPr>
                <w:sz w:val="17"/>
              </w:rPr>
              <w:t>1</w:t>
            </w:r>
          </w:p>
        </w:tc>
        <w:tc>
          <w:tcPr>
            <w:tcW w:w="1270" w:type="dxa"/>
            <w:tcBorders>
              <w:bottom w:val="single" w:sz="4" w:space="0" w:color="auto"/>
            </w:tcBorders>
            <w:shd w:val="clear" w:color="auto" w:fill="auto"/>
            <w:vAlign w:val="bottom"/>
          </w:tcPr>
          <w:p w14:paraId="75F22031" w14:textId="001D6EB8" w:rsidR="001278EE" w:rsidRPr="00477480" w:rsidRDefault="001278EE" w:rsidP="001278EE">
            <w:pPr>
              <w:tabs>
                <w:tab w:val="left" w:pos="288"/>
                <w:tab w:val="left" w:pos="576"/>
                <w:tab w:val="left" w:pos="864"/>
                <w:tab w:val="left" w:pos="1152"/>
              </w:tabs>
              <w:suppressAutoHyphens/>
              <w:spacing w:before="40" w:after="81" w:line="210" w:lineRule="exact"/>
              <w:ind w:left="144" w:right="43"/>
              <w:jc w:val="right"/>
              <w:rPr>
                <w:b/>
                <w:sz w:val="17"/>
              </w:rPr>
            </w:pPr>
            <w:r w:rsidRPr="00477480">
              <w:rPr>
                <w:b/>
                <w:sz w:val="17"/>
              </w:rPr>
              <w:t>1</w:t>
            </w:r>
          </w:p>
        </w:tc>
      </w:tr>
      <w:tr w:rsidR="001278EE" w:rsidRPr="00477480" w14:paraId="6E1463C2" w14:textId="77777777" w:rsidTr="00771C59">
        <w:tc>
          <w:tcPr>
            <w:tcW w:w="6050" w:type="dxa"/>
            <w:gridSpan w:val="3"/>
            <w:tcBorders>
              <w:top w:val="single" w:sz="4" w:space="0" w:color="auto"/>
              <w:bottom w:val="single" w:sz="12" w:space="0" w:color="auto"/>
            </w:tcBorders>
            <w:shd w:val="clear" w:color="auto" w:fill="auto"/>
            <w:vAlign w:val="bottom"/>
          </w:tcPr>
          <w:p w14:paraId="2C28965B" w14:textId="76DAD809" w:rsidR="001278EE" w:rsidRPr="00477480" w:rsidRDefault="001278EE" w:rsidP="001278EE">
            <w:pPr>
              <w:tabs>
                <w:tab w:val="left" w:pos="288"/>
                <w:tab w:val="left" w:pos="576"/>
                <w:tab w:val="left" w:pos="864"/>
                <w:tab w:val="left" w:pos="1152"/>
              </w:tabs>
              <w:suppressAutoHyphens/>
              <w:spacing w:before="81" w:after="81" w:line="210" w:lineRule="exact"/>
              <w:ind w:left="144" w:right="43"/>
              <w:rPr>
                <w:b/>
                <w:sz w:val="17"/>
              </w:rPr>
            </w:pPr>
            <w:r w:rsidRPr="00477480">
              <w:rPr>
                <w:b/>
                <w:sz w:val="17"/>
              </w:rPr>
              <w:tab/>
              <w:t>Total</w:t>
            </w:r>
          </w:p>
        </w:tc>
        <w:tc>
          <w:tcPr>
            <w:tcW w:w="1270" w:type="dxa"/>
            <w:tcBorders>
              <w:top w:val="single" w:sz="4" w:space="0" w:color="auto"/>
              <w:bottom w:val="single" w:sz="12" w:space="0" w:color="auto"/>
            </w:tcBorders>
            <w:shd w:val="clear" w:color="auto" w:fill="auto"/>
            <w:vAlign w:val="bottom"/>
          </w:tcPr>
          <w:p w14:paraId="2C1CF5F4" w14:textId="0FB21710" w:rsidR="001278EE" w:rsidRPr="00477480" w:rsidRDefault="001278EE" w:rsidP="001278EE">
            <w:pPr>
              <w:tabs>
                <w:tab w:val="left" w:pos="288"/>
                <w:tab w:val="left" w:pos="576"/>
                <w:tab w:val="left" w:pos="864"/>
                <w:tab w:val="left" w:pos="1152"/>
              </w:tabs>
              <w:suppressAutoHyphens/>
              <w:spacing w:before="81" w:after="81" w:line="210" w:lineRule="exact"/>
              <w:ind w:left="144" w:right="43"/>
              <w:jc w:val="right"/>
              <w:rPr>
                <w:b/>
                <w:sz w:val="17"/>
              </w:rPr>
            </w:pPr>
            <w:r w:rsidRPr="00477480">
              <w:rPr>
                <w:b/>
                <w:sz w:val="17"/>
              </w:rPr>
              <w:t>13</w:t>
            </w:r>
          </w:p>
        </w:tc>
      </w:tr>
    </w:tbl>
    <w:p w14:paraId="4C7CFC4A" w14:textId="31D5C003" w:rsidR="001278EE" w:rsidRPr="00477480" w:rsidRDefault="001278EE" w:rsidP="001278EE">
      <w:pPr>
        <w:pStyle w:val="SingleTxt"/>
        <w:spacing w:after="0" w:line="120" w:lineRule="exact"/>
        <w:rPr>
          <w:sz w:val="10"/>
        </w:rPr>
      </w:pPr>
    </w:p>
    <w:p w14:paraId="7033F04E" w14:textId="488BDE24" w:rsidR="001278EE" w:rsidRPr="00477480" w:rsidRDefault="001278EE" w:rsidP="0095607A">
      <w:pPr>
        <w:pStyle w:val="SingleTxt"/>
        <w:spacing w:after="0" w:line="210" w:lineRule="exact"/>
        <w:rPr>
          <w:sz w:val="17"/>
          <w:szCs w:val="17"/>
        </w:rPr>
      </w:pPr>
      <w:r w:rsidRPr="00477480">
        <w:rPr>
          <w:i/>
          <w:sz w:val="17"/>
          <w:szCs w:val="17"/>
        </w:rPr>
        <w:t>Source</w:t>
      </w:r>
      <w:r w:rsidRPr="00477480">
        <w:rPr>
          <w:sz w:val="17"/>
          <w:szCs w:val="17"/>
        </w:rPr>
        <w:t> : Cour suprême de justice 2018.</w:t>
      </w:r>
    </w:p>
    <w:p w14:paraId="38D5D5A2" w14:textId="7E71776C" w:rsidR="0095607A" w:rsidRPr="00477480" w:rsidRDefault="0095607A" w:rsidP="0095607A">
      <w:pPr>
        <w:pStyle w:val="SingleTxt"/>
        <w:spacing w:after="0" w:line="120" w:lineRule="exact"/>
        <w:rPr>
          <w:sz w:val="10"/>
          <w:szCs w:val="17"/>
        </w:rPr>
      </w:pPr>
    </w:p>
    <w:p w14:paraId="61FF66B0" w14:textId="1E1362E7" w:rsidR="0095607A" w:rsidRPr="00477480" w:rsidRDefault="0095607A" w:rsidP="0095607A">
      <w:pPr>
        <w:pStyle w:val="SingleTxt"/>
        <w:spacing w:after="0" w:line="120" w:lineRule="exact"/>
        <w:rPr>
          <w:sz w:val="10"/>
          <w:szCs w:val="17"/>
        </w:rPr>
      </w:pPr>
    </w:p>
    <w:p w14:paraId="311440ED" w14:textId="77777777" w:rsidR="00997A59" w:rsidRPr="00477480" w:rsidRDefault="00997A59" w:rsidP="0032223E">
      <w:pPr>
        <w:pStyle w:val="SingleTxt"/>
        <w:numPr>
          <w:ilvl w:val="0"/>
          <w:numId w:val="5"/>
        </w:numPr>
        <w:spacing w:line="240" w:lineRule="exact"/>
        <w:ind w:left="1267" w:firstLine="0"/>
      </w:pPr>
      <w:r w:rsidRPr="00477480">
        <w:t>L’État partie rapporte que la Cour suprême de Justice travaille actuellement à l’élaboration d’un guide sur les compétences de l’équipe multidisciplinaire et d’un protocole de prise en charge des personnes à l’intention de l’équipe multidisciplinaire, documents qui détailleront tous les éléments nécessaires pour garantir une prise en charge de qualité, empathique, adaptée aux besoins et aux priorités, intégrale, chaleureuse et qui respecte le principe de laïcité.</w:t>
      </w:r>
    </w:p>
    <w:p w14:paraId="4977A554" w14:textId="77777777" w:rsidR="00997A59" w:rsidRPr="00477480" w:rsidRDefault="00997A59" w:rsidP="0032223E">
      <w:pPr>
        <w:pStyle w:val="SingleTxt"/>
        <w:numPr>
          <w:ilvl w:val="0"/>
          <w:numId w:val="5"/>
        </w:numPr>
        <w:spacing w:line="240" w:lineRule="exact"/>
        <w:ind w:left="1267" w:firstLine="0"/>
      </w:pPr>
      <w:r w:rsidRPr="00477480">
        <w:t xml:space="preserve">Les équipes pluridisciplinaires sont notamment chargées d’élaborer différents types de rapports (d’expertise sociale, psychologique ou psychosociale ou sur l’éducation) en fonction des requêtes du juge d’instruction et du juge de la juridiction de jugement. L’établissement de ces rapports cible les femmes qui font appel à la juridiction spécialisée (elles en sont également les bénéficiaires), leurs familles ainsi que les personnes mises en causes. À ce jour, 336 rapports ont été établis : 156 rapports d’expertise sociale, 7 rapports d’expertise psychologique, 169 rapports d’expertise psychosociale et 4 rapports sur l’éducation. </w:t>
      </w:r>
    </w:p>
    <w:p w14:paraId="64CD1BB3" w14:textId="3441B6E9" w:rsidR="00997A59" w:rsidRPr="00477480" w:rsidRDefault="00997A59" w:rsidP="0032223E">
      <w:pPr>
        <w:pStyle w:val="SingleTxt"/>
        <w:numPr>
          <w:ilvl w:val="0"/>
          <w:numId w:val="5"/>
        </w:numPr>
        <w:spacing w:line="240" w:lineRule="exact"/>
        <w:ind w:left="1267" w:firstLine="0"/>
      </w:pPr>
      <w:r w:rsidRPr="00477480">
        <w:t>Dans ce même domaine, la Cour suprême de Justice a mis en place une base de données contenant les adresses, les numéros de téléphone et la description des institutions et programmes publics et privés qui proposent un suivi psychologique, une formation juridique et qui sont en relation avec des réseaux d’appui spécialisés, de sorte que le juge d’instruction puisse renvoyer les femmes, leurs familles et les personnes mises en cause vers ces structures. Voici le nombre total d’affaires traitées au sein des juridictions spécialisées : 1 760 cas</w:t>
      </w:r>
      <w:r w:rsidRPr="00477480">
        <w:rPr>
          <w:vertAlign w:val="superscript"/>
        </w:rPr>
        <w:footnoteReference w:id="3"/>
      </w:r>
      <w:r w:rsidRPr="00477480">
        <w:t> dans les tribunaux d’instruction spécialisés ; 64 cas</w:t>
      </w:r>
      <w:r w:rsidRPr="00477480">
        <w:rPr>
          <w:vertAlign w:val="superscript"/>
        </w:rPr>
        <w:footnoteReference w:id="4"/>
      </w:r>
      <w:r w:rsidRPr="00477480">
        <w:t xml:space="preserve"> au sein des tribunaux spécialisés chargés de rendre les jugements ; et 38 cas</w:t>
      </w:r>
      <w:r w:rsidRPr="00477480">
        <w:rPr>
          <w:vertAlign w:val="superscript"/>
        </w:rPr>
        <w:footnoteReference w:id="5"/>
      </w:r>
      <w:r w:rsidRPr="00477480">
        <w:t xml:space="preserve"> au sein de la Cour spécialisée (annexe 2).</w:t>
      </w:r>
    </w:p>
    <w:p w14:paraId="5812D1ED" w14:textId="650C544D" w:rsidR="00E2672E" w:rsidRPr="00477480" w:rsidRDefault="00E2672E" w:rsidP="00E2672E">
      <w:pPr>
        <w:pStyle w:val="SingleTxt"/>
        <w:spacing w:after="0" w:line="120" w:lineRule="exact"/>
        <w:rPr>
          <w:sz w:val="10"/>
        </w:rPr>
      </w:pPr>
    </w:p>
    <w:p w14:paraId="74BA8CD2" w14:textId="42FA3641" w:rsidR="00E2672E" w:rsidRPr="00477480" w:rsidRDefault="00E2672E" w:rsidP="00BC1578">
      <w:pPr>
        <w:pStyle w:val="SingleTxt"/>
        <w:tabs>
          <w:tab w:val="right" w:pos="1022"/>
        </w:tabs>
        <w:spacing w:after="0"/>
        <w:ind w:right="1260" w:hanging="1267"/>
        <w:jc w:val="left"/>
      </w:pPr>
      <w:r w:rsidRPr="00477480">
        <w:rPr>
          <w:b/>
          <w:spacing w:val="2"/>
        </w:rPr>
        <w:tab/>
      </w:r>
      <w:r w:rsidRPr="00477480">
        <w:rPr>
          <w:b/>
          <w:spacing w:val="2"/>
        </w:rPr>
        <w:tab/>
        <w:t>En application de la recommandation formulée au paragraphe 13 b) : renforcer les capacités de la Police nationale civile, du Bureau du Procureur général chargé des personnes vulnérables et de l’Institut médico-légal pour que ceux-ci puissent appliquer les protocoles et suivre leur mise en œuvre</w:t>
      </w:r>
      <w:r w:rsidRPr="00477480">
        <w:t>.</w:t>
      </w:r>
    </w:p>
    <w:p w14:paraId="0A095BA3" w14:textId="240D35C3" w:rsidR="00E2672E" w:rsidRPr="00477480" w:rsidRDefault="00E2672E" w:rsidP="00E2672E">
      <w:pPr>
        <w:pStyle w:val="SingleTxt"/>
        <w:spacing w:after="0" w:line="120" w:lineRule="exact"/>
        <w:rPr>
          <w:sz w:val="10"/>
        </w:rPr>
      </w:pPr>
    </w:p>
    <w:p w14:paraId="5912CDB8" w14:textId="2FC2439A" w:rsidR="00997A59" w:rsidRPr="00477480" w:rsidRDefault="00E2672E" w:rsidP="00E2672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Unités institutionnelles de soins spécialisés pour les femmes victimes de violence</w:t>
      </w:r>
    </w:p>
    <w:p w14:paraId="262DA658" w14:textId="40533DCF" w:rsidR="00E2672E" w:rsidRPr="00477480" w:rsidRDefault="00E2672E" w:rsidP="00E2672E">
      <w:pPr>
        <w:pStyle w:val="SingleTxt"/>
        <w:spacing w:after="0" w:line="120" w:lineRule="exact"/>
        <w:rPr>
          <w:sz w:val="10"/>
        </w:rPr>
      </w:pPr>
    </w:p>
    <w:p w14:paraId="3A1EBEEC" w14:textId="1E94389F" w:rsidR="00997A59" w:rsidRPr="00477480" w:rsidRDefault="00E2672E" w:rsidP="0032223E">
      <w:pPr>
        <w:pStyle w:val="SingleTxt"/>
        <w:numPr>
          <w:ilvl w:val="0"/>
          <w:numId w:val="7"/>
        </w:numPr>
        <w:spacing w:line="240" w:lineRule="exact"/>
        <w:ind w:left="1267" w:firstLine="0"/>
      </w:pPr>
      <w:r w:rsidRPr="00477480">
        <w:t>L’Institut salvadorien pour la promotion des femmes, en tant qu’organe chargé d’élaborer des politiques publiques sur les questions de genre, a mis en place en 2016 le Système national de prise en charge, un mécanisme national de gestion et de coordination interinstitutions visant à assurer une prise en charge intégrale et spécifique des femmes victimes de violence fondée sur le genre. Le Système regroupe les institutions chargées de fournir des soins spécialisés aux femmes conformément à ce qui est établi dans la loi spéciale intégrale visant à garantir aux femmes une vie sans violence. Ses objectifs sont les suivants : a) assurer aux femmes des services intégrés et spécialisés dans le but de garantir, de protéger et de rétablir leurs droits bafoués ; b) renforcer la capacité des institutions afin qu’elles puissent faire face à tous les cas de violence à l’égard des femmes ; et c) prendre des mesures de protection en faveur des victimes.</w:t>
      </w:r>
    </w:p>
    <w:p w14:paraId="61F95E90" w14:textId="67A80DB1" w:rsidR="00997A59" w:rsidRPr="00477480" w:rsidRDefault="00E2672E" w:rsidP="0032223E">
      <w:pPr>
        <w:pStyle w:val="SingleTxt"/>
        <w:numPr>
          <w:ilvl w:val="0"/>
          <w:numId w:val="7"/>
        </w:numPr>
        <w:spacing w:line="240" w:lineRule="exact"/>
        <w:ind w:left="1267" w:firstLine="0"/>
      </w:pPr>
      <w:r w:rsidRPr="00477480">
        <w:t xml:space="preserve">L’article 25 de la loi spéciale intégrale visant à garantir aux femmes une vie sans violence prévoit la création d’unités institutionnelles de soins spécialisés pour les femmes au sein des institutions suivantes et de leurs antennes départementales : Cour suprême de Justice, ministère public, Bureau du Procureur général chargé des personnes vulnérables, Service du Procureur national chargé de la défense des droits de l’homme, Police nationale civile, Institut médico-légal et Ministère de la santé. </w:t>
      </w:r>
    </w:p>
    <w:p w14:paraId="1CE23DA3" w14:textId="77777777" w:rsidR="00B64075" w:rsidRPr="00477480" w:rsidRDefault="00E2672E" w:rsidP="0032223E">
      <w:pPr>
        <w:pStyle w:val="SingleTxt"/>
        <w:numPr>
          <w:ilvl w:val="0"/>
          <w:numId w:val="7"/>
        </w:numPr>
        <w:spacing w:line="240" w:lineRule="exact"/>
        <w:ind w:left="1267" w:firstLine="0"/>
      </w:pPr>
      <w:r w:rsidRPr="00477480">
        <w:t>Depuis l’entrée en vigueur de cette loi, le nombre de services de prise en charge disponibles au niveau national a augmenté progressivement : en juin 2018, on dénombrait 101 unités institutionnelles de soins spécialisés, présentes dans les 14 départements du pays (annexe 3). Chacune des institutions chargées d’offrir ces services de prise en charge a mis au point des outils techniques destinés à orienter le travail de ces unités, notamment en matière d’investigation des faits de violence à l’égard des femmes. Voici les principaux outils élaborés :</w:t>
      </w:r>
    </w:p>
    <w:p w14:paraId="75BACE85" w14:textId="0AFCBCC3" w:rsidR="00E2672E" w:rsidRPr="00477480" w:rsidRDefault="00E2672E" w:rsidP="0032223E">
      <w:pPr>
        <w:pStyle w:val="SingleTxt"/>
        <w:numPr>
          <w:ilvl w:val="0"/>
          <w:numId w:val="7"/>
        </w:numPr>
        <w:spacing w:line="240" w:lineRule="exact"/>
        <w:ind w:left="1267" w:firstLine="0"/>
      </w:pPr>
      <w:r w:rsidRPr="00477480">
        <w:t xml:space="preserve">Ministère public : </w:t>
      </w:r>
    </w:p>
    <w:p w14:paraId="1A91B5FC" w14:textId="6E137AD7" w:rsidR="00E2672E" w:rsidRPr="00477480" w:rsidRDefault="00E2672E" w:rsidP="00B64075">
      <w:pPr>
        <w:pStyle w:val="SingleTxt"/>
        <w:tabs>
          <w:tab w:val="right" w:pos="1685"/>
        </w:tabs>
        <w:ind w:left="1742" w:hanging="475"/>
      </w:pPr>
      <w:r w:rsidRPr="00477480">
        <w:tab/>
        <w:t>•</w:t>
      </w:r>
      <w:r w:rsidRPr="00477480">
        <w:tab/>
      </w:r>
      <w:r w:rsidR="00B64075" w:rsidRPr="00477480">
        <w:t>Protocole relatif aux enquêtes sur le féminicide ;</w:t>
      </w:r>
    </w:p>
    <w:p w14:paraId="39C75811" w14:textId="0DC22D8B" w:rsidR="00E2672E" w:rsidRPr="00477480" w:rsidRDefault="00E2672E" w:rsidP="00E2672E">
      <w:pPr>
        <w:pStyle w:val="SingleTxt"/>
        <w:tabs>
          <w:tab w:val="right" w:pos="1685"/>
        </w:tabs>
        <w:ind w:left="1742" w:hanging="475"/>
      </w:pPr>
      <w:r w:rsidRPr="00477480">
        <w:tab/>
        <w:t>•</w:t>
      </w:r>
      <w:r w:rsidRPr="00477480">
        <w:tab/>
      </w:r>
      <w:r w:rsidR="00B64075" w:rsidRPr="00477480">
        <w:t>Guide d’utilisation des chambres d’observation de Gesell ;</w:t>
      </w:r>
    </w:p>
    <w:p w14:paraId="3532DE34" w14:textId="1172060A" w:rsidR="00E2672E" w:rsidRPr="00477480" w:rsidRDefault="00E2672E" w:rsidP="00E2672E">
      <w:pPr>
        <w:pStyle w:val="SingleTxt"/>
        <w:tabs>
          <w:tab w:val="right" w:pos="1685"/>
        </w:tabs>
        <w:ind w:left="1742" w:hanging="475"/>
      </w:pPr>
      <w:r w:rsidRPr="00477480">
        <w:tab/>
        <w:t>•</w:t>
      </w:r>
      <w:r w:rsidRPr="00477480">
        <w:tab/>
      </w:r>
      <w:r w:rsidR="00B64075" w:rsidRPr="00477480">
        <w:t>Protocole de prise en charge juridique et psychosociale des personnes victimes de violence, en particulier les enfants, les adolescents, les femmes et autres groupes vulnérables ;</w:t>
      </w:r>
    </w:p>
    <w:p w14:paraId="73B1761E" w14:textId="42EFFCDF" w:rsidR="00E2672E" w:rsidRPr="00477480" w:rsidRDefault="00E2672E" w:rsidP="00E2672E">
      <w:pPr>
        <w:pStyle w:val="SingleTxt"/>
        <w:tabs>
          <w:tab w:val="right" w:pos="1685"/>
        </w:tabs>
        <w:ind w:left="1742" w:hanging="475"/>
      </w:pPr>
      <w:r w:rsidRPr="00477480">
        <w:tab/>
        <w:t>•</w:t>
      </w:r>
      <w:r w:rsidRPr="00477480">
        <w:tab/>
      </w:r>
      <w:r w:rsidR="00B64075" w:rsidRPr="00477480">
        <w:t>Directives en matière de poursuites pénales dans les affaires de violence à l’égard des femmes</w:t>
      </w:r>
      <w:r w:rsidR="00B64075" w:rsidRPr="00477480">
        <w:rPr>
          <w:vertAlign w:val="superscript"/>
        </w:rPr>
        <w:footnoteReference w:id="6"/>
      </w:r>
      <w:r w:rsidR="00B64075" w:rsidRPr="00477480">
        <w:t> ;</w:t>
      </w:r>
    </w:p>
    <w:p w14:paraId="0F954784" w14:textId="153BDB42" w:rsidR="00B64075" w:rsidRPr="00477480" w:rsidRDefault="00B64075" w:rsidP="00B64075">
      <w:pPr>
        <w:pStyle w:val="Bullet1G"/>
        <w:rPr>
          <w:lang w:val="fr-FR"/>
        </w:rPr>
      </w:pPr>
      <w:r w:rsidRPr="00477480">
        <w:rPr>
          <w:lang w:val="fr-FR"/>
        </w:rPr>
        <w:t>Police nationale civile :</w:t>
      </w:r>
    </w:p>
    <w:p w14:paraId="6CE53EEF" w14:textId="77777777" w:rsidR="00B64075" w:rsidRPr="00477480" w:rsidRDefault="00B64075" w:rsidP="00B64075">
      <w:pPr>
        <w:pStyle w:val="Bullet1G"/>
        <w:rPr>
          <w:lang w:val="fr-FR"/>
        </w:rPr>
      </w:pPr>
      <w:r w:rsidRPr="00477480">
        <w:rPr>
          <w:lang w:val="fr-FR"/>
        </w:rPr>
        <w:t>Manuel des normes et procédures d’enquête III/III relatif à la loi spéciale intégrale visant à garantir aux femmes une vie sans violence ;</w:t>
      </w:r>
    </w:p>
    <w:p w14:paraId="31AC4891" w14:textId="77777777" w:rsidR="00B64075" w:rsidRPr="00477480" w:rsidRDefault="00B64075" w:rsidP="00B64075">
      <w:pPr>
        <w:pStyle w:val="Bullet1G"/>
        <w:rPr>
          <w:lang w:val="fr-FR"/>
        </w:rPr>
      </w:pPr>
      <w:r w:rsidRPr="00477480">
        <w:rPr>
          <w:lang w:val="fr-FR"/>
        </w:rPr>
        <w:t xml:space="preserve">Protocole de </w:t>
      </w:r>
      <w:r w:rsidRPr="00477480">
        <w:rPr>
          <w:rFonts w:eastAsiaTheme="minorHAnsi"/>
          <w:spacing w:val="4"/>
          <w:w w:val="103"/>
          <w:kern w:val="14"/>
          <w:szCs w:val="22"/>
          <w:lang w:val="fr-FR"/>
        </w:rPr>
        <w:t>prise en charge des</w:t>
      </w:r>
      <w:r w:rsidRPr="00477480">
        <w:rPr>
          <w:lang w:val="fr-FR"/>
        </w:rPr>
        <w:t xml:space="preserve"> appels téléphoniques provenant de femmes victimes de violence fondée sur le genre ; </w:t>
      </w:r>
    </w:p>
    <w:p w14:paraId="3968B253" w14:textId="77777777" w:rsidR="00B64075" w:rsidRPr="00477480" w:rsidRDefault="00B64075" w:rsidP="00B64075">
      <w:pPr>
        <w:pStyle w:val="Bullet1G"/>
        <w:rPr>
          <w:lang w:val="fr-FR"/>
        </w:rPr>
      </w:pPr>
      <w:r w:rsidRPr="00477480">
        <w:rPr>
          <w:lang w:val="fr-FR"/>
        </w:rPr>
        <w:t>Protocole de prise en charge des femmes victimes de violence sexuelle ;</w:t>
      </w:r>
    </w:p>
    <w:p w14:paraId="008DF738" w14:textId="77777777" w:rsidR="00B64075" w:rsidRPr="00477480" w:rsidRDefault="00B64075" w:rsidP="00B64075">
      <w:pPr>
        <w:pStyle w:val="Bullet1G"/>
        <w:rPr>
          <w:lang w:val="fr-FR"/>
        </w:rPr>
      </w:pPr>
      <w:r w:rsidRPr="00477480">
        <w:rPr>
          <w:lang w:val="fr-FR"/>
        </w:rPr>
        <w:t>Protocole sur l’égalité des sexes et les droits de l’homme pour une prise en charge différenciée de la diversité au sein des services de la police prenant en charge les victimes et les témoins ;</w:t>
      </w:r>
    </w:p>
    <w:p w14:paraId="6151C362" w14:textId="77777777" w:rsidR="00B64075" w:rsidRPr="00477480" w:rsidRDefault="00B64075" w:rsidP="00B64075">
      <w:pPr>
        <w:pStyle w:val="Bullet1G"/>
        <w:rPr>
          <w:lang w:val="fr-FR"/>
        </w:rPr>
      </w:pPr>
      <w:r w:rsidRPr="00477480">
        <w:rPr>
          <w:lang w:val="fr-FR"/>
        </w:rPr>
        <w:t>Protocole de procédure pénale et de prise en charge des cas de femmes, filles et adolescentes victimes de violence sexuelle ;</w:t>
      </w:r>
    </w:p>
    <w:p w14:paraId="18C16E9B" w14:textId="00D066CB" w:rsidR="00B64075" w:rsidRPr="00477480" w:rsidRDefault="00B64075" w:rsidP="00B64075">
      <w:pPr>
        <w:pStyle w:val="Bullet1G"/>
        <w:rPr>
          <w:lang w:val="fr-FR"/>
        </w:rPr>
      </w:pPr>
      <w:r w:rsidRPr="00477480">
        <w:rPr>
          <w:lang w:val="fr-FR"/>
        </w:rPr>
        <w:t>Bureau du Procureur général chargé des personnes vulnérables</w:t>
      </w:r>
      <w:r w:rsidR="00771C59" w:rsidRPr="00477480">
        <w:rPr>
          <w:lang w:val="fr-FR"/>
        </w:rPr>
        <w:t> ;</w:t>
      </w:r>
    </w:p>
    <w:p w14:paraId="4FBCF3BE" w14:textId="77777777" w:rsidR="00B64075" w:rsidRPr="00477480" w:rsidRDefault="00B64075" w:rsidP="00B64075">
      <w:pPr>
        <w:pStyle w:val="Bullet1G"/>
        <w:rPr>
          <w:lang w:val="fr-FR"/>
        </w:rPr>
      </w:pPr>
      <w:r w:rsidRPr="00477480">
        <w:rPr>
          <w:lang w:val="fr-FR"/>
        </w:rPr>
        <w:t>Protocole pour la prévention, la prise en charge et la répression des actes de violence et de discrimination à l’égard des femmes travaillant au sein de l’institution et pour la protection des victimes ;</w:t>
      </w:r>
    </w:p>
    <w:p w14:paraId="1EDFAC26" w14:textId="77777777" w:rsidR="00B64075" w:rsidRPr="00477480" w:rsidRDefault="00B64075" w:rsidP="00B64075">
      <w:pPr>
        <w:pStyle w:val="Bullet1G"/>
        <w:rPr>
          <w:lang w:val="fr-FR"/>
        </w:rPr>
      </w:pPr>
      <w:r w:rsidRPr="00477480">
        <w:rPr>
          <w:lang w:val="fr-FR"/>
        </w:rPr>
        <w:t>Directive pour la prise en charge des femmes en conflit avec la loi ;</w:t>
      </w:r>
    </w:p>
    <w:p w14:paraId="05DBE568" w14:textId="77777777" w:rsidR="00B64075" w:rsidRPr="00477480" w:rsidRDefault="00B64075" w:rsidP="00B64075">
      <w:pPr>
        <w:pStyle w:val="Bullet1G"/>
        <w:rPr>
          <w:lang w:val="fr-FR"/>
        </w:rPr>
      </w:pPr>
      <w:r w:rsidRPr="00477480">
        <w:rPr>
          <w:lang w:val="fr-FR"/>
        </w:rPr>
        <w:t>Directive sur la promotion des activités des unités de soins spécialisés auprès des femmes vivant dans les zones rurales ;</w:t>
      </w:r>
    </w:p>
    <w:p w14:paraId="5FFC71B7" w14:textId="77777777" w:rsidR="00B64075" w:rsidRPr="00477480" w:rsidRDefault="00B64075" w:rsidP="00B64075">
      <w:pPr>
        <w:pStyle w:val="Bullet1G"/>
        <w:rPr>
          <w:lang w:val="fr-FR"/>
        </w:rPr>
      </w:pPr>
      <w:r w:rsidRPr="00477480">
        <w:rPr>
          <w:lang w:val="fr-FR"/>
        </w:rPr>
        <w:t>Procédure de prise en charge des affaires de violence à l’égard des femmes ;</w:t>
      </w:r>
    </w:p>
    <w:p w14:paraId="72A35664" w14:textId="77777777" w:rsidR="00B64075" w:rsidRPr="00477480" w:rsidRDefault="00B64075" w:rsidP="00B64075">
      <w:pPr>
        <w:pStyle w:val="Bullet1G"/>
        <w:rPr>
          <w:lang w:val="fr-FR"/>
        </w:rPr>
      </w:pPr>
      <w:r w:rsidRPr="00477480">
        <w:rPr>
          <w:lang w:val="fr-FR"/>
        </w:rPr>
        <w:t>Procédure de prise en charge des affaires de discrimination à l’égard des femmes ;</w:t>
      </w:r>
    </w:p>
    <w:p w14:paraId="7F361D28" w14:textId="77DAA5CD" w:rsidR="00B64075" w:rsidRPr="00477480" w:rsidRDefault="00B64075" w:rsidP="00B64075">
      <w:pPr>
        <w:pStyle w:val="Bullet1G"/>
        <w:rPr>
          <w:lang w:val="fr-FR"/>
        </w:rPr>
      </w:pPr>
      <w:r w:rsidRPr="00477480">
        <w:rPr>
          <w:lang w:val="fr-FR"/>
        </w:rPr>
        <w:t xml:space="preserve">Instruction de prise en charge des cas de violence à l’égard des femmes </w:t>
      </w:r>
      <w:r w:rsidR="00771C59" w:rsidRPr="00477480">
        <w:rPr>
          <w:lang w:val="fr-FR"/>
        </w:rPr>
        <w:t>–</w:t>
      </w:r>
      <w:r w:rsidRPr="00477480">
        <w:rPr>
          <w:lang w:val="fr-FR"/>
        </w:rPr>
        <w:t xml:space="preserve"> Note d’orientation du service chargé des affaires pénales au sein du Bureau du Procureur général chargé de personnes vulnérables ;</w:t>
      </w:r>
    </w:p>
    <w:p w14:paraId="5A0977D9" w14:textId="3457269A" w:rsidR="00B64075" w:rsidRPr="00477480" w:rsidRDefault="00B64075" w:rsidP="00B64075">
      <w:pPr>
        <w:pStyle w:val="Bullet1G"/>
        <w:rPr>
          <w:lang w:val="fr-FR"/>
        </w:rPr>
      </w:pPr>
      <w:r w:rsidRPr="00477480">
        <w:rPr>
          <w:lang w:val="fr-FR"/>
        </w:rPr>
        <w:t>Document de coordination interinstitutionnelle et intersectorielle sur la prise en charge globale des femmes en situation de violence au nord de San Salvador ;</w:t>
      </w:r>
    </w:p>
    <w:p w14:paraId="0E70C18F" w14:textId="79EC4434" w:rsidR="00B64075" w:rsidRPr="00477480" w:rsidRDefault="00B64075" w:rsidP="00B64075">
      <w:pPr>
        <w:pStyle w:val="Bullet1G"/>
        <w:rPr>
          <w:lang w:val="fr-FR"/>
        </w:rPr>
      </w:pPr>
      <w:r w:rsidRPr="00477480">
        <w:rPr>
          <w:lang w:val="fr-FR"/>
        </w:rPr>
        <w:t>Document de coordination interinstitutionnelle sur la prise en charge globale et intégrée des femmes, enfants et adolescents vivant diverses situations de violence dans le sud du pays.</w:t>
      </w:r>
    </w:p>
    <w:p w14:paraId="789036B0" w14:textId="3C82A31F" w:rsidR="00E2672E" w:rsidRPr="00477480" w:rsidRDefault="00B64075" w:rsidP="0032223E">
      <w:pPr>
        <w:pStyle w:val="SingleTxt"/>
        <w:numPr>
          <w:ilvl w:val="0"/>
          <w:numId w:val="7"/>
        </w:numPr>
        <w:spacing w:line="240" w:lineRule="exact"/>
        <w:ind w:left="1267" w:firstLine="0"/>
      </w:pPr>
      <w:r w:rsidRPr="00477480">
        <w:t>Le ministère public compte six unités institutionnelles de soins spécialisés au niveau national, réparties au sein des bureaux présents dans les départements de San Salvador, La Libertad, San Vicente, Santa Ana, Sonsonate et San Miguel. La création de ces unités est prévue par le manuel de procédures, lequel décrit les fonctions du personnel composant ces unités ; et elles sont régies entre autres par les Directives en matière de poursuites pénales, le Protocole relatif aux enquêtes sur le féminicide et le Protocole de prise en charge juridique et psychosociale des personnes victimes de violence.</w:t>
      </w:r>
    </w:p>
    <w:p w14:paraId="1D980F67" w14:textId="206B6A26" w:rsidR="00B64075" w:rsidRPr="00477480" w:rsidRDefault="00B64075" w:rsidP="0032223E">
      <w:pPr>
        <w:pStyle w:val="SingleTxt"/>
        <w:numPr>
          <w:ilvl w:val="0"/>
          <w:numId w:val="7"/>
        </w:numPr>
        <w:spacing w:line="240" w:lineRule="exact"/>
        <w:ind w:left="1267" w:firstLine="0"/>
      </w:pPr>
      <w:r w:rsidRPr="00477480">
        <w:t>Les unités de soins spécialisés du ministère public sont chargées de mener les enquêtes en cas d’infraction à la loi spéciale intégrale visant à garantir aux femmes une vie sans violence (il en existe 11 types différents) et en cas d’infraction à caractère sexuel à l’encontre d’une femme âgée de plus de 15</w:t>
      </w:r>
      <w:r w:rsidR="00BC1578" w:rsidRPr="00477480">
        <w:t> </w:t>
      </w:r>
      <w:r w:rsidRPr="00477480">
        <w:t>ans. À cette fin, en octobre 2018, ces unités possédaient un effectif de 43</w:t>
      </w:r>
      <w:r w:rsidR="00BC1578" w:rsidRPr="00477480">
        <w:t> </w:t>
      </w:r>
      <w:r w:rsidRPr="00477480">
        <w:t xml:space="preserve">personnes, dont 39 femmes et 4 hommes (annexe 4). Le budget de fonctionnement de ces unités est intégré au budget annuel du ministère public. </w:t>
      </w:r>
    </w:p>
    <w:p w14:paraId="055079E7" w14:textId="77777777" w:rsidR="00B64075" w:rsidRPr="00477480" w:rsidRDefault="00B64075" w:rsidP="0032223E">
      <w:pPr>
        <w:pStyle w:val="SingleTxt"/>
        <w:numPr>
          <w:ilvl w:val="0"/>
          <w:numId w:val="7"/>
        </w:numPr>
        <w:spacing w:line="240" w:lineRule="exact"/>
        <w:ind w:left="1267" w:firstLine="0"/>
      </w:pPr>
      <w:r w:rsidRPr="00477480">
        <w:t>En 2017, le ministère public a organisé 57 cursus de formation et de sensibilisation à l’intention de l’ensemble du personnel de ses six unités institutionnelles de soins spécialisés et des 19 unités sur les infractions envers les enfants, les adolescents et les femmes au sein de leur environnement familial, ainsi que pour les membres du personnel de ses 19 bureaux départementaux. Entre janvier et octobre 2018, ce sont 114 programmes de formation qui ont été organisés (annexe 5).</w:t>
      </w:r>
    </w:p>
    <w:p w14:paraId="7E33B9A7" w14:textId="50FBCBC8" w:rsidR="00B64075" w:rsidRPr="00477480" w:rsidRDefault="00B64075" w:rsidP="00C6784C">
      <w:pPr>
        <w:pStyle w:val="SingleTxt"/>
        <w:numPr>
          <w:ilvl w:val="0"/>
          <w:numId w:val="7"/>
        </w:numPr>
        <w:spacing w:line="240" w:lineRule="exact"/>
        <w:ind w:left="1267" w:firstLine="0"/>
      </w:pPr>
      <w:r w:rsidRPr="00477480">
        <w:t xml:space="preserve">En juillet 2017, le ministère public a créé la Direction nationale pour les femmes, les enfants, les adolescents, les populations LGBTI et les autres groupes vulnérables, qui compte à sa tête une directrice et </w:t>
      </w:r>
      <w:r w:rsidR="00C6784C" w:rsidRPr="00477480">
        <w:t>quatre coordonnateurs : un chargé des questions liées aux femmes ; un autre pour les enfants et les adolescents ; un pour les populations LGBTI et les autres groupes vulnérables ; et un dernier pour la prise en charge globale des victimes.</w:t>
      </w:r>
    </w:p>
    <w:p w14:paraId="61CB3AFA" w14:textId="60B7E7FE" w:rsidR="00B64075" w:rsidRPr="00477480" w:rsidRDefault="00C6784C" w:rsidP="0032223E">
      <w:pPr>
        <w:pStyle w:val="SingleTxt"/>
        <w:numPr>
          <w:ilvl w:val="0"/>
          <w:numId w:val="7"/>
        </w:numPr>
        <w:spacing w:line="240" w:lineRule="exact"/>
        <w:ind w:left="1267" w:firstLine="0"/>
      </w:pPr>
      <w:r w:rsidRPr="00477480">
        <w:t>Ces quatre coordonnateurs ont pour mandat de : mettre au point des mécanismes de prise en charge harmonisés au niveau national dans le cadre des enquêtes sur les infractions commises contre les femmes, les filles, les enfants, les adolescents, les personnes LGBTI et d’autres groupes vulnérables, qui garantissent avant tout le respect de leurs droits dans l’application de la loi ; coordonner et suivre le déroulement des affaires avec les responsables des bureaux et les unités institutionnelles, lorsque cela est pertinent et jugé nécessaire ; et veiller à ce que les victimes soient bien traitées lors de leur prise en charge, grâce à la mise en œuvre des mécanismes prévus à cet effet, notamment grâce à l’utilisation d’espaces qui garantissent la confidentialité et le confort. En octobre 2018, la Direction était composée de sept personnes, dont six femmes et un homme (annexe 6). Le budget nécessaire à son fonctionnement fait partie intégrante du budget ordinaire du ministère public.</w:t>
      </w:r>
    </w:p>
    <w:p w14:paraId="0F394082" w14:textId="397F78BB" w:rsidR="00B64075" w:rsidRPr="00477480" w:rsidRDefault="00B64075" w:rsidP="0032223E">
      <w:pPr>
        <w:pStyle w:val="SingleTxt"/>
        <w:numPr>
          <w:ilvl w:val="0"/>
          <w:numId w:val="7"/>
        </w:numPr>
        <w:spacing w:line="240" w:lineRule="exact"/>
        <w:ind w:left="1267" w:firstLine="0"/>
      </w:pPr>
      <w:r w:rsidRPr="00477480">
        <w:t>Le ministère public a indiqué qu’en 2017, il a organisé 35</w:t>
      </w:r>
      <w:r w:rsidR="00CD502B" w:rsidRPr="00477480">
        <w:t> </w:t>
      </w:r>
      <w:r w:rsidRPr="00477480">
        <w:t>stages de formation à l’intention du personnel de la Direction ; entre janvier et octobre 2018, 41</w:t>
      </w:r>
      <w:r w:rsidR="00CD502B" w:rsidRPr="00477480">
        <w:t> </w:t>
      </w:r>
      <w:r w:rsidRPr="00477480">
        <w:t>formations supplémentaires ont été dispensées (annexe 7).</w:t>
      </w:r>
    </w:p>
    <w:p w14:paraId="1C94DEDC" w14:textId="77777777" w:rsidR="00B64075" w:rsidRPr="00477480" w:rsidRDefault="00B64075" w:rsidP="0032223E">
      <w:pPr>
        <w:pStyle w:val="SingleTxt"/>
        <w:numPr>
          <w:ilvl w:val="0"/>
          <w:numId w:val="7"/>
        </w:numPr>
        <w:spacing w:line="240" w:lineRule="exact"/>
        <w:ind w:left="1267" w:firstLine="0"/>
      </w:pPr>
      <w:r w:rsidRPr="00477480">
        <w:t>Conformément à l’article 56 de la loi spéciale intégrale visant à garantir aux femmes une vie sans violence, le ministère public a présenté en novembre 2018 les Directives en matière de poursuites pénales dans les affaires de violence à l’égard des femmes. L’objectif global est de réduire l’impunité en fixant des normes et des procédures à suivre pour engager des poursuites dans les cas de violence à l’égard des femmes, afin de pouvoir mener les enquêtes et traiter les affaires de manière efficiente et efficace et en tenant compte des questions de genre et des interactions entre les différentes problématiques. L’ensemble du personnel du ministère public a l’obligation de respecter ces directives et elles s’appliquent également à la Police nationale civile et au personnel des autres institutions qui apportent leur collaboration lors des enquêtes, lorsqu’elles n’entrent pas en contradiction avec les politiques internes de ces institutions.</w:t>
      </w:r>
    </w:p>
    <w:p w14:paraId="69C95DE3" w14:textId="34A7AA93" w:rsidR="00A07726" w:rsidRPr="00477480" w:rsidRDefault="00B64075" w:rsidP="0032223E">
      <w:pPr>
        <w:pStyle w:val="SingleTxt"/>
        <w:numPr>
          <w:ilvl w:val="0"/>
          <w:numId w:val="7"/>
        </w:numPr>
        <w:spacing w:line="240" w:lineRule="exact"/>
        <w:ind w:left="1267" w:firstLine="0"/>
      </w:pPr>
      <w:r w:rsidRPr="00477480">
        <w:t>Le Bureau du Procureur général chargé des personnes vulnérables compte 15 unités institutionnelles de soins spécialisés, soit une dans chaque département, et dispose également d’une unité de prise en charge spécialisée pour les femmes dans la municipalité de Soyapango. Cette unité a pour objectif de : fournir des services intégrés dans le respect de l’hygiène et de la confidentialité, en assurant une prise en charge humaine et de qualité et en fournissant en priorité une assistance dans les situations de crise ; conseiller les femmes victimes de violence ou de discrimination et les informer de leurs droits et des mesures qui existent pour assurer leur protection ; offrir des conseils, une aide et une représentation juridique en matière de violence fondée sur le genre, de violence familiale et de discrimination à l’égard des femmes ; dispenser un accompagnement juridique et psychosocial, notamment pour gérer les procédures judiciaires ou administratives ; assurer la coordination avec les foyers et se mettre en relation avec des réseaux de soutien ; organiser des groupes d’entraide et/ou des programmes de formation et d’appui ; recevoir et traiter les plaintes déposées par toute personne ou organisation concernant des actes de discrimination.</w:t>
      </w:r>
    </w:p>
    <w:p w14:paraId="71393BAC" w14:textId="77777777" w:rsidR="00A07726" w:rsidRPr="00477480" w:rsidRDefault="00B64075" w:rsidP="0032223E">
      <w:pPr>
        <w:pStyle w:val="SingleTxt"/>
        <w:numPr>
          <w:ilvl w:val="0"/>
          <w:numId w:val="7"/>
        </w:numPr>
        <w:spacing w:line="240" w:lineRule="exact"/>
        <w:ind w:left="1267" w:firstLine="0"/>
      </w:pPr>
      <w:r w:rsidRPr="00477480">
        <w:t>Le Bureau du Procureur général chargé des personnes vulnérables rapporte qu’à la fin de l’année 2018, les unités institutionnelles de soins spécialisés comptaient 49 employés, dont 46 femmes et 3 hommes (annexe 8). Ces unités disposent d’un budget de 1 084 372 dollars à l’année, un montant intégré au budget institutionnel. Le Bureau signale qu’en 2017, 24 stages de formation ont été organisés pour le personnel de ces unités, et qu’entre janvier et octobre de l’année suivante, ce sont 10 formations qui ont été dispensées (annexe 9).</w:t>
      </w:r>
    </w:p>
    <w:p w14:paraId="51366A68" w14:textId="77777777" w:rsidR="00A07726" w:rsidRPr="00477480" w:rsidRDefault="00A07726" w:rsidP="0032223E">
      <w:pPr>
        <w:pStyle w:val="SingleTxt"/>
        <w:numPr>
          <w:ilvl w:val="0"/>
          <w:numId w:val="7"/>
        </w:numPr>
        <w:spacing w:line="240" w:lineRule="exact"/>
        <w:ind w:left="1267" w:firstLine="0"/>
      </w:pPr>
      <w:r w:rsidRPr="00477480">
        <w:t>La Police nationale civile (PNC) compte 31 unités institutionnelles de soins spécialisés pour les femmes victimes de violence, dont le rôle est : d’enregistrer les plaintes concernant les faits de violence à l’égard des femmes fondée sur le genre ; d’informer les femmes de leurs droits et de l’existence de mesures de protection, de services d’urgence et de centres d’accueil ; de coordonner la prise en charge physique et psychologique (avec notamment la mise en place d’un traitement antirétroviral, la fourniture de contraception d’urgence) ; d’aider les femmes à gérer leurs procédures judiciaires, si elles en font la demande, et de suivre le déroulement des procédures ; et d’assurer une coordination entre les institutions pour garantir une prise en charge intégrale des bénéficiaires.</w:t>
      </w:r>
    </w:p>
    <w:p w14:paraId="7CA60F7C" w14:textId="186DA841" w:rsidR="00A07726" w:rsidRPr="00477480" w:rsidRDefault="00A07726" w:rsidP="0032223E">
      <w:pPr>
        <w:pStyle w:val="SingleTxt"/>
        <w:numPr>
          <w:ilvl w:val="0"/>
          <w:numId w:val="7"/>
        </w:numPr>
        <w:spacing w:line="240" w:lineRule="exact"/>
        <w:ind w:left="1267" w:firstLine="0"/>
      </w:pPr>
      <w:r w:rsidRPr="00477480">
        <w:t xml:space="preserve">Le cadre opérationnel des unités institutionnelles de la Police nationale civile est défini par les documents suivants : Rôle de l’unité institutionnelle de soins spécialisés pour les femmes victimes de violence </w:t>
      </w:r>
      <w:r w:rsidR="00771C59" w:rsidRPr="00477480">
        <w:t>–</w:t>
      </w:r>
      <w:r w:rsidRPr="00477480">
        <w:t xml:space="preserve"> Bureau des plaintes et de prise en charge des citoyens ; Protocole de prise en charge : directives à l’intention des fonctionnaires de police pour une prise en charge spécifique des cas de violence à l’égard des femmes ; Protocole de procédure pénale et de prise en charge des cas de femmes, filles et adolescentes victimes de violence sexuelle.</w:t>
      </w:r>
    </w:p>
    <w:p w14:paraId="1A7431D6" w14:textId="1E2275A9" w:rsidR="00A07726" w:rsidRPr="00477480" w:rsidRDefault="00A07726" w:rsidP="0032223E">
      <w:pPr>
        <w:pStyle w:val="SingleTxt"/>
        <w:numPr>
          <w:ilvl w:val="0"/>
          <w:numId w:val="7"/>
        </w:numPr>
        <w:spacing w:line="240" w:lineRule="exact"/>
        <w:ind w:left="1267" w:firstLine="0"/>
      </w:pPr>
      <w:r w:rsidRPr="00477480">
        <w:t xml:space="preserve">À la fin de l’année 2018, selon les chiffres de la Police nationale civile, 179 personnes travaillaient au sein des unités de soins spécialisés (96 femmes et 83 hommes) (annexe 10). </w:t>
      </w:r>
      <w:r w:rsidR="00016093" w:rsidRPr="00477480">
        <w:t>Le budget alloué</w:t>
      </w:r>
      <w:r w:rsidRPr="00477480">
        <w:t xml:space="preserve"> au fonctionnement de ces unités en 2018 était de 1 194 464,44 dollars, dont 1 184 464,44 dollars ont servi à payer le salaire des employés, le reste ayant été affecté aux dépenses de services et aux dépenses énergétiques.</w:t>
      </w:r>
    </w:p>
    <w:p w14:paraId="08E4E7AC" w14:textId="01D9C556" w:rsidR="00A07726" w:rsidRPr="00477480" w:rsidRDefault="00A07726" w:rsidP="0032223E">
      <w:pPr>
        <w:pStyle w:val="SingleTxt"/>
        <w:numPr>
          <w:ilvl w:val="0"/>
          <w:numId w:val="7"/>
        </w:numPr>
        <w:spacing w:line="240" w:lineRule="exact"/>
        <w:ind w:left="1267" w:firstLine="0"/>
      </w:pPr>
      <w:r w:rsidRPr="00477480">
        <w:t>En vue de renforcer les capacités du personnel travaillant au sein de ces unités, la Police nationale civile a organisé les formations suivantes : un stage initial de formation approfondie sur les droits des femmes victimes de violence, de discrimination et d’autres infractions sexistes et sur les procédures à suivre pour traiter ces cas, organisé en avril 2017 et auquel ont participé 34 personnes (19 femmes et 15 hommes) ; et un cours sur le même thème, organisé au mois de février 2018, suivi par 35 fonctionnaires (20 femmes et 15 hommes). La Police a également organisé deux stages sur le déroulement des enquêtes criminelles concernant les faits de violence à l’égard des femmes fondée sur le genre, qui ont rassemblé 50 personnes (14 femmes et 36 hommes).</w:t>
      </w:r>
    </w:p>
    <w:p w14:paraId="45693309" w14:textId="6FD7BADB" w:rsidR="00A07726" w:rsidRPr="00477480" w:rsidRDefault="00A07726" w:rsidP="0032223E">
      <w:pPr>
        <w:pStyle w:val="SingleTxt"/>
        <w:numPr>
          <w:ilvl w:val="0"/>
          <w:numId w:val="7"/>
        </w:numPr>
        <w:spacing w:line="240" w:lineRule="exact"/>
        <w:ind w:left="1267" w:firstLine="0"/>
      </w:pPr>
      <w:r w:rsidRPr="00477480">
        <w:t>Au cours de cette période, la Police nationale civile a mis en place 21 équipes d’enquête spécialisées dans les faits de violence à l’égard des femmes, dont le travail vient compléter les activités menées par les unités institutionnelles.</w:t>
      </w:r>
    </w:p>
    <w:p w14:paraId="043B826D" w14:textId="131D9DD5" w:rsidR="00A07726" w:rsidRPr="00477480" w:rsidRDefault="00A07726" w:rsidP="0032223E">
      <w:pPr>
        <w:pStyle w:val="SingleTxt"/>
        <w:numPr>
          <w:ilvl w:val="0"/>
          <w:numId w:val="7"/>
        </w:numPr>
        <w:spacing w:line="240" w:lineRule="exact"/>
        <w:ind w:left="1267" w:firstLine="0"/>
      </w:pPr>
      <w:r w:rsidRPr="00477480">
        <w:t xml:space="preserve">L’Institut médico-légal compte deux unités institutionnelles de soins spécialisés au niveau national. Le </w:t>
      </w:r>
      <w:r w:rsidR="00016093" w:rsidRPr="00477480">
        <w:t>personnel</w:t>
      </w:r>
      <w:r w:rsidRPr="00477480">
        <w:t xml:space="preserve"> de ces unités a été formé aux thématiques suivantes : prévention, prise en charge et élimination du harcèlement sexuel et du harcèlement sur le lieu de travail ; analyse et interprétation des rapports de l’Institut médico-légal dans les cas d’infraction à caractère sexuel ; féminicide ; violence familiale et féminicide ; expertise psychologique ; infractions à caractère sexuel. Il a également participé à un atelier sur le protocole d’enquête sur le féminicide.</w:t>
      </w:r>
    </w:p>
    <w:p w14:paraId="6F1CED3F" w14:textId="49B9EE19" w:rsidR="00A07726" w:rsidRPr="00477480" w:rsidRDefault="00A07726" w:rsidP="00A07726">
      <w:pPr>
        <w:pStyle w:val="SingleTxt"/>
        <w:spacing w:after="0" w:line="120" w:lineRule="exact"/>
        <w:rPr>
          <w:sz w:val="10"/>
        </w:rPr>
      </w:pPr>
    </w:p>
    <w:p w14:paraId="7CF01343" w14:textId="61EB42D1" w:rsidR="00A07726" w:rsidRPr="00477480" w:rsidRDefault="00A07726" w:rsidP="00A07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Recommandation énoncée au paragraphe 1</w:t>
      </w:r>
      <w:r w:rsidR="00C6784C" w:rsidRPr="00477480">
        <w:t>9</w:t>
      </w:r>
      <w:r w:rsidRPr="00477480">
        <w:t>. Concernant le mécanisme national de promotion des femmes, le Comité recommande à l’État partie : a) d’accélérer l’adoption d’une législation renforçant le rôle prépondérant de l’Institut salvadorien pour la promotion de la femme.</w:t>
      </w:r>
    </w:p>
    <w:p w14:paraId="4A223E23" w14:textId="1EB6A620" w:rsidR="00A07726" w:rsidRPr="00477480" w:rsidRDefault="00A07726" w:rsidP="00A07726">
      <w:pPr>
        <w:pStyle w:val="SingleTxt"/>
        <w:spacing w:after="0" w:line="120" w:lineRule="exact"/>
        <w:rPr>
          <w:bCs/>
          <w:sz w:val="10"/>
        </w:rPr>
      </w:pPr>
    </w:p>
    <w:p w14:paraId="4F54D730" w14:textId="16BF05FA" w:rsidR="00CD502B" w:rsidRPr="00477480" w:rsidRDefault="00A07726" w:rsidP="00CD502B">
      <w:pPr>
        <w:pStyle w:val="SingleTxt"/>
        <w:numPr>
          <w:ilvl w:val="0"/>
          <w:numId w:val="7"/>
        </w:numPr>
        <w:spacing w:line="240" w:lineRule="exact"/>
        <w:ind w:left="1267" w:firstLine="0"/>
      </w:pPr>
      <w:r w:rsidRPr="00477480">
        <w:t>L</w:t>
      </w:r>
      <w:r w:rsidR="00732702" w:rsidRPr="00477480">
        <w:t>e Gouvernement</w:t>
      </w:r>
      <w:r w:rsidRPr="00477480">
        <w:t xml:space="preserve"> salvadorien a le plaisir d’informer le Comité de la présentation, en septembre 2018, du projet de décret législatif sur l’Institut salvadorien pour les femmes</w:t>
      </w:r>
      <w:r w:rsidRPr="00477480">
        <w:rPr>
          <w:vertAlign w:val="superscript"/>
        </w:rPr>
        <w:footnoteReference w:id="7"/>
      </w:r>
      <w:r w:rsidRPr="00477480">
        <w:t>, demandé par le Président de la République Salvador Sánchez Cerén et porté par la Ministre du travail et de la protection sociale. Ce projet de loi porte création de l’Institut salvadorien pour les femmes (IMUJERES), qui sera l’institution de référence en matière de promotion des droits de la femme et s’efforcera de garantir l’intégration systématique des principes d’égalité des sexes et de non-discrimination et du droit à une vie sans violence pour les femmes dans tous les domaines.</w:t>
      </w:r>
    </w:p>
    <w:p w14:paraId="60E7C03D" w14:textId="43AAAA56" w:rsidR="00A07726" w:rsidRPr="00477480" w:rsidRDefault="00A07726" w:rsidP="00CD502B">
      <w:pPr>
        <w:pStyle w:val="SingleTxt"/>
        <w:numPr>
          <w:ilvl w:val="0"/>
          <w:numId w:val="7"/>
        </w:numPr>
        <w:spacing w:line="240" w:lineRule="exact"/>
        <w:ind w:left="1267" w:firstLine="0"/>
      </w:pPr>
      <w:r w:rsidRPr="00477480">
        <w:t>La loi actuelle sur l’Institut salvadorien pour la promotion de la femme, publiée sous le décret législatif n</w:t>
      </w:r>
      <w:r w:rsidR="00264B71" w:rsidRPr="00477480">
        <w:rPr>
          <w:vertAlign w:val="superscript"/>
        </w:rPr>
        <w:t>o</w:t>
      </w:r>
      <w:r w:rsidRPr="00477480">
        <w:t> 644 du 29</w:t>
      </w:r>
      <w:r w:rsidR="00CD502B" w:rsidRPr="00477480">
        <w:t> </w:t>
      </w:r>
      <w:r w:rsidRPr="00477480">
        <w:t xml:space="preserve">février 1996, confère à cette institution des fonctions qui doivent être actualisées et harmonisées en vue de garantir le respect des attributions et des responsabilités décrites dans les lois suivantes : la loi sur l’égalité, l’équité et l’élimination de la discrimination à l’égard des femmes, la loi spéciale intégrale visant à garantir aux femmes une vie sans violence et la loi sur la violence familiale. Il est donc nécessaire de disposer d’une nouvelle loi afin de réévaluer les fonctions attribuées désormais à l’Institut salvadorien pour les femmes. En ce sens, le </w:t>
      </w:r>
      <w:r w:rsidRPr="00477480">
        <w:rPr>
          <w:b/>
          <w:bCs/>
        </w:rPr>
        <w:t>projet de décret législatif sur l’Institut salvadorien pour les femmes</w:t>
      </w:r>
      <w:r w:rsidRPr="00477480">
        <w:t xml:space="preserve"> propose la création d’une institution de droit public, autonome sur les plans technique, financier et administratif et dotée de la personnalité juridique et de fonds propres. À ce jour, le projet de loi est encore en cours d’examen par l’Assemblée législative et sera adopté en temps voulu, conformément à la loi</w:t>
      </w:r>
      <w:r w:rsidRPr="00477480">
        <w:rPr>
          <w:vertAlign w:val="superscript"/>
        </w:rPr>
        <w:footnoteReference w:id="8"/>
      </w:r>
      <w:r w:rsidR="00CD502B" w:rsidRPr="00477480">
        <w:t>.</w:t>
      </w:r>
    </w:p>
    <w:p w14:paraId="023CEC16" w14:textId="7639B5EC" w:rsidR="00A07726" w:rsidRPr="00477480" w:rsidRDefault="00A07726" w:rsidP="00A07726">
      <w:pPr>
        <w:pStyle w:val="SingleTxt"/>
        <w:spacing w:after="0" w:line="120" w:lineRule="exact"/>
        <w:rPr>
          <w:sz w:val="10"/>
        </w:rPr>
      </w:pPr>
    </w:p>
    <w:p w14:paraId="1F0505D7" w14:textId="5C52B079" w:rsidR="00A07726" w:rsidRPr="00477480" w:rsidRDefault="00A07726" w:rsidP="00A07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Recommandation énoncée au paragraphe 1</w:t>
      </w:r>
      <w:r w:rsidR="00C6784C" w:rsidRPr="00477480">
        <w:t>9</w:t>
      </w:r>
      <w:r w:rsidRPr="00477480">
        <w:t>. Concernant le mécanisme national de promotion des femmes, le Comité recommande à l’État partie : c) de continuer à renforcer l’Institut salvadorien pour la promotion de la femme en lui donnant les ressources humaines, techniques et financières nécessaires pour assurer la coordination efficace et la mise en œuvre des politiques publiques de promotion de la femme et, en particulier, pour remplir son mandat dans le domaine de la collecte de données.</w:t>
      </w:r>
    </w:p>
    <w:p w14:paraId="244BCA8D" w14:textId="40A7FDA1" w:rsidR="00A07726" w:rsidRPr="00477480" w:rsidRDefault="00A07726" w:rsidP="00A07726">
      <w:pPr>
        <w:pStyle w:val="SingleTxt"/>
        <w:spacing w:after="0" w:line="120" w:lineRule="exact"/>
        <w:rPr>
          <w:sz w:val="10"/>
        </w:rPr>
      </w:pPr>
    </w:p>
    <w:p w14:paraId="43C076D0" w14:textId="77777777" w:rsidR="00A07726" w:rsidRPr="00477480" w:rsidRDefault="00A07726" w:rsidP="0032223E">
      <w:pPr>
        <w:pStyle w:val="SingleTxt"/>
        <w:numPr>
          <w:ilvl w:val="0"/>
          <w:numId w:val="10"/>
        </w:numPr>
        <w:spacing w:line="240" w:lineRule="exact"/>
        <w:ind w:left="1267" w:firstLine="0"/>
      </w:pPr>
      <w:r w:rsidRPr="00477480">
        <w:t>Le Gouvernement salvadorien rapporte que durant la période 2017-2018, l’Institut salvadorien pour la promotion de la femme comptait en moyenne 260 employés, dont 90 % de femmes. À la fin de l’année 2018, le personnel de l’Institut était réparti comme suit : 51 % des membres du personnel étaient affectés à des tâches techniques de direction ; 4 % étaient des experts ; 11 % étaient des responsables ou des coordonnateurs régionaux et départementaux ; 24 % des employés étaient chargés des tâches administratives ; et les 10 % restants représentaient le personnel opérationnel. Durant l’exercice 2019, à l’exception de la Directrice exécutive, la totalité des membres du personnel sont régis par la loi sur les salaires, régime qui permet de leur offrir une stabilité professionnelle et de suivre des formations mais aussi d’assurer la continuité des processus de travail.</w:t>
      </w:r>
    </w:p>
    <w:p w14:paraId="560FD838" w14:textId="57C4CA7A" w:rsidR="00A07726" w:rsidRPr="00477480" w:rsidRDefault="00A07726" w:rsidP="0032223E">
      <w:pPr>
        <w:pStyle w:val="SingleTxt"/>
        <w:numPr>
          <w:ilvl w:val="0"/>
          <w:numId w:val="10"/>
        </w:numPr>
        <w:spacing w:line="240" w:lineRule="exact"/>
        <w:ind w:left="1267" w:firstLine="0"/>
      </w:pPr>
      <w:r w:rsidRPr="00477480">
        <w:t>Au cours de la période 2014-2018, le budget de l’Institut est resté constant, avec environ 5 100 000 dollars, malgré de légères variations. Afin de renforcer les capacités institutionnelles d’ici à 2019, l’État partie a le plaisir d’annoncer que l’Assemblée législative a approuvé une augmentation de sept cent mille dollars supplémentaires, soit une augmentation de 13,6 %, comme indiqué dans le tableau ci-dessous.</w:t>
      </w:r>
    </w:p>
    <w:p w14:paraId="3398995D" w14:textId="399F0F72" w:rsidR="00A07726" w:rsidRPr="00477480" w:rsidRDefault="00A07726" w:rsidP="00A07726">
      <w:pPr>
        <w:pStyle w:val="SingleTxt"/>
        <w:spacing w:after="0" w:line="120" w:lineRule="exact"/>
        <w:rPr>
          <w:sz w:val="10"/>
        </w:rPr>
      </w:pPr>
    </w:p>
    <w:p w14:paraId="26206614" w14:textId="714F5C16" w:rsidR="00A07726" w:rsidRPr="00477480" w:rsidRDefault="00A07726" w:rsidP="00A07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477480">
        <w:tab/>
      </w:r>
      <w:r w:rsidRPr="00477480">
        <w:tab/>
      </w:r>
      <w:r w:rsidRPr="00477480">
        <w:rPr>
          <w:b w:val="0"/>
        </w:rPr>
        <w:t>Tableau 4</w:t>
      </w:r>
    </w:p>
    <w:p w14:paraId="5A07C58D" w14:textId="0B4161FC" w:rsidR="00A07726" w:rsidRPr="00477480" w:rsidRDefault="00A07726" w:rsidP="00A077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77480">
        <w:tab/>
      </w:r>
      <w:r w:rsidRPr="00477480">
        <w:tab/>
        <w:t>Budget de l’Institut salvadorien pour la promotion de la femme</w:t>
      </w:r>
    </w:p>
    <w:p w14:paraId="537F15BD" w14:textId="502C90BB" w:rsidR="00A07726" w:rsidRPr="00477480" w:rsidRDefault="00A07726" w:rsidP="0095607A">
      <w:pPr>
        <w:pStyle w:val="SingleTxt"/>
        <w:spacing w:after="0" w:line="210" w:lineRule="exact"/>
        <w:rPr>
          <w:sz w:val="16"/>
          <w:szCs w:val="16"/>
        </w:rPr>
      </w:pPr>
      <w:r w:rsidRPr="00477480">
        <w:rPr>
          <w:sz w:val="16"/>
          <w:szCs w:val="16"/>
        </w:rPr>
        <w:t>Ressources allouées à partir du budget national 2017-2019</w:t>
      </w:r>
    </w:p>
    <w:p w14:paraId="58B931DF" w14:textId="53BB0CFB" w:rsidR="00A07726" w:rsidRPr="00477480" w:rsidRDefault="00A07726" w:rsidP="00A07726">
      <w:pPr>
        <w:pStyle w:val="SingleTxt"/>
        <w:spacing w:after="0" w:line="120" w:lineRule="exact"/>
        <w:rPr>
          <w:sz w:val="10"/>
          <w:szCs w:val="16"/>
        </w:rPr>
      </w:pPr>
    </w:p>
    <w:p w14:paraId="32B54BE6" w14:textId="52F642E6" w:rsidR="00A07726" w:rsidRPr="00477480" w:rsidRDefault="00A07726" w:rsidP="00CD502B">
      <w:pPr>
        <w:pStyle w:val="SingleTxt"/>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CD502B" w:rsidRPr="00477480" w14:paraId="0F764064" w14:textId="77777777" w:rsidTr="00CD502B">
        <w:trPr>
          <w:tblHeader/>
        </w:trPr>
        <w:tc>
          <w:tcPr>
            <w:tcW w:w="1830" w:type="dxa"/>
            <w:tcBorders>
              <w:top w:val="single" w:sz="4" w:space="0" w:color="auto"/>
              <w:bottom w:val="single" w:sz="12" w:space="0" w:color="auto"/>
            </w:tcBorders>
            <w:shd w:val="clear" w:color="auto" w:fill="auto"/>
            <w:vAlign w:val="bottom"/>
          </w:tcPr>
          <w:p w14:paraId="6F53B0ED" w14:textId="6B6CBC28" w:rsidR="00CD502B" w:rsidRPr="00477480" w:rsidRDefault="00CD502B" w:rsidP="00CD502B">
            <w:pPr>
              <w:tabs>
                <w:tab w:val="left" w:pos="288"/>
                <w:tab w:val="left" w:pos="576"/>
                <w:tab w:val="left" w:pos="864"/>
                <w:tab w:val="left" w:pos="1152"/>
              </w:tabs>
              <w:suppressAutoHyphens/>
              <w:spacing w:before="81" w:after="81" w:line="160" w:lineRule="exact"/>
              <w:ind w:right="40"/>
              <w:rPr>
                <w:i/>
                <w:sz w:val="14"/>
              </w:rPr>
            </w:pPr>
            <w:r w:rsidRPr="00477480">
              <w:rPr>
                <w:i/>
                <w:sz w:val="14"/>
              </w:rPr>
              <w:t>Type de dépenses</w:t>
            </w:r>
          </w:p>
        </w:tc>
        <w:tc>
          <w:tcPr>
            <w:tcW w:w="1830" w:type="dxa"/>
            <w:tcBorders>
              <w:top w:val="single" w:sz="4" w:space="0" w:color="auto"/>
              <w:bottom w:val="single" w:sz="12" w:space="0" w:color="auto"/>
            </w:tcBorders>
            <w:shd w:val="clear" w:color="auto" w:fill="auto"/>
            <w:vAlign w:val="bottom"/>
          </w:tcPr>
          <w:p w14:paraId="78B76FBA" w14:textId="1C71D142" w:rsidR="00CD502B" w:rsidRPr="00477480" w:rsidRDefault="00CD502B" w:rsidP="00CD502B">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2017</w:t>
            </w:r>
          </w:p>
        </w:tc>
        <w:tc>
          <w:tcPr>
            <w:tcW w:w="1830" w:type="dxa"/>
            <w:tcBorders>
              <w:top w:val="single" w:sz="4" w:space="0" w:color="auto"/>
              <w:bottom w:val="single" w:sz="12" w:space="0" w:color="auto"/>
            </w:tcBorders>
            <w:shd w:val="clear" w:color="auto" w:fill="auto"/>
            <w:vAlign w:val="bottom"/>
          </w:tcPr>
          <w:p w14:paraId="304627AF" w14:textId="4B1124CA" w:rsidR="00CD502B" w:rsidRPr="00477480" w:rsidRDefault="00CD502B" w:rsidP="00CD502B">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2018</w:t>
            </w:r>
          </w:p>
        </w:tc>
        <w:tc>
          <w:tcPr>
            <w:tcW w:w="1830" w:type="dxa"/>
            <w:tcBorders>
              <w:top w:val="single" w:sz="4" w:space="0" w:color="auto"/>
              <w:bottom w:val="single" w:sz="12" w:space="0" w:color="auto"/>
            </w:tcBorders>
            <w:shd w:val="clear" w:color="auto" w:fill="auto"/>
            <w:vAlign w:val="bottom"/>
          </w:tcPr>
          <w:p w14:paraId="0E6D3AD2" w14:textId="5D960ECF" w:rsidR="00CD502B" w:rsidRPr="00477480" w:rsidRDefault="00CD502B" w:rsidP="00CD502B">
            <w:pPr>
              <w:tabs>
                <w:tab w:val="left" w:pos="288"/>
                <w:tab w:val="left" w:pos="576"/>
                <w:tab w:val="left" w:pos="864"/>
                <w:tab w:val="left" w:pos="1152"/>
              </w:tabs>
              <w:suppressAutoHyphens/>
              <w:spacing w:before="81" w:after="81" w:line="160" w:lineRule="exact"/>
              <w:ind w:left="144" w:right="43"/>
              <w:jc w:val="right"/>
              <w:rPr>
                <w:i/>
                <w:sz w:val="14"/>
              </w:rPr>
            </w:pPr>
            <w:r w:rsidRPr="00477480">
              <w:rPr>
                <w:i/>
                <w:sz w:val="14"/>
              </w:rPr>
              <w:t>2019</w:t>
            </w:r>
          </w:p>
        </w:tc>
      </w:tr>
      <w:tr w:rsidR="00CD502B" w:rsidRPr="00477480" w14:paraId="68250178" w14:textId="77777777" w:rsidTr="00CD502B">
        <w:trPr>
          <w:trHeight w:hRule="exact" w:val="115"/>
          <w:tblHeader/>
        </w:trPr>
        <w:tc>
          <w:tcPr>
            <w:tcW w:w="1830" w:type="dxa"/>
            <w:tcBorders>
              <w:top w:val="single" w:sz="12" w:space="0" w:color="auto"/>
            </w:tcBorders>
            <w:shd w:val="clear" w:color="auto" w:fill="auto"/>
            <w:vAlign w:val="bottom"/>
          </w:tcPr>
          <w:p w14:paraId="158377EF" w14:textId="77777777" w:rsidR="00CD502B" w:rsidRPr="00477480" w:rsidRDefault="00CD502B" w:rsidP="00CD502B">
            <w:pPr>
              <w:tabs>
                <w:tab w:val="left" w:pos="288"/>
                <w:tab w:val="left" w:pos="576"/>
                <w:tab w:val="left" w:pos="864"/>
                <w:tab w:val="left" w:pos="1152"/>
              </w:tabs>
              <w:suppressAutoHyphens/>
              <w:spacing w:before="40" w:after="40" w:line="210" w:lineRule="exact"/>
              <w:ind w:right="40"/>
              <w:rPr>
                <w:sz w:val="17"/>
              </w:rPr>
            </w:pPr>
          </w:p>
        </w:tc>
        <w:tc>
          <w:tcPr>
            <w:tcW w:w="1830" w:type="dxa"/>
            <w:tcBorders>
              <w:top w:val="single" w:sz="12" w:space="0" w:color="auto"/>
            </w:tcBorders>
            <w:shd w:val="clear" w:color="auto" w:fill="auto"/>
            <w:vAlign w:val="bottom"/>
          </w:tcPr>
          <w:p w14:paraId="6F9CD76D" w14:textId="77777777" w:rsidR="00CD502B" w:rsidRPr="00477480" w:rsidRDefault="00CD502B" w:rsidP="00CD502B">
            <w:pPr>
              <w:tabs>
                <w:tab w:val="left" w:pos="288"/>
                <w:tab w:val="left" w:pos="576"/>
                <w:tab w:val="left" w:pos="864"/>
                <w:tab w:val="left" w:pos="1152"/>
              </w:tabs>
              <w:suppressAutoHyphen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14:paraId="6F015500" w14:textId="77777777" w:rsidR="00CD502B" w:rsidRPr="00477480" w:rsidRDefault="00CD502B" w:rsidP="00CD502B">
            <w:pPr>
              <w:tabs>
                <w:tab w:val="left" w:pos="288"/>
                <w:tab w:val="left" w:pos="576"/>
                <w:tab w:val="left" w:pos="864"/>
                <w:tab w:val="left" w:pos="1152"/>
              </w:tabs>
              <w:suppressAutoHyphens/>
              <w:spacing w:before="40" w:after="40" w:line="210" w:lineRule="exact"/>
              <w:ind w:left="144" w:right="43"/>
              <w:jc w:val="right"/>
              <w:rPr>
                <w:sz w:val="17"/>
              </w:rPr>
            </w:pPr>
          </w:p>
        </w:tc>
        <w:tc>
          <w:tcPr>
            <w:tcW w:w="1830" w:type="dxa"/>
            <w:tcBorders>
              <w:top w:val="single" w:sz="12" w:space="0" w:color="auto"/>
            </w:tcBorders>
            <w:shd w:val="clear" w:color="auto" w:fill="auto"/>
            <w:vAlign w:val="bottom"/>
          </w:tcPr>
          <w:p w14:paraId="2126CA20" w14:textId="77777777" w:rsidR="00CD502B" w:rsidRPr="00477480" w:rsidRDefault="00CD502B" w:rsidP="00CD502B">
            <w:pPr>
              <w:tabs>
                <w:tab w:val="left" w:pos="288"/>
                <w:tab w:val="left" w:pos="576"/>
                <w:tab w:val="left" w:pos="864"/>
                <w:tab w:val="left" w:pos="1152"/>
              </w:tabs>
              <w:suppressAutoHyphens/>
              <w:spacing w:before="40" w:after="40" w:line="210" w:lineRule="exact"/>
              <w:ind w:left="144" w:right="43"/>
              <w:jc w:val="right"/>
              <w:rPr>
                <w:sz w:val="17"/>
              </w:rPr>
            </w:pPr>
          </w:p>
        </w:tc>
      </w:tr>
      <w:tr w:rsidR="00CD502B" w:rsidRPr="00477480" w14:paraId="2862392F" w14:textId="77777777" w:rsidTr="00CD502B">
        <w:tc>
          <w:tcPr>
            <w:tcW w:w="1830" w:type="dxa"/>
            <w:shd w:val="clear" w:color="auto" w:fill="auto"/>
            <w:vAlign w:val="bottom"/>
          </w:tcPr>
          <w:p w14:paraId="4690F559" w14:textId="0C303C34" w:rsidR="00CD502B" w:rsidRPr="00477480" w:rsidRDefault="00CD502B" w:rsidP="00CD502B">
            <w:pPr>
              <w:tabs>
                <w:tab w:val="left" w:pos="288"/>
                <w:tab w:val="left" w:pos="576"/>
                <w:tab w:val="left" w:pos="864"/>
                <w:tab w:val="left" w:pos="1152"/>
              </w:tabs>
              <w:suppressAutoHyphens/>
              <w:spacing w:before="40" w:after="40" w:line="210" w:lineRule="exact"/>
              <w:ind w:right="40"/>
              <w:rPr>
                <w:sz w:val="17"/>
              </w:rPr>
            </w:pPr>
            <w:r w:rsidRPr="00477480">
              <w:rPr>
                <w:sz w:val="17"/>
              </w:rPr>
              <w:t>Dépenses ordinaires</w:t>
            </w:r>
          </w:p>
        </w:tc>
        <w:tc>
          <w:tcPr>
            <w:tcW w:w="1830" w:type="dxa"/>
            <w:shd w:val="clear" w:color="auto" w:fill="auto"/>
            <w:vAlign w:val="bottom"/>
          </w:tcPr>
          <w:p w14:paraId="422139F0" w14:textId="1E851544" w:rsidR="00CD502B" w:rsidRPr="00477480" w:rsidRDefault="00CD502B" w:rsidP="00CD502B">
            <w:pPr>
              <w:tabs>
                <w:tab w:val="left" w:pos="288"/>
                <w:tab w:val="left" w:pos="576"/>
                <w:tab w:val="left" w:pos="864"/>
                <w:tab w:val="left" w:pos="1152"/>
              </w:tabs>
              <w:suppressAutoHyphens/>
              <w:spacing w:before="40" w:after="40" w:line="210" w:lineRule="exact"/>
              <w:ind w:left="144" w:right="43"/>
              <w:jc w:val="right"/>
              <w:rPr>
                <w:sz w:val="17"/>
              </w:rPr>
            </w:pPr>
            <w:r w:rsidRPr="00477480">
              <w:rPr>
                <w:sz w:val="18"/>
                <w:szCs w:val="18"/>
              </w:rPr>
              <w:t>5 143 445 $</w:t>
            </w:r>
          </w:p>
        </w:tc>
        <w:tc>
          <w:tcPr>
            <w:tcW w:w="1830" w:type="dxa"/>
            <w:shd w:val="clear" w:color="auto" w:fill="auto"/>
            <w:vAlign w:val="bottom"/>
          </w:tcPr>
          <w:p w14:paraId="0FB88787" w14:textId="728D9B21" w:rsidR="00CD502B" w:rsidRPr="00477480" w:rsidRDefault="00CD502B" w:rsidP="00CD502B">
            <w:pPr>
              <w:tabs>
                <w:tab w:val="left" w:pos="288"/>
                <w:tab w:val="left" w:pos="576"/>
                <w:tab w:val="left" w:pos="864"/>
                <w:tab w:val="left" w:pos="1152"/>
              </w:tabs>
              <w:suppressAutoHyphens/>
              <w:spacing w:before="40" w:after="40" w:line="210" w:lineRule="exact"/>
              <w:ind w:left="144" w:right="43"/>
              <w:jc w:val="right"/>
              <w:rPr>
                <w:sz w:val="17"/>
              </w:rPr>
            </w:pPr>
            <w:r w:rsidRPr="00477480">
              <w:rPr>
                <w:sz w:val="18"/>
                <w:szCs w:val="18"/>
              </w:rPr>
              <w:t>5 163 155 $</w:t>
            </w:r>
          </w:p>
        </w:tc>
        <w:tc>
          <w:tcPr>
            <w:tcW w:w="1830" w:type="dxa"/>
            <w:shd w:val="clear" w:color="auto" w:fill="auto"/>
            <w:vAlign w:val="bottom"/>
          </w:tcPr>
          <w:p w14:paraId="353409A1" w14:textId="3D85417E" w:rsidR="00CD502B" w:rsidRPr="00477480" w:rsidRDefault="00CD502B" w:rsidP="00CD502B">
            <w:pPr>
              <w:tabs>
                <w:tab w:val="left" w:pos="288"/>
                <w:tab w:val="left" w:pos="576"/>
                <w:tab w:val="left" w:pos="864"/>
                <w:tab w:val="left" w:pos="1152"/>
              </w:tabs>
              <w:suppressAutoHyphens/>
              <w:spacing w:before="40" w:after="40" w:line="210" w:lineRule="exact"/>
              <w:ind w:left="144" w:right="43"/>
              <w:jc w:val="right"/>
              <w:rPr>
                <w:sz w:val="17"/>
              </w:rPr>
            </w:pPr>
            <w:r w:rsidRPr="00477480">
              <w:rPr>
                <w:sz w:val="18"/>
                <w:szCs w:val="18"/>
              </w:rPr>
              <w:t>5 864 860 $</w:t>
            </w:r>
          </w:p>
        </w:tc>
      </w:tr>
      <w:tr w:rsidR="00CD502B" w:rsidRPr="00477480" w14:paraId="3EAA75BE" w14:textId="77777777" w:rsidTr="00CD502B">
        <w:tc>
          <w:tcPr>
            <w:tcW w:w="1830" w:type="dxa"/>
            <w:tcBorders>
              <w:bottom w:val="single" w:sz="4" w:space="0" w:color="auto"/>
            </w:tcBorders>
            <w:shd w:val="clear" w:color="auto" w:fill="auto"/>
            <w:vAlign w:val="bottom"/>
          </w:tcPr>
          <w:p w14:paraId="538CD869" w14:textId="08115836" w:rsidR="00CD502B" w:rsidRPr="00477480" w:rsidRDefault="00CD502B" w:rsidP="00CD502B">
            <w:pPr>
              <w:tabs>
                <w:tab w:val="left" w:pos="288"/>
                <w:tab w:val="left" w:pos="576"/>
                <w:tab w:val="left" w:pos="864"/>
                <w:tab w:val="left" w:pos="1152"/>
              </w:tabs>
              <w:suppressAutoHyphens/>
              <w:spacing w:before="40" w:after="81" w:line="210" w:lineRule="exact"/>
              <w:ind w:right="40"/>
              <w:rPr>
                <w:sz w:val="17"/>
              </w:rPr>
            </w:pPr>
            <w:r w:rsidRPr="00477480">
              <w:rPr>
                <w:sz w:val="17"/>
              </w:rPr>
              <w:t>Investissements</w:t>
            </w:r>
          </w:p>
        </w:tc>
        <w:tc>
          <w:tcPr>
            <w:tcW w:w="1830" w:type="dxa"/>
            <w:tcBorders>
              <w:bottom w:val="single" w:sz="4" w:space="0" w:color="auto"/>
            </w:tcBorders>
            <w:shd w:val="clear" w:color="auto" w:fill="auto"/>
            <w:vAlign w:val="bottom"/>
          </w:tcPr>
          <w:p w14:paraId="5D5703B8" w14:textId="3C2E4608" w:rsidR="00CD502B" w:rsidRPr="00477480" w:rsidRDefault="00CD502B" w:rsidP="00CD502B">
            <w:pPr>
              <w:tabs>
                <w:tab w:val="left" w:pos="288"/>
                <w:tab w:val="left" w:pos="576"/>
                <w:tab w:val="left" w:pos="864"/>
                <w:tab w:val="left" w:pos="1152"/>
              </w:tabs>
              <w:suppressAutoHyphens/>
              <w:spacing w:before="40" w:after="81" w:line="210" w:lineRule="exact"/>
              <w:ind w:left="144" w:right="43"/>
              <w:jc w:val="right"/>
              <w:rPr>
                <w:sz w:val="17"/>
              </w:rPr>
            </w:pPr>
            <w:r w:rsidRPr="00477480">
              <w:rPr>
                <w:sz w:val="18"/>
                <w:szCs w:val="18"/>
              </w:rPr>
              <w:t>180 000 $</w:t>
            </w:r>
          </w:p>
        </w:tc>
        <w:tc>
          <w:tcPr>
            <w:tcW w:w="1830" w:type="dxa"/>
            <w:tcBorders>
              <w:bottom w:val="single" w:sz="4" w:space="0" w:color="auto"/>
            </w:tcBorders>
            <w:shd w:val="clear" w:color="auto" w:fill="auto"/>
            <w:vAlign w:val="bottom"/>
          </w:tcPr>
          <w:p w14:paraId="6E367FEF" w14:textId="564170C7" w:rsidR="00CD502B" w:rsidRPr="00477480" w:rsidRDefault="00CD502B" w:rsidP="00CD502B">
            <w:pPr>
              <w:tabs>
                <w:tab w:val="left" w:pos="288"/>
                <w:tab w:val="left" w:pos="576"/>
                <w:tab w:val="left" w:pos="864"/>
                <w:tab w:val="left" w:pos="1152"/>
              </w:tabs>
              <w:suppressAutoHyphens/>
              <w:spacing w:before="40" w:after="81" w:line="210" w:lineRule="exact"/>
              <w:ind w:left="144" w:right="43"/>
              <w:jc w:val="right"/>
              <w:rPr>
                <w:sz w:val="17"/>
              </w:rPr>
            </w:pPr>
            <w:r w:rsidRPr="00477480">
              <w:rPr>
                <w:sz w:val="18"/>
                <w:szCs w:val="18"/>
              </w:rPr>
              <w:t>43 000 $</w:t>
            </w:r>
          </w:p>
        </w:tc>
        <w:tc>
          <w:tcPr>
            <w:tcW w:w="1830" w:type="dxa"/>
            <w:tcBorders>
              <w:bottom w:val="single" w:sz="4" w:space="0" w:color="auto"/>
            </w:tcBorders>
            <w:shd w:val="clear" w:color="auto" w:fill="auto"/>
            <w:vAlign w:val="bottom"/>
          </w:tcPr>
          <w:p w14:paraId="3BD6E8B7" w14:textId="27907443" w:rsidR="00CD502B" w:rsidRPr="00477480" w:rsidRDefault="00CD502B" w:rsidP="00CD502B">
            <w:pPr>
              <w:tabs>
                <w:tab w:val="left" w:pos="288"/>
                <w:tab w:val="left" w:pos="576"/>
                <w:tab w:val="left" w:pos="864"/>
                <w:tab w:val="left" w:pos="1152"/>
              </w:tabs>
              <w:suppressAutoHyphens/>
              <w:spacing w:before="40" w:after="81" w:line="210" w:lineRule="exact"/>
              <w:ind w:left="144" w:right="43"/>
              <w:jc w:val="right"/>
              <w:rPr>
                <w:sz w:val="17"/>
              </w:rPr>
            </w:pPr>
            <w:r w:rsidRPr="00477480">
              <w:rPr>
                <w:sz w:val="18"/>
                <w:szCs w:val="18"/>
              </w:rPr>
              <w:t>300 000 $</w:t>
            </w:r>
          </w:p>
        </w:tc>
      </w:tr>
      <w:tr w:rsidR="00CD502B" w:rsidRPr="00477480" w14:paraId="1528D785" w14:textId="77777777" w:rsidTr="00CD502B">
        <w:tc>
          <w:tcPr>
            <w:tcW w:w="1830" w:type="dxa"/>
            <w:tcBorders>
              <w:top w:val="single" w:sz="4" w:space="0" w:color="auto"/>
              <w:bottom w:val="single" w:sz="12" w:space="0" w:color="auto"/>
            </w:tcBorders>
            <w:shd w:val="clear" w:color="auto" w:fill="auto"/>
            <w:vAlign w:val="bottom"/>
          </w:tcPr>
          <w:p w14:paraId="5B3895CA" w14:textId="74215B97" w:rsidR="00CD502B" w:rsidRPr="00477480" w:rsidRDefault="00CD502B" w:rsidP="00CD502B">
            <w:pPr>
              <w:tabs>
                <w:tab w:val="left" w:pos="288"/>
                <w:tab w:val="left" w:pos="576"/>
                <w:tab w:val="left" w:pos="864"/>
                <w:tab w:val="left" w:pos="1152"/>
              </w:tabs>
              <w:suppressAutoHyphens/>
              <w:spacing w:before="81" w:after="81" w:line="210" w:lineRule="exact"/>
              <w:ind w:right="40"/>
              <w:rPr>
                <w:b/>
                <w:sz w:val="17"/>
              </w:rPr>
            </w:pPr>
            <w:r w:rsidRPr="00477480">
              <w:rPr>
                <w:b/>
                <w:sz w:val="17"/>
              </w:rPr>
              <w:tab/>
              <w:t>Total</w:t>
            </w:r>
          </w:p>
        </w:tc>
        <w:tc>
          <w:tcPr>
            <w:tcW w:w="1830" w:type="dxa"/>
            <w:tcBorders>
              <w:top w:val="single" w:sz="4" w:space="0" w:color="auto"/>
              <w:bottom w:val="single" w:sz="12" w:space="0" w:color="auto"/>
            </w:tcBorders>
            <w:shd w:val="clear" w:color="auto" w:fill="auto"/>
            <w:vAlign w:val="bottom"/>
          </w:tcPr>
          <w:p w14:paraId="24D75ECB" w14:textId="6B1E3838" w:rsidR="00CD502B" w:rsidRPr="00477480" w:rsidRDefault="00CD502B" w:rsidP="00CD502B">
            <w:pPr>
              <w:tabs>
                <w:tab w:val="left" w:pos="288"/>
                <w:tab w:val="left" w:pos="576"/>
                <w:tab w:val="left" w:pos="864"/>
                <w:tab w:val="left" w:pos="1152"/>
              </w:tabs>
              <w:suppressAutoHyphens/>
              <w:spacing w:before="81" w:after="81" w:line="210" w:lineRule="exact"/>
              <w:ind w:left="144" w:right="43"/>
              <w:jc w:val="right"/>
              <w:rPr>
                <w:b/>
                <w:sz w:val="17"/>
              </w:rPr>
            </w:pPr>
            <w:r w:rsidRPr="00477480">
              <w:rPr>
                <w:b/>
                <w:bCs/>
                <w:sz w:val="18"/>
                <w:szCs w:val="18"/>
              </w:rPr>
              <w:t>5 325 462 $</w:t>
            </w:r>
          </w:p>
        </w:tc>
        <w:tc>
          <w:tcPr>
            <w:tcW w:w="1830" w:type="dxa"/>
            <w:tcBorders>
              <w:top w:val="single" w:sz="4" w:space="0" w:color="auto"/>
              <w:bottom w:val="single" w:sz="12" w:space="0" w:color="auto"/>
            </w:tcBorders>
            <w:shd w:val="clear" w:color="auto" w:fill="auto"/>
            <w:vAlign w:val="bottom"/>
          </w:tcPr>
          <w:p w14:paraId="755C679C" w14:textId="015FBFC6" w:rsidR="00CD502B" w:rsidRPr="00477480" w:rsidRDefault="00CD502B" w:rsidP="00CD502B">
            <w:pPr>
              <w:tabs>
                <w:tab w:val="left" w:pos="288"/>
                <w:tab w:val="left" w:pos="576"/>
                <w:tab w:val="left" w:pos="864"/>
                <w:tab w:val="left" w:pos="1152"/>
              </w:tabs>
              <w:suppressAutoHyphens/>
              <w:spacing w:before="81" w:after="81" w:line="210" w:lineRule="exact"/>
              <w:ind w:left="144" w:right="43"/>
              <w:jc w:val="right"/>
              <w:rPr>
                <w:b/>
                <w:sz w:val="17"/>
              </w:rPr>
            </w:pPr>
            <w:r w:rsidRPr="00477480">
              <w:rPr>
                <w:b/>
                <w:bCs/>
                <w:sz w:val="18"/>
                <w:szCs w:val="18"/>
              </w:rPr>
              <w:t>5 208 173 $</w:t>
            </w:r>
          </w:p>
        </w:tc>
        <w:tc>
          <w:tcPr>
            <w:tcW w:w="1830" w:type="dxa"/>
            <w:tcBorders>
              <w:top w:val="single" w:sz="4" w:space="0" w:color="auto"/>
              <w:bottom w:val="single" w:sz="12" w:space="0" w:color="auto"/>
            </w:tcBorders>
            <w:shd w:val="clear" w:color="auto" w:fill="auto"/>
            <w:vAlign w:val="bottom"/>
          </w:tcPr>
          <w:p w14:paraId="74FFD204" w14:textId="514CB31F" w:rsidR="00CD502B" w:rsidRPr="00477480" w:rsidRDefault="00CD502B" w:rsidP="00CD502B">
            <w:pPr>
              <w:tabs>
                <w:tab w:val="left" w:pos="288"/>
                <w:tab w:val="left" w:pos="576"/>
                <w:tab w:val="left" w:pos="864"/>
                <w:tab w:val="left" w:pos="1152"/>
              </w:tabs>
              <w:suppressAutoHyphens/>
              <w:spacing w:before="81" w:after="81" w:line="210" w:lineRule="exact"/>
              <w:ind w:left="144" w:right="43"/>
              <w:jc w:val="right"/>
              <w:rPr>
                <w:b/>
                <w:sz w:val="17"/>
              </w:rPr>
            </w:pPr>
            <w:r w:rsidRPr="00477480">
              <w:rPr>
                <w:b/>
                <w:bCs/>
                <w:sz w:val="18"/>
                <w:szCs w:val="18"/>
              </w:rPr>
              <w:t>6 166 879 $</w:t>
            </w:r>
          </w:p>
        </w:tc>
      </w:tr>
    </w:tbl>
    <w:p w14:paraId="20A45F3C" w14:textId="0DB669B6" w:rsidR="00CD502B" w:rsidRPr="00477480" w:rsidRDefault="00CD502B" w:rsidP="00CD502B">
      <w:pPr>
        <w:pStyle w:val="SingleTxt"/>
        <w:spacing w:after="0" w:line="120" w:lineRule="exact"/>
        <w:rPr>
          <w:sz w:val="10"/>
        </w:rPr>
      </w:pPr>
    </w:p>
    <w:p w14:paraId="2A02294F" w14:textId="33C91118" w:rsidR="00CD502B" w:rsidRPr="00477480" w:rsidRDefault="00CD502B" w:rsidP="0095607A">
      <w:pPr>
        <w:pStyle w:val="FootnoteText"/>
        <w:tabs>
          <w:tab w:val="right" w:pos="1476"/>
          <w:tab w:val="left" w:pos="1548"/>
          <w:tab w:val="right" w:pos="1836"/>
          <w:tab w:val="left" w:pos="1908"/>
        </w:tabs>
        <w:ind w:left="1548" w:right="1267" w:hanging="288"/>
      </w:pPr>
      <w:r w:rsidRPr="00477480">
        <w:rPr>
          <w:i/>
        </w:rPr>
        <w:t xml:space="preserve">Source : </w:t>
      </w:r>
      <w:r w:rsidRPr="00477480">
        <w:t>Institut salvadorien pour la promotion de la femme. Document établi par l’Institut sur la base de ses registres administratifs (2017-2019).</w:t>
      </w:r>
    </w:p>
    <w:p w14:paraId="5611BC2C" w14:textId="4D717CAE" w:rsidR="00CD502B" w:rsidRPr="00477480" w:rsidRDefault="00CD502B" w:rsidP="0095607A">
      <w:pPr>
        <w:pStyle w:val="SingleTxt"/>
        <w:spacing w:after="0" w:line="120" w:lineRule="exact"/>
        <w:ind w:left="1620" w:hanging="360"/>
        <w:rPr>
          <w:i/>
          <w:iCs/>
          <w:spacing w:val="5"/>
          <w:sz w:val="17"/>
          <w:szCs w:val="20"/>
        </w:rPr>
      </w:pPr>
    </w:p>
    <w:p w14:paraId="15C904F7" w14:textId="77777777" w:rsidR="0095607A" w:rsidRPr="00477480" w:rsidRDefault="0095607A" w:rsidP="00CD502B">
      <w:pPr>
        <w:pStyle w:val="SingleTxt"/>
        <w:spacing w:after="0" w:line="120" w:lineRule="exact"/>
        <w:rPr>
          <w:i/>
          <w:iCs/>
          <w:spacing w:val="5"/>
          <w:sz w:val="17"/>
          <w:szCs w:val="20"/>
        </w:rPr>
      </w:pPr>
    </w:p>
    <w:p w14:paraId="3DC1B499" w14:textId="0064BC04" w:rsidR="00A07726" w:rsidRPr="00477480" w:rsidRDefault="00CD502B" w:rsidP="0032223E">
      <w:pPr>
        <w:pStyle w:val="SingleTxt"/>
        <w:numPr>
          <w:ilvl w:val="0"/>
          <w:numId w:val="10"/>
        </w:numPr>
        <w:spacing w:line="240" w:lineRule="exact"/>
        <w:ind w:left="1267" w:firstLine="0"/>
      </w:pPr>
      <w:r w:rsidRPr="00477480">
        <w:t>Le Gouvernement salvadorien a le plaisir d’annoncer que, conformément aux recommandations du Comité pour l’élimination de la discrimination à l’égard des femmes, l’ISDEMU a créé en 2017 une section de coordination de la planification, qui assure la coordination technique en matière de planification institutionnelle et s’appuie sur le système institutionnel d’information et de statistique. Cette section compte trois personnes travaillant à plein temps.</w:t>
      </w:r>
    </w:p>
    <w:p w14:paraId="5674EEB7" w14:textId="25D026D2" w:rsidR="00A07726" w:rsidRPr="00477480" w:rsidRDefault="00652230" w:rsidP="00652230">
      <w:pPr>
        <w:pStyle w:val="SingleTxt"/>
        <w:numPr>
          <w:ilvl w:val="0"/>
          <w:numId w:val="10"/>
        </w:numPr>
        <w:spacing w:line="240" w:lineRule="exact"/>
        <w:ind w:left="1267" w:firstLine="0"/>
      </w:pPr>
      <w:r w:rsidRPr="00477480">
        <w:t>Le système d’information et de statistique comprend cinq modules : 1.</w:t>
      </w:r>
      <w:r w:rsidR="00264B71" w:rsidRPr="00477480">
        <w:t> </w:t>
      </w:r>
      <w:r w:rsidRPr="00477480">
        <w:t>Planification institutionnelle pour assurer le suivi de tous les processus d’élaboration des politiques publiques aux niveaux national et municipal ; 2.</w:t>
      </w:r>
      <w:r w:rsidR="00264B71" w:rsidRPr="00477480">
        <w:t> </w:t>
      </w:r>
      <w:r w:rsidRPr="00477480">
        <w:t>Module sur le Plan national pour l’égalité 2016-2020 ; 3.</w:t>
      </w:r>
      <w:r w:rsidR="00264B71" w:rsidRPr="00477480">
        <w:t> </w:t>
      </w:r>
      <w:r w:rsidRPr="00477480">
        <w:t>Module sur le plan quinquennal de la Politique nationale pour garantir aux femmes une vie sans violence ; 4.</w:t>
      </w:r>
      <w:r w:rsidR="00264B71" w:rsidRPr="00477480">
        <w:t> </w:t>
      </w:r>
      <w:r w:rsidRPr="00477480">
        <w:t>Module sur l’application du Mécanisme de suivi de la Convention de Belém do Pará ; 5.</w:t>
      </w:r>
      <w:r w:rsidR="00264B71" w:rsidRPr="00477480">
        <w:t> </w:t>
      </w:r>
      <w:r w:rsidRPr="00477480">
        <w:t>Module de suivi sur la Convention sur l’élimination de toutes les formes de discrimination à l’égard des femmes (en cours d’élaboration). Le Centre d’information pour l’égalité réelle est chapeauté par l’Institut (</w:t>
      </w:r>
      <w:r w:rsidRPr="00477480">
        <w:rPr>
          <w:rFonts w:eastAsia="Times New Roman"/>
          <w:b/>
          <w:bCs/>
          <w:spacing w:val="0"/>
          <w:w w:val="100"/>
          <w:kern w:val="0"/>
          <w:szCs w:val="20"/>
        </w:rPr>
        <w:t>www.infoigualdad-isdemu.gob.sv</w:t>
      </w:r>
      <w:r w:rsidRPr="00477480">
        <w:rPr>
          <w:b/>
          <w:bCs/>
        </w:rPr>
        <w:t>).</w:t>
      </w:r>
    </w:p>
    <w:p w14:paraId="17DD1175" w14:textId="1C0DC54B" w:rsidR="00652230" w:rsidRPr="00477480" w:rsidRDefault="00652230" w:rsidP="00652230">
      <w:pPr>
        <w:pStyle w:val="SingleTxt"/>
        <w:spacing w:after="0" w:line="240" w:lineRule="auto"/>
      </w:pPr>
      <w:r w:rsidRPr="00477480">
        <w:rPr>
          <w:noProof/>
          <w:w w:val="100"/>
        </w:rPr>
        <mc:AlternateContent>
          <mc:Choice Requires="wps">
            <w:drawing>
              <wp:anchor distT="0" distB="0" distL="114300" distR="114300" simplePos="0" relativeHeight="251660800" behindDoc="0" locked="0" layoutInCell="1" allowOverlap="1" wp14:anchorId="57568518" wp14:editId="218BD6C0">
                <wp:simplePos x="0" y="0"/>
                <wp:positionH relativeFrom="page">
                  <wp:posOffset>3429000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04748" id="Straight Connector 1"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HhR&#10;xBP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52230" w:rsidRPr="00477480" w:rsidSect="00062766">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5-08T19:37:00Z" w:initials="Start">
    <w:p w14:paraId="34F4ED2F" w14:textId="77777777" w:rsidR="007A649B" w:rsidRPr="00EF761D" w:rsidRDefault="007A649B">
      <w:pPr>
        <w:pStyle w:val="CommentText"/>
        <w:rPr>
          <w:lang w:val="en-US"/>
        </w:rPr>
      </w:pPr>
      <w:r>
        <w:fldChar w:fldCharType="begin"/>
      </w:r>
      <w:r w:rsidRPr="00EF761D">
        <w:rPr>
          <w:rStyle w:val="CommentReference"/>
          <w:lang w:val="en-US"/>
        </w:rPr>
        <w:instrText xml:space="preserve"> </w:instrText>
      </w:r>
      <w:r w:rsidRPr="00EF761D">
        <w:rPr>
          <w:lang w:val="en-US"/>
        </w:rPr>
        <w:instrText>PAGE \# "'Page: '#'</w:instrText>
      </w:r>
      <w:r w:rsidRPr="00EF761D">
        <w:rPr>
          <w:lang w:val="en-US"/>
        </w:rPr>
        <w:br/>
        <w:instrText>'"</w:instrText>
      </w:r>
      <w:r w:rsidRPr="00EF761D">
        <w:rPr>
          <w:rStyle w:val="CommentReference"/>
          <w:lang w:val="en-US"/>
        </w:rPr>
        <w:instrText xml:space="preserve"> </w:instrText>
      </w:r>
      <w:r>
        <w:fldChar w:fldCharType="end"/>
      </w:r>
      <w:r>
        <w:rPr>
          <w:rStyle w:val="CommentReference"/>
        </w:rPr>
        <w:annotationRef/>
      </w:r>
      <w:r w:rsidRPr="00EF761D">
        <w:rPr>
          <w:lang w:val="en-US"/>
        </w:rPr>
        <w:t>&lt;&lt;ODS JOB NO&gt;&gt;N1911223F&lt;&lt;ODS JOB NO&gt;&gt;</w:t>
      </w:r>
    </w:p>
    <w:p w14:paraId="1DE51E90" w14:textId="77777777" w:rsidR="007A649B" w:rsidRPr="00EF761D" w:rsidRDefault="007A649B">
      <w:pPr>
        <w:pStyle w:val="CommentText"/>
        <w:rPr>
          <w:lang w:val="en-US"/>
        </w:rPr>
      </w:pPr>
      <w:r w:rsidRPr="00EF761D">
        <w:rPr>
          <w:lang w:val="en-US"/>
        </w:rPr>
        <w:t>&lt;&lt;ODS DOC SYMBOL1&gt;&gt;CEDAW/C/SLV/CO/8-9/ADD.1&lt;&lt;ODS DOC SYMBOL1&gt;&gt;</w:t>
      </w:r>
    </w:p>
    <w:p w14:paraId="5059E99D" w14:textId="79D2478F" w:rsidR="007A649B" w:rsidRDefault="007A649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59E99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5FAB" w14:textId="77777777" w:rsidR="00423D98" w:rsidRDefault="00423D98" w:rsidP="0002437B">
      <w:pPr>
        <w:spacing w:line="240" w:lineRule="auto"/>
      </w:pPr>
      <w:r>
        <w:separator/>
      </w:r>
    </w:p>
  </w:endnote>
  <w:endnote w:type="continuationSeparator" w:id="0">
    <w:p w14:paraId="6080D79A" w14:textId="77777777" w:rsidR="00423D98" w:rsidRDefault="00423D98" w:rsidP="00024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73100" w14:paraId="54AFC0D8" w14:textId="77777777" w:rsidTr="0002437B">
      <w:tc>
        <w:tcPr>
          <w:tcW w:w="5028" w:type="dxa"/>
          <w:shd w:val="clear" w:color="auto" w:fill="auto"/>
        </w:tcPr>
        <w:p w14:paraId="0050A2C3" w14:textId="43C6D767" w:rsidR="00E73100" w:rsidRPr="0002437B" w:rsidRDefault="00E73100" w:rsidP="0002437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sidR="00750A99">
            <w:rPr>
              <w:b w:val="0"/>
              <w:w w:val="103"/>
              <w:sz w:val="14"/>
            </w:rPr>
            <w:fldChar w:fldCharType="separate"/>
          </w:r>
          <w:r w:rsidR="00750A99">
            <w:rPr>
              <w:b w:val="0"/>
              <w:w w:val="103"/>
              <w:sz w:val="14"/>
            </w:rPr>
            <w:t>19-06398</w:t>
          </w:r>
          <w:r>
            <w:rPr>
              <w:b w:val="0"/>
              <w:w w:val="103"/>
              <w:sz w:val="14"/>
            </w:rPr>
            <w:fldChar w:fldCharType="end"/>
          </w:r>
        </w:p>
      </w:tc>
      <w:tc>
        <w:tcPr>
          <w:tcW w:w="5028" w:type="dxa"/>
          <w:shd w:val="clear" w:color="auto" w:fill="auto"/>
        </w:tcPr>
        <w:p w14:paraId="3080B515" w14:textId="77777777" w:rsidR="00E73100" w:rsidRPr="0002437B" w:rsidRDefault="00E73100" w:rsidP="0002437B">
          <w:pPr>
            <w:pStyle w:val="Footer"/>
            <w:rPr>
              <w:w w:val="103"/>
            </w:rPr>
          </w:pPr>
          <w:r>
            <w:rPr>
              <w:w w:val="103"/>
            </w:rPr>
            <w:fldChar w:fldCharType="begin"/>
          </w:r>
          <w:r>
            <w:rPr>
              <w:w w:val="103"/>
            </w:rPr>
            <w:instrText xml:space="preserve"> PAGE  \* Arabic  \* MERGEFORMAT </w:instrText>
          </w:r>
          <w:r>
            <w:rPr>
              <w:w w:val="103"/>
            </w:rPr>
            <w:fldChar w:fldCharType="separate"/>
          </w:r>
          <w:r w:rsidR="00F7165B">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165B">
            <w:rPr>
              <w:noProof/>
              <w:w w:val="103"/>
            </w:rPr>
            <w:t>13</w:t>
          </w:r>
          <w:r>
            <w:rPr>
              <w:w w:val="103"/>
            </w:rPr>
            <w:fldChar w:fldCharType="end"/>
          </w:r>
        </w:p>
      </w:tc>
    </w:tr>
  </w:tbl>
  <w:p w14:paraId="7585FB01" w14:textId="77777777" w:rsidR="00E73100" w:rsidRPr="0002437B" w:rsidRDefault="00E73100" w:rsidP="00024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E73100" w14:paraId="5E26ED42" w14:textId="77777777" w:rsidTr="0002437B">
      <w:tc>
        <w:tcPr>
          <w:tcW w:w="5028" w:type="dxa"/>
          <w:shd w:val="clear" w:color="auto" w:fill="auto"/>
        </w:tcPr>
        <w:p w14:paraId="542EBA1D" w14:textId="77777777" w:rsidR="00E73100" w:rsidRPr="0002437B" w:rsidRDefault="00E73100" w:rsidP="0002437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7165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7165B">
            <w:rPr>
              <w:noProof/>
              <w:w w:val="103"/>
            </w:rPr>
            <w:t>13</w:t>
          </w:r>
          <w:r>
            <w:rPr>
              <w:w w:val="103"/>
            </w:rPr>
            <w:fldChar w:fldCharType="end"/>
          </w:r>
        </w:p>
      </w:tc>
      <w:tc>
        <w:tcPr>
          <w:tcW w:w="5028" w:type="dxa"/>
          <w:shd w:val="clear" w:color="auto" w:fill="auto"/>
        </w:tcPr>
        <w:p w14:paraId="1FA6D430" w14:textId="13ED6B13" w:rsidR="00E73100" w:rsidRPr="0002437B" w:rsidRDefault="00E73100" w:rsidP="0002437B">
          <w:pPr>
            <w:pStyle w:val="Footer"/>
            <w:rPr>
              <w:b w:val="0"/>
              <w:w w:val="103"/>
              <w:sz w:val="14"/>
            </w:rPr>
          </w:pPr>
          <w:r>
            <w:rPr>
              <w:b w:val="0"/>
              <w:w w:val="103"/>
              <w:sz w:val="14"/>
            </w:rPr>
            <w:fldChar w:fldCharType="begin"/>
          </w:r>
          <w:r>
            <w:rPr>
              <w:b w:val="0"/>
              <w:w w:val="103"/>
              <w:sz w:val="14"/>
            </w:rPr>
            <w:instrText xml:space="preserve"> DOCVARIABLE "FooterJN" \* MERGEFORMAT </w:instrText>
          </w:r>
          <w:r w:rsidR="00750A99">
            <w:rPr>
              <w:b w:val="0"/>
              <w:w w:val="103"/>
              <w:sz w:val="14"/>
            </w:rPr>
            <w:fldChar w:fldCharType="separate"/>
          </w:r>
          <w:r w:rsidR="00750A99">
            <w:rPr>
              <w:b w:val="0"/>
              <w:w w:val="103"/>
              <w:sz w:val="14"/>
            </w:rPr>
            <w:t>19-06398</w:t>
          </w:r>
          <w:r>
            <w:rPr>
              <w:b w:val="0"/>
              <w:w w:val="103"/>
              <w:sz w:val="14"/>
            </w:rPr>
            <w:fldChar w:fldCharType="end"/>
          </w:r>
        </w:p>
      </w:tc>
    </w:tr>
  </w:tbl>
  <w:p w14:paraId="1668E32E" w14:textId="77777777" w:rsidR="00E73100" w:rsidRPr="0002437B" w:rsidRDefault="00E73100" w:rsidP="00024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3B74" w14:textId="58B354EC" w:rsidR="00062766" w:rsidRDefault="00062766">
    <w:pPr>
      <w:pStyle w:val="Footer"/>
    </w:pPr>
    <w:r>
      <w:rPr>
        <w:noProof/>
      </w:rPr>
      <w:drawing>
        <wp:anchor distT="0" distB="0" distL="114300" distR="114300" simplePos="0" relativeHeight="251658240" behindDoc="0" locked="0" layoutInCell="1" allowOverlap="1" wp14:anchorId="6345F8A8" wp14:editId="2323F9F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SLV/CO/8-9/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LV/CO/8-9/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915"/>
    </w:tblGrid>
    <w:tr w:rsidR="00062766" w14:paraId="05C59941" w14:textId="77777777" w:rsidTr="00062766">
      <w:tc>
        <w:tcPr>
          <w:tcW w:w="3902" w:type="dxa"/>
          <w:shd w:val="clear" w:color="auto" w:fill="auto"/>
        </w:tcPr>
        <w:p w14:paraId="50F4143B" w14:textId="41384FA9" w:rsidR="00062766" w:rsidRDefault="00062766" w:rsidP="00062766">
          <w:pPr>
            <w:pStyle w:val="Footer"/>
            <w:rPr>
              <w:b w:val="0"/>
              <w:sz w:val="20"/>
            </w:rPr>
          </w:pPr>
          <w:r>
            <w:rPr>
              <w:b w:val="0"/>
              <w:sz w:val="20"/>
            </w:rPr>
            <w:t>19-06398</w:t>
          </w:r>
          <w:r w:rsidR="00477480">
            <w:rPr>
              <w:b w:val="0"/>
              <w:sz w:val="20"/>
            </w:rPr>
            <w:t>X</w:t>
          </w:r>
          <w:r>
            <w:rPr>
              <w:b w:val="0"/>
              <w:sz w:val="20"/>
            </w:rPr>
            <w:t xml:space="preserve"> (F)   </w:t>
          </w:r>
        </w:p>
        <w:p w14:paraId="3C091CAF" w14:textId="3EB909F4" w:rsidR="00062766" w:rsidRPr="00062766" w:rsidRDefault="00062766" w:rsidP="00062766">
          <w:pPr>
            <w:pStyle w:val="Footer"/>
            <w:spacing w:line="240" w:lineRule="atLeast"/>
            <w:rPr>
              <w:rFonts w:ascii="Barcode 3 of 9 by request" w:hAnsi="Barcode 3 of 9 by request"/>
              <w:b w:val="0"/>
              <w:sz w:val="24"/>
            </w:rPr>
          </w:pPr>
          <w:r>
            <w:rPr>
              <w:rFonts w:ascii="Barcode 3 of 9 by request" w:hAnsi="Barcode 3 of 9 by request"/>
              <w:sz w:val="24"/>
            </w:rPr>
            <w:t>*1906398*</w:t>
          </w:r>
        </w:p>
      </w:tc>
      <w:tc>
        <w:tcPr>
          <w:tcW w:w="4915" w:type="dxa"/>
          <w:shd w:val="clear" w:color="auto" w:fill="auto"/>
        </w:tcPr>
        <w:p w14:paraId="449E3E37" w14:textId="5668456D" w:rsidR="00062766" w:rsidRDefault="00062766" w:rsidP="00062766">
          <w:pPr>
            <w:pStyle w:val="Footer"/>
            <w:spacing w:line="240" w:lineRule="atLeast"/>
            <w:jc w:val="right"/>
            <w:rPr>
              <w:b w:val="0"/>
              <w:sz w:val="20"/>
            </w:rPr>
          </w:pPr>
          <w:r>
            <w:rPr>
              <w:b w:val="0"/>
              <w:noProof/>
              <w:sz w:val="20"/>
            </w:rPr>
            <w:drawing>
              <wp:inline distT="0" distB="0" distL="0" distR="0" wp14:anchorId="793C4454" wp14:editId="2B93574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7BA69EE" w14:textId="77777777" w:rsidR="00062766" w:rsidRPr="00062766" w:rsidRDefault="00062766" w:rsidP="00062766">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00C1" w14:textId="77777777" w:rsidR="00423D98" w:rsidRPr="00CD502B" w:rsidRDefault="00423D98" w:rsidP="00CD502B">
      <w:pPr>
        <w:pStyle w:val="Footer"/>
        <w:spacing w:after="80"/>
        <w:ind w:left="792"/>
        <w:rPr>
          <w:sz w:val="16"/>
        </w:rPr>
      </w:pPr>
      <w:r w:rsidRPr="00CD502B">
        <w:rPr>
          <w:sz w:val="16"/>
        </w:rPr>
        <w:t>__________________</w:t>
      </w:r>
    </w:p>
  </w:footnote>
  <w:footnote w:type="continuationSeparator" w:id="0">
    <w:p w14:paraId="6D6C56B0" w14:textId="77777777" w:rsidR="00423D98" w:rsidRPr="00CD502B" w:rsidRDefault="00423D98" w:rsidP="00CD502B">
      <w:pPr>
        <w:pStyle w:val="Footer"/>
        <w:spacing w:after="80"/>
        <w:ind w:left="792"/>
        <w:rPr>
          <w:sz w:val="16"/>
        </w:rPr>
      </w:pPr>
      <w:r w:rsidRPr="00CD502B">
        <w:rPr>
          <w:sz w:val="16"/>
        </w:rPr>
        <w:t>__________________</w:t>
      </w:r>
    </w:p>
  </w:footnote>
  <w:footnote w:id="1">
    <w:p w14:paraId="1BCFBDF6" w14:textId="77777777" w:rsidR="00CD1C65" w:rsidRPr="009B380B" w:rsidRDefault="00CD1C65" w:rsidP="00CD502B">
      <w:pPr>
        <w:pStyle w:val="FootnoteText"/>
        <w:tabs>
          <w:tab w:val="right" w:pos="1195"/>
          <w:tab w:val="left" w:pos="1267"/>
          <w:tab w:val="left" w:pos="1742"/>
          <w:tab w:val="left" w:pos="2218"/>
          <w:tab w:val="left" w:pos="2693"/>
        </w:tabs>
        <w:ind w:left="1267" w:right="1260" w:hanging="432"/>
      </w:pPr>
      <w:r>
        <w:tab/>
      </w:r>
      <w:r>
        <w:rPr>
          <w:vertAlign w:val="superscript"/>
        </w:rPr>
        <w:t>*</w:t>
      </w:r>
      <w:r>
        <w:tab/>
        <w:t>La version originale du présent document n’a pas été revue par les services d’édition.</w:t>
      </w:r>
    </w:p>
  </w:footnote>
  <w:footnote w:id="2">
    <w:p w14:paraId="3D704C63" w14:textId="207648D2" w:rsidR="008F6F6F" w:rsidRPr="009B380B" w:rsidRDefault="008F6F6F" w:rsidP="00CD502B">
      <w:pPr>
        <w:pStyle w:val="FootnoteText"/>
        <w:tabs>
          <w:tab w:val="right" w:pos="1195"/>
          <w:tab w:val="left" w:pos="1267"/>
          <w:tab w:val="left" w:pos="1742"/>
          <w:tab w:val="left" w:pos="2218"/>
          <w:tab w:val="left" w:pos="2693"/>
        </w:tabs>
        <w:ind w:left="1267" w:right="1260" w:hanging="432"/>
      </w:pPr>
      <w:r w:rsidRPr="0013480E">
        <w:tab/>
      </w:r>
      <w:r w:rsidRPr="00C93DA2">
        <w:rPr>
          <w:rStyle w:val="FootnoteReference"/>
          <w:spacing w:val="4"/>
        </w:rPr>
        <w:footnoteRef/>
      </w:r>
      <w:r w:rsidRPr="00C93DA2">
        <w:rPr>
          <w:vertAlign w:val="superscript"/>
        </w:rPr>
        <w:tab/>
      </w:r>
      <w:r w:rsidRPr="0013480E">
        <w:t>Assemblée législative d’El Salvador. Décret législatif n° 286, 25</w:t>
      </w:r>
      <w:r w:rsidR="00965AF9">
        <w:t> </w:t>
      </w:r>
      <w:r w:rsidRPr="0013480E">
        <w:t>février 2016. Disponible à l’adresse : https://www.asamblea.gob.sv/decretos/details/2709</w:t>
      </w:r>
      <w:r>
        <w:t>.</w:t>
      </w:r>
    </w:p>
  </w:footnote>
  <w:footnote w:id="3">
    <w:p w14:paraId="5D7ED569" w14:textId="1D757F54" w:rsidR="00997A59" w:rsidRPr="009D55AC" w:rsidRDefault="00997A59" w:rsidP="00CD502B">
      <w:pPr>
        <w:pStyle w:val="FootnoteText"/>
        <w:tabs>
          <w:tab w:val="right" w:pos="1195"/>
          <w:tab w:val="left" w:pos="1267"/>
          <w:tab w:val="left" w:pos="1742"/>
          <w:tab w:val="left" w:pos="2218"/>
          <w:tab w:val="left" w:pos="2693"/>
        </w:tabs>
        <w:ind w:left="1267" w:right="1260" w:hanging="432"/>
      </w:pPr>
      <w:r>
        <w:tab/>
      </w:r>
      <w:r w:rsidRPr="00D66AC7">
        <w:rPr>
          <w:rStyle w:val="FootnoteReference"/>
        </w:rPr>
        <w:footnoteRef/>
      </w:r>
      <w:r>
        <w:tab/>
        <w:t>Cour suprême de justice. Données au mois de décembre 2018. Rapport de la Cour suprême de justice. Bulletin d’information n</w:t>
      </w:r>
      <w:r w:rsidR="00E2672E" w:rsidRPr="00E2672E">
        <w:rPr>
          <w:vertAlign w:val="superscript"/>
        </w:rPr>
        <w:t>o</w:t>
      </w:r>
      <w:r w:rsidR="00E2672E">
        <w:t> </w:t>
      </w:r>
      <w:r>
        <w:t>1, janvier 2019. Disponible à l’adresse : http://www.csj.gob.sv/Comunicaciones/2019/ENERO/BOLETINES/30.01.2019%20Bolet%C3%ADn%201%20Jurisdicci%C3%B3n%20Especializada%20para%20una%20Vida%20Libre%20de%20Violencia%20y%20Discriminaci%C3%B3n%20para%20las%20Mujeres%20(1).pdf</w:t>
      </w:r>
    </w:p>
  </w:footnote>
  <w:footnote w:id="4">
    <w:p w14:paraId="65CDFDA6" w14:textId="1CDC7503" w:rsidR="00997A59" w:rsidRPr="009B380B" w:rsidRDefault="00997A59" w:rsidP="00CD502B">
      <w:pPr>
        <w:pStyle w:val="FootnoteText"/>
        <w:tabs>
          <w:tab w:val="right" w:pos="1195"/>
          <w:tab w:val="left" w:pos="1267"/>
          <w:tab w:val="left" w:pos="1742"/>
          <w:tab w:val="left" w:pos="2218"/>
          <w:tab w:val="left" w:pos="2693"/>
        </w:tabs>
        <w:ind w:left="1267" w:right="1260" w:hanging="432"/>
      </w:pPr>
      <w:r>
        <w:tab/>
      </w:r>
      <w:r w:rsidRPr="00D66AC7">
        <w:rPr>
          <w:rStyle w:val="FootnoteReference"/>
        </w:rPr>
        <w:footnoteRef/>
      </w:r>
      <w:r>
        <w:tab/>
        <w:t xml:space="preserve">Données de janvier 2017 à octobre 2018. Renseignements fournis par la Cour suprême de </w:t>
      </w:r>
      <w:r w:rsidR="001278EE">
        <w:t>j</w:t>
      </w:r>
      <w:r>
        <w:t>ustice au 11</w:t>
      </w:r>
      <w:r w:rsidR="00E2672E">
        <w:t> </w:t>
      </w:r>
      <w:r>
        <w:t>octobre 2018.</w:t>
      </w:r>
    </w:p>
  </w:footnote>
  <w:footnote w:id="5">
    <w:p w14:paraId="2A88C7B6" w14:textId="01EB4EAA" w:rsidR="00997A59" w:rsidRPr="00295B9E" w:rsidRDefault="00997A59" w:rsidP="00CD502B">
      <w:pPr>
        <w:pStyle w:val="FootnoteText"/>
        <w:keepNext/>
        <w:keepLines/>
        <w:tabs>
          <w:tab w:val="right" w:pos="1195"/>
          <w:tab w:val="left" w:pos="1267"/>
          <w:tab w:val="left" w:pos="1742"/>
          <w:tab w:val="left" w:pos="2218"/>
          <w:tab w:val="left" w:pos="2693"/>
        </w:tabs>
        <w:ind w:left="1267" w:right="1260" w:hanging="432"/>
        <w:rPr>
          <w:lang w:val="es-ES"/>
        </w:rPr>
      </w:pPr>
      <w:r>
        <w:tab/>
      </w:r>
      <w:r w:rsidRPr="00D66AC7">
        <w:rPr>
          <w:rStyle w:val="FootnoteReference"/>
        </w:rPr>
        <w:footnoteRef/>
      </w:r>
      <w:r>
        <w:tab/>
        <w:t xml:space="preserve">Cour suprême de justice. Données au mois de juin 2018. Rapport de la Cour suprême de justice. </w:t>
      </w:r>
      <w:r w:rsidRPr="00295B9E">
        <w:rPr>
          <w:lang w:val="es-ES"/>
        </w:rPr>
        <w:t>Bulletin d’information n</w:t>
      </w:r>
      <w:r w:rsidR="00E2672E" w:rsidRPr="00295B9E">
        <w:rPr>
          <w:vertAlign w:val="superscript"/>
          <w:lang w:val="es-ES"/>
        </w:rPr>
        <w:t>o</w:t>
      </w:r>
      <w:r w:rsidR="00E2672E" w:rsidRPr="00295B9E">
        <w:rPr>
          <w:lang w:val="es-ES"/>
        </w:rPr>
        <w:t> </w:t>
      </w:r>
      <w:r w:rsidRPr="00295B9E">
        <w:rPr>
          <w:lang w:val="es-ES"/>
        </w:rPr>
        <w:t xml:space="preserve">3, juin 2018. Disponible à l’adresse : </w:t>
      </w:r>
      <w:hyperlink r:id="rId1" w:history="1">
        <w:r w:rsidRPr="00295B9E">
          <w:rPr>
            <w:rStyle w:val="Hyperlink"/>
            <w:color w:val="auto"/>
            <w:lang w:val="es-ES"/>
          </w:rPr>
          <w:t>http://www.csj.gob.sv/</w:t>
        </w:r>
      </w:hyperlink>
      <w:r w:rsidRPr="00295B9E">
        <w:rPr>
          <w:lang w:val="es-ES"/>
        </w:rPr>
        <w:t xml:space="preserve"> Comunicaciones/2018/07_JULIO/BOLETINES/060718%20Boletin%2003%20Jurisdicci%C3%B3n%20Especializada%20para%20una%20Vida%20Libre%20de%20Violencia%20y%20Discriminaci%C3%B3n%20para%20las%20Mujeres.pdf.</w:t>
      </w:r>
    </w:p>
  </w:footnote>
  <w:footnote w:id="6">
    <w:p w14:paraId="0BC4D4D3" w14:textId="77777777" w:rsidR="00B64075" w:rsidRPr="009B380B" w:rsidRDefault="00B64075" w:rsidP="00CD502B">
      <w:pPr>
        <w:pStyle w:val="FootnoteText"/>
        <w:tabs>
          <w:tab w:val="right" w:pos="1195"/>
          <w:tab w:val="left" w:pos="1267"/>
          <w:tab w:val="left" w:pos="1742"/>
          <w:tab w:val="left" w:pos="2218"/>
          <w:tab w:val="left" w:pos="2693"/>
        </w:tabs>
        <w:ind w:left="1267" w:right="1260" w:hanging="432"/>
        <w:rPr>
          <w:sz w:val="16"/>
          <w:szCs w:val="16"/>
        </w:rPr>
      </w:pPr>
      <w:r w:rsidRPr="00295B9E">
        <w:rPr>
          <w:sz w:val="16"/>
          <w:szCs w:val="16"/>
          <w:lang w:val="es-ES"/>
        </w:rPr>
        <w:tab/>
      </w:r>
      <w:r w:rsidRPr="00D66AC7">
        <w:rPr>
          <w:rStyle w:val="FootnoteReference"/>
        </w:rPr>
        <w:footnoteRef/>
      </w:r>
      <w:r>
        <w:tab/>
        <w:t xml:space="preserve">Ministère public. Directives en matière de poursuites pénales dans les affaires de violence à l’égard des femmes. Disponible à l’adresse : http://www.fiscalia.gob.sv/wp-content/uploads/ppp/Politica-de-Persecucion-Penal-2017.pdf. </w:t>
      </w:r>
    </w:p>
  </w:footnote>
  <w:footnote w:id="7">
    <w:p w14:paraId="5B0B964B" w14:textId="77777777" w:rsidR="00A07726" w:rsidRPr="009B380B" w:rsidRDefault="00A07726" w:rsidP="00CD502B">
      <w:pPr>
        <w:pStyle w:val="FootnoteText"/>
        <w:tabs>
          <w:tab w:val="right" w:pos="1195"/>
          <w:tab w:val="left" w:pos="1267"/>
          <w:tab w:val="left" w:pos="1742"/>
          <w:tab w:val="left" w:pos="2218"/>
          <w:tab w:val="left" w:pos="2693"/>
        </w:tabs>
        <w:ind w:left="1267" w:right="1260" w:hanging="432"/>
      </w:pPr>
      <w:r>
        <w:tab/>
      </w:r>
      <w:r w:rsidRPr="00D66AC7">
        <w:rPr>
          <w:rStyle w:val="FootnoteReference"/>
        </w:rPr>
        <w:footnoteRef/>
      </w:r>
      <w:r>
        <w:tab/>
        <w:t>Institut salvadorien pour la promotion de la femme. Projet de décret législatif sur l’Institut salvadorien pour les femmes, 2018. Disponible sur http://www.isdemu.gob.sv/index.php?option=com_phocadownload&amp;view=category&amp;id=200%3Ainforme-cedaw&amp;Itemid=234&amp;lang=es.</w:t>
      </w:r>
    </w:p>
  </w:footnote>
  <w:footnote w:id="8">
    <w:p w14:paraId="66919203" w14:textId="3B357586" w:rsidR="00A07726" w:rsidRPr="00CD502B" w:rsidRDefault="00CD502B" w:rsidP="00CD502B">
      <w:pPr>
        <w:pStyle w:val="FootnoteText"/>
        <w:tabs>
          <w:tab w:val="right" w:pos="1195"/>
          <w:tab w:val="left" w:pos="1267"/>
          <w:tab w:val="left" w:pos="1742"/>
          <w:tab w:val="left" w:pos="2218"/>
          <w:tab w:val="left" w:pos="2693"/>
        </w:tabs>
        <w:ind w:left="1267" w:right="1260" w:hanging="432"/>
        <w:rPr>
          <w:lang w:val="en-CA"/>
        </w:rPr>
      </w:pPr>
      <w:r>
        <w:tab/>
      </w:r>
      <w:r w:rsidR="00A07726" w:rsidRPr="00D66AC7">
        <w:rPr>
          <w:rStyle w:val="FootnoteReference"/>
        </w:rPr>
        <w:footnoteRef/>
      </w:r>
      <w:r w:rsidR="00A07726">
        <w:tab/>
        <w:t xml:space="preserve">Institut salvadorien pour la promotion de la femme. Projet de décret législatif sur l’Institut salvadorien pour les femmes, 2018. </w:t>
      </w:r>
      <w:r w:rsidR="00A07726" w:rsidRPr="00CD502B">
        <w:rPr>
          <w:lang w:val="en-CA"/>
        </w:rPr>
        <w:t xml:space="preserve">Disponible sur </w:t>
      </w:r>
      <w:hyperlink r:id="rId2" w:history="1">
        <w:r w:rsidRPr="00CD502B">
          <w:rPr>
            <w:rStyle w:val="Hyperlink"/>
            <w:color w:val="auto"/>
            <w:lang w:val="en-CA"/>
          </w:rPr>
          <w:t>http://www.isdemu.gob.sv/</w:t>
        </w:r>
      </w:hyperlink>
      <w:r w:rsidRPr="00CD502B">
        <w:rPr>
          <w:lang w:val="en-CA"/>
        </w:rPr>
        <w:t xml:space="preserve"> </w:t>
      </w:r>
      <w:r w:rsidR="00A07726" w:rsidRPr="00CD502B">
        <w:rPr>
          <w:lang w:val="en-CA"/>
        </w:rPr>
        <w:t>index.php?option=com_phocadownload&amp;view=category&amp;id=200%3Ainforme-cedaw&amp;Itemid=234&amp;lang=es.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73100" w:rsidRPr="00295B9E" w14:paraId="108A8BE7" w14:textId="77777777" w:rsidTr="0002437B">
      <w:trPr>
        <w:trHeight w:hRule="exact" w:val="864"/>
      </w:trPr>
      <w:tc>
        <w:tcPr>
          <w:tcW w:w="4838" w:type="dxa"/>
          <w:shd w:val="clear" w:color="auto" w:fill="auto"/>
          <w:vAlign w:val="bottom"/>
        </w:tcPr>
        <w:p w14:paraId="37AC4C48" w14:textId="15B31E2A" w:rsidR="00E73100" w:rsidRPr="0002437B" w:rsidRDefault="00E73100" w:rsidP="0002437B">
          <w:pPr>
            <w:pStyle w:val="Header"/>
            <w:spacing w:after="80"/>
            <w:rPr>
              <w:b/>
              <w:color w:val="000000"/>
            </w:rPr>
          </w:pPr>
          <w:r>
            <w:rPr>
              <w:b/>
              <w:color w:val="000000"/>
            </w:rPr>
            <w:fldChar w:fldCharType="begin"/>
          </w:r>
          <w:r>
            <w:rPr>
              <w:b/>
              <w:color w:val="000000"/>
            </w:rPr>
            <w:instrText xml:space="preserve"> DOCVARIABLE "sss1" \* MERGEFORMAT </w:instrText>
          </w:r>
          <w:r w:rsidR="00750A99">
            <w:rPr>
              <w:b/>
              <w:color w:val="000000"/>
            </w:rPr>
            <w:fldChar w:fldCharType="separate"/>
          </w:r>
          <w:r w:rsidR="00750A99">
            <w:rPr>
              <w:b/>
              <w:color w:val="000000"/>
            </w:rPr>
            <w:t>CEDAW/C/SLV/CO/8-9/Add.1</w:t>
          </w:r>
          <w:r>
            <w:rPr>
              <w:b/>
              <w:color w:val="000000"/>
            </w:rPr>
            <w:fldChar w:fldCharType="end"/>
          </w:r>
        </w:p>
      </w:tc>
      <w:tc>
        <w:tcPr>
          <w:tcW w:w="5028" w:type="dxa"/>
          <w:shd w:val="clear" w:color="auto" w:fill="auto"/>
          <w:vAlign w:val="bottom"/>
        </w:tcPr>
        <w:p w14:paraId="67F72D1C" w14:textId="77777777" w:rsidR="00E73100" w:rsidRDefault="00E73100" w:rsidP="0002437B">
          <w:pPr>
            <w:pStyle w:val="Header"/>
          </w:pPr>
        </w:p>
      </w:tc>
    </w:tr>
  </w:tbl>
  <w:p w14:paraId="2E25D2A5" w14:textId="77777777" w:rsidR="00E73100" w:rsidRPr="0002437B" w:rsidRDefault="00E73100" w:rsidP="0002437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73100" w:rsidRPr="00295B9E" w14:paraId="02083119" w14:textId="77777777" w:rsidTr="0002437B">
      <w:trPr>
        <w:trHeight w:hRule="exact" w:val="864"/>
      </w:trPr>
      <w:tc>
        <w:tcPr>
          <w:tcW w:w="4838" w:type="dxa"/>
          <w:shd w:val="clear" w:color="auto" w:fill="auto"/>
          <w:vAlign w:val="bottom"/>
        </w:tcPr>
        <w:p w14:paraId="5CFB25E5" w14:textId="77777777" w:rsidR="00E73100" w:rsidRDefault="00E73100" w:rsidP="0002437B">
          <w:pPr>
            <w:pStyle w:val="Header"/>
          </w:pPr>
        </w:p>
      </w:tc>
      <w:tc>
        <w:tcPr>
          <w:tcW w:w="5028" w:type="dxa"/>
          <w:shd w:val="clear" w:color="auto" w:fill="auto"/>
          <w:vAlign w:val="bottom"/>
        </w:tcPr>
        <w:p w14:paraId="29E99BBB" w14:textId="6BC54F61" w:rsidR="00E73100" w:rsidRPr="0002437B" w:rsidRDefault="00E73100" w:rsidP="0002437B">
          <w:pPr>
            <w:pStyle w:val="Header"/>
            <w:spacing w:after="80"/>
            <w:jc w:val="right"/>
            <w:rPr>
              <w:b/>
              <w:color w:val="000000"/>
            </w:rPr>
          </w:pPr>
          <w:r>
            <w:rPr>
              <w:b/>
              <w:color w:val="000000"/>
            </w:rPr>
            <w:fldChar w:fldCharType="begin"/>
          </w:r>
          <w:r>
            <w:rPr>
              <w:b/>
              <w:color w:val="000000"/>
            </w:rPr>
            <w:instrText xml:space="preserve"> DOCVARIABLE "sss1" \* MERGEFORMAT </w:instrText>
          </w:r>
          <w:r w:rsidR="00750A99">
            <w:rPr>
              <w:b/>
              <w:color w:val="000000"/>
            </w:rPr>
            <w:fldChar w:fldCharType="separate"/>
          </w:r>
          <w:r w:rsidR="00750A99">
            <w:rPr>
              <w:b/>
              <w:color w:val="000000"/>
            </w:rPr>
            <w:t>CEDAW/C/SLV/CO/8-9/Add.1</w:t>
          </w:r>
          <w:r>
            <w:rPr>
              <w:b/>
              <w:color w:val="000000"/>
            </w:rPr>
            <w:fldChar w:fldCharType="end"/>
          </w:r>
        </w:p>
      </w:tc>
    </w:tr>
  </w:tbl>
  <w:p w14:paraId="0F504F99" w14:textId="77777777" w:rsidR="00E73100" w:rsidRPr="0002437B" w:rsidRDefault="00E73100" w:rsidP="0002437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73100" w:rsidRPr="00EF761D" w14:paraId="058EAC25" w14:textId="77777777" w:rsidTr="0002437B">
      <w:trPr>
        <w:gridAfter w:val="1"/>
        <w:wAfter w:w="12" w:type="dxa"/>
        <w:trHeight w:hRule="exact" w:val="864"/>
      </w:trPr>
      <w:tc>
        <w:tcPr>
          <w:tcW w:w="1267" w:type="dxa"/>
          <w:tcBorders>
            <w:bottom w:val="single" w:sz="4" w:space="0" w:color="auto"/>
          </w:tcBorders>
          <w:shd w:val="clear" w:color="auto" w:fill="auto"/>
          <w:vAlign w:val="bottom"/>
        </w:tcPr>
        <w:p w14:paraId="430EC3EE" w14:textId="77777777" w:rsidR="00E73100" w:rsidRDefault="00E73100" w:rsidP="0002437B">
          <w:pPr>
            <w:pStyle w:val="Header"/>
            <w:spacing w:after="120"/>
          </w:pPr>
        </w:p>
      </w:tc>
      <w:tc>
        <w:tcPr>
          <w:tcW w:w="2059" w:type="dxa"/>
          <w:tcBorders>
            <w:bottom w:val="single" w:sz="4" w:space="0" w:color="auto"/>
          </w:tcBorders>
          <w:shd w:val="clear" w:color="auto" w:fill="auto"/>
          <w:vAlign w:val="bottom"/>
        </w:tcPr>
        <w:p w14:paraId="287F6724" w14:textId="77777777" w:rsidR="00E73100" w:rsidRPr="0002437B" w:rsidRDefault="00E73100" w:rsidP="0002437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AA49636" w14:textId="77777777" w:rsidR="00E73100" w:rsidRDefault="00E73100" w:rsidP="0002437B">
          <w:pPr>
            <w:pStyle w:val="Header"/>
            <w:spacing w:after="120"/>
          </w:pPr>
        </w:p>
      </w:tc>
      <w:tc>
        <w:tcPr>
          <w:tcW w:w="6523" w:type="dxa"/>
          <w:gridSpan w:val="3"/>
          <w:tcBorders>
            <w:bottom w:val="single" w:sz="4" w:space="0" w:color="auto"/>
          </w:tcBorders>
          <w:shd w:val="clear" w:color="auto" w:fill="auto"/>
          <w:vAlign w:val="bottom"/>
        </w:tcPr>
        <w:p w14:paraId="5723700E" w14:textId="300D205F" w:rsidR="00E73100" w:rsidRPr="00CD1C65" w:rsidRDefault="00E73100" w:rsidP="0002437B">
          <w:pPr>
            <w:spacing w:after="80" w:line="240" w:lineRule="auto"/>
            <w:jc w:val="right"/>
            <w:rPr>
              <w:position w:val="-4"/>
              <w:lang w:val="en-CA"/>
            </w:rPr>
          </w:pPr>
          <w:r w:rsidRPr="00CD1C65">
            <w:rPr>
              <w:position w:val="-4"/>
              <w:sz w:val="40"/>
              <w:lang w:val="en-CA"/>
            </w:rPr>
            <w:t>CEDAW</w:t>
          </w:r>
          <w:r w:rsidRPr="00CD1C65">
            <w:rPr>
              <w:position w:val="-4"/>
              <w:lang w:val="en-CA"/>
            </w:rPr>
            <w:t>/C/SLV/CO/8-9</w:t>
          </w:r>
          <w:r w:rsidR="00CD1C65" w:rsidRPr="00CD1C65">
            <w:rPr>
              <w:position w:val="-4"/>
              <w:lang w:val="en-CA"/>
            </w:rPr>
            <w:t>/A</w:t>
          </w:r>
          <w:r w:rsidR="00CD1C65">
            <w:rPr>
              <w:position w:val="-4"/>
              <w:lang w:val="en-CA"/>
            </w:rPr>
            <w:t>dd.1</w:t>
          </w:r>
        </w:p>
      </w:tc>
    </w:tr>
    <w:tr w:rsidR="00E73100" w:rsidRPr="0002437B" w14:paraId="523E9C9B" w14:textId="77777777" w:rsidTr="0002437B">
      <w:trPr>
        <w:trHeight w:hRule="exact" w:val="2880"/>
      </w:trPr>
      <w:tc>
        <w:tcPr>
          <w:tcW w:w="1267" w:type="dxa"/>
          <w:tcBorders>
            <w:top w:val="single" w:sz="4" w:space="0" w:color="auto"/>
            <w:bottom w:val="single" w:sz="12" w:space="0" w:color="auto"/>
          </w:tcBorders>
          <w:shd w:val="clear" w:color="auto" w:fill="auto"/>
        </w:tcPr>
        <w:p w14:paraId="4D6EBFDD" w14:textId="77777777" w:rsidR="00E73100" w:rsidRPr="0002437B" w:rsidRDefault="00E73100" w:rsidP="0002437B">
          <w:pPr>
            <w:pStyle w:val="Header"/>
            <w:spacing w:before="120" w:line="240" w:lineRule="auto"/>
            <w:ind w:left="-72"/>
            <w:jc w:val="center"/>
          </w:pPr>
          <w:r>
            <w:t xml:space="preserve">  </w:t>
          </w:r>
          <w:r>
            <w:rPr>
              <w:noProof/>
              <w:lang w:val="en-GB" w:eastAsia="en-GB"/>
            </w:rPr>
            <w:drawing>
              <wp:inline distT="0" distB="0" distL="0" distR="0" wp14:anchorId="7D30E872" wp14:editId="58525D8A">
                <wp:extent cx="713232" cy="5943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C35282" w14:textId="77777777" w:rsidR="00E73100" w:rsidRPr="0002437B" w:rsidRDefault="00E73100" w:rsidP="0002437B">
          <w:pPr>
            <w:pStyle w:val="XLarge"/>
            <w:spacing w:before="120" w:line="360" w:lineRule="exact"/>
            <w:rPr>
              <w:sz w:val="36"/>
            </w:rPr>
          </w:pPr>
          <w:r>
            <w:rPr>
              <w:sz w:val="36"/>
            </w:rPr>
            <w:t>Convention sur l</w:t>
          </w:r>
          <w:r w:rsidR="00512589">
            <w:rPr>
              <w:sz w:val="36"/>
            </w:rPr>
            <w:t>’</w:t>
          </w:r>
          <w:r>
            <w:rPr>
              <w:sz w:val="36"/>
            </w:rPr>
            <w:t>élimination</w:t>
          </w:r>
          <w:r>
            <w:rPr>
              <w:sz w:val="36"/>
            </w:rPr>
            <w:br/>
            <w:t>de toutes les formes</w:t>
          </w:r>
          <w:r>
            <w:rPr>
              <w:sz w:val="36"/>
            </w:rPr>
            <w:br/>
            <w:t>de discrimination à l</w:t>
          </w:r>
          <w:r w:rsidR="00512589">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C411B2B" w14:textId="77777777" w:rsidR="00E73100" w:rsidRPr="00E73100" w:rsidRDefault="00E73100" w:rsidP="0002437B">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14:paraId="48BC2793" w14:textId="77777777" w:rsidR="00E73100" w:rsidRPr="00E73100" w:rsidRDefault="00E73100" w:rsidP="0002437B">
          <w:pPr>
            <w:pStyle w:val="Distribution"/>
            <w:rPr>
              <w:color w:val="000000"/>
              <w:lang w:val="fr-CA"/>
            </w:rPr>
          </w:pPr>
          <w:r w:rsidRPr="00E73100">
            <w:rPr>
              <w:color w:val="000000"/>
              <w:lang w:val="fr-CA"/>
            </w:rPr>
            <w:t>Distr. générale</w:t>
          </w:r>
        </w:p>
        <w:p w14:paraId="7546FBE7" w14:textId="589D98C1" w:rsidR="00E73100" w:rsidRPr="00E73100" w:rsidRDefault="00CD1C65" w:rsidP="0002437B">
          <w:pPr>
            <w:pStyle w:val="Publication"/>
            <w:rPr>
              <w:color w:val="000000"/>
              <w:lang w:val="fr-CA"/>
            </w:rPr>
          </w:pPr>
          <w:r>
            <w:rPr>
              <w:color w:val="000000"/>
              <w:lang w:val="fr-CA"/>
            </w:rPr>
            <w:t>16 avril 2019</w:t>
          </w:r>
        </w:p>
        <w:p w14:paraId="3F3AD464" w14:textId="77777777" w:rsidR="00E73100" w:rsidRPr="00E73100" w:rsidRDefault="00E73100" w:rsidP="0002437B">
          <w:r w:rsidRPr="00E73100">
            <w:t>Français</w:t>
          </w:r>
        </w:p>
        <w:p w14:paraId="44516A4C" w14:textId="4E5F881E" w:rsidR="00E73100" w:rsidRDefault="00E73100" w:rsidP="0002437B">
          <w:pPr>
            <w:pStyle w:val="Original"/>
            <w:rPr>
              <w:color w:val="000000"/>
              <w:lang w:val="fr-CA"/>
            </w:rPr>
          </w:pPr>
          <w:r w:rsidRPr="00E73100">
            <w:rPr>
              <w:color w:val="000000"/>
              <w:lang w:val="fr-CA"/>
            </w:rPr>
            <w:t xml:space="preserve">Original : </w:t>
          </w:r>
          <w:r w:rsidR="00CD1C65">
            <w:rPr>
              <w:color w:val="000000"/>
              <w:lang w:val="fr-CA"/>
            </w:rPr>
            <w:t>espagnol</w:t>
          </w:r>
        </w:p>
        <w:p w14:paraId="4EF2C363" w14:textId="0D351FC5" w:rsidR="00CD1C65" w:rsidRPr="00CD1C65" w:rsidRDefault="00CD1C65" w:rsidP="00CD1C65">
          <w:r>
            <w:t>Anglais, espagnol et français seulement</w:t>
          </w:r>
        </w:p>
      </w:tc>
    </w:tr>
  </w:tbl>
  <w:p w14:paraId="470AD8E0" w14:textId="77777777" w:rsidR="00E73100" w:rsidRPr="00E73100" w:rsidRDefault="00E73100" w:rsidP="0002437B">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2019"/>
        </w:tabs>
        <w:ind w:left="2019" w:hanging="360"/>
      </w:pPr>
    </w:lvl>
  </w:abstractNum>
  <w:abstractNum w:abstractNumId="1"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2"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F3E5010"/>
    <w:multiLevelType w:val="singleLevel"/>
    <w:tmpl w:val="0C0C000F"/>
    <w:lvl w:ilvl="0">
      <w:start w:val="1"/>
      <w:numFmt w:val="decimal"/>
      <w:lvlText w:val="%1."/>
      <w:lvlJc w:val="left"/>
      <w:pPr>
        <w:ind w:left="720" w:hanging="360"/>
      </w:pPr>
    </w:lvl>
  </w:abstractNum>
  <w:num w:numId="1">
    <w:abstractNumId w:val="4"/>
  </w:num>
  <w:num w:numId="2">
    <w:abstractNumId w:val="5"/>
  </w:num>
  <w:num w:numId="3">
    <w:abstractNumId w:val="2"/>
  </w:num>
  <w:num w:numId="4">
    <w:abstractNumId w:val="3"/>
  </w:num>
  <w:num w:numId="5">
    <w:abstractNumId w:val="7"/>
  </w:num>
  <w:num w:numId="6">
    <w:abstractNumId w:val="1"/>
  </w:num>
  <w:num w:numId="7">
    <w:abstractNumId w:val="7"/>
    <w:lvlOverride w:ilvl="0">
      <w:lvl w:ilvl="0">
        <w:start w:val="1"/>
        <w:numFmt w:val="decimal"/>
        <w:lvlText w:val="%1."/>
        <w:lvlJc w:val="left"/>
        <w:pPr>
          <w:ind w:left="720" w:hanging="360"/>
        </w:pPr>
      </w:lvl>
    </w:lvlOverride>
  </w:num>
  <w:num w:numId="8">
    <w:abstractNumId w:val="0"/>
  </w:num>
  <w:num w:numId="9">
    <w:abstractNumId w:val="6"/>
    <w:lvlOverride w:ilvl="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10">
    <w:abstractNumId w:val="7"/>
    <w:lvlOverride w:ilvl="0">
      <w:lvl w:ilvl="0">
        <w:start w:val="1"/>
        <w:numFmt w:val="decimal"/>
        <w:lvlText w:val="%1."/>
        <w:lvlJc w:val="left"/>
        <w:pPr>
          <w:ind w:left="720" w:hanging="360"/>
        </w:pPr>
      </w:lvl>
    </w:lvlOverride>
  </w:num>
  <w:num w:numId="11">
    <w:abstractNumId w:val="7"/>
    <w:lvlOverride w:ilvl="0">
      <w:lvl w:ilvl="0">
        <w:start w:val="1"/>
        <w:numFmt w:val="decimal"/>
        <w:lvlText w:val="%1."/>
        <w:lvlJc w:val="left"/>
        <w:pPr>
          <w:ind w:left="720" w:hanging="360"/>
        </w:p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398*"/>
    <w:docVar w:name="DocCategory" w:val="InternalDoc"/>
    <w:docVar w:name="DutyStation" w:val="New York"/>
    <w:docVar w:name="footerJN" w:val="19-06398"/>
    <w:docVar w:name="jobn" w:val="19-06398 (F)"/>
    <w:docVar w:name="JobNo" w:val="1906398F"/>
    <w:docVar w:name="ODSRefJobNo" w:val="1911223F"/>
    <w:docVar w:name="sss1" w:val="CEDAW/C/SLV/CO/8-9/Add.1"/>
    <w:docVar w:name="sss2" w:val="-"/>
    <w:docVar w:name="Symbol1" w:val="CEDAW/C/SLV/CO/8-9/Add.1"/>
  </w:docVars>
  <w:rsids>
    <w:rsidRoot w:val="00D1226C"/>
    <w:rsid w:val="00016093"/>
    <w:rsid w:val="0002437B"/>
    <w:rsid w:val="00053637"/>
    <w:rsid w:val="00062766"/>
    <w:rsid w:val="000836DA"/>
    <w:rsid w:val="000B1AF0"/>
    <w:rsid w:val="001278EE"/>
    <w:rsid w:val="0013480E"/>
    <w:rsid w:val="00172D20"/>
    <w:rsid w:val="001B5641"/>
    <w:rsid w:val="0020227C"/>
    <w:rsid w:val="0022565D"/>
    <w:rsid w:val="00264B71"/>
    <w:rsid w:val="00295B9E"/>
    <w:rsid w:val="002D7359"/>
    <w:rsid w:val="0032223E"/>
    <w:rsid w:val="004233B2"/>
    <w:rsid w:val="00423D98"/>
    <w:rsid w:val="00477480"/>
    <w:rsid w:val="004C1A25"/>
    <w:rsid w:val="00512589"/>
    <w:rsid w:val="00514ED8"/>
    <w:rsid w:val="005945A6"/>
    <w:rsid w:val="00621527"/>
    <w:rsid w:val="006238B2"/>
    <w:rsid w:val="00652230"/>
    <w:rsid w:val="00666B6F"/>
    <w:rsid w:val="00673BFE"/>
    <w:rsid w:val="006A0502"/>
    <w:rsid w:val="00732702"/>
    <w:rsid w:val="00750A99"/>
    <w:rsid w:val="00764C3C"/>
    <w:rsid w:val="00771C59"/>
    <w:rsid w:val="00771C9E"/>
    <w:rsid w:val="007A649B"/>
    <w:rsid w:val="008F6F6F"/>
    <w:rsid w:val="0095607A"/>
    <w:rsid w:val="00965AF9"/>
    <w:rsid w:val="009819F4"/>
    <w:rsid w:val="00993CB7"/>
    <w:rsid w:val="00997A59"/>
    <w:rsid w:val="009C5A50"/>
    <w:rsid w:val="00A07726"/>
    <w:rsid w:val="00AD5F2F"/>
    <w:rsid w:val="00AE6C06"/>
    <w:rsid w:val="00B144BE"/>
    <w:rsid w:val="00B64075"/>
    <w:rsid w:val="00BC1578"/>
    <w:rsid w:val="00C6784C"/>
    <w:rsid w:val="00C93722"/>
    <w:rsid w:val="00C93DA2"/>
    <w:rsid w:val="00CB06FB"/>
    <w:rsid w:val="00CD1C65"/>
    <w:rsid w:val="00CD502B"/>
    <w:rsid w:val="00CD7E8F"/>
    <w:rsid w:val="00CF75FA"/>
    <w:rsid w:val="00D1226C"/>
    <w:rsid w:val="00D20654"/>
    <w:rsid w:val="00DC1BCA"/>
    <w:rsid w:val="00E2672E"/>
    <w:rsid w:val="00E343A6"/>
    <w:rsid w:val="00E357B6"/>
    <w:rsid w:val="00E7105F"/>
    <w:rsid w:val="00E73100"/>
    <w:rsid w:val="00EA743E"/>
    <w:rsid w:val="00EF2DFA"/>
    <w:rsid w:val="00EF6D4A"/>
    <w:rsid w:val="00EF761D"/>
    <w:rsid w:val="00F7165B"/>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5A5E5"/>
  <w15:docId w15:val="{E04A9C20-C5F6-4216-9C8A-6AB0774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BFE"/>
    <w:pPr>
      <w:spacing w:after="0" w:line="240" w:lineRule="exact"/>
    </w:pPr>
    <w:rPr>
      <w:rFonts w:ascii="Times New Roman" w:hAnsi="Times New Roman" w:cs="Times New Roman"/>
      <w:spacing w:val="4"/>
      <w:w w:val="103"/>
      <w:kern w:val="14"/>
      <w:sz w:val="20"/>
      <w:lang w:val="fr-FR"/>
    </w:rPr>
  </w:style>
  <w:style w:type="paragraph" w:styleId="Heading1">
    <w:name w:val="heading 1"/>
    <w:basedOn w:val="Normal"/>
    <w:next w:val="Normal"/>
    <w:link w:val="Heading1Char"/>
    <w:uiPriority w:val="9"/>
    <w:qFormat/>
    <w:rsid w:val="00673BF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73BF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73BF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73BF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73BF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73BF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73BF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73BF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73BF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73BFE"/>
    <w:pPr>
      <w:keepNext/>
      <w:keepLines/>
      <w:suppressAutoHyphens/>
      <w:spacing w:line="270" w:lineRule="exact"/>
      <w:outlineLvl w:val="0"/>
    </w:pPr>
    <w:rPr>
      <w:b/>
      <w:sz w:val="24"/>
    </w:rPr>
  </w:style>
  <w:style w:type="paragraph" w:customStyle="1" w:styleId="HCH">
    <w:name w:val="_ H _CH"/>
    <w:basedOn w:val="H1"/>
    <w:next w:val="SingleTxt"/>
    <w:qFormat/>
    <w:rsid w:val="00673BFE"/>
    <w:pPr>
      <w:spacing w:line="300" w:lineRule="exact"/>
    </w:pPr>
    <w:rPr>
      <w:spacing w:val="-2"/>
      <w:sz w:val="28"/>
    </w:rPr>
  </w:style>
  <w:style w:type="paragraph" w:customStyle="1" w:styleId="HM">
    <w:name w:val="_ H __M"/>
    <w:basedOn w:val="HCH"/>
    <w:next w:val="Normal"/>
    <w:qFormat/>
    <w:rsid w:val="00673BFE"/>
    <w:pPr>
      <w:spacing w:line="360" w:lineRule="exact"/>
    </w:pPr>
    <w:rPr>
      <w:spacing w:val="-3"/>
      <w:w w:val="99"/>
      <w:sz w:val="34"/>
    </w:rPr>
  </w:style>
  <w:style w:type="paragraph" w:customStyle="1" w:styleId="H23">
    <w:name w:val="_ H_2/3"/>
    <w:basedOn w:val="H1"/>
    <w:next w:val="SingleTxt"/>
    <w:qFormat/>
    <w:rsid w:val="00673BFE"/>
    <w:pPr>
      <w:spacing w:line="240" w:lineRule="exact"/>
      <w:outlineLvl w:val="1"/>
    </w:pPr>
    <w:rPr>
      <w:spacing w:val="2"/>
      <w:sz w:val="20"/>
    </w:rPr>
  </w:style>
  <w:style w:type="paragraph" w:customStyle="1" w:styleId="H4">
    <w:name w:val="_ H_4"/>
    <w:basedOn w:val="Normal"/>
    <w:next w:val="SingleTxt"/>
    <w:qFormat/>
    <w:rsid w:val="00673BFE"/>
    <w:pPr>
      <w:keepNext/>
      <w:keepLines/>
      <w:tabs>
        <w:tab w:val="right" w:pos="360"/>
      </w:tabs>
      <w:suppressAutoHyphens/>
      <w:outlineLvl w:val="3"/>
    </w:pPr>
    <w:rPr>
      <w:i/>
      <w:spacing w:val="3"/>
    </w:rPr>
  </w:style>
  <w:style w:type="paragraph" w:customStyle="1" w:styleId="H56">
    <w:name w:val="_ H_5/6"/>
    <w:basedOn w:val="Normal"/>
    <w:next w:val="Normal"/>
    <w:qFormat/>
    <w:rsid w:val="00673B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73B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73B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73BFE"/>
    <w:pPr>
      <w:spacing w:line="540" w:lineRule="exact"/>
    </w:pPr>
    <w:rPr>
      <w:spacing w:val="-8"/>
      <w:w w:val="96"/>
      <w:sz w:val="57"/>
    </w:rPr>
  </w:style>
  <w:style w:type="paragraph" w:customStyle="1" w:styleId="SS">
    <w:name w:val="__S_S"/>
    <w:basedOn w:val="HCH"/>
    <w:next w:val="Normal"/>
    <w:qFormat/>
    <w:rsid w:val="00673BFE"/>
    <w:pPr>
      <w:ind w:left="1267" w:right="1267"/>
    </w:pPr>
  </w:style>
  <w:style w:type="paragraph" w:customStyle="1" w:styleId="SingleTxt">
    <w:name w:val="__Single Txt"/>
    <w:basedOn w:val="Normal"/>
    <w:qFormat/>
    <w:rsid w:val="00673B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73BFE"/>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673BF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673BFE"/>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673B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3BFE"/>
    <w:rPr>
      <w:rFonts w:ascii="Tahoma" w:hAnsi="Tahoma" w:cs="Tahoma"/>
      <w:spacing w:val="4"/>
      <w:w w:val="103"/>
      <w:kern w:val="14"/>
      <w:sz w:val="16"/>
      <w:szCs w:val="16"/>
      <w:lang w:val="fr-CA"/>
    </w:rPr>
  </w:style>
  <w:style w:type="paragraph" w:customStyle="1" w:styleId="Bullet1">
    <w:name w:val="Bullet 1"/>
    <w:basedOn w:val="Normal"/>
    <w:qFormat/>
    <w:rsid w:val="00673BFE"/>
    <w:pPr>
      <w:numPr>
        <w:numId w:val="1"/>
      </w:numPr>
      <w:spacing w:after="120"/>
      <w:ind w:right="1267"/>
      <w:jc w:val="both"/>
    </w:pPr>
  </w:style>
  <w:style w:type="paragraph" w:customStyle="1" w:styleId="Bullet2">
    <w:name w:val="Bullet 2"/>
    <w:basedOn w:val="Normal"/>
    <w:qFormat/>
    <w:rsid w:val="00673BFE"/>
    <w:pPr>
      <w:numPr>
        <w:numId w:val="2"/>
      </w:numPr>
      <w:spacing w:after="120"/>
      <w:ind w:right="1264"/>
      <w:jc w:val="both"/>
    </w:pPr>
  </w:style>
  <w:style w:type="paragraph" w:customStyle="1" w:styleId="Bullet3">
    <w:name w:val="Bullet 3"/>
    <w:basedOn w:val="SingleTxt"/>
    <w:qFormat/>
    <w:rsid w:val="00673BF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73BFE"/>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673B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73BFE"/>
    <w:pPr>
      <w:spacing w:line="210" w:lineRule="exact"/>
    </w:pPr>
    <w:rPr>
      <w:sz w:val="17"/>
      <w:szCs w:val="20"/>
    </w:rPr>
  </w:style>
  <w:style w:type="character" w:customStyle="1" w:styleId="EndnoteTextChar">
    <w:name w:val="Endnote Text Char"/>
    <w:link w:val="EndnoteText"/>
    <w:uiPriority w:val="99"/>
    <w:semiHidden/>
    <w:rsid w:val="00673BFE"/>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673BFE"/>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673BFE"/>
    <w:rPr>
      <w:rFonts w:ascii="Times New Roman" w:hAnsi="Times New Roman" w:cs="Times New Roman"/>
      <w:b/>
      <w:spacing w:val="3"/>
      <w:w w:val="105"/>
      <w:sz w:val="17"/>
      <w:lang w:val="en-US"/>
    </w:rPr>
  </w:style>
  <w:style w:type="character" w:styleId="FootnoteReference">
    <w:name w:val="footnote reference"/>
    <w:aliases w:val="4_G"/>
    <w:qFormat/>
    <w:rsid w:val="00673B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73BFE"/>
    <w:pPr>
      <w:spacing w:line="210" w:lineRule="exact"/>
    </w:pPr>
    <w:rPr>
      <w:sz w:val="17"/>
      <w:szCs w:val="20"/>
    </w:rPr>
  </w:style>
  <w:style w:type="character" w:customStyle="1" w:styleId="FootnoteTextChar">
    <w:name w:val="Footnote Text Char"/>
    <w:aliases w:val="5_G Char"/>
    <w:link w:val="FootnoteText"/>
    <w:rsid w:val="00673BFE"/>
    <w:rPr>
      <w:rFonts w:ascii="Times New Roman" w:hAnsi="Times New Roman" w:cs="Times New Roman"/>
      <w:spacing w:val="4"/>
      <w:w w:val="103"/>
      <w:kern w:val="14"/>
      <w:sz w:val="17"/>
      <w:szCs w:val="20"/>
      <w:lang w:val="fr-CA"/>
    </w:rPr>
  </w:style>
  <w:style w:type="paragraph" w:styleId="Header">
    <w:name w:val="header"/>
    <w:link w:val="HeaderChar"/>
    <w:uiPriority w:val="99"/>
    <w:rsid w:val="00673BFE"/>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673BFE"/>
    <w:rPr>
      <w:rFonts w:ascii="Times New Roman" w:hAnsi="Times New Roman" w:cs="Times New Roman"/>
      <w:spacing w:val="3"/>
      <w:w w:val="105"/>
      <w:sz w:val="17"/>
      <w:lang w:val="en-US"/>
    </w:rPr>
  </w:style>
  <w:style w:type="character" w:customStyle="1" w:styleId="Heading1Char">
    <w:name w:val="Heading 1 Char"/>
    <w:link w:val="Heading1"/>
    <w:uiPriority w:val="9"/>
    <w:rsid w:val="00673BFE"/>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673BFE"/>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673BFE"/>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673BFE"/>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673BFE"/>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673BFE"/>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673BFE"/>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673BFE"/>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673BFE"/>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673BFE"/>
    <w:rPr>
      <w:sz w:val="14"/>
    </w:rPr>
  </w:style>
  <w:style w:type="paragraph" w:styleId="ListParagraph">
    <w:name w:val="List Paragraph"/>
    <w:basedOn w:val="Normal"/>
    <w:uiPriority w:val="34"/>
    <w:rsid w:val="00673BFE"/>
    <w:pPr>
      <w:ind w:left="720"/>
      <w:contextualSpacing/>
    </w:pPr>
  </w:style>
  <w:style w:type="paragraph" w:styleId="NoSpacing">
    <w:name w:val="No Spacing"/>
    <w:uiPriority w:val="1"/>
    <w:rsid w:val="00673BFE"/>
    <w:pPr>
      <w:spacing w:after="0" w:line="240" w:lineRule="auto"/>
    </w:pPr>
    <w:rPr>
      <w:rFonts w:ascii="Calibri" w:hAnsi="Calibri" w:cs="Times New Roman"/>
      <w:lang w:val="en-US"/>
    </w:rPr>
  </w:style>
  <w:style w:type="paragraph" w:customStyle="1" w:styleId="Original">
    <w:name w:val="Original"/>
    <w:next w:val="Normal"/>
    <w:autoRedefine/>
    <w:qFormat/>
    <w:rsid w:val="00673BFE"/>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673BFE"/>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673BFE"/>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673BFE"/>
    <w:pPr>
      <w:tabs>
        <w:tab w:val="right" w:pos="9965"/>
      </w:tabs>
      <w:spacing w:line="210" w:lineRule="exact"/>
    </w:pPr>
    <w:rPr>
      <w:spacing w:val="5"/>
      <w:w w:val="104"/>
      <w:sz w:val="17"/>
    </w:rPr>
  </w:style>
  <w:style w:type="paragraph" w:customStyle="1" w:styleId="SmallX">
    <w:name w:val="SmallX"/>
    <w:basedOn w:val="Small"/>
    <w:next w:val="Normal"/>
    <w:qFormat/>
    <w:rsid w:val="00673BFE"/>
    <w:pPr>
      <w:spacing w:line="180" w:lineRule="exact"/>
      <w:jc w:val="right"/>
    </w:pPr>
    <w:rPr>
      <w:spacing w:val="6"/>
      <w:w w:val="106"/>
      <w:sz w:val="14"/>
    </w:rPr>
  </w:style>
  <w:style w:type="character" w:styleId="Strong">
    <w:name w:val="Strong"/>
    <w:uiPriority w:val="22"/>
    <w:rsid w:val="00673BFE"/>
    <w:rPr>
      <w:b/>
      <w:bCs/>
    </w:rPr>
  </w:style>
  <w:style w:type="paragraph" w:customStyle="1" w:styleId="Style1">
    <w:name w:val="Style1"/>
    <w:basedOn w:val="Normal"/>
    <w:qFormat/>
    <w:rsid w:val="00673BFE"/>
  </w:style>
  <w:style w:type="paragraph" w:customStyle="1" w:styleId="Style2">
    <w:name w:val="Style2"/>
    <w:basedOn w:val="Normal"/>
    <w:autoRedefine/>
    <w:qFormat/>
    <w:rsid w:val="00673BFE"/>
  </w:style>
  <w:style w:type="paragraph" w:customStyle="1" w:styleId="TitleHCH">
    <w:name w:val="Title_H_CH"/>
    <w:basedOn w:val="HCH"/>
    <w:next w:val="SingleTxt"/>
    <w:qFormat/>
    <w:rsid w:val="00673B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73B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673BFE"/>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2437B"/>
    <w:rPr>
      <w:sz w:val="16"/>
      <w:szCs w:val="16"/>
    </w:rPr>
  </w:style>
  <w:style w:type="paragraph" w:styleId="CommentText">
    <w:name w:val="annotation text"/>
    <w:basedOn w:val="Normal"/>
    <w:link w:val="CommentTextChar"/>
    <w:uiPriority w:val="99"/>
    <w:semiHidden/>
    <w:unhideWhenUsed/>
    <w:rsid w:val="0002437B"/>
    <w:pPr>
      <w:spacing w:line="240" w:lineRule="auto"/>
    </w:pPr>
    <w:rPr>
      <w:szCs w:val="20"/>
    </w:rPr>
  </w:style>
  <w:style w:type="character" w:customStyle="1" w:styleId="CommentTextChar">
    <w:name w:val="Comment Text Char"/>
    <w:basedOn w:val="DefaultParagraphFont"/>
    <w:link w:val="CommentText"/>
    <w:uiPriority w:val="99"/>
    <w:semiHidden/>
    <w:rsid w:val="0002437B"/>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2437B"/>
    <w:rPr>
      <w:b/>
      <w:bCs/>
    </w:rPr>
  </w:style>
  <w:style w:type="character" w:customStyle="1" w:styleId="CommentSubjectChar">
    <w:name w:val="Comment Subject Char"/>
    <w:basedOn w:val="CommentTextChar"/>
    <w:link w:val="CommentSubject"/>
    <w:uiPriority w:val="99"/>
    <w:semiHidden/>
    <w:rsid w:val="0002437B"/>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E73100"/>
    <w:rPr>
      <w:color w:val="0000FF"/>
      <w:u w:val="none"/>
    </w:rPr>
  </w:style>
  <w:style w:type="character" w:styleId="FollowedHyperlink">
    <w:name w:val="FollowedHyperlink"/>
    <w:basedOn w:val="DefaultParagraphFont"/>
    <w:uiPriority w:val="99"/>
    <w:semiHidden/>
    <w:unhideWhenUsed/>
    <w:rsid w:val="00E73100"/>
    <w:rPr>
      <w:color w:val="0000FF"/>
      <w:u w:val="none"/>
    </w:rPr>
  </w:style>
  <w:style w:type="table" w:styleId="TableGrid">
    <w:name w:val="Table Grid"/>
    <w:basedOn w:val="TableNormal"/>
    <w:uiPriority w:val="59"/>
    <w:unhideWhenUsed/>
    <w:rsid w:val="00CD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qFormat/>
    <w:rsid w:val="0013480E"/>
    <w:pPr>
      <w:suppressAutoHyphens/>
      <w:spacing w:after="120" w:line="240" w:lineRule="atLeast"/>
      <w:ind w:left="1134" w:right="1134"/>
      <w:jc w:val="both"/>
    </w:pPr>
    <w:rPr>
      <w:rFonts w:eastAsia="Times New Roman"/>
      <w:spacing w:val="0"/>
      <w:w w:val="100"/>
      <w:kern w:val="0"/>
      <w:szCs w:val="20"/>
      <w:lang w:val="es-ES_tradnl"/>
    </w:rPr>
  </w:style>
  <w:style w:type="paragraph" w:customStyle="1" w:styleId="SLG">
    <w:name w:val="__S_L_G"/>
    <w:basedOn w:val="Normal"/>
    <w:next w:val="Normal"/>
    <w:rsid w:val="0013480E"/>
    <w:pPr>
      <w:keepNext/>
      <w:keepLines/>
      <w:suppressAutoHyphens/>
      <w:spacing w:before="240" w:after="240" w:line="580" w:lineRule="exact"/>
      <w:ind w:left="1134" w:right="1134"/>
    </w:pPr>
    <w:rPr>
      <w:rFonts w:eastAsia="Times New Roman"/>
      <w:b/>
      <w:spacing w:val="0"/>
      <w:w w:val="100"/>
      <w:kern w:val="0"/>
      <w:sz w:val="56"/>
      <w:szCs w:val="20"/>
      <w:lang w:val="es-ES_tradnl"/>
    </w:rPr>
  </w:style>
  <w:style w:type="paragraph" w:customStyle="1" w:styleId="H23G">
    <w:name w:val="_ H_2/3_G"/>
    <w:basedOn w:val="Normal"/>
    <w:next w:val="Normal"/>
    <w:qFormat/>
    <w:rsid w:val="0013480E"/>
    <w:pPr>
      <w:keepNext/>
      <w:keepLines/>
      <w:tabs>
        <w:tab w:val="right" w:pos="851"/>
      </w:tabs>
      <w:suppressAutoHyphens/>
      <w:spacing w:before="240" w:after="120"/>
      <w:ind w:left="1134" w:right="1134" w:hanging="1134"/>
    </w:pPr>
    <w:rPr>
      <w:rFonts w:eastAsia="Times New Roman"/>
      <w:b/>
      <w:spacing w:val="0"/>
      <w:w w:val="100"/>
      <w:kern w:val="0"/>
      <w:szCs w:val="20"/>
      <w:lang w:val="es-ES_tradnl"/>
    </w:rPr>
  </w:style>
  <w:style w:type="paragraph" w:styleId="ListNumber2">
    <w:name w:val="List Number 2"/>
    <w:basedOn w:val="Normal"/>
    <w:semiHidden/>
    <w:rsid w:val="0013480E"/>
    <w:pPr>
      <w:numPr>
        <w:numId w:val="6"/>
      </w:numPr>
      <w:suppressAutoHyphens/>
      <w:spacing w:line="240" w:lineRule="atLeast"/>
    </w:pPr>
    <w:rPr>
      <w:rFonts w:eastAsia="Times New Roman"/>
      <w:spacing w:val="0"/>
      <w:w w:val="100"/>
      <w:kern w:val="0"/>
      <w:szCs w:val="20"/>
      <w:lang w:val="es-ES_tradnl"/>
    </w:rPr>
  </w:style>
  <w:style w:type="paragraph" w:customStyle="1" w:styleId="NormalG">
    <w:name w:val="_ Normal_G"/>
    <w:basedOn w:val="Normal"/>
    <w:link w:val="NormalGChar"/>
    <w:rsid w:val="0013480E"/>
    <w:pPr>
      <w:spacing w:line="240" w:lineRule="atLeast"/>
    </w:pPr>
    <w:rPr>
      <w:rFonts w:eastAsia="Times New Roman"/>
      <w:bCs/>
      <w:spacing w:val="0"/>
      <w:w w:val="100"/>
      <w:kern w:val="0"/>
      <w:szCs w:val="20"/>
      <w:lang w:val="es-ES" w:eastAsia="es-ES"/>
    </w:rPr>
  </w:style>
  <w:style w:type="character" w:customStyle="1" w:styleId="NormalGChar">
    <w:name w:val="_ Normal_G Char"/>
    <w:link w:val="NormalG"/>
    <w:rsid w:val="0013480E"/>
    <w:rPr>
      <w:rFonts w:ascii="Times New Roman" w:eastAsia="Times New Roman" w:hAnsi="Times New Roman" w:cs="Times New Roman"/>
      <w:bCs/>
      <w:sz w:val="20"/>
      <w:szCs w:val="20"/>
      <w:lang w:val="es-ES" w:eastAsia="es-ES"/>
    </w:rPr>
  </w:style>
  <w:style w:type="character" w:styleId="UnresolvedMention">
    <w:name w:val="Unresolved Mention"/>
    <w:basedOn w:val="DefaultParagraphFont"/>
    <w:uiPriority w:val="99"/>
    <w:semiHidden/>
    <w:unhideWhenUsed/>
    <w:rsid w:val="00997A59"/>
    <w:rPr>
      <w:color w:val="605E5C"/>
      <w:shd w:val="clear" w:color="auto" w:fill="E1DFDD"/>
    </w:rPr>
  </w:style>
  <w:style w:type="paragraph" w:customStyle="1" w:styleId="Bullet1G">
    <w:name w:val="_Bullet 1_G"/>
    <w:basedOn w:val="Normal"/>
    <w:qFormat/>
    <w:rsid w:val="00B64075"/>
    <w:pPr>
      <w:numPr>
        <w:numId w:val="9"/>
      </w:numPr>
      <w:suppressAutoHyphens/>
      <w:spacing w:after="120" w:line="240" w:lineRule="atLeast"/>
      <w:ind w:right="1134"/>
      <w:jc w:val="both"/>
    </w:pPr>
    <w:rPr>
      <w:rFonts w:eastAsia="Times New Roman"/>
      <w:spacing w:val="0"/>
      <w:w w:val="100"/>
      <w:kern w:val="0"/>
      <w:szCs w:val="20"/>
      <w:lang w:val="es-ES_tradnl"/>
    </w:rPr>
  </w:style>
  <w:style w:type="paragraph" w:styleId="ListNumber4">
    <w:name w:val="List Number 4"/>
    <w:basedOn w:val="Normal"/>
    <w:semiHidden/>
    <w:rsid w:val="00B64075"/>
    <w:pPr>
      <w:numPr>
        <w:numId w:val="8"/>
      </w:numPr>
      <w:suppressAutoHyphens/>
      <w:spacing w:line="240" w:lineRule="atLeast"/>
    </w:pPr>
    <w:rPr>
      <w:rFonts w:eastAsia="Times New Roman"/>
      <w:spacing w:val="0"/>
      <w:w w:val="100"/>
      <w:kern w:val="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docs.org/fr/CEDAW/C/SLV/CO/8-9"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isdemu.gob.sv/" TargetMode="External"/><Relationship Id="rId1" Type="http://schemas.openxmlformats.org/officeDocument/2006/relationships/hyperlink" Target="http://www.csj.gob.s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4333</Words>
  <Characters>22879</Characters>
  <Application>Microsoft Office Word</Application>
  <DocSecurity>0</DocSecurity>
  <Lines>586</Lines>
  <Paragraphs>269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Carmel-Marie Demesmin</cp:lastModifiedBy>
  <cp:revision>3</cp:revision>
  <cp:lastPrinted>2019-05-08T23:44:00Z</cp:lastPrinted>
  <dcterms:created xsi:type="dcterms:W3CDTF">2019-05-08T23:44:00Z</dcterms:created>
  <dcterms:modified xsi:type="dcterms:W3CDTF">2019-05-08T23:44:00Z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Observations finales concernant le rapport d’El Salvador valant huitième à neuvième rapports périodiques_x000d_</vt:lpwstr>
  </property>
  <property fmtid="{D5CDD505-2E9C-101B-9397-08002B2CF9AE}" pid="3" name="Title2">
    <vt:lpwstr>		Renseignements reçus d’El Salvador au sujet de la suite donnée aux observations finales*_x000d_</vt:lpwstr>
  </property>
  <property fmtid="{D5CDD505-2E9C-101B-9397-08002B2CF9AE}" pid="4" name="Title3">
    <vt:lpwstr>		Introduction_x000d_</vt:lpwstr>
  </property>
  <property fmtid="{D5CDD505-2E9C-101B-9397-08002B2CF9AE}" pid="5" name="Title4">
    <vt:lpwstr>		Suite donnée aux observations finales_x000d_</vt:lpwstr>
  </property>
</Properties>
</file>