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B72" w:rsidRDefault="00BC1B72" w:rsidP="00BC1B72">
      <w:pPr>
        <w:spacing w:line="240" w:lineRule="auto"/>
        <w:rPr>
          <w:sz w:val="2"/>
        </w:rPr>
        <w:sectPr w:rsidR="00BC1B72" w:rsidSect="0086160B">
          <w:headerReference w:type="even" r:id="rId9"/>
          <w:headerReference w:type="default" r:id="rId10"/>
          <w:footerReference w:type="even" r:id="rId11"/>
          <w:footerReference w:type="default" r:id="rId12"/>
          <w:headerReference w:type="first" r:id="rId13"/>
          <w:footerReference w:type="first" r:id="rId14"/>
          <w:pgSz w:w="12240" w:h="15840"/>
          <w:pgMar w:top="1440" w:right="1200" w:bottom="1728" w:left="1200" w:header="432" w:footer="576" w:gutter="0"/>
          <w:cols w:space="720"/>
          <w:titlePg/>
          <w:docGrid w:linePitch="360"/>
        </w:sectPr>
      </w:pPr>
      <w:r>
        <w:rPr>
          <w:rStyle w:val="CommentReference"/>
        </w:rPr>
        <w:commentReference w:id="0"/>
      </w:r>
    </w:p>
    <w:p w:rsidR="0086160B" w:rsidRPr="004E605B" w:rsidRDefault="0086160B" w:rsidP="0086160B">
      <w:pPr>
        <w:pStyle w:val="H1"/>
        <w:ind w:right="4539"/>
        <w:rPr>
          <w:lang w:val="fr-FR"/>
        </w:rPr>
      </w:pPr>
      <w:r w:rsidRPr="00817339">
        <w:rPr>
          <w:lang w:val="fr-FR"/>
        </w:rPr>
        <w:lastRenderedPageBreak/>
        <w:t>Comité pour l</w:t>
      </w:r>
      <w:r>
        <w:rPr>
          <w:lang w:val="fr-FR"/>
        </w:rPr>
        <w:t>’</w:t>
      </w:r>
      <w:r w:rsidRPr="00817339">
        <w:rPr>
          <w:lang w:val="fr-FR"/>
        </w:rPr>
        <w:t>élimination de la discrimination</w:t>
      </w:r>
      <w:r>
        <w:rPr>
          <w:lang w:val="fr-FR"/>
        </w:rPr>
        <w:br/>
      </w:r>
      <w:r w:rsidRPr="00817339">
        <w:rPr>
          <w:lang w:val="fr-FR"/>
        </w:rPr>
        <w:t>à l</w:t>
      </w:r>
      <w:r>
        <w:rPr>
          <w:lang w:val="fr-FR"/>
        </w:rPr>
        <w:t>’</w:t>
      </w:r>
      <w:r w:rsidRPr="00817339">
        <w:rPr>
          <w:lang w:val="fr-FR"/>
        </w:rPr>
        <w:t>égard des femmes</w:t>
      </w:r>
    </w:p>
    <w:p w:rsidR="0086160B" w:rsidRPr="004E605B" w:rsidRDefault="0086160B" w:rsidP="0086160B">
      <w:pPr>
        <w:ind w:right="4539"/>
        <w:rPr>
          <w:b/>
          <w:lang w:val="fr-FR"/>
        </w:rPr>
      </w:pPr>
      <w:r w:rsidRPr="00817339">
        <w:rPr>
          <w:b/>
          <w:bCs/>
          <w:lang w:val="fr-FR"/>
        </w:rPr>
        <w:t>Soixante-neuvième session</w:t>
      </w:r>
    </w:p>
    <w:p w:rsidR="0086160B" w:rsidRPr="00817339" w:rsidRDefault="0086160B" w:rsidP="0086160B">
      <w:pPr>
        <w:ind w:right="4539"/>
        <w:rPr>
          <w:lang w:val="fr-FR"/>
        </w:rPr>
      </w:pPr>
      <w:r w:rsidRPr="00817339">
        <w:rPr>
          <w:lang w:val="fr-FR"/>
        </w:rPr>
        <w:t>19 février-9 mars 2018</w:t>
      </w:r>
    </w:p>
    <w:p w:rsidR="0086160B" w:rsidRPr="00817339" w:rsidRDefault="0086160B" w:rsidP="0086160B">
      <w:pPr>
        <w:ind w:right="4539"/>
        <w:rPr>
          <w:b/>
          <w:lang w:val="fr-FR"/>
        </w:rPr>
      </w:pPr>
      <w:r w:rsidRPr="00817339">
        <w:rPr>
          <w:lang w:val="fr-FR"/>
        </w:rPr>
        <w:t>Point</w:t>
      </w:r>
      <w:r>
        <w:rPr>
          <w:lang w:val="fr-FR"/>
        </w:rPr>
        <w:t> </w:t>
      </w:r>
      <w:r w:rsidRPr="00817339">
        <w:rPr>
          <w:lang w:val="fr-FR"/>
        </w:rPr>
        <w:t>4 de l</w:t>
      </w:r>
      <w:r>
        <w:rPr>
          <w:lang w:val="fr-FR"/>
        </w:rPr>
        <w:t>’</w:t>
      </w:r>
      <w:r w:rsidRPr="00817339">
        <w:rPr>
          <w:lang w:val="fr-FR"/>
        </w:rPr>
        <w:t>ordre du jour provisoire</w:t>
      </w:r>
    </w:p>
    <w:p w:rsidR="0086160B" w:rsidRPr="00817339" w:rsidRDefault="0086160B" w:rsidP="0086160B">
      <w:pPr>
        <w:ind w:right="4539"/>
        <w:rPr>
          <w:b/>
          <w:lang w:val="fr-FR"/>
        </w:rPr>
      </w:pPr>
      <w:r w:rsidRPr="00817339">
        <w:rPr>
          <w:b/>
          <w:lang w:val="fr-FR"/>
        </w:rPr>
        <w:t>Examen des rapports soumis par les États parties</w:t>
      </w:r>
      <w:r>
        <w:rPr>
          <w:b/>
          <w:lang w:val="fr-FR"/>
        </w:rPr>
        <w:br/>
      </w:r>
      <w:r w:rsidRPr="000A1892">
        <w:rPr>
          <w:b/>
          <w:lang w:val="fr-FR"/>
        </w:rPr>
        <w:t>en application</w:t>
      </w:r>
      <w:r w:rsidRPr="00817339">
        <w:rPr>
          <w:b/>
          <w:lang w:val="fr-FR"/>
        </w:rPr>
        <w:t xml:space="preserve"> de l</w:t>
      </w:r>
      <w:r>
        <w:rPr>
          <w:b/>
          <w:lang w:val="fr-FR"/>
        </w:rPr>
        <w:t>’</w:t>
      </w:r>
      <w:r w:rsidRPr="00817339">
        <w:rPr>
          <w:b/>
          <w:lang w:val="fr-FR"/>
        </w:rPr>
        <w:t>article</w:t>
      </w:r>
      <w:r>
        <w:rPr>
          <w:b/>
          <w:lang w:val="fr-FR"/>
        </w:rPr>
        <w:t> </w:t>
      </w:r>
      <w:r w:rsidRPr="00817339">
        <w:rPr>
          <w:b/>
          <w:lang w:val="fr-FR"/>
        </w:rPr>
        <w:t>18 de la Convention</w:t>
      </w:r>
      <w:bookmarkStart w:id="1" w:name="_GoBack"/>
      <w:bookmarkEnd w:id="1"/>
      <w:r>
        <w:rPr>
          <w:b/>
          <w:lang w:val="fr-FR"/>
        </w:rPr>
        <w:br/>
      </w:r>
      <w:r w:rsidRPr="00817339">
        <w:rPr>
          <w:b/>
          <w:lang w:val="fr-FR"/>
        </w:rPr>
        <w:t>sur l</w:t>
      </w:r>
      <w:r>
        <w:rPr>
          <w:b/>
          <w:lang w:val="fr-FR"/>
        </w:rPr>
        <w:t>’</w:t>
      </w:r>
      <w:r w:rsidRPr="00817339">
        <w:rPr>
          <w:b/>
          <w:lang w:val="fr-FR"/>
        </w:rPr>
        <w:t>élimination de toutes les formes de discrimination</w:t>
      </w:r>
      <w:r>
        <w:rPr>
          <w:b/>
          <w:lang w:val="fr-FR"/>
        </w:rPr>
        <w:br/>
      </w:r>
      <w:r w:rsidRPr="00817339">
        <w:rPr>
          <w:b/>
          <w:lang w:val="fr-FR"/>
        </w:rPr>
        <w:t>à l</w:t>
      </w:r>
      <w:r>
        <w:rPr>
          <w:b/>
          <w:lang w:val="fr-FR"/>
        </w:rPr>
        <w:t>’</w:t>
      </w:r>
      <w:r w:rsidRPr="00817339">
        <w:rPr>
          <w:b/>
          <w:lang w:val="fr-FR"/>
        </w:rPr>
        <w:t>égard des femmes</w:t>
      </w:r>
    </w:p>
    <w:p w:rsidR="0086160B" w:rsidRPr="004E605B" w:rsidRDefault="0086160B" w:rsidP="0086160B">
      <w:pPr>
        <w:pStyle w:val="SingleTxt"/>
        <w:spacing w:after="0" w:line="120" w:lineRule="exact"/>
        <w:rPr>
          <w:sz w:val="10"/>
          <w:lang w:val="fr-FR"/>
        </w:rPr>
      </w:pPr>
    </w:p>
    <w:p w:rsidR="0086160B" w:rsidRPr="004E605B" w:rsidRDefault="0086160B" w:rsidP="0086160B">
      <w:pPr>
        <w:pStyle w:val="SingleTxt"/>
        <w:spacing w:after="0" w:line="120" w:lineRule="exact"/>
        <w:rPr>
          <w:sz w:val="10"/>
          <w:lang w:val="fr-FR"/>
        </w:rPr>
      </w:pPr>
    </w:p>
    <w:p w:rsidR="0086160B" w:rsidRPr="004E605B" w:rsidRDefault="0086160B" w:rsidP="0086160B">
      <w:pPr>
        <w:pStyle w:val="SingleTxt"/>
        <w:spacing w:after="0" w:line="120" w:lineRule="exact"/>
        <w:rPr>
          <w:sz w:val="10"/>
          <w:lang w:val="fr-FR"/>
        </w:rPr>
      </w:pPr>
    </w:p>
    <w:p w:rsidR="0086160B" w:rsidRPr="004E605B" w:rsidRDefault="0086160B" w:rsidP="0086160B">
      <w:pPr>
        <w:pStyle w:val="TitleHCH"/>
        <w:ind w:right="1260"/>
        <w:rPr>
          <w:lang w:val="fr-FR"/>
        </w:rPr>
      </w:pPr>
      <w:r w:rsidRPr="004E605B">
        <w:rPr>
          <w:lang w:val="fr-FR"/>
        </w:rPr>
        <w:tab/>
      </w:r>
      <w:r w:rsidRPr="004E605B">
        <w:rPr>
          <w:lang w:val="fr-FR"/>
        </w:rPr>
        <w:tab/>
      </w:r>
      <w:r w:rsidRPr="00817339">
        <w:rPr>
          <w:lang w:val="fr-FR"/>
        </w:rPr>
        <w:t>Liste des points concernant le rapport unique valant quatrième</w:t>
      </w:r>
      <w:r>
        <w:rPr>
          <w:lang w:val="fr-FR"/>
        </w:rPr>
        <w:t>, cinquième</w:t>
      </w:r>
      <w:r w:rsidRPr="00817339">
        <w:rPr>
          <w:lang w:val="fr-FR"/>
        </w:rPr>
        <w:t xml:space="preserve"> </w:t>
      </w:r>
      <w:r>
        <w:rPr>
          <w:lang w:val="fr-FR"/>
        </w:rPr>
        <w:t>et</w:t>
      </w:r>
      <w:r w:rsidRPr="00817339">
        <w:rPr>
          <w:lang w:val="fr-FR"/>
        </w:rPr>
        <w:t xml:space="preserve"> sixième rapports périodiques du Suriname</w:t>
      </w:r>
    </w:p>
    <w:p w:rsidR="0086160B" w:rsidRPr="004E605B" w:rsidRDefault="0086160B" w:rsidP="0086160B">
      <w:pPr>
        <w:pStyle w:val="SingleTxt"/>
        <w:spacing w:after="0" w:line="120" w:lineRule="exact"/>
        <w:rPr>
          <w:sz w:val="10"/>
          <w:lang w:val="fr-FR"/>
        </w:rPr>
      </w:pPr>
    </w:p>
    <w:p w:rsidR="0086160B" w:rsidRPr="004E605B" w:rsidRDefault="0086160B" w:rsidP="0086160B">
      <w:pPr>
        <w:pStyle w:val="SingleTxt"/>
        <w:spacing w:after="0" w:line="120" w:lineRule="exact"/>
        <w:rPr>
          <w:sz w:val="10"/>
          <w:lang w:val="fr-FR"/>
        </w:rPr>
      </w:pPr>
    </w:p>
    <w:p w:rsidR="0086160B" w:rsidRPr="004E605B" w:rsidRDefault="0086160B" w:rsidP="008616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605B">
        <w:rPr>
          <w:lang w:val="fr-FR"/>
        </w:rPr>
        <w:tab/>
      </w:r>
      <w:r w:rsidRPr="004E605B">
        <w:rPr>
          <w:lang w:val="fr-FR"/>
        </w:rPr>
        <w:tab/>
      </w:r>
      <w:r w:rsidRPr="00817339">
        <w:rPr>
          <w:lang w:val="fr-FR"/>
        </w:rPr>
        <w:t>Cadre législatif et définition de la discrimination</w:t>
      </w:r>
    </w:p>
    <w:p w:rsidR="0086160B" w:rsidRPr="004E605B" w:rsidRDefault="0086160B" w:rsidP="0086160B">
      <w:pPr>
        <w:pStyle w:val="SingleTxt"/>
        <w:spacing w:after="0" w:line="120" w:lineRule="exact"/>
        <w:rPr>
          <w:sz w:val="10"/>
          <w:lang w:val="fr-FR"/>
        </w:rPr>
      </w:pPr>
    </w:p>
    <w:p w:rsidR="0086160B" w:rsidRPr="00817339" w:rsidRDefault="0086160B" w:rsidP="0086160B">
      <w:pPr>
        <w:pStyle w:val="SingleTxt"/>
        <w:rPr>
          <w:lang w:val="fr-FR"/>
        </w:rPr>
      </w:pPr>
      <w:r w:rsidRPr="004E605B">
        <w:rPr>
          <w:lang w:val="fr-FR"/>
        </w:rPr>
        <w:t>1.</w:t>
      </w:r>
      <w:r w:rsidRPr="004E605B">
        <w:rPr>
          <w:lang w:val="fr-FR"/>
        </w:rPr>
        <w:tab/>
      </w:r>
      <w:r w:rsidRPr="00817339">
        <w:rPr>
          <w:lang w:val="fr-FR"/>
        </w:rPr>
        <w:t>Conformément aux obligations de l</w:t>
      </w:r>
      <w:r>
        <w:rPr>
          <w:lang w:val="fr-FR"/>
        </w:rPr>
        <w:t>’</w:t>
      </w:r>
      <w:r w:rsidRPr="00817339">
        <w:rPr>
          <w:lang w:val="fr-FR"/>
        </w:rPr>
        <w:t>État partie en vertu de</w:t>
      </w:r>
      <w:r>
        <w:rPr>
          <w:lang w:val="fr-FR"/>
        </w:rPr>
        <w:t xml:space="preserve"> l’article premier et de l’article 2</w:t>
      </w:r>
      <w:r w:rsidRPr="00817339">
        <w:rPr>
          <w:lang w:val="fr-FR"/>
        </w:rPr>
        <w:t xml:space="preserve"> de la Convention et conformément à l</w:t>
      </w:r>
      <w:r>
        <w:rPr>
          <w:lang w:val="fr-FR"/>
        </w:rPr>
        <w:t>’</w:t>
      </w:r>
      <w:r w:rsidRPr="00817339">
        <w:rPr>
          <w:lang w:val="fr-FR"/>
        </w:rPr>
        <w:t xml:space="preserve">objectif </w:t>
      </w:r>
      <w:r>
        <w:rPr>
          <w:lang w:val="fr-FR"/>
        </w:rPr>
        <w:t>de</w:t>
      </w:r>
      <w:r w:rsidRPr="00817339">
        <w:rPr>
          <w:lang w:val="fr-FR"/>
        </w:rPr>
        <w:t xml:space="preserve"> développement durable n</w:t>
      </w:r>
      <w:r w:rsidRPr="00066A78">
        <w:rPr>
          <w:vertAlign w:val="superscript"/>
          <w:lang w:val="fr-FR"/>
        </w:rPr>
        <w:t>o</w:t>
      </w:r>
      <w:r>
        <w:rPr>
          <w:lang w:val="fr-FR"/>
        </w:rPr>
        <w:t> </w:t>
      </w:r>
      <w:r w:rsidRPr="00817339">
        <w:rPr>
          <w:lang w:val="fr-FR"/>
        </w:rPr>
        <w:t>5, cible</w:t>
      </w:r>
      <w:r>
        <w:rPr>
          <w:lang w:val="fr-FR"/>
        </w:rPr>
        <w:t> </w:t>
      </w:r>
      <w:r w:rsidRPr="00817339">
        <w:rPr>
          <w:lang w:val="fr-FR"/>
        </w:rPr>
        <w:t xml:space="preserve">5.1 </w:t>
      </w:r>
      <w:r>
        <w:rPr>
          <w:lang w:val="fr-FR"/>
        </w:rPr>
        <w:t>visant à m</w:t>
      </w:r>
      <w:r w:rsidRPr="00817339">
        <w:rPr>
          <w:lang w:val="fr-FR"/>
        </w:rPr>
        <w:t xml:space="preserve">ettre fin, </w:t>
      </w:r>
      <w:r>
        <w:rPr>
          <w:lang w:val="fr-FR"/>
        </w:rPr>
        <w:t xml:space="preserve">partout </w:t>
      </w:r>
      <w:r w:rsidRPr="00817339">
        <w:rPr>
          <w:lang w:val="fr-FR"/>
        </w:rPr>
        <w:t>dans le monde, à toutes les formes de discrimination à l</w:t>
      </w:r>
      <w:r>
        <w:rPr>
          <w:lang w:val="fr-FR"/>
        </w:rPr>
        <w:t>’</w:t>
      </w:r>
      <w:r w:rsidRPr="00817339">
        <w:rPr>
          <w:lang w:val="fr-FR"/>
        </w:rPr>
        <w:t xml:space="preserve">égard des femmes et des filles, veuillez fournir au Comité des </w:t>
      </w:r>
      <w:r>
        <w:rPr>
          <w:lang w:val="fr-FR"/>
        </w:rPr>
        <w:t>renseignements</w:t>
      </w:r>
      <w:r w:rsidRPr="00817339">
        <w:rPr>
          <w:lang w:val="fr-FR"/>
        </w:rPr>
        <w:t xml:space="preserve"> sur l</w:t>
      </w:r>
      <w:r>
        <w:rPr>
          <w:lang w:val="fr-FR"/>
        </w:rPr>
        <w:t>’</w:t>
      </w:r>
      <w:r w:rsidRPr="00817339">
        <w:rPr>
          <w:lang w:val="fr-FR"/>
        </w:rPr>
        <w:t>état d</w:t>
      </w:r>
      <w:r>
        <w:rPr>
          <w:lang w:val="fr-FR"/>
        </w:rPr>
        <w:t>’</w:t>
      </w:r>
      <w:r w:rsidRPr="00817339">
        <w:rPr>
          <w:lang w:val="fr-FR"/>
        </w:rPr>
        <w:t>avancement du projet de loi sur l</w:t>
      </w:r>
      <w:r>
        <w:rPr>
          <w:lang w:val="fr-FR"/>
        </w:rPr>
        <w:t>’</w:t>
      </w:r>
      <w:r w:rsidRPr="00817339">
        <w:rPr>
          <w:lang w:val="fr-FR"/>
        </w:rPr>
        <w:t xml:space="preserve">égalité de traitement </w:t>
      </w:r>
      <w:r>
        <w:rPr>
          <w:lang w:val="fr-FR"/>
        </w:rPr>
        <w:t>des hommes et des femmes</w:t>
      </w:r>
      <w:r w:rsidRPr="00817339">
        <w:rPr>
          <w:lang w:val="fr-FR"/>
        </w:rPr>
        <w:t xml:space="preserve"> et indiquez si</w:t>
      </w:r>
      <w:r>
        <w:rPr>
          <w:lang w:val="fr-FR"/>
        </w:rPr>
        <w:t> </w:t>
      </w:r>
      <w:r w:rsidRPr="00817339">
        <w:rPr>
          <w:lang w:val="fr-FR"/>
        </w:rPr>
        <w:t>: a) elle intègre une définition de la discrimination à l</w:t>
      </w:r>
      <w:r>
        <w:rPr>
          <w:lang w:val="fr-FR"/>
        </w:rPr>
        <w:t>’</w:t>
      </w:r>
      <w:r w:rsidRPr="00817339">
        <w:rPr>
          <w:lang w:val="fr-FR"/>
        </w:rPr>
        <w:t>égard des femmes conforme à l</w:t>
      </w:r>
      <w:r>
        <w:rPr>
          <w:lang w:val="fr-FR"/>
        </w:rPr>
        <w:t>’</w:t>
      </w:r>
      <w:r w:rsidRPr="00817339">
        <w:rPr>
          <w:lang w:val="fr-FR"/>
        </w:rPr>
        <w:t>article</w:t>
      </w:r>
      <w:r>
        <w:rPr>
          <w:lang w:val="fr-FR"/>
        </w:rPr>
        <w:t xml:space="preserve"> premier</w:t>
      </w:r>
      <w:r w:rsidRPr="00817339">
        <w:rPr>
          <w:lang w:val="fr-FR"/>
        </w:rPr>
        <w:t xml:space="preserve"> de la Convention, </w:t>
      </w:r>
      <w:r>
        <w:rPr>
          <w:lang w:val="fr-FR"/>
        </w:rPr>
        <w:t>et qui interdit</w:t>
      </w:r>
      <w:r w:rsidRPr="00817339">
        <w:rPr>
          <w:lang w:val="fr-FR"/>
        </w:rPr>
        <w:t xml:space="preserve"> la discrimination directe et indirecte par des acteurs publics et privés, </w:t>
      </w:r>
      <w:r>
        <w:rPr>
          <w:lang w:val="fr-FR"/>
        </w:rPr>
        <w:t>en vertu de</w:t>
      </w:r>
      <w:r w:rsidRPr="00817339">
        <w:rPr>
          <w:lang w:val="fr-FR"/>
        </w:rPr>
        <w:t xml:space="preserve"> l</w:t>
      </w:r>
      <w:r>
        <w:rPr>
          <w:lang w:val="fr-FR"/>
        </w:rPr>
        <w:t>’</w:t>
      </w:r>
      <w:r w:rsidRPr="00817339">
        <w:rPr>
          <w:lang w:val="fr-FR"/>
        </w:rPr>
        <w:t>article</w:t>
      </w:r>
      <w:r>
        <w:rPr>
          <w:lang w:val="fr-FR"/>
        </w:rPr>
        <w:t> </w:t>
      </w:r>
      <w:r w:rsidRPr="00817339">
        <w:rPr>
          <w:lang w:val="fr-FR"/>
        </w:rPr>
        <w:t>2 de la Convention (para</w:t>
      </w:r>
      <w:r>
        <w:rPr>
          <w:lang w:val="fr-FR"/>
        </w:rPr>
        <w:t>graphe </w:t>
      </w:r>
      <w:r w:rsidRPr="00817339">
        <w:rPr>
          <w:lang w:val="fr-FR"/>
        </w:rPr>
        <w:t>25)</w:t>
      </w:r>
      <w:r w:rsidRPr="0086160B">
        <w:rPr>
          <w:rStyle w:val="FootnoteReference"/>
        </w:rPr>
        <w:footnoteReference w:id="1"/>
      </w:r>
      <w:r>
        <w:rPr>
          <w:lang w:val="fr-FR"/>
        </w:rPr>
        <w:t> </w:t>
      </w:r>
      <w:r w:rsidRPr="00817339">
        <w:rPr>
          <w:lang w:val="fr-FR"/>
        </w:rPr>
        <w:t xml:space="preserve">; b) elle </w:t>
      </w:r>
      <w:r>
        <w:rPr>
          <w:lang w:val="fr-FR"/>
        </w:rPr>
        <w:t>inclut</w:t>
      </w:r>
      <w:r w:rsidRPr="00817339">
        <w:rPr>
          <w:lang w:val="fr-FR"/>
        </w:rPr>
        <w:t xml:space="preserve"> la protection de toutes les femmes contre la discrimination, y compris sur la base de l</w:t>
      </w:r>
      <w:r>
        <w:rPr>
          <w:lang w:val="fr-FR"/>
        </w:rPr>
        <w:t>’</w:t>
      </w:r>
      <w:r w:rsidRPr="00817339">
        <w:rPr>
          <w:lang w:val="fr-FR"/>
        </w:rPr>
        <w:t>orientation sexuelle et de l</w:t>
      </w:r>
      <w:r>
        <w:rPr>
          <w:lang w:val="fr-FR"/>
        </w:rPr>
        <w:t>’</w:t>
      </w:r>
      <w:r w:rsidRPr="00817339">
        <w:rPr>
          <w:lang w:val="fr-FR"/>
        </w:rPr>
        <w:t>identité de genre.</w:t>
      </w:r>
    </w:p>
    <w:p w:rsidR="0086160B" w:rsidRPr="0086160B" w:rsidRDefault="0086160B" w:rsidP="0086160B">
      <w:pPr>
        <w:pStyle w:val="SingleTxt"/>
        <w:spacing w:after="0" w:line="120" w:lineRule="exact"/>
        <w:rPr>
          <w:b/>
          <w:sz w:val="10"/>
          <w:lang w:val="fr-FR"/>
        </w:rPr>
      </w:pPr>
    </w:p>
    <w:p w:rsidR="0086160B" w:rsidRPr="00817339" w:rsidRDefault="0086160B" w:rsidP="0086160B">
      <w:pPr>
        <w:pStyle w:val="SingleTxt"/>
        <w:rPr>
          <w:b/>
          <w:lang w:val="fr-FR"/>
        </w:rPr>
      </w:pPr>
      <w:r w:rsidRPr="00817339">
        <w:rPr>
          <w:b/>
          <w:lang w:val="fr-FR"/>
        </w:rPr>
        <w:t>Visibilité de la Convention</w:t>
      </w:r>
    </w:p>
    <w:p w:rsidR="0086160B" w:rsidRPr="00D025D2" w:rsidRDefault="0086160B" w:rsidP="0086160B">
      <w:pPr>
        <w:pStyle w:val="SingleTxt"/>
        <w:rPr>
          <w:lang w:val="fr-FR"/>
        </w:rPr>
      </w:pPr>
      <w:r w:rsidRPr="00817339">
        <w:rPr>
          <w:lang w:val="fr-FR"/>
        </w:rPr>
        <w:t>2.</w:t>
      </w:r>
      <w:r w:rsidRPr="00817339">
        <w:rPr>
          <w:lang w:val="fr-FR"/>
        </w:rPr>
        <w:tab/>
        <w:t xml:space="preserve">Veuillez fournir des exemples de cas où les dispositions de la Convention ont été </w:t>
      </w:r>
      <w:r>
        <w:rPr>
          <w:lang w:val="fr-FR"/>
        </w:rPr>
        <w:t>invoquées</w:t>
      </w:r>
      <w:r w:rsidRPr="00817339">
        <w:rPr>
          <w:lang w:val="fr-FR"/>
        </w:rPr>
        <w:t xml:space="preserve"> par les juridictions </w:t>
      </w:r>
      <w:r>
        <w:rPr>
          <w:lang w:val="fr-FR"/>
        </w:rPr>
        <w:t>nationales</w:t>
      </w:r>
      <w:r w:rsidRPr="00817339">
        <w:rPr>
          <w:lang w:val="fr-FR"/>
        </w:rPr>
        <w:t xml:space="preserve">. Veuillez indiquer si la Convention et les </w:t>
      </w:r>
      <w:r>
        <w:rPr>
          <w:lang w:val="fr-FR"/>
        </w:rPr>
        <w:t>r</w:t>
      </w:r>
      <w:r w:rsidRPr="00817339">
        <w:rPr>
          <w:lang w:val="fr-FR"/>
        </w:rPr>
        <w:t xml:space="preserve">ecommandations </w:t>
      </w:r>
      <w:r>
        <w:rPr>
          <w:lang w:val="fr-FR"/>
        </w:rPr>
        <w:t>g</w:t>
      </w:r>
      <w:r w:rsidRPr="00817339">
        <w:rPr>
          <w:lang w:val="fr-FR"/>
        </w:rPr>
        <w:t>énérales du Comité sont traduites dans les langues locales et intégrées systématiquement dans les programmes de renforcement des capacités pour les législateurs, les juges, les procureurs, les avocats et la police</w:t>
      </w:r>
      <w:r>
        <w:rPr>
          <w:lang w:val="fr-FR"/>
        </w:rPr>
        <w:t>,</w:t>
      </w:r>
      <w:r w:rsidRPr="00817339">
        <w:rPr>
          <w:lang w:val="fr-FR"/>
        </w:rPr>
        <w:t xml:space="preserve"> </w:t>
      </w:r>
      <w:r>
        <w:rPr>
          <w:lang w:val="fr-FR"/>
        </w:rPr>
        <w:t>ainsi que</w:t>
      </w:r>
      <w:r w:rsidRPr="00817339">
        <w:rPr>
          <w:lang w:val="fr-FR"/>
        </w:rPr>
        <w:t xml:space="preserve"> d</w:t>
      </w:r>
      <w:r>
        <w:rPr>
          <w:lang w:val="fr-FR"/>
        </w:rPr>
        <w:t>’</w:t>
      </w:r>
      <w:r w:rsidRPr="00817339">
        <w:rPr>
          <w:lang w:val="fr-FR"/>
        </w:rPr>
        <w:t>autres responsables de l</w:t>
      </w:r>
      <w:r>
        <w:rPr>
          <w:lang w:val="fr-FR"/>
        </w:rPr>
        <w:t>’</w:t>
      </w:r>
      <w:r w:rsidRPr="00817339">
        <w:rPr>
          <w:lang w:val="fr-FR"/>
        </w:rPr>
        <w:t>application des lois. Veuillez indiquer également si la Convention et les recommandations générales du Comité sont également intégrées de manière systématique dans les programmes de renforcement des capacités de la société civile et des organisations non gouvernementales à travers les programmes du Ministère de l</w:t>
      </w:r>
      <w:r>
        <w:rPr>
          <w:lang w:val="fr-FR"/>
        </w:rPr>
        <w:t>’</w:t>
      </w:r>
      <w:r w:rsidRPr="00817339">
        <w:rPr>
          <w:lang w:val="fr-FR"/>
        </w:rPr>
        <w:t>intérieur, responsable du Bureau n</w:t>
      </w:r>
      <w:r>
        <w:rPr>
          <w:lang w:val="fr-FR"/>
        </w:rPr>
        <w:t>ational des affaires féminines.</w:t>
      </w:r>
    </w:p>
    <w:p w:rsidR="0086160B" w:rsidRPr="0086160B" w:rsidRDefault="0086160B" w:rsidP="0086160B">
      <w:pPr>
        <w:pStyle w:val="SingleTxt"/>
        <w:spacing w:after="0" w:line="120" w:lineRule="exact"/>
        <w:rPr>
          <w:b/>
          <w:sz w:val="10"/>
          <w:lang w:val="fr-FR"/>
        </w:rPr>
      </w:pPr>
    </w:p>
    <w:p w:rsidR="0086160B" w:rsidRPr="00817339" w:rsidRDefault="0086160B" w:rsidP="0086160B">
      <w:pPr>
        <w:pStyle w:val="SingleTxt"/>
        <w:rPr>
          <w:b/>
          <w:lang w:val="fr-FR"/>
        </w:rPr>
      </w:pPr>
      <w:r w:rsidRPr="00817339">
        <w:rPr>
          <w:b/>
          <w:lang w:val="fr-FR"/>
        </w:rPr>
        <w:t>Accès à la justice</w:t>
      </w:r>
    </w:p>
    <w:p w:rsidR="0086160B" w:rsidRPr="00817339" w:rsidRDefault="0086160B" w:rsidP="0086160B">
      <w:pPr>
        <w:pStyle w:val="SingleTxt"/>
        <w:rPr>
          <w:lang w:val="fr-FR"/>
        </w:rPr>
      </w:pPr>
      <w:r>
        <w:rPr>
          <w:lang w:val="fr-FR"/>
        </w:rPr>
        <w:t>3.</w:t>
      </w:r>
      <w:r>
        <w:rPr>
          <w:lang w:val="fr-FR"/>
        </w:rPr>
        <w:tab/>
        <w:t>Conformément à la</w:t>
      </w:r>
      <w:r w:rsidRPr="00817339">
        <w:rPr>
          <w:lang w:val="fr-FR"/>
        </w:rPr>
        <w:t xml:space="preserve"> recommandation générale </w:t>
      </w:r>
      <w:r>
        <w:rPr>
          <w:lang w:val="fr-FR"/>
        </w:rPr>
        <w:t>n</w:t>
      </w:r>
      <w:r w:rsidRPr="0020169F">
        <w:rPr>
          <w:vertAlign w:val="superscript"/>
          <w:lang w:val="fr-FR"/>
        </w:rPr>
        <w:t>o</w:t>
      </w:r>
      <w:r>
        <w:rPr>
          <w:lang w:val="fr-FR"/>
        </w:rPr>
        <w:t> </w:t>
      </w:r>
      <w:r w:rsidRPr="00817339">
        <w:rPr>
          <w:lang w:val="fr-FR"/>
        </w:rPr>
        <w:t>33 sur l</w:t>
      </w:r>
      <w:r>
        <w:rPr>
          <w:lang w:val="fr-FR"/>
        </w:rPr>
        <w:t>’</w:t>
      </w:r>
      <w:r w:rsidRPr="00817339">
        <w:rPr>
          <w:lang w:val="fr-FR"/>
        </w:rPr>
        <w:t xml:space="preserve">accès des femmes à la justice (2015), veuillez fournir des </w:t>
      </w:r>
      <w:r>
        <w:rPr>
          <w:lang w:val="fr-FR"/>
        </w:rPr>
        <w:t>renseignements</w:t>
      </w:r>
      <w:r w:rsidRPr="00817339">
        <w:rPr>
          <w:lang w:val="fr-FR"/>
        </w:rPr>
        <w:t xml:space="preserve"> sur les mécanismes et les procédures dont disposent les femmes pour faire respecter leurs droits en vertu de la Convention, y compris les mécanismes de </w:t>
      </w:r>
      <w:r>
        <w:rPr>
          <w:lang w:val="fr-FR"/>
        </w:rPr>
        <w:t xml:space="preserve">dépôt de </w:t>
      </w:r>
      <w:r w:rsidRPr="00817339">
        <w:rPr>
          <w:lang w:val="fr-FR"/>
        </w:rPr>
        <w:t xml:space="preserve">plainte, pour des cas de discrimination fondée sur le sexe dans les sphères publiques ou privées, et </w:t>
      </w:r>
      <w:r>
        <w:rPr>
          <w:lang w:val="fr-FR"/>
        </w:rPr>
        <w:t xml:space="preserve">sur </w:t>
      </w:r>
      <w:r w:rsidRPr="00817339">
        <w:rPr>
          <w:lang w:val="fr-FR"/>
        </w:rPr>
        <w:t>les mesures prises pour informer les femmes de ces mécanismes et procédures</w:t>
      </w:r>
      <w:r>
        <w:rPr>
          <w:lang w:val="fr-FR"/>
        </w:rPr>
        <w:t xml:space="preserve">. Étant donné que l’article 12 </w:t>
      </w:r>
      <w:r w:rsidRPr="00817339">
        <w:rPr>
          <w:lang w:val="fr-FR"/>
        </w:rPr>
        <w:t xml:space="preserve">de la Constitution garantit le droit </w:t>
      </w:r>
      <w:r>
        <w:rPr>
          <w:lang w:val="fr-FR"/>
        </w:rPr>
        <w:t>de chacun de se faire représenter en justice, les personnes démunies pouvant bénéficier gratuitement d’une aide juridique</w:t>
      </w:r>
      <w:r w:rsidRPr="00817339">
        <w:rPr>
          <w:lang w:val="fr-FR"/>
        </w:rPr>
        <w:t xml:space="preserve"> (</w:t>
      </w:r>
      <w:hyperlink r:id="rId16" w:history="1">
        <w:r w:rsidRPr="004E605B">
          <w:rPr>
            <w:rStyle w:val="Hyperlink"/>
            <w:lang w:val="fr-FR"/>
          </w:rPr>
          <w:t>HRI/CORE/SUR/2014</w:t>
        </w:r>
      </w:hyperlink>
      <w:r w:rsidRPr="00817339">
        <w:rPr>
          <w:lang w:val="fr-FR"/>
        </w:rPr>
        <w:t>,</w:t>
      </w:r>
      <w:r>
        <w:rPr>
          <w:lang w:val="fr-FR"/>
        </w:rPr>
        <w:t xml:space="preserve"> paragraphes 76 et 77), et en vue de</w:t>
      </w:r>
      <w:r w:rsidRPr="00817339">
        <w:rPr>
          <w:lang w:val="fr-FR"/>
        </w:rPr>
        <w:t xml:space="preserve"> l</w:t>
      </w:r>
      <w:r>
        <w:rPr>
          <w:lang w:val="fr-FR"/>
        </w:rPr>
        <w:t>’</w:t>
      </w:r>
      <w:r w:rsidRPr="00817339">
        <w:rPr>
          <w:lang w:val="fr-FR"/>
        </w:rPr>
        <w:t>acceptation par l</w:t>
      </w:r>
      <w:r>
        <w:rPr>
          <w:lang w:val="fr-FR"/>
        </w:rPr>
        <w:t>’</w:t>
      </w:r>
      <w:r w:rsidRPr="00817339">
        <w:rPr>
          <w:lang w:val="fr-FR"/>
        </w:rPr>
        <w:t>État partie, lors de son dernier examen périodique univers</w:t>
      </w:r>
      <w:r>
        <w:rPr>
          <w:lang w:val="fr-FR"/>
        </w:rPr>
        <w:t>el, de la recommandation 133.81</w:t>
      </w:r>
      <w:r w:rsidRPr="00817339">
        <w:rPr>
          <w:lang w:val="fr-FR"/>
        </w:rPr>
        <w:t xml:space="preserve"> à « </w:t>
      </w:r>
      <w:r w:rsidRPr="00023BFA">
        <w:rPr>
          <w:lang w:val="fr-FR"/>
        </w:rPr>
        <w:t>Prendre des mesures concrètes pour améliorer l’accès des groupes vulnérables aux services d’un avocat et à la justice, par le biais de mécanismes d’aide juridictionnelle financièrement accessibles</w:t>
      </w:r>
      <w:r w:rsidRPr="00817339">
        <w:rPr>
          <w:lang w:val="fr-FR"/>
        </w:rPr>
        <w:t> </w:t>
      </w:r>
      <w:r>
        <w:rPr>
          <w:lang w:val="fr-FR"/>
        </w:rPr>
        <w:t>» (</w:t>
      </w:r>
      <w:hyperlink r:id="rId17" w:history="1">
        <w:r w:rsidRPr="004E605B">
          <w:rPr>
            <w:rStyle w:val="Hyperlink"/>
            <w:lang w:val="fr-FR"/>
          </w:rPr>
          <w:t>A/HRC/33/4</w:t>
        </w:r>
      </w:hyperlink>
      <w:r w:rsidRPr="00817339">
        <w:rPr>
          <w:lang w:val="fr-FR"/>
        </w:rPr>
        <w:t>), veuillez nous informez de l</w:t>
      </w:r>
      <w:r>
        <w:rPr>
          <w:lang w:val="fr-FR"/>
        </w:rPr>
        <w:t>’</w:t>
      </w:r>
      <w:r w:rsidRPr="00817339">
        <w:rPr>
          <w:lang w:val="fr-FR"/>
        </w:rPr>
        <w:t>accessibilité, de la disponibilité et de la qualité de l</w:t>
      </w:r>
      <w:r>
        <w:rPr>
          <w:lang w:val="fr-FR"/>
        </w:rPr>
        <w:t>’</w:t>
      </w:r>
      <w:r w:rsidRPr="00817339">
        <w:rPr>
          <w:lang w:val="fr-FR"/>
        </w:rPr>
        <w:t>aide juridique et des conseils pour les femmes à faible revenu dans tous les domaines du droit.</w:t>
      </w:r>
    </w:p>
    <w:p w:rsidR="0086160B" w:rsidRPr="0086160B" w:rsidRDefault="0086160B" w:rsidP="0086160B">
      <w:pPr>
        <w:pStyle w:val="SingleTxt"/>
        <w:spacing w:after="0" w:line="120" w:lineRule="exact"/>
        <w:rPr>
          <w:b/>
          <w:sz w:val="10"/>
          <w:lang w:val="fr-FR"/>
        </w:rPr>
      </w:pPr>
    </w:p>
    <w:p w:rsidR="0086160B" w:rsidRPr="00817339" w:rsidRDefault="0086160B" w:rsidP="0086160B">
      <w:pPr>
        <w:pStyle w:val="SingleTxt"/>
        <w:rPr>
          <w:b/>
          <w:lang w:val="fr-FR"/>
        </w:rPr>
      </w:pPr>
      <w:r w:rsidRPr="00817339">
        <w:rPr>
          <w:b/>
          <w:lang w:val="fr-FR"/>
        </w:rPr>
        <w:t>Mécanismes nationaux pour la promotion de la femme</w:t>
      </w:r>
    </w:p>
    <w:p w:rsidR="0086160B" w:rsidRPr="00817339" w:rsidRDefault="0086160B" w:rsidP="0086160B">
      <w:pPr>
        <w:pStyle w:val="SingleTxt"/>
        <w:rPr>
          <w:lang w:val="fr-FR"/>
        </w:rPr>
      </w:pPr>
      <w:r w:rsidRPr="00817339">
        <w:rPr>
          <w:lang w:val="fr-FR"/>
        </w:rPr>
        <w:t>4.</w:t>
      </w:r>
      <w:r w:rsidRPr="00817339">
        <w:rPr>
          <w:lang w:val="fr-FR"/>
        </w:rPr>
        <w:tab/>
        <w:t>Veuillez indiquer les mesures prises par l</w:t>
      </w:r>
      <w:r>
        <w:rPr>
          <w:lang w:val="fr-FR"/>
        </w:rPr>
        <w:t>’</w:t>
      </w:r>
      <w:r w:rsidRPr="00817339">
        <w:rPr>
          <w:lang w:val="fr-FR"/>
        </w:rPr>
        <w:t>État partie pour renforcer davantage ses mécanismes nationaux pour la promotion de la femme, en particulier le Bureau national des affaires féminines, l</w:t>
      </w:r>
      <w:r>
        <w:rPr>
          <w:lang w:val="fr-FR"/>
        </w:rPr>
        <w:t>a Commission nationale sur la législation concernant les femmes</w:t>
      </w:r>
      <w:r w:rsidRPr="00817339">
        <w:rPr>
          <w:lang w:val="fr-FR"/>
        </w:rPr>
        <w:t xml:space="preserve">, et des </w:t>
      </w:r>
      <w:r w:rsidRPr="00305A43">
        <w:rPr>
          <w:lang w:val="fr-FR"/>
        </w:rPr>
        <w:t>responsables de la coordination des questions d’égalité des sexes</w:t>
      </w:r>
      <w:r>
        <w:rPr>
          <w:lang w:val="fr-FR"/>
        </w:rPr>
        <w:t xml:space="preserve"> </w:t>
      </w:r>
      <w:r w:rsidRPr="00817339">
        <w:rPr>
          <w:lang w:val="fr-FR"/>
        </w:rPr>
        <w:t xml:space="preserve">dans les différents ministères, notamment en définissant clairement le mandat et les responsabilités des diverses composantes, </w:t>
      </w:r>
      <w:r>
        <w:rPr>
          <w:lang w:val="fr-FR"/>
        </w:rPr>
        <w:t>la façon dont</w:t>
      </w:r>
      <w:r w:rsidRPr="00817339">
        <w:rPr>
          <w:lang w:val="fr-FR"/>
        </w:rPr>
        <w:t xml:space="preserve"> leur coordination est assurée, et s</w:t>
      </w:r>
      <w:r>
        <w:rPr>
          <w:lang w:val="fr-FR"/>
        </w:rPr>
        <w:t>’</w:t>
      </w:r>
      <w:r w:rsidRPr="00817339">
        <w:rPr>
          <w:lang w:val="fr-FR"/>
        </w:rPr>
        <w:t xml:space="preserve">ils disposent de ressources humaines, techniques et financières appropriées. Veuillez également fournir des </w:t>
      </w:r>
      <w:r>
        <w:rPr>
          <w:lang w:val="fr-FR"/>
        </w:rPr>
        <w:t>renseignements</w:t>
      </w:r>
      <w:r w:rsidRPr="00817339">
        <w:rPr>
          <w:lang w:val="fr-FR"/>
        </w:rPr>
        <w:t xml:space="preserve"> </w:t>
      </w:r>
      <w:r>
        <w:rPr>
          <w:lang w:val="fr-FR"/>
        </w:rPr>
        <w:t>indiquant</w:t>
      </w:r>
      <w:r w:rsidRPr="00817339">
        <w:rPr>
          <w:lang w:val="fr-FR"/>
        </w:rPr>
        <w:t xml:space="preserve"> si l</w:t>
      </w:r>
      <w:r>
        <w:rPr>
          <w:lang w:val="fr-FR"/>
        </w:rPr>
        <w:t>’</w:t>
      </w:r>
      <w:r w:rsidRPr="00817339">
        <w:rPr>
          <w:lang w:val="fr-FR"/>
        </w:rPr>
        <w:t>institution nationale des droits de l</w:t>
      </w:r>
      <w:r>
        <w:rPr>
          <w:lang w:val="fr-FR"/>
        </w:rPr>
        <w:t>’</w:t>
      </w:r>
      <w:r w:rsidRPr="00817339">
        <w:rPr>
          <w:lang w:val="fr-FR"/>
        </w:rPr>
        <w:t xml:space="preserve">homme récemment créée est établie conformément aux Principes de Paris, et si elle </w:t>
      </w:r>
      <w:r>
        <w:rPr>
          <w:lang w:val="fr-FR"/>
        </w:rPr>
        <w:t>est mandatée pour</w:t>
      </w:r>
      <w:r w:rsidRPr="00817339">
        <w:rPr>
          <w:lang w:val="fr-FR"/>
        </w:rPr>
        <w:t xml:space="preserve"> traiter des cas de discrimination fondée sur le sexe. Le Comité est informé que la corruption ambiante dans l</w:t>
      </w:r>
      <w:r>
        <w:rPr>
          <w:lang w:val="fr-FR"/>
        </w:rPr>
        <w:t>’</w:t>
      </w:r>
      <w:r w:rsidRPr="00817339">
        <w:rPr>
          <w:lang w:val="fr-FR"/>
        </w:rPr>
        <w:t xml:space="preserve">État partie peut </w:t>
      </w:r>
      <w:r>
        <w:rPr>
          <w:lang w:val="fr-FR"/>
        </w:rPr>
        <w:t>entraîner une insuffisance</w:t>
      </w:r>
      <w:r w:rsidRPr="00817339">
        <w:rPr>
          <w:lang w:val="fr-FR"/>
        </w:rPr>
        <w:t xml:space="preserve"> des ressources et </w:t>
      </w:r>
      <w:r>
        <w:rPr>
          <w:lang w:val="fr-FR"/>
        </w:rPr>
        <w:t>du</w:t>
      </w:r>
      <w:r w:rsidRPr="00817339">
        <w:rPr>
          <w:lang w:val="fr-FR"/>
        </w:rPr>
        <w:t xml:space="preserve"> financement </w:t>
      </w:r>
      <w:r>
        <w:rPr>
          <w:lang w:val="fr-FR"/>
        </w:rPr>
        <w:t>destinés à</w:t>
      </w:r>
      <w:r w:rsidRPr="00817339">
        <w:rPr>
          <w:lang w:val="fr-FR"/>
        </w:rPr>
        <w:t xml:space="preserve"> soutenir les mécanismes nationaux pour la promotion de la femme et les programmes pour favoriser le développement et garantir l</w:t>
      </w:r>
      <w:r>
        <w:rPr>
          <w:lang w:val="fr-FR"/>
        </w:rPr>
        <w:t>’élimination</w:t>
      </w:r>
      <w:r w:rsidRPr="00817339">
        <w:rPr>
          <w:lang w:val="fr-FR"/>
        </w:rPr>
        <w:t xml:space="preserve"> de la pauvreté, ayant de ce fait un impact négatif sur la mise en </w:t>
      </w:r>
      <w:r>
        <w:rPr>
          <w:lang w:val="fr-FR"/>
        </w:rPr>
        <w:t>œuvre</w:t>
      </w:r>
      <w:r w:rsidRPr="00817339">
        <w:rPr>
          <w:lang w:val="fr-FR"/>
        </w:rPr>
        <w:t xml:space="preserve"> des droits garantis par la Convention. Au vu de l</w:t>
      </w:r>
      <w:r>
        <w:rPr>
          <w:lang w:val="fr-FR"/>
        </w:rPr>
        <w:t>’</w:t>
      </w:r>
      <w:r w:rsidRPr="00817339">
        <w:rPr>
          <w:lang w:val="fr-FR"/>
        </w:rPr>
        <w:t xml:space="preserve">objectif </w:t>
      </w:r>
      <w:r>
        <w:rPr>
          <w:lang w:val="fr-FR"/>
        </w:rPr>
        <w:t>de</w:t>
      </w:r>
      <w:r w:rsidRPr="00817339">
        <w:rPr>
          <w:lang w:val="fr-FR"/>
        </w:rPr>
        <w:t xml:space="preserve"> développement durable n</w:t>
      </w:r>
      <w:r w:rsidRPr="00182363">
        <w:rPr>
          <w:vertAlign w:val="superscript"/>
          <w:lang w:val="fr-FR"/>
        </w:rPr>
        <w:t>o</w:t>
      </w:r>
      <w:r>
        <w:rPr>
          <w:lang w:val="fr-FR"/>
        </w:rPr>
        <w:t> </w:t>
      </w:r>
      <w:r w:rsidRPr="00817339">
        <w:rPr>
          <w:lang w:val="fr-FR"/>
        </w:rPr>
        <w:t>16, veuillez indiquer les mesures prises par l</w:t>
      </w:r>
      <w:r>
        <w:rPr>
          <w:lang w:val="fr-FR"/>
        </w:rPr>
        <w:t>’</w:t>
      </w:r>
      <w:r w:rsidRPr="00817339">
        <w:rPr>
          <w:lang w:val="fr-FR"/>
        </w:rPr>
        <w:t xml:space="preserve">État partie, y compris les mesures législatives, pour </w:t>
      </w:r>
      <w:r>
        <w:rPr>
          <w:lang w:val="fr-FR"/>
        </w:rPr>
        <w:t>lutter contre</w:t>
      </w:r>
      <w:r w:rsidRPr="00817339">
        <w:rPr>
          <w:lang w:val="fr-FR"/>
        </w:rPr>
        <w:t xml:space="preserve"> les problèmes de corruption dans l</w:t>
      </w:r>
      <w:r>
        <w:rPr>
          <w:lang w:val="fr-FR"/>
        </w:rPr>
        <w:t>’</w:t>
      </w:r>
      <w:r w:rsidRPr="00817339">
        <w:rPr>
          <w:lang w:val="fr-FR"/>
        </w:rPr>
        <w:t>administration et ses répercussions sur les droits de l</w:t>
      </w:r>
      <w:r>
        <w:rPr>
          <w:lang w:val="fr-FR"/>
        </w:rPr>
        <w:t>’</w:t>
      </w:r>
      <w:r w:rsidRPr="00817339">
        <w:rPr>
          <w:lang w:val="fr-FR"/>
        </w:rPr>
        <w:t>homme, en particulier, la promotion et la protection des droits fondamentaux des femmes.</w:t>
      </w:r>
    </w:p>
    <w:p w:rsidR="0086160B" w:rsidRPr="0086160B" w:rsidRDefault="0086160B" w:rsidP="0086160B">
      <w:pPr>
        <w:pStyle w:val="SingleTxt"/>
        <w:spacing w:after="0" w:line="120" w:lineRule="exact"/>
        <w:rPr>
          <w:b/>
          <w:sz w:val="10"/>
          <w:lang w:val="fr-FR"/>
        </w:rPr>
      </w:pPr>
    </w:p>
    <w:p w:rsidR="0086160B" w:rsidRDefault="0086160B" w:rsidP="0086160B">
      <w:pPr>
        <w:pStyle w:val="SingleTxt"/>
        <w:rPr>
          <w:b/>
          <w:lang w:val="fr-FR"/>
        </w:rPr>
      </w:pPr>
      <w:r w:rsidRPr="00817339">
        <w:rPr>
          <w:b/>
          <w:lang w:val="fr-FR"/>
        </w:rPr>
        <w:t>Obligations extraterritoriales</w:t>
      </w:r>
    </w:p>
    <w:p w:rsidR="0086160B" w:rsidRPr="00817339" w:rsidRDefault="0086160B" w:rsidP="0086160B">
      <w:pPr>
        <w:pStyle w:val="SingleTxt"/>
        <w:rPr>
          <w:lang w:val="fr-FR"/>
        </w:rPr>
      </w:pPr>
      <w:r w:rsidRPr="00817339">
        <w:rPr>
          <w:lang w:val="fr-FR"/>
        </w:rPr>
        <w:t>5.</w:t>
      </w:r>
      <w:r w:rsidRPr="00817339">
        <w:rPr>
          <w:lang w:val="fr-FR"/>
        </w:rPr>
        <w:tab/>
        <w:t xml:space="preserve">Veuillez fournir des </w:t>
      </w:r>
      <w:r>
        <w:rPr>
          <w:lang w:val="fr-FR"/>
        </w:rPr>
        <w:t>renseignements</w:t>
      </w:r>
      <w:r w:rsidRPr="00817339">
        <w:rPr>
          <w:lang w:val="fr-FR"/>
        </w:rPr>
        <w:t xml:space="preserve"> sur le cadre réglementaire </w:t>
      </w:r>
      <w:r>
        <w:rPr>
          <w:lang w:val="fr-FR"/>
        </w:rPr>
        <w:t>visant l</w:t>
      </w:r>
      <w:r w:rsidRPr="00817339">
        <w:rPr>
          <w:lang w:val="fr-FR"/>
        </w:rPr>
        <w:t>es activités dans des secteurs tels que l</w:t>
      </w:r>
      <w:r>
        <w:rPr>
          <w:lang w:val="fr-FR"/>
        </w:rPr>
        <w:t>’</w:t>
      </w:r>
      <w:r w:rsidRPr="00817339">
        <w:rPr>
          <w:lang w:val="fr-FR"/>
        </w:rPr>
        <w:t>or, le pétrole et l</w:t>
      </w:r>
      <w:r>
        <w:rPr>
          <w:lang w:val="fr-FR"/>
        </w:rPr>
        <w:t>’</w:t>
      </w:r>
      <w:r w:rsidRPr="00817339">
        <w:rPr>
          <w:lang w:val="fr-FR"/>
        </w:rPr>
        <w:t>agroalimentaire, et les entreprises opérant dans l</w:t>
      </w:r>
      <w:r>
        <w:rPr>
          <w:lang w:val="fr-FR"/>
        </w:rPr>
        <w:t>’</w:t>
      </w:r>
      <w:r w:rsidRPr="00817339">
        <w:rPr>
          <w:lang w:val="fr-FR"/>
        </w:rPr>
        <w:t>État partie</w:t>
      </w:r>
      <w:r>
        <w:rPr>
          <w:lang w:val="fr-FR"/>
        </w:rPr>
        <w:t>,</w:t>
      </w:r>
      <w:r w:rsidRPr="00817339">
        <w:rPr>
          <w:lang w:val="fr-FR"/>
        </w:rPr>
        <w:t xml:space="preserve"> ainsi que les sociétés enregistrées au Suriname qui effectuent des opérations à l</w:t>
      </w:r>
      <w:r>
        <w:rPr>
          <w:lang w:val="fr-FR"/>
        </w:rPr>
        <w:t>’</w:t>
      </w:r>
      <w:r w:rsidRPr="00817339">
        <w:rPr>
          <w:lang w:val="fr-FR"/>
        </w:rPr>
        <w:t xml:space="preserve">étranger, pour </w:t>
      </w:r>
      <w:r>
        <w:rPr>
          <w:lang w:val="fr-FR"/>
        </w:rPr>
        <w:t>garantir</w:t>
      </w:r>
      <w:r w:rsidRPr="00817339">
        <w:rPr>
          <w:lang w:val="fr-FR"/>
        </w:rPr>
        <w:t xml:space="preserve"> que leurs activités ne portent pas atteinte aux droits de l</w:t>
      </w:r>
      <w:r>
        <w:rPr>
          <w:lang w:val="fr-FR"/>
        </w:rPr>
        <w:t>’</w:t>
      </w:r>
      <w:r w:rsidRPr="00817339">
        <w:rPr>
          <w:lang w:val="fr-FR"/>
        </w:rPr>
        <w:t xml:space="preserve">homme ou </w:t>
      </w:r>
      <w:r>
        <w:rPr>
          <w:lang w:val="fr-FR"/>
        </w:rPr>
        <w:t xml:space="preserve">qu’elles ne </w:t>
      </w:r>
      <w:r w:rsidRPr="00817339">
        <w:rPr>
          <w:lang w:val="fr-FR"/>
        </w:rPr>
        <w:t xml:space="preserve">mettent </w:t>
      </w:r>
      <w:r>
        <w:rPr>
          <w:lang w:val="fr-FR"/>
        </w:rPr>
        <w:t xml:space="preserve">pas </w:t>
      </w:r>
      <w:r w:rsidRPr="00817339">
        <w:rPr>
          <w:lang w:val="fr-FR"/>
        </w:rPr>
        <w:t>en danger les normes environnementales, professionnelles, sanitaires et autres, en particulier celles relatives aux droits des femmes.</w:t>
      </w:r>
    </w:p>
    <w:p w:rsidR="0086160B" w:rsidRPr="00817339" w:rsidRDefault="0086160B" w:rsidP="0086160B">
      <w:pPr>
        <w:pStyle w:val="SingleTxt"/>
        <w:rPr>
          <w:b/>
          <w:lang w:val="fr-FR"/>
        </w:rPr>
      </w:pPr>
      <w:r w:rsidRPr="00817339">
        <w:rPr>
          <w:b/>
          <w:lang w:val="fr-FR"/>
        </w:rPr>
        <w:t>Mesures temporaires spéciales</w:t>
      </w:r>
    </w:p>
    <w:p w:rsidR="0086160B" w:rsidRPr="00817339" w:rsidRDefault="0086160B" w:rsidP="0086160B">
      <w:pPr>
        <w:pStyle w:val="SingleTxt"/>
        <w:rPr>
          <w:lang w:val="fr-FR"/>
        </w:rPr>
      </w:pPr>
      <w:r w:rsidRPr="00817339">
        <w:rPr>
          <w:lang w:val="fr-FR"/>
        </w:rPr>
        <w:t>6.</w:t>
      </w:r>
      <w:r w:rsidRPr="00817339">
        <w:rPr>
          <w:lang w:val="fr-FR"/>
        </w:rPr>
        <w:tab/>
        <w:t>Conformément au paragraphe</w:t>
      </w:r>
      <w:r>
        <w:rPr>
          <w:lang w:val="fr-FR"/>
        </w:rPr>
        <w:t> </w:t>
      </w:r>
      <w:r w:rsidRPr="00817339">
        <w:rPr>
          <w:lang w:val="fr-FR"/>
        </w:rPr>
        <w:t>1 de l</w:t>
      </w:r>
      <w:r>
        <w:rPr>
          <w:lang w:val="fr-FR"/>
        </w:rPr>
        <w:t>’</w:t>
      </w:r>
      <w:r w:rsidRPr="00817339">
        <w:rPr>
          <w:lang w:val="fr-FR"/>
        </w:rPr>
        <w:t>article</w:t>
      </w:r>
      <w:r>
        <w:rPr>
          <w:lang w:val="fr-FR"/>
        </w:rPr>
        <w:t> </w:t>
      </w:r>
      <w:r w:rsidRPr="00817339">
        <w:rPr>
          <w:lang w:val="fr-FR"/>
        </w:rPr>
        <w:t xml:space="preserve">4 de la Convention et </w:t>
      </w:r>
      <w:r>
        <w:rPr>
          <w:lang w:val="fr-FR"/>
        </w:rPr>
        <w:t>à la</w:t>
      </w:r>
      <w:r w:rsidRPr="00817339">
        <w:rPr>
          <w:lang w:val="fr-FR"/>
        </w:rPr>
        <w:t xml:space="preserve"> recommandation générale </w:t>
      </w:r>
      <w:r>
        <w:rPr>
          <w:lang w:val="fr-FR"/>
        </w:rPr>
        <w:t>n</w:t>
      </w:r>
      <w:r w:rsidRPr="0066034D">
        <w:rPr>
          <w:vertAlign w:val="superscript"/>
          <w:lang w:val="fr-FR"/>
        </w:rPr>
        <w:t>o</w:t>
      </w:r>
      <w:r>
        <w:rPr>
          <w:lang w:val="fr-FR"/>
        </w:rPr>
        <w:t> </w:t>
      </w:r>
      <w:r w:rsidRPr="00817339">
        <w:rPr>
          <w:lang w:val="fr-FR"/>
        </w:rPr>
        <w:t xml:space="preserve">25 du Comité </w:t>
      </w:r>
      <w:r>
        <w:rPr>
          <w:lang w:val="fr-FR"/>
        </w:rPr>
        <w:t xml:space="preserve">portant </w:t>
      </w:r>
      <w:r w:rsidRPr="00817339">
        <w:rPr>
          <w:lang w:val="fr-FR"/>
        </w:rPr>
        <w:t>sur les mesures spéciales temporaires</w:t>
      </w:r>
      <w:r>
        <w:rPr>
          <w:lang w:val="fr-FR"/>
        </w:rPr>
        <w:t xml:space="preserve"> (2004)</w:t>
      </w:r>
      <w:r w:rsidRPr="00817339">
        <w:rPr>
          <w:lang w:val="fr-FR"/>
        </w:rPr>
        <w:t xml:space="preserve">, veuillez fournir des </w:t>
      </w:r>
      <w:r>
        <w:rPr>
          <w:lang w:val="fr-FR"/>
        </w:rPr>
        <w:t>renseignements</w:t>
      </w:r>
      <w:r w:rsidRPr="00817339">
        <w:rPr>
          <w:lang w:val="fr-FR"/>
        </w:rPr>
        <w:t xml:space="preserve"> sur les mesures en </w:t>
      </w:r>
      <w:r>
        <w:rPr>
          <w:lang w:val="fr-FR"/>
        </w:rPr>
        <w:t>vigueur visant à </w:t>
      </w:r>
      <w:r w:rsidRPr="00817339">
        <w:rPr>
          <w:lang w:val="fr-FR"/>
        </w:rPr>
        <w:t xml:space="preserve">: a) accélérer la participation pleine et égale des femmes dans tous les domaines de la Convention où elles sont </w:t>
      </w:r>
      <w:r>
        <w:rPr>
          <w:lang w:val="fr-FR"/>
        </w:rPr>
        <w:t>défavorisées</w:t>
      </w:r>
      <w:r w:rsidRPr="00817339">
        <w:rPr>
          <w:lang w:val="fr-FR"/>
        </w:rPr>
        <w:t xml:space="preserve"> ou </w:t>
      </w:r>
      <w:r>
        <w:rPr>
          <w:lang w:val="fr-FR"/>
        </w:rPr>
        <w:t>sous-représentée</w:t>
      </w:r>
      <w:r w:rsidRPr="00817339">
        <w:rPr>
          <w:lang w:val="fr-FR"/>
        </w:rPr>
        <w:t>, y compris dans les processus publics et politiques et les secteurs d</w:t>
      </w:r>
      <w:r>
        <w:rPr>
          <w:lang w:val="fr-FR"/>
        </w:rPr>
        <w:t>’</w:t>
      </w:r>
      <w:r w:rsidRPr="00817339">
        <w:rPr>
          <w:lang w:val="fr-FR"/>
        </w:rPr>
        <w:t>emploi majoritairement masculins</w:t>
      </w:r>
      <w:r>
        <w:rPr>
          <w:lang w:val="fr-FR"/>
        </w:rPr>
        <w:t> </w:t>
      </w:r>
      <w:r w:rsidRPr="00817339">
        <w:rPr>
          <w:lang w:val="fr-FR"/>
        </w:rPr>
        <w:t xml:space="preserve">; et, b) </w:t>
      </w:r>
      <w:r>
        <w:rPr>
          <w:lang w:val="fr-FR"/>
        </w:rPr>
        <w:t>lutter contre les</w:t>
      </w:r>
      <w:r w:rsidRPr="00817339">
        <w:rPr>
          <w:lang w:val="fr-FR"/>
        </w:rPr>
        <w:t xml:space="preserve"> formes de discrimination croisées auxquelles font face les groupes défavorisés de femmes, en particulier les femmes Marrons, les femmes de l</w:t>
      </w:r>
      <w:r>
        <w:rPr>
          <w:lang w:val="fr-FR"/>
        </w:rPr>
        <w:t>’</w:t>
      </w:r>
      <w:r w:rsidRPr="00817339">
        <w:rPr>
          <w:lang w:val="fr-FR"/>
        </w:rPr>
        <w:t>intérieur, et les femmes handicapées.</w:t>
      </w:r>
    </w:p>
    <w:p w:rsidR="0086160B" w:rsidRPr="0086160B" w:rsidRDefault="0086160B" w:rsidP="0086160B">
      <w:pPr>
        <w:pStyle w:val="SingleTxt"/>
        <w:spacing w:after="0" w:line="120" w:lineRule="exact"/>
        <w:rPr>
          <w:b/>
          <w:sz w:val="10"/>
          <w:lang w:val="fr-FR"/>
        </w:rPr>
      </w:pPr>
    </w:p>
    <w:p w:rsidR="0086160B" w:rsidRDefault="0086160B" w:rsidP="0086160B">
      <w:pPr>
        <w:pStyle w:val="SingleTxt"/>
        <w:rPr>
          <w:b/>
          <w:lang w:val="fr-FR"/>
        </w:rPr>
      </w:pPr>
      <w:r w:rsidRPr="00817339">
        <w:rPr>
          <w:b/>
          <w:lang w:val="fr-FR"/>
        </w:rPr>
        <w:t>Stéréotypes</w:t>
      </w:r>
    </w:p>
    <w:p w:rsidR="0086160B" w:rsidRPr="00817339" w:rsidRDefault="0086160B" w:rsidP="0086160B">
      <w:pPr>
        <w:pStyle w:val="SingleTxt"/>
        <w:rPr>
          <w:lang w:val="fr-FR"/>
        </w:rPr>
      </w:pPr>
      <w:r w:rsidRPr="00817339">
        <w:rPr>
          <w:lang w:val="fr-FR"/>
        </w:rPr>
        <w:t>7.</w:t>
      </w:r>
      <w:r w:rsidRPr="00817339">
        <w:rPr>
          <w:lang w:val="fr-FR"/>
        </w:rPr>
        <w:tab/>
        <w:t>Le Comité a précédemment exprimé sa préoccupation (</w:t>
      </w:r>
      <w:hyperlink r:id="rId18" w:history="1">
        <w:r w:rsidRPr="004E605B">
          <w:rPr>
            <w:rStyle w:val="Hyperlink"/>
            <w:spacing w:val="2"/>
            <w:lang w:val="fr-FR"/>
          </w:rPr>
          <w:t>CEDAW/C/SUR/CO/3</w:t>
        </w:r>
      </w:hyperlink>
      <w:r w:rsidRPr="004E605B">
        <w:rPr>
          <w:spacing w:val="2"/>
          <w:lang w:val="fr-FR"/>
        </w:rPr>
        <w:t>,</w:t>
      </w:r>
      <w:r>
        <w:rPr>
          <w:spacing w:val="2"/>
          <w:lang w:val="fr-FR"/>
        </w:rPr>
        <w:t xml:space="preserve"> </w:t>
      </w:r>
      <w:r>
        <w:rPr>
          <w:lang w:val="fr-FR"/>
        </w:rPr>
        <w:t>paragraphe </w:t>
      </w:r>
      <w:r w:rsidRPr="00817339">
        <w:rPr>
          <w:lang w:val="fr-FR"/>
        </w:rPr>
        <w:t xml:space="preserve">17), </w:t>
      </w:r>
      <w:r>
        <w:rPr>
          <w:lang w:val="fr-FR"/>
        </w:rPr>
        <w:t>quant au</w:t>
      </w:r>
      <w:r w:rsidRPr="005A6EA3">
        <w:rPr>
          <w:lang w:val="fr-FR"/>
        </w:rPr>
        <w:t xml:space="preserve"> fait que les attitudes patriarcales et les stéréotypes solidement ancrés concernant le rôle et les responsabilités des femmes et des hommes au sein de la famille et de la société subsistent au Suriname</w:t>
      </w:r>
      <w:r>
        <w:rPr>
          <w:lang w:val="fr-FR"/>
        </w:rPr>
        <w:t>.</w:t>
      </w:r>
      <w:r w:rsidRPr="00817339">
        <w:rPr>
          <w:lang w:val="fr-FR"/>
        </w:rPr>
        <w:t xml:space="preserve"> Veuillez fournir des </w:t>
      </w:r>
      <w:r>
        <w:rPr>
          <w:lang w:val="fr-FR"/>
        </w:rPr>
        <w:t>renseignements</w:t>
      </w:r>
      <w:r w:rsidRPr="00817339">
        <w:rPr>
          <w:lang w:val="fr-FR"/>
        </w:rPr>
        <w:t xml:space="preserve"> sur les résultats de toute évaluation de l</w:t>
      </w:r>
      <w:r>
        <w:rPr>
          <w:lang w:val="fr-FR"/>
        </w:rPr>
        <w:t>’</w:t>
      </w:r>
      <w:r w:rsidRPr="00817339">
        <w:rPr>
          <w:lang w:val="fr-FR"/>
        </w:rPr>
        <w:t>impact des mesures prises par l</w:t>
      </w:r>
      <w:r>
        <w:rPr>
          <w:lang w:val="fr-FR"/>
        </w:rPr>
        <w:t>’</w:t>
      </w:r>
      <w:r w:rsidRPr="00817339">
        <w:rPr>
          <w:lang w:val="fr-FR"/>
        </w:rPr>
        <w:t xml:space="preserve">État partie pour </w:t>
      </w:r>
      <w:r>
        <w:rPr>
          <w:lang w:val="fr-FR"/>
        </w:rPr>
        <w:t>transformer</w:t>
      </w:r>
      <w:r w:rsidRPr="00817339">
        <w:rPr>
          <w:lang w:val="fr-FR"/>
        </w:rPr>
        <w:t xml:space="preserve"> les modèles sociaux et culturels qui renforcent ces stéréotypes, y compris au sein de la famille, du système éducatif et du secteur de l</w:t>
      </w:r>
      <w:r>
        <w:rPr>
          <w:lang w:val="fr-FR"/>
        </w:rPr>
        <w:t>’</w:t>
      </w:r>
      <w:r w:rsidRPr="00817339">
        <w:rPr>
          <w:lang w:val="fr-FR"/>
        </w:rPr>
        <w:t>emploi et parmi les représentants élus et gouvernementaux, les professionnels des médias et les responsables locaux (</w:t>
      </w:r>
      <w:r>
        <w:rPr>
          <w:lang w:val="fr-FR"/>
        </w:rPr>
        <w:t>paragraphes </w:t>
      </w:r>
      <w:r w:rsidRPr="00817339">
        <w:rPr>
          <w:lang w:val="fr-FR"/>
        </w:rPr>
        <w:t>47 et 48).</w:t>
      </w:r>
    </w:p>
    <w:p w:rsidR="0086160B" w:rsidRPr="0086160B" w:rsidRDefault="0086160B" w:rsidP="0086160B">
      <w:pPr>
        <w:pStyle w:val="SingleTxt"/>
        <w:spacing w:after="0" w:line="120" w:lineRule="exact"/>
        <w:rPr>
          <w:b/>
          <w:sz w:val="10"/>
          <w:lang w:val="fr-FR"/>
        </w:rPr>
      </w:pPr>
    </w:p>
    <w:p w:rsidR="0086160B" w:rsidRPr="00817339" w:rsidRDefault="0086160B" w:rsidP="0086160B">
      <w:pPr>
        <w:pStyle w:val="SingleTxt"/>
        <w:rPr>
          <w:b/>
          <w:lang w:val="fr-FR"/>
        </w:rPr>
      </w:pPr>
      <w:r w:rsidRPr="00817339">
        <w:rPr>
          <w:b/>
          <w:lang w:val="fr-FR"/>
        </w:rPr>
        <w:t>Violence sexiste à l</w:t>
      </w:r>
      <w:r>
        <w:rPr>
          <w:b/>
          <w:lang w:val="fr-FR"/>
        </w:rPr>
        <w:t>’</w:t>
      </w:r>
      <w:r w:rsidRPr="00817339">
        <w:rPr>
          <w:b/>
          <w:lang w:val="fr-FR"/>
        </w:rPr>
        <w:t>égard des femmes</w:t>
      </w:r>
    </w:p>
    <w:p w:rsidR="0086160B" w:rsidRPr="00817339" w:rsidRDefault="0086160B" w:rsidP="0086160B">
      <w:pPr>
        <w:pStyle w:val="SingleTxt"/>
        <w:rPr>
          <w:lang w:val="fr-FR"/>
        </w:rPr>
      </w:pPr>
      <w:r w:rsidRPr="00817339">
        <w:rPr>
          <w:lang w:val="fr-FR"/>
        </w:rPr>
        <w:t>8.</w:t>
      </w:r>
      <w:r w:rsidRPr="00817339">
        <w:rPr>
          <w:lang w:val="fr-FR"/>
        </w:rPr>
        <w:tab/>
        <w:t>Au vu de l</w:t>
      </w:r>
      <w:r>
        <w:rPr>
          <w:lang w:val="fr-FR"/>
        </w:rPr>
        <w:t>’</w:t>
      </w:r>
      <w:r w:rsidRPr="00817339">
        <w:rPr>
          <w:lang w:val="fr-FR"/>
        </w:rPr>
        <w:t>adoption en</w:t>
      </w:r>
      <w:r>
        <w:rPr>
          <w:lang w:val="fr-FR"/>
        </w:rPr>
        <w:t> </w:t>
      </w:r>
      <w:r w:rsidRPr="00817339">
        <w:rPr>
          <w:lang w:val="fr-FR"/>
        </w:rPr>
        <w:t xml:space="preserve">2009 de la </w:t>
      </w:r>
      <w:r>
        <w:rPr>
          <w:lang w:val="fr-FR"/>
        </w:rPr>
        <w:t>l</w:t>
      </w:r>
      <w:r w:rsidRPr="00817339">
        <w:rPr>
          <w:lang w:val="fr-FR"/>
        </w:rPr>
        <w:t xml:space="preserve">oi </w:t>
      </w:r>
      <w:r>
        <w:rPr>
          <w:lang w:val="fr-FR"/>
        </w:rPr>
        <w:t xml:space="preserve">sur la lutte </w:t>
      </w:r>
      <w:r w:rsidRPr="00817339">
        <w:rPr>
          <w:lang w:val="fr-FR"/>
        </w:rPr>
        <w:t>contre l</w:t>
      </w:r>
      <w:r>
        <w:rPr>
          <w:lang w:val="fr-FR"/>
        </w:rPr>
        <w:t>a</w:t>
      </w:r>
      <w:r w:rsidRPr="00817339">
        <w:rPr>
          <w:lang w:val="fr-FR"/>
        </w:rPr>
        <w:t xml:space="preserve"> violence domestique, du plan d</w:t>
      </w:r>
      <w:r>
        <w:rPr>
          <w:lang w:val="fr-FR"/>
        </w:rPr>
        <w:t>’</w:t>
      </w:r>
      <w:r w:rsidRPr="00817339">
        <w:rPr>
          <w:lang w:val="fr-FR"/>
        </w:rPr>
        <w:t>action national qui l</w:t>
      </w:r>
      <w:r>
        <w:rPr>
          <w:lang w:val="fr-FR"/>
        </w:rPr>
        <w:t>’</w:t>
      </w:r>
      <w:r w:rsidRPr="00817339">
        <w:rPr>
          <w:lang w:val="fr-FR"/>
        </w:rPr>
        <w:t xml:space="preserve">accompagne, et des révisions du </w:t>
      </w:r>
      <w:r>
        <w:rPr>
          <w:lang w:val="fr-FR"/>
        </w:rPr>
        <w:t>C</w:t>
      </w:r>
      <w:r w:rsidRPr="00817339">
        <w:rPr>
          <w:lang w:val="fr-FR"/>
        </w:rPr>
        <w:t>ode pénal pour criminaliser le viol conjugal (</w:t>
      </w:r>
      <w:r>
        <w:rPr>
          <w:lang w:val="fr-FR"/>
        </w:rPr>
        <w:t>paragraphes </w:t>
      </w:r>
      <w:r w:rsidRPr="00817339">
        <w:rPr>
          <w:lang w:val="fr-FR"/>
        </w:rPr>
        <w:t>227 et 228), veuillez indiquer au Comité</w:t>
      </w:r>
      <w:r>
        <w:rPr>
          <w:lang w:val="fr-FR"/>
        </w:rPr>
        <w:t> </w:t>
      </w:r>
      <w:r w:rsidRPr="00817339">
        <w:rPr>
          <w:lang w:val="fr-FR"/>
        </w:rPr>
        <w:t xml:space="preserve">: a) </w:t>
      </w:r>
      <w:r>
        <w:rPr>
          <w:lang w:val="fr-FR"/>
        </w:rPr>
        <w:t>l’</w:t>
      </w:r>
      <w:r w:rsidRPr="00817339">
        <w:rPr>
          <w:lang w:val="fr-FR"/>
        </w:rPr>
        <w:t xml:space="preserve">impact </w:t>
      </w:r>
      <w:r>
        <w:rPr>
          <w:lang w:val="fr-FR"/>
        </w:rPr>
        <w:t>d</w:t>
      </w:r>
      <w:r w:rsidRPr="00817339">
        <w:rPr>
          <w:lang w:val="fr-FR"/>
        </w:rPr>
        <w:t>es mesures prises sur le nombre de cas de violence contre les femmes signalés, suivis d</w:t>
      </w:r>
      <w:r>
        <w:rPr>
          <w:lang w:val="fr-FR"/>
        </w:rPr>
        <w:t>’</w:t>
      </w:r>
      <w:r w:rsidRPr="00817339">
        <w:rPr>
          <w:lang w:val="fr-FR"/>
        </w:rPr>
        <w:t>enquête, et jugés, incluant les détails sur le nombre et l</w:t>
      </w:r>
      <w:r>
        <w:rPr>
          <w:lang w:val="fr-FR"/>
        </w:rPr>
        <w:t xml:space="preserve">a nature </w:t>
      </w:r>
      <w:r w:rsidRPr="00817339">
        <w:rPr>
          <w:lang w:val="fr-FR"/>
        </w:rPr>
        <w:t>des sanctions appliquées aux auteurs et les recours accordés aux victimes</w:t>
      </w:r>
      <w:r>
        <w:rPr>
          <w:lang w:val="fr-FR"/>
        </w:rPr>
        <w:t> </w:t>
      </w:r>
      <w:r w:rsidRPr="00817339">
        <w:rPr>
          <w:lang w:val="fr-FR"/>
        </w:rPr>
        <w:t xml:space="preserve">; b) les mesures de protection disponibles pour les femmes en cas de violence </w:t>
      </w:r>
      <w:r>
        <w:rPr>
          <w:lang w:val="fr-FR"/>
        </w:rPr>
        <w:t>domestique</w:t>
      </w:r>
      <w:r w:rsidRPr="00817339">
        <w:rPr>
          <w:lang w:val="fr-FR"/>
        </w:rPr>
        <w:t xml:space="preserve"> et toute évaluation de leurs résultats pour assurer la sécurité des victimes/survivant</w:t>
      </w:r>
      <w:r>
        <w:rPr>
          <w:lang w:val="fr-FR"/>
        </w:rPr>
        <w:t>e</w:t>
      </w:r>
      <w:r w:rsidRPr="00817339">
        <w:rPr>
          <w:lang w:val="fr-FR"/>
        </w:rPr>
        <w:t>s</w:t>
      </w:r>
      <w:r>
        <w:rPr>
          <w:lang w:val="fr-FR"/>
        </w:rPr>
        <w:t> </w:t>
      </w:r>
      <w:r w:rsidRPr="00817339">
        <w:rPr>
          <w:lang w:val="fr-FR"/>
        </w:rPr>
        <w:t>; et c) le nombre de refuges disponibles pour les femmes confrontées à la violence et leur répartition géographique et leurs ressources, y compris les services de réadaptation physique et psychologique.</w:t>
      </w:r>
    </w:p>
    <w:p w:rsidR="0086160B" w:rsidRPr="0086160B" w:rsidRDefault="0086160B" w:rsidP="0086160B">
      <w:pPr>
        <w:pStyle w:val="SingleTxt"/>
        <w:spacing w:after="0" w:line="120" w:lineRule="exact"/>
        <w:rPr>
          <w:b/>
          <w:sz w:val="10"/>
          <w:lang w:val="fr-FR"/>
        </w:rPr>
      </w:pPr>
    </w:p>
    <w:p w:rsidR="0086160B" w:rsidRPr="00817339" w:rsidRDefault="0086160B" w:rsidP="0086160B">
      <w:pPr>
        <w:pStyle w:val="SingleTxt"/>
        <w:rPr>
          <w:b/>
          <w:lang w:val="fr-FR"/>
        </w:rPr>
      </w:pPr>
      <w:r w:rsidRPr="00817339">
        <w:rPr>
          <w:b/>
          <w:lang w:val="fr-FR"/>
        </w:rPr>
        <w:t>Traite des femmes et exploitation par la prostitution</w:t>
      </w:r>
    </w:p>
    <w:p w:rsidR="0086160B" w:rsidRPr="00817339" w:rsidRDefault="0086160B" w:rsidP="0086160B">
      <w:pPr>
        <w:pStyle w:val="SingleTxt"/>
        <w:rPr>
          <w:lang w:val="fr-FR"/>
        </w:rPr>
      </w:pPr>
      <w:r w:rsidRPr="00817339">
        <w:rPr>
          <w:lang w:val="fr-FR"/>
        </w:rPr>
        <w:t>9.</w:t>
      </w:r>
      <w:r w:rsidRPr="00817339">
        <w:rPr>
          <w:lang w:val="fr-FR"/>
        </w:rPr>
        <w:tab/>
        <w:t xml:space="preserve">Veuillez spécifier si la définition de la traite des </w:t>
      </w:r>
      <w:r>
        <w:rPr>
          <w:lang w:val="fr-FR"/>
        </w:rPr>
        <w:t>êtres humains</w:t>
      </w:r>
      <w:r w:rsidRPr="00817339">
        <w:rPr>
          <w:lang w:val="fr-FR"/>
        </w:rPr>
        <w:t xml:space="preserve"> est conforme aux normes internationales, et indiquer les formes de trafic d</w:t>
      </w:r>
      <w:r>
        <w:rPr>
          <w:lang w:val="fr-FR"/>
        </w:rPr>
        <w:t>’</w:t>
      </w:r>
      <w:r w:rsidRPr="00817339">
        <w:rPr>
          <w:lang w:val="fr-FR"/>
        </w:rPr>
        <w:t xml:space="preserve">êtres humains pénalisées par les récents amendements du </w:t>
      </w:r>
      <w:r>
        <w:rPr>
          <w:lang w:val="fr-FR"/>
        </w:rPr>
        <w:t>C</w:t>
      </w:r>
      <w:r w:rsidRPr="00817339">
        <w:rPr>
          <w:lang w:val="fr-FR"/>
        </w:rPr>
        <w:t>ode pénal (para</w:t>
      </w:r>
      <w:r>
        <w:rPr>
          <w:lang w:val="fr-FR"/>
        </w:rPr>
        <w:t>graphe </w:t>
      </w:r>
      <w:r w:rsidRPr="00817339">
        <w:rPr>
          <w:lang w:val="fr-FR"/>
        </w:rPr>
        <w:t>53), le nombre de cas poursuivis dans le cadre de ces dispositions, la nature des sanctions imposées aux auteurs, et le profil des victimes ventilé par sexe, âge, appartenance ethnique et origine. Le Comité note que le cadre juridique existant, y com</w:t>
      </w:r>
      <w:r>
        <w:rPr>
          <w:lang w:val="fr-FR"/>
        </w:rPr>
        <w:t xml:space="preserve">pris la révision du Code pénal </w:t>
      </w:r>
      <w:r w:rsidRPr="00817339">
        <w:rPr>
          <w:lang w:val="fr-FR"/>
        </w:rPr>
        <w:t xml:space="preserve">de 2006 et la stratégie nationale de lutte contre la traite des </w:t>
      </w:r>
      <w:r>
        <w:rPr>
          <w:lang w:val="fr-FR"/>
        </w:rPr>
        <w:t>personnes</w:t>
      </w:r>
      <w:r w:rsidRPr="00817339">
        <w:rPr>
          <w:lang w:val="fr-FR"/>
        </w:rPr>
        <w:t>, manque de référence explicite sur les moyens par lesquels les victimes de la traite peuvent demander l</w:t>
      </w:r>
      <w:r>
        <w:rPr>
          <w:lang w:val="fr-FR"/>
        </w:rPr>
        <w:t>’</w:t>
      </w:r>
      <w:r w:rsidRPr="00817339">
        <w:rPr>
          <w:lang w:val="fr-FR"/>
        </w:rPr>
        <w:t>asile au Suriname, ce qui entraîne le déni d</w:t>
      </w:r>
      <w:r>
        <w:rPr>
          <w:lang w:val="fr-FR"/>
        </w:rPr>
        <w:t>’</w:t>
      </w:r>
      <w:r w:rsidRPr="00817339">
        <w:rPr>
          <w:lang w:val="fr-FR"/>
        </w:rPr>
        <w:t>accès à l</w:t>
      </w:r>
      <w:r>
        <w:rPr>
          <w:lang w:val="fr-FR"/>
        </w:rPr>
        <w:t>’</w:t>
      </w:r>
      <w:r w:rsidRPr="00817339">
        <w:rPr>
          <w:lang w:val="fr-FR"/>
        </w:rPr>
        <w:t>asile aux victimes étrangères de la traite qui peuvent également être des réfugiés. Veuillez indiquer au Comité si l</w:t>
      </w:r>
      <w:r>
        <w:rPr>
          <w:lang w:val="fr-FR"/>
        </w:rPr>
        <w:t>’</w:t>
      </w:r>
      <w:r w:rsidRPr="00817339">
        <w:rPr>
          <w:lang w:val="fr-FR"/>
        </w:rPr>
        <w:t>État partie a l</w:t>
      </w:r>
      <w:r>
        <w:rPr>
          <w:lang w:val="fr-FR"/>
        </w:rPr>
        <w:t>’</w:t>
      </w:r>
      <w:r w:rsidRPr="00817339">
        <w:rPr>
          <w:lang w:val="fr-FR"/>
        </w:rPr>
        <w:t>intention d</w:t>
      </w:r>
      <w:r>
        <w:rPr>
          <w:lang w:val="fr-FR"/>
        </w:rPr>
        <w:t>’</w:t>
      </w:r>
      <w:r w:rsidRPr="00817339">
        <w:rPr>
          <w:lang w:val="fr-FR"/>
        </w:rPr>
        <w:t>adopter une loi ou une politique visant à garantir que des ressortissants étrangers victimes de la traite bénéficient d</w:t>
      </w:r>
      <w:r>
        <w:rPr>
          <w:lang w:val="fr-FR"/>
        </w:rPr>
        <w:t>’</w:t>
      </w:r>
      <w:r w:rsidRPr="00817339">
        <w:rPr>
          <w:lang w:val="fr-FR"/>
        </w:rPr>
        <w:t>un accès aux procédures d</w:t>
      </w:r>
      <w:r>
        <w:rPr>
          <w:lang w:val="fr-FR"/>
        </w:rPr>
        <w:t>’</w:t>
      </w:r>
      <w:r w:rsidRPr="00817339">
        <w:rPr>
          <w:lang w:val="fr-FR"/>
        </w:rPr>
        <w:t>asile au Suriname s</w:t>
      </w:r>
      <w:r>
        <w:rPr>
          <w:lang w:val="fr-FR"/>
        </w:rPr>
        <w:t>’</w:t>
      </w:r>
      <w:r w:rsidRPr="00817339">
        <w:rPr>
          <w:lang w:val="fr-FR"/>
        </w:rPr>
        <w:t>ils craignent de retourner dans leur pays d</w:t>
      </w:r>
      <w:r>
        <w:rPr>
          <w:lang w:val="fr-FR"/>
        </w:rPr>
        <w:t>’</w:t>
      </w:r>
      <w:r w:rsidRPr="00817339">
        <w:rPr>
          <w:lang w:val="fr-FR"/>
        </w:rPr>
        <w:t>origine, et si ce cadre sera renforcé par la mise en place de mécanismes d</w:t>
      </w:r>
      <w:r>
        <w:rPr>
          <w:lang w:val="fr-FR"/>
        </w:rPr>
        <w:t>’</w:t>
      </w:r>
      <w:r w:rsidRPr="00817339">
        <w:rPr>
          <w:lang w:val="fr-FR"/>
        </w:rPr>
        <w:t>identification et d</w:t>
      </w:r>
      <w:r>
        <w:rPr>
          <w:lang w:val="fr-FR"/>
        </w:rPr>
        <w:t>’</w:t>
      </w:r>
      <w:r w:rsidRPr="00817339">
        <w:rPr>
          <w:lang w:val="fr-FR"/>
        </w:rPr>
        <w:t>orientation, y compris aux points d</w:t>
      </w:r>
      <w:r>
        <w:rPr>
          <w:lang w:val="fr-FR"/>
        </w:rPr>
        <w:t>’</w:t>
      </w:r>
      <w:r w:rsidRPr="00817339">
        <w:rPr>
          <w:lang w:val="fr-FR"/>
        </w:rPr>
        <w:t>entrée et dans les centres de détention.</w:t>
      </w:r>
    </w:p>
    <w:p w:rsidR="0086160B" w:rsidRPr="00817339" w:rsidRDefault="0086160B" w:rsidP="0086160B">
      <w:pPr>
        <w:pStyle w:val="SingleTxt"/>
        <w:rPr>
          <w:lang w:val="fr-FR"/>
        </w:rPr>
      </w:pPr>
      <w:r w:rsidRPr="00817339">
        <w:rPr>
          <w:lang w:val="fr-FR"/>
        </w:rPr>
        <w:t xml:space="preserve">10. </w:t>
      </w:r>
      <w:r w:rsidRPr="00817339">
        <w:rPr>
          <w:lang w:val="fr-FR"/>
        </w:rPr>
        <w:tab/>
        <w:t>Veuillez communiquer au Comité le statut du « </w:t>
      </w:r>
      <w:r w:rsidRPr="00817339">
        <w:rPr>
          <w:i/>
          <w:lang w:val="fr-FR"/>
        </w:rPr>
        <w:t>Schakelketting 2.0</w:t>
      </w:r>
      <w:r w:rsidRPr="00817339">
        <w:rPr>
          <w:lang w:val="fr-FR"/>
        </w:rPr>
        <w:t xml:space="preserve">, nouvelles </w:t>
      </w:r>
      <w:r>
        <w:rPr>
          <w:lang w:val="fr-FR"/>
        </w:rPr>
        <w:t xml:space="preserve">infrastructures publiques pour </w:t>
      </w:r>
      <w:r w:rsidRPr="00817339">
        <w:rPr>
          <w:lang w:val="fr-FR"/>
        </w:rPr>
        <w:t xml:space="preserve">lutter contre la traite des </w:t>
      </w:r>
      <w:r>
        <w:rPr>
          <w:lang w:val="fr-FR"/>
        </w:rPr>
        <w:t>personnes</w:t>
      </w:r>
      <w:r w:rsidRPr="00817339">
        <w:rPr>
          <w:lang w:val="fr-FR"/>
        </w:rPr>
        <w:t xml:space="preserve"> », qui est censé être nécessaire pour </w:t>
      </w:r>
      <w:r>
        <w:rPr>
          <w:lang w:val="fr-FR"/>
        </w:rPr>
        <w:t xml:space="preserve">pouvoir </w:t>
      </w:r>
      <w:r w:rsidRPr="00817339">
        <w:rPr>
          <w:lang w:val="fr-FR"/>
        </w:rPr>
        <w:t xml:space="preserve">mettre en œuvre </w:t>
      </w:r>
      <w:r>
        <w:rPr>
          <w:lang w:val="fr-FR"/>
        </w:rPr>
        <w:t xml:space="preserve">avec succès </w:t>
      </w:r>
      <w:r w:rsidRPr="00817339">
        <w:rPr>
          <w:lang w:val="fr-FR"/>
        </w:rPr>
        <w:t xml:space="preserve">la stratégie </w:t>
      </w:r>
      <w:r>
        <w:rPr>
          <w:lang w:val="fr-FR"/>
        </w:rPr>
        <w:t>du Gouvernement</w:t>
      </w:r>
      <w:r w:rsidRPr="00817339">
        <w:rPr>
          <w:lang w:val="fr-FR"/>
        </w:rPr>
        <w:t xml:space="preserve"> et le plan d</w:t>
      </w:r>
      <w:r>
        <w:rPr>
          <w:lang w:val="fr-FR"/>
        </w:rPr>
        <w:t>’</w:t>
      </w:r>
      <w:r w:rsidRPr="00817339">
        <w:rPr>
          <w:lang w:val="fr-FR"/>
        </w:rPr>
        <w:t xml:space="preserve">action national pour lutter contre la traite des êtres humains, et dans quelle mesure ses programmes fournissent un soutien professionnel </w:t>
      </w:r>
      <w:r>
        <w:rPr>
          <w:lang w:val="fr-FR"/>
        </w:rPr>
        <w:t>approprié</w:t>
      </w:r>
      <w:r w:rsidRPr="00817339">
        <w:rPr>
          <w:lang w:val="fr-FR"/>
        </w:rPr>
        <w:t xml:space="preserve"> aux victimes, y compris par le biais de la création </w:t>
      </w:r>
      <w:r>
        <w:rPr>
          <w:lang w:val="fr-FR"/>
        </w:rPr>
        <w:t>de refuge</w:t>
      </w:r>
      <w:r w:rsidRPr="00817339">
        <w:rPr>
          <w:lang w:val="fr-FR"/>
        </w:rPr>
        <w:t xml:space="preserve"> dans tout l</w:t>
      </w:r>
      <w:r>
        <w:rPr>
          <w:lang w:val="fr-FR"/>
        </w:rPr>
        <w:t>’</w:t>
      </w:r>
      <w:r w:rsidRPr="00817339">
        <w:rPr>
          <w:lang w:val="fr-FR"/>
        </w:rPr>
        <w:t>État partie qui apporte un soutien à la réadaptation et à la réintégration (para</w:t>
      </w:r>
      <w:r>
        <w:rPr>
          <w:lang w:val="fr-FR"/>
        </w:rPr>
        <w:t>graphe</w:t>
      </w:r>
      <w:r w:rsidRPr="00817339">
        <w:rPr>
          <w:lang w:val="fr-FR"/>
        </w:rPr>
        <w:t>s</w:t>
      </w:r>
      <w:r>
        <w:rPr>
          <w:lang w:val="fr-FR"/>
        </w:rPr>
        <w:t> </w:t>
      </w:r>
      <w:r w:rsidRPr="00817339">
        <w:rPr>
          <w:lang w:val="fr-FR"/>
        </w:rPr>
        <w:t xml:space="preserve">58, 61 et 62). Veuillez indiquer les mesures prises pour renforcer les programmes de sensibilisation à la traite des êtres humains, en particulier </w:t>
      </w:r>
      <w:r>
        <w:rPr>
          <w:lang w:val="fr-FR"/>
        </w:rPr>
        <w:t>auprès d</w:t>
      </w:r>
      <w:r w:rsidRPr="00817339">
        <w:rPr>
          <w:lang w:val="fr-FR"/>
        </w:rPr>
        <w:t xml:space="preserve">es communautés Marrons et </w:t>
      </w:r>
      <w:r>
        <w:rPr>
          <w:lang w:val="fr-FR"/>
        </w:rPr>
        <w:t>d</w:t>
      </w:r>
      <w:r w:rsidRPr="00817339">
        <w:rPr>
          <w:lang w:val="fr-FR"/>
        </w:rPr>
        <w:t xml:space="preserve">es femmes et </w:t>
      </w:r>
      <w:r>
        <w:rPr>
          <w:lang w:val="fr-FR"/>
        </w:rPr>
        <w:t>d</w:t>
      </w:r>
      <w:r w:rsidRPr="00817339">
        <w:rPr>
          <w:lang w:val="fr-FR"/>
        </w:rPr>
        <w:t>es filles de l</w:t>
      </w:r>
      <w:r>
        <w:rPr>
          <w:lang w:val="fr-FR"/>
        </w:rPr>
        <w:t>’</w:t>
      </w:r>
      <w:r w:rsidRPr="00817339">
        <w:rPr>
          <w:lang w:val="fr-FR"/>
        </w:rPr>
        <w:t>intérieur.</w:t>
      </w:r>
    </w:p>
    <w:p w:rsidR="0086160B" w:rsidRPr="00817339" w:rsidRDefault="0086160B" w:rsidP="0086160B">
      <w:pPr>
        <w:pStyle w:val="SingleTxt"/>
        <w:rPr>
          <w:lang w:val="fr-FR"/>
        </w:rPr>
      </w:pPr>
      <w:r w:rsidRPr="00817339">
        <w:rPr>
          <w:lang w:val="fr-FR"/>
        </w:rPr>
        <w:t>11.</w:t>
      </w:r>
      <w:r w:rsidRPr="00817339">
        <w:rPr>
          <w:lang w:val="fr-FR"/>
        </w:rPr>
        <w:tab/>
        <w:t xml:space="preserve">En référence à la déclaration selon laquelle seuls les travailleurs sexuels </w:t>
      </w:r>
      <w:r>
        <w:rPr>
          <w:lang w:val="fr-FR"/>
        </w:rPr>
        <w:t xml:space="preserve">sur la voie publique </w:t>
      </w:r>
      <w:r w:rsidRPr="00817339">
        <w:rPr>
          <w:lang w:val="fr-FR"/>
        </w:rPr>
        <w:t>qui se conduisent mal sont poursuivis (</w:t>
      </w:r>
      <w:r>
        <w:rPr>
          <w:lang w:val="fr-FR"/>
        </w:rPr>
        <w:t>paragraphe </w:t>
      </w:r>
      <w:r w:rsidRPr="00817339">
        <w:rPr>
          <w:lang w:val="fr-FR"/>
        </w:rPr>
        <w:t>63), veuillez préciser le comportement sanctionné et fournir des données sur le nombre de femmes prostituées détenues, ventilées selon l</w:t>
      </w:r>
      <w:r>
        <w:rPr>
          <w:lang w:val="fr-FR"/>
        </w:rPr>
        <w:t>’</w:t>
      </w:r>
      <w:r w:rsidRPr="00817339">
        <w:rPr>
          <w:lang w:val="fr-FR"/>
        </w:rPr>
        <w:t>âge, l</w:t>
      </w:r>
      <w:r>
        <w:rPr>
          <w:lang w:val="fr-FR"/>
        </w:rPr>
        <w:t>’</w:t>
      </w:r>
      <w:r w:rsidRPr="00817339">
        <w:rPr>
          <w:lang w:val="fr-FR"/>
        </w:rPr>
        <w:t>appartenance ethnique et l</w:t>
      </w:r>
      <w:r>
        <w:rPr>
          <w:lang w:val="fr-FR"/>
        </w:rPr>
        <w:t>’</w:t>
      </w:r>
      <w:r w:rsidRPr="00817339">
        <w:rPr>
          <w:lang w:val="fr-FR"/>
        </w:rPr>
        <w:t>origine, la durée de leur détention, et la nature des peines qui leur sont appliquées. Veuillez également indiquer l</w:t>
      </w:r>
      <w:r>
        <w:rPr>
          <w:lang w:val="fr-FR"/>
        </w:rPr>
        <w:t>’</w:t>
      </w:r>
      <w:r w:rsidRPr="00817339">
        <w:rPr>
          <w:lang w:val="fr-FR"/>
        </w:rPr>
        <w:t>existence de services sociaux, et de toute assistance mise à la disposition des femmes souhaitant abandonner la p</w:t>
      </w:r>
      <w:r>
        <w:rPr>
          <w:lang w:val="fr-FR"/>
        </w:rPr>
        <w:t>rostitution, y compris l’offre de possibilités</w:t>
      </w:r>
      <w:r w:rsidRPr="00817339">
        <w:rPr>
          <w:lang w:val="fr-FR"/>
        </w:rPr>
        <w:t xml:space="preserve"> alternatives génératrices de revenus, et de programmes de réinsertion sociale, ainsi que de mesures visant à réduire la demande de prostitution.</w:t>
      </w:r>
    </w:p>
    <w:p w:rsidR="0086160B" w:rsidRPr="0086160B" w:rsidRDefault="0086160B" w:rsidP="0086160B">
      <w:pPr>
        <w:pStyle w:val="SingleTxt"/>
        <w:spacing w:after="0" w:line="120" w:lineRule="exact"/>
        <w:rPr>
          <w:b/>
          <w:sz w:val="10"/>
          <w:lang w:val="fr-FR"/>
        </w:rPr>
      </w:pPr>
    </w:p>
    <w:p w:rsidR="0086160B" w:rsidRDefault="0086160B" w:rsidP="0086160B">
      <w:pPr>
        <w:pStyle w:val="SingleTxt"/>
        <w:rPr>
          <w:b/>
          <w:lang w:val="fr-FR"/>
        </w:rPr>
      </w:pPr>
      <w:r w:rsidRPr="00817339">
        <w:rPr>
          <w:b/>
          <w:lang w:val="fr-FR"/>
        </w:rPr>
        <w:t>Participation à la vie politique et à la vie publique</w:t>
      </w:r>
    </w:p>
    <w:p w:rsidR="0086160B" w:rsidRPr="00817339" w:rsidRDefault="0086160B" w:rsidP="0086160B">
      <w:pPr>
        <w:pStyle w:val="SingleTxt"/>
        <w:rPr>
          <w:lang w:val="fr-FR"/>
        </w:rPr>
      </w:pPr>
      <w:r w:rsidRPr="00817339">
        <w:rPr>
          <w:lang w:val="fr-FR"/>
        </w:rPr>
        <w:t>12.</w:t>
      </w:r>
      <w:r w:rsidRPr="00817339">
        <w:rPr>
          <w:lang w:val="fr-FR"/>
        </w:rPr>
        <w:tab/>
        <w:t>Au vu de la faible représentation des femmes au Parlement, au Conseil des ministres et à la direction des partis politiques, veuillez fournir des détails sur le plan d</w:t>
      </w:r>
      <w:r>
        <w:rPr>
          <w:lang w:val="fr-FR"/>
        </w:rPr>
        <w:t>’</w:t>
      </w:r>
      <w:r w:rsidRPr="00817339">
        <w:rPr>
          <w:lang w:val="fr-FR"/>
        </w:rPr>
        <w:t>action pour introduire un système de quotas afin d</w:t>
      </w:r>
      <w:r>
        <w:rPr>
          <w:lang w:val="fr-FR"/>
        </w:rPr>
        <w:t>’</w:t>
      </w:r>
      <w:r w:rsidRPr="00817339">
        <w:rPr>
          <w:lang w:val="fr-FR"/>
        </w:rPr>
        <w:t>accroître la représentation des femmes dans la vie publique et à des postes de prise de décision politique (para</w:t>
      </w:r>
      <w:r>
        <w:rPr>
          <w:lang w:val="fr-FR"/>
        </w:rPr>
        <w:t>graphes </w:t>
      </w:r>
      <w:r w:rsidRPr="00817339">
        <w:rPr>
          <w:lang w:val="fr-FR"/>
        </w:rPr>
        <w:t>74 et 77</w:t>
      </w:r>
      <w:r>
        <w:rPr>
          <w:lang w:val="fr-FR"/>
        </w:rPr>
        <w:t xml:space="preserve"> à </w:t>
      </w:r>
      <w:r w:rsidRPr="00817339">
        <w:rPr>
          <w:lang w:val="fr-FR"/>
        </w:rPr>
        <w:t xml:space="preserve">79). Veuillez également fournir des </w:t>
      </w:r>
      <w:r>
        <w:rPr>
          <w:lang w:val="fr-FR"/>
        </w:rPr>
        <w:t>renseignements</w:t>
      </w:r>
      <w:r w:rsidRPr="00817339">
        <w:rPr>
          <w:lang w:val="fr-FR"/>
        </w:rPr>
        <w:t xml:space="preserve"> sur les mesures prises </w:t>
      </w:r>
      <w:r>
        <w:rPr>
          <w:lang w:val="fr-FR"/>
        </w:rPr>
        <w:t>visant à</w:t>
      </w:r>
      <w:r w:rsidRPr="00817339">
        <w:rPr>
          <w:lang w:val="fr-FR"/>
        </w:rPr>
        <w:t xml:space="preserve"> mettre en œuvre la recommandation précédente du Comité (</w:t>
      </w:r>
      <w:hyperlink r:id="rId19" w:history="1">
        <w:r w:rsidRPr="004E605B">
          <w:rPr>
            <w:rStyle w:val="Hyperlink"/>
            <w:lang w:val="fr-FR"/>
          </w:rPr>
          <w:t>CEDAW/C/SUR/CO/3</w:t>
        </w:r>
      </w:hyperlink>
      <w:r w:rsidRPr="00817339">
        <w:rPr>
          <w:lang w:val="fr-FR"/>
        </w:rPr>
        <w:t>, para</w:t>
      </w:r>
      <w:r>
        <w:rPr>
          <w:lang w:val="fr-FR"/>
        </w:rPr>
        <w:t>graphe </w:t>
      </w:r>
      <w:r w:rsidRPr="00817339">
        <w:rPr>
          <w:lang w:val="fr-FR"/>
        </w:rPr>
        <w:t xml:space="preserve">26) afin de garantir que les mesures pour accélérer la participation </w:t>
      </w:r>
      <w:r>
        <w:rPr>
          <w:lang w:val="fr-FR"/>
        </w:rPr>
        <w:t>intégrale</w:t>
      </w:r>
      <w:r w:rsidRPr="00817339">
        <w:rPr>
          <w:lang w:val="fr-FR"/>
        </w:rPr>
        <w:t xml:space="preserve"> et égale des femmes </w:t>
      </w:r>
      <w:r>
        <w:rPr>
          <w:lang w:val="fr-FR"/>
        </w:rPr>
        <w:t>aux</w:t>
      </w:r>
      <w:r w:rsidRPr="00817339">
        <w:rPr>
          <w:lang w:val="fr-FR"/>
        </w:rPr>
        <w:t xml:space="preserve"> organes élus et nommés soient étendues aux femmes </w:t>
      </w:r>
      <w:r>
        <w:rPr>
          <w:lang w:val="fr-FR"/>
        </w:rPr>
        <w:t xml:space="preserve">des minorités </w:t>
      </w:r>
      <w:r w:rsidRPr="00817339">
        <w:rPr>
          <w:lang w:val="fr-FR"/>
        </w:rPr>
        <w:t xml:space="preserve">autochtones et autres minorités </w:t>
      </w:r>
      <w:r>
        <w:rPr>
          <w:lang w:val="fr-FR"/>
        </w:rPr>
        <w:t>ethniques</w:t>
      </w:r>
      <w:r w:rsidRPr="00817339">
        <w:rPr>
          <w:lang w:val="fr-FR"/>
        </w:rPr>
        <w:t xml:space="preserve"> et </w:t>
      </w:r>
      <w:r>
        <w:rPr>
          <w:lang w:val="fr-FR"/>
        </w:rPr>
        <w:t>inclure des critères,</w:t>
      </w:r>
      <w:r w:rsidRPr="00817339">
        <w:rPr>
          <w:lang w:val="fr-FR"/>
        </w:rPr>
        <w:t xml:space="preserve"> d</w:t>
      </w:r>
      <w:r>
        <w:rPr>
          <w:lang w:val="fr-FR"/>
        </w:rPr>
        <w:t xml:space="preserve">es </w:t>
      </w:r>
      <w:r w:rsidRPr="00817339">
        <w:rPr>
          <w:lang w:val="fr-FR"/>
        </w:rPr>
        <w:t>objectifs numériques et de</w:t>
      </w:r>
      <w:r>
        <w:rPr>
          <w:lang w:val="fr-FR"/>
        </w:rPr>
        <w:t>s</w:t>
      </w:r>
      <w:r w:rsidRPr="00817339">
        <w:rPr>
          <w:lang w:val="fr-FR"/>
        </w:rPr>
        <w:t xml:space="preserve"> calendriers</w:t>
      </w:r>
      <w:r>
        <w:rPr>
          <w:lang w:val="fr-FR"/>
        </w:rPr>
        <w:t>,</w:t>
      </w:r>
      <w:r w:rsidRPr="00817339">
        <w:rPr>
          <w:lang w:val="fr-FR"/>
        </w:rPr>
        <w:t xml:space="preserve"> l</w:t>
      </w:r>
      <w:r>
        <w:rPr>
          <w:lang w:val="fr-FR"/>
        </w:rPr>
        <w:t>’</w:t>
      </w:r>
      <w:r w:rsidRPr="00817339">
        <w:rPr>
          <w:lang w:val="fr-FR"/>
        </w:rPr>
        <w:t xml:space="preserve">organisation de programmes de formation </w:t>
      </w:r>
      <w:r>
        <w:rPr>
          <w:lang w:val="fr-FR"/>
        </w:rPr>
        <w:t>à la</w:t>
      </w:r>
      <w:r w:rsidRPr="00817339">
        <w:rPr>
          <w:lang w:val="fr-FR"/>
        </w:rPr>
        <w:t xml:space="preserve"> direction et </w:t>
      </w:r>
      <w:r>
        <w:rPr>
          <w:lang w:val="fr-FR"/>
        </w:rPr>
        <w:t xml:space="preserve">à l’acquisition de capacités </w:t>
      </w:r>
      <w:r w:rsidRPr="00817339">
        <w:rPr>
          <w:lang w:val="fr-FR"/>
        </w:rPr>
        <w:t xml:space="preserve">de négociation </w:t>
      </w:r>
      <w:r>
        <w:rPr>
          <w:lang w:val="fr-FR"/>
        </w:rPr>
        <w:t>par</w:t>
      </w:r>
      <w:r w:rsidRPr="00817339">
        <w:rPr>
          <w:lang w:val="fr-FR"/>
        </w:rPr>
        <w:t xml:space="preserve"> les dirigeantes actuelles et futures</w:t>
      </w:r>
      <w:r>
        <w:rPr>
          <w:lang w:val="fr-FR"/>
        </w:rPr>
        <w:t>, ainsi qu’une action de</w:t>
      </w:r>
      <w:r w:rsidRPr="00817339">
        <w:rPr>
          <w:lang w:val="fr-FR"/>
        </w:rPr>
        <w:t xml:space="preserve"> suivi régulier des progrès </w:t>
      </w:r>
      <w:r>
        <w:rPr>
          <w:lang w:val="fr-FR"/>
        </w:rPr>
        <w:t>accomplis</w:t>
      </w:r>
      <w:r w:rsidRPr="00817339">
        <w:rPr>
          <w:lang w:val="fr-FR"/>
        </w:rPr>
        <w:t xml:space="preserve"> et des résultats obtenus. Veuillez fournir des </w:t>
      </w:r>
      <w:r>
        <w:rPr>
          <w:lang w:val="fr-FR"/>
        </w:rPr>
        <w:t>renseignements</w:t>
      </w:r>
      <w:r w:rsidRPr="00817339">
        <w:rPr>
          <w:lang w:val="fr-FR"/>
        </w:rPr>
        <w:t xml:space="preserve"> concernant l</w:t>
      </w:r>
      <w:r>
        <w:rPr>
          <w:lang w:val="fr-FR"/>
        </w:rPr>
        <w:t>a direction</w:t>
      </w:r>
      <w:r w:rsidRPr="00817339">
        <w:rPr>
          <w:lang w:val="fr-FR"/>
        </w:rPr>
        <w:t xml:space="preserve"> et la représentation des femmes dans le système judiciaire, la fonction publique, les conseils ruraux, les coopératives agricoles, les syndicats, les chambres de commerce, les conseils d</w:t>
      </w:r>
      <w:r>
        <w:rPr>
          <w:lang w:val="fr-FR"/>
        </w:rPr>
        <w:t>’</w:t>
      </w:r>
      <w:r w:rsidRPr="00817339">
        <w:rPr>
          <w:lang w:val="fr-FR"/>
        </w:rPr>
        <w:t>administration publics et privés, les organisations patronales et les associations professionnelles.</w:t>
      </w:r>
    </w:p>
    <w:p w:rsidR="0086160B" w:rsidRPr="0086160B" w:rsidRDefault="0086160B" w:rsidP="0086160B">
      <w:pPr>
        <w:pStyle w:val="SingleTxt"/>
        <w:spacing w:after="0" w:line="120" w:lineRule="exact"/>
        <w:rPr>
          <w:b/>
          <w:sz w:val="10"/>
          <w:lang w:val="fr-FR"/>
        </w:rPr>
      </w:pPr>
    </w:p>
    <w:p w:rsidR="0086160B" w:rsidRPr="00817339" w:rsidRDefault="0086160B" w:rsidP="0086160B">
      <w:pPr>
        <w:pStyle w:val="SingleTxt"/>
        <w:rPr>
          <w:b/>
          <w:lang w:val="fr-FR"/>
        </w:rPr>
      </w:pPr>
      <w:r w:rsidRPr="00817339">
        <w:rPr>
          <w:b/>
          <w:lang w:val="fr-FR"/>
        </w:rPr>
        <w:t>Éducation</w:t>
      </w:r>
    </w:p>
    <w:p w:rsidR="0086160B" w:rsidRPr="00817339" w:rsidRDefault="0086160B" w:rsidP="0086160B">
      <w:pPr>
        <w:pStyle w:val="SingleTxt"/>
        <w:rPr>
          <w:lang w:val="fr-FR"/>
        </w:rPr>
      </w:pPr>
      <w:r w:rsidRPr="00817339">
        <w:rPr>
          <w:lang w:val="fr-FR"/>
        </w:rPr>
        <w:t>13.</w:t>
      </w:r>
      <w:r w:rsidRPr="00817339">
        <w:rPr>
          <w:lang w:val="fr-FR"/>
        </w:rPr>
        <w:tab/>
        <w:t>Malgré l</w:t>
      </w:r>
      <w:r>
        <w:rPr>
          <w:lang w:val="fr-FR"/>
        </w:rPr>
        <w:t>’</w:t>
      </w:r>
      <w:r w:rsidRPr="00817339">
        <w:rPr>
          <w:lang w:val="fr-FR"/>
        </w:rPr>
        <w:t>abandon des droits d</w:t>
      </w:r>
      <w:r>
        <w:rPr>
          <w:lang w:val="fr-FR"/>
        </w:rPr>
        <w:t>’</w:t>
      </w:r>
      <w:r w:rsidRPr="00817339">
        <w:rPr>
          <w:lang w:val="fr-FR"/>
        </w:rPr>
        <w:t>admission dans les écoles primaires et secondaires, le taux d</w:t>
      </w:r>
      <w:r>
        <w:rPr>
          <w:lang w:val="fr-FR"/>
        </w:rPr>
        <w:t>’</w:t>
      </w:r>
      <w:r w:rsidRPr="00817339">
        <w:rPr>
          <w:lang w:val="fr-FR"/>
        </w:rPr>
        <w:t xml:space="preserve">inscription et de scolarisation reste faible pour les filles handicapées, </w:t>
      </w:r>
      <w:r>
        <w:rPr>
          <w:lang w:val="fr-FR"/>
        </w:rPr>
        <w:t>qui vivent</w:t>
      </w:r>
      <w:r w:rsidRPr="00817339">
        <w:rPr>
          <w:lang w:val="fr-FR"/>
        </w:rPr>
        <w:t xml:space="preserve"> dans l</w:t>
      </w:r>
      <w:r>
        <w:rPr>
          <w:lang w:val="fr-FR"/>
        </w:rPr>
        <w:t>’</w:t>
      </w:r>
      <w:r w:rsidRPr="00817339">
        <w:rPr>
          <w:lang w:val="fr-FR"/>
        </w:rPr>
        <w:t>intérieur</w:t>
      </w:r>
      <w:r>
        <w:rPr>
          <w:lang w:val="fr-FR"/>
        </w:rPr>
        <w:t xml:space="preserve"> du pays</w:t>
      </w:r>
      <w:r w:rsidRPr="00817339">
        <w:rPr>
          <w:lang w:val="fr-FR"/>
        </w:rPr>
        <w:t xml:space="preserve">, </w:t>
      </w:r>
      <w:r>
        <w:rPr>
          <w:lang w:val="fr-FR"/>
        </w:rPr>
        <w:t>qui appartiennent</w:t>
      </w:r>
      <w:r w:rsidRPr="00817339">
        <w:rPr>
          <w:lang w:val="fr-FR"/>
        </w:rPr>
        <w:t xml:space="preserve"> à des groupes autochtones et minoritaires</w:t>
      </w:r>
      <w:r>
        <w:rPr>
          <w:lang w:val="fr-FR"/>
        </w:rPr>
        <w:t>,</w:t>
      </w:r>
      <w:r w:rsidRPr="00817339">
        <w:rPr>
          <w:lang w:val="fr-FR"/>
        </w:rPr>
        <w:t xml:space="preserve"> et </w:t>
      </w:r>
      <w:r>
        <w:rPr>
          <w:lang w:val="fr-FR"/>
        </w:rPr>
        <w:t>qui vivent</w:t>
      </w:r>
      <w:r w:rsidRPr="00817339">
        <w:rPr>
          <w:lang w:val="fr-FR"/>
        </w:rPr>
        <w:t xml:space="preserve"> dans des situations de pauvreté. Dans cette optique, veuillez informer le Comité de l</w:t>
      </w:r>
      <w:r>
        <w:rPr>
          <w:lang w:val="fr-FR"/>
        </w:rPr>
        <w:t>’</w:t>
      </w:r>
      <w:r w:rsidRPr="00817339">
        <w:rPr>
          <w:lang w:val="fr-FR"/>
        </w:rPr>
        <w:t>existence de mesures ciblées visant à accroître l</w:t>
      </w:r>
      <w:r>
        <w:rPr>
          <w:lang w:val="fr-FR"/>
        </w:rPr>
        <w:t>’</w:t>
      </w:r>
      <w:r w:rsidRPr="00817339">
        <w:rPr>
          <w:lang w:val="fr-FR"/>
        </w:rPr>
        <w:t>accessibilité</w:t>
      </w:r>
      <w:r>
        <w:rPr>
          <w:lang w:val="fr-FR"/>
        </w:rPr>
        <w:t xml:space="preserve"> de ces groupes à l’éducation. </w:t>
      </w:r>
      <w:r w:rsidRPr="00817339">
        <w:rPr>
          <w:lang w:val="fr-FR"/>
        </w:rPr>
        <w:t xml:space="preserve">Le rapport indique que, bien que les femmes </w:t>
      </w:r>
      <w:r w:rsidRPr="006F1C3F">
        <w:rPr>
          <w:lang w:val="fr-FR"/>
        </w:rPr>
        <w:t>soient plus nombreuses parmi les étudiants à tous les niveaux universitaires actuels</w:t>
      </w:r>
      <w:r w:rsidRPr="00817339">
        <w:rPr>
          <w:lang w:val="fr-FR"/>
        </w:rPr>
        <w:t xml:space="preserve">, elles sont inscrites principalement dans les domaines </w:t>
      </w:r>
      <w:r>
        <w:rPr>
          <w:lang w:val="fr-FR"/>
        </w:rPr>
        <w:t xml:space="preserve">techniques et professionnels où les femmes dominent </w:t>
      </w:r>
      <w:r w:rsidRPr="00817339">
        <w:rPr>
          <w:lang w:val="fr-FR"/>
        </w:rPr>
        <w:t>(para</w:t>
      </w:r>
      <w:r>
        <w:rPr>
          <w:lang w:val="fr-FR"/>
        </w:rPr>
        <w:t>graphe </w:t>
      </w:r>
      <w:r w:rsidRPr="00817339">
        <w:rPr>
          <w:lang w:val="fr-FR"/>
        </w:rPr>
        <w:t>109). Veuillez indiquer quelles mesures sont envisagées pour accroître la participation des femmes dans les domaines non traditionnels de la formation professionnelle, ainsi que dans les études de technologie, de mathématiques et de science, aux niveaux secondaire et tertiaire.</w:t>
      </w:r>
    </w:p>
    <w:p w:rsidR="0086160B" w:rsidRPr="00817339" w:rsidRDefault="0086160B" w:rsidP="0086160B">
      <w:pPr>
        <w:pStyle w:val="SingleTxt"/>
        <w:rPr>
          <w:i/>
          <w:lang w:val="fr-FR"/>
        </w:rPr>
      </w:pPr>
      <w:r w:rsidRPr="00817339">
        <w:rPr>
          <w:lang w:val="fr-FR"/>
        </w:rPr>
        <w:t>14.</w:t>
      </w:r>
      <w:r w:rsidRPr="00817339">
        <w:rPr>
          <w:lang w:val="fr-FR"/>
        </w:rPr>
        <w:tab/>
        <w:t xml:space="preserve">Veuillez fournir des </w:t>
      </w:r>
      <w:r>
        <w:rPr>
          <w:lang w:val="fr-FR"/>
        </w:rPr>
        <w:t>renseignements</w:t>
      </w:r>
      <w:r w:rsidRPr="00817339">
        <w:rPr>
          <w:lang w:val="fr-FR"/>
        </w:rPr>
        <w:t xml:space="preserve"> sur</w:t>
      </w:r>
      <w:r>
        <w:rPr>
          <w:lang w:val="fr-FR"/>
        </w:rPr>
        <w:t> </w:t>
      </w:r>
      <w:r w:rsidRPr="00817339">
        <w:rPr>
          <w:lang w:val="fr-FR"/>
        </w:rPr>
        <w:t xml:space="preserve">: a) les progrès réalisés pour </w:t>
      </w:r>
      <w:r>
        <w:rPr>
          <w:lang w:val="fr-FR"/>
        </w:rPr>
        <w:t>élaborer</w:t>
      </w:r>
      <w:r w:rsidRPr="00817339">
        <w:rPr>
          <w:lang w:val="fr-FR"/>
        </w:rPr>
        <w:t xml:space="preserve"> une éducation adaptée à l</w:t>
      </w:r>
      <w:r>
        <w:rPr>
          <w:lang w:val="fr-FR"/>
        </w:rPr>
        <w:t>’</w:t>
      </w:r>
      <w:r w:rsidRPr="00817339">
        <w:rPr>
          <w:lang w:val="fr-FR"/>
        </w:rPr>
        <w:t xml:space="preserve">âge sur la santé </w:t>
      </w:r>
      <w:r>
        <w:rPr>
          <w:lang w:val="fr-FR"/>
        </w:rPr>
        <w:t>et les droits en matière de sexualité et de procréation</w:t>
      </w:r>
      <w:r w:rsidRPr="00817339">
        <w:rPr>
          <w:lang w:val="fr-FR"/>
        </w:rPr>
        <w:t>, à tous les niveaux de l</w:t>
      </w:r>
      <w:r>
        <w:rPr>
          <w:lang w:val="fr-FR"/>
        </w:rPr>
        <w:t>’</w:t>
      </w:r>
      <w:r w:rsidRPr="00817339">
        <w:rPr>
          <w:lang w:val="fr-FR"/>
        </w:rPr>
        <w:t>éducation dans l</w:t>
      </w:r>
      <w:r>
        <w:rPr>
          <w:lang w:val="fr-FR"/>
        </w:rPr>
        <w:t>’</w:t>
      </w:r>
      <w:r w:rsidRPr="00817339">
        <w:rPr>
          <w:lang w:val="fr-FR"/>
        </w:rPr>
        <w:t>État partie</w:t>
      </w:r>
      <w:r>
        <w:rPr>
          <w:lang w:val="fr-FR"/>
        </w:rPr>
        <w:t> </w:t>
      </w:r>
      <w:r w:rsidRPr="00817339">
        <w:rPr>
          <w:lang w:val="fr-FR"/>
        </w:rPr>
        <w:t>; b) le taux d</w:t>
      </w:r>
      <w:r>
        <w:rPr>
          <w:lang w:val="fr-FR"/>
        </w:rPr>
        <w:t>’</w:t>
      </w:r>
      <w:r w:rsidRPr="00817339">
        <w:rPr>
          <w:lang w:val="fr-FR"/>
        </w:rPr>
        <w:t xml:space="preserve">abandon des études </w:t>
      </w:r>
      <w:r>
        <w:rPr>
          <w:lang w:val="fr-FR"/>
        </w:rPr>
        <w:t>chez les</w:t>
      </w:r>
      <w:r w:rsidRPr="00817339">
        <w:rPr>
          <w:lang w:val="fr-FR"/>
        </w:rPr>
        <w:t xml:space="preserve"> filles en raison d</w:t>
      </w:r>
      <w:r>
        <w:rPr>
          <w:lang w:val="fr-FR"/>
        </w:rPr>
        <w:t>’une</w:t>
      </w:r>
      <w:r w:rsidRPr="00817339">
        <w:rPr>
          <w:lang w:val="fr-FR"/>
        </w:rPr>
        <w:t xml:space="preserve"> grossesse</w:t>
      </w:r>
      <w:r>
        <w:rPr>
          <w:lang w:val="fr-FR"/>
        </w:rPr>
        <w:t>,</w:t>
      </w:r>
      <w:r w:rsidRPr="00817339">
        <w:rPr>
          <w:lang w:val="fr-FR"/>
        </w:rPr>
        <w:t xml:space="preserve"> ventilé selon l</w:t>
      </w:r>
      <w:r>
        <w:rPr>
          <w:lang w:val="fr-FR"/>
        </w:rPr>
        <w:t>’</w:t>
      </w:r>
      <w:r w:rsidRPr="00817339">
        <w:rPr>
          <w:lang w:val="fr-FR"/>
        </w:rPr>
        <w:t>âge et la région</w:t>
      </w:r>
      <w:r>
        <w:rPr>
          <w:lang w:val="fr-FR"/>
        </w:rPr>
        <w:t> </w:t>
      </w:r>
      <w:r w:rsidRPr="00817339">
        <w:rPr>
          <w:lang w:val="fr-FR"/>
        </w:rPr>
        <w:t>; c) l</w:t>
      </w:r>
      <w:r>
        <w:rPr>
          <w:lang w:val="fr-FR"/>
        </w:rPr>
        <w:t>’</w:t>
      </w:r>
      <w:r w:rsidRPr="00817339">
        <w:rPr>
          <w:lang w:val="fr-FR"/>
        </w:rPr>
        <w:t>élaboration, la mise en œuvre et l</w:t>
      </w:r>
      <w:r>
        <w:rPr>
          <w:lang w:val="fr-FR"/>
        </w:rPr>
        <w:t>’</w:t>
      </w:r>
      <w:r w:rsidRPr="00817339">
        <w:rPr>
          <w:lang w:val="fr-FR"/>
        </w:rPr>
        <w:t>application de la réglementation visant à empêcher le renvoi de l</w:t>
      </w:r>
      <w:r>
        <w:rPr>
          <w:lang w:val="fr-FR"/>
        </w:rPr>
        <w:t>’</w:t>
      </w:r>
      <w:r w:rsidRPr="00817339">
        <w:rPr>
          <w:lang w:val="fr-FR"/>
        </w:rPr>
        <w:t>école des adolescentes enceintes ou mères (para</w:t>
      </w:r>
      <w:r>
        <w:rPr>
          <w:lang w:val="fr-FR"/>
        </w:rPr>
        <w:t>graphe </w:t>
      </w:r>
      <w:r w:rsidRPr="00817339">
        <w:rPr>
          <w:lang w:val="fr-FR"/>
        </w:rPr>
        <w:t>113)</w:t>
      </w:r>
      <w:r>
        <w:rPr>
          <w:lang w:val="fr-FR"/>
        </w:rPr>
        <w:t> </w:t>
      </w:r>
      <w:r w:rsidRPr="00817339">
        <w:rPr>
          <w:lang w:val="fr-FR"/>
        </w:rPr>
        <w:t>; et</w:t>
      </w:r>
      <w:r>
        <w:rPr>
          <w:lang w:val="fr-FR"/>
        </w:rPr>
        <w:t xml:space="preserve"> </w:t>
      </w:r>
      <w:r w:rsidRPr="00817339">
        <w:rPr>
          <w:lang w:val="fr-FR"/>
        </w:rPr>
        <w:t xml:space="preserve">d) les </w:t>
      </w:r>
      <w:r>
        <w:rPr>
          <w:lang w:val="fr-FR"/>
        </w:rPr>
        <w:t>progrès visant à</w:t>
      </w:r>
      <w:r w:rsidRPr="00817339">
        <w:rPr>
          <w:lang w:val="fr-FR"/>
        </w:rPr>
        <w:t xml:space="preserve"> étendre la portée géographique du </w:t>
      </w:r>
      <w:r>
        <w:rPr>
          <w:lang w:val="fr-FR"/>
        </w:rPr>
        <w:t>p</w:t>
      </w:r>
      <w:r w:rsidRPr="00817339">
        <w:rPr>
          <w:lang w:val="fr-FR"/>
        </w:rPr>
        <w:t xml:space="preserve">rogramme </w:t>
      </w:r>
      <w:r>
        <w:rPr>
          <w:lang w:val="fr-FR"/>
        </w:rPr>
        <w:t>destiné aux mères adolescentes (</w:t>
      </w:r>
      <w:r w:rsidRPr="009A2D22">
        <w:rPr>
          <w:i/>
          <w:lang w:val="fr-FR"/>
        </w:rPr>
        <w:t>Project Scholieren Moeders</w:t>
      </w:r>
      <w:r>
        <w:rPr>
          <w:lang w:val="fr-FR"/>
        </w:rPr>
        <w:t>)</w:t>
      </w:r>
      <w:r w:rsidRPr="00817339">
        <w:rPr>
          <w:lang w:val="fr-FR"/>
        </w:rPr>
        <w:t>, qui apporte un soutien aux mères adolescentes, et plus spécifiquement aux filles handicapées et de l</w:t>
      </w:r>
      <w:r>
        <w:rPr>
          <w:lang w:val="fr-FR"/>
        </w:rPr>
        <w:t>’</w:t>
      </w:r>
      <w:r w:rsidRPr="00817339">
        <w:rPr>
          <w:lang w:val="fr-FR"/>
        </w:rPr>
        <w:t>intérieur, pour leur permettre de continuer leurs études (para</w:t>
      </w:r>
      <w:r>
        <w:rPr>
          <w:lang w:val="fr-FR"/>
        </w:rPr>
        <w:t>graphe </w:t>
      </w:r>
      <w:r w:rsidRPr="00817339">
        <w:rPr>
          <w:lang w:val="fr-FR"/>
        </w:rPr>
        <w:t>152).</w:t>
      </w:r>
    </w:p>
    <w:p w:rsidR="0086160B" w:rsidRPr="0086160B" w:rsidRDefault="0086160B" w:rsidP="0086160B">
      <w:pPr>
        <w:pStyle w:val="SingleTxt"/>
        <w:spacing w:after="0" w:line="120" w:lineRule="exact"/>
        <w:rPr>
          <w:b/>
          <w:sz w:val="10"/>
          <w:lang w:val="fr-FR"/>
        </w:rPr>
      </w:pPr>
    </w:p>
    <w:p w:rsidR="0086160B" w:rsidRPr="00817339" w:rsidRDefault="0086160B" w:rsidP="0086160B">
      <w:pPr>
        <w:pStyle w:val="SingleTxt"/>
        <w:rPr>
          <w:b/>
          <w:lang w:val="fr-FR"/>
        </w:rPr>
      </w:pPr>
      <w:r w:rsidRPr="00817339">
        <w:rPr>
          <w:b/>
          <w:lang w:val="fr-FR"/>
        </w:rPr>
        <w:t>Emploi</w:t>
      </w:r>
    </w:p>
    <w:p w:rsidR="0086160B" w:rsidRPr="00817339" w:rsidRDefault="0086160B" w:rsidP="0086160B">
      <w:pPr>
        <w:pStyle w:val="SingleTxt"/>
        <w:rPr>
          <w:i/>
          <w:lang w:val="fr-FR"/>
        </w:rPr>
      </w:pPr>
      <w:r w:rsidRPr="00817339">
        <w:rPr>
          <w:lang w:val="fr-FR"/>
        </w:rPr>
        <w:t>15.</w:t>
      </w:r>
      <w:r w:rsidRPr="00817339">
        <w:rPr>
          <w:lang w:val="fr-FR"/>
        </w:rPr>
        <w:tab/>
        <w:t>Le rapport reconnaît que, bien que les taux de participation et de réussite aient augmenté pour les femmes et les filles à tous les niveaux d</w:t>
      </w:r>
      <w:r>
        <w:rPr>
          <w:lang w:val="fr-FR"/>
        </w:rPr>
        <w:t>’</w:t>
      </w:r>
      <w:r w:rsidRPr="00817339">
        <w:rPr>
          <w:lang w:val="fr-FR"/>
        </w:rPr>
        <w:t xml:space="preserve">éducation, ces taux ne se traduisent pas encore suffisamment dans </w:t>
      </w:r>
      <w:r>
        <w:rPr>
          <w:lang w:val="fr-FR"/>
        </w:rPr>
        <w:t>l’</w:t>
      </w:r>
      <w:r w:rsidRPr="00817339">
        <w:rPr>
          <w:lang w:val="fr-FR"/>
        </w:rPr>
        <w:t xml:space="preserve">emploi ou </w:t>
      </w:r>
      <w:r>
        <w:rPr>
          <w:lang w:val="fr-FR"/>
        </w:rPr>
        <w:t xml:space="preserve">dans </w:t>
      </w:r>
      <w:r w:rsidRPr="00817339">
        <w:rPr>
          <w:lang w:val="fr-FR"/>
        </w:rPr>
        <w:t>la parité des revenus, avec des taux de chômage demeur</w:t>
      </w:r>
      <w:r>
        <w:rPr>
          <w:lang w:val="fr-FR"/>
        </w:rPr>
        <w:t>a</w:t>
      </w:r>
      <w:r w:rsidRPr="00817339">
        <w:rPr>
          <w:lang w:val="fr-FR"/>
        </w:rPr>
        <w:t>nt plus élevés chez les femmes (para</w:t>
      </w:r>
      <w:r>
        <w:rPr>
          <w:lang w:val="fr-FR"/>
        </w:rPr>
        <w:t>graphes </w:t>
      </w:r>
      <w:r w:rsidRPr="00817339">
        <w:rPr>
          <w:lang w:val="fr-FR"/>
        </w:rPr>
        <w:t>122</w:t>
      </w:r>
      <w:r>
        <w:rPr>
          <w:lang w:val="fr-FR"/>
        </w:rPr>
        <w:t xml:space="preserve"> à </w:t>
      </w:r>
      <w:r w:rsidRPr="00817339">
        <w:rPr>
          <w:lang w:val="fr-FR"/>
        </w:rPr>
        <w:t>124).</w:t>
      </w:r>
      <w:r w:rsidRPr="00817339">
        <w:rPr>
          <w:i/>
          <w:lang w:val="fr-FR"/>
        </w:rPr>
        <w:t xml:space="preserve"> </w:t>
      </w:r>
      <w:r w:rsidRPr="00817339">
        <w:rPr>
          <w:lang w:val="fr-FR"/>
        </w:rPr>
        <w:t xml:space="preserve">Veuillez fournir des </w:t>
      </w:r>
      <w:r>
        <w:rPr>
          <w:lang w:val="fr-FR"/>
        </w:rPr>
        <w:t>renseignements</w:t>
      </w:r>
      <w:r w:rsidRPr="00817339">
        <w:rPr>
          <w:lang w:val="fr-FR"/>
        </w:rPr>
        <w:t xml:space="preserve"> sur les mesures concrètes prises </w:t>
      </w:r>
      <w:r>
        <w:rPr>
          <w:lang w:val="fr-FR"/>
        </w:rPr>
        <w:t>afin de</w:t>
      </w:r>
      <w:r w:rsidRPr="00817339">
        <w:rPr>
          <w:lang w:val="fr-FR"/>
        </w:rPr>
        <w:t xml:space="preserve"> promouvoir l</w:t>
      </w:r>
      <w:r>
        <w:rPr>
          <w:lang w:val="fr-FR"/>
        </w:rPr>
        <w:t>’</w:t>
      </w:r>
      <w:r w:rsidRPr="00817339">
        <w:rPr>
          <w:lang w:val="fr-FR"/>
        </w:rPr>
        <w:t>empl</w:t>
      </w:r>
      <w:r>
        <w:rPr>
          <w:lang w:val="fr-FR"/>
        </w:rPr>
        <w:t>oi des femmes, particulièrement</w:t>
      </w:r>
      <w:r w:rsidRPr="00817339">
        <w:rPr>
          <w:lang w:val="fr-FR"/>
        </w:rPr>
        <w:t xml:space="preserve"> des femmes issues de minorités, de communautés </w:t>
      </w:r>
      <w:r>
        <w:rPr>
          <w:lang w:val="fr-FR"/>
        </w:rPr>
        <w:t>autochtones</w:t>
      </w:r>
      <w:r w:rsidRPr="00817339">
        <w:rPr>
          <w:lang w:val="fr-FR"/>
        </w:rPr>
        <w:t xml:space="preserve"> et pauvres, dans des secteurs non</w:t>
      </w:r>
      <w:r>
        <w:rPr>
          <w:lang w:val="fr-FR"/>
        </w:rPr>
        <w:t xml:space="preserve"> </w:t>
      </w:r>
      <w:r w:rsidRPr="00817339">
        <w:rPr>
          <w:lang w:val="fr-FR"/>
        </w:rPr>
        <w:t>traditionnels aux salaires plus élevés, y compris par l</w:t>
      </w:r>
      <w:r>
        <w:rPr>
          <w:lang w:val="fr-FR"/>
        </w:rPr>
        <w:t>’</w:t>
      </w:r>
      <w:r w:rsidRPr="00817339">
        <w:rPr>
          <w:lang w:val="fr-FR"/>
        </w:rPr>
        <w:t>utilisation de mesures temporaires spéciales.</w:t>
      </w:r>
      <w:r w:rsidRPr="00817339">
        <w:rPr>
          <w:i/>
          <w:lang w:val="fr-FR"/>
        </w:rPr>
        <w:t xml:space="preserve"> </w:t>
      </w:r>
      <w:r w:rsidRPr="00817339">
        <w:rPr>
          <w:lang w:val="fr-FR"/>
        </w:rPr>
        <w:t xml:space="preserve">Veuillez fournir des </w:t>
      </w:r>
      <w:r>
        <w:rPr>
          <w:lang w:val="fr-FR"/>
        </w:rPr>
        <w:t>renseignements</w:t>
      </w:r>
      <w:r w:rsidRPr="00817339">
        <w:rPr>
          <w:lang w:val="fr-FR"/>
        </w:rPr>
        <w:t xml:space="preserve"> actualisés sur l</w:t>
      </w:r>
      <w:r>
        <w:rPr>
          <w:lang w:val="fr-FR"/>
        </w:rPr>
        <w:t>’</w:t>
      </w:r>
      <w:r w:rsidRPr="00817339">
        <w:rPr>
          <w:lang w:val="fr-FR"/>
        </w:rPr>
        <w:t>état</w:t>
      </w:r>
      <w:r>
        <w:rPr>
          <w:lang w:val="fr-FR"/>
        </w:rPr>
        <w:t> </w:t>
      </w:r>
      <w:r w:rsidRPr="00817339">
        <w:rPr>
          <w:lang w:val="fr-FR"/>
        </w:rPr>
        <w:t>: a) du projet de loi sur le harcèlement sexuel sur le lieu de travail (para</w:t>
      </w:r>
      <w:r>
        <w:rPr>
          <w:lang w:val="fr-FR"/>
        </w:rPr>
        <w:t>graphe</w:t>
      </w:r>
      <w:r w:rsidRPr="00817339">
        <w:rPr>
          <w:lang w:val="fr-FR"/>
        </w:rPr>
        <w:t>s</w:t>
      </w:r>
      <w:r>
        <w:rPr>
          <w:lang w:val="fr-FR"/>
        </w:rPr>
        <w:t xml:space="preserve"> 22 et 136) ; b) du projet de </w:t>
      </w:r>
      <w:r w:rsidRPr="00817339">
        <w:rPr>
          <w:lang w:val="fr-FR"/>
        </w:rPr>
        <w:t xml:space="preserve">disposition du Code </w:t>
      </w:r>
      <w:r>
        <w:rPr>
          <w:lang w:val="fr-FR"/>
        </w:rPr>
        <w:t>c</w:t>
      </w:r>
      <w:r w:rsidRPr="00817339">
        <w:rPr>
          <w:lang w:val="fr-FR"/>
        </w:rPr>
        <w:t>ivil obligeant tous les employeurs à payer un congé maternité (para</w:t>
      </w:r>
      <w:r>
        <w:rPr>
          <w:lang w:val="fr-FR"/>
        </w:rPr>
        <w:t>graphe</w:t>
      </w:r>
      <w:r w:rsidRPr="00817339">
        <w:rPr>
          <w:lang w:val="fr-FR"/>
        </w:rPr>
        <w:t>s</w:t>
      </w:r>
      <w:r>
        <w:rPr>
          <w:lang w:val="fr-FR"/>
        </w:rPr>
        <w:t> </w:t>
      </w:r>
      <w:r w:rsidRPr="00817339">
        <w:rPr>
          <w:lang w:val="fr-FR"/>
        </w:rPr>
        <w:t>21 et 133)</w:t>
      </w:r>
      <w:r>
        <w:rPr>
          <w:lang w:val="fr-FR"/>
        </w:rPr>
        <w:t> </w:t>
      </w:r>
      <w:r w:rsidRPr="00817339">
        <w:rPr>
          <w:lang w:val="fr-FR"/>
        </w:rPr>
        <w:t xml:space="preserve">; c) </w:t>
      </w:r>
      <w:r>
        <w:rPr>
          <w:lang w:val="fr-FR"/>
        </w:rPr>
        <w:t xml:space="preserve">de </w:t>
      </w:r>
      <w:r w:rsidRPr="00817339">
        <w:rPr>
          <w:lang w:val="fr-FR"/>
        </w:rPr>
        <w:t>l</w:t>
      </w:r>
      <w:r>
        <w:rPr>
          <w:lang w:val="fr-FR"/>
        </w:rPr>
        <w:t>’</w:t>
      </w:r>
      <w:r w:rsidRPr="00817339">
        <w:rPr>
          <w:lang w:val="fr-FR"/>
        </w:rPr>
        <w:t xml:space="preserve">amendement de la </w:t>
      </w:r>
      <w:r w:rsidRPr="00817339">
        <w:rPr>
          <w:i/>
          <w:lang w:val="fr-FR"/>
        </w:rPr>
        <w:t>Personeelswet</w:t>
      </w:r>
      <w:r w:rsidRPr="00817339">
        <w:rPr>
          <w:lang w:val="fr-FR"/>
        </w:rPr>
        <w:t xml:space="preserve"> pour abroger les dispositions </w:t>
      </w:r>
      <w:r>
        <w:rPr>
          <w:lang w:val="fr-FR"/>
        </w:rPr>
        <w:t>énonçant que seules les</w:t>
      </w:r>
      <w:r w:rsidRPr="00817339">
        <w:rPr>
          <w:lang w:val="fr-FR"/>
        </w:rPr>
        <w:t xml:space="preserve"> femmes mariées </w:t>
      </w:r>
      <w:r>
        <w:rPr>
          <w:lang w:val="fr-FR"/>
        </w:rPr>
        <w:t>ont le droit de contracter</w:t>
      </w:r>
      <w:r w:rsidRPr="00817339">
        <w:rPr>
          <w:lang w:val="fr-FR"/>
        </w:rPr>
        <w:t xml:space="preserve"> un contrat de travail avec le Gouvernement, ce qui </w:t>
      </w:r>
      <w:r>
        <w:rPr>
          <w:lang w:val="fr-FR"/>
        </w:rPr>
        <w:t xml:space="preserve">a pour effet de </w:t>
      </w:r>
      <w:r w:rsidRPr="00817339">
        <w:rPr>
          <w:lang w:val="fr-FR"/>
        </w:rPr>
        <w:t>rédui</w:t>
      </w:r>
      <w:r>
        <w:rPr>
          <w:lang w:val="fr-FR"/>
        </w:rPr>
        <w:t>re</w:t>
      </w:r>
      <w:r w:rsidRPr="00817339">
        <w:rPr>
          <w:lang w:val="fr-FR"/>
        </w:rPr>
        <w:t xml:space="preserve"> le</w:t>
      </w:r>
      <w:r>
        <w:rPr>
          <w:lang w:val="fr-FR"/>
        </w:rPr>
        <w:t>s</w:t>
      </w:r>
      <w:r w:rsidRPr="00817339">
        <w:rPr>
          <w:lang w:val="fr-FR"/>
        </w:rPr>
        <w:t xml:space="preserve"> droit</w:t>
      </w:r>
      <w:r>
        <w:rPr>
          <w:lang w:val="fr-FR"/>
        </w:rPr>
        <w:t>s</w:t>
      </w:r>
      <w:r w:rsidRPr="00817339">
        <w:rPr>
          <w:lang w:val="fr-FR"/>
        </w:rPr>
        <w:t xml:space="preserve"> des femmes </w:t>
      </w:r>
      <w:r>
        <w:rPr>
          <w:lang w:val="fr-FR"/>
        </w:rPr>
        <w:t>à un</w:t>
      </w:r>
      <w:r w:rsidRPr="00817339">
        <w:rPr>
          <w:lang w:val="fr-FR"/>
        </w:rPr>
        <w:t xml:space="preserve"> congé annuel pour raison de grossesse et d</w:t>
      </w:r>
      <w:r>
        <w:rPr>
          <w:lang w:val="fr-FR"/>
        </w:rPr>
        <w:t>’</w:t>
      </w:r>
      <w:r w:rsidRPr="00817339">
        <w:rPr>
          <w:lang w:val="fr-FR"/>
        </w:rPr>
        <w:t xml:space="preserve">accouchement, et donnant au Gouvernement la possibilité de </w:t>
      </w:r>
      <w:r>
        <w:rPr>
          <w:lang w:val="fr-FR"/>
        </w:rPr>
        <w:t>mettre fin au</w:t>
      </w:r>
      <w:r w:rsidRPr="00817339">
        <w:rPr>
          <w:lang w:val="fr-FR"/>
        </w:rPr>
        <w:t xml:space="preserve"> contrat de travail </w:t>
      </w:r>
      <w:r>
        <w:rPr>
          <w:lang w:val="fr-FR"/>
        </w:rPr>
        <w:t>d’</w:t>
      </w:r>
      <w:r w:rsidRPr="00817339">
        <w:rPr>
          <w:lang w:val="fr-FR"/>
        </w:rPr>
        <w:t xml:space="preserve">une fonctionnaire </w:t>
      </w:r>
      <w:r>
        <w:rPr>
          <w:lang w:val="fr-FR"/>
        </w:rPr>
        <w:t>au moment où elle se marie</w:t>
      </w:r>
      <w:r w:rsidRPr="00817339">
        <w:rPr>
          <w:lang w:val="fr-FR"/>
        </w:rPr>
        <w:t xml:space="preserve"> (para</w:t>
      </w:r>
      <w:r>
        <w:rPr>
          <w:lang w:val="fr-FR"/>
        </w:rPr>
        <w:t>graphe</w:t>
      </w:r>
      <w:r w:rsidRPr="00817339">
        <w:rPr>
          <w:lang w:val="fr-FR"/>
        </w:rPr>
        <w:t>s</w:t>
      </w:r>
      <w:r>
        <w:rPr>
          <w:lang w:val="fr-FR"/>
        </w:rPr>
        <w:t> </w:t>
      </w:r>
      <w:r w:rsidRPr="00817339">
        <w:rPr>
          <w:lang w:val="fr-FR"/>
        </w:rPr>
        <w:t>223 et 224). Par ailleurs, indiquez si l</w:t>
      </w:r>
      <w:r>
        <w:rPr>
          <w:lang w:val="fr-FR"/>
        </w:rPr>
        <w:t>’</w:t>
      </w:r>
      <w:r w:rsidRPr="00817339">
        <w:rPr>
          <w:lang w:val="fr-FR"/>
        </w:rPr>
        <w:t xml:space="preserve">État partie envisage de recueillir des données ventilées par sexe sur la ségrégation professionnelle, à la fois horizontale et verticale, et sur </w:t>
      </w:r>
      <w:r>
        <w:rPr>
          <w:lang w:val="fr-FR"/>
        </w:rPr>
        <w:t>les écarts de salaire</w:t>
      </w:r>
      <w:r w:rsidRPr="00817339">
        <w:rPr>
          <w:lang w:val="fr-FR"/>
        </w:rPr>
        <w:t xml:space="preserve"> entre les femmes et les hommes, en vue de renforcer ses efforts pour faire respecter le principe de l</w:t>
      </w:r>
      <w:r>
        <w:rPr>
          <w:lang w:val="fr-FR"/>
        </w:rPr>
        <w:t>’</w:t>
      </w:r>
      <w:r w:rsidRPr="00817339">
        <w:rPr>
          <w:lang w:val="fr-FR"/>
        </w:rPr>
        <w:t>égalité de rémunération pour un travail de valeur égale, conformément à la Convention n</w:t>
      </w:r>
      <w:r w:rsidRPr="009922C6">
        <w:rPr>
          <w:vertAlign w:val="superscript"/>
          <w:lang w:val="fr-FR"/>
        </w:rPr>
        <w:t>o</w:t>
      </w:r>
      <w:r>
        <w:rPr>
          <w:lang w:val="fr-FR"/>
        </w:rPr>
        <w:t> </w:t>
      </w:r>
      <w:hyperlink r:id="rId20" w:history="1">
        <w:r w:rsidRPr="004E605B">
          <w:rPr>
            <w:rStyle w:val="Hyperlink"/>
            <w:lang w:val="fr-FR"/>
          </w:rPr>
          <w:t xml:space="preserve">100 </w:t>
        </w:r>
        <w:r>
          <w:rPr>
            <w:lang w:val="fr-FR"/>
          </w:rPr>
          <w:t>sur</w:t>
        </w:r>
        <w:r w:rsidRPr="00817339">
          <w:rPr>
            <w:lang w:val="fr-FR"/>
          </w:rPr>
          <w:t xml:space="preserve"> l</w:t>
        </w:r>
        <w:r>
          <w:rPr>
            <w:lang w:val="fr-FR"/>
          </w:rPr>
          <w:t>’</w:t>
        </w:r>
        <w:r w:rsidRPr="00817339">
          <w:rPr>
            <w:lang w:val="fr-FR"/>
          </w:rPr>
          <w:t>égalité de rémunération</w:t>
        </w:r>
        <w:r w:rsidRPr="004E605B">
          <w:rPr>
            <w:rStyle w:val="Hyperlink"/>
            <w:lang w:val="fr-FR"/>
          </w:rPr>
          <w:t xml:space="preserve"> (1951)</w:t>
        </w:r>
      </w:hyperlink>
      <w:r w:rsidRPr="004E605B">
        <w:rPr>
          <w:lang w:val="fr-FR"/>
        </w:rPr>
        <w:t xml:space="preserve"> </w:t>
      </w:r>
      <w:r w:rsidRPr="00817339">
        <w:rPr>
          <w:lang w:val="fr-FR"/>
        </w:rPr>
        <w:t>de l</w:t>
      </w:r>
      <w:r>
        <w:rPr>
          <w:lang w:val="fr-FR"/>
        </w:rPr>
        <w:t>’</w:t>
      </w:r>
      <w:r w:rsidRPr="00817339">
        <w:rPr>
          <w:lang w:val="fr-FR"/>
        </w:rPr>
        <w:t xml:space="preserve">Organisation </w:t>
      </w:r>
      <w:r>
        <w:rPr>
          <w:lang w:val="fr-FR"/>
        </w:rPr>
        <w:t>i</w:t>
      </w:r>
      <w:r w:rsidRPr="00817339">
        <w:rPr>
          <w:lang w:val="fr-FR"/>
        </w:rPr>
        <w:t>nte</w:t>
      </w:r>
      <w:r>
        <w:rPr>
          <w:lang w:val="fr-FR"/>
        </w:rPr>
        <w:t>rnationale du Travail</w:t>
      </w:r>
      <w:r w:rsidRPr="00817339">
        <w:rPr>
          <w:lang w:val="fr-FR"/>
        </w:rPr>
        <w:t xml:space="preserve">  (para</w:t>
      </w:r>
      <w:r>
        <w:rPr>
          <w:lang w:val="fr-FR"/>
        </w:rPr>
        <w:t>graphe </w:t>
      </w:r>
      <w:r w:rsidRPr="00817339">
        <w:rPr>
          <w:lang w:val="fr-FR"/>
        </w:rPr>
        <w:t>131).</w:t>
      </w:r>
    </w:p>
    <w:p w:rsidR="0086160B" w:rsidRPr="0086160B" w:rsidRDefault="0086160B" w:rsidP="0086160B">
      <w:pPr>
        <w:pStyle w:val="SingleTxt"/>
        <w:spacing w:after="0" w:line="120" w:lineRule="exact"/>
        <w:rPr>
          <w:b/>
          <w:sz w:val="10"/>
          <w:lang w:val="fr-FR"/>
        </w:rPr>
      </w:pPr>
    </w:p>
    <w:p w:rsidR="0086160B" w:rsidRPr="00817339" w:rsidRDefault="0086160B" w:rsidP="0086160B">
      <w:pPr>
        <w:pStyle w:val="SingleTxt"/>
        <w:rPr>
          <w:b/>
          <w:lang w:val="fr-FR"/>
        </w:rPr>
      </w:pPr>
      <w:r w:rsidRPr="00817339">
        <w:rPr>
          <w:b/>
          <w:lang w:val="fr-FR"/>
        </w:rPr>
        <w:t>Santé</w:t>
      </w:r>
    </w:p>
    <w:p w:rsidR="0086160B" w:rsidRPr="00817339" w:rsidRDefault="0086160B" w:rsidP="0086160B">
      <w:pPr>
        <w:pStyle w:val="SingleTxt"/>
        <w:rPr>
          <w:lang w:val="fr-FR"/>
        </w:rPr>
      </w:pPr>
      <w:r w:rsidRPr="00817339">
        <w:rPr>
          <w:lang w:val="fr-FR"/>
        </w:rPr>
        <w:t>16.</w:t>
      </w:r>
      <w:r w:rsidRPr="00817339">
        <w:rPr>
          <w:lang w:val="fr-FR"/>
        </w:rPr>
        <w:tab/>
        <w:t xml:space="preserve">Veuillez fournir des </w:t>
      </w:r>
      <w:r>
        <w:rPr>
          <w:lang w:val="fr-FR"/>
        </w:rPr>
        <w:t>renseignements</w:t>
      </w:r>
      <w:r w:rsidRPr="00817339">
        <w:rPr>
          <w:lang w:val="fr-FR"/>
        </w:rPr>
        <w:t xml:space="preserve"> sur le pourcentage du budget national alloué à la santé des femmes et la proportion allouée à la satisfaction des besoins fondamentaux en matière de santé sexuelle et </w:t>
      </w:r>
      <w:r>
        <w:rPr>
          <w:lang w:val="fr-FR"/>
        </w:rPr>
        <w:t>procréative</w:t>
      </w:r>
      <w:r w:rsidRPr="00817339">
        <w:rPr>
          <w:lang w:val="fr-FR"/>
        </w:rPr>
        <w:t xml:space="preserve"> des femmes dans l</w:t>
      </w:r>
      <w:r>
        <w:rPr>
          <w:lang w:val="fr-FR"/>
        </w:rPr>
        <w:t>’</w:t>
      </w:r>
      <w:r w:rsidRPr="00817339">
        <w:rPr>
          <w:lang w:val="fr-FR"/>
        </w:rPr>
        <w:t>État partie.</w:t>
      </w:r>
      <w:r w:rsidRPr="00817339">
        <w:rPr>
          <w:i/>
          <w:lang w:val="fr-FR"/>
        </w:rPr>
        <w:t xml:space="preserve"> </w:t>
      </w:r>
      <w:r w:rsidRPr="00817339">
        <w:rPr>
          <w:lang w:val="fr-FR"/>
        </w:rPr>
        <w:t>Le rapport précise que «</w:t>
      </w:r>
      <w:r>
        <w:rPr>
          <w:lang w:val="fr-FR"/>
        </w:rPr>
        <w:t> </w:t>
      </w:r>
      <w:r w:rsidRPr="00817339">
        <w:rPr>
          <w:lang w:val="fr-FR"/>
        </w:rPr>
        <w:t xml:space="preserve">les dispositions </w:t>
      </w:r>
      <w:r>
        <w:rPr>
          <w:lang w:val="fr-FR"/>
        </w:rPr>
        <w:t>qui prévoyaient</w:t>
      </w:r>
      <w:r w:rsidRPr="00817339">
        <w:rPr>
          <w:lang w:val="fr-FR"/>
        </w:rPr>
        <w:t xml:space="preserve"> des sanctions à l</w:t>
      </w:r>
      <w:r>
        <w:rPr>
          <w:lang w:val="fr-FR"/>
        </w:rPr>
        <w:t>’</w:t>
      </w:r>
      <w:r w:rsidRPr="00817339">
        <w:rPr>
          <w:lang w:val="fr-FR"/>
        </w:rPr>
        <w:t xml:space="preserve">encontre de toute personne </w:t>
      </w:r>
      <w:r>
        <w:rPr>
          <w:lang w:val="fr-FR"/>
        </w:rPr>
        <w:t>qui montrait</w:t>
      </w:r>
      <w:r w:rsidRPr="00817339">
        <w:rPr>
          <w:lang w:val="fr-FR"/>
        </w:rPr>
        <w:t xml:space="preserve"> des contraceptifs en public pour la prévention des grossesses</w:t>
      </w:r>
      <w:r>
        <w:rPr>
          <w:lang w:val="fr-FR"/>
        </w:rPr>
        <w:t>, offrait</w:t>
      </w:r>
      <w:r w:rsidRPr="00817339">
        <w:rPr>
          <w:lang w:val="fr-FR"/>
        </w:rPr>
        <w:t xml:space="preserve"> des contraceptifs et des services de contraception, de même que des publications pour la prévention des grossesses, ont été supprimées en 2009</w:t>
      </w:r>
      <w:r>
        <w:rPr>
          <w:lang w:val="fr-FR"/>
        </w:rPr>
        <w:t> </w:t>
      </w:r>
      <w:r w:rsidRPr="00817339">
        <w:rPr>
          <w:lang w:val="fr-FR"/>
        </w:rPr>
        <w:t>» (para</w:t>
      </w:r>
      <w:r>
        <w:rPr>
          <w:lang w:val="fr-FR"/>
        </w:rPr>
        <w:t>graphe </w:t>
      </w:r>
      <w:r w:rsidRPr="00817339">
        <w:rPr>
          <w:lang w:val="fr-FR"/>
        </w:rPr>
        <w:t>211). Veuillez préciser si toutes les lois restreignant la planification familiale et les services permettant aux femmes de se faire avorter ont été abrogées conformément à la recommandation précédente du Comité (</w:t>
      </w:r>
      <w:hyperlink r:id="rId21" w:history="1">
        <w:r w:rsidRPr="004E605B">
          <w:rPr>
            <w:rStyle w:val="Hyperlink"/>
            <w:lang w:val="fr-FR"/>
          </w:rPr>
          <w:t>CEDAW/C/SUR/CO/3</w:t>
        </w:r>
      </w:hyperlink>
      <w:r w:rsidRPr="00817339">
        <w:rPr>
          <w:lang w:val="fr-FR"/>
        </w:rPr>
        <w:t>, para</w:t>
      </w:r>
      <w:r>
        <w:rPr>
          <w:lang w:val="fr-FR"/>
        </w:rPr>
        <w:t>graphe </w:t>
      </w:r>
      <w:r w:rsidRPr="00817339">
        <w:rPr>
          <w:lang w:val="fr-FR"/>
        </w:rPr>
        <w:t>30), y compris l</w:t>
      </w:r>
      <w:r>
        <w:rPr>
          <w:lang w:val="fr-FR"/>
        </w:rPr>
        <w:t>’</w:t>
      </w:r>
      <w:r w:rsidRPr="00817339">
        <w:rPr>
          <w:lang w:val="fr-FR"/>
        </w:rPr>
        <w:t>abrogation des articles</w:t>
      </w:r>
      <w:r>
        <w:rPr>
          <w:lang w:val="fr-FR"/>
        </w:rPr>
        <w:t> </w:t>
      </w:r>
      <w:r w:rsidRPr="00817339">
        <w:rPr>
          <w:lang w:val="fr-FR"/>
        </w:rPr>
        <w:t>355</w:t>
      </w:r>
      <w:r>
        <w:rPr>
          <w:lang w:val="fr-FR"/>
        </w:rPr>
        <w:t xml:space="preserve"> à </w:t>
      </w:r>
      <w:r w:rsidRPr="00817339">
        <w:rPr>
          <w:lang w:val="fr-FR"/>
        </w:rPr>
        <w:t xml:space="preserve">357 du </w:t>
      </w:r>
      <w:r>
        <w:rPr>
          <w:lang w:val="fr-FR"/>
        </w:rPr>
        <w:t>C</w:t>
      </w:r>
      <w:r w:rsidRPr="00817339">
        <w:rPr>
          <w:lang w:val="fr-FR"/>
        </w:rPr>
        <w:t>ode pénal, et rapporter les progrès réalisés pour légaliser l</w:t>
      </w:r>
      <w:r>
        <w:rPr>
          <w:lang w:val="fr-FR"/>
        </w:rPr>
        <w:t>’</w:t>
      </w:r>
      <w:r w:rsidRPr="00817339">
        <w:rPr>
          <w:lang w:val="fr-FR"/>
        </w:rPr>
        <w:t>avortement et garantir sa disponibilité juridique, sécuritaire et pratique dans les cas où la vie ou la santé de la femme enceinte ou de la femme sont menacées et en cas de viol, d</w:t>
      </w:r>
      <w:r>
        <w:rPr>
          <w:lang w:val="fr-FR"/>
        </w:rPr>
        <w:t>’</w:t>
      </w:r>
      <w:r w:rsidRPr="00817339">
        <w:rPr>
          <w:lang w:val="fr-FR"/>
        </w:rPr>
        <w:t>inceste et de déficience grave du fœtus.</w:t>
      </w:r>
      <w:r>
        <w:rPr>
          <w:lang w:val="fr-FR"/>
        </w:rPr>
        <w:t xml:space="preserve"> Au vu de l’étude en grappes à </w:t>
      </w:r>
      <w:r w:rsidRPr="00817339">
        <w:rPr>
          <w:lang w:val="fr-FR"/>
        </w:rPr>
        <w:t>indicateurs multiples de 2010 montrant une corrélation entre la pauvreté des femmes et l</w:t>
      </w:r>
      <w:r>
        <w:rPr>
          <w:lang w:val="fr-FR"/>
        </w:rPr>
        <w:t>’</w:t>
      </w:r>
      <w:r w:rsidRPr="00817339">
        <w:rPr>
          <w:lang w:val="fr-FR"/>
        </w:rPr>
        <w:t xml:space="preserve">accès aux contraceptifs, veuillez fournir des </w:t>
      </w:r>
      <w:r>
        <w:rPr>
          <w:lang w:val="fr-FR"/>
        </w:rPr>
        <w:t>renseignements</w:t>
      </w:r>
      <w:r w:rsidRPr="00817339">
        <w:rPr>
          <w:lang w:val="fr-FR"/>
        </w:rPr>
        <w:t xml:space="preserve"> sur la façon dont le plan de subvention pour garantir aux femmes pauvres l</w:t>
      </w:r>
      <w:r>
        <w:rPr>
          <w:lang w:val="fr-FR"/>
        </w:rPr>
        <w:t>’</w:t>
      </w:r>
      <w:r w:rsidRPr="00817339">
        <w:rPr>
          <w:lang w:val="fr-FR"/>
        </w:rPr>
        <w:t>accès aux contraceptifs est opérationnel et le nombre et la portée de ses bénéficiaires, et en particulier s</w:t>
      </w:r>
      <w:r>
        <w:rPr>
          <w:lang w:val="fr-FR"/>
        </w:rPr>
        <w:t>’</w:t>
      </w:r>
      <w:r w:rsidRPr="00817339">
        <w:rPr>
          <w:lang w:val="fr-FR"/>
        </w:rPr>
        <w:t>il profite aux femmes Marrons et femmes i</w:t>
      </w:r>
      <w:r>
        <w:rPr>
          <w:lang w:val="fr-FR"/>
        </w:rPr>
        <w:t>ndigènes de l’intérieur (paragraphes </w:t>
      </w:r>
      <w:r w:rsidRPr="00817339">
        <w:rPr>
          <w:lang w:val="fr-FR"/>
        </w:rPr>
        <w:t>149, 154, 214 et 215).</w:t>
      </w:r>
    </w:p>
    <w:p w:rsidR="0086160B" w:rsidRPr="00817339" w:rsidRDefault="0086160B" w:rsidP="0086160B">
      <w:pPr>
        <w:pStyle w:val="SingleTxt"/>
        <w:rPr>
          <w:lang w:val="fr-FR"/>
        </w:rPr>
      </w:pPr>
      <w:r w:rsidRPr="00817339">
        <w:rPr>
          <w:lang w:val="fr-FR"/>
        </w:rPr>
        <w:t>17.</w:t>
      </w:r>
      <w:r w:rsidRPr="00817339">
        <w:rPr>
          <w:lang w:val="fr-FR"/>
        </w:rPr>
        <w:tab/>
        <w:t>Veuillez informer le Comité si le</w:t>
      </w:r>
      <w:r>
        <w:rPr>
          <w:lang w:val="fr-FR"/>
        </w:rPr>
        <w:t>s</w:t>
      </w:r>
      <w:r w:rsidRPr="00817339">
        <w:rPr>
          <w:lang w:val="fr-FR"/>
        </w:rPr>
        <w:t xml:space="preserve"> plan</w:t>
      </w:r>
      <w:r>
        <w:rPr>
          <w:lang w:val="fr-FR"/>
        </w:rPr>
        <w:t>s</w:t>
      </w:r>
      <w:r w:rsidRPr="00817339">
        <w:rPr>
          <w:lang w:val="fr-FR"/>
        </w:rPr>
        <w:t xml:space="preserve"> stratégique</w:t>
      </w:r>
      <w:r>
        <w:rPr>
          <w:lang w:val="fr-FR"/>
        </w:rPr>
        <w:t>s</w:t>
      </w:r>
      <w:r w:rsidRPr="00817339">
        <w:rPr>
          <w:lang w:val="fr-FR"/>
        </w:rPr>
        <w:t xml:space="preserve"> nationa</w:t>
      </w:r>
      <w:r>
        <w:rPr>
          <w:lang w:val="fr-FR"/>
        </w:rPr>
        <w:t>ux</w:t>
      </w:r>
      <w:r w:rsidRPr="00817339">
        <w:rPr>
          <w:lang w:val="fr-FR"/>
        </w:rPr>
        <w:t xml:space="preserve"> </w:t>
      </w:r>
      <w:r>
        <w:rPr>
          <w:lang w:val="fr-FR"/>
        </w:rPr>
        <w:t>de lutte</w:t>
      </w:r>
      <w:r w:rsidRPr="00817339">
        <w:rPr>
          <w:lang w:val="fr-FR"/>
        </w:rPr>
        <w:t xml:space="preserve"> contre le VIH/sida </w:t>
      </w:r>
      <w:r>
        <w:rPr>
          <w:lang w:val="fr-FR"/>
        </w:rPr>
        <w:t xml:space="preserve">pour </w:t>
      </w:r>
      <w:r w:rsidRPr="00817339">
        <w:rPr>
          <w:lang w:val="fr-FR"/>
        </w:rPr>
        <w:t>2014-2020 dans l</w:t>
      </w:r>
      <w:r>
        <w:rPr>
          <w:lang w:val="fr-FR"/>
        </w:rPr>
        <w:t>’</w:t>
      </w:r>
      <w:r w:rsidRPr="00817339">
        <w:rPr>
          <w:lang w:val="fr-FR"/>
        </w:rPr>
        <w:t>État partie comprend des mesures visant à résoudre les problèmes identifiés dans le rapport comme nécessitant une att</w:t>
      </w:r>
      <w:r>
        <w:rPr>
          <w:lang w:val="fr-FR"/>
        </w:rPr>
        <w:t>ention prioritaire, notamment :</w:t>
      </w:r>
      <w:r w:rsidRPr="00817339">
        <w:rPr>
          <w:lang w:val="fr-FR"/>
        </w:rPr>
        <w:t xml:space="preserve"> a) prévenir la contraction du VIH/sida par des groupes à risque, particulièrement les femmes prostituées et les femmes de l</w:t>
      </w:r>
      <w:r>
        <w:rPr>
          <w:lang w:val="fr-FR"/>
        </w:rPr>
        <w:t>’</w:t>
      </w:r>
      <w:r w:rsidRPr="00817339">
        <w:rPr>
          <w:lang w:val="fr-FR"/>
        </w:rPr>
        <w:t>intérieur</w:t>
      </w:r>
      <w:r>
        <w:rPr>
          <w:lang w:val="fr-FR"/>
        </w:rPr>
        <w:t> </w:t>
      </w:r>
      <w:r w:rsidRPr="00817339">
        <w:rPr>
          <w:lang w:val="fr-FR"/>
        </w:rPr>
        <w:t>; b) la nécessité de réduire la stigmatisation et la discrimination à l</w:t>
      </w:r>
      <w:r>
        <w:rPr>
          <w:lang w:val="fr-FR"/>
        </w:rPr>
        <w:t>’</w:t>
      </w:r>
      <w:r w:rsidRPr="00817339">
        <w:rPr>
          <w:lang w:val="fr-FR"/>
        </w:rPr>
        <w:t>égard des femmes et des minorités sexuelles vivant avec le VIH</w:t>
      </w:r>
      <w:r>
        <w:rPr>
          <w:lang w:val="fr-FR"/>
        </w:rPr>
        <w:t> </w:t>
      </w:r>
      <w:r w:rsidRPr="00817339">
        <w:rPr>
          <w:lang w:val="fr-FR"/>
        </w:rPr>
        <w:t xml:space="preserve">; et c) la mise en œuvre de programmes de prévention </w:t>
      </w:r>
      <w:r>
        <w:rPr>
          <w:lang w:val="fr-FR"/>
        </w:rPr>
        <w:t>du</w:t>
      </w:r>
      <w:r w:rsidRPr="00817339">
        <w:rPr>
          <w:lang w:val="fr-FR"/>
        </w:rPr>
        <w:t xml:space="preserve"> VIH </w:t>
      </w:r>
      <w:r>
        <w:rPr>
          <w:lang w:val="fr-FR"/>
        </w:rPr>
        <w:t>ciblés sur</w:t>
      </w:r>
      <w:r w:rsidRPr="00817339">
        <w:rPr>
          <w:lang w:val="fr-FR"/>
        </w:rPr>
        <w:t xml:space="preserve"> les femmes mariées et les femmes </w:t>
      </w:r>
      <w:r>
        <w:rPr>
          <w:lang w:val="fr-FR"/>
        </w:rPr>
        <w:t>entretenant</w:t>
      </w:r>
      <w:r w:rsidRPr="00817339">
        <w:rPr>
          <w:lang w:val="fr-FR"/>
        </w:rPr>
        <w:t xml:space="preserve"> d</w:t>
      </w:r>
      <w:r>
        <w:rPr>
          <w:lang w:val="fr-FR"/>
        </w:rPr>
        <w:t>’</w:t>
      </w:r>
      <w:r w:rsidRPr="00817339">
        <w:rPr>
          <w:lang w:val="fr-FR"/>
        </w:rPr>
        <w:t>aut</w:t>
      </w:r>
      <w:r>
        <w:rPr>
          <w:lang w:val="fr-FR"/>
        </w:rPr>
        <w:t>res formes de relations conjugales (paragraphe </w:t>
      </w:r>
      <w:r w:rsidRPr="00817339">
        <w:rPr>
          <w:lang w:val="fr-FR"/>
        </w:rPr>
        <w:t>156).</w:t>
      </w:r>
    </w:p>
    <w:p w:rsidR="0086160B" w:rsidRPr="0086160B" w:rsidRDefault="0086160B" w:rsidP="0086160B">
      <w:pPr>
        <w:pStyle w:val="SingleTxt"/>
        <w:spacing w:after="0" w:line="120" w:lineRule="exact"/>
        <w:rPr>
          <w:b/>
          <w:sz w:val="10"/>
          <w:lang w:val="fr-FR"/>
        </w:rPr>
      </w:pPr>
    </w:p>
    <w:p w:rsidR="0086160B" w:rsidRPr="00817339" w:rsidRDefault="0086160B" w:rsidP="0086160B">
      <w:pPr>
        <w:pStyle w:val="SingleTxt"/>
        <w:rPr>
          <w:b/>
          <w:lang w:val="fr-FR"/>
        </w:rPr>
      </w:pPr>
      <w:r w:rsidRPr="00817339">
        <w:rPr>
          <w:b/>
          <w:lang w:val="fr-FR"/>
        </w:rPr>
        <w:t>Vie sociale et économique</w:t>
      </w:r>
    </w:p>
    <w:p w:rsidR="0086160B" w:rsidRPr="00817339" w:rsidRDefault="0086160B" w:rsidP="0086160B">
      <w:pPr>
        <w:pStyle w:val="SingleTxt"/>
        <w:rPr>
          <w:lang w:val="fr-FR"/>
        </w:rPr>
      </w:pPr>
      <w:r w:rsidRPr="00817339">
        <w:rPr>
          <w:lang w:val="fr-FR"/>
        </w:rPr>
        <w:t>18.</w:t>
      </w:r>
      <w:r w:rsidRPr="00817339">
        <w:rPr>
          <w:lang w:val="fr-FR"/>
        </w:rPr>
        <w:tab/>
        <w:t>Veuillez fournir des précisions sur l</w:t>
      </w:r>
      <w:r>
        <w:rPr>
          <w:lang w:val="fr-FR"/>
        </w:rPr>
        <w:t>’</w:t>
      </w:r>
      <w:r w:rsidRPr="00817339">
        <w:rPr>
          <w:lang w:val="fr-FR"/>
        </w:rPr>
        <w:t>impact de</w:t>
      </w:r>
      <w:r>
        <w:rPr>
          <w:lang w:val="fr-FR"/>
        </w:rPr>
        <w:t>s</w:t>
      </w:r>
      <w:r w:rsidRPr="00817339">
        <w:rPr>
          <w:lang w:val="fr-FR"/>
        </w:rPr>
        <w:t xml:space="preserve"> réforme</w:t>
      </w:r>
      <w:r>
        <w:rPr>
          <w:lang w:val="fr-FR"/>
        </w:rPr>
        <w:t>s</w:t>
      </w:r>
      <w:r w:rsidRPr="00817339">
        <w:rPr>
          <w:lang w:val="fr-FR"/>
        </w:rPr>
        <w:t xml:space="preserve"> législative</w:t>
      </w:r>
      <w:r>
        <w:rPr>
          <w:lang w:val="fr-FR"/>
        </w:rPr>
        <w:t>s</w:t>
      </w:r>
      <w:r w:rsidRPr="00817339">
        <w:rPr>
          <w:lang w:val="fr-FR"/>
        </w:rPr>
        <w:t xml:space="preserve"> (la loi sur le salaire horaire minimum, la loi nationale sur l</w:t>
      </w:r>
      <w:r>
        <w:rPr>
          <w:lang w:val="fr-FR"/>
        </w:rPr>
        <w:t>’</w:t>
      </w:r>
      <w:r w:rsidRPr="00817339">
        <w:rPr>
          <w:lang w:val="fr-FR"/>
        </w:rPr>
        <w:t>assurance vieillesse et la loi nationale sur l</w:t>
      </w:r>
      <w:r>
        <w:rPr>
          <w:lang w:val="fr-FR"/>
        </w:rPr>
        <w:t>’</w:t>
      </w:r>
      <w:r w:rsidRPr="00817339">
        <w:rPr>
          <w:lang w:val="fr-FR"/>
        </w:rPr>
        <w:t>assurance maladie de base) et la publication des avantages sociaux énumérés aux paragraphes</w:t>
      </w:r>
      <w:r>
        <w:rPr>
          <w:lang w:val="fr-FR"/>
        </w:rPr>
        <w:t> </w:t>
      </w:r>
      <w:r w:rsidRPr="00817339">
        <w:rPr>
          <w:lang w:val="fr-FR"/>
        </w:rPr>
        <w:t>164 à 175 du rapport sur la diminution du niveau de pauvreté qui touche les femmes dans l</w:t>
      </w:r>
      <w:r>
        <w:rPr>
          <w:lang w:val="fr-FR"/>
        </w:rPr>
        <w:t>’</w:t>
      </w:r>
      <w:r w:rsidRPr="00817339">
        <w:rPr>
          <w:lang w:val="fr-FR"/>
        </w:rPr>
        <w:t>État partie. Le Comité prend note des effets exagérément néfastes sur les femmes</w:t>
      </w:r>
      <w:r>
        <w:rPr>
          <w:lang w:val="fr-FR"/>
        </w:rPr>
        <w:t xml:space="preserve"> résultant </w:t>
      </w:r>
      <w:r w:rsidRPr="00817339">
        <w:rPr>
          <w:lang w:val="fr-FR"/>
        </w:rPr>
        <w:t>des mesures d</w:t>
      </w:r>
      <w:r>
        <w:rPr>
          <w:lang w:val="fr-FR"/>
        </w:rPr>
        <w:t>’</w:t>
      </w:r>
      <w:r w:rsidRPr="00817339">
        <w:rPr>
          <w:lang w:val="fr-FR"/>
        </w:rPr>
        <w:t>austérité prises par l</w:t>
      </w:r>
      <w:r>
        <w:rPr>
          <w:lang w:val="fr-FR"/>
        </w:rPr>
        <w:t>’</w:t>
      </w:r>
      <w:r w:rsidRPr="00817339">
        <w:rPr>
          <w:lang w:val="fr-FR"/>
        </w:rPr>
        <w:t xml:space="preserve">État partie, y compris les compressions budgétaires </w:t>
      </w:r>
      <w:r>
        <w:rPr>
          <w:lang w:val="fr-FR"/>
        </w:rPr>
        <w:t>visant à</w:t>
      </w:r>
      <w:r w:rsidRPr="00817339">
        <w:rPr>
          <w:lang w:val="fr-FR"/>
        </w:rPr>
        <w:t xml:space="preserve"> réduire la dette et la création d</w:t>
      </w:r>
      <w:r>
        <w:rPr>
          <w:lang w:val="fr-FR"/>
        </w:rPr>
        <w:t>’</w:t>
      </w:r>
      <w:r w:rsidRPr="00817339">
        <w:rPr>
          <w:lang w:val="fr-FR"/>
        </w:rPr>
        <w:t>une taxe sur la valeur ajoutée en 2014. Veuillez fournir les résultats de toute évaluation effectuée sur l</w:t>
      </w:r>
      <w:r>
        <w:rPr>
          <w:lang w:val="fr-FR"/>
        </w:rPr>
        <w:t>’</w:t>
      </w:r>
      <w:r w:rsidRPr="00817339">
        <w:rPr>
          <w:lang w:val="fr-FR"/>
        </w:rPr>
        <w:t>impact de ces mesures d</w:t>
      </w:r>
      <w:r>
        <w:rPr>
          <w:lang w:val="fr-FR"/>
        </w:rPr>
        <w:t>’</w:t>
      </w:r>
      <w:r w:rsidRPr="00817339">
        <w:rPr>
          <w:lang w:val="fr-FR"/>
        </w:rPr>
        <w:t>austérité sur les femmes, particulièrement les femmes socialement et économiquement défavorisées, dans l</w:t>
      </w:r>
      <w:r>
        <w:rPr>
          <w:lang w:val="fr-FR"/>
        </w:rPr>
        <w:t>’</w:t>
      </w:r>
      <w:r w:rsidRPr="00817339">
        <w:rPr>
          <w:lang w:val="fr-FR"/>
        </w:rPr>
        <w:t>État partie, y compris en ce qui concerne leur accès aux programmes sociaux.</w:t>
      </w:r>
    </w:p>
    <w:p w:rsidR="0086160B" w:rsidRPr="0086160B" w:rsidRDefault="0086160B" w:rsidP="0086160B">
      <w:pPr>
        <w:pStyle w:val="SingleTxt"/>
        <w:spacing w:after="0" w:line="120" w:lineRule="exact"/>
        <w:rPr>
          <w:b/>
          <w:sz w:val="10"/>
          <w:lang w:val="fr-FR"/>
        </w:rPr>
      </w:pPr>
    </w:p>
    <w:p w:rsidR="0086160B" w:rsidRPr="00817339" w:rsidRDefault="0086160B" w:rsidP="0086160B">
      <w:pPr>
        <w:pStyle w:val="SingleTxt"/>
        <w:rPr>
          <w:b/>
          <w:lang w:val="fr-FR"/>
        </w:rPr>
      </w:pPr>
      <w:r w:rsidRPr="00817339">
        <w:rPr>
          <w:b/>
          <w:lang w:val="fr-FR"/>
        </w:rPr>
        <w:t>Réduction des risques de catastrophe et changement climatique</w:t>
      </w:r>
    </w:p>
    <w:p w:rsidR="0086160B" w:rsidRPr="00817339" w:rsidRDefault="0086160B" w:rsidP="0086160B">
      <w:pPr>
        <w:pStyle w:val="SingleTxt"/>
        <w:rPr>
          <w:lang w:val="fr-FR"/>
        </w:rPr>
      </w:pPr>
      <w:r w:rsidRPr="00817339">
        <w:rPr>
          <w:lang w:val="fr-FR"/>
        </w:rPr>
        <w:t>19.</w:t>
      </w:r>
      <w:r w:rsidRPr="00817339">
        <w:rPr>
          <w:lang w:val="fr-FR"/>
        </w:rPr>
        <w:tab/>
        <w:t>Veuillez fournir des précisions sur la manière dont l</w:t>
      </w:r>
      <w:r>
        <w:rPr>
          <w:lang w:val="fr-FR"/>
        </w:rPr>
        <w:t>’</w:t>
      </w:r>
      <w:r w:rsidRPr="00817339">
        <w:rPr>
          <w:lang w:val="fr-FR"/>
        </w:rPr>
        <w:t xml:space="preserve">État partie </w:t>
      </w:r>
      <w:r>
        <w:rPr>
          <w:lang w:val="fr-FR"/>
        </w:rPr>
        <w:t>lutte contre</w:t>
      </w:r>
      <w:r w:rsidRPr="00817339">
        <w:rPr>
          <w:lang w:val="fr-FR"/>
        </w:rPr>
        <w:t xml:space="preserve"> l</w:t>
      </w:r>
      <w:r>
        <w:rPr>
          <w:lang w:val="fr-FR"/>
        </w:rPr>
        <w:t>’</w:t>
      </w:r>
      <w:r w:rsidRPr="00817339">
        <w:rPr>
          <w:lang w:val="fr-FR"/>
        </w:rPr>
        <w:t>impact des catastrophes et des changements climatiques sur les femmes, en particulier les femmes Marrons, les femmes autochtones et les femmes de l</w:t>
      </w:r>
      <w:r>
        <w:rPr>
          <w:lang w:val="fr-FR"/>
        </w:rPr>
        <w:t>’</w:t>
      </w:r>
      <w:r w:rsidRPr="00817339">
        <w:rPr>
          <w:lang w:val="fr-FR"/>
        </w:rPr>
        <w:t>intérieur car elles sont affectées de manière disproportionnée. Veuillez également indiquer les mesures prises pour assurer une participation égale des femmes à tous les niveaux de la prise de décision en matière de réduction des risques de catastrophe et d</w:t>
      </w:r>
      <w:r>
        <w:rPr>
          <w:lang w:val="fr-FR"/>
        </w:rPr>
        <w:t>’</w:t>
      </w:r>
      <w:r w:rsidRPr="00817339">
        <w:rPr>
          <w:lang w:val="fr-FR"/>
        </w:rPr>
        <w:t>adaptation aux changements climatiques</w:t>
      </w:r>
      <w:r>
        <w:rPr>
          <w:lang w:val="fr-FR"/>
        </w:rPr>
        <w:t>.</w:t>
      </w:r>
    </w:p>
    <w:p w:rsidR="0086160B" w:rsidRPr="0086160B" w:rsidRDefault="0086160B" w:rsidP="0086160B">
      <w:pPr>
        <w:pStyle w:val="SingleTxt"/>
        <w:spacing w:after="0" w:line="120" w:lineRule="exact"/>
        <w:rPr>
          <w:b/>
          <w:sz w:val="10"/>
          <w:lang w:val="fr-FR"/>
        </w:rPr>
      </w:pPr>
    </w:p>
    <w:p w:rsidR="0086160B" w:rsidRPr="00817339" w:rsidRDefault="0086160B" w:rsidP="0086160B">
      <w:pPr>
        <w:pStyle w:val="SingleTxt"/>
        <w:jc w:val="left"/>
        <w:rPr>
          <w:b/>
          <w:lang w:val="fr-FR"/>
        </w:rPr>
      </w:pPr>
      <w:r w:rsidRPr="00817339">
        <w:rPr>
          <w:b/>
          <w:lang w:val="fr-FR"/>
        </w:rPr>
        <w:t xml:space="preserve">Femmes des zones rurales, femmes Marrons et femmes autochtones </w:t>
      </w:r>
      <w:r>
        <w:rPr>
          <w:b/>
          <w:lang w:val="fr-FR"/>
        </w:rPr>
        <w:br/>
      </w:r>
      <w:r w:rsidRPr="00817339">
        <w:rPr>
          <w:b/>
          <w:lang w:val="fr-FR"/>
        </w:rPr>
        <w:t>vivant dans l</w:t>
      </w:r>
      <w:r>
        <w:rPr>
          <w:b/>
          <w:lang w:val="fr-FR"/>
        </w:rPr>
        <w:t>’</w:t>
      </w:r>
      <w:r w:rsidRPr="00817339">
        <w:rPr>
          <w:b/>
          <w:lang w:val="fr-FR"/>
        </w:rPr>
        <w:t>intérieur</w:t>
      </w:r>
    </w:p>
    <w:p w:rsidR="0086160B" w:rsidRPr="00817339" w:rsidRDefault="0086160B" w:rsidP="0086160B">
      <w:pPr>
        <w:pStyle w:val="SingleTxt"/>
        <w:rPr>
          <w:i/>
          <w:lang w:val="fr-FR"/>
        </w:rPr>
      </w:pPr>
      <w:r w:rsidRPr="00817339">
        <w:rPr>
          <w:lang w:val="fr-FR"/>
        </w:rPr>
        <w:t>20.</w:t>
      </w:r>
      <w:r w:rsidRPr="00817339">
        <w:rPr>
          <w:i/>
          <w:lang w:val="fr-FR"/>
        </w:rPr>
        <w:tab/>
      </w:r>
      <w:r w:rsidRPr="00817339">
        <w:rPr>
          <w:lang w:val="fr-FR"/>
        </w:rPr>
        <w:t>Selon le rapport, les districts ruraux et de l</w:t>
      </w:r>
      <w:r>
        <w:rPr>
          <w:lang w:val="fr-FR"/>
        </w:rPr>
        <w:t>’</w:t>
      </w:r>
      <w:r w:rsidRPr="00817339">
        <w:rPr>
          <w:lang w:val="fr-FR"/>
        </w:rPr>
        <w:t xml:space="preserve">intérieur où vivent les Marrons et les autochtones ont un accès </w:t>
      </w:r>
      <w:r>
        <w:rPr>
          <w:lang w:val="fr-FR"/>
        </w:rPr>
        <w:t>excessivement</w:t>
      </w:r>
      <w:r w:rsidRPr="00817339">
        <w:rPr>
          <w:lang w:val="fr-FR"/>
        </w:rPr>
        <w:t xml:space="preserve"> faible aux services sociaux, aux installations d</w:t>
      </w:r>
      <w:r>
        <w:rPr>
          <w:lang w:val="fr-FR"/>
        </w:rPr>
        <w:t>’</w:t>
      </w:r>
      <w:r w:rsidRPr="00817339">
        <w:rPr>
          <w:lang w:val="fr-FR"/>
        </w:rPr>
        <w:t>assainissement, à l</w:t>
      </w:r>
      <w:r>
        <w:rPr>
          <w:lang w:val="fr-FR"/>
        </w:rPr>
        <w:t>’</w:t>
      </w:r>
      <w:r w:rsidRPr="00817339">
        <w:rPr>
          <w:lang w:val="fr-FR"/>
        </w:rPr>
        <w:t>énergie et aux technologies de communications (para</w:t>
      </w:r>
      <w:r>
        <w:rPr>
          <w:lang w:val="fr-FR"/>
        </w:rPr>
        <w:t>graphe</w:t>
      </w:r>
      <w:r w:rsidRPr="00817339">
        <w:rPr>
          <w:lang w:val="fr-FR"/>
        </w:rPr>
        <w:t>s</w:t>
      </w:r>
      <w:r>
        <w:rPr>
          <w:lang w:val="fr-FR"/>
        </w:rPr>
        <w:t> </w:t>
      </w:r>
      <w:r w:rsidRPr="00817339">
        <w:rPr>
          <w:lang w:val="fr-FR"/>
        </w:rPr>
        <w:t>183, 184, 197 et 200, 202) et souffrent des plus hauts niveaux de pauvreté, avec 91,4</w:t>
      </w:r>
      <w:r>
        <w:rPr>
          <w:lang w:val="fr-FR"/>
        </w:rPr>
        <w:t> </w:t>
      </w:r>
      <w:r w:rsidRPr="00817339">
        <w:rPr>
          <w:lang w:val="fr-FR"/>
        </w:rPr>
        <w:t>% des personnes dans les régions de l</w:t>
      </w:r>
      <w:r>
        <w:rPr>
          <w:lang w:val="fr-FR"/>
        </w:rPr>
        <w:t>’</w:t>
      </w:r>
      <w:r w:rsidRPr="00817339">
        <w:rPr>
          <w:lang w:val="fr-FR"/>
        </w:rPr>
        <w:t>intérieur vivant dans l</w:t>
      </w:r>
      <w:r>
        <w:rPr>
          <w:lang w:val="fr-FR"/>
        </w:rPr>
        <w:t>’</w:t>
      </w:r>
      <w:r w:rsidRPr="00817339">
        <w:rPr>
          <w:lang w:val="fr-FR"/>
        </w:rPr>
        <w:t>extrême pauvreté (para</w:t>
      </w:r>
      <w:r>
        <w:rPr>
          <w:lang w:val="fr-FR"/>
        </w:rPr>
        <w:t>graphe</w:t>
      </w:r>
      <w:r w:rsidRPr="00817339">
        <w:rPr>
          <w:lang w:val="fr-FR"/>
        </w:rPr>
        <w:t>s</w:t>
      </w:r>
      <w:r>
        <w:rPr>
          <w:lang w:val="fr-FR"/>
        </w:rPr>
        <w:t> </w:t>
      </w:r>
      <w:r w:rsidRPr="00817339">
        <w:rPr>
          <w:lang w:val="fr-FR"/>
        </w:rPr>
        <w:t>178, 179 et 187). Veuillez fournir les résultats de toute évaluation de l</w:t>
      </w:r>
      <w:r>
        <w:rPr>
          <w:lang w:val="fr-FR"/>
        </w:rPr>
        <w:t>’</w:t>
      </w:r>
      <w:r w:rsidRPr="00817339">
        <w:rPr>
          <w:lang w:val="fr-FR"/>
        </w:rPr>
        <w:t>efficacité du Plan national de développement (2012-2016) sur la réduction de la pauvreté des femmes rurales, des femmes Marrons et des femmes autochtones vivant dans l</w:t>
      </w:r>
      <w:r>
        <w:rPr>
          <w:lang w:val="fr-FR"/>
        </w:rPr>
        <w:t>’</w:t>
      </w:r>
      <w:r w:rsidRPr="00817339">
        <w:rPr>
          <w:lang w:val="fr-FR"/>
        </w:rPr>
        <w:t>intérieur. Compte tenu du nombre élevé de femmes rurales responsables de la production des aliments pour leur famille, veuillez informer le Comité sur l</w:t>
      </w:r>
      <w:r>
        <w:rPr>
          <w:lang w:val="fr-FR"/>
        </w:rPr>
        <w:t>’</w:t>
      </w:r>
      <w:r w:rsidRPr="00817339">
        <w:rPr>
          <w:lang w:val="fr-FR"/>
        </w:rPr>
        <w:t>élaboration et la mise en œuvre d</w:t>
      </w:r>
      <w:r>
        <w:rPr>
          <w:lang w:val="fr-FR"/>
        </w:rPr>
        <w:t>’</w:t>
      </w:r>
      <w:r w:rsidRPr="00817339">
        <w:rPr>
          <w:lang w:val="fr-FR"/>
        </w:rPr>
        <w:t>une politique d</w:t>
      </w:r>
      <w:r>
        <w:rPr>
          <w:lang w:val="fr-FR"/>
        </w:rPr>
        <w:t>’</w:t>
      </w:r>
      <w:r w:rsidRPr="00817339">
        <w:rPr>
          <w:lang w:val="fr-FR"/>
        </w:rPr>
        <w:t xml:space="preserve">appui au développement économique et social des femmes rurales et en particulier </w:t>
      </w:r>
      <w:r>
        <w:rPr>
          <w:lang w:val="fr-FR"/>
        </w:rPr>
        <w:t>en vue de</w:t>
      </w:r>
      <w:r w:rsidRPr="00817339">
        <w:rPr>
          <w:lang w:val="fr-FR"/>
        </w:rPr>
        <w:t xml:space="preserve"> surmonter les injustices sex</w:t>
      </w:r>
      <w:r>
        <w:rPr>
          <w:lang w:val="fr-FR"/>
        </w:rPr>
        <w:t xml:space="preserve">istes qui limitent leur accès </w:t>
      </w:r>
      <w:r w:rsidRPr="00817339">
        <w:rPr>
          <w:lang w:val="fr-FR"/>
        </w:rPr>
        <w:t>au foncier, au crédit, à des revenus décents, à la technologie, à l</w:t>
      </w:r>
      <w:r>
        <w:rPr>
          <w:lang w:val="fr-FR"/>
        </w:rPr>
        <w:t>’</w:t>
      </w:r>
      <w:r w:rsidRPr="00817339">
        <w:rPr>
          <w:lang w:val="fr-FR"/>
        </w:rPr>
        <w:t>information, à des services consultatifs et à la formation (para</w:t>
      </w:r>
      <w:r>
        <w:rPr>
          <w:lang w:val="fr-FR"/>
        </w:rPr>
        <w:t>graphe</w:t>
      </w:r>
      <w:r w:rsidRPr="00817339">
        <w:rPr>
          <w:lang w:val="fr-FR"/>
        </w:rPr>
        <w:t>s</w:t>
      </w:r>
      <w:r>
        <w:rPr>
          <w:lang w:val="fr-FR"/>
        </w:rPr>
        <w:t> </w:t>
      </w:r>
      <w:r w:rsidRPr="00817339">
        <w:rPr>
          <w:lang w:val="fr-FR"/>
        </w:rPr>
        <w:t>188 et 191). Veuillez informer le Comité de la manière dont la pleine participation des femmes rurales à l</w:t>
      </w:r>
      <w:r>
        <w:rPr>
          <w:lang w:val="fr-FR"/>
        </w:rPr>
        <w:t xml:space="preserve">’élaboration </w:t>
      </w:r>
      <w:r w:rsidRPr="00817339">
        <w:rPr>
          <w:lang w:val="fr-FR"/>
        </w:rPr>
        <w:t>et à la mise en œuvre des politiques et programmes qui les concernent a été garantie, conformément à la recommandation générale n</w:t>
      </w:r>
      <w:r w:rsidRPr="00F24E0D">
        <w:rPr>
          <w:vertAlign w:val="superscript"/>
          <w:lang w:val="fr-FR"/>
        </w:rPr>
        <w:t>o</w:t>
      </w:r>
      <w:r>
        <w:rPr>
          <w:lang w:val="fr-FR"/>
        </w:rPr>
        <w:t> </w:t>
      </w:r>
      <w:r w:rsidRPr="00817339">
        <w:rPr>
          <w:lang w:val="fr-FR"/>
        </w:rPr>
        <w:t>34 sur les droits des femmes rurales</w:t>
      </w:r>
      <w:r>
        <w:rPr>
          <w:lang w:val="fr-FR"/>
        </w:rPr>
        <w:t xml:space="preserve"> (2016)</w:t>
      </w:r>
      <w:r w:rsidRPr="00817339">
        <w:rPr>
          <w:lang w:val="fr-FR"/>
        </w:rPr>
        <w:t>.</w:t>
      </w:r>
    </w:p>
    <w:p w:rsidR="0086160B" w:rsidRPr="0086160B" w:rsidRDefault="0086160B" w:rsidP="0086160B">
      <w:pPr>
        <w:pStyle w:val="SingleTxt"/>
        <w:spacing w:after="0" w:line="120" w:lineRule="exact"/>
        <w:rPr>
          <w:b/>
          <w:sz w:val="10"/>
          <w:lang w:val="fr-FR"/>
        </w:rPr>
      </w:pPr>
    </w:p>
    <w:p w:rsidR="0086160B" w:rsidRDefault="0086160B" w:rsidP="0086160B">
      <w:pPr>
        <w:pStyle w:val="SingleTxt"/>
        <w:rPr>
          <w:b/>
          <w:lang w:val="fr-FR"/>
        </w:rPr>
      </w:pPr>
      <w:r>
        <w:rPr>
          <w:b/>
          <w:lang w:val="fr-FR"/>
        </w:rPr>
        <w:t>Groupes de femmes défavorisés</w:t>
      </w:r>
    </w:p>
    <w:p w:rsidR="0086160B" w:rsidRPr="00817339" w:rsidRDefault="0086160B" w:rsidP="0086160B">
      <w:pPr>
        <w:pStyle w:val="SingleTxt"/>
        <w:rPr>
          <w:lang w:val="fr-FR"/>
        </w:rPr>
      </w:pPr>
      <w:r w:rsidRPr="00817339">
        <w:rPr>
          <w:lang w:val="fr-FR"/>
        </w:rPr>
        <w:t>21.</w:t>
      </w:r>
      <w:r w:rsidRPr="00817339">
        <w:rPr>
          <w:lang w:val="fr-FR"/>
        </w:rPr>
        <w:tab/>
        <w:t xml:space="preserve">Veuillez fournir des </w:t>
      </w:r>
      <w:r>
        <w:rPr>
          <w:lang w:val="fr-FR"/>
        </w:rPr>
        <w:t>renseignements</w:t>
      </w:r>
      <w:r w:rsidRPr="00817339">
        <w:rPr>
          <w:lang w:val="fr-FR"/>
        </w:rPr>
        <w:t xml:space="preserve"> actualisés sur les femmes handicapées, les femmes Marrons et les femmes autochtones indiquant si</w:t>
      </w:r>
      <w:r>
        <w:rPr>
          <w:lang w:val="fr-FR"/>
        </w:rPr>
        <w:t> </w:t>
      </w:r>
      <w:r w:rsidRPr="00817339">
        <w:rPr>
          <w:lang w:val="fr-FR"/>
        </w:rPr>
        <w:t>: a) elles sont protégées contre la discrimination par une législation spécifique</w:t>
      </w:r>
      <w:r>
        <w:rPr>
          <w:lang w:val="fr-FR"/>
        </w:rPr>
        <w:t xml:space="preserve"> et une stratégie connexe ; </w:t>
      </w:r>
      <w:r w:rsidRPr="00817339">
        <w:rPr>
          <w:lang w:val="fr-FR"/>
        </w:rPr>
        <w:t xml:space="preserve">b) </w:t>
      </w:r>
      <w:r>
        <w:rPr>
          <w:lang w:val="fr-FR"/>
        </w:rPr>
        <w:t xml:space="preserve">elles </w:t>
      </w:r>
      <w:r w:rsidRPr="00817339">
        <w:rPr>
          <w:lang w:val="fr-FR"/>
        </w:rPr>
        <w:t xml:space="preserve">ont un accès </w:t>
      </w:r>
      <w:r>
        <w:rPr>
          <w:lang w:val="fr-FR"/>
        </w:rPr>
        <w:t>réel</w:t>
      </w:r>
      <w:r w:rsidRPr="00817339">
        <w:rPr>
          <w:lang w:val="fr-FR"/>
        </w:rPr>
        <w:t xml:space="preserve"> à leurs droits économiques et sociaux, tels que les avantages sociaux, les services de santé, les services financiers, l</w:t>
      </w:r>
      <w:r>
        <w:rPr>
          <w:lang w:val="fr-FR"/>
        </w:rPr>
        <w:t>’</w:t>
      </w:r>
      <w:r w:rsidRPr="00817339">
        <w:rPr>
          <w:lang w:val="fr-FR"/>
        </w:rPr>
        <w:t xml:space="preserve">éducation et les </w:t>
      </w:r>
      <w:r>
        <w:rPr>
          <w:lang w:val="fr-FR"/>
        </w:rPr>
        <w:t xml:space="preserve">possibilités d’emploi. </w:t>
      </w:r>
      <w:r w:rsidRPr="00817339">
        <w:rPr>
          <w:lang w:val="fr-FR"/>
        </w:rPr>
        <w:t>Veuillez informer le Comité sur la manière dont la séparation systématique des filles des femmes en détention est assurée en pratique.</w:t>
      </w:r>
    </w:p>
    <w:p w:rsidR="0086160B" w:rsidRPr="0086160B" w:rsidRDefault="0086160B" w:rsidP="0086160B">
      <w:pPr>
        <w:pStyle w:val="SingleTxt"/>
        <w:spacing w:after="0" w:line="120" w:lineRule="exact"/>
        <w:rPr>
          <w:b/>
          <w:sz w:val="10"/>
          <w:lang w:val="fr-FR"/>
        </w:rPr>
      </w:pPr>
    </w:p>
    <w:p w:rsidR="0086160B" w:rsidRPr="00817339" w:rsidRDefault="0086160B" w:rsidP="0086160B">
      <w:pPr>
        <w:pStyle w:val="SingleTxt"/>
        <w:rPr>
          <w:b/>
          <w:lang w:val="fr-FR"/>
        </w:rPr>
      </w:pPr>
      <w:r w:rsidRPr="00817339">
        <w:rPr>
          <w:b/>
          <w:lang w:val="fr-FR"/>
        </w:rPr>
        <w:t>L</w:t>
      </w:r>
      <w:r>
        <w:rPr>
          <w:b/>
          <w:lang w:val="fr-FR"/>
        </w:rPr>
        <w:t>’</w:t>
      </w:r>
      <w:r w:rsidRPr="00817339">
        <w:rPr>
          <w:b/>
          <w:lang w:val="fr-FR"/>
        </w:rPr>
        <w:t>égalité dans le mariage et les relations familiales</w:t>
      </w:r>
    </w:p>
    <w:p w:rsidR="0086160B" w:rsidRPr="00817339" w:rsidRDefault="0086160B" w:rsidP="0086160B">
      <w:pPr>
        <w:pStyle w:val="SingleTxt"/>
        <w:rPr>
          <w:lang w:val="fr-FR"/>
        </w:rPr>
      </w:pPr>
      <w:r w:rsidRPr="00817339">
        <w:rPr>
          <w:lang w:val="fr-FR"/>
        </w:rPr>
        <w:t>22.</w:t>
      </w:r>
      <w:r w:rsidRPr="00817339">
        <w:rPr>
          <w:lang w:val="fr-FR"/>
        </w:rPr>
        <w:tab/>
        <w:t xml:space="preserve">Veuillez fournir au Comité des </w:t>
      </w:r>
      <w:r>
        <w:rPr>
          <w:lang w:val="fr-FR"/>
        </w:rPr>
        <w:t>renseignements</w:t>
      </w:r>
      <w:r w:rsidRPr="00817339">
        <w:rPr>
          <w:lang w:val="fr-FR"/>
        </w:rPr>
        <w:t xml:space="preserve"> </w:t>
      </w:r>
      <w:r>
        <w:rPr>
          <w:lang w:val="fr-FR"/>
        </w:rPr>
        <w:t>à jour</w:t>
      </w:r>
      <w:r w:rsidRPr="00817339">
        <w:rPr>
          <w:lang w:val="fr-FR"/>
        </w:rPr>
        <w:t xml:space="preserve"> </w:t>
      </w:r>
      <w:r>
        <w:rPr>
          <w:lang w:val="fr-FR"/>
        </w:rPr>
        <w:t>en ce qui concerne</w:t>
      </w:r>
      <w:r w:rsidRPr="00817339">
        <w:rPr>
          <w:lang w:val="fr-FR"/>
        </w:rPr>
        <w:t xml:space="preserve"> le calendrier pour</w:t>
      </w:r>
      <w:r>
        <w:rPr>
          <w:lang w:val="fr-FR"/>
        </w:rPr>
        <w:t> </w:t>
      </w:r>
      <w:r w:rsidRPr="00817339">
        <w:rPr>
          <w:lang w:val="fr-FR"/>
        </w:rPr>
        <w:t>: a) l</w:t>
      </w:r>
      <w:r>
        <w:rPr>
          <w:lang w:val="fr-FR"/>
        </w:rPr>
        <w:t>’</w:t>
      </w:r>
      <w:r w:rsidRPr="00817339">
        <w:rPr>
          <w:lang w:val="fr-FR"/>
        </w:rPr>
        <w:t xml:space="preserve">adoption du projet de </w:t>
      </w:r>
      <w:r>
        <w:rPr>
          <w:lang w:val="fr-FR"/>
        </w:rPr>
        <w:t>C</w:t>
      </w:r>
      <w:r w:rsidRPr="00817339">
        <w:rPr>
          <w:lang w:val="fr-FR"/>
        </w:rPr>
        <w:t xml:space="preserve">ode civil contenant des dispositions pour </w:t>
      </w:r>
      <w:r>
        <w:rPr>
          <w:lang w:val="fr-FR"/>
        </w:rPr>
        <w:t>porter</w:t>
      </w:r>
      <w:r w:rsidRPr="00817339">
        <w:rPr>
          <w:lang w:val="fr-FR"/>
        </w:rPr>
        <w:t xml:space="preserve"> à 18 ans l</w:t>
      </w:r>
      <w:r>
        <w:rPr>
          <w:lang w:val="fr-FR"/>
        </w:rPr>
        <w:t>’</w:t>
      </w:r>
      <w:r w:rsidRPr="00817339">
        <w:rPr>
          <w:lang w:val="fr-FR"/>
        </w:rPr>
        <w:t xml:space="preserve">âge du consentement </w:t>
      </w:r>
      <w:r>
        <w:rPr>
          <w:lang w:val="fr-FR"/>
        </w:rPr>
        <w:t>au</w:t>
      </w:r>
      <w:r w:rsidRPr="00817339">
        <w:rPr>
          <w:lang w:val="fr-FR"/>
        </w:rPr>
        <w:t xml:space="preserve"> mariage </w:t>
      </w:r>
      <w:r>
        <w:rPr>
          <w:lang w:val="fr-FR"/>
        </w:rPr>
        <w:t xml:space="preserve"> aussi bien </w:t>
      </w:r>
      <w:r w:rsidRPr="00817339">
        <w:rPr>
          <w:lang w:val="fr-FR"/>
        </w:rPr>
        <w:t xml:space="preserve">pour les filles </w:t>
      </w:r>
      <w:r>
        <w:rPr>
          <w:lang w:val="fr-FR"/>
        </w:rPr>
        <w:t>que</w:t>
      </w:r>
      <w:r w:rsidRPr="00817339">
        <w:rPr>
          <w:lang w:val="fr-FR"/>
        </w:rPr>
        <w:t xml:space="preserve"> pour les garçons (para</w:t>
      </w:r>
      <w:r>
        <w:rPr>
          <w:lang w:val="fr-FR"/>
        </w:rPr>
        <w:t>graphe</w:t>
      </w:r>
      <w:r w:rsidRPr="00817339">
        <w:rPr>
          <w:lang w:val="fr-FR"/>
        </w:rPr>
        <w:t>s</w:t>
      </w:r>
      <w:r>
        <w:rPr>
          <w:lang w:val="fr-FR"/>
        </w:rPr>
        <w:t> </w:t>
      </w:r>
      <w:r w:rsidRPr="00817339">
        <w:rPr>
          <w:lang w:val="fr-FR"/>
        </w:rPr>
        <w:t xml:space="preserve">18 et 234), en </w:t>
      </w:r>
      <w:r>
        <w:rPr>
          <w:lang w:val="fr-FR"/>
        </w:rPr>
        <w:t>levant</w:t>
      </w:r>
      <w:r w:rsidRPr="00817339">
        <w:rPr>
          <w:lang w:val="fr-FR"/>
        </w:rPr>
        <w:t xml:space="preserve"> l</w:t>
      </w:r>
      <w:r>
        <w:rPr>
          <w:lang w:val="fr-FR"/>
        </w:rPr>
        <w:t>’</w:t>
      </w:r>
      <w:r w:rsidRPr="00817339">
        <w:rPr>
          <w:lang w:val="fr-FR"/>
        </w:rPr>
        <w:t>incapacité juridique des femmes mariées (para</w:t>
      </w:r>
      <w:r>
        <w:rPr>
          <w:lang w:val="fr-FR"/>
        </w:rPr>
        <w:t>graphe </w:t>
      </w:r>
      <w:r w:rsidRPr="00817339">
        <w:rPr>
          <w:lang w:val="fr-FR"/>
        </w:rPr>
        <w:t>24), et en garantissant l</w:t>
      </w:r>
      <w:r>
        <w:rPr>
          <w:lang w:val="fr-FR"/>
        </w:rPr>
        <w:t>’</w:t>
      </w:r>
      <w:r w:rsidRPr="00817339">
        <w:rPr>
          <w:lang w:val="fr-FR"/>
        </w:rPr>
        <w:t xml:space="preserve">égalité </w:t>
      </w:r>
      <w:r>
        <w:rPr>
          <w:lang w:val="fr-FR"/>
        </w:rPr>
        <w:t>en matière d’</w:t>
      </w:r>
      <w:r w:rsidRPr="00817339">
        <w:rPr>
          <w:lang w:val="fr-FR"/>
        </w:rPr>
        <w:t xml:space="preserve">autorité parentale et </w:t>
      </w:r>
      <w:r>
        <w:rPr>
          <w:lang w:val="fr-FR"/>
        </w:rPr>
        <w:t>de</w:t>
      </w:r>
      <w:r w:rsidRPr="00817339">
        <w:rPr>
          <w:lang w:val="fr-FR"/>
        </w:rPr>
        <w:t xml:space="preserve"> garde des enfants et les mêmes droits personnels pour les femmes mariées (para</w:t>
      </w:r>
      <w:r>
        <w:rPr>
          <w:lang w:val="fr-FR"/>
        </w:rPr>
        <w:t>graphe</w:t>
      </w:r>
      <w:r w:rsidRPr="00817339">
        <w:rPr>
          <w:lang w:val="fr-FR"/>
        </w:rPr>
        <w:t>s</w:t>
      </w:r>
      <w:r>
        <w:rPr>
          <w:lang w:val="fr-FR"/>
        </w:rPr>
        <w:t> </w:t>
      </w:r>
      <w:r w:rsidRPr="00817339">
        <w:rPr>
          <w:lang w:val="fr-FR"/>
        </w:rPr>
        <w:t>217 et 221)</w:t>
      </w:r>
      <w:r>
        <w:rPr>
          <w:lang w:val="fr-FR"/>
        </w:rPr>
        <w:t> </w:t>
      </w:r>
      <w:r w:rsidRPr="00817339">
        <w:rPr>
          <w:lang w:val="fr-FR"/>
        </w:rPr>
        <w:t>; et b) l</w:t>
      </w:r>
      <w:r>
        <w:rPr>
          <w:lang w:val="fr-FR"/>
        </w:rPr>
        <w:t>’</w:t>
      </w:r>
      <w:r w:rsidRPr="00817339">
        <w:rPr>
          <w:lang w:val="fr-FR"/>
        </w:rPr>
        <w:t>adoption d</w:t>
      </w:r>
      <w:r>
        <w:rPr>
          <w:lang w:val="fr-FR"/>
        </w:rPr>
        <w:t>’</w:t>
      </w:r>
      <w:r w:rsidRPr="00817339">
        <w:rPr>
          <w:lang w:val="fr-FR"/>
        </w:rPr>
        <w:t xml:space="preserve">une </w:t>
      </w:r>
      <w:r>
        <w:rPr>
          <w:lang w:val="fr-FR"/>
        </w:rPr>
        <w:t xml:space="preserve">loi en vertu de laquelle les femmes mariées ne seront plus dans l’obligation </w:t>
      </w:r>
      <w:r w:rsidRPr="00817339">
        <w:rPr>
          <w:lang w:val="fr-FR"/>
        </w:rPr>
        <w:t>d</w:t>
      </w:r>
      <w:r>
        <w:rPr>
          <w:lang w:val="fr-FR"/>
        </w:rPr>
        <w:t>’</w:t>
      </w:r>
      <w:r w:rsidRPr="00817339">
        <w:rPr>
          <w:lang w:val="fr-FR"/>
        </w:rPr>
        <w:t>utiliser le nom de leur mari sur leur carte d</w:t>
      </w:r>
      <w:r>
        <w:rPr>
          <w:lang w:val="fr-FR"/>
        </w:rPr>
        <w:t>’</w:t>
      </w:r>
      <w:r w:rsidRPr="00817339">
        <w:rPr>
          <w:lang w:val="fr-FR"/>
        </w:rPr>
        <w:t>identité (para</w:t>
      </w:r>
      <w:r>
        <w:rPr>
          <w:lang w:val="fr-FR"/>
        </w:rPr>
        <w:t>graphe </w:t>
      </w:r>
      <w:r w:rsidRPr="00817339">
        <w:rPr>
          <w:lang w:val="fr-FR"/>
        </w:rPr>
        <w:t xml:space="preserve">222). </w:t>
      </w:r>
      <w:r>
        <w:rPr>
          <w:lang w:val="fr-FR"/>
        </w:rPr>
        <w:t>Au vu de la déclaration dans le</w:t>
      </w:r>
      <w:r w:rsidRPr="00817339">
        <w:rPr>
          <w:lang w:val="fr-FR"/>
        </w:rPr>
        <w:t xml:space="preserve"> rapport de l</w:t>
      </w:r>
      <w:r>
        <w:rPr>
          <w:lang w:val="fr-FR"/>
        </w:rPr>
        <w:t>’enquête</w:t>
      </w:r>
      <w:r w:rsidRPr="00817339">
        <w:rPr>
          <w:lang w:val="fr-FR"/>
        </w:rPr>
        <w:t xml:space="preserve"> en grappes à indicateurs multiples de 2010 </w:t>
      </w:r>
      <w:r>
        <w:rPr>
          <w:lang w:val="fr-FR"/>
        </w:rPr>
        <w:t xml:space="preserve">selon laquelle </w:t>
      </w:r>
      <w:r w:rsidRPr="00817339">
        <w:rPr>
          <w:lang w:val="fr-FR"/>
        </w:rPr>
        <w:t>environ 12</w:t>
      </w:r>
      <w:r>
        <w:rPr>
          <w:lang w:val="fr-FR"/>
        </w:rPr>
        <w:t> %</w:t>
      </w:r>
      <w:r w:rsidRPr="00817339">
        <w:rPr>
          <w:lang w:val="fr-FR"/>
        </w:rPr>
        <w:t xml:space="preserve"> des femmes </w:t>
      </w:r>
      <w:r>
        <w:rPr>
          <w:lang w:val="fr-FR"/>
        </w:rPr>
        <w:t xml:space="preserve">âgées </w:t>
      </w:r>
      <w:r w:rsidRPr="00817339">
        <w:rPr>
          <w:lang w:val="fr-FR"/>
        </w:rPr>
        <w:t xml:space="preserve">de 15 à 19 ans </w:t>
      </w:r>
      <w:r>
        <w:rPr>
          <w:lang w:val="fr-FR"/>
        </w:rPr>
        <w:t>étaient</w:t>
      </w:r>
      <w:r w:rsidRPr="00817339">
        <w:rPr>
          <w:lang w:val="fr-FR"/>
        </w:rPr>
        <w:t xml:space="preserve"> mariées ou </w:t>
      </w:r>
      <w:r>
        <w:rPr>
          <w:lang w:val="fr-FR"/>
        </w:rPr>
        <w:t xml:space="preserve">vivaient </w:t>
      </w:r>
      <w:r w:rsidRPr="00817339">
        <w:rPr>
          <w:lang w:val="fr-FR"/>
        </w:rPr>
        <w:t xml:space="preserve">en couple, veuillez communiquer au </w:t>
      </w:r>
      <w:r>
        <w:rPr>
          <w:lang w:val="fr-FR"/>
        </w:rPr>
        <w:t>C</w:t>
      </w:r>
      <w:r w:rsidRPr="00817339">
        <w:rPr>
          <w:lang w:val="fr-FR"/>
        </w:rPr>
        <w:t xml:space="preserve">omité des </w:t>
      </w:r>
      <w:r>
        <w:rPr>
          <w:lang w:val="fr-FR"/>
        </w:rPr>
        <w:t>renseignements</w:t>
      </w:r>
      <w:r w:rsidRPr="00817339">
        <w:rPr>
          <w:lang w:val="fr-FR"/>
        </w:rPr>
        <w:t xml:space="preserve"> concernant l</w:t>
      </w:r>
      <w:r>
        <w:rPr>
          <w:lang w:val="fr-FR"/>
        </w:rPr>
        <w:t>’</w:t>
      </w:r>
      <w:r w:rsidRPr="00817339">
        <w:rPr>
          <w:lang w:val="fr-FR"/>
        </w:rPr>
        <w:t>existence d</w:t>
      </w:r>
      <w:r>
        <w:rPr>
          <w:lang w:val="fr-FR"/>
        </w:rPr>
        <w:t>’</w:t>
      </w:r>
      <w:r w:rsidRPr="00817339">
        <w:rPr>
          <w:lang w:val="fr-FR"/>
        </w:rPr>
        <w:t>une stratégie nationale visant à prévenir et à éliminer le mariage d</w:t>
      </w:r>
      <w:r>
        <w:rPr>
          <w:lang w:val="fr-FR"/>
        </w:rPr>
        <w:t>’</w:t>
      </w:r>
      <w:r w:rsidRPr="00817339">
        <w:rPr>
          <w:lang w:val="fr-FR"/>
        </w:rPr>
        <w:t>enfants, fournissant aux victimes de mariages d</w:t>
      </w:r>
      <w:r>
        <w:rPr>
          <w:lang w:val="fr-FR"/>
        </w:rPr>
        <w:t>’</w:t>
      </w:r>
      <w:r w:rsidRPr="00817339">
        <w:rPr>
          <w:lang w:val="fr-FR"/>
        </w:rPr>
        <w:t xml:space="preserve">enfants et précoces et </w:t>
      </w:r>
      <w:r>
        <w:rPr>
          <w:lang w:val="fr-FR"/>
        </w:rPr>
        <w:t xml:space="preserve">aux </w:t>
      </w:r>
      <w:r w:rsidRPr="00817339">
        <w:rPr>
          <w:lang w:val="fr-FR"/>
        </w:rPr>
        <w:t xml:space="preserve">en couple, un accès à des </w:t>
      </w:r>
      <w:r>
        <w:rPr>
          <w:lang w:val="fr-FR"/>
        </w:rPr>
        <w:t>refuges</w:t>
      </w:r>
      <w:r w:rsidRPr="00817339">
        <w:rPr>
          <w:lang w:val="fr-FR"/>
        </w:rPr>
        <w:t>, un suivi sanitaire et psychosocial et une assistance juridique pour les aider à donner suite aux plaintes.</w:t>
      </w:r>
    </w:p>
    <w:p w:rsidR="0086160B" w:rsidRPr="0086160B" w:rsidRDefault="0086160B" w:rsidP="0086160B">
      <w:pPr>
        <w:pStyle w:val="SingleTxt"/>
        <w:spacing w:after="0" w:line="120" w:lineRule="exact"/>
        <w:rPr>
          <w:sz w:val="10"/>
          <w:lang w:val="fr-FR"/>
        </w:rPr>
      </w:pPr>
    </w:p>
    <w:p w:rsidR="0086160B" w:rsidRPr="0086160B" w:rsidRDefault="0086160B" w:rsidP="0086160B">
      <w:pPr>
        <w:pStyle w:val="SingleTxt"/>
        <w:rPr>
          <w:lang w:val="fr-FR"/>
        </w:rPr>
      </w:pPr>
      <w:r w:rsidRPr="0086160B">
        <w:rPr>
          <w:b/>
          <w:lang w:val="fr-FR"/>
        </w:rPr>
        <w:t>Protocole facultatif et amendement à l’article 20 (1)</w:t>
      </w:r>
    </w:p>
    <w:p w:rsidR="0086160B" w:rsidRPr="00817339" w:rsidRDefault="0086160B" w:rsidP="0086160B">
      <w:pPr>
        <w:pStyle w:val="SingleTxt"/>
        <w:rPr>
          <w:lang w:val="fr-FR"/>
        </w:rPr>
      </w:pPr>
      <w:r w:rsidRPr="00817339">
        <w:rPr>
          <w:lang w:val="fr-FR"/>
        </w:rPr>
        <w:t>23.</w:t>
      </w:r>
      <w:r w:rsidRPr="00817339">
        <w:rPr>
          <w:lang w:val="fr-FR"/>
        </w:rPr>
        <w:tab/>
        <w:t xml:space="preserve">Selon le rapport, des conditions </w:t>
      </w:r>
      <w:r>
        <w:rPr>
          <w:lang w:val="fr-FR"/>
        </w:rPr>
        <w:t xml:space="preserve">préalables </w:t>
      </w:r>
      <w:r w:rsidRPr="00817339">
        <w:rPr>
          <w:lang w:val="fr-FR"/>
        </w:rPr>
        <w:t xml:space="preserve">doivent être </w:t>
      </w:r>
      <w:r>
        <w:rPr>
          <w:lang w:val="fr-FR"/>
        </w:rPr>
        <w:t>remplies</w:t>
      </w:r>
      <w:r w:rsidRPr="00817339">
        <w:rPr>
          <w:lang w:val="fr-FR"/>
        </w:rPr>
        <w:t xml:space="preserve">, </w:t>
      </w:r>
      <w:r>
        <w:rPr>
          <w:lang w:val="fr-FR"/>
        </w:rPr>
        <w:t>par exemple</w:t>
      </w:r>
      <w:r w:rsidRPr="00817339">
        <w:rPr>
          <w:lang w:val="fr-FR"/>
        </w:rPr>
        <w:t xml:space="preserve"> l</w:t>
      </w:r>
      <w:r>
        <w:rPr>
          <w:lang w:val="fr-FR"/>
        </w:rPr>
        <w:t>’</w:t>
      </w:r>
      <w:r w:rsidRPr="00817339">
        <w:rPr>
          <w:lang w:val="fr-FR"/>
        </w:rPr>
        <w:t xml:space="preserve">adoption de mesures </w:t>
      </w:r>
      <w:r>
        <w:rPr>
          <w:lang w:val="fr-FR"/>
        </w:rPr>
        <w:t>juridiques</w:t>
      </w:r>
      <w:r w:rsidRPr="00817339">
        <w:rPr>
          <w:lang w:val="fr-FR"/>
        </w:rPr>
        <w:t xml:space="preserve"> appropriées, avant la ratification du Protocole facultatif (</w:t>
      </w:r>
      <w:r>
        <w:rPr>
          <w:lang w:val="fr-FR"/>
        </w:rPr>
        <w:t>paragraphe </w:t>
      </w:r>
      <w:r w:rsidRPr="00817339">
        <w:rPr>
          <w:lang w:val="fr-FR"/>
        </w:rPr>
        <w:t>42). Veuillez spécifier la nature de ces conditions. Veuillez indiquer toute avancée réalisée concernant l</w:t>
      </w:r>
      <w:r>
        <w:rPr>
          <w:lang w:val="fr-FR"/>
        </w:rPr>
        <w:t>’</w:t>
      </w:r>
      <w:r w:rsidRPr="00817339">
        <w:rPr>
          <w:lang w:val="fr-FR"/>
        </w:rPr>
        <w:t>acceptation de l</w:t>
      </w:r>
      <w:r>
        <w:rPr>
          <w:lang w:val="fr-FR"/>
        </w:rPr>
        <w:t>’</w:t>
      </w:r>
      <w:r w:rsidRPr="00817339">
        <w:rPr>
          <w:lang w:val="fr-FR"/>
        </w:rPr>
        <w:t>amendement à l</w:t>
      </w:r>
      <w:r>
        <w:rPr>
          <w:lang w:val="fr-FR"/>
        </w:rPr>
        <w:t>’article </w:t>
      </w:r>
      <w:r w:rsidRPr="00817339">
        <w:rPr>
          <w:lang w:val="fr-FR"/>
        </w:rPr>
        <w:t>20</w:t>
      </w:r>
      <w:r>
        <w:rPr>
          <w:lang w:val="fr-FR"/>
        </w:rPr>
        <w:t xml:space="preserve"> (1)</w:t>
      </w:r>
      <w:r w:rsidRPr="00817339">
        <w:rPr>
          <w:lang w:val="fr-FR"/>
        </w:rPr>
        <w:t xml:space="preserve">, de la Convention concernant </w:t>
      </w:r>
      <w:r>
        <w:rPr>
          <w:lang w:val="fr-FR"/>
        </w:rPr>
        <w:t>la durée des séances</w:t>
      </w:r>
      <w:r w:rsidRPr="00817339">
        <w:rPr>
          <w:lang w:val="fr-FR"/>
        </w:rPr>
        <w:t xml:space="preserve"> du Comité.</w:t>
      </w:r>
    </w:p>
    <w:p w:rsidR="0086160B" w:rsidRPr="006A0CDF" w:rsidRDefault="0086160B" w:rsidP="0086160B">
      <w:pPr>
        <w:pStyle w:val="SingleTxt"/>
      </w:pPr>
      <w:r>
        <w:rPr>
          <w:noProof/>
          <w:w w:val="100"/>
          <w:lang w:val="en-GB" w:eastAsia="en-GB"/>
        </w:rPr>
        <mc:AlternateContent>
          <mc:Choice Requires="wps">
            <w:drawing>
              <wp:anchor distT="4294967295" distB="4294967295" distL="114300" distR="114300" simplePos="0" relativeHeight="251658240" behindDoc="0" locked="0" layoutInCell="1" allowOverlap="1" wp14:anchorId="541A66D0" wp14:editId="13E70C10">
                <wp:simplePos x="0" y="0"/>
                <wp:positionH relativeFrom="column">
                  <wp:posOffset>2669540</wp:posOffset>
                </wp:positionH>
                <wp:positionV relativeFrom="paragraph">
                  <wp:posOffset>304799</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" strokecolor="#010000" strokeweight=".25pt">
                <o:lock v:ext="edit" shapetype="f"/>
              </v:line>
            </w:pict>
          </mc:Fallback>
        </mc:AlternateContent>
      </w:r>
    </w:p>
    <w:p w:rsidR="00BC1B72" w:rsidRPr="00BC1B72" w:rsidRDefault="00BC1B72" w:rsidP="00BC1B72">
      <w:pPr>
        <w:pStyle w:val="SingleTxt"/>
      </w:pPr>
    </w:p>
    <w:sectPr w:rsidR="00BC1B72" w:rsidRPr="00BC1B72" w:rsidSect="000833E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8-22T12:49:00Z" w:initials="Start">
    <w:p w:rsidR="00BC1B72" w:rsidRPr="0086160B" w:rsidRDefault="00BC1B72">
      <w:pPr>
        <w:pStyle w:val="CommentText"/>
        <w:rPr>
          <w:lang w:val="en-GB"/>
        </w:rPr>
      </w:pPr>
      <w:r>
        <w:fldChar w:fldCharType="begin"/>
      </w:r>
      <w:r w:rsidRPr="0086160B">
        <w:rPr>
          <w:rStyle w:val="CommentReference"/>
          <w:lang w:val="en-GB"/>
        </w:rPr>
        <w:instrText xml:space="preserve"> </w:instrText>
      </w:r>
      <w:r w:rsidRPr="0086160B">
        <w:rPr>
          <w:lang w:val="en-GB"/>
        </w:rPr>
        <w:instrText>PAGE \# "'Page: '#'</w:instrText>
      </w:r>
      <w:r w:rsidRPr="0086160B">
        <w:rPr>
          <w:lang w:val="en-GB"/>
        </w:rPr>
        <w:br/>
        <w:instrText>'"</w:instrText>
      </w:r>
      <w:r w:rsidRPr="0086160B">
        <w:rPr>
          <w:rStyle w:val="CommentReference"/>
          <w:lang w:val="en-GB"/>
        </w:rPr>
        <w:instrText xml:space="preserve"> </w:instrText>
      </w:r>
      <w:r>
        <w:fldChar w:fldCharType="end"/>
      </w:r>
      <w:r>
        <w:rPr>
          <w:rStyle w:val="CommentReference"/>
        </w:rPr>
        <w:annotationRef/>
      </w:r>
      <w:r w:rsidRPr="0086160B">
        <w:rPr>
          <w:lang w:val="en-GB"/>
        </w:rPr>
        <w:t>&lt;&lt;ODS JOB NO&gt;&gt;N1723765F&lt;&lt;ODS JOB NO&gt;&gt;</w:t>
      </w:r>
    </w:p>
    <w:p w:rsidR="00BC1B72" w:rsidRDefault="00BC1B72">
      <w:pPr>
        <w:pStyle w:val="CommentText"/>
      </w:pPr>
      <w:r>
        <w:t>&lt;&lt;ODS DOC SYMBOL1&gt;&gt;CEDAW/C/SUR/Q/4-6&lt;&lt;ODS DOC SYMBOL1&gt;&gt;</w:t>
      </w:r>
    </w:p>
    <w:p w:rsidR="00BC1B72" w:rsidRDefault="00BC1B7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B72" w:rsidRDefault="00BC1B72" w:rsidP="00BC1B72">
      <w:pPr>
        <w:spacing w:line="240" w:lineRule="auto"/>
      </w:pPr>
      <w:r>
        <w:separator/>
      </w:r>
    </w:p>
  </w:endnote>
  <w:endnote w:type="continuationSeparator" w:id="0">
    <w:p w:rsidR="00BC1B72" w:rsidRDefault="00BC1B72" w:rsidP="00BC1B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C1B72" w:rsidTr="00BC1B72">
      <w:tblPrEx>
        <w:tblCellMar>
          <w:top w:w="0" w:type="dxa"/>
          <w:bottom w:w="0" w:type="dxa"/>
        </w:tblCellMar>
      </w:tblPrEx>
      <w:tc>
        <w:tcPr>
          <w:tcW w:w="5028" w:type="dxa"/>
          <w:shd w:val="clear" w:color="auto" w:fill="auto"/>
        </w:tcPr>
        <w:p w:rsidR="00BC1B72" w:rsidRPr="00BC1B72" w:rsidRDefault="00BC1B72" w:rsidP="00BC1B7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D4434">
            <w:rPr>
              <w:b w:val="0"/>
              <w:w w:val="103"/>
              <w:sz w:val="14"/>
            </w:rPr>
            <w:t>17-13071</w:t>
          </w:r>
          <w:r>
            <w:rPr>
              <w:b w:val="0"/>
              <w:w w:val="103"/>
              <w:sz w:val="14"/>
            </w:rPr>
            <w:fldChar w:fldCharType="end"/>
          </w:r>
        </w:p>
      </w:tc>
      <w:tc>
        <w:tcPr>
          <w:tcW w:w="5028" w:type="dxa"/>
          <w:shd w:val="clear" w:color="auto" w:fill="auto"/>
        </w:tcPr>
        <w:p w:rsidR="00BC1B72" w:rsidRPr="00BC1B72" w:rsidRDefault="00BC1B72" w:rsidP="00BC1B72">
          <w:pPr>
            <w:pStyle w:val="Footer"/>
            <w:rPr>
              <w:w w:val="103"/>
            </w:rPr>
          </w:pPr>
          <w:r>
            <w:rPr>
              <w:w w:val="103"/>
            </w:rPr>
            <w:fldChar w:fldCharType="begin"/>
          </w:r>
          <w:r>
            <w:rPr>
              <w:w w:val="103"/>
            </w:rPr>
            <w:instrText xml:space="preserve"> PAGE  \* Arabic  \* MERGEFORMAT </w:instrText>
          </w:r>
          <w:r>
            <w:rPr>
              <w:w w:val="103"/>
            </w:rPr>
            <w:fldChar w:fldCharType="separate"/>
          </w:r>
          <w:r w:rsidR="003D4434">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D4434">
            <w:rPr>
              <w:noProof/>
              <w:w w:val="103"/>
            </w:rPr>
            <w:t>7</w:t>
          </w:r>
          <w:r>
            <w:rPr>
              <w:w w:val="103"/>
            </w:rPr>
            <w:fldChar w:fldCharType="end"/>
          </w:r>
        </w:p>
      </w:tc>
    </w:tr>
  </w:tbl>
  <w:p w:rsidR="00BC1B72" w:rsidRPr="00BC1B72" w:rsidRDefault="00BC1B72" w:rsidP="00BC1B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C1B72" w:rsidTr="00BC1B72">
      <w:tblPrEx>
        <w:tblCellMar>
          <w:top w:w="0" w:type="dxa"/>
          <w:bottom w:w="0" w:type="dxa"/>
        </w:tblCellMar>
      </w:tblPrEx>
      <w:tc>
        <w:tcPr>
          <w:tcW w:w="5028" w:type="dxa"/>
          <w:shd w:val="clear" w:color="auto" w:fill="auto"/>
        </w:tcPr>
        <w:p w:rsidR="00BC1B72" w:rsidRPr="00BC1B72" w:rsidRDefault="00BC1B72" w:rsidP="00BC1B7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D4434">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D4434">
            <w:rPr>
              <w:noProof/>
              <w:w w:val="103"/>
            </w:rPr>
            <w:t>7</w:t>
          </w:r>
          <w:r>
            <w:rPr>
              <w:w w:val="103"/>
            </w:rPr>
            <w:fldChar w:fldCharType="end"/>
          </w:r>
        </w:p>
      </w:tc>
      <w:tc>
        <w:tcPr>
          <w:tcW w:w="5028" w:type="dxa"/>
          <w:shd w:val="clear" w:color="auto" w:fill="auto"/>
        </w:tcPr>
        <w:p w:rsidR="00BC1B72" w:rsidRPr="00BC1B72" w:rsidRDefault="00BC1B72" w:rsidP="00BC1B7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D4434">
            <w:rPr>
              <w:b w:val="0"/>
              <w:w w:val="103"/>
              <w:sz w:val="14"/>
            </w:rPr>
            <w:t>17-13071</w:t>
          </w:r>
          <w:r>
            <w:rPr>
              <w:b w:val="0"/>
              <w:w w:val="103"/>
              <w:sz w:val="14"/>
            </w:rPr>
            <w:fldChar w:fldCharType="end"/>
          </w:r>
        </w:p>
      </w:tc>
    </w:tr>
  </w:tbl>
  <w:p w:rsidR="00BC1B72" w:rsidRPr="00BC1B72" w:rsidRDefault="00BC1B72" w:rsidP="00BC1B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B72" w:rsidRDefault="00BC1B72">
    <w:pPr>
      <w:pStyle w:val="Footer"/>
    </w:pPr>
    <w:r>
      <w:rPr>
        <w:noProof/>
        <w:lang w:val="en-GB" w:eastAsia="en-GB"/>
      </w:rPr>
      <w:drawing>
        <wp:anchor distT="0" distB="0" distL="114300" distR="114300" simplePos="0" relativeHeight="251658240" behindDoc="0" locked="0" layoutInCell="1" allowOverlap="1" wp14:anchorId="7E71A2C4" wp14:editId="687E2A58">
          <wp:simplePos x="0" y="0"/>
          <wp:positionH relativeFrom="column">
            <wp:posOffset>5532120</wp:posOffset>
          </wp:positionH>
          <wp:positionV relativeFrom="paragraph">
            <wp:posOffset>-173355</wp:posOffset>
          </wp:positionV>
          <wp:extent cx="694690" cy="694690"/>
          <wp:effectExtent l="0" t="0" r="0" b="0"/>
          <wp:wrapNone/>
          <wp:docPr id="3" name="Picture 3" descr="https://undocs.org/m2/QRCode2.ashx?DS=CEDAW/C/SUR/Q/4-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UR/Q/4-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BC1B72" w:rsidTr="00BC1B72">
      <w:tblPrEx>
        <w:tblCellMar>
          <w:top w:w="0" w:type="dxa"/>
          <w:bottom w:w="0" w:type="dxa"/>
        </w:tblCellMar>
      </w:tblPrEx>
      <w:tc>
        <w:tcPr>
          <w:tcW w:w="3758" w:type="dxa"/>
        </w:tcPr>
        <w:p w:rsidR="00BC1B72" w:rsidRDefault="006E3477" w:rsidP="00BC1B72">
          <w:pPr>
            <w:pStyle w:val="Footer"/>
            <w:rPr>
              <w:b w:val="0"/>
              <w:sz w:val="20"/>
            </w:rPr>
          </w:pPr>
          <w:r>
            <w:rPr>
              <w:b w:val="0"/>
              <w:sz w:val="20"/>
            </w:rPr>
            <w:t>17-13071X (F)</w:t>
          </w:r>
          <w:r w:rsidR="00BC1B72">
            <w:rPr>
              <w:b w:val="0"/>
              <w:sz w:val="20"/>
            </w:rPr>
            <w:t xml:space="preserve">    220817    220817</w:t>
          </w:r>
        </w:p>
        <w:p w:rsidR="00BC1B72" w:rsidRPr="00BC1B72" w:rsidRDefault="00BC1B72" w:rsidP="00BC1B7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D4434">
            <w:rPr>
              <w:rFonts w:ascii="Barcode 3 of 9 by request" w:hAnsi="Barcode 3 of 9 by request"/>
              <w:b w:val="0"/>
              <w:spacing w:val="0"/>
              <w:w w:val="100"/>
              <w:sz w:val="24"/>
            </w:rPr>
            <w:t>*1713071*</w:t>
          </w:r>
          <w:r>
            <w:rPr>
              <w:rFonts w:ascii="Barcode 3 of 9 by request" w:hAnsi="Barcode 3 of 9 by request"/>
              <w:b w:val="0"/>
              <w:spacing w:val="0"/>
              <w:w w:val="100"/>
              <w:sz w:val="24"/>
            </w:rPr>
            <w:fldChar w:fldCharType="end"/>
          </w:r>
        </w:p>
      </w:tc>
      <w:tc>
        <w:tcPr>
          <w:tcW w:w="5028" w:type="dxa"/>
        </w:tcPr>
        <w:p w:rsidR="00BC1B72" w:rsidRDefault="00BC1B72" w:rsidP="00BC1B72">
          <w:pPr>
            <w:pStyle w:val="Footer"/>
            <w:spacing w:line="240" w:lineRule="atLeast"/>
            <w:jc w:val="right"/>
            <w:rPr>
              <w:b w:val="0"/>
              <w:sz w:val="20"/>
            </w:rPr>
          </w:pPr>
          <w:r>
            <w:rPr>
              <w:b w:val="0"/>
              <w:noProof/>
              <w:sz w:val="20"/>
              <w:lang w:val="en-GB" w:eastAsia="en-GB"/>
            </w:rPr>
            <w:drawing>
              <wp:inline distT="0" distB="0" distL="0" distR="0" wp14:anchorId="4B2B5672" wp14:editId="58A04381">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BC1B72" w:rsidRPr="00BC1B72" w:rsidRDefault="00BC1B72" w:rsidP="00BC1B72">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B72" w:rsidRPr="0086160B" w:rsidRDefault="0086160B" w:rsidP="0086160B">
      <w:pPr>
        <w:pStyle w:val="Footer"/>
        <w:spacing w:after="80"/>
        <w:ind w:left="792"/>
        <w:rPr>
          <w:sz w:val="16"/>
        </w:rPr>
      </w:pPr>
      <w:r w:rsidRPr="0086160B">
        <w:rPr>
          <w:sz w:val="16"/>
        </w:rPr>
        <w:t>__________________</w:t>
      </w:r>
    </w:p>
  </w:footnote>
  <w:footnote w:type="continuationSeparator" w:id="0">
    <w:p w:rsidR="00BC1B72" w:rsidRPr="0086160B" w:rsidRDefault="0086160B" w:rsidP="0086160B">
      <w:pPr>
        <w:pStyle w:val="Footer"/>
        <w:spacing w:after="80"/>
        <w:ind w:left="792"/>
        <w:rPr>
          <w:sz w:val="16"/>
        </w:rPr>
      </w:pPr>
      <w:r w:rsidRPr="0086160B">
        <w:rPr>
          <w:sz w:val="16"/>
        </w:rPr>
        <w:t>__________________</w:t>
      </w:r>
    </w:p>
  </w:footnote>
  <w:footnote w:id="1">
    <w:p w:rsidR="0086160B" w:rsidRPr="004E605B" w:rsidRDefault="0086160B" w:rsidP="0086160B">
      <w:pPr>
        <w:pStyle w:val="FootnoteText"/>
        <w:tabs>
          <w:tab w:val="right" w:pos="1195"/>
          <w:tab w:val="left" w:pos="1267"/>
          <w:tab w:val="left" w:pos="1742"/>
          <w:tab w:val="left" w:pos="2218"/>
          <w:tab w:val="left" w:pos="2693"/>
        </w:tabs>
        <w:ind w:left="1267" w:right="1260" w:hanging="432"/>
        <w:rPr>
          <w:lang w:val="fr-FR"/>
        </w:rPr>
      </w:pPr>
      <w:r w:rsidRPr="004E605B">
        <w:rPr>
          <w:i/>
          <w:lang w:val="fr-FR"/>
        </w:rPr>
        <w:t>Note</w:t>
      </w:r>
      <w:r>
        <w:rPr>
          <w:i/>
          <w:lang w:val="fr-FR"/>
        </w:rPr>
        <w:t> </w:t>
      </w:r>
      <w:r w:rsidRPr="004E605B">
        <w:rPr>
          <w:lang w:val="fr-FR"/>
        </w:rPr>
        <w:t xml:space="preserve">: </w:t>
      </w:r>
      <w:r w:rsidRPr="00B44B35">
        <w:rPr>
          <w:lang w:val="fr-FR" w:bidi="fr-FR"/>
        </w:rPr>
        <w:t xml:space="preserve">Le présent document </w:t>
      </w:r>
      <w:r w:rsidRPr="000147FB">
        <w:rPr>
          <w:szCs w:val="17"/>
          <w:lang w:val="fr-FR"/>
        </w:rPr>
        <w:t xml:space="preserve">est publié </w:t>
      </w:r>
      <w:r w:rsidRPr="00B44B35">
        <w:rPr>
          <w:lang w:val="fr-FR" w:bidi="fr-FR"/>
        </w:rPr>
        <w:t>en anglais, français et espagnol seulement.</w:t>
      </w:r>
    </w:p>
    <w:p w:rsidR="0086160B" w:rsidRPr="0086160B" w:rsidRDefault="0086160B" w:rsidP="0086160B">
      <w:pPr>
        <w:pStyle w:val="FootnoteText"/>
        <w:tabs>
          <w:tab w:val="right" w:pos="1195"/>
          <w:tab w:val="left" w:pos="1267"/>
          <w:tab w:val="left" w:pos="1742"/>
          <w:tab w:val="left" w:pos="2218"/>
          <w:tab w:val="left" w:pos="2693"/>
        </w:tabs>
        <w:spacing w:line="120" w:lineRule="exact"/>
        <w:ind w:left="1267" w:right="1260" w:hanging="432"/>
        <w:rPr>
          <w:sz w:val="10"/>
          <w:lang w:val="fr-FR"/>
        </w:rPr>
      </w:pPr>
    </w:p>
    <w:p w:rsidR="0086160B" w:rsidRPr="00D20EAC" w:rsidRDefault="0086160B" w:rsidP="0086160B">
      <w:pPr>
        <w:pStyle w:val="FootnoteText"/>
        <w:tabs>
          <w:tab w:val="right" w:pos="1195"/>
          <w:tab w:val="left" w:pos="1267"/>
          <w:tab w:val="left" w:pos="1742"/>
          <w:tab w:val="left" w:pos="2218"/>
          <w:tab w:val="left" w:pos="2693"/>
        </w:tabs>
        <w:ind w:left="1267" w:right="1260" w:hanging="432"/>
        <w:rPr>
          <w:lang w:val="fr-FR"/>
        </w:rPr>
      </w:pPr>
      <w:r w:rsidRPr="004E605B">
        <w:rPr>
          <w:lang w:val="fr-FR"/>
        </w:rPr>
        <w:tab/>
      </w:r>
      <w:r>
        <w:rPr>
          <w:rStyle w:val="FootnoteReference"/>
        </w:rPr>
        <w:footnoteRef/>
      </w:r>
      <w:r w:rsidRPr="004E605B">
        <w:rPr>
          <w:lang w:val="fr-FR"/>
        </w:rPr>
        <w:tab/>
      </w:r>
      <w:r w:rsidRPr="00D025D2">
        <w:rPr>
          <w:lang w:val="fr-FR"/>
        </w:rPr>
        <w:t>Sauf indication contraire, les numéros de paragraphes renvoient au rapport unique valant quatrième</w:t>
      </w:r>
      <w:r>
        <w:rPr>
          <w:lang w:val="fr-FR"/>
        </w:rPr>
        <w:t>, cinquième et</w:t>
      </w:r>
      <w:r w:rsidRPr="00D025D2">
        <w:rPr>
          <w:lang w:val="fr-FR"/>
        </w:rPr>
        <w:t xml:space="preserve"> sixième rapports périodiques de l</w:t>
      </w:r>
      <w:r>
        <w:rPr>
          <w:lang w:val="fr-FR"/>
        </w:rPr>
        <w:t>’</w:t>
      </w:r>
      <w:r w:rsidRPr="00D025D2">
        <w:rPr>
          <w:lang w:val="fr-FR"/>
        </w:rPr>
        <w:t>État partie.</w:t>
      </w:r>
      <w:r w:rsidRPr="004E605B">
        <w:rPr>
          <w:sz w:val="20"/>
          <w:lang w:val="fr-FR"/>
        </w:rPr>
        <w:t xml:space="preserve"> </w:t>
      </w:r>
      <w:hyperlink r:id="rId1" w:history="1">
        <w:r w:rsidRPr="00D20EAC">
          <w:rPr>
            <w:rStyle w:val="Hyperlink"/>
            <w:lang w:val="fr-FR"/>
          </w:rPr>
          <w:t>CEDAW/C/SUR/4-6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BC1B72" w:rsidTr="00BC1B72">
      <w:tblPrEx>
        <w:tblCellMar>
          <w:top w:w="0" w:type="dxa"/>
          <w:bottom w:w="0" w:type="dxa"/>
        </w:tblCellMar>
      </w:tblPrEx>
      <w:trPr>
        <w:trHeight w:hRule="exact" w:val="864"/>
      </w:trPr>
      <w:tc>
        <w:tcPr>
          <w:tcW w:w="4838" w:type="dxa"/>
          <w:shd w:val="clear" w:color="auto" w:fill="auto"/>
          <w:vAlign w:val="bottom"/>
        </w:tcPr>
        <w:p w:rsidR="00BC1B72" w:rsidRPr="00BC1B72" w:rsidRDefault="00BC1B72" w:rsidP="00BC1B7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D4434">
            <w:rPr>
              <w:b/>
              <w:color w:val="000000"/>
            </w:rPr>
            <w:t>CEDAW/C/SUR/Q/4-6</w:t>
          </w:r>
          <w:r>
            <w:rPr>
              <w:b/>
              <w:color w:val="000000"/>
            </w:rPr>
            <w:fldChar w:fldCharType="end"/>
          </w:r>
        </w:p>
      </w:tc>
      <w:tc>
        <w:tcPr>
          <w:tcW w:w="5028" w:type="dxa"/>
          <w:shd w:val="clear" w:color="auto" w:fill="auto"/>
          <w:vAlign w:val="bottom"/>
        </w:tcPr>
        <w:p w:rsidR="00BC1B72" w:rsidRDefault="00BC1B72" w:rsidP="00BC1B72">
          <w:pPr>
            <w:pStyle w:val="Header"/>
          </w:pPr>
        </w:p>
      </w:tc>
    </w:tr>
  </w:tbl>
  <w:p w:rsidR="00BC1B72" w:rsidRPr="00BC1B72" w:rsidRDefault="00BC1B72" w:rsidP="00BC1B7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BC1B72" w:rsidTr="00BC1B72">
      <w:tblPrEx>
        <w:tblCellMar>
          <w:top w:w="0" w:type="dxa"/>
          <w:bottom w:w="0" w:type="dxa"/>
        </w:tblCellMar>
      </w:tblPrEx>
      <w:trPr>
        <w:trHeight w:hRule="exact" w:val="864"/>
      </w:trPr>
      <w:tc>
        <w:tcPr>
          <w:tcW w:w="4838" w:type="dxa"/>
          <w:shd w:val="clear" w:color="auto" w:fill="auto"/>
          <w:vAlign w:val="bottom"/>
        </w:tcPr>
        <w:p w:rsidR="00BC1B72" w:rsidRDefault="00BC1B72" w:rsidP="00BC1B72">
          <w:pPr>
            <w:pStyle w:val="Header"/>
          </w:pPr>
        </w:p>
      </w:tc>
      <w:tc>
        <w:tcPr>
          <w:tcW w:w="5028" w:type="dxa"/>
          <w:shd w:val="clear" w:color="auto" w:fill="auto"/>
          <w:vAlign w:val="bottom"/>
        </w:tcPr>
        <w:p w:rsidR="00BC1B72" w:rsidRPr="00BC1B72" w:rsidRDefault="00BC1B72" w:rsidP="00BC1B7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D4434">
            <w:rPr>
              <w:b/>
              <w:color w:val="000000"/>
            </w:rPr>
            <w:t>CEDAW/C/SUR/Q/4-6</w:t>
          </w:r>
          <w:r>
            <w:rPr>
              <w:b/>
              <w:color w:val="000000"/>
            </w:rPr>
            <w:fldChar w:fldCharType="end"/>
          </w:r>
        </w:p>
      </w:tc>
    </w:tr>
  </w:tbl>
  <w:p w:rsidR="00BC1B72" w:rsidRPr="00BC1B72" w:rsidRDefault="00BC1B72" w:rsidP="00BC1B7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BC1B72" w:rsidTr="00BC1B7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C1B72" w:rsidRDefault="00BC1B72" w:rsidP="00BC1B72">
          <w:pPr>
            <w:pStyle w:val="Header"/>
            <w:spacing w:after="120"/>
          </w:pPr>
        </w:p>
      </w:tc>
      <w:tc>
        <w:tcPr>
          <w:tcW w:w="2059" w:type="dxa"/>
          <w:tcBorders>
            <w:bottom w:val="single" w:sz="4" w:space="0" w:color="auto"/>
          </w:tcBorders>
          <w:shd w:val="clear" w:color="auto" w:fill="auto"/>
          <w:vAlign w:val="bottom"/>
        </w:tcPr>
        <w:p w:rsidR="00BC1B72" w:rsidRPr="00BC1B72" w:rsidRDefault="00BC1B72" w:rsidP="00BC1B7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BC1B72" w:rsidRDefault="00BC1B72" w:rsidP="00BC1B72">
          <w:pPr>
            <w:pStyle w:val="Header"/>
            <w:spacing w:after="120"/>
          </w:pPr>
        </w:p>
      </w:tc>
      <w:tc>
        <w:tcPr>
          <w:tcW w:w="6523" w:type="dxa"/>
          <w:gridSpan w:val="3"/>
          <w:tcBorders>
            <w:bottom w:val="single" w:sz="4" w:space="0" w:color="auto"/>
          </w:tcBorders>
          <w:shd w:val="clear" w:color="auto" w:fill="auto"/>
          <w:vAlign w:val="bottom"/>
        </w:tcPr>
        <w:p w:rsidR="00BC1B72" w:rsidRPr="00BC1B72" w:rsidRDefault="00BC1B72" w:rsidP="00BC1B72">
          <w:pPr>
            <w:spacing w:after="80" w:line="240" w:lineRule="auto"/>
            <w:jc w:val="right"/>
            <w:rPr>
              <w:position w:val="-4"/>
            </w:rPr>
          </w:pPr>
          <w:r>
            <w:rPr>
              <w:position w:val="-4"/>
              <w:sz w:val="40"/>
            </w:rPr>
            <w:t>CEDAW</w:t>
          </w:r>
          <w:r>
            <w:rPr>
              <w:position w:val="-4"/>
            </w:rPr>
            <w:t>/C/SUR/Q/4-6</w:t>
          </w:r>
        </w:p>
      </w:tc>
    </w:tr>
    <w:tr w:rsidR="00BC1B72" w:rsidRPr="00BC1B72" w:rsidTr="00BC1B72">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C1B72" w:rsidRPr="00BC1B72" w:rsidRDefault="00BC1B72" w:rsidP="00BC1B72">
          <w:pPr>
            <w:pStyle w:val="Header"/>
            <w:spacing w:before="120" w:line="240" w:lineRule="auto"/>
            <w:ind w:left="-72"/>
            <w:jc w:val="center"/>
          </w:pPr>
          <w:r>
            <w:t xml:space="preserve">  </w:t>
          </w:r>
          <w:r>
            <w:rPr>
              <w:noProof/>
              <w:lang w:val="en-GB" w:eastAsia="en-GB"/>
            </w:rPr>
            <w:drawing>
              <wp:inline distT="0" distB="0" distL="0" distR="0" wp14:anchorId="5CCD09FE" wp14:editId="41052BE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C1B72" w:rsidRPr="00BC1B72" w:rsidRDefault="00BC1B72" w:rsidP="00BC1B72">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BC1B72" w:rsidRPr="0086160B" w:rsidRDefault="00BC1B72" w:rsidP="00BC1B72">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BC1B72" w:rsidRPr="0086160B" w:rsidRDefault="00BC1B72" w:rsidP="00BC1B72">
          <w:pPr>
            <w:pStyle w:val="Distribution"/>
            <w:rPr>
              <w:color w:val="000000"/>
              <w:lang w:val="fr-FR"/>
            </w:rPr>
          </w:pPr>
          <w:r w:rsidRPr="0086160B">
            <w:rPr>
              <w:color w:val="000000"/>
              <w:lang w:val="fr-FR"/>
            </w:rPr>
            <w:t>Distr. générale</w:t>
          </w:r>
        </w:p>
        <w:p w:rsidR="00BC1B72" w:rsidRPr="0086160B" w:rsidRDefault="00BC1B72" w:rsidP="00BC1B72">
          <w:pPr>
            <w:pStyle w:val="Publication"/>
            <w:rPr>
              <w:color w:val="000000"/>
              <w:lang w:val="fr-FR"/>
            </w:rPr>
          </w:pPr>
          <w:r w:rsidRPr="0086160B">
            <w:rPr>
              <w:color w:val="000000"/>
              <w:lang w:val="fr-FR"/>
            </w:rPr>
            <w:t>31 juillet 2017</w:t>
          </w:r>
        </w:p>
        <w:p w:rsidR="00BC1B72" w:rsidRPr="0086160B" w:rsidRDefault="00BC1B72" w:rsidP="00BC1B72">
          <w:pPr>
            <w:rPr>
              <w:lang w:val="fr-FR"/>
            </w:rPr>
          </w:pPr>
          <w:r w:rsidRPr="0086160B">
            <w:rPr>
              <w:lang w:val="fr-FR"/>
            </w:rPr>
            <w:t>Français</w:t>
          </w:r>
        </w:p>
        <w:p w:rsidR="00BC1B72" w:rsidRPr="0086160B" w:rsidRDefault="00BC1B72" w:rsidP="00BC1B72">
          <w:pPr>
            <w:pStyle w:val="Original"/>
            <w:rPr>
              <w:color w:val="000000"/>
              <w:lang w:val="fr-FR"/>
            </w:rPr>
          </w:pPr>
          <w:r w:rsidRPr="0086160B">
            <w:rPr>
              <w:color w:val="000000"/>
              <w:lang w:val="fr-FR"/>
            </w:rPr>
            <w:t>Original : anglais</w:t>
          </w:r>
        </w:p>
      </w:tc>
    </w:tr>
  </w:tbl>
  <w:p w:rsidR="00BC1B72" w:rsidRPr="0086160B" w:rsidRDefault="00BC1B72" w:rsidP="00BC1B72">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revisionView w:markup="0"/>
  <w:defaultTabStop w:val="720"/>
  <w:doNotHyphenateCaps/>
  <w:evenAndOddHeaders/>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3071*"/>
    <w:docVar w:name="CreationDt" w:val="22/08/2017 12:49 PM"/>
    <w:docVar w:name="DocCategory" w:val="Doc"/>
    <w:docVar w:name="DocType" w:val="Final"/>
    <w:docVar w:name="DutyStation" w:val="New York"/>
    <w:docVar w:name="FooterJN" w:val="17-13071"/>
    <w:docVar w:name="jobn" w:val="17-13071 (F)"/>
    <w:docVar w:name="jobnDT" w:val="17-13071 (F)   220817"/>
    <w:docVar w:name="jobnDTDT" w:val="17-13071 (F)   220817   220817"/>
    <w:docVar w:name="JobNo" w:val="1713071F"/>
    <w:docVar w:name="JobNo2" w:val="1723765F"/>
    <w:docVar w:name="LocalDrive" w:val="0"/>
    <w:docVar w:name="OandT" w:val="Nadia"/>
    <w:docVar w:name="sss1" w:val="CEDAW/C/SUR/Q/4-6"/>
    <w:docVar w:name="sss2" w:val="-"/>
    <w:docVar w:name="Symbol1" w:val="CEDAW/C/SUR/Q/4-6"/>
    <w:docVar w:name="Symbol2" w:val="-"/>
  </w:docVars>
  <w:rsids>
    <w:rsidRoot w:val="00CB46D9"/>
    <w:rsid w:val="00005530"/>
    <w:rsid w:val="000C3877"/>
    <w:rsid w:val="000F2689"/>
    <w:rsid w:val="00105420"/>
    <w:rsid w:val="001063E6"/>
    <w:rsid w:val="0011018C"/>
    <w:rsid w:val="00170BFF"/>
    <w:rsid w:val="001B55C5"/>
    <w:rsid w:val="001C0443"/>
    <w:rsid w:val="001E0156"/>
    <w:rsid w:val="002111DE"/>
    <w:rsid w:val="002324E8"/>
    <w:rsid w:val="002838BE"/>
    <w:rsid w:val="002E057E"/>
    <w:rsid w:val="00313BE3"/>
    <w:rsid w:val="003853CC"/>
    <w:rsid w:val="003A4301"/>
    <w:rsid w:val="003C23B3"/>
    <w:rsid w:val="003D4434"/>
    <w:rsid w:val="003E6253"/>
    <w:rsid w:val="0042267D"/>
    <w:rsid w:val="00452719"/>
    <w:rsid w:val="004B1719"/>
    <w:rsid w:val="004C1A25"/>
    <w:rsid w:val="00503F25"/>
    <w:rsid w:val="00537350"/>
    <w:rsid w:val="005D2C0C"/>
    <w:rsid w:val="00662E09"/>
    <w:rsid w:val="00681AD7"/>
    <w:rsid w:val="006E3477"/>
    <w:rsid w:val="007476E5"/>
    <w:rsid w:val="00771C9E"/>
    <w:rsid w:val="007B252E"/>
    <w:rsid w:val="007F366A"/>
    <w:rsid w:val="007F5330"/>
    <w:rsid w:val="008171E5"/>
    <w:rsid w:val="0083194A"/>
    <w:rsid w:val="0086160B"/>
    <w:rsid w:val="008655FE"/>
    <w:rsid w:val="0087427D"/>
    <w:rsid w:val="0088515C"/>
    <w:rsid w:val="008B71A8"/>
    <w:rsid w:val="008F346E"/>
    <w:rsid w:val="00900EEF"/>
    <w:rsid w:val="00993CB7"/>
    <w:rsid w:val="009D01B6"/>
    <w:rsid w:val="00A17114"/>
    <w:rsid w:val="00AD5F2F"/>
    <w:rsid w:val="00AE767B"/>
    <w:rsid w:val="00B0404A"/>
    <w:rsid w:val="00B07C5E"/>
    <w:rsid w:val="00B52578"/>
    <w:rsid w:val="00BC1B72"/>
    <w:rsid w:val="00C00B46"/>
    <w:rsid w:val="00C16C7C"/>
    <w:rsid w:val="00C631B3"/>
    <w:rsid w:val="00C65A10"/>
    <w:rsid w:val="00CB06FB"/>
    <w:rsid w:val="00CB46D9"/>
    <w:rsid w:val="00CF1560"/>
    <w:rsid w:val="00D65B56"/>
    <w:rsid w:val="00E343A6"/>
    <w:rsid w:val="00E66051"/>
    <w:rsid w:val="00E7105F"/>
    <w:rsid w:val="00E81554"/>
    <w:rsid w:val="00ED2660"/>
    <w:rsid w:val="00EE288B"/>
    <w:rsid w:val="00EF2DFA"/>
    <w:rsid w:val="00F00EB9"/>
    <w:rsid w:val="00F06360"/>
    <w:rsid w:val="00F33250"/>
    <w:rsid w:val="00F73093"/>
    <w:rsid w:val="00F822B6"/>
    <w:rsid w:val="00FA3D05"/>
    <w:rsid w:val="00FC1E8D"/>
    <w:rsid w:val="00FE3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ne number"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719"/>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4B1719"/>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4B1719"/>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4B1719"/>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4B1719"/>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4B1719"/>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4B1719"/>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4B1719"/>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B1719"/>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4B1719"/>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4B1719"/>
    <w:pPr>
      <w:keepNext/>
      <w:keepLines/>
      <w:suppressAutoHyphens/>
      <w:spacing w:line="270" w:lineRule="exact"/>
      <w:outlineLvl w:val="0"/>
    </w:pPr>
    <w:rPr>
      <w:b/>
      <w:sz w:val="24"/>
    </w:rPr>
  </w:style>
  <w:style w:type="paragraph" w:customStyle="1" w:styleId="HCH">
    <w:name w:val="_ H _CH"/>
    <w:basedOn w:val="H1"/>
    <w:next w:val="Normal"/>
    <w:qFormat/>
    <w:rsid w:val="004B1719"/>
    <w:pPr>
      <w:spacing w:line="300" w:lineRule="exact"/>
    </w:pPr>
    <w:rPr>
      <w:spacing w:val="-2"/>
      <w:sz w:val="28"/>
    </w:rPr>
  </w:style>
  <w:style w:type="paragraph" w:customStyle="1" w:styleId="HM">
    <w:name w:val="_ H __M"/>
    <w:basedOn w:val="HCH"/>
    <w:next w:val="Normal"/>
    <w:qFormat/>
    <w:rsid w:val="004B1719"/>
    <w:pPr>
      <w:spacing w:line="360" w:lineRule="exact"/>
    </w:pPr>
    <w:rPr>
      <w:spacing w:val="-3"/>
      <w:w w:val="99"/>
      <w:sz w:val="34"/>
    </w:rPr>
  </w:style>
  <w:style w:type="paragraph" w:customStyle="1" w:styleId="H23">
    <w:name w:val="_ H_2/3"/>
    <w:basedOn w:val="H1"/>
    <w:next w:val="Normal"/>
    <w:qFormat/>
    <w:rsid w:val="004B1719"/>
    <w:pPr>
      <w:spacing w:line="240" w:lineRule="exact"/>
      <w:outlineLvl w:val="1"/>
    </w:pPr>
    <w:rPr>
      <w:spacing w:val="2"/>
      <w:sz w:val="20"/>
    </w:rPr>
  </w:style>
  <w:style w:type="paragraph" w:customStyle="1" w:styleId="H4">
    <w:name w:val="_ H_4"/>
    <w:basedOn w:val="Normal"/>
    <w:next w:val="Normal"/>
    <w:qFormat/>
    <w:rsid w:val="004B1719"/>
    <w:pPr>
      <w:keepNext/>
      <w:keepLines/>
      <w:tabs>
        <w:tab w:val="right" w:pos="360"/>
      </w:tabs>
      <w:suppressAutoHyphens/>
      <w:outlineLvl w:val="3"/>
    </w:pPr>
    <w:rPr>
      <w:i/>
      <w:spacing w:val="3"/>
    </w:rPr>
  </w:style>
  <w:style w:type="paragraph" w:customStyle="1" w:styleId="H56">
    <w:name w:val="_ H_5/6"/>
    <w:basedOn w:val="Normal"/>
    <w:next w:val="Normal"/>
    <w:qFormat/>
    <w:rsid w:val="004B1719"/>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4B1719"/>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B1719"/>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B1719"/>
    <w:pPr>
      <w:spacing w:line="540" w:lineRule="exact"/>
    </w:pPr>
    <w:rPr>
      <w:spacing w:val="-8"/>
      <w:w w:val="96"/>
      <w:sz w:val="57"/>
    </w:rPr>
  </w:style>
  <w:style w:type="paragraph" w:customStyle="1" w:styleId="SS">
    <w:name w:val="__S_S"/>
    <w:basedOn w:val="HCH"/>
    <w:next w:val="Normal"/>
    <w:qFormat/>
    <w:rsid w:val="004B1719"/>
    <w:pPr>
      <w:ind w:left="1267" w:right="1267"/>
    </w:pPr>
  </w:style>
  <w:style w:type="paragraph" w:customStyle="1" w:styleId="SingleTxt">
    <w:name w:val="__Single Txt"/>
    <w:basedOn w:val="Normal"/>
    <w:qFormat/>
    <w:rsid w:val="004B171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4B1719"/>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4B1719"/>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4B1719"/>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4B171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B1719"/>
    <w:rPr>
      <w:rFonts w:ascii="Tahoma" w:hAnsi="Tahoma" w:cs="Tahoma"/>
      <w:spacing w:val="4"/>
      <w:w w:val="103"/>
      <w:kern w:val="14"/>
      <w:sz w:val="16"/>
      <w:szCs w:val="16"/>
      <w:lang w:val="fr-CA"/>
    </w:rPr>
  </w:style>
  <w:style w:type="paragraph" w:customStyle="1" w:styleId="Bullet1">
    <w:name w:val="Bullet 1"/>
    <w:basedOn w:val="Normal"/>
    <w:qFormat/>
    <w:rsid w:val="004B1719"/>
    <w:pPr>
      <w:numPr>
        <w:numId w:val="17"/>
      </w:numPr>
      <w:spacing w:after="120"/>
      <w:ind w:right="1267"/>
      <w:jc w:val="both"/>
    </w:pPr>
  </w:style>
  <w:style w:type="paragraph" w:customStyle="1" w:styleId="Bullet2">
    <w:name w:val="Bullet 2"/>
    <w:basedOn w:val="Normal"/>
    <w:qFormat/>
    <w:rsid w:val="004B1719"/>
    <w:pPr>
      <w:numPr>
        <w:numId w:val="18"/>
      </w:numPr>
      <w:spacing w:after="120"/>
      <w:ind w:right="1264"/>
      <w:jc w:val="both"/>
    </w:pPr>
  </w:style>
  <w:style w:type="paragraph" w:customStyle="1" w:styleId="Bullet3">
    <w:name w:val="Bullet 3"/>
    <w:basedOn w:val="SingleTxt"/>
    <w:qFormat/>
    <w:rsid w:val="004B1719"/>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B1719"/>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4B171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4B1719"/>
    <w:pPr>
      <w:spacing w:line="210" w:lineRule="exact"/>
    </w:pPr>
    <w:rPr>
      <w:sz w:val="17"/>
      <w:szCs w:val="20"/>
    </w:rPr>
  </w:style>
  <w:style w:type="character" w:customStyle="1" w:styleId="EndnoteTextChar">
    <w:name w:val="Endnote Text Char"/>
    <w:link w:val="EndnoteText"/>
    <w:uiPriority w:val="99"/>
    <w:semiHidden/>
    <w:rsid w:val="004B1719"/>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4B1719"/>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4B1719"/>
    <w:rPr>
      <w:rFonts w:ascii="Times New Roman" w:hAnsi="Times New Roman" w:cs="Times New Roman"/>
      <w:b/>
      <w:spacing w:val="3"/>
      <w:w w:val="105"/>
      <w:sz w:val="17"/>
      <w:lang w:val="en-US"/>
    </w:rPr>
  </w:style>
  <w:style w:type="character" w:styleId="FootnoteReference">
    <w:name w:val="footnote reference"/>
    <w:semiHidden/>
    <w:rsid w:val="004B171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B1719"/>
    <w:pPr>
      <w:spacing w:line="210" w:lineRule="exact"/>
    </w:pPr>
    <w:rPr>
      <w:sz w:val="17"/>
      <w:szCs w:val="20"/>
    </w:rPr>
  </w:style>
  <w:style w:type="character" w:customStyle="1" w:styleId="FootnoteTextChar">
    <w:name w:val="Footnote Text Char"/>
    <w:link w:val="FootnoteText"/>
    <w:rsid w:val="004B1719"/>
    <w:rPr>
      <w:rFonts w:ascii="Times New Roman" w:hAnsi="Times New Roman" w:cs="Times New Roman"/>
      <w:spacing w:val="4"/>
      <w:w w:val="103"/>
      <w:kern w:val="14"/>
      <w:sz w:val="17"/>
      <w:szCs w:val="20"/>
      <w:lang w:val="fr-CA"/>
    </w:rPr>
  </w:style>
  <w:style w:type="paragraph" w:styleId="Header">
    <w:name w:val="header"/>
    <w:link w:val="HeaderChar"/>
    <w:uiPriority w:val="99"/>
    <w:rsid w:val="004B1719"/>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4B1719"/>
    <w:rPr>
      <w:rFonts w:ascii="Times New Roman" w:hAnsi="Times New Roman" w:cs="Times New Roman"/>
      <w:spacing w:val="3"/>
      <w:w w:val="105"/>
      <w:sz w:val="17"/>
      <w:lang w:val="en-US"/>
    </w:rPr>
  </w:style>
  <w:style w:type="character" w:customStyle="1" w:styleId="Heading1Char">
    <w:name w:val="Heading 1 Char"/>
    <w:link w:val="Heading1"/>
    <w:uiPriority w:val="9"/>
    <w:rsid w:val="004B1719"/>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4B1719"/>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4B1719"/>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4B1719"/>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4B1719"/>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4B1719"/>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4B1719"/>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4B1719"/>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4B1719"/>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4B1719"/>
    <w:rPr>
      <w:sz w:val="14"/>
    </w:rPr>
  </w:style>
  <w:style w:type="paragraph" w:styleId="ListParagraph">
    <w:name w:val="List Paragraph"/>
    <w:basedOn w:val="Normal"/>
    <w:uiPriority w:val="34"/>
    <w:rsid w:val="004B1719"/>
    <w:pPr>
      <w:ind w:left="720"/>
      <w:contextualSpacing/>
    </w:pPr>
  </w:style>
  <w:style w:type="paragraph" w:styleId="NoSpacing">
    <w:name w:val="No Spacing"/>
    <w:uiPriority w:val="1"/>
    <w:rsid w:val="004B1719"/>
    <w:pPr>
      <w:spacing w:after="0" w:line="240" w:lineRule="auto"/>
    </w:pPr>
    <w:rPr>
      <w:rFonts w:ascii="Calibri" w:hAnsi="Calibri" w:cs="Times New Roman"/>
      <w:lang w:val="en-US"/>
    </w:rPr>
  </w:style>
  <w:style w:type="paragraph" w:customStyle="1" w:styleId="Original">
    <w:name w:val="Original"/>
    <w:next w:val="Normal"/>
    <w:autoRedefine/>
    <w:qFormat/>
    <w:rsid w:val="004B1719"/>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4B1719"/>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4B1719"/>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4B1719"/>
    <w:pPr>
      <w:tabs>
        <w:tab w:val="right" w:pos="9965"/>
      </w:tabs>
      <w:spacing w:line="210" w:lineRule="exact"/>
    </w:pPr>
    <w:rPr>
      <w:spacing w:val="5"/>
      <w:w w:val="104"/>
      <w:sz w:val="17"/>
    </w:rPr>
  </w:style>
  <w:style w:type="paragraph" w:customStyle="1" w:styleId="SmallX">
    <w:name w:val="SmallX"/>
    <w:basedOn w:val="Small"/>
    <w:next w:val="Normal"/>
    <w:qFormat/>
    <w:rsid w:val="004B1719"/>
    <w:pPr>
      <w:spacing w:line="180" w:lineRule="exact"/>
      <w:jc w:val="right"/>
    </w:pPr>
    <w:rPr>
      <w:spacing w:val="6"/>
      <w:w w:val="106"/>
      <w:sz w:val="14"/>
    </w:rPr>
  </w:style>
  <w:style w:type="character" w:styleId="Strong">
    <w:name w:val="Strong"/>
    <w:uiPriority w:val="22"/>
    <w:rsid w:val="004B1719"/>
    <w:rPr>
      <w:b/>
      <w:bCs/>
    </w:rPr>
  </w:style>
  <w:style w:type="paragraph" w:customStyle="1" w:styleId="Style1">
    <w:name w:val="Style1"/>
    <w:basedOn w:val="Normal"/>
    <w:qFormat/>
    <w:rsid w:val="004B1719"/>
  </w:style>
  <w:style w:type="paragraph" w:customStyle="1" w:styleId="Style2">
    <w:name w:val="Style2"/>
    <w:basedOn w:val="Normal"/>
    <w:autoRedefine/>
    <w:qFormat/>
    <w:rsid w:val="004B1719"/>
  </w:style>
  <w:style w:type="paragraph" w:customStyle="1" w:styleId="TitleHCH">
    <w:name w:val="Title_H_CH"/>
    <w:basedOn w:val="HCH"/>
    <w:next w:val="SingleTxt"/>
    <w:qFormat/>
    <w:rsid w:val="004B171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4B171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4B1719"/>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BC1B72"/>
    <w:rPr>
      <w:sz w:val="16"/>
      <w:szCs w:val="16"/>
    </w:rPr>
  </w:style>
  <w:style w:type="paragraph" w:styleId="CommentText">
    <w:name w:val="annotation text"/>
    <w:basedOn w:val="Normal"/>
    <w:link w:val="CommentTextChar"/>
    <w:uiPriority w:val="99"/>
    <w:semiHidden/>
    <w:unhideWhenUsed/>
    <w:rsid w:val="00BC1B72"/>
    <w:pPr>
      <w:spacing w:line="240" w:lineRule="auto"/>
    </w:pPr>
    <w:rPr>
      <w:szCs w:val="20"/>
    </w:rPr>
  </w:style>
  <w:style w:type="character" w:customStyle="1" w:styleId="CommentTextChar">
    <w:name w:val="Comment Text Char"/>
    <w:basedOn w:val="DefaultParagraphFont"/>
    <w:link w:val="CommentText"/>
    <w:uiPriority w:val="99"/>
    <w:semiHidden/>
    <w:rsid w:val="00BC1B72"/>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BC1B72"/>
    <w:rPr>
      <w:b/>
      <w:bCs/>
    </w:rPr>
  </w:style>
  <w:style w:type="character" w:customStyle="1" w:styleId="CommentSubjectChar">
    <w:name w:val="Comment Subject Char"/>
    <w:basedOn w:val="CommentTextChar"/>
    <w:link w:val="CommentSubject"/>
    <w:uiPriority w:val="99"/>
    <w:semiHidden/>
    <w:rsid w:val="00BC1B72"/>
    <w:rPr>
      <w:rFonts w:ascii="Times New Roman" w:hAnsi="Times New Roman" w:cs="Times New Roman"/>
      <w:b/>
      <w:bCs/>
      <w:spacing w:val="4"/>
      <w:w w:val="103"/>
      <w:kern w:val="14"/>
      <w:sz w:val="20"/>
      <w:szCs w:val="20"/>
      <w:lang w:val="fr-CA"/>
    </w:rPr>
  </w:style>
  <w:style w:type="character" w:styleId="Hyperlink">
    <w:name w:val="Hyperlink"/>
    <w:basedOn w:val="DefaultParagraphFont"/>
    <w:rsid w:val="0086160B"/>
    <w:rPr>
      <w:color w:val="0000FF" w:themeColor="hyperlink"/>
      <w:u w:val="none"/>
    </w:rPr>
  </w:style>
  <w:style w:type="paragraph" w:styleId="Revision">
    <w:name w:val="Revision"/>
    <w:hidden/>
    <w:uiPriority w:val="99"/>
    <w:semiHidden/>
    <w:rsid w:val="0086160B"/>
    <w:pPr>
      <w:spacing w:after="0" w:line="240" w:lineRule="auto"/>
    </w:pPr>
    <w:rPr>
      <w:rFonts w:ascii="Times New Roman" w:hAnsi="Times New Roman" w:cs="Times New Roman"/>
      <w:spacing w:val="4"/>
      <w:w w:val="103"/>
      <w:kern w:val="14"/>
      <w:sz w:val="20"/>
      <w:lang w:val="fr-CA"/>
    </w:rPr>
  </w:style>
  <w:style w:type="character" w:styleId="FollowedHyperlink">
    <w:name w:val="FollowedHyperlink"/>
    <w:basedOn w:val="DefaultParagraphFont"/>
    <w:uiPriority w:val="99"/>
    <w:semiHidden/>
    <w:unhideWhenUsed/>
    <w:rsid w:val="00900EEF"/>
    <w:rPr>
      <w:color w:val="800080" w:themeColor="followedHyperlink"/>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ne number"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719"/>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4B1719"/>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4B1719"/>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4B1719"/>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4B1719"/>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4B1719"/>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4B1719"/>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4B1719"/>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B1719"/>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4B1719"/>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4B1719"/>
    <w:pPr>
      <w:keepNext/>
      <w:keepLines/>
      <w:suppressAutoHyphens/>
      <w:spacing w:line="270" w:lineRule="exact"/>
      <w:outlineLvl w:val="0"/>
    </w:pPr>
    <w:rPr>
      <w:b/>
      <w:sz w:val="24"/>
    </w:rPr>
  </w:style>
  <w:style w:type="paragraph" w:customStyle="1" w:styleId="HCH">
    <w:name w:val="_ H _CH"/>
    <w:basedOn w:val="H1"/>
    <w:next w:val="Normal"/>
    <w:qFormat/>
    <w:rsid w:val="004B1719"/>
    <w:pPr>
      <w:spacing w:line="300" w:lineRule="exact"/>
    </w:pPr>
    <w:rPr>
      <w:spacing w:val="-2"/>
      <w:sz w:val="28"/>
    </w:rPr>
  </w:style>
  <w:style w:type="paragraph" w:customStyle="1" w:styleId="HM">
    <w:name w:val="_ H __M"/>
    <w:basedOn w:val="HCH"/>
    <w:next w:val="Normal"/>
    <w:qFormat/>
    <w:rsid w:val="004B1719"/>
    <w:pPr>
      <w:spacing w:line="360" w:lineRule="exact"/>
    </w:pPr>
    <w:rPr>
      <w:spacing w:val="-3"/>
      <w:w w:val="99"/>
      <w:sz w:val="34"/>
    </w:rPr>
  </w:style>
  <w:style w:type="paragraph" w:customStyle="1" w:styleId="H23">
    <w:name w:val="_ H_2/3"/>
    <w:basedOn w:val="H1"/>
    <w:next w:val="Normal"/>
    <w:qFormat/>
    <w:rsid w:val="004B1719"/>
    <w:pPr>
      <w:spacing w:line="240" w:lineRule="exact"/>
      <w:outlineLvl w:val="1"/>
    </w:pPr>
    <w:rPr>
      <w:spacing w:val="2"/>
      <w:sz w:val="20"/>
    </w:rPr>
  </w:style>
  <w:style w:type="paragraph" w:customStyle="1" w:styleId="H4">
    <w:name w:val="_ H_4"/>
    <w:basedOn w:val="Normal"/>
    <w:next w:val="Normal"/>
    <w:qFormat/>
    <w:rsid w:val="004B1719"/>
    <w:pPr>
      <w:keepNext/>
      <w:keepLines/>
      <w:tabs>
        <w:tab w:val="right" w:pos="360"/>
      </w:tabs>
      <w:suppressAutoHyphens/>
      <w:outlineLvl w:val="3"/>
    </w:pPr>
    <w:rPr>
      <w:i/>
      <w:spacing w:val="3"/>
    </w:rPr>
  </w:style>
  <w:style w:type="paragraph" w:customStyle="1" w:styleId="H56">
    <w:name w:val="_ H_5/6"/>
    <w:basedOn w:val="Normal"/>
    <w:next w:val="Normal"/>
    <w:qFormat/>
    <w:rsid w:val="004B1719"/>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4B1719"/>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B1719"/>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B1719"/>
    <w:pPr>
      <w:spacing w:line="540" w:lineRule="exact"/>
    </w:pPr>
    <w:rPr>
      <w:spacing w:val="-8"/>
      <w:w w:val="96"/>
      <w:sz w:val="57"/>
    </w:rPr>
  </w:style>
  <w:style w:type="paragraph" w:customStyle="1" w:styleId="SS">
    <w:name w:val="__S_S"/>
    <w:basedOn w:val="HCH"/>
    <w:next w:val="Normal"/>
    <w:qFormat/>
    <w:rsid w:val="004B1719"/>
    <w:pPr>
      <w:ind w:left="1267" w:right="1267"/>
    </w:pPr>
  </w:style>
  <w:style w:type="paragraph" w:customStyle="1" w:styleId="SingleTxt">
    <w:name w:val="__Single Txt"/>
    <w:basedOn w:val="Normal"/>
    <w:qFormat/>
    <w:rsid w:val="004B171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4B1719"/>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4B1719"/>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4B1719"/>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4B171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B1719"/>
    <w:rPr>
      <w:rFonts w:ascii="Tahoma" w:hAnsi="Tahoma" w:cs="Tahoma"/>
      <w:spacing w:val="4"/>
      <w:w w:val="103"/>
      <w:kern w:val="14"/>
      <w:sz w:val="16"/>
      <w:szCs w:val="16"/>
      <w:lang w:val="fr-CA"/>
    </w:rPr>
  </w:style>
  <w:style w:type="paragraph" w:customStyle="1" w:styleId="Bullet1">
    <w:name w:val="Bullet 1"/>
    <w:basedOn w:val="Normal"/>
    <w:qFormat/>
    <w:rsid w:val="004B1719"/>
    <w:pPr>
      <w:numPr>
        <w:numId w:val="17"/>
      </w:numPr>
      <w:spacing w:after="120"/>
      <w:ind w:right="1267"/>
      <w:jc w:val="both"/>
    </w:pPr>
  </w:style>
  <w:style w:type="paragraph" w:customStyle="1" w:styleId="Bullet2">
    <w:name w:val="Bullet 2"/>
    <w:basedOn w:val="Normal"/>
    <w:qFormat/>
    <w:rsid w:val="004B1719"/>
    <w:pPr>
      <w:numPr>
        <w:numId w:val="18"/>
      </w:numPr>
      <w:spacing w:after="120"/>
      <w:ind w:right="1264"/>
      <w:jc w:val="both"/>
    </w:pPr>
  </w:style>
  <w:style w:type="paragraph" w:customStyle="1" w:styleId="Bullet3">
    <w:name w:val="Bullet 3"/>
    <w:basedOn w:val="SingleTxt"/>
    <w:qFormat/>
    <w:rsid w:val="004B1719"/>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B1719"/>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4B171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4B1719"/>
    <w:pPr>
      <w:spacing w:line="210" w:lineRule="exact"/>
    </w:pPr>
    <w:rPr>
      <w:sz w:val="17"/>
      <w:szCs w:val="20"/>
    </w:rPr>
  </w:style>
  <w:style w:type="character" w:customStyle="1" w:styleId="EndnoteTextChar">
    <w:name w:val="Endnote Text Char"/>
    <w:link w:val="EndnoteText"/>
    <w:uiPriority w:val="99"/>
    <w:semiHidden/>
    <w:rsid w:val="004B1719"/>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4B1719"/>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4B1719"/>
    <w:rPr>
      <w:rFonts w:ascii="Times New Roman" w:hAnsi="Times New Roman" w:cs="Times New Roman"/>
      <w:b/>
      <w:spacing w:val="3"/>
      <w:w w:val="105"/>
      <w:sz w:val="17"/>
      <w:lang w:val="en-US"/>
    </w:rPr>
  </w:style>
  <w:style w:type="character" w:styleId="FootnoteReference">
    <w:name w:val="footnote reference"/>
    <w:semiHidden/>
    <w:rsid w:val="004B171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B1719"/>
    <w:pPr>
      <w:spacing w:line="210" w:lineRule="exact"/>
    </w:pPr>
    <w:rPr>
      <w:sz w:val="17"/>
      <w:szCs w:val="20"/>
    </w:rPr>
  </w:style>
  <w:style w:type="character" w:customStyle="1" w:styleId="FootnoteTextChar">
    <w:name w:val="Footnote Text Char"/>
    <w:link w:val="FootnoteText"/>
    <w:rsid w:val="004B1719"/>
    <w:rPr>
      <w:rFonts w:ascii="Times New Roman" w:hAnsi="Times New Roman" w:cs="Times New Roman"/>
      <w:spacing w:val="4"/>
      <w:w w:val="103"/>
      <w:kern w:val="14"/>
      <w:sz w:val="17"/>
      <w:szCs w:val="20"/>
      <w:lang w:val="fr-CA"/>
    </w:rPr>
  </w:style>
  <w:style w:type="paragraph" w:styleId="Header">
    <w:name w:val="header"/>
    <w:link w:val="HeaderChar"/>
    <w:uiPriority w:val="99"/>
    <w:rsid w:val="004B1719"/>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4B1719"/>
    <w:rPr>
      <w:rFonts w:ascii="Times New Roman" w:hAnsi="Times New Roman" w:cs="Times New Roman"/>
      <w:spacing w:val="3"/>
      <w:w w:val="105"/>
      <w:sz w:val="17"/>
      <w:lang w:val="en-US"/>
    </w:rPr>
  </w:style>
  <w:style w:type="character" w:customStyle="1" w:styleId="Heading1Char">
    <w:name w:val="Heading 1 Char"/>
    <w:link w:val="Heading1"/>
    <w:uiPriority w:val="9"/>
    <w:rsid w:val="004B1719"/>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4B1719"/>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4B1719"/>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4B1719"/>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4B1719"/>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4B1719"/>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4B1719"/>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4B1719"/>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4B1719"/>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4B1719"/>
    <w:rPr>
      <w:sz w:val="14"/>
    </w:rPr>
  </w:style>
  <w:style w:type="paragraph" w:styleId="ListParagraph">
    <w:name w:val="List Paragraph"/>
    <w:basedOn w:val="Normal"/>
    <w:uiPriority w:val="34"/>
    <w:rsid w:val="004B1719"/>
    <w:pPr>
      <w:ind w:left="720"/>
      <w:contextualSpacing/>
    </w:pPr>
  </w:style>
  <w:style w:type="paragraph" w:styleId="NoSpacing">
    <w:name w:val="No Spacing"/>
    <w:uiPriority w:val="1"/>
    <w:rsid w:val="004B1719"/>
    <w:pPr>
      <w:spacing w:after="0" w:line="240" w:lineRule="auto"/>
    </w:pPr>
    <w:rPr>
      <w:rFonts w:ascii="Calibri" w:hAnsi="Calibri" w:cs="Times New Roman"/>
      <w:lang w:val="en-US"/>
    </w:rPr>
  </w:style>
  <w:style w:type="paragraph" w:customStyle="1" w:styleId="Original">
    <w:name w:val="Original"/>
    <w:next w:val="Normal"/>
    <w:autoRedefine/>
    <w:qFormat/>
    <w:rsid w:val="004B1719"/>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4B1719"/>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4B1719"/>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4B1719"/>
    <w:pPr>
      <w:tabs>
        <w:tab w:val="right" w:pos="9965"/>
      </w:tabs>
      <w:spacing w:line="210" w:lineRule="exact"/>
    </w:pPr>
    <w:rPr>
      <w:spacing w:val="5"/>
      <w:w w:val="104"/>
      <w:sz w:val="17"/>
    </w:rPr>
  </w:style>
  <w:style w:type="paragraph" w:customStyle="1" w:styleId="SmallX">
    <w:name w:val="SmallX"/>
    <w:basedOn w:val="Small"/>
    <w:next w:val="Normal"/>
    <w:qFormat/>
    <w:rsid w:val="004B1719"/>
    <w:pPr>
      <w:spacing w:line="180" w:lineRule="exact"/>
      <w:jc w:val="right"/>
    </w:pPr>
    <w:rPr>
      <w:spacing w:val="6"/>
      <w:w w:val="106"/>
      <w:sz w:val="14"/>
    </w:rPr>
  </w:style>
  <w:style w:type="character" w:styleId="Strong">
    <w:name w:val="Strong"/>
    <w:uiPriority w:val="22"/>
    <w:rsid w:val="004B1719"/>
    <w:rPr>
      <w:b/>
      <w:bCs/>
    </w:rPr>
  </w:style>
  <w:style w:type="paragraph" w:customStyle="1" w:styleId="Style1">
    <w:name w:val="Style1"/>
    <w:basedOn w:val="Normal"/>
    <w:qFormat/>
    <w:rsid w:val="004B1719"/>
  </w:style>
  <w:style w:type="paragraph" w:customStyle="1" w:styleId="Style2">
    <w:name w:val="Style2"/>
    <w:basedOn w:val="Normal"/>
    <w:autoRedefine/>
    <w:qFormat/>
    <w:rsid w:val="004B1719"/>
  </w:style>
  <w:style w:type="paragraph" w:customStyle="1" w:styleId="TitleHCH">
    <w:name w:val="Title_H_CH"/>
    <w:basedOn w:val="HCH"/>
    <w:next w:val="SingleTxt"/>
    <w:qFormat/>
    <w:rsid w:val="004B171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4B171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4B1719"/>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BC1B72"/>
    <w:rPr>
      <w:sz w:val="16"/>
      <w:szCs w:val="16"/>
    </w:rPr>
  </w:style>
  <w:style w:type="paragraph" w:styleId="CommentText">
    <w:name w:val="annotation text"/>
    <w:basedOn w:val="Normal"/>
    <w:link w:val="CommentTextChar"/>
    <w:uiPriority w:val="99"/>
    <w:semiHidden/>
    <w:unhideWhenUsed/>
    <w:rsid w:val="00BC1B72"/>
    <w:pPr>
      <w:spacing w:line="240" w:lineRule="auto"/>
    </w:pPr>
    <w:rPr>
      <w:szCs w:val="20"/>
    </w:rPr>
  </w:style>
  <w:style w:type="character" w:customStyle="1" w:styleId="CommentTextChar">
    <w:name w:val="Comment Text Char"/>
    <w:basedOn w:val="DefaultParagraphFont"/>
    <w:link w:val="CommentText"/>
    <w:uiPriority w:val="99"/>
    <w:semiHidden/>
    <w:rsid w:val="00BC1B72"/>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BC1B72"/>
    <w:rPr>
      <w:b/>
      <w:bCs/>
    </w:rPr>
  </w:style>
  <w:style w:type="character" w:customStyle="1" w:styleId="CommentSubjectChar">
    <w:name w:val="Comment Subject Char"/>
    <w:basedOn w:val="CommentTextChar"/>
    <w:link w:val="CommentSubject"/>
    <w:uiPriority w:val="99"/>
    <w:semiHidden/>
    <w:rsid w:val="00BC1B72"/>
    <w:rPr>
      <w:rFonts w:ascii="Times New Roman" w:hAnsi="Times New Roman" w:cs="Times New Roman"/>
      <w:b/>
      <w:bCs/>
      <w:spacing w:val="4"/>
      <w:w w:val="103"/>
      <w:kern w:val="14"/>
      <w:sz w:val="20"/>
      <w:szCs w:val="20"/>
      <w:lang w:val="fr-CA"/>
    </w:rPr>
  </w:style>
  <w:style w:type="character" w:styleId="Hyperlink">
    <w:name w:val="Hyperlink"/>
    <w:basedOn w:val="DefaultParagraphFont"/>
    <w:rsid w:val="0086160B"/>
    <w:rPr>
      <w:color w:val="0000FF" w:themeColor="hyperlink"/>
      <w:u w:val="none"/>
    </w:rPr>
  </w:style>
  <w:style w:type="paragraph" w:styleId="Revision">
    <w:name w:val="Revision"/>
    <w:hidden/>
    <w:uiPriority w:val="99"/>
    <w:semiHidden/>
    <w:rsid w:val="0086160B"/>
    <w:pPr>
      <w:spacing w:after="0" w:line="240" w:lineRule="auto"/>
    </w:pPr>
    <w:rPr>
      <w:rFonts w:ascii="Times New Roman" w:hAnsi="Times New Roman" w:cs="Times New Roman"/>
      <w:spacing w:val="4"/>
      <w:w w:val="103"/>
      <w:kern w:val="14"/>
      <w:sz w:val="20"/>
      <w:lang w:val="fr-CA"/>
    </w:rPr>
  </w:style>
  <w:style w:type="character" w:styleId="FollowedHyperlink">
    <w:name w:val="FollowedHyperlink"/>
    <w:basedOn w:val="DefaultParagraphFont"/>
    <w:uiPriority w:val="99"/>
    <w:semiHidden/>
    <w:unhideWhenUsed/>
    <w:rsid w:val="00900EEF"/>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undocs.org/fr/CEDAW/C/SUR/CO/3" TargetMode="External"/><Relationship Id="rId3" Type="http://schemas.openxmlformats.org/officeDocument/2006/relationships/styles" Target="styles.xml"/><Relationship Id="rId21" Type="http://schemas.openxmlformats.org/officeDocument/2006/relationships/hyperlink" Target="https://undocs.org/fr/CEDAW/C/SUR/CO/3"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ndocs.org/fr/A/HRC/33/4" TargetMode="External"/><Relationship Id="rId2" Type="http://schemas.openxmlformats.org/officeDocument/2006/relationships/numbering" Target="numbering.xml"/><Relationship Id="rId16" Type="http://schemas.openxmlformats.org/officeDocument/2006/relationships/hyperlink" Target="https://undocs.org/fr/HRI/CORE/SUR/2014" TargetMode="External"/><Relationship Id="rId20" Type="http://schemas.openxmlformats.org/officeDocument/2006/relationships/hyperlink" Target="https://undocs.org/S/RES/100(19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undocs.org/fr/CEDAW/C/SUR/CO/3"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CEDAW/C/SUR/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2188-4107-43F4-A611-065D38AF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3610</Words>
  <Characters>20582</Characters>
  <Application>Microsoft Office Word</Application>
  <DocSecurity>0</DocSecurity>
  <Lines>171</Lines>
  <Paragraphs>48</Paragraphs>
  <ScaleCrop>false</ScaleCrop>
  <Company>United Nations</Company>
  <LinksUpToDate>false</LinksUpToDate>
  <CharactersWithSpaces>24144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 1</dc:creator>
  <cp:keywords/>
  <dc:description/>
  <cp:lastModifiedBy>Front Desk 1</cp:lastModifiedBy>
  <cp:revision>3</cp:revision>
  <cp:lastPrinted>2017-08-22T16:54:00Z</cp:lastPrinted>
  <dcterms:created xsi:type="dcterms:W3CDTF">2017-08-22T16:54:00Z</dcterms:created>
  <dcterms:modified xsi:type="dcterms:W3CDTF">2017-08-22T16:54:00Z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1713071F</vt:lpwstr>
  </property>
  <property fmtid="{D5CDD505-2E9C-101B-9397-08002B2CF9AE}" pid="3" name="ODSRefJobNo">
    <vt:lpwstr>1723765F</vt:lpwstr>
  </property>
  <property fmtid="{D5CDD505-2E9C-101B-9397-08002B2CF9AE}" pid="4" name="Symbol1">
    <vt:lpwstr>CEDAW/C/SUR/Q/4-6</vt:lpwstr>
  </property>
  <property fmtid="{D5CDD505-2E9C-101B-9397-08002B2CF9AE}" pid="5" name="Symbol2">
    <vt:lpwstr/>
  </property>
  <property fmtid="{D5CDD505-2E9C-101B-9397-08002B2CF9AE}" pid="6" name="Translator">
    <vt:lpwstr/>
  </property>
  <property fmtid="{D5CDD505-2E9C-101B-9397-08002B2CF9AE}" pid="7" name="Operator">
    <vt:lpwstr>Nadia</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31 juillet 2017</vt:lpwstr>
  </property>
  <property fmtid="{D5CDD505-2E9C-101B-9397-08002B2CF9AE}" pid="12" name="Release Date">
    <vt:lpwstr>7-13071X (</vt:lpwstr>
  </property>
  <property fmtid="{D5CDD505-2E9C-101B-9397-08002B2CF9AE}" pid="13" name="Title1">
    <vt:lpwstr>		Liste des points concernant le rapport unique valant quatrième, cinquième et sixième rapports périodiques du Suriname_x000d__x000d__x000d_</vt:lpwstr>
  </property>
</Properties>
</file>