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435-м заседании,</w:t>
      </w:r>
    </w:p>
    <w:p w:rsidR="00000000" w:rsidRDefault="00000000">
      <w:r>
        <w:t>состоявшемся в Центральных учреждениях, Нью-Йорк, во вторник, 15 июня 1999 года, в 15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</w:t>
      </w:r>
      <w:r>
        <w:tab/>
        <w:t xml:space="preserve"> г</w:t>
      </w:r>
      <w:r>
        <w:noBreakHyphen/>
        <w:t>жа Шёпп-Шиллинг</w:t>
      </w:r>
      <w:r>
        <w:rPr>
          <w:spacing w:val="60"/>
          <w:sz w:val="17"/>
        </w:rPr>
        <w:tab/>
      </w:r>
      <w:r>
        <w:t>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</w:pPr>
      <w:r>
        <w:tab/>
      </w:r>
      <w:r>
        <w:rPr>
          <w:i/>
        </w:rPr>
        <w:t>Первоначальный доклад Непала</w:t>
      </w:r>
      <w:r>
        <w:t xml:space="preserve">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i w:val="0"/>
        </w:rPr>
      </w:pPr>
      <w:r>
        <w:tab/>
        <w:t>В отсутствие г</w:t>
      </w:r>
      <w:r>
        <w:noBreakHyphen/>
        <w:t>жи Гонсалес г</w:t>
      </w:r>
      <w:r>
        <w:noBreakHyphen/>
        <w:t>жа Шёпп-Шиллинг, заместитель Председателя, занимает место Председателя</w:t>
      </w:r>
      <w:r>
        <w:rPr>
          <w:i w:val="0"/>
        </w:rPr>
        <w:t>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 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>Рассмотрение докладов, представленных государствами-участниками в соответствии со статьей 18 Конвенции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tabs>
          <w:tab w:val="clear" w:pos="480"/>
          <w:tab w:val="left" w:pos="475"/>
        </w:tabs>
        <w:ind w:left="475" w:hanging="475"/>
      </w:pPr>
      <w:r>
        <w:tab/>
      </w:r>
      <w:r>
        <w:rPr>
          <w:i/>
        </w:rPr>
        <w:t>Первоначальный доклад Непала</w:t>
      </w:r>
      <w:r>
        <w:t xml:space="preserve"> (</w:t>
      </w:r>
      <w:r>
        <w:rPr>
          <w:i/>
        </w:rPr>
        <w:t>продолж</w:t>
      </w:r>
      <w:r>
        <w:rPr>
          <w:i/>
        </w:rPr>
        <w:t>е</w:t>
      </w:r>
      <w:r>
        <w:rPr>
          <w:i/>
        </w:rPr>
        <w:t>ние</w:t>
      </w:r>
      <w:r>
        <w:t>) (CEDAW/C/NPL/1)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Непала зан</w:t>
      </w:r>
      <w:r>
        <w:rPr>
          <w:i/>
        </w:rPr>
        <w:t>и</w:t>
      </w:r>
      <w:r>
        <w:rPr>
          <w:i/>
        </w:rPr>
        <w:t>мают места за столом Комитета</w:t>
      </w:r>
      <w:r>
        <w:t>.</w:t>
      </w:r>
    </w:p>
    <w:p w:rsidR="00000000" w:rsidRDefault="00000000">
      <w:pPr>
        <w:pStyle w:val="DualTxt"/>
      </w:pPr>
      <w:r>
        <w:rPr>
          <w:i/>
        </w:rPr>
        <w:t>Статья 6</w:t>
      </w:r>
      <w:r>
        <w:t xml:space="preserve"> (</w:t>
      </w:r>
      <w:r>
        <w:rPr>
          <w:i/>
        </w:rPr>
        <w:t>продолж</w:t>
      </w:r>
      <w:r>
        <w:rPr>
          <w:i/>
        </w:rPr>
        <w:t>е</w:t>
      </w:r>
      <w:r>
        <w:rPr>
          <w:i/>
        </w:rPr>
        <w:t>ние</w:t>
      </w:r>
      <w:r>
        <w:t>)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подчеркивает, что торговля людьми в целях проституции является одной из с</w:t>
      </w:r>
      <w:r>
        <w:t>о</w:t>
      </w:r>
      <w:r>
        <w:t>временных форм рабства. Сохранение давних тр</w:t>
      </w:r>
      <w:r>
        <w:t>а</w:t>
      </w:r>
      <w:r>
        <w:t>диций храмовой проституции, таких, как «деуки», укрепляет современную коммерческую форму се</w:t>
      </w:r>
      <w:r>
        <w:t>к</w:t>
      </w:r>
      <w:r>
        <w:t>суальной эксплуатации девочек. Торговле содейс</w:t>
      </w:r>
      <w:r>
        <w:t>т</w:t>
      </w:r>
      <w:r>
        <w:t>вует неспособность обеспечить выполнение зак</w:t>
      </w:r>
      <w:r>
        <w:t>о</w:t>
      </w:r>
      <w:r>
        <w:t>нов, направленных против заключения браков в раннем возрасте, или предоставить девочкам во</w:t>
      </w:r>
      <w:r>
        <w:t>з</w:t>
      </w:r>
      <w:r>
        <w:t>можности для завершения их образования, поскол</w:t>
      </w:r>
      <w:r>
        <w:t>ь</w:t>
      </w:r>
      <w:r>
        <w:t>ку многие девочки становятся жертвами простит</w:t>
      </w:r>
      <w:r>
        <w:t>у</w:t>
      </w:r>
      <w:r>
        <w:t>ции под тем предлогом, что они будут невестами. Поэтому эта проблема обусловлена не только нищ</w:t>
      </w:r>
      <w:r>
        <w:t>е</w:t>
      </w:r>
      <w:r>
        <w:t>той, но также и существующим отношением. Ва</w:t>
      </w:r>
      <w:r>
        <w:t>ж</w:t>
      </w:r>
      <w:r>
        <w:t>но, чтобы правительство приняло профилактич</w:t>
      </w:r>
      <w:r>
        <w:t>е</w:t>
      </w:r>
      <w:r>
        <w:t>скую политику для рассмотрения грубых наруш</w:t>
      </w:r>
      <w:r>
        <w:t>е</w:t>
      </w:r>
      <w:r>
        <w:t>ний права девочек и женщин на личную безопа</w:t>
      </w:r>
      <w:r>
        <w:t>с</w:t>
      </w:r>
      <w:r>
        <w:t>ность и для ликвидации серьезной угрозы для зд</w:t>
      </w:r>
      <w:r>
        <w:t>о</w:t>
      </w:r>
      <w:r>
        <w:t>ровья всего населения. Оратор хотела бы знать, что делается в целях обеспечения трансграничного ко</w:t>
      </w:r>
      <w:r>
        <w:t>н</w:t>
      </w:r>
      <w:r>
        <w:t>троля и порядка с участием полиции, какие проц</w:t>
      </w:r>
      <w:r>
        <w:t>е</w:t>
      </w:r>
      <w:r>
        <w:t>дуры используются в случае поступлений сообщ</w:t>
      </w:r>
      <w:r>
        <w:t>е</w:t>
      </w:r>
      <w:r>
        <w:t>ний об исчезновении девочек и какие средства з</w:t>
      </w:r>
      <w:r>
        <w:t>а</w:t>
      </w:r>
      <w:r>
        <w:t>щиты имеются у с</w:t>
      </w:r>
      <w:r>
        <w:t>е</w:t>
      </w:r>
      <w:r>
        <w:t>мей.</w:t>
      </w:r>
    </w:p>
    <w:p w:rsidR="00000000" w:rsidRDefault="00000000">
      <w:pPr>
        <w:pStyle w:val="DualTxt"/>
      </w:pPr>
      <w:r>
        <w:t>3.</w:t>
      </w:r>
      <w:r>
        <w:tab/>
        <w:t>Оратор также хотела бы знать, какие двуст</w:t>
      </w:r>
      <w:r>
        <w:t>о</w:t>
      </w:r>
      <w:r>
        <w:t>ронние соглашения были заключены в целях репа</w:t>
      </w:r>
      <w:r>
        <w:t>т</w:t>
      </w:r>
      <w:r>
        <w:t>риации жертв торговли и какова позиция прав</w:t>
      </w:r>
      <w:r>
        <w:t>и</w:t>
      </w:r>
      <w:r>
        <w:t>тельства в отношении положений проекта Конве</w:t>
      </w:r>
      <w:r>
        <w:t>н</w:t>
      </w:r>
      <w:r>
        <w:t>ции о предупреждении торговли женщинами и детьми для целей проституции и борьбе с ней, предложенного Ассоциацией регионального с</w:t>
      </w:r>
      <w:r>
        <w:t>о</w:t>
      </w:r>
      <w:r>
        <w:t>трудничества стран Южной Азии (СААРК).</w:t>
      </w:r>
    </w:p>
    <w:p w:rsidR="00000000" w:rsidRDefault="00000000">
      <w:pPr>
        <w:pStyle w:val="DualTxt"/>
        <w:keepNext/>
        <w:keepLines/>
        <w:widowControl w:val="0"/>
        <w:rPr>
          <w:i/>
        </w:rPr>
      </w:pPr>
      <w:r>
        <w:rPr>
          <w:i/>
        </w:rPr>
        <w:t>Статья 7</w:t>
      </w:r>
    </w:p>
    <w:p w:rsidR="00000000" w:rsidRDefault="00000000">
      <w:pPr>
        <w:pStyle w:val="DualTxt"/>
        <w:keepNext/>
        <w:keepLines/>
        <w:widowControl w:val="0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Хан </w:t>
      </w:r>
      <w:r>
        <w:t>говорит, что она с удовлетворением отмечает, что Непал является одной из шести стран мира, в которых существует минимальная квота для женщин в парламенте. В то же время она испыт</w:t>
      </w:r>
      <w:r>
        <w:t>ы</w:t>
      </w:r>
      <w:r>
        <w:t>вает озабоченность в отношении того, что, хотя эта квота действует в парламенте и на уровне округов, женщины практически совершенно не представл</w:t>
      </w:r>
      <w:r>
        <w:t>е</w:t>
      </w:r>
      <w:r>
        <w:t>ны на промежуточных уровнях, поэтому не форм</w:t>
      </w:r>
      <w:r>
        <w:t>и</w:t>
      </w:r>
      <w:r>
        <w:t>руются устойчивые связи с представителями на п</w:t>
      </w:r>
      <w:r>
        <w:t>о</w:t>
      </w:r>
      <w:r>
        <w:t>литических должностях более высокого уровня. Усилия по вовлечению женщин в процесс принятия решений можно было бы начать осуществлять с наибольшей степенью эффективности в результате установления квот для сотрудников гражданской службы. Оратор приветствовала бы получение и</w:t>
      </w:r>
      <w:r>
        <w:t>н</w:t>
      </w:r>
      <w:r>
        <w:t>формации о рекомендациях Комиссии по админис</w:t>
      </w:r>
      <w:r>
        <w:t>т</w:t>
      </w:r>
      <w:r>
        <w:t>ративной реформе в отношении расширения уч</w:t>
      </w:r>
      <w:r>
        <w:t>а</w:t>
      </w:r>
      <w:r>
        <w:t>стия женщин в деятельности гражданской службы и об их выпо</w:t>
      </w:r>
      <w:r>
        <w:t>л</w:t>
      </w:r>
      <w:r>
        <w:t>нении.</w:t>
      </w:r>
    </w:p>
    <w:p w:rsidR="00000000" w:rsidRDefault="00000000">
      <w:pPr>
        <w:pStyle w:val="DualTxt"/>
        <w:rPr>
          <w:i/>
        </w:rPr>
      </w:pPr>
      <w:r>
        <w:rPr>
          <w:i/>
        </w:rPr>
        <w:t>Статья 9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Шалев </w:t>
      </w:r>
      <w:r>
        <w:t>говорит, что она испытывает чувство глубокой обеспокоенности в отношении т</w:t>
      </w:r>
      <w:r>
        <w:t>о</w:t>
      </w:r>
      <w:r>
        <w:t>го, что в соответствии с непальским законодател</w:t>
      </w:r>
      <w:r>
        <w:t>ь</w:t>
      </w:r>
      <w:r>
        <w:t>ством незамужним матерям не разрешается регис</w:t>
      </w:r>
      <w:r>
        <w:t>т</w:t>
      </w:r>
      <w:r>
        <w:t>рировать их детей, что является явным нарушением пункта 2 статьи 9 Конвенции. Комитет хотел бы у</w:t>
      </w:r>
      <w:r>
        <w:t>з</w:t>
      </w:r>
      <w:r>
        <w:t>нать, сколько детей находится в таком положении, отказывается ли им в политических правах или правах на охрану здоровья и образование и пров</w:t>
      </w:r>
      <w:r>
        <w:t>о</w:t>
      </w:r>
      <w:r>
        <w:t>дится ли какое</w:t>
      </w:r>
      <w:r>
        <w:noBreakHyphen/>
        <w:t>либо различие между девочками и мальчиками.</w:t>
      </w:r>
    </w:p>
    <w:p w:rsidR="00000000" w:rsidRDefault="00000000">
      <w:pPr>
        <w:pStyle w:val="DualTxt"/>
        <w:rPr>
          <w:i/>
        </w:rPr>
      </w:pPr>
      <w:r>
        <w:rPr>
          <w:i/>
        </w:rPr>
        <w:t>Статья 10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>жа Тайя</w:t>
      </w:r>
      <w:r>
        <w:t xml:space="preserve"> говорит, что базовая программа н</w:t>
      </w:r>
      <w:r>
        <w:t>а</w:t>
      </w:r>
      <w:r>
        <w:t>чального образования 1992 года является досто</w:t>
      </w:r>
      <w:r>
        <w:t>й</w:t>
      </w:r>
      <w:r>
        <w:t>ным похвалы первым шагом в направлении поо</w:t>
      </w:r>
      <w:r>
        <w:t>щ</w:t>
      </w:r>
      <w:r>
        <w:t>рения образования женщин. Она хотела бы узнать, какая процентная доля средств национального бюджета выделяется на цели образования с разби</w:t>
      </w:r>
      <w:r>
        <w:t>в</w:t>
      </w:r>
      <w:r>
        <w:t>кой по годам и в сравнении с годами, предшеств</w:t>
      </w:r>
      <w:r>
        <w:t>о</w:t>
      </w:r>
      <w:r>
        <w:t>вавшими 1992 году. Она также хотела бы знать, предусматривает ли программа реформу учебной программы и устранение отживших стереотипов из школьных учебников или принятие каких</w:t>
      </w:r>
      <w:r>
        <w:noBreakHyphen/>
        <w:t>либо сп</w:t>
      </w:r>
      <w:r>
        <w:t>е</w:t>
      </w:r>
      <w:r>
        <w:t>циальных мер по поощрению записи девочек в з</w:t>
      </w:r>
      <w:r>
        <w:t>а</w:t>
      </w:r>
      <w:r>
        <w:t>падных частях страны. Эффективность программы можно повысить в результате прямой увязки пр</w:t>
      </w:r>
      <w:r>
        <w:t>о</w:t>
      </w:r>
      <w:r>
        <w:t>граммы с профессионально-технической подгото</w:t>
      </w:r>
      <w:r>
        <w:t>в</w:t>
      </w:r>
      <w:r>
        <w:t>кой.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жа Ким</w:t>
      </w:r>
      <w:r>
        <w:t xml:space="preserve"> Юн-чун отмечает с озабоченностью различие между амбициозными целями обеспеч</w:t>
      </w:r>
      <w:r>
        <w:t>е</w:t>
      </w:r>
      <w:r>
        <w:t>ния грамотности, поставленными в планах прав</w:t>
      </w:r>
      <w:r>
        <w:t>и</w:t>
      </w:r>
      <w:r>
        <w:t>тельства, и низким показателем грамотности среди женщин за 1998 год на уровне 28 процентов, что гораздо ниже национального показателя. Неграмо</w:t>
      </w:r>
      <w:r>
        <w:t>т</w:t>
      </w:r>
      <w:r>
        <w:t>ность реально препятствует осуществлению пр</w:t>
      </w:r>
      <w:r>
        <w:t>о</w:t>
      </w:r>
      <w:r>
        <w:t>грамм и проектов профессиональной подготовки в целях улучшения положения сельских женщин.</w:t>
      </w:r>
    </w:p>
    <w:p w:rsidR="00000000" w:rsidRDefault="00000000">
      <w:pPr>
        <w:pStyle w:val="DualTxt"/>
      </w:pPr>
      <w:r>
        <w:t>8.</w:t>
      </w:r>
      <w:r>
        <w:tab/>
        <w:t>Что касается обязательного образования, то с учетом высоких показателей выбытия девочек из школ оратор хотела бы получить дополнительную информацию о конкретных мерах в рамках восьм</w:t>
      </w:r>
      <w:r>
        <w:t>о</w:t>
      </w:r>
      <w:r>
        <w:t>го плана для обеспечения равного доступа к уче</w:t>
      </w:r>
      <w:r>
        <w:t>б</w:t>
      </w:r>
      <w:r>
        <w:t>ным программам для девочек и женщин, прежде всего в сельских районах. Еще один аспект плана касается предоставления бесплатных учебников для девочек вплоть до пятого класса. Оратор интерес</w:t>
      </w:r>
      <w:r>
        <w:t>у</w:t>
      </w:r>
      <w:r>
        <w:t>ется, является ли это верхним пределом обязател</w:t>
      </w:r>
      <w:r>
        <w:t>ь</w:t>
      </w:r>
      <w:r>
        <w:t>ного образования и учитываются ли гендерные а</w:t>
      </w:r>
      <w:r>
        <w:t>с</w:t>
      </w:r>
      <w:r>
        <w:t>пекты в учебниках. Что касается высшего образов</w:t>
      </w:r>
      <w:r>
        <w:t>а</w:t>
      </w:r>
      <w:r>
        <w:t>ния, то хотелось бы получить информацию о пр</w:t>
      </w:r>
      <w:r>
        <w:t>о</w:t>
      </w:r>
      <w:r>
        <w:t>центных показателях записи женщин, изучаемых ими предметах, их доступе к научно-техническим областям и о поощрении их к освоению нетрадиц</w:t>
      </w:r>
      <w:r>
        <w:t>и</w:t>
      </w:r>
      <w:r>
        <w:t>онных специальностей посредством, например, консультирования и предоставления финансовой помощи.</w:t>
      </w:r>
    </w:p>
    <w:p w:rsidR="00000000" w:rsidRDefault="00000000">
      <w:pPr>
        <w:pStyle w:val="DualTxt"/>
      </w:pPr>
      <w:r>
        <w:t>9.</w:t>
      </w:r>
      <w:r>
        <w:tab/>
        <w:t>С учетом необычно низкой доли женщин-учителей (10 процентов), оратор хотела бы узнать о любых программах стимулирования учителей к р</w:t>
      </w:r>
      <w:r>
        <w:t>а</w:t>
      </w:r>
      <w:r>
        <w:t>боте в отдаленных районах. Наконец, хотелось бы получить разъяснение по вопросу о том, каким о</w:t>
      </w:r>
      <w:r>
        <w:t>б</w:t>
      </w:r>
      <w:r>
        <w:t>разом координируются функции министерства о</w:t>
      </w:r>
      <w:r>
        <w:t>б</w:t>
      </w:r>
      <w:r>
        <w:t>разования, культуры и социального обеспечения и министерства по делам женщин и социального обеспечения.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 Риэль</w:t>
      </w:r>
      <w:r>
        <w:t xml:space="preserve"> говорит, что образование, в д</w:t>
      </w:r>
      <w:r>
        <w:t>о</w:t>
      </w:r>
      <w:r>
        <w:t>полнение к расширению возможностей для получ</w:t>
      </w:r>
      <w:r>
        <w:t>е</w:t>
      </w:r>
      <w:r>
        <w:t>ния дохода, имеет важное значение для информир</w:t>
      </w:r>
      <w:r>
        <w:t>о</w:t>
      </w:r>
      <w:r>
        <w:t>вания женщин об их юридических правах. Упом</w:t>
      </w:r>
      <w:r>
        <w:t>и</w:t>
      </w:r>
      <w:r>
        <w:t>нание о стипендиях для девочек заставило ее задать вопрос о том, носит ли обучение в начальных шк</w:t>
      </w:r>
      <w:r>
        <w:t>о</w:t>
      </w:r>
      <w:r>
        <w:t>лах Непала обязательный или факультативный х</w:t>
      </w:r>
      <w:r>
        <w:t>а</w:t>
      </w:r>
      <w:r>
        <w:t>рактер и является ли оно платным или бесплатным. Она была бы признательна за более подробное разъяснение причин назначения по крайней мере одной женщины-преподавателя в каждой начальной школе в целях повышения показателей записи уч</w:t>
      </w:r>
      <w:r>
        <w:t>а</w:t>
      </w:r>
      <w:r>
        <w:t>щихся женского пола. Кроме того, ценное значение имела бы информация о показателях записи в час</w:t>
      </w:r>
      <w:r>
        <w:t>т</w:t>
      </w:r>
      <w:r>
        <w:t>ные школы и о качестве обучения в них по сравн</w:t>
      </w:r>
      <w:r>
        <w:t>е</w:t>
      </w:r>
      <w:r>
        <w:t>нию с обуч</w:t>
      </w:r>
      <w:r>
        <w:t>е</w:t>
      </w:r>
      <w:r>
        <w:t>нием в государственных школах.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жа Гунесекере</w:t>
      </w:r>
      <w:r>
        <w:t xml:space="preserve"> говорит, что, хотя Непал принял концепцию, предусматривающую приоритет договорного права, на практике многие его законы о гражданстве противоречат не только Конвенции, но также и Международному пакту о гражданских и политических правах и Конвенции о правах ребе</w:t>
      </w:r>
      <w:r>
        <w:t>н</w:t>
      </w:r>
      <w:r>
        <w:t>ка. Поскольку по делу Миры Гуруга, касавшемуся ее права на получение визы, верховный суд пост</w:t>
      </w:r>
      <w:r>
        <w:t>а</w:t>
      </w:r>
      <w:r>
        <w:t>новил, что национальные законы о гражданстве противоречат конституции и международному пр</w:t>
      </w:r>
      <w:r>
        <w:t>а</w:t>
      </w:r>
      <w:r>
        <w:t>ву, оратор хотела бы знать, какая помощь была ок</w:t>
      </w:r>
      <w:r>
        <w:t>а</w:t>
      </w:r>
      <w:r>
        <w:t>зана и какие изменения были внесены в законод</w:t>
      </w:r>
      <w:r>
        <w:t>а</w:t>
      </w:r>
      <w:r>
        <w:t>тельство или рассматриваются в этой связи. Она интересуется, почему положения конституции 1963 года о гражданстве, которые соответствовали международным стандартам, были изменены в 1990 году.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говорит, что, поскольку 90 проце</w:t>
      </w:r>
      <w:r>
        <w:t>н</w:t>
      </w:r>
      <w:r>
        <w:t>тов экономически активных женщин Непала занято в сельском хозяйстве и их рабочий день характер</w:t>
      </w:r>
      <w:r>
        <w:t>и</w:t>
      </w:r>
      <w:r>
        <w:t>зуется большой продолжительностью и поскольку можно предположить, что эта работа связана с и</w:t>
      </w:r>
      <w:r>
        <w:t>н</w:t>
      </w:r>
      <w:r>
        <w:t>тенсивным ручным трудом, оратор хотела бы знать, осуществляются ли какие-либо проекты в целях модернизации сельского хозяйства. Она приветс</w:t>
      </w:r>
      <w:r>
        <w:t>т</w:t>
      </w:r>
      <w:r>
        <w:t>вовала бы получение дополнительной информации о вариантах владения землей и о возможностях женщин в плане владения сельскохозяйственными угодьями. Большую ценность имели бы дополн</w:t>
      </w:r>
      <w:r>
        <w:t>и</w:t>
      </w:r>
      <w:r>
        <w:t>тельные сведения о положениях закона 1992 года о труде в части, касающейся женщин. Что касается программ профессиональной подготовки женщин, содействующих обеспечению самостоятельной з</w:t>
      </w:r>
      <w:r>
        <w:t>а</w:t>
      </w:r>
      <w:r>
        <w:t>нятости, то правительству следует предоставить статистические данные о числе женщин, проше</w:t>
      </w:r>
      <w:r>
        <w:t>д</w:t>
      </w:r>
      <w:r>
        <w:t>ших подготовку, и дополнительную информацию о любых связанных с ними программах микрокред</w:t>
      </w:r>
      <w:r>
        <w:t>и</w:t>
      </w:r>
      <w:r>
        <w:t>тования, прежде всего в интересах сельских же</w:t>
      </w:r>
      <w:r>
        <w:t>н</w:t>
      </w:r>
      <w:r>
        <w:t>щин. Также было бы интересно узнать, существует ли в Непале законодательство по вопросам равенс</w:t>
      </w:r>
      <w:r>
        <w:t>т</w:t>
      </w:r>
      <w:r>
        <w:t>ва оплаты труда и, если да, охватывает ли оно труд в сельском хозя</w:t>
      </w:r>
      <w:r>
        <w:t>й</w:t>
      </w:r>
      <w:r>
        <w:t>стве.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Гунесекере </w:t>
      </w:r>
      <w:r>
        <w:t>спрашивает о действующих или рассматриваемых положениях государственн</w:t>
      </w:r>
      <w:r>
        <w:t>о</w:t>
      </w:r>
      <w:r>
        <w:t>го законодательства, предназначающихся для обе</w:t>
      </w:r>
      <w:r>
        <w:t>с</w:t>
      </w:r>
      <w:r>
        <w:t>печения охраны здоровья и техники безопасности на производстве в интересах девочек в возрасте 16–18 лет в рамках надомных предприятий, таких, как ковроткачество, и для их защиты от сексуального притеснения или насилия. Она спрашивает, распр</w:t>
      </w:r>
      <w:r>
        <w:t>о</w:t>
      </w:r>
      <w:r>
        <w:t>страняются ли на эту возрастную группу последние инициативы по вопросам детского тр</w:t>
      </w:r>
      <w:r>
        <w:t>у</w:t>
      </w:r>
      <w:r>
        <w:t>да.</w:t>
      </w:r>
    </w:p>
    <w:p w:rsidR="00000000" w:rsidRDefault="00000000">
      <w:pPr>
        <w:pStyle w:val="DualTxt"/>
        <w:rPr>
          <w:i/>
        </w:rPr>
      </w:pPr>
      <w:r>
        <w:rPr>
          <w:i/>
        </w:rPr>
        <w:t>Статья 12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>жа Шалев</w:t>
      </w:r>
      <w:r>
        <w:t xml:space="preserve"> говорит, что с учетом наличия серьезных проблем, затрагивающих здоровье же</w:t>
      </w:r>
      <w:r>
        <w:t>н</w:t>
      </w:r>
      <w:r>
        <w:t>щин в Непале, она хотела бы обратить внимание правительства на общую рекомендацию № 24 К</w:t>
      </w:r>
      <w:r>
        <w:t>о</w:t>
      </w:r>
      <w:r>
        <w:t>митета, касающуюся прав женщин на охрану здор</w:t>
      </w:r>
      <w:r>
        <w:t>о</w:t>
      </w:r>
      <w:r>
        <w:t>вья. Пункты 11 и 14 этого текста имеют прямое о</w:t>
      </w:r>
      <w:r>
        <w:t>т</w:t>
      </w:r>
      <w:r>
        <w:t>ношение к последним усилиям по изменению зак</w:t>
      </w:r>
      <w:r>
        <w:t>о</w:t>
      </w:r>
      <w:r>
        <w:t>на об абортах; они явно говорят о том, что закон, разрешающий аборт только с согласия супруга или отказывающего в аборте незамужним женщинам, не будет соответствовать положениям Конвенции. В пункте 15 содержатся полезные предложения отн</w:t>
      </w:r>
      <w:r>
        <w:t>о</w:t>
      </w:r>
      <w:r>
        <w:t>сительно рассмотрения насилия по признаку пола в качестве проблемы охраны здоровья, в том числе относительно протоколов, касающихся оказания медицинской помощи жертвам насилия, подготовки сотрудников медицинских учреждений по генде</w:t>
      </w:r>
      <w:r>
        <w:t>р</w:t>
      </w:r>
      <w:r>
        <w:t>ной проблематике и запрета на вступление девочек в брак по соображениям охраны здоровья. Пункт 18 касается обращения с лицами, инфицированными ВИЧ/СПИДом, включая жертв торговли людьми. В этой связи правительству следует понять, что с</w:t>
      </w:r>
      <w:r>
        <w:t>о</w:t>
      </w:r>
      <w:r>
        <w:t>держание спасенных жертв торговли людьми в ц</w:t>
      </w:r>
      <w:r>
        <w:t>е</w:t>
      </w:r>
      <w:r>
        <w:t>лях сексуальной эксплуатации и лиц, страдающих от ВИЧ/СПИДа, в жилых помещениях «каранти</w:t>
      </w:r>
      <w:r>
        <w:t>н</w:t>
      </w:r>
      <w:r>
        <w:t>ного типа», как предусмотрено в национальном плане действий по борьбе с торговлей детьми и их сексуальной эксплуатацией в коммерческих целях, противоречит нормам прав человека и не является необходимым с медицинской точки зрения, п</w:t>
      </w:r>
      <w:r>
        <w:t>о</w:t>
      </w:r>
      <w:r>
        <w:t>скольку жертвы СПИДа не передают эту инфекцию в результате обычных личных ко</w:t>
      </w:r>
      <w:r>
        <w:t>н</w:t>
      </w:r>
      <w:r>
        <w:t>тактов.</w:t>
      </w:r>
    </w:p>
    <w:p w:rsidR="00000000" w:rsidRDefault="00000000">
      <w:pPr>
        <w:pStyle w:val="DualTxt"/>
      </w:pPr>
      <w:r>
        <w:t>15.</w:t>
      </w:r>
      <w:r>
        <w:tab/>
        <w:t>В пункте 16 рекомендации к государс</w:t>
      </w:r>
      <w:r>
        <w:t>т</w:t>
      </w:r>
      <w:r>
        <w:t>вам-участникам также обращена просьба обеспечить адекватную защиту и охрану здоровья уязвимых групп населения, к числу которых относятся же</w:t>
      </w:r>
      <w:r>
        <w:t>н</w:t>
      </w:r>
      <w:r>
        <w:t>щины-беженцы из Тибета и Бутана. В рамках его усилий по разработке направленной на активные действия политики по вопросам охраны здоровья женщин правительство может с пользой применить содержащуюся в пункте 31(c) рекомендацию отн</w:t>
      </w:r>
      <w:r>
        <w:t>о</w:t>
      </w:r>
      <w:r>
        <w:t>сительно уделения первоочередного внимания пр</w:t>
      </w:r>
      <w:r>
        <w:t>е</w:t>
      </w:r>
      <w:r>
        <w:t>дупреждению нежелательных беременностей путем планирования семьи, просвещения по вопросам п</w:t>
      </w:r>
      <w:r>
        <w:t>о</w:t>
      </w:r>
      <w:r>
        <w:t>ловой жизни и сокращения показателей матери</w:t>
      </w:r>
      <w:r>
        <w:t>н</w:t>
      </w:r>
      <w:r>
        <w:t>ской смертности посредством предоставления услуг по обеспечению безопасного материнства и помощи род</w:t>
      </w:r>
      <w:r>
        <w:t>и</w:t>
      </w:r>
      <w:r>
        <w:t>телям.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Абака </w:t>
      </w:r>
      <w:r>
        <w:t>поддерживает г-жу Шалев, обр</w:t>
      </w:r>
      <w:r>
        <w:t>а</w:t>
      </w:r>
      <w:r>
        <w:t>тившуюся к государству-участнику с настоятел</w:t>
      </w:r>
      <w:r>
        <w:t>ь</w:t>
      </w:r>
      <w:r>
        <w:t>ным призывом выполнить общую рекоменд</w:t>
      </w:r>
      <w:r>
        <w:t>а</w:t>
      </w:r>
      <w:r>
        <w:t>цию № 24, касающуюся женщин и охраны здоровья. С учетом того, что в Конвенции также рассматр</w:t>
      </w:r>
      <w:r>
        <w:t>и</w:t>
      </w:r>
      <w:r>
        <w:t>ваются вопросы косвенной дискриминации, соде</w:t>
      </w:r>
      <w:r>
        <w:t>р</w:t>
      </w:r>
      <w:r>
        <w:t>жащееся в пункте 111 доклада утверждение о том, что женщины Непала не сталкиваются с как</w:t>
      </w:r>
      <w:r>
        <w:t>и</w:t>
      </w:r>
      <w:r>
        <w:t>ми</w:t>
      </w:r>
      <w:r>
        <w:noBreakHyphen/>
        <w:t>либо проявлениями дискриминации в области охраны здоровья, несомненно, вводит в заблужд</w:t>
      </w:r>
      <w:r>
        <w:t>е</w:t>
      </w:r>
      <w:r>
        <w:t>ние. Более того, содержащееся в пункте 24 заявл</w:t>
      </w:r>
      <w:r>
        <w:t>е</w:t>
      </w:r>
      <w:r>
        <w:t>ние о том, что многие женщины Непала подверж</w:t>
      </w:r>
      <w:r>
        <w:t>е</w:t>
      </w:r>
      <w:r>
        <w:t>ны анемии, противоречит содержащемуся в пун</w:t>
      </w:r>
      <w:r>
        <w:t>к</w:t>
      </w:r>
      <w:r>
        <w:t>те 111 утверждению, согласно которому женщины получают адекватное питание во время беременн</w:t>
      </w:r>
      <w:r>
        <w:t>о</w:t>
      </w:r>
      <w:r>
        <w:t>сти и в период кормления. Комитет приветствует уделение приоритетного внимания вопросам без</w:t>
      </w:r>
      <w:r>
        <w:t>о</w:t>
      </w:r>
      <w:r>
        <w:t>пасного материнства в рамках новой национальной политики в области охраны здоровья, о чем гов</w:t>
      </w:r>
      <w:r>
        <w:t>о</w:t>
      </w:r>
      <w:r>
        <w:t>рится в пункте 112. Однако важно, чтобы все же</w:t>
      </w:r>
      <w:r>
        <w:t>н</w:t>
      </w:r>
      <w:r>
        <w:t>щины располагали доступом к ограниченному чи</w:t>
      </w:r>
      <w:r>
        <w:t>с</w:t>
      </w:r>
      <w:r>
        <w:t>лу существующих гинекологических служб и служб охраны здоровья матерей, в том числе в результате улучшения транспортной инфраструктуры в сел</w:t>
      </w:r>
      <w:r>
        <w:t>ь</w:t>
      </w:r>
      <w:r>
        <w:t>ских районах. Делегации следует объяснить нал</w:t>
      </w:r>
      <w:r>
        <w:t>и</w:t>
      </w:r>
      <w:r>
        <w:t>чие высокого показателя материнской смертности (пункт 21) и замечание о том, что, по сообщениям, отмечается большое число постнатальных осло</w:t>
      </w:r>
      <w:r>
        <w:t>ж</w:t>
      </w:r>
      <w:r>
        <w:t>нений. Комитет также желает знать, существует ли какая-либо конкретная этническая группа, которая не имеет доступа к гинекологическим услугам и у</w:t>
      </w:r>
      <w:r>
        <w:t>с</w:t>
      </w:r>
      <w:r>
        <w:t>лугам по охране здоровья матерей. Важно обесп</w:t>
      </w:r>
      <w:r>
        <w:t>е</w:t>
      </w:r>
      <w:r>
        <w:t>чить надлежащую охрану здоровья женщин на пр</w:t>
      </w:r>
      <w:r>
        <w:t>о</w:t>
      </w:r>
      <w:r>
        <w:t>изводстве и соответствующее состояние окружа</w:t>
      </w:r>
      <w:r>
        <w:t>ю</w:t>
      </w:r>
      <w:r>
        <w:t>щей их среды, особенно с учетом большого числа женщин, занятых в текстильной промышле</w:t>
      </w:r>
      <w:r>
        <w:t>н</w:t>
      </w:r>
      <w:r>
        <w:t>ности.</w:t>
      </w:r>
    </w:p>
    <w:p w:rsidR="00000000" w:rsidRDefault="00000000">
      <w:pPr>
        <w:pStyle w:val="DualTxt"/>
      </w:pPr>
      <w:r>
        <w:t>17.</w:t>
      </w:r>
      <w:r>
        <w:tab/>
        <w:t>В докладе не представлена информация по р</w:t>
      </w:r>
      <w:r>
        <w:t>я</w:t>
      </w:r>
      <w:r>
        <w:t>ду вопросов здравоохранения, таких, как воздейс</w:t>
      </w:r>
      <w:r>
        <w:t>т</w:t>
      </w:r>
      <w:r>
        <w:t>вие нищеты на состояние умственного здоровья женщин, наркомания и злоупотребление различн</w:t>
      </w:r>
      <w:r>
        <w:t>ы</w:t>
      </w:r>
      <w:r>
        <w:t>ми веществами среди женщин, включая потребл</w:t>
      </w:r>
      <w:r>
        <w:t>е</w:t>
      </w:r>
      <w:r>
        <w:t>ние табака. Государству-участнику следует также указать на то, проводятся ли в законах об аборте различия между абортами и выкидыш</w:t>
      </w:r>
      <w:r>
        <w:t>а</w:t>
      </w:r>
      <w:r>
        <w:t>ми.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Гунесекере </w:t>
      </w:r>
      <w:r>
        <w:t>подчеркивает, что нево</w:t>
      </w:r>
      <w:r>
        <w:t>з</w:t>
      </w:r>
      <w:r>
        <w:t>можно обеспечить безопасное материнство в случае заключения браков между детьми; дети не должны рожать по медицинским соображениям. Нынешние законы об абортах, которые, несомненно, являются наследием колониального прошлого, создают такое положение, при котором даже жертвы изнасилов</w:t>
      </w:r>
      <w:r>
        <w:t>а</w:t>
      </w:r>
      <w:r>
        <w:t>ний вынуждены не прерывать беременность. Гос</w:t>
      </w:r>
      <w:r>
        <w:t>у</w:t>
      </w:r>
      <w:r>
        <w:t>дарству-участнику следует серьезно рассмотреть вопрос о внесении поправок в свое законодательс</w:t>
      </w:r>
      <w:r>
        <w:t>т</w:t>
      </w:r>
      <w:r>
        <w:t>во, особенно с учетом того факта, что соответс</w:t>
      </w:r>
      <w:r>
        <w:t>т</w:t>
      </w:r>
      <w:r>
        <w:t>вующий закон в Соединенном Королевстве был п</w:t>
      </w:r>
      <w:r>
        <w:t>е</w:t>
      </w:r>
      <w:r>
        <w:t>ресмотрен, с тем чтобы включить концепцию пр</w:t>
      </w:r>
      <w:r>
        <w:t>е</w:t>
      </w:r>
      <w:r>
        <w:t>рывания беременности по медицинским соображ</w:t>
      </w:r>
      <w:r>
        <w:t>е</w:t>
      </w:r>
      <w:r>
        <w:t>ниям. Комитет был бы признателен за получение информации о том, как законы об абортах влияют на убийства новорожденных и оставление детей, а также подробные данные о любых государственных учреждениях, доступных для жертв изнасилований, которые не желают ра</w:t>
      </w:r>
      <w:r>
        <w:t>с</w:t>
      </w:r>
      <w:r>
        <w:t>тить своих детей.</w:t>
      </w:r>
    </w:p>
    <w:p w:rsidR="00000000" w:rsidRDefault="00000000">
      <w:pPr>
        <w:pStyle w:val="DualTxt"/>
        <w:rPr>
          <w:i/>
        </w:rPr>
      </w:pPr>
      <w:r>
        <w:rPr>
          <w:i/>
        </w:rPr>
        <w:t>Статья 14</w:t>
      </w:r>
    </w:p>
    <w:p w:rsidR="00000000" w:rsidRDefault="00000000">
      <w:pPr>
        <w:pStyle w:val="DualTxt"/>
        <w:rPr>
          <w:u w:val="single"/>
        </w:rPr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Фэн </w:t>
      </w:r>
      <w:r>
        <w:t>Цуй отмечает усилия правительства по улучшению положения женщин в Непале и гов</w:t>
      </w:r>
      <w:r>
        <w:t>о</w:t>
      </w:r>
      <w:r>
        <w:t>рит, что Комитет будет приветствовать подробные данные о любой общей политике, содержащей ко</w:t>
      </w:r>
      <w:r>
        <w:t>н</w:t>
      </w:r>
      <w:r>
        <w:t>кретные цели в отношении улучшения показателей грамотности сельских женщин, сокращения показ</w:t>
      </w:r>
      <w:r>
        <w:t>а</w:t>
      </w:r>
      <w:r>
        <w:t>телей материнской смертности, повышения качес</w:t>
      </w:r>
      <w:r>
        <w:t>т</w:t>
      </w:r>
      <w:r>
        <w:t>ва водных ресурсов и т.д. Делегации следует объя</w:t>
      </w:r>
      <w:r>
        <w:t>с</w:t>
      </w:r>
      <w:r>
        <w:t>нить, каким образом ассигнования правительства для групп сельского населения (пункт 127) идут на пользу женщинам, и представить дополнительную информацию о проекте производственного кред</w:t>
      </w:r>
      <w:r>
        <w:t>и</w:t>
      </w:r>
      <w:r>
        <w:t>тования сельских женщин (пункт 125), в том числе данные о любых планах распространения этого проекта. Кроме того, было бы полезно получить информацию о мерах по борьбе с любыми видами традиционной практики, нарушающими права ч</w:t>
      </w:r>
      <w:r>
        <w:t>е</w:t>
      </w:r>
      <w:r>
        <w:t>ловека и оскорбляющими достои</w:t>
      </w:r>
      <w:r>
        <w:t>н</w:t>
      </w:r>
      <w:r>
        <w:t>ство женщин.</w:t>
      </w:r>
      <w:r>
        <w:rPr>
          <w:u w:val="single"/>
        </w:rPr>
        <w:t xml:space="preserve"> 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</w:t>
      </w:r>
      <w:r>
        <w:rPr>
          <w:b/>
        </w:rPr>
        <w:noBreakHyphen/>
        <w:t>жа Регаццоли</w:t>
      </w:r>
      <w:r>
        <w:t xml:space="preserve"> просит представить дополн</w:t>
      </w:r>
      <w:r>
        <w:t>и</w:t>
      </w:r>
      <w:r>
        <w:t>тельную информацию о программах для сельских женщин, упоминаемых в пунктах 123–127, включая сравнительный анализ их финансирования. Влад</w:t>
      </w:r>
      <w:r>
        <w:t>е</w:t>
      </w:r>
      <w:r>
        <w:t>ют ли, как правило, такие женщины обрабатыва</w:t>
      </w:r>
      <w:r>
        <w:t>е</w:t>
      </w:r>
      <w:r>
        <w:t>мой ими землей?</w:t>
      </w:r>
    </w:p>
    <w:p w:rsidR="00000000" w:rsidRDefault="00000000">
      <w:pPr>
        <w:pStyle w:val="DualTxt"/>
        <w:rPr>
          <w:i/>
        </w:rPr>
      </w:pPr>
      <w:r>
        <w:rPr>
          <w:i/>
        </w:rPr>
        <w:t>Статья 16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 Ким</w:t>
      </w:r>
      <w:r>
        <w:t xml:space="preserve"> Юн-чун настоятельно призывает государство-участник отменить все дискриминац</w:t>
      </w:r>
      <w:r>
        <w:t>и</w:t>
      </w:r>
      <w:r>
        <w:t>онные законы о браке и семье. Касаясь пункта 143, она говорит, что чувство удовлетворения вызывает тот факт, что женщины-адвокаты находятся на п</w:t>
      </w:r>
      <w:r>
        <w:t>е</w:t>
      </w:r>
      <w:r>
        <w:t>реднем рубеже деятельности по борьбе с дискрим</w:t>
      </w:r>
      <w:r>
        <w:t>и</w:t>
      </w:r>
      <w:r>
        <w:t>национными законами, однако озабоченность выз</w:t>
      </w:r>
      <w:r>
        <w:t>ы</w:t>
      </w:r>
      <w:r>
        <w:t>вает то, что верховный суд, несмотря на указание правительству пересмотреть дискриминационное законодательство, также поручил ему «сохранить глубоко укоренившиеся социальные системы». С учетом важного значения подготовки сотрудников правоохранительных органов, учителей и медици</w:t>
      </w:r>
      <w:r>
        <w:t>н</w:t>
      </w:r>
      <w:r>
        <w:t>ских работников по вопросам прав человека гос</w:t>
      </w:r>
      <w:r>
        <w:t>у</w:t>
      </w:r>
      <w:r>
        <w:t>дарству-участнику следует представить подробную информацию о любых инициативах в этой св</w:t>
      </w:r>
      <w:r>
        <w:t>я</w:t>
      </w:r>
      <w:r>
        <w:t>зи.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жа Гунесекере</w:t>
      </w:r>
      <w:r>
        <w:t xml:space="preserve"> далее выражает озабоче</w:t>
      </w:r>
      <w:r>
        <w:t>н</w:t>
      </w:r>
      <w:r>
        <w:t>ность в связи с тем, что неспособность правител</w:t>
      </w:r>
      <w:r>
        <w:t>ь</w:t>
      </w:r>
      <w:r>
        <w:t>ства выполнить постановление верховного суда об упразднении дискриминационных законов подр</w:t>
      </w:r>
      <w:r>
        <w:t>ы</w:t>
      </w:r>
      <w:r>
        <w:t>вает как судебную, так и законодательную систему. Кроме того, как представляется, закон Непала о с</w:t>
      </w:r>
      <w:r>
        <w:t>е</w:t>
      </w:r>
      <w:r>
        <w:t>мье содержит ряд противоречивых положений, к</w:t>
      </w:r>
      <w:r>
        <w:t>о</w:t>
      </w:r>
      <w:r>
        <w:t>торые необходимо пересмотреть. Гос</w:t>
      </w:r>
      <w:r>
        <w:t>у</w:t>
      </w:r>
      <w:r>
        <w:t>дарство-участник вряд ли может обеспечить право женщин на имущество в том случае, если законы о наслед</w:t>
      </w:r>
      <w:r>
        <w:t>о</w:t>
      </w:r>
      <w:r>
        <w:t>вании носят дискриминационный характер. В большинстве стран регистрация браков осущест</w:t>
      </w:r>
      <w:r>
        <w:t>в</w:t>
      </w:r>
      <w:r>
        <w:t>ляется в обязательном порядке, с тем чтобы обесп</w:t>
      </w:r>
      <w:r>
        <w:t>е</w:t>
      </w:r>
      <w:r>
        <w:t>чить выполнение закона о минимальном возрасте вступления в брак. Наконец, государству-участнику следует указать, была ли на деле ликвидирована традиционная практика принуждения детей к п</w:t>
      </w:r>
      <w:r>
        <w:t>о</w:t>
      </w:r>
      <w:r>
        <w:t>клонению божествам.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 Риэль</w:t>
      </w:r>
      <w:r>
        <w:t xml:space="preserve"> говорит, что, хотя могут сущес</w:t>
      </w:r>
      <w:r>
        <w:t>т</w:t>
      </w:r>
      <w:r>
        <w:t>вовать различные мнения по вопросу о приемлемых причинах для развода, нет сомнений в том, что п</w:t>
      </w:r>
      <w:r>
        <w:t>о</w:t>
      </w:r>
      <w:r>
        <w:t>ложения должны быть одинаковыми для мужчин и женщин. Из пункта 136 неясно, может ли женщина подавать на развод, если причиненные супругом т</w:t>
      </w:r>
      <w:r>
        <w:t>е</w:t>
      </w:r>
      <w:r>
        <w:t>лесные повреждения не считаются достаточно «серьезными». В любом случае следует пересмо</w:t>
      </w:r>
      <w:r>
        <w:t>т</w:t>
      </w:r>
      <w:r>
        <w:t xml:space="preserve">реть национальное законодательство о насилии в семье. 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 Хан</w:t>
      </w:r>
      <w:r>
        <w:t>, касаясь вызывающего тревогу ра</w:t>
      </w:r>
      <w:r>
        <w:t>с</w:t>
      </w:r>
      <w:r>
        <w:t>пространения полигамии в Непале, говорит, что оно создает серьезную угрозу безопасности женщин в рамках брака. Согласно некоторым источникам, до 64 процентов браков носят полигамный характер, несмотря на то, что эта практика запрещена зак</w:t>
      </w:r>
      <w:r>
        <w:t>о</w:t>
      </w:r>
      <w:r>
        <w:t>ном. Государству-участнику следует сообщить об усилиях по обеспечению недействительного хара</w:t>
      </w:r>
      <w:r>
        <w:t>к</w:t>
      </w:r>
      <w:r>
        <w:t>тера вторых браков, включая данные о любых и</w:t>
      </w:r>
      <w:r>
        <w:t>с</w:t>
      </w:r>
      <w:r>
        <w:t>следованиях, проведенных в этой области. Также следует представить информацию о том, выплач</w:t>
      </w:r>
      <w:r>
        <w:t>и</w:t>
      </w:r>
      <w:r>
        <w:t>ваются ли разведенным женщинам алименты и при каких условиях. Комитет также желает знать, кому из супругов обычно поручается попечительство над детьми.</w:t>
      </w:r>
    </w:p>
    <w:p w:rsidR="00000000" w:rsidRDefault="00000000">
      <w:pPr>
        <w:pStyle w:val="DualTxt"/>
      </w:pPr>
      <w:r>
        <w:t>25.</w:t>
      </w:r>
      <w:r>
        <w:tab/>
        <w:t>Ввиду того, что законодательство, запреща</w:t>
      </w:r>
      <w:r>
        <w:t>ю</w:t>
      </w:r>
      <w:r>
        <w:t>щее приданое, оказалось полезным инструментом для женщин в других странах Южной Азии, гос</w:t>
      </w:r>
      <w:r>
        <w:t>у</w:t>
      </w:r>
      <w:r>
        <w:t>дарству-участнику следует указать, планирует ли оно принять подобное законодательство. Комитет также желает знать, существует ли какой</w:t>
      </w:r>
      <w:r>
        <w:noBreakHyphen/>
        <w:t>либо вс</w:t>
      </w:r>
      <w:r>
        <w:t>е</w:t>
      </w:r>
      <w:r>
        <w:t xml:space="preserve">общий закон о брачных и семейных отношениях в Непале, или же различные касты регулируют эти вопросы на основе своих собственных традиций и религиозных убеждений.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u w:val="single"/>
        </w:rPr>
      </w:pPr>
      <w:r>
        <w:t>Заседание закрывается в 16 ч. 20 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NO&gt;&gt;N0224663R&lt;&lt;ODS JOB NO&gt;&gt;</w:t>
      </w:r>
    </w:p>
    <w:p w:rsidR="00000000" w:rsidRDefault="00000000">
      <w:pPr>
        <w:pStyle w:val="CommentText"/>
      </w:pPr>
      <w:r>
        <w:t>&lt;&lt;ODS DOC SYMBOL1&gt;&gt;CEDAW/C/SR.435&lt;&lt;ODS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02-24663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*0224663*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CEDAW/C/SR.435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/C/SR.435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7</w:t>
          </w:r>
          <w:r>
            <w:rPr>
              <w:lang w:val="en-US"/>
            </w:rPr>
            <w:t xml:space="preserve"> </w:t>
          </w:r>
          <w:r>
            <w:t>March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3/03/2006 13:33:59"/>
    <w:docVar w:name="DocCategory" w:val="SROthers"/>
    <w:docVar w:name="DocType" w:val="Final"/>
    <w:docVar w:name="JobNo" w:val="0224663R"/>
    <w:docVar w:name="OandT" w:val=" "/>
    <w:docVar w:name="Symbol1" w:val="CEDAW/C/SR.435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2666</Words>
  <Characters>15200</Characters>
  <Application>Microsoft Office Word</Application>
  <DocSecurity>4</DocSecurity>
  <Lines>126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18666</CharactersWithSpaces>
  <SharedDoc>false</SharedDoc>
  <HLinks>
    <vt:vector size="6" baseType="variant">
      <vt:variant>
        <vt:i4>4522087</vt:i4>
      </vt:variant>
      <vt:variant>
        <vt:i4>38126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Nina.Mouslikova</dc:creator>
  <cp:keywords/>
  <dc:description/>
  <cp:lastModifiedBy>Irina.Zinovieva</cp:lastModifiedBy>
  <cp:revision>11</cp:revision>
  <cp:lastPrinted>2006-03-06T10:00:00Z</cp:lastPrinted>
  <dcterms:created xsi:type="dcterms:W3CDTF">2006-03-06T09:51:00Z</dcterms:created>
  <dcterms:modified xsi:type="dcterms:W3CDTF">2006-03-06T10:42:00Z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0224663</vt:lpwstr>
  </property>
  <property fmtid="{D5CDD505-2E9C-101B-9397-08002B2CF9AE}" pid="3" name="Symbol1">
    <vt:lpwstr>CEDAW/C/SR.435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Blaskovich</vt:lpwstr>
  </property>
</Properties>
</file>