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28"/>
        <w:gridCol w:w="4352"/>
        <w:gridCol w:w="3191"/>
      </w:tblGrid>
      <w:tr w:rsidR="00611228" w:rsidTr="006E4505">
        <w:tc>
          <w:tcPr>
            <w:tcW w:w="2028" w:type="dxa"/>
            <w:tcBorders>
              <w:bottom w:val="single" w:sz="2" w:space="0" w:color="auto"/>
            </w:tcBorders>
          </w:tcPr>
          <w:p w:rsidR="00611228" w:rsidRPr="00B80537" w:rsidRDefault="00611228" w:rsidP="006E4505">
            <w:pPr>
              <w:tabs>
                <w:tab w:val="left" w:pos="567"/>
                <w:tab w:val="left" w:pos="1134"/>
              </w:tabs>
              <w:jc w:val="both"/>
              <w:rPr>
                <w:rFonts w:ascii="Arial Black" w:hAnsi="Arial Black"/>
                <w:sz w:val="36"/>
                <w:szCs w:val="36"/>
              </w:rPr>
            </w:pPr>
            <w:r w:rsidRPr="00B80537">
              <w:rPr>
                <w:rFonts w:ascii="Arial Black" w:hAnsi="Arial Black"/>
                <w:sz w:val="36"/>
                <w:szCs w:val="36"/>
              </w:rPr>
              <w:t xml:space="preserve">United </w:t>
            </w:r>
          </w:p>
          <w:p w:rsidR="00611228" w:rsidRDefault="00611228" w:rsidP="006E4505">
            <w:pPr>
              <w:jc w:val="both"/>
            </w:pPr>
            <w:r w:rsidRPr="00B80537">
              <w:rPr>
                <w:rFonts w:ascii="Arial Black" w:hAnsi="Arial Black"/>
                <w:sz w:val="36"/>
                <w:szCs w:val="36"/>
              </w:rPr>
              <w:t>Nations</w:t>
            </w:r>
          </w:p>
        </w:tc>
        <w:tc>
          <w:tcPr>
            <w:tcW w:w="4352" w:type="dxa"/>
            <w:tcBorders>
              <w:bottom w:val="single" w:sz="2" w:space="0" w:color="auto"/>
            </w:tcBorders>
          </w:tcPr>
          <w:p w:rsidR="00611228" w:rsidRDefault="00611228" w:rsidP="006E4505">
            <w:pPr>
              <w:jc w:val="both"/>
            </w:pPr>
          </w:p>
        </w:tc>
        <w:tc>
          <w:tcPr>
            <w:tcW w:w="3191" w:type="dxa"/>
            <w:tcBorders>
              <w:bottom w:val="single" w:sz="2" w:space="0" w:color="auto"/>
            </w:tcBorders>
          </w:tcPr>
          <w:p w:rsidR="00611228" w:rsidRDefault="00611228" w:rsidP="006E4505">
            <w:pPr>
              <w:jc w:val="right"/>
            </w:pPr>
            <w:r w:rsidRPr="00B80537">
              <w:rPr>
                <w:rFonts w:ascii="Arial Black" w:hAnsi="Arial Black"/>
                <w:sz w:val="72"/>
                <w:szCs w:val="72"/>
              </w:rPr>
              <w:t>CCPR</w:t>
            </w:r>
          </w:p>
        </w:tc>
      </w:tr>
      <w:tr w:rsidR="00611228" w:rsidTr="006E4505">
        <w:tc>
          <w:tcPr>
            <w:tcW w:w="2028" w:type="dxa"/>
            <w:tcBorders>
              <w:top w:val="single" w:sz="2" w:space="0" w:color="auto"/>
              <w:bottom w:val="single" w:sz="24" w:space="0" w:color="auto"/>
            </w:tcBorders>
          </w:tcPr>
          <w:p w:rsidR="00611228" w:rsidRDefault="00611228" w:rsidP="006E4505">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7.15pt;margin-top:20.5pt;width:68.05pt;height:63.9pt;z-index:1;visibility:visible;mso-wrap-edited:f;mso-position-horizontal-relative:page;mso-position-vertical-relative:page">
                  <v:imagedata r:id="rId7" o:title=""/>
                  <w10:wrap anchorx="page" anchory="page"/>
                  <w10:anchorlock/>
                </v:shape>
                <o:OLEObject Type="Embed" ProgID="Word.Picture.8" ShapeID="_x0000_s1028" DrawAspect="Content" ObjectID="_1394233012" r:id="rId8"/>
              </w:pict>
            </w:r>
          </w:p>
          <w:p w:rsidR="00611228" w:rsidRDefault="00611228" w:rsidP="006E4505">
            <w:pPr>
              <w:jc w:val="both"/>
            </w:pPr>
          </w:p>
        </w:tc>
        <w:tc>
          <w:tcPr>
            <w:tcW w:w="4352" w:type="dxa"/>
            <w:tcBorders>
              <w:top w:val="single" w:sz="2" w:space="0" w:color="auto"/>
              <w:bottom w:val="single" w:sz="24" w:space="0" w:color="auto"/>
            </w:tcBorders>
          </w:tcPr>
          <w:p w:rsidR="00611228" w:rsidRDefault="00611228" w:rsidP="006E4505">
            <w:pPr>
              <w:tabs>
                <w:tab w:val="left" w:pos="567"/>
                <w:tab w:val="left" w:pos="1134"/>
              </w:tabs>
              <w:jc w:val="both"/>
              <w:rPr>
                <w:rFonts w:ascii="Arial" w:hAnsi="Arial" w:cs="Arial"/>
                <w:b/>
                <w:sz w:val="32"/>
                <w:szCs w:val="32"/>
              </w:rPr>
            </w:pPr>
          </w:p>
          <w:p w:rsidR="00611228" w:rsidRPr="00B80537" w:rsidRDefault="00611228" w:rsidP="006E4505">
            <w:pPr>
              <w:tabs>
                <w:tab w:val="left" w:pos="567"/>
                <w:tab w:val="left" w:pos="1134"/>
              </w:tabs>
              <w:jc w:val="both"/>
              <w:rPr>
                <w:rFonts w:ascii="Arial" w:hAnsi="Arial" w:cs="Arial"/>
                <w:b/>
                <w:sz w:val="32"/>
                <w:szCs w:val="32"/>
              </w:rPr>
            </w:pPr>
            <w:r w:rsidRPr="00B80537">
              <w:rPr>
                <w:rFonts w:ascii="Arial" w:hAnsi="Arial" w:cs="Arial"/>
                <w:b/>
                <w:sz w:val="32"/>
                <w:szCs w:val="32"/>
              </w:rPr>
              <w:t>International covenant</w:t>
            </w:r>
          </w:p>
          <w:p w:rsidR="00611228" w:rsidRPr="00B80537" w:rsidRDefault="00611228" w:rsidP="006E4505">
            <w:pPr>
              <w:tabs>
                <w:tab w:val="left" w:pos="567"/>
                <w:tab w:val="left" w:pos="1134"/>
              </w:tabs>
              <w:jc w:val="both"/>
              <w:rPr>
                <w:rFonts w:ascii="Arial" w:hAnsi="Arial" w:cs="Arial"/>
                <w:b/>
                <w:sz w:val="32"/>
                <w:szCs w:val="32"/>
              </w:rPr>
            </w:pPr>
            <w:r w:rsidRPr="00B80537">
              <w:rPr>
                <w:rFonts w:ascii="Arial" w:hAnsi="Arial" w:cs="Arial"/>
                <w:b/>
                <w:sz w:val="32"/>
                <w:szCs w:val="32"/>
              </w:rPr>
              <w:t xml:space="preserve">on civil and </w:t>
            </w:r>
          </w:p>
          <w:p w:rsidR="00611228" w:rsidRDefault="00611228" w:rsidP="006E4505">
            <w:pPr>
              <w:jc w:val="both"/>
            </w:pPr>
            <w:r w:rsidRPr="00B80537">
              <w:rPr>
                <w:rFonts w:ascii="Arial" w:hAnsi="Arial" w:cs="Arial"/>
                <w:b/>
                <w:sz w:val="32"/>
                <w:szCs w:val="32"/>
              </w:rPr>
              <w:t>political rights</w:t>
            </w:r>
          </w:p>
        </w:tc>
        <w:tc>
          <w:tcPr>
            <w:tcW w:w="3191" w:type="dxa"/>
            <w:tcBorders>
              <w:top w:val="single" w:sz="2" w:space="0" w:color="auto"/>
              <w:bottom w:val="single" w:sz="24" w:space="0" w:color="auto"/>
            </w:tcBorders>
          </w:tcPr>
          <w:p w:rsidR="00611228" w:rsidRDefault="00611228" w:rsidP="006E4505">
            <w:pPr>
              <w:jc w:val="both"/>
            </w:pPr>
          </w:p>
          <w:p w:rsidR="00611228" w:rsidRDefault="00611228" w:rsidP="00611228">
            <w:pPr>
              <w:tabs>
                <w:tab w:val="left" w:pos="567"/>
                <w:tab w:val="left" w:pos="1134"/>
              </w:tabs>
            </w:pPr>
            <w:r w:rsidRPr="005529DD">
              <w:t xml:space="preserve">Distr. </w:t>
            </w:r>
          </w:p>
          <w:p w:rsidR="00611228" w:rsidRDefault="00611228" w:rsidP="00611228">
            <w:pPr>
              <w:tabs>
                <w:tab w:val="left" w:pos="567"/>
                <w:tab w:val="left" w:pos="1134"/>
              </w:tabs>
            </w:pPr>
            <w:fldSimple w:instr=" FILLIN &quot;Distr.&quot; \* MERGEFORMAT ">
              <w:r w:rsidRPr="005529DD">
                <w:t>RESTRICTED</w:t>
              </w:r>
            </w:fldSimple>
            <w:r w:rsidRPr="005529DD">
              <w:rPr>
                <w:rStyle w:val="FootnoteReference"/>
              </w:rPr>
              <w:footnoteReference w:customMarkFollows="1" w:id="2"/>
              <w:t>*</w:t>
            </w:r>
          </w:p>
          <w:p w:rsidR="00611228" w:rsidRPr="005529DD" w:rsidRDefault="00611228" w:rsidP="00611228">
            <w:pPr>
              <w:tabs>
                <w:tab w:val="left" w:pos="567"/>
                <w:tab w:val="left" w:pos="1134"/>
              </w:tabs>
            </w:pPr>
          </w:p>
          <w:p w:rsidR="00611228" w:rsidRPr="005529DD" w:rsidRDefault="00611228" w:rsidP="00611228">
            <w:pPr>
              <w:tabs>
                <w:tab w:val="left" w:pos="567"/>
                <w:tab w:val="left" w:pos="1134"/>
              </w:tabs>
            </w:pPr>
            <w:r w:rsidRPr="005529DD">
              <w:t>CCPR/C/96/D/1574/2007</w:t>
            </w:r>
          </w:p>
          <w:p w:rsidR="00611228" w:rsidRDefault="007C17E4" w:rsidP="00B81F44">
            <w:pPr>
              <w:pStyle w:val="FootnoteText"/>
              <w:tabs>
                <w:tab w:val="left" w:pos="567"/>
                <w:tab w:val="left" w:pos="1134"/>
              </w:tabs>
              <w:rPr>
                <w:sz w:val="24"/>
                <w:szCs w:val="24"/>
              </w:rPr>
            </w:pPr>
            <w:r>
              <w:rPr>
                <w:sz w:val="24"/>
                <w:szCs w:val="24"/>
              </w:rPr>
              <w:t>7 September</w:t>
            </w:r>
            <w:r w:rsidR="00611228" w:rsidRPr="005529DD">
              <w:rPr>
                <w:sz w:val="24"/>
                <w:szCs w:val="24"/>
              </w:rPr>
              <w:t xml:space="preserve"> 2009</w:t>
            </w:r>
          </w:p>
          <w:p w:rsidR="00611228" w:rsidRPr="005529DD" w:rsidRDefault="00611228" w:rsidP="00611228">
            <w:pPr>
              <w:pStyle w:val="FootnoteText"/>
              <w:tabs>
                <w:tab w:val="left" w:pos="567"/>
                <w:tab w:val="left" w:pos="1134"/>
              </w:tabs>
              <w:rPr>
                <w:sz w:val="24"/>
                <w:szCs w:val="24"/>
              </w:rPr>
            </w:pPr>
          </w:p>
          <w:p w:rsidR="00611228" w:rsidRPr="005529DD" w:rsidRDefault="00611228" w:rsidP="00611228">
            <w:pPr>
              <w:tabs>
                <w:tab w:val="left" w:pos="567"/>
                <w:tab w:val="left" w:pos="1134"/>
              </w:tabs>
            </w:pPr>
            <w:r w:rsidRPr="005529DD">
              <w:t xml:space="preserve">Original: </w:t>
            </w:r>
            <w:fldSimple w:instr=" FILLIN &quot;Orig. Lang.&quot; \* MERGEFORMAT ">
              <w:r w:rsidRPr="005529DD">
                <w:t>ENGLISH</w:t>
              </w:r>
            </w:fldSimple>
          </w:p>
          <w:p w:rsidR="00611228" w:rsidRDefault="00611228" w:rsidP="00611228">
            <w:pPr>
              <w:jc w:val="both"/>
            </w:pPr>
          </w:p>
        </w:tc>
      </w:tr>
    </w:tbl>
    <w:p w:rsidR="00C855E4" w:rsidRPr="005529DD" w:rsidRDefault="00C855E4" w:rsidP="00611228">
      <w:pPr>
        <w:tabs>
          <w:tab w:val="left" w:pos="567"/>
          <w:tab w:val="left" w:pos="1134"/>
        </w:tabs>
        <w:rPr>
          <w:bCs/>
        </w:rPr>
      </w:pPr>
      <w:r w:rsidRPr="005529DD">
        <w:rPr>
          <w:bCs/>
        </w:rPr>
        <w:t>HUMAN RIGHTS COMMITTEE</w:t>
      </w:r>
    </w:p>
    <w:p w:rsidR="00C855E4" w:rsidRPr="005529DD" w:rsidRDefault="00C855E4" w:rsidP="00E009FD">
      <w:pPr>
        <w:tabs>
          <w:tab w:val="left" w:pos="567"/>
          <w:tab w:val="left" w:pos="1134"/>
        </w:tabs>
        <w:jc w:val="both"/>
        <w:rPr>
          <w:bCs/>
        </w:rPr>
      </w:pPr>
      <w:r w:rsidRPr="005529DD">
        <w:rPr>
          <w:bCs/>
        </w:rPr>
        <w:t>Ninety-</w:t>
      </w:r>
      <w:r w:rsidR="00105E69" w:rsidRPr="005529DD">
        <w:rPr>
          <w:bCs/>
        </w:rPr>
        <w:t>six</w:t>
      </w:r>
      <w:r w:rsidRPr="005529DD">
        <w:rPr>
          <w:bCs/>
        </w:rPr>
        <w:t>th session</w:t>
      </w:r>
    </w:p>
    <w:p w:rsidR="00C855E4" w:rsidRPr="005529DD" w:rsidRDefault="00105E69" w:rsidP="00E009FD">
      <w:pPr>
        <w:tabs>
          <w:tab w:val="left" w:pos="567"/>
          <w:tab w:val="left" w:pos="1134"/>
        </w:tabs>
        <w:spacing w:after="840"/>
        <w:jc w:val="both"/>
        <w:rPr>
          <w:bCs/>
        </w:rPr>
      </w:pPr>
      <w:r w:rsidRPr="005529DD">
        <w:rPr>
          <w:bCs/>
        </w:rPr>
        <w:t>13 to 31 July</w:t>
      </w:r>
      <w:r w:rsidR="00EA7C96" w:rsidRPr="005529DD">
        <w:rPr>
          <w:bCs/>
        </w:rPr>
        <w:t xml:space="preserve"> 2009</w:t>
      </w:r>
    </w:p>
    <w:p w:rsidR="00C855E4" w:rsidRPr="005529DD" w:rsidRDefault="00611228" w:rsidP="00611228">
      <w:pPr>
        <w:pStyle w:val="Heading1"/>
        <w:tabs>
          <w:tab w:val="left" w:pos="567"/>
          <w:tab w:val="left" w:pos="1134"/>
        </w:tabs>
        <w:spacing w:before="0" w:after="840"/>
        <w:jc w:val="center"/>
        <w:rPr>
          <w:rFonts w:ascii="Times New Roman" w:hAnsi="Times New Roman" w:cs="Times New Roman"/>
          <w:iCs/>
          <w:sz w:val="24"/>
          <w:szCs w:val="24"/>
        </w:rPr>
      </w:pPr>
      <w:r>
        <w:rPr>
          <w:rFonts w:ascii="Times New Roman" w:hAnsi="Times New Roman" w:cs="Times New Roman"/>
          <w:iCs/>
          <w:sz w:val="24"/>
          <w:szCs w:val="24"/>
        </w:rPr>
        <w:t>VIEWS</w:t>
      </w:r>
    </w:p>
    <w:p w:rsidR="00206BFE" w:rsidRPr="005529DD" w:rsidRDefault="00C855E4" w:rsidP="00E009FD">
      <w:pPr>
        <w:spacing w:after="840"/>
        <w:jc w:val="center"/>
        <w:rPr>
          <w:b/>
        </w:rPr>
      </w:pPr>
      <w:r w:rsidRPr="005529DD">
        <w:rPr>
          <w:b/>
          <w:bCs/>
        </w:rPr>
        <w:t xml:space="preserve">Communication No. </w:t>
      </w:r>
      <w:r w:rsidR="004D2BA9" w:rsidRPr="005529DD">
        <w:rPr>
          <w:b/>
        </w:rPr>
        <w:t>15</w:t>
      </w:r>
      <w:r w:rsidR="00105E69" w:rsidRPr="005529DD">
        <w:rPr>
          <w:b/>
        </w:rPr>
        <w:t>74/2007</w:t>
      </w:r>
    </w:p>
    <w:p w:rsidR="00E7059A" w:rsidRPr="005529DD" w:rsidRDefault="00E7059A" w:rsidP="00ED192B">
      <w:pPr>
        <w:tabs>
          <w:tab w:val="left" w:pos="567"/>
          <w:tab w:val="left" w:pos="1134"/>
        </w:tabs>
        <w:spacing w:after="240"/>
        <w:ind w:left="4536" w:hanging="3402"/>
        <w:jc w:val="both"/>
      </w:pPr>
      <w:r w:rsidRPr="005529DD">
        <w:rPr>
          <w:u w:val="single"/>
        </w:rPr>
        <w:t>Submitted by</w:t>
      </w:r>
      <w:r w:rsidRPr="005529DD">
        <w:t>:</w:t>
      </w:r>
      <w:r w:rsidRPr="005529DD">
        <w:tab/>
        <w:t>M</w:t>
      </w:r>
      <w:r w:rsidR="00105E69" w:rsidRPr="005529DD">
        <w:t>r</w:t>
      </w:r>
      <w:r w:rsidR="00F87D38" w:rsidRPr="005529DD">
        <w:t>.</w:t>
      </w:r>
      <w:r w:rsidR="00105E69" w:rsidRPr="005529DD">
        <w:t xml:space="preserve"> Jaroslav and M</w:t>
      </w:r>
      <w:r w:rsidR="0003566A" w:rsidRPr="005529DD">
        <w:t>s</w:t>
      </w:r>
      <w:r w:rsidRPr="005529DD">
        <w:t>.</w:t>
      </w:r>
      <w:r w:rsidR="00EA7C96" w:rsidRPr="005529DD">
        <w:t xml:space="preserve"> </w:t>
      </w:r>
      <w:r w:rsidR="00105E69" w:rsidRPr="005529DD">
        <w:t>Alena SLEZ</w:t>
      </w:r>
      <w:r w:rsidR="00ED192B">
        <w:t>Á</w:t>
      </w:r>
      <w:r w:rsidR="00105E69" w:rsidRPr="005529DD">
        <w:t>K</w:t>
      </w:r>
      <w:r w:rsidR="00EA7C96" w:rsidRPr="005529DD">
        <w:t xml:space="preserve"> </w:t>
      </w:r>
      <w:r w:rsidRPr="005529DD">
        <w:rPr>
          <w:bCs/>
        </w:rPr>
        <w:t>(</w:t>
      </w:r>
      <w:r w:rsidR="00EA31AE" w:rsidRPr="005529DD">
        <w:rPr>
          <w:bCs/>
        </w:rPr>
        <w:t xml:space="preserve">not </w:t>
      </w:r>
      <w:r w:rsidRPr="005529DD">
        <w:rPr>
          <w:bCs/>
        </w:rPr>
        <w:t>represented</w:t>
      </w:r>
      <w:r w:rsidR="007C17E4">
        <w:rPr>
          <w:bCs/>
        </w:rPr>
        <w:t xml:space="preserve"> by counsel</w:t>
      </w:r>
      <w:r w:rsidRPr="005529DD">
        <w:rPr>
          <w:bCs/>
        </w:rPr>
        <w:t>)</w:t>
      </w:r>
    </w:p>
    <w:p w:rsidR="00E7059A" w:rsidRPr="005529DD" w:rsidRDefault="00E7059A" w:rsidP="00E009FD">
      <w:pPr>
        <w:tabs>
          <w:tab w:val="left" w:pos="567"/>
          <w:tab w:val="left" w:pos="1134"/>
        </w:tabs>
        <w:spacing w:after="240"/>
        <w:ind w:left="4536" w:hanging="3402"/>
        <w:jc w:val="both"/>
      </w:pPr>
      <w:r w:rsidRPr="005529DD">
        <w:rPr>
          <w:u w:val="single"/>
        </w:rPr>
        <w:t>Alleged victim</w:t>
      </w:r>
      <w:r w:rsidRPr="005529DD">
        <w:t>:</w:t>
      </w:r>
      <w:r w:rsidRPr="005529DD">
        <w:tab/>
        <w:t>The author</w:t>
      </w:r>
      <w:r w:rsidR="00105E69" w:rsidRPr="005529DD">
        <w:t>s</w:t>
      </w:r>
    </w:p>
    <w:p w:rsidR="00E7059A" w:rsidRPr="005529DD" w:rsidRDefault="00E7059A" w:rsidP="00E009FD">
      <w:pPr>
        <w:tabs>
          <w:tab w:val="left" w:pos="567"/>
          <w:tab w:val="left" w:pos="1134"/>
        </w:tabs>
        <w:spacing w:after="240"/>
        <w:ind w:left="4536" w:hanging="3402"/>
        <w:jc w:val="both"/>
      </w:pPr>
      <w:r w:rsidRPr="005529DD">
        <w:rPr>
          <w:u w:val="single"/>
        </w:rPr>
        <w:t>State party</w:t>
      </w:r>
      <w:r w:rsidRPr="005529DD">
        <w:t>:</w:t>
      </w:r>
      <w:r w:rsidRPr="005529DD">
        <w:tab/>
      </w:r>
      <w:r w:rsidR="00352344" w:rsidRPr="005529DD">
        <w:t xml:space="preserve">The </w:t>
      </w:r>
      <w:smartTag w:uri="urn:schemas-microsoft-com:office:smarttags" w:element="place">
        <w:smartTag w:uri="urn:schemas-microsoft-com:office:smarttags" w:element="PlaceName">
          <w:r w:rsidRPr="005529DD">
            <w:t>C</w:t>
          </w:r>
          <w:r w:rsidR="0003566A" w:rsidRPr="005529DD">
            <w:t>zech</w:t>
          </w:r>
        </w:smartTag>
        <w:r w:rsidR="0003566A" w:rsidRPr="005529DD">
          <w:t xml:space="preserve"> </w:t>
        </w:r>
        <w:smartTag w:uri="urn:schemas-microsoft-com:office:smarttags" w:element="PlaceType">
          <w:r w:rsidR="0003566A" w:rsidRPr="005529DD">
            <w:t>Republic</w:t>
          </w:r>
        </w:smartTag>
      </w:smartTag>
    </w:p>
    <w:p w:rsidR="00E7059A" w:rsidRPr="005529DD" w:rsidRDefault="00E7059A" w:rsidP="00E009FD">
      <w:pPr>
        <w:tabs>
          <w:tab w:val="left" w:pos="567"/>
          <w:tab w:val="left" w:pos="1134"/>
        </w:tabs>
        <w:spacing w:after="240"/>
        <w:ind w:left="4536" w:hanging="3402"/>
        <w:jc w:val="both"/>
      </w:pPr>
      <w:r w:rsidRPr="005529DD">
        <w:rPr>
          <w:u w:val="single"/>
        </w:rPr>
        <w:t>Date of communication</w:t>
      </w:r>
      <w:r w:rsidRPr="005529DD">
        <w:t>:</w:t>
      </w:r>
      <w:r w:rsidRPr="005529DD">
        <w:tab/>
      </w:r>
      <w:r w:rsidR="00105E69" w:rsidRPr="005529DD">
        <w:t>10 April</w:t>
      </w:r>
      <w:r w:rsidRPr="005529DD">
        <w:t xml:space="preserve"> 200</w:t>
      </w:r>
      <w:r w:rsidR="0003566A" w:rsidRPr="005529DD">
        <w:t>6</w:t>
      </w:r>
      <w:r w:rsidRPr="005529DD">
        <w:t xml:space="preserve"> (initial submission)</w:t>
      </w:r>
    </w:p>
    <w:p w:rsidR="00E7059A" w:rsidRPr="005529DD" w:rsidRDefault="00E7059A" w:rsidP="00E009FD">
      <w:pPr>
        <w:tabs>
          <w:tab w:val="left" w:pos="567"/>
          <w:tab w:val="left" w:pos="1134"/>
        </w:tabs>
        <w:spacing w:after="240"/>
        <w:ind w:left="4536" w:hanging="3402"/>
        <w:jc w:val="both"/>
      </w:pPr>
      <w:r w:rsidRPr="005529DD">
        <w:rPr>
          <w:u w:val="single"/>
        </w:rPr>
        <w:t>Document references</w:t>
      </w:r>
      <w:r w:rsidRPr="005529DD">
        <w:t>:</w:t>
      </w:r>
      <w:r w:rsidRPr="005529DD">
        <w:tab/>
        <w:t xml:space="preserve">Special Rapporteur’s rule 97 decision, transmitted to the State party on </w:t>
      </w:r>
      <w:r w:rsidR="00105E69" w:rsidRPr="005529DD">
        <w:t xml:space="preserve">18 July 2007 </w:t>
      </w:r>
      <w:r w:rsidRPr="005529DD">
        <w:t>(not issued in document form)</w:t>
      </w:r>
    </w:p>
    <w:p w:rsidR="00E7059A" w:rsidRPr="005529DD" w:rsidRDefault="00E7059A" w:rsidP="00F6177B">
      <w:pPr>
        <w:tabs>
          <w:tab w:val="left" w:pos="567"/>
          <w:tab w:val="left" w:pos="1134"/>
        </w:tabs>
        <w:autoSpaceDE w:val="0"/>
        <w:autoSpaceDN w:val="0"/>
        <w:adjustRightInd w:val="0"/>
        <w:spacing w:after="240"/>
        <w:ind w:left="4536" w:hanging="3402"/>
        <w:jc w:val="both"/>
      </w:pPr>
      <w:r w:rsidRPr="005529DD">
        <w:rPr>
          <w:u w:val="single"/>
        </w:rPr>
        <w:t xml:space="preserve">Date of adoption of </w:t>
      </w:r>
      <w:r w:rsidR="00F6177B">
        <w:rPr>
          <w:u w:val="single"/>
        </w:rPr>
        <w:t>Views</w:t>
      </w:r>
      <w:r w:rsidRPr="005529DD">
        <w:t>:</w:t>
      </w:r>
      <w:r w:rsidRPr="005529DD">
        <w:tab/>
      </w:r>
      <w:r w:rsidR="000B013D">
        <w:t xml:space="preserve">20 </w:t>
      </w:r>
      <w:r w:rsidR="00105E69" w:rsidRPr="005529DD">
        <w:t>July</w:t>
      </w:r>
      <w:r w:rsidRPr="005529DD">
        <w:t xml:space="preserve"> 200</w:t>
      </w:r>
      <w:r w:rsidR="00EA7C96" w:rsidRPr="005529DD">
        <w:t>9</w:t>
      </w:r>
    </w:p>
    <w:p w:rsidR="00E7059A" w:rsidRPr="005529DD" w:rsidRDefault="00E7059A" w:rsidP="00E009FD">
      <w:pPr>
        <w:tabs>
          <w:tab w:val="left" w:pos="567"/>
          <w:tab w:val="left" w:pos="1134"/>
        </w:tabs>
        <w:autoSpaceDE w:val="0"/>
        <w:autoSpaceDN w:val="0"/>
        <w:adjustRightInd w:val="0"/>
        <w:spacing w:after="240"/>
        <w:ind w:left="4536" w:hanging="3402"/>
        <w:jc w:val="both"/>
        <w:rPr>
          <w:color w:val="000000"/>
          <w:u w:val="single"/>
        </w:rPr>
      </w:pPr>
    </w:p>
    <w:p w:rsidR="00206BFE" w:rsidRPr="005529DD" w:rsidRDefault="00E7059A" w:rsidP="00E009FD">
      <w:pPr>
        <w:tabs>
          <w:tab w:val="left" w:pos="567"/>
        </w:tabs>
        <w:autoSpaceDE w:val="0"/>
        <w:autoSpaceDN w:val="0"/>
        <w:adjustRightInd w:val="0"/>
        <w:spacing w:after="240"/>
        <w:ind w:firstLine="567"/>
        <w:jc w:val="both"/>
        <w:rPr>
          <w:iCs/>
        </w:rPr>
      </w:pPr>
      <w:r w:rsidRPr="005529DD">
        <w:rPr>
          <w:i/>
          <w:iCs/>
        </w:rPr>
        <w:br w:type="page"/>
      </w:r>
      <w:r w:rsidR="00206BFE" w:rsidRPr="005529DD">
        <w:rPr>
          <w:i/>
          <w:iCs/>
        </w:rPr>
        <w:t>Subject matter</w:t>
      </w:r>
      <w:r w:rsidR="0098457F" w:rsidRPr="005529DD">
        <w:rPr>
          <w:i/>
          <w:iCs/>
        </w:rPr>
        <w:t xml:space="preserve">: </w:t>
      </w:r>
      <w:r w:rsidR="006E005C" w:rsidRPr="005529DD">
        <w:rPr>
          <w:iCs/>
        </w:rPr>
        <w:t xml:space="preserve">Discrimination on the basis of citizenship with respect to restitution of property </w:t>
      </w:r>
    </w:p>
    <w:p w:rsidR="00206BFE" w:rsidRPr="005529DD" w:rsidRDefault="0029424A" w:rsidP="00E009FD">
      <w:pPr>
        <w:tabs>
          <w:tab w:val="left" w:pos="567"/>
        </w:tabs>
        <w:autoSpaceDE w:val="0"/>
        <w:autoSpaceDN w:val="0"/>
        <w:adjustRightInd w:val="0"/>
        <w:spacing w:after="240"/>
        <w:jc w:val="both"/>
        <w:rPr>
          <w:i/>
          <w:iCs/>
        </w:rPr>
      </w:pPr>
      <w:r w:rsidRPr="005529DD">
        <w:rPr>
          <w:i/>
          <w:iCs/>
        </w:rPr>
        <w:tab/>
      </w:r>
      <w:r w:rsidR="00206BFE" w:rsidRPr="005529DD">
        <w:rPr>
          <w:i/>
          <w:iCs/>
        </w:rPr>
        <w:t xml:space="preserve">Procedural issue:    </w:t>
      </w:r>
      <w:r w:rsidR="006E005C" w:rsidRPr="005529DD">
        <w:t>Abuse of the right of submission</w:t>
      </w:r>
    </w:p>
    <w:p w:rsidR="00206BFE" w:rsidRPr="005529DD" w:rsidRDefault="000202B0" w:rsidP="00E009FD">
      <w:pPr>
        <w:tabs>
          <w:tab w:val="left" w:pos="567"/>
        </w:tabs>
        <w:autoSpaceDE w:val="0"/>
        <w:autoSpaceDN w:val="0"/>
        <w:adjustRightInd w:val="0"/>
        <w:spacing w:after="240"/>
        <w:jc w:val="both"/>
        <w:rPr>
          <w:i/>
          <w:iCs/>
        </w:rPr>
      </w:pPr>
      <w:r>
        <w:rPr>
          <w:i/>
          <w:iCs/>
        </w:rPr>
        <w:tab/>
      </w:r>
      <w:r w:rsidR="00206BFE" w:rsidRPr="005529DD">
        <w:rPr>
          <w:i/>
          <w:iCs/>
        </w:rPr>
        <w:t>Substantive issue</w:t>
      </w:r>
      <w:r w:rsidR="003A1854" w:rsidRPr="005529DD">
        <w:rPr>
          <w:i/>
          <w:iCs/>
        </w:rPr>
        <w:t>s</w:t>
      </w:r>
      <w:r w:rsidR="00206BFE" w:rsidRPr="005529DD">
        <w:rPr>
          <w:i/>
          <w:iCs/>
        </w:rPr>
        <w:t xml:space="preserve">:  </w:t>
      </w:r>
      <w:r w:rsidR="00206BFE" w:rsidRPr="005529DD">
        <w:rPr>
          <w:i/>
        </w:rPr>
        <w:t xml:space="preserve"> </w:t>
      </w:r>
      <w:r w:rsidR="006E005C" w:rsidRPr="005529DD">
        <w:rPr>
          <w:iCs/>
        </w:rPr>
        <w:t>Equality before the law; equal protection of the law</w:t>
      </w:r>
      <w:r w:rsidR="00352344" w:rsidRPr="005529DD">
        <w:rPr>
          <w:iCs/>
        </w:rPr>
        <w:t xml:space="preserve"> without any discrimination</w:t>
      </w:r>
    </w:p>
    <w:p w:rsidR="00EA7C96" w:rsidRPr="005529DD" w:rsidRDefault="0029424A" w:rsidP="00E009FD">
      <w:pPr>
        <w:tabs>
          <w:tab w:val="left" w:pos="567"/>
        </w:tabs>
        <w:autoSpaceDE w:val="0"/>
        <w:autoSpaceDN w:val="0"/>
        <w:adjustRightInd w:val="0"/>
        <w:spacing w:after="240"/>
        <w:jc w:val="both"/>
        <w:rPr>
          <w:iCs/>
        </w:rPr>
      </w:pPr>
      <w:r w:rsidRPr="005529DD">
        <w:rPr>
          <w:i/>
          <w:iCs/>
        </w:rPr>
        <w:tab/>
      </w:r>
      <w:r w:rsidR="00206BFE" w:rsidRPr="005529DD">
        <w:rPr>
          <w:i/>
          <w:iCs/>
        </w:rPr>
        <w:t>Article of the Covenant:</w:t>
      </w:r>
      <w:r w:rsidR="00206BFE" w:rsidRPr="005529DD">
        <w:t xml:space="preserve">  </w:t>
      </w:r>
      <w:r w:rsidR="00206BFE" w:rsidRPr="005529DD">
        <w:rPr>
          <w:b/>
          <w:bCs/>
          <w:iCs/>
        </w:rPr>
        <w:t xml:space="preserve"> </w:t>
      </w:r>
      <w:r w:rsidR="00714757" w:rsidRPr="005529DD">
        <w:rPr>
          <w:iCs/>
        </w:rPr>
        <w:t>26</w:t>
      </w:r>
    </w:p>
    <w:p w:rsidR="00206BFE" w:rsidRPr="005529DD" w:rsidRDefault="0029424A" w:rsidP="00E009FD">
      <w:pPr>
        <w:tabs>
          <w:tab w:val="left" w:pos="567"/>
        </w:tabs>
        <w:autoSpaceDE w:val="0"/>
        <w:autoSpaceDN w:val="0"/>
        <w:adjustRightInd w:val="0"/>
        <w:spacing w:after="240"/>
        <w:jc w:val="both"/>
        <w:rPr>
          <w:i/>
          <w:iCs/>
        </w:rPr>
      </w:pPr>
      <w:r w:rsidRPr="005529DD">
        <w:rPr>
          <w:i/>
          <w:iCs/>
        </w:rPr>
        <w:tab/>
      </w:r>
      <w:r w:rsidR="00206BFE" w:rsidRPr="005529DD">
        <w:rPr>
          <w:i/>
          <w:iCs/>
        </w:rPr>
        <w:t xml:space="preserve">Articles of the Optional Protocol:  </w:t>
      </w:r>
      <w:r w:rsidR="003171E7" w:rsidRPr="005529DD">
        <w:t>3</w:t>
      </w:r>
    </w:p>
    <w:p w:rsidR="00206BFE" w:rsidRPr="005529DD" w:rsidRDefault="00A5561E" w:rsidP="009F7088">
      <w:pPr>
        <w:tabs>
          <w:tab w:val="left" w:pos="567"/>
        </w:tabs>
        <w:autoSpaceDE w:val="0"/>
        <w:autoSpaceDN w:val="0"/>
        <w:adjustRightInd w:val="0"/>
        <w:spacing w:after="240"/>
        <w:jc w:val="both"/>
        <w:rPr>
          <w:snapToGrid w:val="0"/>
        </w:rPr>
      </w:pPr>
      <w:r>
        <w:rPr>
          <w:snapToGrid w:val="0"/>
        </w:rPr>
        <w:tab/>
      </w:r>
      <w:r w:rsidR="00611228">
        <w:rPr>
          <w:snapToGrid w:val="0"/>
        </w:rPr>
        <w:t xml:space="preserve">On 20 July 2009, </w:t>
      </w:r>
      <w:r w:rsidR="0029424A" w:rsidRPr="005529DD">
        <w:rPr>
          <w:snapToGrid w:val="0"/>
        </w:rPr>
        <w:t>the Human Rights Committee adopt</w:t>
      </w:r>
      <w:r w:rsidR="00F6177B">
        <w:rPr>
          <w:snapToGrid w:val="0"/>
        </w:rPr>
        <w:t>ed</w:t>
      </w:r>
      <w:r w:rsidR="0029424A" w:rsidRPr="005529DD">
        <w:rPr>
          <w:snapToGrid w:val="0"/>
        </w:rPr>
        <w:t xml:space="preserve"> the annexed t</w:t>
      </w:r>
      <w:r w:rsidR="00F6177B">
        <w:rPr>
          <w:snapToGrid w:val="0"/>
        </w:rPr>
        <w:t>ext</w:t>
      </w:r>
      <w:r w:rsidR="0029424A" w:rsidRPr="005529DD">
        <w:rPr>
          <w:snapToGrid w:val="0"/>
        </w:rPr>
        <w:t xml:space="preserve"> as the Committee’s </w:t>
      </w:r>
      <w:r w:rsidR="00F6177B" w:rsidRPr="00AF04A7">
        <w:t xml:space="preserve">Views, under article 5, paragraph 4, of the Optional Protocol </w:t>
      </w:r>
      <w:r w:rsidR="00F6177B">
        <w:t>in respect of communication No. </w:t>
      </w:r>
      <w:r w:rsidR="00F6177B" w:rsidRPr="00AF04A7">
        <w:t>1364/2005</w:t>
      </w:r>
      <w:r w:rsidR="0029424A" w:rsidRPr="005529DD">
        <w:rPr>
          <w:snapToGrid w:val="0"/>
        </w:rPr>
        <w:t>.</w:t>
      </w:r>
    </w:p>
    <w:p w:rsidR="0029424A" w:rsidRPr="005529DD" w:rsidRDefault="0029424A" w:rsidP="00E009FD">
      <w:pPr>
        <w:tabs>
          <w:tab w:val="left" w:pos="567"/>
        </w:tabs>
        <w:autoSpaceDE w:val="0"/>
        <w:autoSpaceDN w:val="0"/>
        <w:adjustRightInd w:val="0"/>
        <w:spacing w:after="240"/>
        <w:jc w:val="center"/>
      </w:pPr>
      <w:r w:rsidRPr="005529DD">
        <w:t>[Annex]</w:t>
      </w:r>
    </w:p>
    <w:p w:rsidR="00922B7D" w:rsidRPr="005529DD" w:rsidRDefault="0029424A" w:rsidP="00E009FD">
      <w:pPr>
        <w:pStyle w:val="Heading2"/>
        <w:spacing w:before="0" w:after="240"/>
        <w:jc w:val="center"/>
        <w:rPr>
          <w:rFonts w:ascii="Times New Roman" w:hAnsi="Times New Roman" w:cs="Times New Roman"/>
          <w:i w:val="0"/>
          <w:iCs w:val="0"/>
          <w:snapToGrid w:val="0"/>
          <w:sz w:val="24"/>
          <w:szCs w:val="24"/>
        </w:rPr>
      </w:pPr>
      <w:r w:rsidRPr="005529DD">
        <w:rPr>
          <w:rFonts w:ascii="Times New Roman" w:hAnsi="Times New Roman" w:cs="Times New Roman"/>
          <w:b w:val="0"/>
          <w:bCs w:val="0"/>
          <w:sz w:val="24"/>
          <w:szCs w:val="24"/>
        </w:rPr>
        <w:br w:type="page"/>
      </w:r>
      <w:r w:rsidR="00922B7D" w:rsidRPr="005529DD">
        <w:rPr>
          <w:rFonts w:ascii="Times New Roman" w:hAnsi="Times New Roman" w:cs="Times New Roman"/>
          <w:i w:val="0"/>
          <w:iCs w:val="0"/>
          <w:snapToGrid w:val="0"/>
          <w:sz w:val="24"/>
          <w:szCs w:val="24"/>
        </w:rPr>
        <w:t>ANNEX</w:t>
      </w:r>
    </w:p>
    <w:p w:rsidR="00922B7D" w:rsidRPr="005529DD" w:rsidRDefault="00F6177B" w:rsidP="00F6177B">
      <w:pPr>
        <w:pStyle w:val="Heading1"/>
        <w:tabs>
          <w:tab w:val="left" w:pos="2716"/>
        </w:tabs>
        <w:spacing w:before="0" w:after="0"/>
        <w:jc w:val="center"/>
        <w:rPr>
          <w:rFonts w:ascii="Times New Roman" w:hAnsi="Times New Roman" w:cs="Times New Roman"/>
          <w:b w:val="0"/>
          <w:bCs w:val="0"/>
          <w:snapToGrid w:val="0"/>
          <w:sz w:val="24"/>
          <w:szCs w:val="24"/>
        </w:rPr>
      </w:pPr>
      <w:r>
        <w:rPr>
          <w:rFonts w:ascii="Times New Roman" w:hAnsi="Times New Roman" w:cs="Times New Roman"/>
          <w:b w:val="0"/>
          <w:bCs w:val="0"/>
          <w:snapToGrid w:val="0"/>
          <w:sz w:val="24"/>
          <w:szCs w:val="24"/>
        </w:rPr>
        <w:t>VIEWS</w:t>
      </w:r>
      <w:r w:rsidR="00922B7D" w:rsidRPr="00F6177B">
        <w:rPr>
          <w:rFonts w:ascii="Times New Roman" w:hAnsi="Times New Roman" w:cs="Times New Roman"/>
          <w:b w:val="0"/>
          <w:bCs w:val="0"/>
          <w:snapToGrid w:val="0"/>
          <w:sz w:val="24"/>
          <w:szCs w:val="24"/>
        </w:rPr>
        <w:t xml:space="preserve"> OF THE HUMAN RI</w:t>
      </w:r>
      <w:r w:rsidR="00922B7D" w:rsidRPr="005529DD">
        <w:rPr>
          <w:rFonts w:ascii="Times New Roman" w:hAnsi="Times New Roman" w:cs="Times New Roman"/>
          <w:b w:val="0"/>
          <w:bCs w:val="0"/>
          <w:snapToGrid w:val="0"/>
          <w:sz w:val="24"/>
          <w:szCs w:val="24"/>
        </w:rPr>
        <w:t xml:space="preserve">GHTS COMMITTEE UNDER </w:t>
      </w:r>
      <w:r>
        <w:rPr>
          <w:rFonts w:ascii="Times New Roman" w:hAnsi="Times New Roman" w:cs="Times New Roman"/>
          <w:b w:val="0"/>
          <w:bCs w:val="0"/>
          <w:snapToGrid w:val="0"/>
          <w:sz w:val="24"/>
          <w:szCs w:val="24"/>
        </w:rPr>
        <w:t xml:space="preserve">ARTICLE 5, PARAGRAPH 4, OF </w:t>
      </w:r>
      <w:r w:rsidR="00922B7D" w:rsidRPr="005529DD">
        <w:rPr>
          <w:rFonts w:ascii="Times New Roman" w:hAnsi="Times New Roman" w:cs="Times New Roman"/>
          <w:b w:val="0"/>
          <w:bCs w:val="0"/>
          <w:snapToGrid w:val="0"/>
          <w:sz w:val="24"/>
          <w:szCs w:val="24"/>
        </w:rPr>
        <w:t>THE OPTIONAL PROTOCOL TO THE INTERNATIONAL COVENANT ON CIVIL AND POLITICAL RIGHTS</w:t>
      </w:r>
    </w:p>
    <w:p w:rsidR="00922B7D" w:rsidRPr="005529DD" w:rsidRDefault="00922B7D" w:rsidP="00E009FD">
      <w:pPr>
        <w:pStyle w:val="Heading2"/>
        <w:spacing w:before="0" w:after="240"/>
        <w:jc w:val="center"/>
        <w:rPr>
          <w:rFonts w:ascii="Times New Roman" w:hAnsi="Times New Roman" w:cs="Times New Roman"/>
          <w:b w:val="0"/>
          <w:bCs w:val="0"/>
          <w:i w:val="0"/>
          <w:iCs w:val="0"/>
          <w:snapToGrid w:val="0"/>
          <w:sz w:val="24"/>
          <w:szCs w:val="24"/>
        </w:rPr>
      </w:pPr>
      <w:r w:rsidRPr="005529DD">
        <w:rPr>
          <w:rFonts w:ascii="Times New Roman" w:hAnsi="Times New Roman" w:cs="Times New Roman"/>
          <w:b w:val="0"/>
          <w:bCs w:val="0"/>
          <w:i w:val="0"/>
          <w:iCs w:val="0"/>
          <w:snapToGrid w:val="0"/>
          <w:sz w:val="24"/>
          <w:szCs w:val="24"/>
        </w:rPr>
        <w:t>Ninety-</w:t>
      </w:r>
      <w:r w:rsidR="00EA31AE" w:rsidRPr="005529DD">
        <w:rPr>
          <w:rFonts w:ascii="Times New Roman" w:hAnsi="Times New Roman" w:cs="Times New Roman"/>
          <w:b w:val="0"/>
          <w:bCs w:val="0"/>
          <w:i w:val="0"/>
          <w:iCs w:val="0"/>
          <w:snapToGrid w:val="0"/>
          <w:sz w:val="24"/>
          <w:szCs w:val="24"/>
        </w:rPr>
        <w:t>six</w:t>
      </w:r>
      <w:r w:rsidR="00EA7C96" w:rsidRPr="005529DD">
        <w:rPr>
          <w:rFonts w:ascii="Times New Roman" w:hAnsi="Times New Roman" w:cs="Times New Roman"/>
          <w:b w:val="0"/>
          <w:bCs w:val="0"/>
          <w:i w:val="0"/>
          <w:iCs w:val="0"/>
          <w:snapToGrid w:val="0"/>
          <w:sz w:val="24"/>
          <w:szCs w:val="24"/>
        </w:rPr>
        <w:t>t</w:t>
      </w:r>
      <w:r w:rsidRPr="005529DD">
        <w:rPr>
          <w:rFonts w:ascii="Times New Roman" w:hAnsi="Times New Roman" w:cs="Times New Roman"/>
          <w:b w:val="0"/>
          <w:bCs w:val="0"/>
          <w:i w:val="0"/>
          <w:iCs w:val="0"/>
          <w:snapToGrid w:val="0"/>
          <w:sz w:val="24"/>
          <w:szCs w:val="24"/>
        </w:rPr>
        <w:t>h session</w:t>
      </w:r>
    </w:p>
    <w:p w:rsidR="00922B7D" w:rsidRPr="005529DD" w:rsidRDefault="00922B7D" w:rsidP="00E009FD">
      <w:pPr>
        <w:pStyle w:val="Heading2"/>
        <w:spacing w:before="0" w:after="240"/>
        <w:jc w:val="center"/>
        <w:rPr>
          <w:rFonts w:ascii="Times New Roman" w:hAnsi="Times New Roman" w:cs="Times New Roman"/>
          <w:b w:val="0"/>
          <w:bCs w:val="0"/>
          <w:i w:val="0"/>
          <w:iCs w:val="0"/>
          <w:snapToGrid w:val="0"/>
          <w:sz w:val="24"/>
          <w:szCs w:val="24"/>
        </w:rPr>
      </w:pPr>
      <w:r w:rsidRPr="005529DD">
        <w:rPr>
          <w:rFonts w:ascii="Times New Roman" w:hAnsi="Times New Roman" w:cs="Times New Roman"/>
          <w:b w:val="0"/>
          <w:bCs w:val="0"/>
          <w:i w:val="0"/>
          <w:iCs w:val="0"/>
          <w:snapToGrid w:val="0"/>
          <w:sz w:val="24"/>
          <w:szCs w:val="24"/>
        </w:rPr>
        <w:t>concerning</w:t>
      </w:r>
    </w:p>
    <w:p w:rsidR="00922B7D" w:rsidRPr="005529DD" w:rsidRDefault="00922B7D" w:rsidP="00E009FD">
      <w:pPr>
        <w:spacing w:after="240"/>
        <w:jc w:val="center"/>
        <w:rPr>
          <w:b/>
        </w:rPr>
      </w:pPr>
      <w:r w:rsidRPr="005529DD">
        <w:rPr>
          <w:b/>
          <w:bCs/>
        </w:rPr>
        <w:t xml:space="preserve">Communication No. </w:t>
      </w:r>
      <w:r w:rsidRPr="005529DD">
        <w:rPr>
          <w:b/>
        </w:rPr>
        <w:t>15</w:t>
      </w:r>
      <w:r w:rsidR="00EA31AE" w:rsidRPr="005529DD">
        <w:rPr>
          <w:b/>
        </w:rPr>
        <w:t>74/2007</w:t>
      </w:r>
      <w:r w:rsidR="00ED192B">
        <w:rPr>
          <w:rStyle w:val="FootnoteReference"/>
          <w:b/>
        </w:rPr>
        <w:footnoteReference w:customMarkFollows="1" w:id="3"/>
        <w:t>*</w:t>
      </w:r>
    </w:p>
    <w:p w:rsidR="00EA7C96" w:rsidRPr="005529DD" w:rsidRDefault="009F7088" w:rsidP="00ED192B">
      <w:pPr>
        <w:tabs>
          <w:tab w:val="left" w:pos="567"/>
          <w:tab w:val="left" w:pos="1134"/>
        </w:tabs>
        <w:spacing w:after="240"/>
        <w:ind w:left="4536" w:hanging="3402"/>
        <w:jc w:val="both"/>
      </w:pPr>
      <w:r w:rsidRPr="005529DD">
        <w:rPr>
          <w:u w:val="single"/>
        </w:rPr>
        <w:t>Submitted by</w:t>
      </w:r>
      <w:r w:rsidRPr="005529DD">
        <w:t>:</w:t>
      </w:r>
      <w:r w:rsidRPr="005529DD">
        <w:tab/>
        <w:t>Mr</w:t>
      </w:r>
      <w:r>
        <w:t>.</w:t>
      </w:r>
      <w:r w:rsidRPr="005529DD">
        <w:t xml:space="preserve"> Jaroslav and Ms. Alena SLEZ</w:t>
      </w:r>
      <w:r>
        <w:t>Á</w:t>
      </w:r>
      <w:r w:rsidRPr="005529DD">
        <w:t xml:space="preserve">K </w:t>
      </w:r>
      <w:r w:rsidRPr="005529DD">
        <w:rPr>
          <w:bCs/>
        </w:rPr>
        <w:t>(not represented</w:t>
      </w:r>
      <w:r w:rsidR="007C17E4">
        <w:rPr>
          <w:bCs/>
        </w:rPr>
        <w:t xml:space="preserve"> by counsel</w:t>
      </w:r>
      <w:r w:rsidRPr="005529DD">
        <w:rPr>
          <w:bCs/>
        </w:rPr>
        <w:t>)</w:t>
      </w:r>
    </w:p>
    <w:p w:rsidR="00EA7C96" w:rsidRPr="005529DD" w:rsidRDefault="00EA7C96" w:rsidP="00E009FD">
      <w:pPr>
        <w:tabs>
          <w:tab w:val="left" w:pos="567"/>
          <w:tab w:val="left" w:pos="1134"/>
        </w:tabs>
        <w:spacing w:after="240"/>
        <w:ind w:left="4536" w:hanging="3402"/>
        <w:jc w:val="both"/>
      </w:pPr>
      <w:r w:rsidRPr="005529DD">
        <w:rPr>
          <w:u w:val="single"/>
        </w:rPr>
        <w:t>Alleged victim</w:t>
      </w:r>
      <w:r w:rsidRPr="005529DD">
        <w:t>:</w:t>
      </w:r>
      <w:r w:rsidRPr="005529DD">
        <w:tab/>
        <w:t>The author</w:t>
      </w:r>
      <w:r w:rsidR="00EA31AE" w:rsidRPr="005529DD">
        <w:t>s</w:t>
      </w:r>
    </w:p>
    <w:p w:rsidR="00EA7C96" w:rsidRPr="005529DD" w:rsidRDefault="00EA7C96" w:rsidP="00E009FD">
      <w:pPr>
        <w:tabs>
          <w:tab w:val="left" w:pos="567"/>
          <w:tab w:val="left" w:pos="1134"/>
        </w:tabs>
        <w:spacing w:after="240"/>
        <w:ind w:left="4536" w:hanging="3402"/>
        <w:jc w:val="both"/>
      </w:pPr>
      <w:r w:rsidRPr="005529DD">
        <w:rPr>
          <w:u w:val="single"/>
        </w:rPr>
        <w:t>State party</w:t>
      </w:r>
      <w:r w:rsidRPr="005529DD">
        <w:t>:</w:t>
      </w:r>
      <w:r w:rsidRPr="005529DD">
        <w:tab/>
      </w:r>
      <w:r w:rsidR="00352344" w:rsidRPr="005529DD">
        <w:t xml:space="preserve">The </w:t>
      </w:r>
      <w:smartTag w:uri="urn:schemas-microsoft-com:office:smarttags" w:element="place">
        <w:smartTag w:uri="urn:schemas-microsoft-com:office:smarttags" w:element="PlaceName">
          <w:r w:rsidR="00E74443" w:rsidRPr="005529DD">
            <w:t>Czech</w:t>
          </w:r>
        </w:smartTag>
        <w:r w:rsidR="00E74443" w:rsidRPr="005529DD">
          <w:t xml:space="preserve"> </w:t>
        </w:r>
        <w:smartTag w:uri="urn:schemas-microsoft-com:office:smarttags" w:element="PlaceType">
          <w:r w:rsidR="00E74443" w:rsidRPr="005529DD">
            <w:t>Republic</w:t>
          </w:r>
        </w:smartTag>
      </w:smartTag>
    </w:p>
    <w:p w:rsidR="00EA7C96" w:rsidRPr="005529DD" w:rsidRDefault="00EA7C96" w:rsidP="00E009FD">
      <w:pPr>
        <w:tabs>
          <w:tab w:val="left" w:pos="567"/>
          <w:tab w:val="left" w:pos="1134"/>
        </w:tabs>
        <w:spacing w:after="240"/>
        <w:ind w:left="4536" w:hanging="3402"/>
        <w:jc w:val="both"/>
      </w:pPr>
      <w:r w:rsidRPr="005529DD">
        <w:rPr>
          <w:u w:val="single"/>
        </w:rPr>
        <w:t>Date of communication</w:t>
      </w:r>
      <w:r w:rsidRPr="005529DD">
        <w:t>:</w:t>
      </w:r>
      <w:r w:rsidRPr="005529DD">
        <w:tab/>
      </w:r>
      <w:r w:rsidR="00EA31AE" w:rsidRPr="005529DD">
        <w:t>10 April</w:t>
      </w:r>
      <w:r w:rsidR="00E74443" w:rsidRPr="005529DD">
        <w:t xml:space="preserve"> 2006</w:t>
      </w:r>
      <w:r w:rsidRPr="005529DD">
        <w:t xml:space="preserve"> (initial submission)</w:t>
      </w:r>
    </w:p>
    <w:p w:rsidR="00922B7D" w:rsidRPr="005529DD" w:rsidRDefault="00A5561E" w:rsidP="00E009FD">
      <w:pPr>
        <w:tabs>
          <w:tab w:val="left" w:pos="567"/>
        </w:tabs>
        <w:spacing w:after="240"/>
        <w:jc w:val="both"/>
        <w:rPr>
          <w:snapToGrid w:val="0"/>
        </w:rPr>
      </w:pPr>
      <w:r w:rsidRPr="00A5561E">
        <w:rPr>
          <w:snapToGrid w:val="0"/>
        </w:rPr>
        <w:tab/>
      </w:r>
      <w:r w:rsidR="00922B7D" w:rsidRPr="005529DD">
        <w:rPr>
          <w:snapToGrid w:val="0"/>
          <w:u w:val="single"/>
        </w:rPr>
        <w:t>The Human Rights Committee</w:t>
      </w:r>
      <w:r w:rsidR="00922B7D" w:rsidRPr="005529DD">
        <w:rPr>
          <w:snapToGrid w:val="0"/>
        </w:rPr>
        <w:t>, established under article 28 of the International Covenant on Civil and Political Rights,</w:t>
      </w:r>
    </w:p>
    <w:p w:rsidR="00922B7D" w:rsidRDefault="00922B7D" w:rsidP="00F6177B">
      <w:pPr>
        <w:tabs>
          <w:tab w:val="left" w:pos="567"/>
        </w:tabs>
        <w:spacing w:after="240"/>
        <w:jc w:val="both"/>
        <w:rPr>
          <w:snapToGrid w:val="0"/>
        </w:rPr>
      </w:pPr>
      <w:r w:rsidRPr="005529DD">
        <w:rPr>
          <w:snapToGrid w:val="0"/>
        </w:rPr>
        <w:tab/>
      </w:r>
      <w:r w:rsidRPr="005529DD">
        <w:rPr>
          <w:snapToGrid w:val="0"/>
          <w:u w:val="single"/>
        </w:rPr>
        <w:t>Meeting on</w:t>
      </w:r>
      <w:r w:rsidRPr="005529DD">
        <w:rPr>
          <w:snapToGrid w:val="0"/>
        </w:rPr>
        <w:t xml:space="preserve"> </w:t>
      </w:r>
      <w:r w:rsidR="000B013D">
        <w:rPr>
          <w:snapToGrid w:val="0"/>
        </w:rPr>
        <w:t>20</w:t>
      </w:r>
      <w:r w:rsidR="000B013D" w:rsidRPr="005529DD">
        <w:rPr>
          <w:snapToGrid w:val="0"/>
        </w:rPr>
        <w:t xml:space="preserve"> </w:t>
      </w:r>
      <w:r w:rsidR="00EA31AE" w:rsidRPr="005529DD">
        <w:rPr>
          <w:snapToGrid w:val="0"/>
        </w:rPr>
        <w:t xml:space="preserve">July </w:t>
      </w:r>
      <w:r w:rsidR="00EA7C96" w:rsidRPr="005529DD">
        <w:rPr>
          <w:snapToGrid w:val="0"/>
        </w:rPr>
        <w:t>2009</w:t>
      </w:r>
      <w:r w:rsidRPr="005529DD">
        <w:rPr>
          <w:snapToGrid w:val="0"/>
        </w:rPr>
        <w:t>,</w:t>
      </w:r>
    </w:p>
    <w:p w:rsidR="00F6177B" w:rsidRPr="00AF04A7" w:rsidRDefault="00F6177B" w:rsidP="00ED192B">
      <w:pPr>
        <w:tabs>
          <w:tab w:val="left" w:pos="567"/>
          <w:tab w:val="left" w:pos="1134"/>
        </w:tabs>
        <w:spacing w:after="240"/>
        <w:jc w:val="both"/>
      </w:pPr>
      <w:r w:rsidRPr="00AF04A7">
        <w:tab/>
      </w:r>
      <w:r w:rsidRPr="0001211B">
        <w:rPr>
          <w:iCs/>
          <w:u w:val="single"/>
        </w:rPr>
        <w:t>Having concluded</w:t>
      </w:r>
      <w:r w:rsidRPr="00AF04A7">
        <w:t xml:space="preserve"> its consideration of communication No. 1</w:t>
      </w:r>
      <w:r>
        <w:t>57</w:t>
      </w:r>
      <w:r w:rsidRPr="00AF04A7">
        <w:t xml:space="preserve">4/2005, submitted on behalf of Mr. </w:t>
      </w:r>
      <w:r w:rsidR="00ED192B">
        <w:t>Jaroslav and Ms. Alena Slezák</w:t>
      </w:r>
      <w:r w:rsidRPr="00AF04A7">
        <w:t xml:space="preserve"> under the Optional Protocol to the International Covenant on Civil and Political Rights,</w:t>
      </w:r>
    </w:p>
    <w:p w:rsidR="00F6177B" w:rsidRPr="00F6177B" w:rsidRDefault="00F6177B" w:rsidP="00F6177B">
      <w:pPr>
        <w:tabs>
          <w:tab w:val="left" w:pos="567"/>
          <w:tab w:val="left" w:pos="1134"/>
        </w:tabs>
        <w:spacing w:after="240"/>
        <w:jc w:val="both"/>
      </w:pPr>
      <w:r w:rsidRPr="00AF04A7">
        <w:tab/>
      </w:r>
      <w:r w:rsidRPr="0001211B">
        <w:rPr>
          <w:iCs/>
          <w:u w:val="single"/>
        </w:rPr>
        <w:t xml:space="preserve">Having taken into account </w:t>
      </w:r>
      <w:r w:rsidRPr="00AF04A7">
        <w:t>all written information made available to it by the author of the communication, and the State party,</w:t>
      </w:r>
    </w:p>
    <w:p w:rsidR="00922B7D" w:rsidRPr="005529DD" w:rsidRDefault="00922B7D" w:rsidP="00F6177B">
      <w:pPr>
        <w:tabs>
          <w:tab w:val="left" w:pos="567"/>
        </w:tabs>
        <w:spacing w:after="240"/>
        <w:jc w:val="both"/>
        <w:rPr>
          <w:snapToGrid w:val="0"/>
        </w:rPr>
      </w:pPr>
      <w:r w:rsidRPr="005529DD">
        <w:rPr>
          <w:snapToGrid w:val="0"/>
        </w:rPr>
        <w:tab/>
      </w:r>
      <w:r w:rsidRPr="005529DD">
        <w:rPr>
          <w:snapToGrid w:val="0"/>
          <w:u w:val="single"/>
        </w:rPr>
        <w:t>Adopts the following</w:t>
      </w:r>
      <w:r w:rsidRPr="005529DD">
        <w:rPr>
          <w:snapToGrid w:val="0"/>
        </w:rPr>
        <w:t>:</w:t>
      </w:r>
    </w:p>
    <w:p w:rsidR="00352344" w:rsidRPr="009F7088" w:rsidRDefault="00F21AE9" w:rsidP="009F7088">
      <w:pPr>
        <w:pStyle w:val="Heading2"/>
        <w:tabs>
          <w:tab w:val="left" w:pos="567"/>
        </w:tabs>
        <w:spacing w:before="0" w:after="240"/>
        <w:jc w:val="center"/>
        <w:rPr>
          <w:rFonts w:ascii="Times New Roman" w:hAnsi="Times New Roman" w:cs="Times New Roman"/>
          <w:sz w:val="24"/>
          <w:szCs w:val="24"/>
        </w:rPr>
      </w:pPr>
      <w:r>
        <w:rPr>
          <w:rFonts w:ascii="Times New Roman" w:hAnsi="Times New Roman" w:cs="Times New Roman"/>
          <w:i w:val="0"/>
          <w:iCs w:val="0"/>
          <w:sz w:val="24"/>
          <w:szCs w:val="24"/>
        </w:rPr>
        <w:br w:type="page"/>
      </w:r>
      <w:r w:rsidR="00ED192B" w:rsidRPr="009F7088">
        <w:rPr>
          <w:rFonts w:ascii="Times New Roman" w:hAnsi="Times New Roman" w:cs="Times New Roman"/>
          <w:i w:val="0"/>
          <w:iCs w:val="0"/>
          <w:sz w:val="24"/>
          <w:szCs w:val="24"/>
        </w:rPr>
        <w:t>Views under article 5, paragraph 4, of the Optional Protocol</w:t>
      </w:r>
    </w:p>
    <w:p w:rsidR="003B320C" w:rsidRPr="005529DD" w:rsidRDefault="00A5561E" w:rsidP="00E009FD">
      <w:pPr>
        <w:tabs>
          <w:tab w:val="left" w:pos="567"/>
        </w:tabs>
        <w:spacing w:after="240"/>
        <w:jc w:val="both"/>
      </w:pPr>
      <w:r w:rsidRPr="009F7088">
        <w:t>1.</w:t>
      </w:r>
      <w:r w:rsidRPr="009F7088">
        <w:tab/>
      </w:r>
      <w:r w:rsidR="003B320C" w:rsidRPr="009F7088">
        <w:t xml:space="preserve">The authors of the communication are Jaroslav and Alena Slezák, naturalised American citizens residing in </w:t>
      </w:r>
      <w:smartTag w:uri="urn:schemas-microsoft-com:office:smarttags" w:element="State">
        <w:r w:rsidR="003B320C" w:rsidRPr="009F7088">
          <w:t>Massachusetts</w:t>
        </w:r>
      </w:smartTag>
      <w:r w:rsidR="003B320C" w:rsidRPr="009F7088">
        <w:t xml:space="preserve">, United States of America (U.S.A.), born in </w:t>
      </w:r>
      <w:smartTag w:uri="urn:schemas-microsoft-com:office:smarttags" w:element="country-region">
        <w:smartTag w:uri="urn:schemas-microsoft-com:office:smarttags" w:element="place">
          <w:r w:rsidR="003B320C" w:rsidRPr="009F7088">
            <w:t>Czechoslovakia</w:t>
          </w:r>
        </w:smartTag>
      </w:smartTag>
      <w:r w:rsidR="00EA31AE" w:rsidRPr="009F7088">
        <w:t xml:space="preserve"> on 28 February 1926 and 20 December </w:t>
      </w:r>
      <w:r w:rsidR="003B320C" w:rsidRPr="009F7088">
        <w:t xml:space="preserve">1930 respectively. They claim to be victims of a violation by the </w:t>
      </w:r>
      <w:smartTag w:uri="urn:schemas-microsoft-com:office:smarttags" w:element="place">
        <w:smartTag w:uri="urn:schemas-microsoft-com:office:smarttags" w:element="PlaceName">
          <w:r w:rsidR="003B320C" w:rsidRPr="009F7088">
            <w:t>Czech</w:t>
          </w:r>
        </w:smartTag>
        <w:r w:rsidR="003B320C" w:rsidRPr="009F7088">
          <w:t xml:space="preserve"> </w:t>
        </w:r>
        <w:smartTag w:uri="urn:schemas-microsoft-com:office:smarttags" w:element="PlaceType">
          <w:r w:rsidR="003B320C" w:rsidRPr="009F7088">
            <w:t>Republic</w:t>
          </w:r>
        </w:smartTag>
      </w:smartTag>
      <w:r w:rsidR="003B320C" w:rsidRPr="009F7088">
        <w:t xml:space="preserve"> of article 26 of the Internat</w:t>
      </w:r>
      <w:r w:rsidR="003B320C" w:rsidRPr="005529DD">
        <w:t>ional Covenant on Civil and Political Rights</w:t>
      </w:r>
      <w:r w:rsidR="003B320C" w:rsidRPr="005529DD">
        <w:rPr>
          <w:rStyle w:val="FootnoteReference"/>
        </w:rPr>
        <w:footnoteReference w:id="4"/>
      </w:r>
      <w:r w:rsidR="003B320C" w:rsidRPr="005529DD">
        <w:t xml:space="preserve">. They are not represented. </w:t>
      </w:r>
    </w:p>
    <w:p w:rsidR="003B320C" w:rsidRPr="005529DD" w:rsidRDefault="00EA31AE" w:rsidP="00E009FD">
      <w:pPr>
        <w:tabs>
          <w:tab w:val="left" w:pos="567"/>
        </w:tabs>
        <w:spacing w:after="240"/>
        <w:jc w:val="both"/>
        <w:rPr>
          <w:b/>
          <w:bCs/>
        </w:rPr>
      </w:pPr>
      <w:r w:rsidRPr="005529DD">
        <w:rPr>
          <w:b/>
          <w:bCs/>
        </w:rPr>
        <w:t>The f</w:t>
      </w:r>
      <w:r w:rsidR="003B320C" w:rsidRPr="005529DD">
        <w:rPr>
          <w:b/>
          <w:bCs/>
        </w:rPr>
        <w:t>acts as submitted by the author</w:t>
      </w:r>
      <w:r w:rsidRPr="005529DD">
        <w:rPr>
          <w:b/>
          <w:bCs/>
        </w:rPr>
        <w:t>s:</w:t>
      </w:r>
    </w:p>
    <w:p w:rsidR="003B320C" w:rsidRPr="005529DD" w:rsidRDefault="003B320C" w:rsidP="00E009FD">
      <w:pPr>
        <w:tabs>
          <w:tab w:val="left" w:pos="567"/>
        </w:tabs>
        <w:spacing w:after="240"/>
        <w:jc w:val="both"/>
      </w:pPr>
      <w:r w:rsidRPr="005529DD">
        <w:t>2.1</w:t>
      </w:r>
      <w:r w:rsidRPr="005529DD">
        <w:tab/>
        <w:t xml:space="preserve">The authors state that they left </w:t>
      </w:r>
      <w:smartTag w:uri="urn:schemas-microsoft-com:office:smarttags" w:element="country-region">
        <w:r w:rsidRPr="005529DD">
          <w:t>Czechoslovakia</w:t>
        </w:r>
      </w:smartTag>
      <w:r w:rsidRPr="005529DD">
        <w:t xml:space="preserve"> for political reasons in 1969, and have lived in the </w:t>
      </w:r>
      <w:smartTag w:uri="urn:schemas-microsoft-com:office:smarttags" w:element="country-region">
        <w:smartTag w:uri="urn:schemas-microsoft-com:office:smarttags" w:element="place">
          <w:r w:rsidRPr="005529DD">
            <w:t>U.S.A.</w:t>
          </w:r>
        </w:smartTag>
      </w:smartTag>
      <w:r w:rsidRPr="005529DD">
        <w:t xml:space="preserve"> ever since. In 1980, they both obtained the</w:t>
      </w:r>
      <w:r w:rsidR="00EA31AE" w:rsidRPr="005529DD">
        <w:t xml:space="preserve"> </w:t>
      </w:r>
      <w:smartTag w:uri="urn:schemas-microsoft-com:office:smarttags" w:element="country-region">
        <w:smartTag w:uri="urn:schemas-microsoft-com:office:smarttags" w:element="place">
          <w:r w:rsidR="00EA31AE" w:rsidRPr="005529DD">
            <w:t>U.S.</w:t>
          </w:r>
        </w:smartTag>
      </w:smartTag>
      <w:r w:rsidRPr="005529DD">
        <w:t xml:space="preserve"> citizenship </w:t>
      </w:r>
      <w:r w:rsidR="00EA31AE" w:rsidRPr="005529DD">
        <w:t>and lost their Czechoslovak</w:t>
      </w:r>
      <w:r w:rsidRPr="005529DD">
        <w:t xml:space="preserve"> citizenship</w:t>
      </w:r>
      <w:r w:rsidRPr="005529DD">
        <w:rPr>
          <w:rStyle w:val="FootnoteReference"/>
        </w:rPr>
        <w:footnoteReference w:id="5"/>
      </w:r>
      <w:r w:rsidRPr="005529DD">
        <w:t xml:space="preserve">. </w:t>
      </w:r>
    </w:p>
    <w:p w:rsidR="003B320C" w:rsidRPr="005529DD" w:rsidRDefault="00EA31AE" w:rsidP="00E009FD">
      <w:pPr>
        <w:tabs>
          <w:tab w:val="left" w:pos="567"/>
        </w:tabs>
        <w:spacing w:after="240"/>
        <w:jc w:val="both"/>
      </w:pPr>
      <w:r w:rsidRPr="005529DD">
        <w:t xml:space="preserve">2.2 </w:t>
      </w:r>
      <w:r w:rsidRPr="005529DD">
        <w:tab/>
        <w:t>In January 1971, th</w:t>
      </w:r>
      <w:r w:rsidR="003B320C" w:rsidRPr="005529DD">
        <w:t xml:space="preserve">e District Court of Olomouc sentenced them </w:t>
      </w:r>
      <w:r w:rsidR="003B320C" w:rsidRPr="005529DD">
        <w:rPr>
          <w:i/>
          <w:iCs/>
        </w:rPr>
        <w:t xml:space="preserve">in absentia </w:t>
      </w:r>
      <w:r w:rsidR="003B320C" w:rsidRPr="005529DD">
        <w:t xml:space="preserve">to a jail term, and to the confiscation of their property, including their family home in Sternberk, estimated by the authors to be worth 2.5 million Czech crowns. </w:t>
      </w:r>
    </w:p>
    <w:p w:rsidR="003B320C" w:rsidRPr="005529DD" w:rsidRDefault="003B320C" w:rsidP="00E009FD">
      <w:pPr>
        <w:tabs>
          <w:tab w:val="left" w:pos="567"/>
        </w:tabs>
        <w:spacing w:after="240"/>
        <w:jc w:val="both"/>
      </w:pPr>
      <w:r w:rsidRPr="005529DD">
        <w:t xml:space="preserve">2.3 </w:t>
      </w:r>
      <w:r w:rsidRPr="005529DD">
        <w:tab/>
        <w:t xml:space="preserve">Following the enactment of Act No. 119/1990, the authors were rehabilitated and their sentence, including the property confiscation, was overturned </w:t>
      </w:r>
      <w:r w:rsidRPr="005529DD">
        <w:rPr>
          <w:i/>
          <w:iCs/>
        </w:rPr>
        <w:t>ex tunc</w:t>
      </w:r>
      <w:r w:rsidRPr="005529DD">
        <w:t xml:space="preserve">. They asked their nephew, who had bought the house from the State, to return it to them, </w:t>
      </w:r>
      <w:r w:rsidR="007905F6" w:rsidRPr="005529DD">
        <w:t xml:space="preserve">but </w:t>
      </w:r>
      <w:r w:rsidRPr="005529DD">
        <w:t>he refused to do</w:t>
      </w:r>
      <w:r w:rsidR="007905F6" w:rsidRPr="005529DD">
        <w:t xml:space="preserve"> so</w:t>
      </w:r>
      <w:r w:rsidRPr="005529DD">
        <w:t xml:space="preserve">. The authors then filed a court </w:t>
      </w:r>
      <w:r w:rsidR="007905F6" w:rsidRPr="005529DD">
        <w:t xml:space="preserve">action </w:t>
      </w:r>
      <w:r w:rsidRPr="005529DD">
        <w:t>in 1994. The District Court</w:t>
      </w:r>
      <w:r w:rsidR="007905F6" w:rsidRPr="005529DD">
        <w:t xml:space="preserve"> of Olomouc</w:t>
      </w:r>
      <w:r w:rsidRPr="005529DD">
        <w:t xml:space="preserve"> decided in November 1998 that the authors did not qualify for restitution under Act No. 87/1991 as they had lost their Czech citizenship when they became </w:t>
      </w:r>
      <w:smartTag w:uri="urn:schemas-microsoft-com:office:smarttags" w:element="country-region">
        <w:smartTag w:uri="urn:schemas-microsoft-com:office:smarttags" w:element="place">
          <w:r w:rsidR="007905F6" w:rsidRPr="005529DD">
            <w:t>U.S.</w:t>
          </w:r>
        </w:smartTag>
      </w:smartTag>
      <w:r w:rsidR="007905F6" w:rsidRPr="005529DD">
        <w:t xml:space="preserve"> citizens</w:t>
      </w:r>
      <w:r w:rsidRPr="005529DD">
        <w:t xml:space="preserve">. The </w:t>
      </w:r>
      <w:smartTag w:uri="urn:schemas-microsoft-com:office:smarttags" w:element="Street">
        <w:smartTag w:uri="urn:schemas-microsoft-com:office:smarttags" w:element="address">
          <w:r w:rsidRPr="005529DD">
            <w:t>Regional Court</w:t>
          </w:r>
        </w:smartTag>
      </w:smartTag>
      <w:r w:rsidRPr="005529DD">
        <w:t xml:space="preserve"> confirmed this decision on appeal </w:t>
      </w:r>
      <w:r w:rsidR="007905F6" w:rsidRPr="005529DD">
        <w:t>o</w:t>
      </w:r>
      <w:r w:rsidRPr="005529DD">
        <w:t>n</w:t>
      </w:r>
      <w:r w:rsidR="007905F6" w:rsidRPr="005529DD">
        <w:t xml:space="preserve"> 25 February</w:t>
      </w:r>
      <w:r w:rsidRPr="005529DD">
        <w:t xml:space="preserve"> 1999. The authors then appeal</w:t>
      </w:r>
      <w:r w:rsidR="007905F6" w:rsidRPr="005529DD">
        <w:t>ed to</w:t>
      </w:r>
      <w:r w:rsidRPr="005529DD">
        <w:t xml:space="preserve"> the </w:t>
      </w:r>
      <w:smartTag w:uri="urn:schemas-microsoft-com:office:smarttags" w:element="Street">
        <w:smartTag w:uri="urn:schemas-microsoft-com:office:smarttags" w:element="address">
          <w:r w:rsidRPr="005529DD">
            <w:t>Constitutional Court</w:t>
          </w:r>
        </w:smartTag>
      </w:smartTag>
      <w:r w:rsidRPr="005529DD">
        <w:t xml:space="preserve">, which </w:t>
      </w:r>
      <w:r w:rsidR="007905F6" w:rsidRPr="005529DD">
        <w:t>rejected it on formal ground</w:t>
      </w:r>
      <w:r w:rsidRPr="005529DD">
        <w:t>s</w:t>
      </w:r>
      <w:r w:rsidR="00F01AA7" w:rsidRPr="005529DD">
        <w:t xml:space="preserve"> on 15 December 1999</w:t>
      </w:r>
      <w:r w:rsidRPr="005529DD">
        <w:t xml:space="preserve">. The authors also refer to the </w:t>
      </w:r>
      <w:smartTag w:uri="urn:schemas-microsoft-com:office:smarttags" w:element="Street">
        <w:smartTag w:uri="urn:schemas-microsoft-com:office:smarttags" w:element="address">
          <w:r w:rsidRPr="005529DD">
            <w:t>Constitutional Court</w:t>
          </w:r>
        </w:smartTag>
      </w:smartTag>
      <w:r w:rsidRPr="005529DD">
        <w:t xml:space="preserve"> decision of 4 June 1997</w:t>
      </w:r>
      <w:r w:rsidR="007905F6" w:rsidRPr="005529DD">
        <w:t>,</w:t>
      </w:r>
      <w:r w:rsidRPr="005529DD">
        <w:t xml:space="preserve"> which rejected all claims for restitution from persons who were not Czech citizens</w:t>
      </w:r>
      <w:r w:rsidR="007905F6" w:rsidRPr="005529DD">
        <w:t xml:space="preserve"> at the time of </w:t>
      </w:r>
      <w:r w:rsidR="00785D32" w:rsidRPr="005529DD">
        <w:t>filing their claim</w:t>
      </w:r>
      <w:r w:rsidRPr="005529DD">
        <w:t xml:space="preserve">.  </w:t>
      </w:r>
    </w:p>
    <w:p w:rsidR="003B320C" w:rsidRPr="005529DD" w:rsidRDefault="003B320C" w:rsidP="00E009FD">
      <w:pPr>
        <w:tabs>
          <w:tab w:val="left" w:pos="567"/>
        </w:tabs>
        <w:spacing w:after="240"/>
        <w:jc w:val="both"/>
        <w:rPr>
          <w:b/>
          <w:bCs/>
        </w:rPr>
      </w:pPr>
      <w:r w:rsidRPr="005529DD">
        <w:rPr>
          <w:b/>
          <w:bCs/>
        </w:rPr>
        <w:t>The complaint</w:t>
      </w:r>
    </w:p>
    <w:p w:rsidR="003B320C" w:rsidRPr="005529DD" w:rsidRDefault="003B320C" w:rsidP="00E009FD">
      <w:pPr>
        <w:numPr>
          <w:ilvl w:val="0"/>
          <w:numId w:val="8"/>
        </w:numPr>
        <w:tabs>
          <w:tab w:val="clear" w:pos="720"/>
          <w:tab w:val="left" w:pos="567"/>
        </w:tabs>
        <w:spacing w:after="240"/>
        <w:ind w:left="0" w:firstLine="0"/>
        <w:jc w:val="both"/>
      </w:pPr>
      <w:r w:rsidRPr="005529DD">
        <w:t>The authors allege that they are victims of discrimination, and argue that the requirement of citizenship for restitution of their property under Act No. 87/1991 is in violation of article 26 of the Covenant.</w:t>
      </w:r>
    </w:p>
    <w:p w:rsidR="003B320C" w:rsidRPr="005529DD" w:rsidRDefault="003B320C" w:rsidP="00E009FD">
      <w:pPr>
        <w:tabs>
          <w:tab w:val="left" w:pos="567"/>
        </w:tabs>
        <w:spacing w:after="240"/>
        <w:jc w:val="both"/>
        <w:rPr>
          <w:b/>
          <w:bCs/>
        </w:rPr>
      </w:pPr>
      <w:r w:rsidRPr="005529DD">
        <w:rPr>
          <w:b/>
          <w:bCs/>
        </w:rPr>
        <w:t>The Stat</w:t>
      </w:r>
      <w:r w:rsidR="009E756B" w:rsidRPr="005529DD">
        <w:rPr>
          <w:b/>
          <w:bCs/>
        </w:rPr>
        <w:t xml:space="preserve">e party’s observations </w:t>
      </w:r>
      <w:r w:rsidR="005529DD" w:rsidRPr="005529DD">
        <w:rPr>
          <w:b/>
          <w:bCs/>
        </w:rPr>
        <w:t>on admissibility</w:t>
      </w:r>
      <w:r w:rsidRPr="005529DD">
        <w:rPr>
          <w:b/>
          <w:bCs/>
        </w:rPr>
        <w:t xml:space="preserve"> and merits</w:t>
      </w:r>
    </w:p>
    <w:p w:rsidR="003B320C" w:rsidRPr="005529DD" w:rsidRDefault="003B320C" w:rsidP="00E009FD">
      <w:pPr>
        <w:numPr>
          <w:ilvl w:val="1"/>
          <w:numId w:val="3"/>
        </w:numPr>
        <w:tabs>
          <w:tab w:val="clear" w:pos="720"/>
          <w:tab w:val="left" w:pos="567"/>
        </w:tabs>
        <w:spacing w:after="240"/>
        <w:ind w:left="0" w:firstLine="0"/>
        <w:jc w:val="both"/>
      </w:pPr>
      <w:r w:rsidRPr="005529DD">
        <w:t>In its submission of 15 January 200</w:t>
      </w:r>
      <w:r w:rsidR="009E756B" w:rsidRPr="005529DD">
        <w:t xml:space="preserve">8, the State party </w:t>
      </w:r>
      <w:r w:rsidR="005529DD" w:rsidRPr="005529DD">
        <w:t>addresses both</w:t>
      </w:r>
      <w:r w:rsidR="00C551BE" w:rsidRPr="005529DD">
        <w:t xml:space="preserve"> </w:t>
      </w:r>
      <w:r w:rsidR="005529DD" w:rsidRPr="005529DD">
        <w:t>the admissibility</w:t>
      </w:r>
      <w:r w:rsidRPr="005529DD">
        <w:t xml:space="preserve"> and </w:t>
      </w:r>
      <w:r w:rsidR="00C551BE" w:rsidRPr="005529DD">
        <w:t xml:space="preserve">the </w:t>
      </w:r>
      <w:r w:rsidRPr="005529DD">
        <w:t xml:space="preserve">merits of the communication. </w:t>
      </w:r>
      <w:r w:rsidR="00C551BE" w:rsidRPr="005529DD">
        <w:t xml:space="preserve">So far </w:t>
      </w:r>
      <w:r w:rsidR="005529DD" w:rsidRPr="005529DD">
        <w:t>as the</w:t>
      </w:r>
      <w:r w:rsidR="005529DD">
        <w:t xml:space="preserve"> facts </w:t>
      </w:r>
      <w:r w:rsidR="00C551BE" w:rsidRPr="005529DD">
        <w:t>are concerned</w:t>
      </w:r>
      <w:r w:rsidR="005529DD">
        <w:t>,</w:t>
      </w:r>
      <w:r w:rsidRPr="005529DD">
        <w:t xml:space="preserve"> the State party notes that the authors lost Czechoslovak citizenship as a consequence of their acquiring </w:t>
      </w:r>
      <w:smartTag w:uri="urn:schemas-microsoft-com:office:smarttags" w:element="country-region">
        <w:smartTag w:uri="urn:schemas-microsoft-com:office:smarttags" w:element="place">
          <w:r w:rsidR="00785D32" w:rsidRPr="005529DD">
            <w:t>U.S.</w:t>
          </w:r>
        </w:smartTag>
      </w:smartTag>
      <w:r w:rsidRPr="005529DD">
        <w:t xml:space="preserve"> citizenship, on the basis of the Naturalisation Treaty of 1928 between the two countries. The authors </w:t>
      </w:r>
      <w:r w:rsidR="00785D32" w:rsidRPr="005529DD">
        <w:t>re-</w:t>
      </w:r>
      <w:r w:rsidRPr="005529DD">
        <w:t>acquired Czech citizenship by declaration</w:t>
      </w:r>
      <w:r w:rsidR="00785D32" w:rsidRPr="005529DD">
        <w:t xml:space="preserve"> made</w:t>
      </w:r>
      <w:r w:rsidRPr="005529DD">
        <w:t xml:space="preserve"> on 10 May 2000. The State party reviews the various court proceedings initiated by the authors, until the last decision of </w:t>
      </w:r>
      <w:r w:rsidR="00670E8A" w:rsidRPr="005529DD">
        <w:t xml:space="preserve">the </w:t>
      </w:r>
      <w:r w:rsidRPr="005529DD">
        <w:t>Constitutional Court o</w:t>
      </w:r>
      <w:r w:rsidR="00785D32" w:rsidRPr="005529DD">
        <w:t>f</w:t>
      </w:r>
      <w:r w:rsidRPr="005529DD">
        <w:t xml:space="preserve"> 15 December 1999, which dismis</w:t>
      </w:r>
      <w:r w:rsidR="00670E8A" w:rsidRPr="005529DD">
        <w:t>sed the authors’ appeal, as it was</w:t>
      </w:r>
      <w:r w:rsidRPr="005529DD">
        <w:t xml:space="preserve"> not represented by a lawyer, </w:t>
      </w:r>
      <w:r w:rsidR="00785D32" w:rsidRPr="005529DD">
        <w:t>as required</w:t>
      </w:r>
      <w:r w:rsidRPr="005529DD">
        <w:t xml:space="preserve">. The State party reviews the relevant applicable law, </w:t>
      </w:r>
      <w:r w:rsidR="001F040E" w:rsidRPr="005529DD">
        <w:t>namely</w:t>
      </w:r>
      <w:r w:rsidR="00785D32" w:rsidRPr="005529DD">
        <w:t>.</w:t>
      </w:r>
      <w:r w:rsidRPr="005529DD">
        <w:t xml:space="preserve"> Act No. 119/1990 on Judicial Rehabilitation and Act No. 87/1991 o</w:t>
      </w:r>
      <w:r w:rsidR="005C361F" w:rsidRPr="005529DD">
        <w:t>n Extra-judicial Rehabilitation</w:t>
      </w:r>
      <w:r w:rsidRPr="005529DD">
        <w:t>, and refers to the Constitutional Court’s decision of 11 March 1997, which established that final court decisions adopted under Act 119/1990 do not constitute a</w:t>
      </w:r>
      <w:r w:rsidR="00785D32" w:rsidRPr="005529DD">
        <w:t xml:space="preserve"> proper</w:t>
      </w:r>
      <w:r w:rsidRPr="005529DD">
        <w:t xml:space="preserve"> instrument for the acquisition of property. In a subsequent decision</w:t>
      </w:r>
      <w:r w:rsidRPr="005529DD">
        <w:rPr>
          <w:rStyle w:val="FootnoteReference"/>
        </w:rPr>
        <w:footnoteReference w:id="6"/>
      </w:r>
      <w:r w:rsidRPr="005529DD">
        <w:t xml:space="preserve">, the </w:t>
      </w:r>
      <w:smartTag w:uri="urn:schemas-microsoft-com:office:smarttags" w:element="Street">
        <w:smartTag w:uri="urn:schemas-microsoft-com:office:smarttags" w:element="address">
          <w:r w:rsidRPr="005529DD">
            <w:t>Constitutional Court</w:t>
          </w:r>
        </w:smartTag>
      </w:smartTag>
      <w:r w:rsidRPr="005529DD">
        <w:t xml:space="preserve"> ruled that persons cla</w:t>
      </w:r>
      <w:r w:rsidR="005B77ED" w:rsidRPr="005529DD">
        <w:t>iming the surrender of a property</w:t>
      </w:r>
      <w:r w:rsidRPr="005529DD">
        <w:t xml:space="preserve"> under Act No. 87/1991 had to comply with all the requirements set forth in t</w:t>
      </w:r>
      <w:r w:rsidR="00785D32" w:rsidRPr="005529DD">
        <w:t>he</w:t>
      </w:r>
      <w:r w:rsidRPr="005529DD">
        <w:t xml:space="preserve"> law, including the citizenship requirement</w:t>
      </w:r>
      <w:r w:rsidRPr="005529DD">
        <w:rPr>
          <w:rStyle w:val="FootnoteReference"/>
        </w:rPr>
        <w:footnoteReference w:id="7"/>
      </w:r>
      <w:r w:rsidRPr="005529DD">
        <w:t xml:space="preserve">. </w:t>
      </w:r>
    </w:p>
    <w:p w:rsidR="003B320C" w:rsidRPr="005529DD" w:rsidRDefault="003B320C" w:rsidP="00E009FD">
      <w:pPr>
        <w:numPr>
          <w:ilvl w:val="1"/>
          <w:numId w:val="3"/>
        </w:numPr>
        <w:tabs>
          <w:tab w:val="clear" w:pos="720"/>
          <w:tab w:val="left" w:pos="567"/>
        </w:tabs>
        <w:spacing w:after="240"/>
        <w:ind w:left="0" w:firstLine="0"/>
        <w:jc w:val="both"/>
      </w:pPr>
      <w:r w:rsidRPr="005529DD">
        <w:t xml:space="preserve"> The State party notes that the authors consider</w:t>
      </w:r>
      <w:r w:rsidR="00FE7EA1" w:rsidRPr="005529DD">
        <w:t xml:space="preserve"> </w:t>
      </w:r>
      <w:r w:rsidR="00DE576C" w:rsidRPr="005529DD">
        <w:t>themselves</w:t>
      </w:r>
      <w:r w:rsidRPr="005529DD">
        <w:t xml:space="preserve"> to be victims of a violation of article 26 of </w:t>
      </w:r>
      <w:r w:rsidR="00785D32" w:rsidRPr="005529DD">
        <w:t>the Covenant</w:t>
      </w:r>
      <w:r w:rsidR="00FE7EA1" w:rsidRPr="005529DD">
        <w:t xml:space="preserve"> as a result of the lack of success</w:t>
      </w:r>
      <w:r w:rsidR="00B7523C" w:rsidRPr="005529DD">
        <w:t xml:space="preserve"> </w:t>
      </w:r>
      <w:r w:rsidR="00FE7EA1" w:rsidRPr="005529DD">
        <w:t>in the</w:t>
      </w:r>
      <w:r w:rsidRPr="005529DD">
        <w:t xml:space="preserve"> restitution proceedings they </w:t>
      </w:r>
      <w:r w:rsidR="00785D32" w:rsidRPr="005529DD">
        <w:t>had initiated</w:t>
      </w:r>
      <w:r w:rsidRPr="005529DD">
        <w:t xml:space="preserve">. </w:t>
      </w:r>
      <w:r w:rsidR="00785D32" w:rsidRPr="005529DD">
        <w:t xml:space="preserve">On </w:t>
      </w:r>
      <w:r w:rsidRPr="005529DD">
        <w:t xml:space="preserve">admissibility, the State party notes that the last </w:t>
      </w:r>
      <w:r w:rsidR="00785D32" w:rsidRPr="005529DD">
        <w:t>domestic decision in the author</w:t>
      </w:r>
      <w:r w:rsidRPr="005529DD">
        <w:t>s</w:t>
      </w:r>
      <w:r w:rsidR="00785D32" w:rsidRPr="005529DD">
        <w:t>’</w:t>
      </w:r>
      <w:r w:rsidRPr="005529DD">
        <w:t xml:space="preserve"> case was adopted on </w:t>
      </w:r>
      <w:r w:rsidR="00785D32" w:rsidRPr="005529DD">
        <w:t>15 December 1999</w:t>
      </w:r>
      <w:r w:rsidRPr="005529DD">
        <w:t>. Thus, more than 6 years elapsed before the author approached the Committee. In the absence of new facts since the adoption of the last domestic decision, and in the absence of any reasonable explanation</w:t>
      </w:r>
      <w:r w:rsidR="00587BA2" w:rsidRPr="005529DD">
        <w:t xml:space="preserve"> whatsoever</w:t>
      </w:r>
      <w:r w:rsidRPr="005529DD">
        <w:rPr>
          <w:rStyle w:val="FootnoteReference"/>
        </w:rPr>
        <w:footnoteReference w:id="8"/>
      </w:r>
      <w:r w:rsidR="00587BA2" w:rsidRPr="005529DD">
        <w:t>,</w:t>
      </w:r>
      <w:r w:rsidRPr="005529DD">
        <w:t xml:space="preserve"> which may justify such delay, the State party invites the Committee to consider the communication inadmissible on the ground that it constitutes an abuse of the right to submit a communication, within the meaning of article 3 of the Optional Protocol. To support its claim, the State party invokes the Committee’s decisions in communications No. 1434/2005 </w:t>
      </w:r>
      <w:r w:rsidRPr="005529DD">
        <w:rPr>
          <w:i/>
          <w:iCs/>
        </w:rPr>
        <w:t xml:space="preserve">Fillacier </w:t>
      </w:r>
      <w:r w:rsidRPr="005529DD">
        <w:t xml:space="preserve">v. </w:t>
      </w:r>
      <w:r w:rsidRPr="005529DD">
        <w:rPr>
          <w:i/>
          <w:iCs/>
        </w:rPr>
        <w:t>France</w:t>
      </w:r>
      <w:r w:rsidRPr="005529DD">
        <w:rPr>
          <w:rStyle w:val="FootnoteReference"/>
          <w:i/>
          <w:iCs/>
        </w:rPr>
        <w:footnoteReference w:id="9"/>
      </w:r>
      <w:r w:rsidRPr="005529DD">
        <w:rPr>
          <w:i/>
          <w:iCs/>
        </w:rPr>
        <w:t xml:space="preserve">, </w:t>
      </w:r>
      <w:r w:rsidRPr="005529DD">
        <w:t xml:space="preserve">No. 787/1997 </w:t>
      </w:r>
      <w:r w:rsidRPr="005529DD">
        <w:rPr>
          <w:i/>
          <w:iCs/>
        </w:rPr>
        <w:t>Gobin v. Mauritius</w:t>
      </w:r>
      <w:r w:rsidRPr="005529DD">
        <w:rPr>
          <w:rStyle w:val="FootnoteReference"/>
          <w:i/>
          <w:iCs/>
        </w:rPr>
        <w:footnoteReference w:id="10"/>
      </w:r>
      <w:r w:rsidRPr="005529DD">
        <w:t xml:space="preserve">, and No. 1452/2006 </w:t>
      </w:r>
      <w:r w:rsidR="00297AE6" w:rsidRPr="005529DD">
        <w:rPr>
          <w:i/>
          <w:iCs/>
        </w:rPr>
        <w:t>Chytil</w:t>
      </w:r>
      <w:r w:rsidRPr="005529DD">
        <w:rPr>
          <w:i/>
          <w:iCs/>
        </w:rPr>
        <w:t xml:space="preserve"> </w:t>
      </w:r>
      <w:r w:rsidRPr="005529DD">
        <w:t xml:space="preserve">v. </w:t>
      </w:r>
      <w:r w:rsidRPr="005529DD">
        <w:rPr>
          <w:i/>
          <w:iCs/>
        </w:rPr>
        <w:t xml:space="preserve">the </w:t>
      </w:r>
      <w:smartTag w:uri="urn:schemas-microsoft-com:office:smarttags" w:element="place">
        <w:smartTag w:uri="urn:schemas-microsoft-com:office:smarttags" w:element="PlaceName">
          <w:r w:rsidRPr="005529DD">
            <w:rPr>
              <w:i/>
              <w:iCs/>
            </w:rPr>
            <w:t>Czech</w:t>
          </w:r>
        </w:smartTag>
        <w:r w:rsidRPr="005529DD">
          <w:rPr>
            <w:i/>
            <w:iCs/>
          </w:rPr>
          <w:t xml:space="preserve"> </w:t>
        </w:r>
        <w:smartTag w:uri="urn:schemas-microsoft-com:office:smarttags" w:element="PlaceType">
          <w:r w:rsidRPr="005529DD">
            <w:rPr>
              <w:i/>
              <w:iCs/>
            </w:rPr>
            <w:t>Republic</w:t>
          </w:r>
        </w:smartTag>
      </w:smartTag>
      <w:r w:rsidRPr="005529DD">
        <w:rPr>
          <w:rStyle w:val="FootnoteReference"/>
          <w:i/>
          <w:iCs/>
        </w:rPr>
        <w:footnoteReference w:id="11"/>
      </w:r>
      <w:r w:rsidRPr="005529DD">
        <w:t xml:space="preserve"> . </w:t>
      </w:r>
    </w:p>
    <w:p w:rsidR="003B320C" w:rsidRPr="005529DD" w:rsidRDefault="003B320C" w:rsidP="00E009FD">
      <w:pPr>
        <w:numPr>
          <w:ilvl w:val="1"/>
          <w:numId w:val="3"/>
        </w:numPr>
        <w:tabs>
          <w:tab w:val="clear" w:pos="720"/>
          <w:tab w:val="left" w:pos="0"/>
        </w:tabs>
        <w:spacing w:after="240"/>
        <w:ind w:left="0" w:firstLine="0"/>
        <w:jc w:val="both"/>
      </w:pPr>
      <w:r w:rsidRPr="005529DD">
        <w:t xml:space="preserve">Subsidiarily, the State party argues that the claim is inadmissible </w:t>
      </w:r>
      <w:r w:rsidRPr="005529DD">
        <w:rPr>
          <w:i/>
          <w:iCs/>
        </w:rPr>
        <w:t>ratione temporis</w:t>
      </w:r>
      <w:r w:rsidRPr="005529DD">
        <w:t xml:space="preserve">, as the authors’ property was forfeited in 1971, </w:t>
      </w:r>
      <w:r w:rsidR="001C28AF" w:rsidRPr="005529DD">
        <w:t xml:space="preserve">i.e. </w:t>
      </w:r>
      <w:r w:rsidRPr="005529DD">
        <w:t xml:space="preserve">long before the Covenant and the Optional Protocol entered into force for the </w:t>
      </w:r>
      <w:smartTag w:uri="urn:schemas-microsoft-com:office:smarttags" w:element="place">
        <w:smartTag w:uri="urn:schemas-microsoft-com:office:smarttags" w:element="PlaceName">
          <w:r w:rsidRPr="005529DD">
            <w:t>Czech</w:t>
          </w:r>
        </w:smartTag>
        <w:r w:rsidRPr="005529DD">
          <w:t xml:space="preserve"> </w:t>
        </w:r>
        <w:smartTag w:uri="urn:schemas-microsoft-com:office:smarttags" w:element="PlaceType">
          <w:r w:rsidRPr="005529DD">
            <w:t>Republic</w:t>
          </w:r>
        </w:smartTag>
      </w:smartTag>
      <w:r w:rsidRPr="005529DD">
        <w:t xml:space="preserve">.  </w:t>
      </w:r>
    </w:p>
    <w:p w:rsidR="003B320C" w:rsidRPr="005529DD" w:rsidRDefault="001C28AF" w:rsidP="00E009FD">
      <w:pPr>
        <w:numPr>
          <w:ilvl w:val="1"/>
          <w:numId w:val="3"/>
        </w:numPr>
        <w:tabs>
          <w:tab w:val="clear" w:pos="720"/>
          <w:tab w:val="left" w:pos="567"/>
        </w:tabs>
        <w:spacing w:after="240"/>
        <w:ind w:left="0" w:firstLine="0"/>
        <w:jc w:val="both"/>
      </w:pPr>
      <w:r w:rsidRPr="005529DD">
        <w:t>On</w:t>
      </w:r>
      <w:r w:rsidR="003B320C" w:rsidRPr="005529DD">
        <w:t xml:space="preserve"> the merits of the case, the State party notes that the right </w:t>
      </w:r>
      <w:r w:rsidRPr="005529DD">
        <w:t>under</w:t>
      </w:r>
      <w:r w:rsidR="003B320C" w:rsidRPr="005529DD">
        <w:t xml:space="preserve"> article 26 of the Covenant, invoked by the authors, is an autonomous right, independent of any other right </w:t>
      </w:r>
      <w:r w:rsidRPr="005529DD">
        <w:t>guaranteed by</w:t>
      </w:r>
      <w:r w:rsidR="003B320C" w:rsidRPr="005529DD">
        <w:t xml:space="preserve"> the Covenant. </w:t>
      </w:r>
      <w:r w:rsidRPr="005529DD">
        <w:t>It recalls</w:t>
      </w:r>
      <w:r w:rsidR="003B320C" w:rsidRPr="005529DD">
        <w:t xml:space="preserve"> that in its jurisprudence, the Committee has reiterated that not all differences of treatment are discriminatory, and that a differentiation based on reasonable and objective criteria does not amount to prohibited discrimination within the meaning of article 26</w:t>
      </w:r>
      <w:r w:rsidR="003B320C" w:rsidRPr="005529DD">
        <w:rPr>
          <w:rStyle w:val="FootnoteReference"/>
        </w:rPr>
        <w:footnoteReference w:id="12"/>
      </w:r>
      <w:r w:rsidR="003B320C" w:rsidRPr="005529DD">
        <w:t xml:space="preserve">. Article 26 </w:t>
      </w:r>
      <w:r w:rsidRPr="005529DD">
        <w:t>does not imply</w:t>
      </w:r>
      <w:r w:rsidR="003B320C" w:rsidRPr="005529DD">
        <w:t xml:space="preserve"> that </w:t>
      </w:r>
      <w:r w:rsidR="006C0059" w:rsidRPr="005529DD">
        <w:t>a State would be obliged to set</w:t>
      </w:r>
      <w:r w:rsidR="00806B8F" w:rsidRPr="005529DD">
        <w:t xml:space="preserve"> </w:t>
      </w:r>
      <w:r w:rsidR="00DE576C" w:rsidRPr="005529DD">
        <w:t>right injustice</w:t>
      </w:r>
      <w:r w:rsidR="003B320C" w:rsidRPr="005529DD">
        <w:t xml:space="preserve"> of the past, especially considering the fact that the Covenant </w:t>
      </w:r>
      <w:r w:rsidRPr="005529DD">
        <w:t>was not applicable</w:t>
      </w:r>
      <w:r w:rsidR="003B320C" w:rsidRPr="005529DD">
        <w:t xml:space="preserve"> at that time of the </w:t>
      </w:r>
      <w:r w:rsidRPr="005529DD">
        <w:t xml:space="preserve">former communist </w:t>
      </w:r>
      <w:smartTag w:uri="urn:schemas-microsoft-com:office:smarttags" w:element="place">
        <w:smartTag w:uri="urn:schemas-microsoft-com:office:smarttags" w:element="country-region">
          <w:r w:rsidRPr="005529DD">
            <w:t>Czechoslovakia</w:t>
          </w:r>
        </w:smartTag>
      </w:smartTag>
      <w:r w:rsidR="003B320C" w:rsidRPr="005529DD">
        <w:t xml:space="preserve">. </w:t>
      </w:r>
    </w:p>
    <w:p w:rsidR="003B320C" w:rsidRPr="005529DD" w:rsidRDefault="003B320C" w:rsidP="00E009FD">
      <w:pPr>
        <w:numPr>
          <w:ilvl w:val="1"/>
          <w:numId w:val="3"/>
        </w:numPr>
        <w:tabs>
          <w:tab w:val="clear" w:pos="720"/>
          <w:tab w:val="left" w:pos="567"/>
        </w:tabs>
        <w:spacing w:after="240"/>
        <w:ind w:left="0" w:firstLine="0"/>
        <w:jc w:val="both"/>
      </w:pPr>
      <w:r w:rsidRPr="005529DD">
        <w:t>The State party further notes that it was not feasible to remedy all injustices of the past, and that as part of its legitimate prerogatives, the legislator, using its</w:t>
      </w:r>
      <w:r w:rsidR="00CD06DB" w:rsidRPr="005529DD">
        <w:t xml:space="preserve"> margin of</w:t>
      </w:r>
      <w:r w:rsidRPr="005529DD">
        <w:t xml:space="preserve"> discretion, had to decide over which factual areas, and </w:t>
      </w:r>
      <w:r w:rsidR="00691DFB" w:rsidRPr="005529DD">
        <w:t>in which way it would legislate</w:t>
      </w:r>
      <w:r w:rsidRPr="005529DD">
        <w:t xml:space="preserve">, so as to mitigate damages, knowing that it would need to take into consideration a number of antagonistic interests. The authors’ action was not successful because they did not comply with the citizenship requirement in Act No. 87/1991. The State party </w:t>
      </w:r>
      <w:r w:rsidR="00CD06DB" w:rsidRPr="005529DD">
        <w:t>invokes</w:t>
      </w:r>
      <w:r w:rsidRPr="005529DD">
        <w:t xml:space="preserve"> other arguments it </w:t>
      </w:r>
      <w:r w:rsidR="00CD06DB" w:rsidRPr="005529DD">
        <w:t>previously</w:t>
      </w:r>
      <w:r w:rsidRPr="005529DD">
        <w:t xml:space="preserve"> submitted to the Committee</w:t>
      </w:r>
      <w:r w:rsidR="00CD06DB" w:rsidRPr="005529DD">
        <w:t>. T</w:t>
      </w:r>
      <w:r w:rsidRPr="005529DD">
        <w:t>he State party c</w:t>
      </w:r>
      <w:r w:rsidR="00CD06DB" w:rsidRPr="005529DD">
        <w:t>oncludes</w:t>
      </w:r>
      <w:r w:rsidRPr="005529DD">
        <w:t xml:space="preserve"> that it </w:t>
      </w:r>
      <w:r w:rsidR="00CD06DB" w:rsidRPr="005529DD">
        <w:t>did not violate</w:t>
      </w:r>
      <w:r w:rsidRPr="005529DD">
        <w:t xml:space="preserve"> article 26 in the present case. </w:t>
      </w:r>
    </w:p>
    <w:p w:rsidR="003B320C" w:rsidRPr="005529DD" w:rsidRDefault="00CD06DB" w:rsidP="00E009FD">
      <w:pPr>
        <w:tabs>
          <w:tab w:val="left" w:pos="567"/>
        </w:tabs>
        <w:spacing w:after="240"/>
        <w:jc w:val="both"/>
        <w:rPr>
          <w:b/>
          <w:bCs/>
        </w:rPr>
      </w:pPr>
      <w:r w:rsidRPr="005529DD">
        <w:rPr>
          <w:b/>
          <w:bCs/>
        </w:rPr>
        <w:t>A</w:t>
      </w:r>
      <w:r w:rsidR="003B320C" w:rsidRPr="005529DD">
        <w:rPr>
          <w:b/>
          <w:bCs/>
        </w:rPr>
        <w:t>uthors’ comments on the State party’s observations</w:t>
      </w:r>
    </w:p>
    <w:p w:rsidR="003B320C" w:rsidRPr="005529DD" w:rsidRDefault="003B320C" w:rsidP="00E009FD">
      <w:pPr>
        <w:numPr>
          <w:ilvl w:val="1"/>
          <w:numId w:val="4"/>
        </w:numPr>
        <w:tabs>
          <w:tab w:val="clear" w:pos="720"/>
          <w:tab w:val="left" w:pos="567"/>
        </w:tabs>
        <w:spacing w:after="240"/>
        <w:ind w:left="0" w:firstLine="0"/>
        <w:jc w:val="both"/>
      </w:pPr>
      <w:r w:rsidRPr="005529DD">
        <w:t>In their comment</w:t>
      </w:r>
      <w:r w:rsidR="00CD06DB" w:rsidRPr="005529DD">
        <w:t>s</w:t>
      </w:r>
      <w:r w:rsidRPr="005529DD">
        <w:t xml:space="preserve"> dated 18 February 2008, the authors maintain that Act No. 87/1991 is discriminatory, and </w:t>
      </w:r>
      <w:r w:rsidR="00CD06DB" w:rsidRPr="005529DD">
        <w:t>in violation of the Covenant. They invoke</w:t>
      </w:r>
      <w:r w:rsidRPr="005529DD">
        <w:t xml:space="preserve"> the Committee’s concluding observations on the second periodic report of the </w:t>
      </w:r>
      <w:smartTag w:uri="urn:schemas-microsoft-com:office:smarttags" w:element="place">
        <w:smartTag w:uri="urn:schemas-microsoft-com:office:smarttags" w:element="PlaceName">
          <w:r w:rsidRPr="005529DD">
            <w:t>Czech</w:t>
          </w:r>
        </w:smartTag>
        <w:r w:rsidRPr="005529DD">
          <w:t xml:space="preserve"> </w:t>
        </w:r>
        <w:smartTag w:uri="urn:schemas-microsoft-com:office:smarttags" w:element="PlaceType">
          <w:r w:rsidRPr="005529DD">
            <w:t>Republic</w:t>
          </w:r>
        </w:smartTag>
      </w:smartTag>
      <w:r w:rsidRPr="005529DD">
        <w:rPr>
          <w:rStyle w:val="FootnoteReference"/>
        </w:rPr>
        <w:footnoteReference w:id="13"/>
      </w:r>
      <w:r w:rsidRPr="005529DD">
        <w:t xml:space="preserve"> and </w:t>
      </w:r>
      <w:r w:rsidR="00CD06DB" w:rsidRPr="005529DD">
        <w:t>V</w:t>
      </w:r>
      <w:r w:rsidRPr="005529DD">
        <w:t>iews in similar cases</w:t>
      </w:r>
      <w:r w:rsidR="00CD06DB" w:rsidRPr="005529DD">
        <w:t>,</w:t>
      </w:r>
      <w:r w:rsidRPr="005529DD">
        <w:t xml:space="preserve"> where there had been a finding</w:t>
      </w:r>
      <w:r w:rsidR="00CD06DB" w:rsidRPr="005529DD">
        <w:t xml:space="preserve"> of violation</w:t>
      </w:r>
      <w:r w:rsidRPr="005529DD">
        <w:t>. The</w:t>
      </w:r>
      <w:r w:rsidR="006355D6" w:rsidRPr="005529DD">
        <w:t>y</w:t>
      </w:r>
      <w:r w:rsidRPr="005529DD">
        <w:t xml:space="preserve"> </w:t>
      </w:r>
      <w:r w:rsidR="006355D6" w:rsidRPr="005529DD">
        <w:t>argue</w:t>
      </w:r>
      <w:r w:rsidRPr="005529DD">
        <w:t xml:space="preserve"> that the domestic rulings invoked by the State party, including the </w:t>
      </w:r>
      <w:smartTag w:uri="urn:schemas-microsoft-com:office:smarttags" w:element="Street">
        <w:smartTag w:uri="urn:schemas-microsoft-com:office:smarttags" w:element="address">
          <w:r w:rsidRPr="005529DD">
            <w:t>Constitutional Court</w:t>
          </w:r>
        </w:smartTag>
      </w:smartTag>
      <w:r w:rsidRPr="005529DD">
        <w:t xml:space="preserve"> decisions, cannot take precedence over the Covenant.  </w:t>
      </w:r>
    </w:p>
    <w:p w:rsidR="003B320C" w:rsidRPr="005529DD" w:rsidRDefault="003B320C" w:rsidP="00E009FD">
      <w:pPr>
        <w:numPr>
          <w:ilvl w:val="1"/>
          <w:numId w:val="4"/>
        </w:numPr>
        <w:tabs>
          <w:tab w:val="clear" w:pos="720"/>
          <w:tab w:val="left" w:pos="567"/>
        </w:tabs>
        <w:spacing w:after="240"/>
        <w:ind w:left="0" w:firstLine="0"/>
        <w:jc w:val="both"/>
        <w:rPr>
          <w:b/>
          <w:bCs/>
        </w:rPr>
      </w:pPr>
      <w:r w:rsidRPr="005529DD">
        <w:t xml:space="preserve">Regarding the issue of delay and the contention that the authors abused their right of submission, the authors reject the State party’s argument. They note that the </w:t>
      </w:r>
      <w:r w:rsidR="006355D6" w:rsidRPr="005529DD">
        <w:t xml:space="preserve">Optional </w:t>
      </w:r>
      <w:r w:rsidRPr="005529DD">
        <w:t xml:space="preserve">Protocol does not </w:t>
      </w:r>
      <w:r w:rsidR="006355D6" w:rsidRPr="005529DD">
        <w:t xml:space="preserve">establish </w:t>
      </w:r>
      <w:r w:rsidRPr="005529DD">
        <w:t xml:space="preserve">any deadline for the submission of complaints, and </w:t>
      </w:r>
      <w:r w:rsidR="006355D6" w:rsidRPr="005529DD">
        <w:t>claim</w:t>
      </w:r>
      <w:r w:rsidRPr="005529DD">
        <w:t xml:space="preserve"> that the delay in submitting the communication was caused by lack of information. They state in this respect that the State party does not publish and translate Committee</w:t>
      </w:r>
      <w:r w:rsidR="006355D6" w:rsidRPr="005529DD">
        <w:t xml:space="preserve"> decisions</w:t>
      </w:r>
      <w:r w:rsidRPr="005529DD">
        <w:t xml:space="preserve">. </w:t>
      </w:r>
    </w:p>
    <w:p w:rsidR="003B320C" w:rsidRPr="005529DD" w:rsidRDefault="003B320C" w:rsidP="00E009FD">
      <w:pPr>
        <w:numPr>
          <w:ilvl w:val="1"/>
          <w:numId w:val="4"/>
        </w:numPr>
        <w:tabs>
          <w:tab w:val="clear" w:pos="720"/>
          <w:tab w:val="left" w:pos="567"/>
        </w:tabs>
        <w:spacing w:after="240"/>
        <w:ind w:left="0" w:firstLine="0"/>
        <w:jc w:val="both"/>
        <w:rPr>
          <w:b/>
          <w:bCs/>
        </w:rPr>
      </w:pPr>
      <w:r w:rsidRPr="005529DD">
        <w:t xml:space="preserve">The authors </w:t>
      </w:r>
      <w:r w:rsidR="005642CA" w:rsidRPr="005529DD">
        <w:t>disagree with</w:t>
      </w:r>
      <w:r w:rsidRPr="005529DD">
        <w:t xml:space="preserve"> the State party’s argument that their claim should be considered inadmissible </w:t>
      </w:r>
      <w:r w:rsidRPr="005529DD">
        <w:rPr>
          <w:i/>
          <w:iCs/>
        </w:rPr>
        <w:t>ratione temporis</w:t>
      </w:r>
      <w:r w:rsidR="005642CA" w:rsidRPr="005529DD">
        <w:rPr>
          <w:i/>
          <w:iCs/>
        </w:rPr>
        <w:t xml:space="preserve">, </w:t>
      </w:r>
      <w:r w:rsidR="00DA37A1" w:rsidRPr="005529DD">
        <w:t>since</w:t>
      </w:r>
      <w:r w:rsidR="005642CA" w:rsidRPr="005529DD">
        <w:t xml:space="preserve"> the </w:t>
      </w:r>
      <w:r w:rsidRPr="005529DD">
        <w:t xml:space="preserve">relevant Czech restitution laws and court decisions were adopted after the Covenant </w:t>
      </w:r>
      <w:r w:rsidR="005642CA" w:rsidRPr="005529DD">
        <w:t xml:space="preserve">had </w:t>
      </w:r>
      <w:r w:rsidRPr="005529DD">
        <w:t xml:space="preserve">entered into force for the </w:t>
      </w:r>
      <w:smartTag w:uri="urn:schemas-microsoft-com:office:smarttags" w:element="country-region">
        <w:smartTag w:uri="urn:schemas-microsoft-com:office:smarttags" w:element="place">
          <w:r w:rsidRPr="005529DD">
            <w:t>Czech Republic</w:t>
          </w:r>
        </w:smartTag>
      </w:smartTag>
      <w:r w:rsidRPr="005529DD">
        <w:t>.</w:t>
      </w:r>
    </w:p>
    <w:p w:rsidR="003B320C" w:rsidRPr="005529DD" w:rsidRDefault="003B320C" w:rsidP="00E009FD">
      <w:pPr>
        <w:tabs>
          <w:tab w:val="left" w:pos="567"/>
        </w:tabs>
        <w:spacing w:after="240"/>
        <w:jc w:val="both"/>
        <w:rPr>
          <w:b/>
          <w:bCs/>
        </w:rPr>
      </w:pPr>
      <w:r w:rsidRPr="005529DD">
        <w:rPr>
          <w:b/>
          <w:bCs/>
        </w:rPr>
        <w:t>Issues and proceedings before the Committee</w:t>
      </w:r>
    </w:p>
    <w:p w:rsidR="003B320C" w:rsidRPr="005529DD" w:rsidRDefault="003B320C" w:rsidP="00E009FD">
      <w:pPr>
        <w:tabs>
          <w:tab w:val="left" w:pos="567"/>
        </w:tabs>
        <w:spacing w:after="240"/>
        <w:jc w:val="both"/>
        <w:rPr>
          <w:b/>
          <w:bCs/>
        </w:rPr>
      </w:pPr>
      <w:r w:rsidRPr="005529DD">
        <w:rPr>
          <w:b/>
          <w:bCs/>
        </w:rPr>
        <w:t>Consideration of admissibility</w:t>
      </w:r>
    </w:p>
    <w:p w:rsidR="000B013D" w:rsidRDefault="00316D3C" w:rsidP="00316D3C">
      <w:pPr>
        <w:tabs>
          <w:tab w:val="left" w:pos="567"/>
        </w:tabs>
        <w:autoSpaceDE w:val="0"/>
        <w:autoSpaceDN w:val="0"/>
        <w:adjustRightInd w:val="0"/>
        <w:spacing w:after="240"/>
        <w:jc w:val="both"/>
      </w:pPr>
      <w:r>
        <w:t xml:space="preserve">6.1 </w:t>
      </w:r>
      <w:r w:rsidR="00B53A71">
        <w:tab/>
      </w:r>
      <w:r w:rsidR="00D00636" w:rsidRPr="005529DD">
        <w:t>Before considering any claims contained in a communication, the Human Rights Committee must, in accordance with article 93 of its rules of procedure, decide whether or not it is admissible under the Optional Protocol to the Covenant.</w:t>
      </w:r>
    </w:p>
    <w:p w:rsidR="000B013D" w:rsidRDefault="00316D3C" w:rsidP="00316D3C">
      <w:pPr>
        <w:tabs>
          <w:tab w:val="left" w:pos="567"/>
        </w:tabs>
        <w:autoSpaceDE w:val="0"/>
        <w:autoSpaceDN w:val="0"/>
        <w:adjustRightInd w:val="0"/>
        <w:spacing w:after="240"/>
        <w:jc w:val="both"/>
      </w:pPr>
      <w:r>
        <w:t xml:space="preserve">6.2 </w:t>
      </w:r>
      <w:r w:rsidR="00B53A71">
        <w:tab/>
      </w:r>
      <w:r w:rsidR="00D00636" w:rsidRPr="005529DD">
        <w:t xml:space="preserve">The Committee has ascertained, as required under article 5, paragraph 2 (a), of the Optional Protocol, that the same matter is not being examined under another procedure of international investigation or settlement. </w:t>
      </w:r>
    </w:p>
    <w:p w:rsidR="00D00636" w:rsidRPr="005529DD" w:rsidRDefault="00316D3C" w:rsidP="00316D3C">
      <w:pPr>
        <w:tabs>
          <w:tab w:val="left" w:pos="567"/>
        </w:tabs>
        <w:autoSpaceDE w:val="0"/>
        <w:autoSpaceDN w:val="0"/>
        <w:adjustRightInd w:val="0"/>
        <w:spacing w:after="240"/>
        <w:jc w:val="both"/>
      </w:pPr>
      <w:r>
        <w:t xml:space="preserve">6.3 </w:t>
      </w:r>
      <w:r w:rsidR="00B53A71">
        <w:tab/>
      </w:r>
      <w:r w:rsidR="00D00636" w:rsidRPr="005529DD">
        <w:t>The Committee has noted the State party’s argument that the communication should be declared inadmissible as an abuse of the right of submission because of the long delay between the final judicial decision in the case and the submission of the communication to the Committee. The Committee notes that the Optional Protocol does not establish time limits within which a communication must be submitted. It is only in exceptional circumstances that the delay in submitting a communication can lead to the inadmissibility of a communication</w:t>
      </w:r>
      <w:r w:rsidR="00D00636" w:rsidRPr="001C4E67">
        <w:rPr>
          <w:vertAlign w:val="superscript"/>
        </w:rPr>
        <w:footnoteReference w:id="14"/>
      </w:r>
      <w:r>
        <w:t xml:space="preserve">. </w:t>
      </w:r>
      <w:r w:rsidR="00D00636" w:rsidRPr="005529DD">
        <w:t>In the circumstances of the present case, the Committee considers that the delay of nearly six and a half years between the last decision of the relevant authority and the submission of the communication to the Committee does not render the communication inadmissible as an abuse under article 3 of the Optional Protocol.</w:t>
      </w:r>
    </w:p>
    <w:p w:rsidR="00D00636" w:rsidRPr="00FD48C9" w:rsidRDefault="00670F6C" w:rsidP="0079588F">
      <w:pPr>
        <w:tabs>
          <w:tab w:val="left" w:pos="567"/>
        </w:tabs>
        <w:autoSpaceDE w:val="0"/>
        <w:autoSpaceDN w:val="0"/>
        <w:adjustRightInd w:val="0"/>
        <w:spacing w:after="240"/>
        <w:jc w:val="both"/>
      </w:pPr>
      <w:r>
        <w:rPr>
          <w:color w:val="000000"/>
        </w:rPr>
        <w:t>6.4</w:t>
      </w:r>
      <w:r w:rsidR="0079588F">
        <w:rPr>
          <w:color w:val="000000"/>
        </w:rPr>
        <w:tab/>
      </w:r>
      <w:r w:rsidR="00FD48C9" w:rsidRPr="00FD48C9">
        <w:rPr>
          <w:color w:val="000000"/>
          <w:lang w:val="en-US"/>
        </w:rPr>
        <w:t xml:space="preserve">The Committee has also considered whether the violations alleged can be examined </w:t>
      </w:r>
      <w:r w:rsidR="00FD48C9" w:rsidRPr="003576A0">
        <w:rPr>
          <w:i/>
          <w:iCs/>
          <w:color w:val="000000"/>
          <w:lang w:val="en-US"/>
        </w:rPr>
        <w:t>ratione temporis</w:t>
      </w:r>
      <w:r w:rsidR="00FD48C9" w:rsidRPr="00FD48C9">
        <w:rPr>
          <w:color w:val="000000"/>
          <w:lang w:val="en-US"/>
        </w:rPr>
        <w:t>. It notes that although the confiscations took place before the entry into force of the Covenant and of the Optional Protocol for the Czech Republic, the new legislation that excludes claimants who are not Czech citizens has continuing consequences subsequent to the entry into force of the Optional Protocol for the Czech Republic, which could entail discrimination in violation of article 26 of the Covenant</w:t>
      </w:r>
      <w:r w:rsidR="00FD48C9" w:rsidRPr="00FD48C9">
        <w:rPr>
          <w:rStyle w:val="FootnoteReference"/>
          <w:color w:val="000000"/>
          <w:lang w:val="en-US"/>
        </w:rPr>
        <w:footnoteReference w:id="15"/>
      </w:r>
      <w:r w:rsidR="00FD48C9" w:rsidRPr="00FD48C9">
        <w:rPr>
          <w:color w:val="000000"/>
          <w:lang w:val="en-US"/>
        </w:rPr>
        <w:t>.</w:t>
      </w:r>
    </w:p>
    <w:p w:rsidR="00D00636" w:rsidRPr="005529DD" w:rsidRDefault="000B013D" w:rsidP="000B013D">
      <w:pPr>
        <w:tabs>
          <w:tab w:val="left" w:pos="567"/>
        </w:tabs>
        <w:autoSpaceDE w:val="0"/>
        <w:autoSpaceDN w:val="0"/>
        <w:adjustRightInd w:val="0"/>
        <w:spacing w:after="240"/>
        <w:jc w:val="both"/>
      </w:pPr>
      <w:r>
        <w:t xml:space="preserve">6.5 </w:t>
      </w:r>
      <w:r>
        <w:tab/>
      </w:r>
      <w:r w:rsidR="00D00636" w:rsidRPr="005529DD">
        <w:t xml:space="preserve">In the absence of any further objections to the admissibility of the communication, the Committee declares the communication admissible in so far as it may raise issues under article 26 of the Covenant, and </w:t>
      </w:r>
      <w:r w:rsidR="009F7088" w:rsidRPr="005529DD">
        <w:t>proceeds</w:t>
      </w:r>
      <w:r w:rsidR="00D00636" w:rsidRPr="005529DD">
        <w:t xml:space="preserve"> to its consideration on the merits.</w:t>
      </w:r>
    </w:p>
    <w:p w:rsidR="00476DEA" w:rsidRPr="005529DD" w:rsidRDefault="00476DEA" w:rsidP="00E009FD">
      <w:pPr>
        <w:tabs>
          <w:tab w:val="left" w:pos="567"/>
        </w:tabs>
        <w:autoSpaceDE w:val="0"/>
        <w:autoSpaceDN w:val="0"/>
        <w:adjustRightInd w:val="0"/>
        <w:spacing w:after="240"/>
        <w:jc w:val="both"/>
        <w:rPr>
          <w:b/>
          <w:bCs/>
        </w:rPr>
      </w:pPr>
      <w:r w:rsidRPr="005529DD">
        <w:rPr>
          <w:b/>
          <w:bCs/>
        </w:rPr>
        <w:t>Consideration of the merits</w:t>
      </w:r>
    </w:p>
    <w:p w:rsidR="00610507" w:rsidRPr="00292AF4" w:rsidRDefault="00BA1B3E" w:rsidP="00610507">
      <w:pPr>
        <w:tabs>
          <w:tab w:val="left" w:pos="567"/>
        </w:tabs>
        <w:autoSpaceDE w:val="0"/>
        <w:autoSpaceDN w:val="0"/>
        <w:adjustRightInd w:val="0"/>
        <w:spacing w:after="240"/>
        <w:jc w:val="both"/>
      </w:pPr>
      <w:r w:rsidRPr="005529DD">
        <w:t>7.</w:t>
      </w:r>
      <w:r w:rsidR="00E009FD">
        <w:t>1</w:t>
      </w:r>
      <w:r w:rsidRPr="005529DD">
        <w:t xml:space="preserve"> </w:t>
      </w:r>
      <w:r w:rsidR="003B6C66">
        <w:tab/>
      </w:r>
      <w:r w:rsidR="00610507" w:rsidRPr="00292AF4">
        <w:t>The Human Rights Committee</w:t>
      </w:r>
      <w:r w:rsidR="00610507">
        <w:rPr>
          <w:b/>
          <w:bCs/>
        </w:rPr>
        <w:t xml:space="preserve"> </w:t>
      </w:r>
      <w:r w:rsidR="00610507">
        <w:t>has considered the present communication in the light of all the information made available to it by the parties, as provided in article 5, paragraph 1, of the Optional Protocol.</w:t>
      </w:r>
    </w:p>
    <w:p w:rsidR="000A10ED" w:rsidRDefault="00610507" w:rsidP="000A10ED">
      <w:pPr>
        <w:tabs>
          <w:tab w:val="left" w:pos="567"/>
        </w:tabs>
        <w:autoSpaceDE w:val="0"/>
        <w:autoSpaceDN w:val="0"/>
        <w:adjustRightInd w:val="0"/>
        <w:spacing w:after="240"/>
        <w:jc w:val="both"/>
      </w:pPr>
      <w:r>
        <w:t xml:space="preserve">7.2 </w:t>
      </w:r>
      <w:r>
        <w:tab/>
      </w:r>
      <w:r w:rsidR="00D00636" w:rsidRPr="005529DD">
        <w:t>The issue before the Committee is whether the application to the authors of Act No. 87/1991 amounted to discrimination, in violation of article 26 of the Covenant. The Committee reiterates its jurisprudence that not all differentiations in treatment can be deemed to be discriminatory under article 26. A differentiation which is compatible with the provisions of the Covenant and is based on objective and reasonable grounds does not amount to prohibited discrimination, within the meaning of article 26</w:t>
      </w:r>
      <w:r w:rsidR="00D00636" w:rsidRPr="006B555A">
        <w:rPr>
          <w:vertAlign w:val="superscript"/>
        </w:rPr>
        <w:footnoteReference w:id="16"/>
      </w:r>
      <w:r w:rsidR="00D00636" w:rsidRPr="005529DD">
        <w:t xml:space="preserve">. </w:t>
      </w:r>
    </w:p>
    <w:p w:rsidR="006C2278" w:rsidRPr="005529DD" w:rsidRDefault="00E009FD" w:rsidP="000A10ED">
      <w:pPr>
        <w:tabs>
          <w:tab w:val="left" w:pos="567"/>
        </w:tabs>
        <w:autoSpaceDE w:val="0"/>
        <w:autoSpaceDN w:val="0"/>
        <w:adjustRightInd w:val="0"/>
        <w:spacing w:after="240"/>
        <w:jc w:val="both"/>
      </w:pPr>
      <w:r>
        <w:t>7.</w:t>
      </w:r>
      <w:r w:rsidR="00610507">
        <w:t xml:space="preserve">3 </w:t>
      </w:r>
      <w:r w:rsidR="00B53A71">
        <w:tab/>
      </w:r>
      <w:r w:rsidR="00D00636" w:rsidRPr="005529DD">
        <w:t>The Committee recalls its Views in the numerous Czech property restitution cases,</w:t>
      </w:r>
      <w:r w:rsidR="00D00636" w:rsidRPr="006B555A">
        <w:rPr>
          <w:vertAlign w:val="superscript"/>
        </w:rPr>
        <w:footnoteReference w:id="17"/>
      </w:r>
      <w:r w:rsidR="00D00636" w:rsidRPr="005529DD">
        <w:t xml:space="preserve"> where it held that article 26 had been violated, and that it would be incompatible with the Covenant to require the authors to obtain Czech citizenship as a prerequisite for the restitution of their property or, alternatively, for the payment of appropriate compensation.  Bearing in mind that the authors' original entitlement to their properties was not predicated on their citizenship, </w:t>
      </w:r>
      <w:r w:rsidR="00F7727D" w:rsidRPr="005529DD">
        <w:t>the Committee</w:t>
      </w:r>
      <w:r w:rsidR="00D00636" w:rsidRPr="005529DD">
        <w:t xml:space="preserve"> found that the citizenship requirement was unreasonable. In </w:t>
      </w:r>
      <w:r w:rsidR="00D00636" w:rsidRPr="005529DD">
        <w:rPr>
          <w:i/>
          <w:iCs/>
        </w:rPr>
        <w:t>Des Fours Walderode</w:t>
      </w:r>
      <w:r w:rsidR="00D00636" w:rsidRPr="005529DD">
        <w:t>,</w:t>
      </w:r>
      <w:r w:rsidR="00D00636" w:rsidRPr="006B555A">
        <w:rPr>
          <w:vertAlign w:val="superscript"/>
        </w:rPr>
        <w:footnoteReference w:id="18"/>
      </w:r>
      <w:r w:rsidR="00D00636" w:rsidRPr="005529DD">
        <w:t xml:space="preserve"> t</w:t>
      </w:r>
      <w:r w:rsidR="00F7727D" w:rsidRPr="005529DD">
        <w:t>he Committee</w:t>
      </w:r>
      <w:r w:rsidR="00D00636" w:rsidRPr="005529DD">
        <w:t xml:space="preserve"> observed that a citizenship requirement in the law as a necessary condition for restitution of property previously confiscated by the authorities makes an arbitrary and discriminatory distinction between individuals who are equally victims of prior state confiscations, and constitutes a violation of article 26 of the Covenant. The Committee considers that the principle established in the above cases equally applies to the authors of the present communication. The Committee therefore concludes that the application to the authors of the citizenship requirement laid down in Act No. 87/1991 violated their rights under article 26 of the Covenant.</w:t>
      </w:r>
    </w:p>
    <w:p w:rsidR="006C2278" w:rsidRPr="005529DD" w:rsidRDefault="00681EBC" w:rsidP="0079588F">
      <w:pPr>
        <w:tabs>
          <w:tab w:val="left" w:pos="567"/>
        </w:tabs>
        <w:autoSpaceDE w:val="0"/>
        <w:autoSpaceDN w:val="0"/>
        <w:adjustRightInd w:val="0"/>
        <w:spacing w:after="240"/>
        <w:jc w:val="both"/>
      </w:pPr>
      <w:r>
        <w:t>8.1</w:t>
      </w:r>
      <w:r w:rsidR="00E009FD">
        <w:tab/>
      </w:r>
      <w:r w:rsidR="00D00636" w:rsidRPr="005529DD">
        <w:t>The Human Rights Committee, actin</w:t>
      </w:r>
      <w:r w:rsidR="00BA1B3E" w:rsidRPr="005529DD">
        <w:t xml:space="preserve">g under article 5, paragraph 4, </w:t>
      </w:r>
      <w:r w:rsidR="00D00636" w:rsidRPr="005529DD">
        <w:t>of the Optional Protocol, is of the view that the facts before it disclose a violation of article 26 of the International Covenant on Civil and Political Rights.</w:t>
      </w:r>
    </w:p>
    <w:p w:rsidR="006C2278" w:rsidRPr="005529DD" w:rsidRDefault="00681EBC" w:rsidP="0079588F">
      <w:pPr>
        <w:tabs>
          <w:tab w:val="left" w:pos="567"/>
        </w:tabs>
        <w:autoSpaceDE w:val="0"/>
        <w:autoSpaceDN w:val="0"/>
        <w:adjustRightInd w:val="0"/>
        <w:spacing w:after="240"/>
        <w:jc w:val="both"/>
      </w:pPr>
      <w:r>
        <w:t>8.2</w:t>
      </w:r>
      <w:r w:rsidR="00E009FD">
        <w:tab/>
      </w:r>
      <w:r w:rsidR="00D00636" w:rsidRPr="005529DD">
        <w:t xml:space="preserve">In accordance with article 2, paragraph 3 (a), of the Covenant, the State party is under an obligation to provide the authors with an effective remedy, including compensation if the property in question cannot be returned. The Committee reiterates that the State party should review its legislation and practice to ensure that all persons enjoy both equality before the law and equal protection of the law. </w:t>
      </w:r>
    </w:p>
    <w:p w:rsidR="00D00636" w:rsidRDefault="00681EBC" w:rsidP="0079588F">
      <w:pPr>
        <w:tabs>
          <w:tab w:val="left" w:pos="567"/>
        </w:tabs>
        <w:autoSpaceDE w:val="0"/>
        <w:autoSpaceDN w:val="0"/>
        <w:adjustRightInd w:val="0"/>
        <w:spacing w:after="240"/>
        <w:jc w:val="both"/>
      </w:pPr>
      <w:r>
        <w:t>8.3</w:t>
      </w:r>
      <w:r w:rsidR="00E009FD">
        <w:tab/>
      </w:r>
      <w:r w:rsidR="00D00636" w:rsidRPr="005529DD">
        <w:t xml:space="preserve">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recognised in the Covenant and to provide an effective and enforceable remedy in case a violation has been established, the Committee wishes to receive from the State party, within 180 days, information about the measures taken to give effect to the Committee's views. </w:t>
      </w:r>
    </w:p>
    <w:p w:rsidR="00922B7D" w:rsidRDefault="00C94868" w:rsidP="00E009FD">
      <w:pPr>
        <w:tabs>
          <w:tab w:val="left" w:pos="567"/>
          <w:tab w:val="left" w:pos="1134"/>
        </w:tabs>
        <w:spacing w:after="240"/>
        <w:jc w:val="both"/>
      </w:pPr>
      <w:r w:rsidRPr="00444226">
        <w:t>[Adopted in English, French and Spanish, the English text being the original version. Subsequently to be issued also in Arabic, Chinese and Russian as part of the Committee's annual report to the General Assembly.]</w:t>
      </w:r>
    </w:p>
    <w:p w:rsidR="008B6ABB" w:rsidRDefault="008B6ABB" w:rsidP="008B6ABB">
      <w:pPr>
        <w:tabs>
          <w:tab w:val="left" w:pos="567"/>
          <w:tab w:val="left" w:pos="1134"/>
        </w:tabs>
        <w:spacing w:after="840"/>
        <w:jc w:val="center"/>
        <w:rPr>
          <w:b/>
          <w:bCs/>
        </w:rPr>
      </w:pPr>
      <w:r>
        <w:br w:type="page"/>
      </w:r>
      <w:r>
        <w:rPr>
          <w:b/>
          <w:bCs/>
        </w:rPr>
        <w:t>APPENDIX</w:t>
      </w:r>
    </w:p>
    <w:p w:rsidR="008B6ABB" w:rsidRPr="001E522F" w:rsidRDefault="008B6ABB" w:rsidP="008B6ABB">
      <w:pPr>
        <w:spacing w:after="840"/>
        <w:jc w:val="center"/>
        <w:rPr>
          <w:b/>
          <w:bCs/>
        </w:rPr>
      </w:pPr>
      <w:r>
        <w:rPr>
          <w:b/>
          <w:bCs/>
        </w:rPr>
        <w:t>Individual opinion of Committee member Mr. Krister Thelin (dissenting)</w:t>
      </w:r>
    </w:p>
    <w:p w:rsidR="008B6ABB" w:rsidRDefault="008B6ABB" w:rsidP="008B6ABB">
      <w:pPr>
        <w:tabs>
          <w:tab w:val="left" w:pos="567"/>
        </w:tabs>
        <w:spacing w:after="240"/>
        <w:jc w:val="both"/>
      </w:pPr>
      <w:r>
        <w:tab/>
        <w:t>The majority has found the communication admissible and considered it on the merits.</w:t>
      </w:r>
    </w:p>
    <w:p w:rsidR="008B6ABB" w:rsidRDefault="008B6ABB" w:rsidP="008B6ABB">
      <w:pPr>
        <w:tabs>
          <w:tab w:val="left" w:pos="567"/>
        </w:tabs>
        <w:spacing w:after="240"/>
        <w:jc w:val="both"/>
      </w:pPr>
      <w:r>
        <w:tab/>
        <w:t>I respectfully disagree.</w:t>
      </w:r>
    </w:p>
    <w:p w:rsidR="008B6ABB" w:rsidRPr="00A529F3" w:rsidRDefault="008B6ABB" w:rsidP="008B6ABB">
      <w:pPr>
        <w:tabs>
          <w:tab w:val="left" w:pos="567"/>
        </w:tabs>
        <w:spacing w:after="240"/>
        <w:jc w:val="both"/>
      </w:pPr>
      <w:r>
        <w:tab/>
        <w:t>Delay in submitting a communication does not in itself constitute an abuse of the right of submission under article 3 of the Optional Protocol. However, from the jurisprudence of the Committee, as it could be understood, it follows that undue delay, absent exceptional circumstances, should lead to inadmissibility of a communication. In a number of cases the Committee has found a period of over five years to constitute undue delay</w:t>
      </w:r>
      <w:r>
        <w:rPr>
          <w:rStyle w:val="FootnoteReference"/>
        </w:rPr>
        <w:footnoteReference w:id="19"/>
      </w:r>
      <w:r>
        <w:t xml:space="preserve">. </w:t>
      </w:r>
    </w:p>
    <w:p w:rsidR="008B6ABB" w:rsidRPr="007C0C66" w:rsidRDefault="008B6ABB" w:rsidP="008B6ABB">
      <w:pPr>
        <w:tabs>
          <w:tab w:val="left" w:pos="567"/>
        </w:tabs>
        <w:spacing w:after="240"/>
        <w:jc w:val="both"/>
      </w:pPr>
      <w:r>
        <w:tab/>
      </w:r>
      <w:r w:rsidRPr="007C0C66">
        <w:t>In the present case, the author has let almost six and a half years</w:t>
      </w:r>
      <w:r>
        <w:t xml:space="preserve"> elapse before submitting the communication. The author’s explanation for the delay, a mere reference to lack of information, does not constitute an exceptional circumstance, which could justify the delay. The late communication should therefore be considered an abuse of the right of submission and, consequently, inadmissible under article 3 of the Optional Protocol.</w:t>
      </w:r>
    </w:p>
    <w:p w:rsidR="008B6ABB" w:rsidRPr="005F3900" w:rsidRDefault="008B6ABB" w:rsidP="008B6ABB">
      <w:pPr>
        <w:tabs>
          <w:tab w:val="left" w:pos="567"/>
          <w:tab w:val="left" w:pos="6804"/>
        </w:tabs>
        <w:spacing w:after="240"/>
        <w:ind w:left="5670"/>
        <w:jc w:val="both"/>
      </w:pPr>
      <w:r w:rsidRPr="005F3900">
        <w:t>[</w:t>
      </w:r>
      <w:r w:rsidRPr="005F3900">
        <w:rPr>
          <w:i/>
          <w:iCs/>
        </w:rPr>
        <w:t>signed</w:t>
      </w:r>
      <w:r w:rsidRPr="005F3900">
        <w:t>]</w:t>
      </w:r>
      <w:r w:rsidRPr="005F3900">
        <w:tab/>
        <w:t>Mr. Krister Thelin</w:t>
      </w:r>
    </w:p>
    <w:p w:rsidR="008B6ABB" w:rsidRPr="005F3900" w:rsidRDefault="008B6ABB" w:rsidP="008B6ABB">
      <w:pPr>
        <w:adjustRightInd w:val="0"/>
        <w:snapToGrid w:val="0"/>
        <w:spacing w:after="240"/>
        <w:jc w:val="both"/>
      </w:pPr>
      <w:r w:rsidRPr="005F3900">
        <w:t>[Done in French, English and Spanish, the English text being the original version. Subsequently to be issued also in Arabic, Chinese and Russian as part of the Committee’s annual report to the General Assembly.]</w:t>
      </w:r>
    </w:p>
    <w:p w:rsidR="009C6124" w:rsidRDefault="009C6124" w:rsidP="00E009FD">
      <w:pPr>
        <w:tabs>
          <w:tab w:val="left" w:pos="567"/>
          <w:tab w:val="left" w:pos="1134"/>
        </w:tabs>
        <w:spacing w:after="240"/>
        <w:jc w:val="both"/>
      </w:pPr>
    </w:p>
    <w:p w:rsidR="009C6124" w:rsidRPr="005529DD" w:rsidRDefault="009C6124" w:rsidP="009C6124">
      <w:pPr>
        <w:tabs>
          <w:tab w:val="left" w:pos="567"/>
          <w:tab w:val="left" w:pos="1134"/>
        </w:tabs>
        <w:spacing w:after="240"/>
        <w:jc w:val="center"/>
      </w:pPr>
      <w:r>
        <w:t>-----</w:t>
      </w:r>
    </w:p>
    <w:sectPr w:rsidR="009C6124" w:rsidRPr="005529DD" w:rsidSect="00E009FD">
      <w:headerReference w:type="even" r:id="rId9"/>
      <w:headerReference w:type="default" r:id="rId10"/>
      <w:footerReference w:type="even" r:id="rId11"/>
      <w:footerReference w:type="default" r:id="rId12"/>
      <w:pgSz w:w="11907" w:h="16840" w:code="9"/>
      <w:pgMar w:top="567"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D1B" w:rsidRDefault="005D6D1B">
      <w:r>
        <w:separator/>
      </w:r>
    </w:p>
  </w:endnote>
  <w:endnote w:type="continuationSeparator" w:id="0">
    <w:p w:rsidR="005D6D1B" w:rsidRDefault="005D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348" w:rsidRDefault="00C45348" w:rsidP="00B53D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348" w:rsidRDefault="00C45348" w:rsidP="00B53D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D1B" w:rsidRDefault="005D6D1B" w:rsidP="000A10ED">
      <w:r>
        <w:separator/>
      </w:r>
    </w:p>
  </w:footnote>
  <w:footnote w:type="continuationSeparator" w:id="0">
    <w:p w:rsidR="005D6D1B" w:rsidRDefault="005D6D1B" w:rsidP="000A10ED">
      <w:r>
        <w:continuationSeparator/>
      </w:r>
    </w:p>
  </w:footnote>
  <w:footnote w:type="continuationNotice" w:id="1">
    <w:p w:rsidR="005D6D1B" w:rsidRDefault="005D6D1B" w:rsidP="000A10ED"/>
  </w:footnote>
  <w:footnote w:id="2">
    <w:p w:rsidR="00611228" w:rsidRDefault="00611228" w:rsidP="000A10ED">
      <w:pPr>
        <w:jc w:val="both"/>
      </w:pPr>
      <w:r w:rsidRPr="008B6ABB">
        <w:rPr>
          <w:rStyle w:val="FootnoteReference"/>
        </w:rPr>
        <w:t>*</w:t>
      </w:r>
      <w:r w:rsidRPr="008B6ABB">
        <w:t xml:space="preserve"> Made public by decision of the Human Rights Committee.</w:t>
      </w:r>
    </w:p>
    <w:p w:rsidR="00960795" w:rsidRDefault="00960795" w:rsidP="000A10ED">
      <w:pPr>
        <w:jc w:val="both"/>
      </w:pPr>
    </w:p>
    <w:p w:rsidR="00960795" w:rsidRPr="008B6ABB" w:rsidRDefault="00960795" w:rsidP="000A10ED">
      <w:pPr>
        <w:jc w:val="both"/>
      </w:pPr>
      <w:r>
        <w:t>GE.09-44799  (E)</w:t>
      </w:r>
    </w:p>
  </w:footnote>
  <w:footnote w:id="3">
    <w:p w:rsidR="00ED192B" w:rsidRDefault="00ED192B" w:rsidP="000A10ED">
      <w:pPr>
        <w:pStyle w:val="FootnoteText"/>
        <w:jc w:val="both"/>
        <w:rPr>
          <w:sz w:val="24"/>
          <w:szCs w:val="24"/>
        </w:rPr>
      </w:pPr>
      <w:r w:rsidRPr="008B6ABB">
        <w:rPr>
          <w:rStyle w:val="FootnoteReference"/>
          <w:sz w:val="24"/>
          <w:szCs w:val="24"/>
        </w:rPr>
        <w:t>*</w:t>
      </w:r>
      <w:r w:rsidRPr="008B6ABB">
        <w:rPr>
          <w:sz w:val="24"/>
          <w:szCs w:val="24"/>
        </w:rPr>
        <w:t xml:space="preserve"> </w:t>
      </w:r>
      <w:r w:rsidR="00B53A71" w:rsidRPr="008B6ABB">
        <w:rPr>
          <w:sz w:val="24"/>
          <w:szCs w:val="24"/>
        </w:rPr>
        <w:t>The following members of the Committee participated in the examination of the present communication:  Mr. Prafullachandra Natwarlal Bhagwati, Ms. Christine Chanet, Mr.</w:t>
      </w:r>
      <w:r w:rsidR="00B53A71" w:rsidRPr="008B6ABB">
        <w:rPr>
          <w:sz w:val="24"/>
          <w:szCs w:val="24"/>
          <w:lang w:val="en-US"/>
        </w:rPr>
        <w:t> Ahmad Amin Fathalla</w:t>
      </w:r>
      <w:r w:rsidR="00B53A71" w:rsidRPr="008B6ABB">
        <w:rPr>
          <w:sz w:val="24"/>
          <w:szCs w:val="24"/>
        </w:rPr>
        <w:t xml:space="preserve">, Mr. Yuji Iwasawa, Ms. Helen Keller, </w:t>
      </w:r>
      <w:r w:rsidR="00E82066">
        <w:rPr>
          <w:sz w:val="24"/>
          <w:szCs w:val="24"/>
        </w:rPr>
        <w:t xml:space="preserve">Mr. Rajsoomer Lallah, </w:t>
      </w:r>
      <w:r w:rsidR="00B53A71" w:rsidRPr="008B6ABB">
        <w:rPr>
          <w:bCs/>
          <w:sz w:val="24"/>
          <w:szCs w:val="24"/>
        </w:rPr>
        <w:t>Mr. Lazhari Bouzid</w:t>
      </w:r>
      <w:r w:rsidR="00B53A71" w:rsidRPr="008B6ABB">
        <w:rPr>
          <w:sz w:val="24"/>
          <w:szCs w:val="24"/>
        </w:rPr>
        <w:t>, Ms. Zonke Zanele Majodina, Ms. Iulia Antoanella Motoc, Mr. Michael O’Flaherty, Mr. José Luis Pérez Sanchez-Cerr</w:t>
      </w:r>
      <w:r w:rsidR="00B81F44">
        <w:rPr>
          <w:sz w:val="24"/>
          <w:szCs w:val="24"/>
        </w:rPr>
        <w:t>o, Mr. Rafael Rivas Posada, Sir </w:t>
      </w:r>
      <w:r w:rsidR="00B53A71" w:rsidRPr="008B6ABB">
        <w:rPr>
          <w:sz w:val="24"/>
          <w:szCs w:val="24"/>
        </w:rPr>
        <w:t xml:space="preserve">Nigel Rodley, </w:t>
      </w:r>
      <w:r w:rsidR="00B53A71" w:rsidRPr="008B6ABB">
        <w:rPr>
          <w:bCs/>
          <w:sz w:val="24"/>
          <w:szCs w:val="24"/>
          <w:lang w:val="en-US"/>
        </w:rPr>
        <w:t>Mr. Fabian Omar Salvioli and Mr. Krister Thelin</w:t>
      </w:r>
      <w:r w:rsidR="00B53A71" w:rsidRPr="008B6ABB">
        <w:rPr>
          <w:sz w:val="24"/>
          <w:szCs w:val="24"/>
        </w:rPr>
        <w:t>.</w:t>
      </w:r>
    </w:p>
    <w:p w:rsidR="008B6ABB" w:rsidRPr="008B6ABB" w:rsidRDefault="008B6ABB" w:rsidP="000A10ED">
      <w:pPr>
        <w:pStyle w:val="FootnoteText"/>
        <w:jc w:val="both"/>
        <w:rPr>
          <w:sz w:val="24"/>
          <w:szCs w:val="24"/>
        </w:rPr>
      </w:pPr>
      <w:r w:rsidRPr="00F01B18">
        <w:rPr>
          <w:sz w:val="24"/>
          <w:szCs w:val="24"/>
        </w:rPr>
        <w:t xml:space="preserve">   The text o</w:t>
      </w:r>
      <w:r>
        <w:rPr>
          <w:sz w:val="24"/>
          <w:szCs w:val="24"/>
        </w:rPr>
        <w:t>f a</w:t>
      </w:r>
      <w:r w:rsidRPr="00F01B18">
        <w:rPr>
          <w:sz w:val="24"/>
          <w:szCs w:val="24"/>
        </w:rPr>
        <w:t>n individual opinion signed by Committee member Mr. Krister Thelin is appended to the present Views.</w:t>
      </w:r>
    </w:p>
  </w:footnote>
  <w:footnote w:id="4">
    <w:p w:rsidR="00C45348" w:rsidRPr="008B6ABB" w:rsidRDefault="00C45348" w:rsidP="000A10ED">
      <w:pPr>
        <w:pStyle w:val="FootnoteText"/>
        <w:jc w:val="both"/>
        <w:rPr>
          <w:sz w:val="24"/>
          <w:szCs w:val="24"/>
        </w:rPr>
      </w:pPr>
      <w:r w:rsidRPr="008B6ABB">
        <w:rPr>
          <w:sz w:val="24"/>
          <w:szCs w:val="24"/>
          <w:vertAlign w:val="superscript"/>
        </w:rPr>
        <w:footnoteRef/>
      </w:r>
      <w:r w:rsidRPr="008B6ABB">
        <w:rPr>
          <w:sz w:val="24"/>
          <w:szCs w:val="24"/>
        </w:rPr>
        <w:t xml:space="preserve"> The Optional Protocol entered into force for the State party on 22 February 1993.</w:t>
      </w:r>
    </w:p>
  </w:footnote>
  <w:footnote w:id="5">
    <w:p w:rsidR="00C45348" w:rsidRPr="008B6ABB" w:rsidRDefault="00C45348" w:rsidP="000A10ED">
      <w:pPr>
        <w:pStyle w:val="FootnoteText"/>
        <w:jc w:val="both"/>
        <w:rPr>
          <w:sz w:val="24"/>
          <w:szCs w:val="24"/>
        </w:rPr>
      </w:pPr>
      <w:r w:rsidRPr="008B6ABB">
        <w:rPr>
          <w:rStyle w:val="FootnoteReference"/>
          <w:sz w:val="24"/>
          <w:szCs w:val="24"/>
        </w:rPr>
        <w:footnoteRef/>
      </w:r>
      <w:r w:rsidRPr="008B6ABB">
        <w:rPr>
          <w:sz w:val="24"/>
          <w:szCs w:val="24"/>
        </w:rPr>
        <w:t xml:space="preserve"> On the basis of the USA- Czechoslovakia bilateral “Naturalisation Treaty” of 16 July 1928, article I.</w:t>
      </w:r>
    </w:p>
  </w:footnote>
  <w:footnote w:id="6">
    <w:p w:rsidR="00C45348" w:rsidRPr="008B6ABB" w:rsidRDefault="00C45348" w:rsidP="000A10ED">
      <w:pPr>
        <w:pStyle w:val="FootnoteText"/>
        <w:jc w:val="both"/>
        <w:rPr>
          <w:sz w:val="24"/>
          <w:szCs w:val="24"/>
        </w:rPr>
      </w:pPr>
      <w:r w:rsidRPr="008B6ABB">
        <w:rPr>
          <w:rStyle w:val="FootnoteReference"/>
          <w:sz w:val="24"/>
          <w:szCs w:val="24"/>
        </w:rPr>
        <w:footnoteRef/>
      </w:r>
      <w:r w:rsidRPr="008B6ABB">
        <w:rPr>
          <w:sz w:val="24"/>
          <w:szCs w:val="24"/>
        </w:rPr>
        <w:t xml:space="preserve"> Decision of 3 May 2005.</w:t>
      </w:r>
    </w:p>
  </w:footnote>
  <w:footnote w:id="7">
    <w:p w:rsidR="00C45348" w:rsidRPr="008B6ABB" w:rsidRDefault="00C45348" w:rsidP="000A10ED">
      <w:pPr>
        <w:pStyle w:val="FootnoteText"/>
        <w:jc w:val="both"/>
        <w:rPr>
          <w:sz w:val="24"/>
          <w:szCs w:val="24"/>
        </w:rPr>
      </w:pPr>
      <w:r w:rsidRPr="008B6ABB">
        <w:rPr>
          <w:rStyle w:val="FootnoteReference"/>
          <w:sz w:val="24"/>
          <w:szCs w:val="24"/>
        </w:rPr>
        <w:footnoteRef/>
      </w:r>
      <w:r w:rsidRPr="008B6ABB">
        <w:rPr>
          <w:sz w:val="24"/>
          <w:szCs w:val="24"/>
        </w:rPr>
        <w:t xml:space="preserve"> The State party also notes that the requirement of permanent residence, which used to be a mandatory criteria within Act No. 87/1991 (in addition to the citizenship criteria) was abolished by a Constitutional Court decision published under No. 164/1994 in the Official Gazette.</w:t>
      </w:r>
    </w:p>
  </w:footnote>
  <w:footnote w:id="8">
    <w:p w:rsidR="00C45348" w:rsidRPr="008B6ABB" w:rsidRDefault="00C45348" w:rsidP="000A10ED">
      <w:pPr>
        <w:pStyle w:val="FootnoteText"/>
        <w:jc w:val="both"/>
        <w:rPr>
          <w:sz w:val="24"/>
          <w:szCs w:val="24"/>
          <w:lang w:val="en-US"/>
        </w:rPr>
      </w:pPr>
      <w:r w:rsidRPr="008B6ABB">
        <w:rPr>
          <w:rStyle w:val="FootnoteReference"/>
          <w:sz w:val="24"/>
          <w:szCs w:val="24"/>
        </w:rPr>
        <w:footnoteRef/>
      </w:r>
      <w:r w:rsidRPr="008B6ABB">
        <w:rPr>
          <w:sz w:val="24"/>
          <w:szCs w:val="24"/>
          <w:lang w:val="en-US"/>
        </w:rPr>
        <w:t xml:space="preserve"> The State party notes that the authors should have provided a “reasonable explanation that has an objective basis and that is also sustainable”, also noting the general principle </w:t>
      </w:r>
      <w:r w:rsidRPr="008B6ABB">
        <w:rPr>
          <w:i/>
          <w:iCs/>
          <w:sz w:val="24"/>
          <w:szCs w:val="24"/>
          <w:lang w:val="en-US"/>
        </w:rPr>
        <w:t>ignorantia legis non excusat</w:t>
      </w:r>
      <w:r w:rsidRPr="008B6ABB">
        <w:rPr>
          <w:sz w:val="24"/>
          <w:szCs w:val="24"/>
          <w:lang w:val="en-US"/>
        </w:rPr>
        <w:t xml:space="preserve">, and the fact that the authors’ subjective interests cannot outweigh the needs for legal certainty. </w:t>
      </w:r>
    </w:p>
  </w:footnote>
  <w:footnote w:id="9">
    <w:p w:rsidR="00C45348" w:rsidRPr="008B6ABB" w:rsidRDefault="00C45348" w:rsidP="000A10ED">
      <w:pPr>
        <w:pStyle w:val="FootnoteText"/>
        <w:jc w:val="both"/>
        <w:rPr>
          <w:sz w:val="24"/>
          <w:szCs w:val="24"/>
          <w:lang w:val="fr-FR"/>
        </w:rPr>
      </w:pPr>
      <w:r w:rsidRPr="008B6ABB">
        <w:rPr>
          <w:rStyle w:val="FootnoteReference"/>
          <w:sz w:val="24"/>
          <w:szCs w:val="24"/>
        </w:rPr>
        <w:footnoteRef/>
      </w:r>
      <w:r w:rsidRPr="008B6ABB">
        <w:rPr>
          <w:rStyle w:val="FootnoteReference"/>
          <w:sz w:val="24"/>
          <w:szCs w:val="24"/>
          <w:lang w:val="fr-FR"/>
        </w:rPr>
        <w:t xml:space="preserve"> </w:t>
      </w:r>
      <w:r w:rsidRPr="008B6ABB">
        <w:rPr>
          <w:sz w:val="24"/>
          <w:szCs w:val="24"/>
          <w:lang w:val="fr-FR"/>
        </w:rPr>
        <w:t xml:space="preserve">Communication No. 1435/2005, </w:t>
      </w:r>
      <w:r w:rsidRPr="008B6ABB">
        <w:rPr>
          <w:i/>
          <w:iCs/>
          <w:sz w:val="24"/>
          <w:szCs w:val="24"/>
          <w:lang w:val="fr-FR"/>
        </w:rPr>
        <w:t>Claude Fillacier</w:t>
      </w:r>
      <w:r w:rsidRPr="008B6ABB">
        <w:rPr>
          <w:sz w:val="24"/>
          <w:szCs w:val="24"/>
          <w:lang w:val="fr-FR"/>
        </w:rPr>
        <w:t xml:space="preserve"> v. </w:t>
      </w:r>
      <w:r w:rsidRPr="008B6ABB">
        <w:rPr>
          <w:i/>
          <w:iCs/>
          <w:sz w:val="24"/>
          <w:szCs w:val="24"/>
          <w:lang w:val="fr-FR"/>
        </w:rPr>
        <w:t>France</w:t>
      </w:r>
      <w:r w:rsidRPr="008B6ABB">
        <w:rPr>
          <w:sz w:val="24"/>
          <w:szCs w:val="24"/>
          <w:lang w:val="fr-FR"/>
        </w:rPr>
        <w:t>.</w:t>
      </w:r>
    </w:p>
  </w:footnote>
  <w:footnote w:id="10">
    <w:p w:rsidR="00C45348" w:rsidRPr="008B6ABB" w:rsidRDefault="00C45348" w:rsidP="000A10ED">
      <w:pPr>
        <w:pStyle w:val="FootnoteText"/>
        <w:jc w:val="both"/>
        <w:rPr>
          <w:sz w:val="24"/>
          <w:szCs w:val="24"/>
          <w:lang w:val="fr-FR"/>
        </w:rPr>
      </w:pPr>
      <w:r w:rsidRPr="008B6ABB">
        <w:rPr>
          <w:rStyle w:val="FootnoteReference"/>
          <w:sz w:val="24"/>
          <w:szCs w:val="24"/>
        </w:rPr>
        <w:footnoteRef/>
      </w:r>
      <w:r w:rsidRPr="008B6ABB">
        <w:rPr>
          <w:sz w:val="24"/>
          <w:szCs w:val="24"/>
          <w:lang w:val="fr-FR"/>
        </w:rPr>
        <w:t xml:space="preserve"> Communication No. 787/1997, </w:t>
      </w:r>
      <w:r w:rsidRPr="008B6ABB">
        <w:rPr>
          <w:i/>
          <w:iCs/>
          <w:sz w:val="24"/>
          <w:szCs w:val="24"/>
          <w:lang w:val="fr-FR"/>
        </w:rPr>
        <w:t>Gobin</w:t>
      </w:r>
      <w:r w:rsidRPr="008B6ABB">
        <w:rPr>
          <w:sz w:val="24"/>
          <w:szCs w:val="24"/>
          <w:lang w:val="fr-FR"/>
        </w:rPr>
        <w:t xml:space="preserve"> v. </w:t>
      </w:r>
      <w:r w:rsidRPr="008B6ABB">
        <w:rPr>
          <w:i/>
          <w:iCs/>
          <w:sz w:val="24"/>
          <w:szCs w:val="24"/>
          <w:lang w:val="fr-FR"/>
        </w:rPr>
        <w:t>Mauritius</w:t>
      </w:r>
      <w:r w:rsidRPr="008B6ABB">
        <w:rPr>
          <w:sz w:val="24"/>
          <w:szCs w:val="24"/>
          <w:lang w:val="fr-FR"/>
        </w:rPr>
        <w:t>.</w:t>
      </w:r>
    </w:p>
  </w:footnote>
  <w:footnote w:id="11">
    <w:p w:rsidR="00C45348" w:rsidRPr="008B6ABB" w:rsidRDefault="00C45348" w:rsidP="000A10ED">
      <w:pPr>
        <w:pStyle w:val="FootnoteText"/>
        <w:jc w:val="both"/>
        <w:rPr>
          <w:sz w:val="24"/>
          <w:szCs w:val="24"/>
        </w:rPr>
      </w:pPr>
      <w:r w:rsidRPr="008B6ABB">
        <w:rPr>
          <w:rStyle w:val="FootnoteReference"/>
          <w:sz w:val="24"/>
          <w:szCs w:val="24"/>
        </w:rPr>
        <w:footnoteRef/>
      </w:r>
      <w:r w:rsidRPr="008B6ABB">
        <w:rPr>
          <w:sz w:val="24"/>
          <w:szCs w:val="24"/>
        </w:rPr>
        <w:t xml:space="preserve"> Communication No. 1452/2006, </w:t>
      </w:r>
      <w:r w:rsidRPr="008B6ABB">
        <w:rPr>
          <w:i/>
          <w:iCs/>
          <w:sz w:val="24"/>
          <w:szCs w:val="24"/>
        </w:rPr>
        <w:t>Renatus J. Chytil</w:t>
      </w:r>
      <w:r w:rsidRPr="008B6ABB">
        <w:rPr>
          <w:sz w:val="24"/>
          <w:szCs w:val="24"/>
        </w:rPr>
        <w:t xml:space="preserve"> v. </w:t>
      </w:r>
      <w:r w:rsidRPr="008B6ABB">
        <w:rPr>
          <w:i/>
          <w:iCs/>
          <w:sz w:val="24"/>
          <w:szCs w:val="24"/>
        </w:rPr>
        <w:t xml:space="preserve">the </w:t>
      </w:r>
      <w:smartTag w:uri="urn:schemas-microsoft-com:office:smarttags" w:element="place">
        <w:smartTag w:uri="urn:schemas-microsoft-com:office:smarttags" w:element="PlaceName">
          <w:r w:rsidRPr="008B6ABB">
            <w:rPr>
              <w:i/>
              <w:iCs/>
              <w:sz w:val="24"/>
              <w:szCs w:val="24"/>
            </w:rPr>
            <w:t>Czech</w:t>
          </w:r>
        </w:smartTag>
        <w:r w:rsidRPr="008B6ABB">
          <w:rPr>
            <w:i/>
            <w:iCs/>
            <w:sz w:val="24"/>
            <w:szCs w:val="24"/>
          </w:rPr>
          <w:t xml:space="preserve"> </w:t>
        </w:r>
        <w:smartTag w:uri="urn:schemas-microsoft-com:office:smarttags" w:element="PlaceType">
          <w:r w:rsidRPr="008B6ABB">
            <w:rPr>
              <w:i/>
              <w:iCs/>
              <w:sz w:val="24"/>
              <w:szCs w:val="24"/>
            </w:rPr>
            <w:t>Republic</w:t>
          </w:r>
        </w:smartTag>
      </w:smartTag>
      <w:r w:rsidRPr="008B6ABB">
        <w:rPr>
          <w:sz w:val="24"/>
          <w:szCs w:val="24"/>
        </w:rPr>
        <w:t xml:space="preserve">. </w:t>
      </w:r>
      <w:r w:rsidRPr="008B6ABB">
        <w:rPr>
          <w:i/>
          <w:iCs/>
          <w:sz w:val="24"/>
          <w:szCs w:val="24"/>
        </w:rPr>
        <w:t>A contrario</w:t>
      </w:r>
      <w:r w:rsidRPr="008B6ABB">
        <w:rPr>
          <w:sz w:val="24"/>
          <w:szCs w:val="24"/>
        </w:rPr>
        <w:t xml:space="preserve">, the State party invoked communication No. 1533/2006 </w:t>
      </w:r>
      <w:r w:rsidRPr="008B6ABB">
        <w:rPr>
          <w:i/>
          <w:iCs/>
          <w:sz w:val="24"/>
          <w:szCs w:val="24"/>
        </w:rPr>
        <w:t>Zdenek Ondracka and Milada Ondrackova</w:t>
      </w:r>
      <w:r w:rsidRPr="008B6ABB">
        <w:rPr>
          <w:sz w:val="24"/>
          <w:szCs w:val="24"/>
        </w:rPr>
        <w:t xml:space="preserve"> v</w:t>
      </w:r>
      <w:r w:rsidRPr="008B6ABB">
        <w:rPr>
          <w:i/>
          <w:iCs/>
          <w:sz w:val="24"/>
          <w:szCs w:val="24"/>
        </w:rPr>
        <w:t xml:space="preserve">. the </w:t>
      </w:r>
      <w:smartTag w:uri="urn:schemas-microsoft-com:office:smarttags" w:element="place">
        <w:smartTag w:uri="urn:schemas-microsoft-com:office:smarttags" w:element="PlaceName">
          <w:r w:rsidRPr="008B6ABB">
            <w:rPr>
              <w:i/>
              <w:iCs/>
              <w:sz w:val="24"/>
              <w:szCs w:val="24"/>
            </w:rPr>
            <w:t>Czech</w:t>
          </w:r>
        </w:smartTag>
        <w:r w:rsidRPr="008B6ABB">
          <w:rPr>
            <w:i/>
            <w:iCs/>
            <w:sz w:val="24"/>
            <w:szCs w:val="24"/>
          </w:rPr>
          <w:t xml:space="preserve"> </w:t>
        </w:r>
        <w:smartTag w:uri="urn:schemas-microsoft-com:office:smarttags" w:element="PlaceType">
          <w:r w:rsidRPr="008B6ABB">
            <w:rPr>
              <w:i/>
              <w:iCs/>
              <w:sz w:val="24"/>
              <w:szCs w:val="24"/>
            </w:rPr>
            <w:t>Republic</w:t>
          </w:r>
        </w:smartTag>
      </w:smartTag>
      <w:r w:rsidRPr="008B6ABB">
        <w:rPr>
          <w:i/>
          <w:iCs/>
          <w:sz w:val="24"/>
          <w:szCs w:val="24"/>
        </w:rPr>
        <w:t xml:space="preserve">. </w:t>
      </w:r>
      <w:r w:rsidRPr="008B6ABB">
        <w:rPr>
          <w:sz w:val="24"/>
          <w:szCs w:val="24"/>
        </w:rPr>
        <w:t xml:space="preserve">The State party also notes that the Committee has not been consistent with regard to the time period it considers to be an abuse of the right of submission, and stresses that it shares the dissenting opinion of Committee member Mr. Abdelfattah Amor in the </w:t>
      </w:r>
      <w:r w:rsidRPr="008B6ABB">
        <w:rPr>
          <w:i/>
          <w:iCs/>
          <w:sz w:val="24"/>
          <w:szCs w:val="24"/>
        </w:rPr>
        <w:t>Zdenek</w:t>
      </w:r>
      <w:r w:rsidRPr="008B6ABB">
        <w:rPr>
          <w:sz w:val="24"/>
          <w:szCs w:val="24"/>
        </w:rPr>
        <w:t xml:space="preserve"> case. </w:t>
      </w:r>
    </w:p>
  </w:footnote>
  <w:footnote w:id="12">
    <w:p w:rsidR="00C45348" w:rsidRPr="008B6ABB" w:rsidRDefault="00C45348" w:rsidP="000A10ED">
      <w:pPr>
        <w:pStyle w:val="FootnoteText"/>
        <w:jc w:val="both"/>
        <w:rPr>
          <w:sz w:val="24"/>
          <w:szCs w:val="24"/>
        </w:rPr>
      </w:pPr>
      <w:r w:rsidRPr="008B6ABB">
        <w:rPr>
          <w:rStyle w:val="FootnoteReference"/>
          <w:sz w:val="24"/>
          <w:szCs w:val="24"/>
        </w:rPr>
        <w:footnoteRef/>
      </w:r>
      <w:r w:rsidRPr="008B6ABB">
        <w:rPr>
          <w:sz w:val="24"/>
          <w:szCs w:val="24"/>
        </w:rPr>
        <w:t xml:space="preserve"> The State party refers to Communication No. 182/1984 </w:t>
      </w:r>
      <w:r w:rsidRPr="008B6ABB">
        <w:rPr>
          <w:i/>
          <w:iCs/>
          <w:sz w:val="24"/>
          <w:szCs w:val="24"/>
        </w:rPr>
        <w:t>F. H. Zwaan-de Vries</w:t>
      </w:r>
      <w:r w:rsidRPr="008B6ABB">
        <w:rPr>
          <w:sz w:val="24"/>
          <w:szCs w:val="24"/>
        </w:rPr>
        <w:t xml:space="preserve"> v. </w:t>
      </w:r>
      <w:r w:rsidRPr="008B6ABB">
        <w:rPr>
          <w:i/>
          <w:iCs/>
          <w:sz w:val="24"/>
          <w:szCs w:val="24"/>
        </w:rPr>
        <w:t xml:space="preserve">the </w:t>
      </w:r>
      <w:smartTag w:uri="urn:schemas-microsoft-com:office:smarttags" w:element="country-region">
        <w:smartTag w:uri="urn:schemas-microsoft-com:office:smarttags" w:element="place">
          <w:r w:rsidRPr="008B6ABB">
            <w:rPr>
              <w:i/>
              <w:iCs/>
              <w:sz w:val="24"/>
              <w:szCs w:val="24"/>
            </w:rPr>
            <w:t>Netherlands</w:t>
          </w:r>
        </w:smartTag>
      </w:smartTag>
      <w:r w:rsidRPr="008B6ABB">
        <w:rPr>
          <w:i/>
          <w:iCs/>
          <w:sz w:val="24"/>
          <w:szCs w:val="24"/>
        </w:rPr>
        <w:t>.</w:t>
      </w:r>
    </w:p>
  </w:footnote>
  <w:footnote w:id="13">
    <w:p w:rsidR="00C45348" w:rsidRPr="008B6ABB" w:rsidRDefault="00C45348" w:rsidP="000A10ED">
      <w:pPr>
        <w:autoSpaceDE w:val="0"/>
        <w:autoSpaceDN w:val="0"/>
        <w:adjustRightInd w:val="0"/>
        <w:jc w:val="both"/>
      </w:pPr>
      <w:r w:rsidRPr="008B6ABB">
        <w:rPr>
          <w:rStyle w:val="FootnoteReference"/>
        </w:rPr>
        <w:footnoteRef/>
      </w:r>
      <w:r w:rsidRPr="008B6ABB">
        <w:t xml:space="preserve"> CCPR/C/CZE/CO/2, Human Rights Committee Concluding Observations on the second report of the </w:t>
      </w:r>
      <w:smartTag w:uri="urn:schemas-microsoft-com:office:smarttags" w:element="place">
        <w:smartTag w:uri="urn:schemas-microsoft-com:office:smarttags" w:element="PlaceName">
          <w:r w:rsidRPr="008B6ABB">
            <w:t>Czech</w:t>
          </w:r>
        </w:smartTag>
        <w:r w:rsidRPr="008B6ABB">
          <w:t xml:space="preserve"> </w:t>
        </w:r>
        <w:smartTag w:uri="urn:schemas-microsoft-com:office:smarttags" w:element="PlaceType">
          <w:r w:rsidRPr="008B6ABB">
            <w:t>Republic</w:t>
          </w:r>
        </w:smartTag>
      </w:smartTag>
      <w:r w:rsidRPr="008B6ABB">
        <w:t xml:space="preserve"> submitted under the International Covenant on Civil and Political Rights, adopted on 25 July 2007. The Committee </w:t>
      </w:r>
      <w:r w:rsidRPr="008B6ABB">
        <w:rPr>
          <w:i/>
          <w:iCs/>
        </w:rPr>
        <w:t>inter alia</w:t>
      </w:r>
      <w:r w:rsidRPr="008B6ABB">
        <w:t xml:space="preserve"> “urg[ed] the State party to implement all of its Views, including those under Act No. 87/91 of 1991, in order to restore the property of persons concerned, or otherwise compensate them”.</w:t>
      </w:r>
    </w:p>
  </w:footnote>
  <w:footnote w:id="14">
    <w:p w:rsidR="00C45348" w:rsidRPr="008B6ABB" w:rsidRDefault="00C45348" w:rsidP="000A10ED">
      <w:pPr>
        <w:pStyle w:val="FootnoteText"/>
        <w:jc w:val="both"/>
        <w:rPr>
          <w:sz w:val="24"/>
          <w:szCs w:val="24"/>
        </w:rPr>
      </w:pPr>
      <w:r w:rsidRPr="008B6ABB">
        <w:rPr>
          <w:rStyle w:val="FootnoteReference"/>
          <w:sz w:val="24"/>
          <w:szCs w:val="24"/>
        </w:rPr>
        <w:footnoteRef/>
      </w:r>
      <w:r w:rsidRPr="008B6ABB">
        <w:rPr>
          <w:sz w:val="24"/>
          <w:szCs w:val="24"/>
        </w:rPr>
        <w:t xml:space="preserve"> See Communication No. 1434/2005, </w:t>
      </w:r>
      <w:r w:rsidRPr="008B6ABB">
        <w:rPr>
          <w:i/>
          <w:iCs/>
          <w:sz w:val="24"/>
          <w:szCs w:val="24"/>
        </w:rPr>
        <w:t>Fillacier v. France</w:t>
      </w:r>
      <w:r w:rsidRPr="008B6ABB">
        <w:rPr>
          <w:sz w:val="24"/>
          <w:szCs w:val="24"/>
        </w:rPr>
        <w:t>, para. 4.3, and Communication No.</w:t>
      </w:r>
      <w:r w:rsidR="00B53A71" w:rsidRPr="008B6ABB">
        <w:rPr>
          <w:sz w:val="24"/>
          <w:szCs w:val="24"/>
        </w:rPr>
        <w:t> </w:t>
      </w:r>
      <w:r w:rsidRPr="008B6ABB">
        <w:rPr>
          <w:sz w:val="24"/>
          <w:szCs w:val="24"/>
        </w:rPr>
        <w:t xml:space="preserve">787/1997, </w:t>
      </w:r>
      <w:r w:rsidRPr="008B6ABB">
        <w:rPr>
          <w:i/>
          <w:iCs/>
          <w:sz w:val="24"/>
          <w:szCs w:val="24"/>
        </w:rPr>
        <w:t>Gobin v. Mauritius</w:t>
      </w:r>
      <w:r w:rsidRPr="008B6ABB">
        <w:rPr>
          <w:sz w:val="24"/>
          <w:szCs w:val="24"/>
        </w:rPr>
        <w:t xml:space="preserve">, para. 6.3. </w:t>
      </w:r>
    </w:p>
  </w:footnote>
  <w:footnote w:id="15">
    <w:p w:rsidR="00C45348" w:rsidRPr="008B6ABB" w:rsidRDefault="00C45348" w:rsidP="000A10ED">
      <w:pPr>
        <w:pStyle w:val="FootnoteText"/>
        <w:jc w:val="both"/>
        <w:rPr>
          <w:sz w:val="24"/>
          <w:szCs w:val="24"/>
        </w:rPr>
      </w:pPr>
      <w:r w:rsidRPr="008B6ABB">
        <w:rPr>
          <w:rStyle w:val="FootnoteReference"/>
          <w:sz w:val="24"/>
          <w:szCs w:val="24"/>
        </w:rPr>
        <w:footnoteRef/>
      </w:r>
      <w:r w:rsidRPr="008B6ABB">
        <w:rPr>
          <w:sz w:val="24"/>
          <w:szCs w:val="24"/>
        </w:rPr>
        <w:t xml:space="preserve"> </w:t>
      </w:r>
      <w:r w:rsidRPr="008B6ABB">
        <w:rPr>
          <w:color w:val="000000"/>
          <w:sz w:val="24"/>
          <w:szCs w:val="24"/>
          <w:lang w:val="en-US"/>
        </w:rPr>
        <w:t xml:space="preserve">Communication N° 586/1994, </w:t>
      </w:r>
      <w:r w:rsidRPr="008B6ABB">
        <w:rPr>
          <w:i/>
          <w:iCs/>
          <w:color w:val="000000"/>
          <w:sz w:val="24"/>
          <w:szCs w:val="24"/>
          <w:lang w:val="en-US"/>
        </w:rPr>
        <w:t xml:space="preserve">Adam </w:t>
      </w:r>
      <w:r w:rsidRPr="008B6ABB">
        <w:rPr>
          <w:color w:val="000000"/>
          <w:sz w:val="24"/>
          <w:szCs w:val="24"/>
          <w:lang w:val="en-US"/>
        </w:rPr>
        <w:t xml:space="preserve">v. </w:t>
      </w:r>
      <w:r w:rsidRPr="008B6ABB">
        <w:rPr>
          <w:i/>
          <w:iCs/>
          <w:color w:val="000000"/>
          <w:sz w:val="24"/>
          <w:szCs w:val="24"/>
          <w:lang w:val="en-US"/>
        </w:rPr>
        <w:t xml:space="preserve">the </w:t>
      </w:r>
      <w:smartTag w:uri="urn:schemas-microsoft-com:office:smarttags" w:element="place">
        <w:smartTag w:uri="urn:schemas-microsoft-com:office:smarttags" w:element="PlaceName">
          <w:r w:rsidRPr="008B6ABB">
            <w:rPr>
              <w:i/>
              <w:iCs/>
              <w:color w:val="000000"/>
              <w:sz w:val="24"/>
              <w:szCs w:val="24"/>
              <w:lang w:val="en-US"/>
            </w:rPr>
            <w:t>Czech</w:t>
          </w:r>
        </w:smartTag>
        <w:r w:rsidRPr="008B6ABB">
          <w:rPr>
            <w:i/>
            <w:iCs/>
            <w:color w:val="000000"/>
            <w:sz w:val="24"/>
            <w:szCs w:val="24"/>
            <w:lang w:val="en-US"/>
          </w:rPr>
          <w:t xml:space="preserve"> </w:t>
        </w:r>
        <w:smartTag w:uri="urn:schemas-microsoft-com:office:smarttags" w:element="PlaceType">
          <w:r w:rsidRPr="008B6ABB">
            <w:rPr>
              <w:i/>
              <w:iCs/>
              <w:color w:val="000000"/>
              <w:sz w:val="24"/>
              <w:szCs w:val="24"/>
              <w:lang w:val="en-US"/>
            </w:rPr>
            <w:t>Republic</w:t>
          </w:r>
        </w:smartTag>
      </w:smartTag>
      <w:r w:rsidRPr="008B6ABB">
        <w:rPr>
          <w:color w:val="000000"/>
          <w:sz w:val="24"/>
          <w:szCs w:val="24"/>
          <w:lang w:val="en-US"/>
        </w:rPr>
        <w:t>, Views of 23 July 1996, para. 6.3.</w:t>
      </w:r>
    </w:p>
  </w:footnote>
  <w:footnote w:id="16">
    <w:p w:rsidR="00C45348" w:rsidRPr="008B6ABB" w:rsidRDefault="00C45348" w:rsidP="00E229C0">
      <w:pPr>
        <w:pStyle w:val="FootnoteText"/>
        <w:jc w:val="both"/>
        <w:rPr>
          <w:sz w:val="24"/>
          <w:szCs w:val="24"/>
        </w:rPr>
      </w:pPr>
      <w:r w:rsidRPr="008B6ABB">
        <w:rPr>
          <w:rStyle w:val="FootnoteReference"/>
          <w:sz w:val="24"/>
          <w:szCs w:val="24"/>
        </w:rPr>
        <w:footnoteRef/>
      </w:r>
      <w:r w:rsidRPr="008B6ABB">
        <w:rPr>
          <w:sz w:val="24"/>
          <w:szCs w:val="24"/>
        </w:rPr>
        <w:t xml:space="preserve"> See Communication No. 182/1984, </w:t>
      </w:r>
      <w:r w:rsidRPr="008B6ABB">
        <w:rPr>
          <w:i/>
          <w:iCs/>
          <w:sz w:val="24"/>
          <w:szCs w:val="24"/>
        </w:rPr>
        <w:t xml:space="preserve">Zwaan-de Vries </w:t>
      </w:r>
      <w:r w:rsidRPr="008B6ABB">
        <w:rPr>
          <w:sz w:val="24"/>
          <w:szCs w:val="24"/>
        </w:rPr>
        <w:t>v.</w:t>
      </w:r>
      <w:r w:rsidRPr="008B6ABB">
        <w:rPr>
          <w:i/>
          <w:iCs/>
          <w:sz w:val="24"/>
          <w:szCs w:val="24"/>
        </w:rPr>
        <w:t xml:space="preserve"> The </w:t>
      </w:r>
      <w:smartTag w:uri="urn:schemas-microsoft-com:office:smarttags" w:element="country-region">
        <w:smartTag w:uri="urn:schemas-microsoft-com:office:smarttags" w:element="place">
          <w:r w:rsidRPr="008B6ABB">
            <w:rPr>
              <w:i/>
              <w:iCs/>
              <w:sz w:val="24"/>
              <w:szCs w:val="24"/>
            </w:rPr>
            <w:t>Netherlands</w:t>
          </w:r>
        </w:smartTag>
      </w:smartTag>
      <w:r w:rsidRPr="008B6ABB">
        <w:rPr>
          <w:sz w:val="24"/>
          <w:szCs w:val="24"/>
        </w:rPr>
        <w:t>, Views adopted on 9 April 1987, paragraph 13</w:t>
      </w:r>
    </w:p>
  </w:footnote>
  <w:footnote w:id="17">
    <w:p w:rsidR="00C45348" w:rsidRPr="008B6ABB" w:rsidRDefault="00C45348" w:rsidP="00E229C0">
      <w:pPr>
        <w:pStyle w:val="FootnoteText"/>
        <w:jc w:val="both"/>
        <w:rPr>
          <w:sz w:val="24"/>
          <w:szCs w:val="24"/>
        </w:rPr>
      </w:pPr>
      <w:r w:rsidRPr="008B6ABB">
        <w:rPr>
          <w:rStyle w:val="FootnoteReference"/>
          <w:sz w:val="24"/>
          <w:szCs w:val="24"/>
        </w:rPr>
        <w:footnoteRef/>
      </w:r>
      <w:r w:rsidRPr="008B6ABB">
        <w:rPr>
          <w:sz w:val="24"/>
          <w:szCs w:val="24"/>
        </w:rPr>
        <w:t xml:space="preserve"> Communication 516/1992, </w:t>
      </w:r>
      <w:r w:rsidRPr="008B6ABB">
        <w:rPr>
          <w:i/>
          <w:iCs/>
          <w:sz w:val="24"/>
          <w:szCs w:val="24"/>
        </w:rPr>
        <w:t xml:space="preserve">Simunek </w:t>
      </w:r>
      <w:r w:rsidRPr="008B6ABB">
        <w:rPr>
          <w:sz w:val="24"/>
          <w:szCs w:val="24"/>
        </w:rPr>
        <w:t>v</w:t>
      </w:r>
      <w:r w:rsidRPr="008B6ABB">
        <w:rPr>
          <w:i/>
          <w:iCs/>
          <w:sz w:val="24"/>
          <w:szCs w:val="24"/>
        </w:rPr>
        <w:t>. Czech Republic</w:t>
      </w:r>
      <w:r w:rsidRPr="008B6ABB">
        <w:rPr>
          <w:sz w:val="24"/>
          <w:szCs w:val="24"/>
        </w:rPr>
        <w:t>, Views adopted on 19 July 1995, paragraph 11.6</w:t>
      </w:r>
      <w:r w:rsidRPr="008B6ABB">
        <w:rPr>
          <w:rFonts w:eastAsia="MS Mincho" w:hint="eastAsia"/>
          <w:sz w:val="24"/>
          <w:szCs w:val="24"/>
          <w:lang w:eastAsia="ja-JP"/>
        </w:rPr>
        <w:t xml:space="preserve">; </w:t>
      </w:r>
      <w:r w:rsidRPr="008B6ABB">
        <w:rPr>
          <w:sz w:val="24"/>
          <w:szCs w:val="24"/>
        </w:rPr>
        <w:t xml:space="preserve">Communication No. 586/1994, </w:t>
      </w:r>
      <w:r w:rsidRPr="008B6ABB">
        <w:rPr>
          <w:i/>
          <w:iCs/>
          <w:sz w:val="24"/>
          <w:szCs w:val="24"/>
        </w:rPr>
        <w:t xml:space="preserve">Adam </w:t>
      </w:r>
      <w:r w:rsidRPr="008B6ABB">
        <w:rPr>
          <w:sz w:val="24"/>
          <w:szCs w:val="24"/>
        </w:rPr>
        <w:t>v.</w:t>
      </w:r>
      <w:r w:rsidRPr="008B6ABB">
        <w:rPr>
          <w:i/>
          <w:iCs/>
          <w:sz w:val="24"/>
          <w:szCs w:val="24"/>
        </w:rPr>
        <w:t xml:space="preserve"> Czech Republic</w:t>
      </w:r>
      <w:r w:rsidRPr="008B6ABB">
        <w:rPr>
          <w:sz w:val="24"/>
          <w:szCs w:val="24"/>
        </w:rPr>
        <w:t xml:space="preserve">, Views adopted on 23 July 1996, paragraph 12.6; Communication No. 857/1999, </w:t>
      </w:r>
      <w:r w:rsidRPr="008B6ABB">
        <w:rPr>
          <w:i/>
          <w:iCs/>
          <w:sz w:val="24"/>
          <w:szCs w:val="24"/>
        </w:rPr>
        <w:t xml:space="preserve">Blazek </w:t>
      </w:r>
      <w:r w:rsidRPr="008B6ABB">
        <w:rPr>
          <w:sz w:val="24"/>
          <w:szCs w:val="24"/>
        </w:rPr>
        <w:t>v.</w:t>
      </w:r>
      <w:r w:rsidRPr="008B6ABB">
        <w:rPr>
          <w:i/>
          <w:iCs/>
          <w:sz w:val="24"/>
          <w:szCs w:val="24"/>
        </w:rPr>
        <w:t xml:space="preserve"> Czech Republic</w:t>
      </w:r>
      <w:r w:rsidRPr="008B6ABB">
        <w:rPr>
          <w:sz w:val="24"/>
          <w:szCs w:val="24"/>
        </w:rPr>
        <w:t xml:space="preserve">, Views adopted on 12 July 2001, paragraph 5.8; Communication No. 945/2000, </w:t>
      </w:r>
      <w:r w:rsidRPr="008B6ABB">
        <w:rPr>
          <w:i/>
          <w:iCs/>
          <w:sz w:val="24"/>
          <w:szCs w:val="24"/>
        </w:rPr>
        <w:t xml:space="preserve">Marik </w:t>
      </w:r>
      <w:r w:rsidRPr="008B6ABB">
        <w:rPr>
          <w:sz w:val="24"/>
          <w:szCs w:val="24"/>
        </w:rPr>
        <w:t>v.</w:t>
      </w:r>
      <w:r w:rsidRPr="008B6ABB">
        <w:rPr>
          <w:i/>
          <w:iCs/>
          <w:sz w:val="24"/>
          <w:szCs w:val="24"/>
        </w:rPr>
        <w:t xml:space="preserve"> Czech Republic</w:t>
      </w:r>
      <w:r w:rsidRPr="008B6ABB">
        <w:rPr>
          <w:sz w:val="24"/>
          <w:szCs w:val="24"/>
        </w:rPr>
        <w:t xml:space="preserve">, Views adopted on 26 July 2005, paragraph 6.4; Communication No. 1054/2002, </w:t>
      </w:r>
      <w:r w:rsidRPr="008B6ABB">
        <w:rPr>
          <w:i/>
          <w:iCs/>
          <w:sz w:val="24"/>
          <w:szCs w:val="24"/>
        </w:rPr>
        <w:t xml:space="preserve">Kriz </w:t>
      </w:r>
      <w:r w:rsidRPr="008B6ABB">
        <w:rPr>
          <w:sz w:val="24"/>
          <w:szCs w:val="24"/>
        </w:rPr>
        <w:t>v.</w:t>
      </w:r>
      <w:r w:rsidRPr="008B6ABB">
        <w:rPr>
          <w:i/>
          <w:iCs/>
          <w:sz w:val="24"/>
          <w:szCs w:val="24"/>
        </w:rPr>
        <w:t xml:space="preserve"> Czech Republic</w:t>
      </w:r>
      <w:r w:rsidRPr="008B6ABB">
        <w:rPr>
          <w:sz w:val="24"/>
          <w:szCs w:val="24"/>
        </w:rPr>
        <w:t xml:space="preserve">, Views adopted on 1 November 2005, paragraph 7.3; Communication No. 1445/2006, </w:t>
      </w:r>
      <w:r w:rsidRPr="008B6ABB">
        <w:rPr>
          <w:i/>
          <w:iCs/>
          <w:sz w:val="24"/>
          <w:szCs w:val="24"/>
        </w:rPr>
        <w:t>Polackova and Polacek</w:t>
      </w:r>
      <w:r w:rsidRPr="008B6ABB">
        <w:rPr>
          <w:sz w:val="24"/>
          <w:szCs w:val="24"/>
        </w:rPr>
        <w:t xml:space="preserve"> v. </w:t>
      </w:r>
      <w:r w:rsidRPr="008B6ABB">
        <w:rPr>
          <w:i/>
          <w:iCs/>
          <w:sz w:val="24"/>
          <w:szCs w:val="24"/>
        </w:rPr>
        <w:t>Czech Republic</w:t>
      </w:r>
      <w:r w:rsidRPr="008B6ABB">
        <w:rPr>
          <w:sz w:val="24"/>
          <w:szCs w:val="24"/>
        </w:rPr>
        <w:t xml:space="preserve">, Views adopted on 24 July 2007, paragraph 7.4; Communication 1463/2006, </w:t>
      </w:r>
      <w:r w:rsidRPr="008B6ABB">
        <w:rPr>
          <w:i/>
          <w:iCs/>
          <w:sz w:val="24"/>
          <w:szCs w:val="24"/>
        </w:rPr>
        <w:t xml:space="preserve">Gratzinger v. Czech Republic, </w:t>
      </w:r>
      <w:r w:rsidRPr="008B6ABB">
        <w:rPr>
          <w:sz w:val="24"/>
          <w:szCs w:val="24"/>
        </w:rPr>
        <w:t xml:space="preserve">Views adopted on 25 October 2007, paragraph 7.5; and Communication No. 1533/2006, </w:t>
      </w:r>
      <w:r w:rsidRPr="008B6ABB">
        <w:rPr>
          <w:i/>
          <w:iCs/>
          <w:sz w:val="24"/>
          <w:szCs w:val="24"/>
        </w:rPr>
        <w:t>Ondracka v. Czech Republic</w:t>
      </w:r>
      <w:r w:rsidRPr="008B6ABB">
        <w:rPr>
          <w:sz w:val="24"/>
          <w:szCs w:val="24"/>
        </w:rPr>
        <w:t>, Views adopted on 2 November 2007, paragraph 7.</w:t>
      </w:r>
    </w:p>
  </w:footnote>
  <w:footnote w:id="18">
    <w:p w:rsidR="00C45348" w:rsidRPr="008B6ABB" w:rsidRDefault="00C45348" w:rsidP="00E229C0">
      <w:pPr>
        <w:pStyle w:val="FootnoteText"/>
        <w:jc w:val="both"/>
        <w:rPr>
          <w:sz w:val="24"/>
          <w:szCs w:val="24"/>
        </w:rPr>
      </w:pPr>
      <w:r w:rsidRPr="008B6ABB">
        <w:rPr>
          <w:rStyle w:val="FootnoteReference"/>
          <w:sz w:val="24"/>
          <w:szCs w:val="24"/>
        </w:rPr>
        <w:footnoteRef/>
      </w:r>
      <w:r w:rsidRPr="008B6ABB">
        <w:rPr>
          <w:sz w:val="24"/>
          <w:szCs w:val="24"/>
        </w:rPr>
        <w:t xml:space="preserve"> Communication </w:t>
      </w:r>
      <w:r w:rsidRPr="008B6ABB">
        <w:rPr>
          <w:rFonts w:eastAsia="MS Mincho" w:hint="eastAsia"/>
          <w:sz w:val="24"/>
          <w:szCs w:val="24"/>
          <w:lang w:eastAsia="ja-JP"/>
        </w:rPr>
        <w:t>747</w:t>
      </w:r>
      <w:r w:rsidRPr="008B6ABB">
        <w:rPr>
          <w:sz w:val="24"/>
          <w:szCs w:val="24"/>
        </w:rPr>
        <w:t>/199</w:t>
      </w:r>
      <w:r w:rsidRPr="008B6ABB">
        <w:rPr>
          <w:rFonts w:eastAsia="MS Mincho" w:hint="eastAsia"/>
          <w:sz w:val="24"/>
          <w:szCs w:val="24"/>
          <w:lang w:eastAsia="ja-JP"/>
        </w:rPr>
        <w:t>7</w:t>
      </w:r>
      <w:r w:rsidRPr="008B6ABB">
        <w:rPr>
          <w:sz w:val="24"/>
          <w:szCs w:val="24"/>
        </w:rPr>
        <w:t xml:space="preserve">, </w:t>
      </w:r>
      <w:r w:rsidRPr="008B6ABB">
        <w:rPr>
          <w:rFonts w:eastAsia="MS Mincho" w:hint="eastAsia"/>
          <w:i/>
          <w:iCs/>
          <w:sz w:val="24"/>
          <w:szCs w:val="24"/>
          <w:lang w:eastAsia="ja-JP"/>
        </w:rPr>
        <w:t>Des Fours Walderode</w:t>
      </w:r>
      <w:r w:rsidRPr="008B6ABB">
        <w:rPr>
          <w:i/>
          <w:iCs/>
          <w:sz w:val="24"/>
          <w:szCs w:val="24"/>
        </w:rPr>
        <w:t xml:space="preserve"> v. Czech Republic</w:t>
      </w:r>
      <w:r w:rsidRPr="008B6ABB">
        <w:rPr>
          <w:sz w:val="24"/>
          <w:szCs w:val="24"/>
        </w:rPr>
        <w:t xml:space="preserve">, Views adopted on </w:t>
      </w:r>
      <w:r w:rsidRPr="008B6ABB">
        <w:rPr>
          <w:rFonts w:eastAsia="MS Mincho" w:hint="eastAsia"/>
          <w:sz w:val="24"/>
          <w:szCs w:val="24"/>
          <w:lang w:eastAsia="ja-JP"/>
        </w:rPr>
        <w:t>30</w:t>
      </w:r>
      <w:r w:rsidRPr="008B6ABB">
        <w:rPr>
          <w:sz w:val="24"/>
          <w:szCs w:val="24"/>
        </w:rPr>
        <w:t xml:space="preserve"> </w:t>
      </w:r>
      <w:r w:rsidRPr="008B6ABB">
        <w:rPr>
          <w:rFonts w:eastAsia="MS Mincho" w:hint="eastAsia"/>
          <w:sz w:val="24"/>
          <w:szCs w:val="24"/>
          <w:lang w:eastAsia="ja-JP"/>
        </w:rPr>
        <w:t>October 2001</w:t>
      </w:r>
      <w:r w:rsidRPr="008B6ABB">
        <w:rPr>
          <w:sz w:val="24"/>
          <w:szCs w:val="24"/>
        </w:rPr>
        <w:t xml:space="preserve">, paragraph </w:t>
      </w:r>
      <w:r w:rsidRPr="008B6ABB">
        <w:rPr>
          <w:rFonts w:eastAsia="MS Mincho" w:hint="eastAsia"/>
          <w:sz w:val="24"/>
          <w:szCs w:val="24"/>
          <w:lang w:eastAsia="ja-JP"/>
        </w:rPr>
        <w:t>8.3-8</w:t>
      </w:r>
      <w:r w:rsidRPr="008B6ABB">
        <w:rPr>
          <w:sz w:val="24"/>
          <w:szCs w:val="24"/>
        </w:rPr>
        <w:t>.</w:t>
      </w:r>
      <w:r w:rsidRPr="008B6ABB">
        <w:rPr>
          <w:rFonts w:eastAsia="MS Mincho" w:hint="eastAsia"/>
          <w:sz w:val="24"/>
          <w:szCs w:val="24"/>
          <w:lang w:eastAsia="ja-JP"/>
        </w:rPr>
        <w:t>4.</w:t>
      </w:r>
    </w:p>
  </w:footnote>
  <w:footnote w:id="19">
    <w:p w:rsidR="008B6ABB" w:rsidRPr="008B6ABB" w:rsidRDefault="008B6ABB" w:rsidP="000A10ED">
      <w:pPr>
        <w:jc w:val="both"/>
      </w:pPr>
      <w:r w:rsidRPr="008B6ABB">
        <w:rPr>
          <w:rStyle w:val="FootnoteReference"/>
        </w:rPr>
        <w:footnoteRef/>
      </w:r>
      <w:r w:rsidRPr="008B6ABB">
        <w:t xml:space="preserve"> Communications No. 1434/2005, </w:t>
      </w:r>
      <w:r w:rsidRPr="008B6ABB">
        <w:rPr>
          <w:i/>
          <w:iCs/>
        </w:rPr>
        <w:t>Fillacier v. France</w:t>
      </w:r>
      <w:r w:rsidRPr="008B6ABB">
        <w:t xml:space="preserve"> and No. 787/1997, and </w:t>
      </w:r>
      <w:r w:rsidRPr="008B6ABB">
        <w:rPr>
          <w:i/>
          <w:iCs/>
        </w:rPr>
        <w:t>Gobin v. Mauritius</w:t>
      </w:r>
      <w:r w:rsidRPr="008B6ABB">
        <w:t xml:space="preserve">; Cf. Communications N° 1452/2006, </w:t>
      </w:r>
      <w:r w:rsidRPr="008B6ABB">
        <w:rPr>
          <w:i/>
          <w:iCs/>
        </w:rPr>
        <w:t>Chytil</w:t>
      </w:r>
      <w:r w:rsidRPr="008B6ABB">
        <w:t xml:space="preserve"> v. </w:t>
      </w:r>
      <w:r w:rsidRPr="008B6ABB">
        <w:rPr>
          <w:i/>
          <w:iCs/>
        </w:rPr>
        <w:t>Czech Republic;</w:t>
      </w:r>
      <w:r w:rsidRPr="008B6ABB">
        <w:t xml:space="preserve"> N° 1484/2006, </w:t>
      </w:r>
      <w:r w:rsidRPr="008B6ABB">
        <w:rPr>
          <w:i/>
          <w:iCs/>
        </w:rPr>
        <w:t xml:space="preserve">Lnenicka </w:t>
      </w:r>
      <w:r w:rsidRPr="008B6ABB">
        <w:t xml:space="preserve">v. </w:t>
      </w:r>
      <w:r w:rsidRPr="008B6ABB">
        <w:rPr>
          <w:i/>
          <w:iCs/>
        </w:rPr>
        <w:t>Czech Republic</w:t>
      </w:r>
      <w:r w:rsidRPr="008B6ABB">
        <w:t xml:space="preserve">; N°1485/2006, </w:t>
      </w:r>
      <w:r w:rsidRPr="008B6ABB">
        <w:rPr>
          <w:i/>
          <w:iCs/>
        </w:rPr>
        <w:t xml:space="preserve">Vlcek </w:t>
      </w:r>
      <w:r w:rsidRPr="008B6ABB">
        <w:t xml:space="preserve">v. </w:t>
      </w:r>
      <w:r w:rsidRPr="008B6ABB">
        <w:rPr>
          <w:i/>
          <w:iCs/>
        </w:rPr>
        <w:t xml:space="preserve">Czech Republic; </w:t>
      </w:r>
      <w:r w:rsidRPr="008B6ABB">
        <w:t xml:space="preserve">and N° 1582/2007, </w:t>
      </w:r>
      <w:r w:rsidRPr="008B6ABB">
        <w:rPr>
          <w:i/>
          <w:iCs/>
        </w:rPr>
        <w:t xml:space="preserve">Kudrna </w:t>
      </w:r>
      <w:r w:rsidRPr="008B6ABB">
        <w:t xml:space="preserve">v. </w:t>
      </w:r>
      <w:r w:rsidRPr="008B6ABB">
        <w:rPr>
          <w:i/>
          <w:iCs/>
        </w:rPr>
        <w:t>Czech Republic.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348" w:rsidRDefault="00C45348" w:rsidP="00611228">
    <w:pPr>
      <w:pStyle w:val="Header"/>
    </w:pPr>
    <w:r w:rsidRPr="004429D8">
      <w:t>CCPR/C/9</w:t>
    </w:r>
    <w:r>
      <w:t>6</w:t>
    </w:r>
    <w:r w:rsidRPr="004429D8">
      <w:t>/D/</w:t>
    </w:r>
    <w:r>
      <w:t>1574</w:t>
    </w:r>
    <w:r w:rsidRPr="004429D8">
      <w:t>/200</w:t>
    </w:r>
    <w:r>
      <w:t>7</w:t>
    </w:r>
  </w:p>
  <w:p w:rsidR="00C45348" w:rsidRDefault="00C45348">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60795">
      <w:rPr>
        <w:rStyle w:val="PageNumber"/>
        <w:noProof/>
      </w:rPr>
      <w:t>2</w:t>
    </w:r>
    <w:r>
      <w:rPr>
        <w:rStyle w:val="PageNumber"/>
      </w:rPr>
      <w:fldChar w:fldCharType="end"/>
    </w:r>
  </w:p>
  <w:p w:rsidR="00C45348" w:rsidRDefault="00C45348">
    <w:pPr>
      <w:pStyle w:val="Header"/>
      <w:rPr>
        <w:rStyle w:val="PageNumber"/>
      </w:rPr>
    </w:pPr>
  </w:p>
  <w:p w:rsidR="00C45348" w:rsidRDefault="00C453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348" w:rsidRDefault="00C45348" w:rsidP="00F21AE9">
    <w:pPr>
      <w:pStyle w:val="Header"/>
      <w:ind w:left="6521"/>
    </w:pPr>
    <w:r w:rsidRPr="004429D8">
      <w:t>CCPR/C/9</w:t>
    </w:r>
    <w:r>
      <w:t>5</w:t>
    </w:r>
    <w:r w:rsidRPr="004429D8">
      <w:t>/D/</w:t>
    </w:r>
    <w:r>
      <w:t>1574/2007</w:t>
    </w:r>
  </w:p>
  <w:p w:rsidR="00C45348" w:rsidRDefault="00C45348" w:rsidP="00F21AE9">
    <w:pPr>
      <w:pStyle w:val="Header"/>
      <w:ind w:left="6521"/>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60795">
      <w:rPr>
        <w:rStyle w:val="PageNumber"/>
        <w:noProof/>
      </w:rPr>
      <w:t>9</w:t>
    </w:r>
    <w:r>
      <w:rPr>
        <w:rStyle w:val="PageNumber"/>
      </w:rPr>
      <w:fldChar w:fldCharType="end"/>
    </w:r>
  </w:p>
  <w:p w:rsidR="00C45348" w:rsidRDefault="00C45348" w:rsidP="00F21AE9">
    <w:pPr>
      <w:pStyle w:val="Header"/>
      <w:ind w:left="6521"/>
      <w:rPr>
        <w:rStyle w:val="PageNumber"/>
      </w:rPr>
    </w:pPr>
  </w:p>
  <w:p w:rsidR="00C45348" w:rsidRDefault="00C45348" w:rsidP="00F21AE9">
    <w:pPr>
      <w:pStyle w:val="Header"/>
      <w:ind w:left="65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4244"/>
    <w:multiLevelType w:val="multilevel"/>
    <w:tmpl w:val="34C01F6C"/>
    <w:lvl w:ilvl="0">
      <w:start w:val="7"/>
      <w:numFmt w:val="decimal"/>
      <w:lvlText w:val="%1"/>
      <w:lvlJc w:val="left"/>
      <w:pPr>
        <w:tabs>
          <w:tab w:val="num" w:pos="720"/>
        </w:tabs>
        <w:ind w:left="720" w:hanging="720"/>
      </w:pPr>
      <w:rPr>
        <w:rFonts w:hint="default"/>
        <w:sz w:val="24"/>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
    <w:nsid w:val="1A112E3B"/>
    <w:multiLevelType w:val="multilevel"/>
    <w:tmpl w:val="7E004C80"/>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A2E7D21"/>
    <w:multiLevelType w:val="multilevel"/>
    <w:tmpl w:val="AD3EB18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99C76E5"/>
    <w:multiLevelType w:val="multilevel"/>
    <w:tmpl w:val="2310721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A900F3A"/>
    <w:multiLevelType w:val="hybridMultilevel"/>
    <w:tmpl w:val="F62CAD42"/>
    <w:lvl w:ilvl="0" w:tplc="54360E0C">
      <w:start w:val="8"/>
      <w:numFmt w:val="decimal"/>
      <w:lvlText w:val="%1."/>
      <w:lvlJc w:val="left"/>
      <w:pPr>
        <w:tabs>
          <w:tab w:val="num" w:pos="1080"/>
        </w:tabs>
        <w:ind w:left="1080" w:hanging="720"/>
      </w:pPr>
      <w:rPr>
        <w:rFonts w:hint="default"/>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7C15F8"/>
    <w:multiLevelType w:val="multilevel"/>
    <w:tmpl w:val="0DEC5488"/>
    <w:lvl w:ilvl="0">
      <w:start w:val="6"/>
      <w:numFmt w:val="decimal"/>
      <w:lvlText w:val="%1"/>
      <w:lvlJc w:val="left"/>
      <w:pPr>
        <w:tabs>
          <w:tab w:val="num" w:pos="720"/>
        </w:tabs>
        <w:ind w:left="720" w:hanging="720"/>
      </w:pPr>
      <w:rPr>
        <w:rFonts w:hint="default"/>
        <w:sz w:val="24"/>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6">
    <w:nsid w:val="65BE7BD0"/>
    <w:multiLevelType w:val="hybridMultilevel"/>
    <w:tmpl w:val="9C76FF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075528"/>
    <w:multiLevelType w:val="hybridMultilevel"/>
    <w:tmpl w:val="F30CDC44"/>
    <w:lvl w:ilvl="0" w:tplc="0409000F">
      <w:start w:val="3"/>
      <w:numFmt w:val="decimal"/>
      <w:lvlText w:val="%1."/>
      <w:lvlJc w:val="left"/>
      <w:pPr>
        <w:tabs>
          <w:tab w:val="num" w:pos="720"/>
        </w:tabs>
        <w:ind w:left="720" w:hanging="360"/>
      </w:pPr>
      <w:rPr>
        <w:rFonts w:hint="default"/>
      </w:rPr>
    </w:lvl>
    <w:lvl w:ilvl="1" w:tplc="983E2B9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2"/>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hdrShapeDefaults>
    <o:shapedefaults v:ext="edit" spidmax="3074">
      <v:textbox inset="5.85pt,.7pt,5.85pt,.7pt"/>
    </o:shapedefaults>
  </w:hdrShapeDefaults>
  <w:footnotePr>
    <w:footnote w:id="-1"/>
    <w:footnote w:id="0"/>
    <w:footnote w:id="1"/>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6D0E"/>
    <w:rsid w:val="00000788"/>
    <w:rsid w:val="00011C5A"/>
    <w:rsid w:val="00011C63"/>
    <w:rsid w:val="000202B0"/>
    <w:rsid w:val="00027F19"/>
    <w:rsid w:val="000308A6"/>
    <w:rsid w:val="00031B64"/>
    <w:rsid w:val="0003566A"/>
    <w:rsid w:val="00036402"/>
    <w:rsid w:val="00040706"/>
    <w:rsid w:val="00041065"/>
    <w:rsid w:val="00042E69"/>
    <w:rsid w:val="00045B49"/>
    <w:rsid w:val="000469D5"/>
    <w:rsid w:val="00050AC2"/>
    <w:rsid w:val="000512EC"/>
    <w:rsid w:val="00052AAA"/>
    <w:rsid w:val="00053999"/>
    <w:rsid w:val="0006156C"/>
    <w:rsid w:val="00066D0E"/>
    <w:rsid w:val="00066EC8"/>
    <w:rsid w:val="000679A6"/>
    <w:rsid w:val="00076B88"/>
    <w:rsid w:val="00077215"/>
    <w:rsid w:val="0008563B"/>
    <w:rsid w:val="000906B6"/>
    <w:rsid w:val="00091439"/>
    <w:rsid w:val="00092EE9"/>
    <w:rsid w:val="000944CE"/>
    <w:rsid w:val="000949ED"/>
    <w:rsid w:val="00095FA0"/>
    <w:rsid w:val="000A10ED"/>
    <w:rsid w:val="000A4BFF"/>
    <w:rsid w:val="000B013D"/>
    <w:rsid w:val="000C0588"/>
    <w:rsid w:val="000C7891"/>
    <w:rsid w:val="000E3E4F"/>
    <w:rsid w:val="000E3EF8"/>
    <w:rsid w:val="000E6674"/>
    <w:rsid w:val="000F18D3"/>
    <w:rsid w:val="000F1E69"/>
    <w:rsid w:val="000F3381"/>
    <w:rsid w:val="000F76A3"/>
    <w:rsid w:val="000F7793"/>
    <w:rsid w:val="00103EE7"/>
    <w:rsid w:val="001052CA"/>
    <w:rsid w:val="00105E69"/>
    <w:rsid w:val="00106F9B"/>
    <w:rsid w:val="00107587"/>
    <w:rsid w:val="00113446"/>
    <w:rsid w:val="00117879"/>
    <w:rsid w:val="001321BA"/>
    <w:rsid w:val="00133036"/>
    <w:rsid w:val="00133B99"/>
    <w:rsid w:val="00144056"/>
    <w:rsid w:val="00144731"/>
    <w:rsid w:val="00146D1A"/>
    <w:rsid w:val="00154C10"/>
    <w:rsid w:val="00155068"/>
    <w:rsid w:val="00163B4D"/>
    <w:rsid w:val="00167C08"/>
    <w:rsid w:val="0017115D"/>
    <w:rsid w:val="001826BD"/>
    <w:rsid w:val="00185FDC"/>
    <w:rsid w:val="00191BB5"/>
    <w:rsid w:val="001A15A5"/>
    <w:rsid w:val="001A350C"/>
    <w:rsid w:val="001A6384"/>
    <w:rsid w:val="001B1386"/>
    <w:rsid w:val="001B15B1"/>
    <w:rsid w:val="001B1CCC"/>
    <w:rsid w:val="001B475C"/>
    <w:rsid w:val="001B48ED"/>
    <w:rsid w:val="001C285A"/>
    <w:rsid w:val="001C28AF"/>
    <w:rsid w:val="001C4E67"/>
    <w:rsid w:val="001C786B"/>
    <w:rsid w:val="001D09D1"/>
    <w:rsid w:val="001D3C0C"/>
    <w:rsid w:val="001D4AF4"/>
    <w:rsid w:val="001D6E3F"/>
    <w:rsid w:val="001F040E"/>
    <w:rsid w:val="001F2566"/>
    <w:rsid w:val="001F5D4A"/>
    <w:rsid w:val="00201CA4"/>
    <w:rsid w:val="00202847"/>
    <w:rsid w:val="00206BFE"/>
    <w:rsid w:val="0020728C"/>
    <w:rsid w:val="00210146"/>
    <w:rsid w:val="00225AE4"/>
    <w:rsid w:val="0022695A"/>
    <w:rsid w:val="00226C2A"/>
    <w:rsid w:val="00227C71"/>
    <w:rsid w:val="0023462B"/>
    <w:rsid w:val="002352FF"/>
    <w:rsid w:val="00235F02"/>
    <w:rsid w:val="002475A9"/>
    <w:rsid w:val="00247709"/>
    <w:rsid w:val="00247D73"/>
    <w:rsid w:val="00255E54"/>
    <w:rsid w:val="00260E40"/>
    <w:rsid w:val="00263559"/>
    <w:rsid w:val="00264C6F"/>
    <w:rsid w:val="00266A29"/>
    <w:rsid w:val="0027368F"/>
    <w:rsid w:val="00273AF9"/>
    <w:rsid w:val="002740ED"/>
    <w:rsid w:val="002768A2"/>
    <w:rsid w:val="00282A40"/>
    <w:rsid w:val="0028508F"/>
    <w:rsid w:val="002927BD"/>
    <w:rsid w:val="0029424A"/>
    <w:rsid w:val="00297AE6"/>
    <w:rsid w:val="002A0B50"/>
    <w:rsid w:val="002A3652"/>
    <w:rsid w:val="002A73C0"/>
    <w:rsid w:val="002B1F3F"/>
    <w:rsid w:val="002B2B7E"/>
    <w:rsid w:val="002B3F43"/>
    <w:rsid w:val="002B5AB3"/>
    <w:rsid w:val="002C0A5B"/>
    <w:rsid w:val="002D1289"/>
    <w:rsid w:val="002E31FE"/>
    <w:rsid w:val="002E6724"/>
    <w:rsid w:val="002F7A24"/>
    <w:rsid w:val="00305A40"/>
    <w:rsid w:val="00310E43"/>
    <w:rsid w:val="00316D3C"/>
    <w:rsid w:val="003171E7"/>
    <w:rsid w:val="00320DEF"/>
    <w:rsid w:val="0032289E"/>
    <w:rsid w:val="00324DD4"/>
    <w:rsid w:val="003318A6"/>
    <w:rsid w:val="003362AB"/>
    <w:rsid w:val="0034205F"/>
    <w:rsid w:val="0034352E"/>
    <w:rsid w:val="00343D41"/>
    <w:rsid w:val="003505B9"/>
    <w:rsid w:val="00352344"/>
    <w:rsid w:val="00353E8E"/>
    <w:rsid w:val="00354B26"/>
    <w:rsid w:val="003576A0"/>
    <w:rsid w:val="0036192E"/>
    <w:rsid w:val="00366E12"/>
    <w:rsid w:val="00376309"/>
    <w:rsid w:val="003773C3"/>
    <w:rsid w:val="00377EC3"/>
    <w:rsid w:val="00381EA6"/>
    <w:rsid w:val="003A0F52"/>
    <w:rsid w:val="003A1854"/>
    <w:rsid w:val="003A64C5"/>
    <w:rsid w:val="003B0AA1"/>
    <w:rsid w:val="003B1F82"/>
    <w:rsid w:val="003B320C"/>
    <w:rsid w:val="003B6C66"/>
    <w:rsid w:val="003B777A"/>
    <w:rsid w:val="003C39F5"/>
    <w:rsid w:val="003C4882"/>
    <w:rsid w:val="003C57C2"/>
    <w:rsid w:val="003C7A63"/>
    <w:rsid w:val="003D0ACA"/>
    <w:rsid w:val="003D60C7"/>
    <w:rsid w:val="003E6E0C"/>
    <w:rsid w:val="003F0F2C"/>
    <w:rsid w:val="003F2807"/>
    <w:rsid w:val="0040145D"/>
    <w:rsid w:val="00406417"/>
    <w:rsid w:val="00414D7D"/>
    <w:rsid w:val="00420082"/>
    <w:rsid w:val="004227A0"/>
    <w:rsid w:val="00423739"/>
    <w:rsid w:val="00425399"/>
    <w:rsid w:val="00427221"/>
    <w:rsid w:val="004325BF"/>
    <w:rsid w:val="00432DD2"/>
    <w:rsid w:val="00433B0D"/>
    <w:rsid w:val="004374FE"/>
    <w:rsid w:val="00445CD9"/>
    <w:rsid w:val="004462A3"/>
    <w:rsid w:val="00446874"/>
    <w:rsid w:val="00446DCD"/>
    <w:rsid w:val="00452608"/>
    <w:rsid w:val="00453972"/>
    <w:rsid w:val="00454B83"/>
    <w:rsid w:val="00455466"/>
    <w:rsid w:val="0045549D"/>
    <w:rsid w:val="00456AB2"/>
    <w:rsid w:val="004666C3"/>
    <w:rsid w:val="00466D85"/>
    <w:rsid w:val="00471B9B"/>
    <w:rsid w:val="00472942"/>
    <w:rsid w:val="00472D2C"/>
    <w:rsid w:val="004738DA"/>
    <w:rsid w:val="00474654"/>
    <w:rsid w:val="00475D16"/>
    <w:rsid w:val="00476DEA"/>
    <w:rsid w:val="004816DD"/>
    <w:rsid w:val="00485CAD"/>
    <w:rsid w:val="004956FF"/>
    <w:rsid w:val="004A045D"/>
    <w:rsid w:val="004A48B3"/>
    <w:rsid w:val="004B14F0"/>
    <w:rsid w:val="004C0100"/>
    <w:rsid w:val="004C2B43"/>
    <w:rsid w:val="004D1096"/>
    <w:rsid w:val="004D28F5"/>
    <w:rsid w:val="004D2BA9"/>
    <w:rsid w:val="004D33DA"/>
    <w:rsid w:val="004D4BC0"/>
    <w:rsid w:val="004D570E"/>
    <w:rsid w:val="004D5B26"/>
    <w:rsid w:val="004E0C0B"/>
    <w:rsid w:val="004E39D3"/>
    <w:rsid w:val="004E4668"/>
    <w:rsid w:val="004E745A"/>
    <w:rsid w:val="004F10BA"/>
    <w:rsid w:val="004F50E6"/>
    <w:rsid w:val="004F608F"/>
    <w:rsid w:val="00500E85"/>
    <w:rsid w:val="00510EF7"/>
    <w:rsid w:val="005147F7"/>
    <w:rsid w:val="00520504"/>
    <w:rsid w:val="00526CC6"/>
    <w:rsid w:val="00531337"/>
    <w:rsid w:val="00536A0E"/>
    <w:rsid w:val="00536FEB"/>
    <w:rsid w:val="0054410E"/>
    <w:rsid w:val="0054590B"/>
    <w:rsid w:val="00552166"/>
    <w:rsid w:val="005529DD"/>
    <w:rsid w:val="0055729F"/>
    <w:rsid w:val="005573F0"/>
    <w:rsid w:val="005642CA"/>
    <w:rsid w:val="005644BE"/>
    <w:rsid w:val="00571EE8"/>
    <w:rsid w:val="005736BB"/>
    <w:rsid w:val="0058078B"/>
    <w:rsid w:val="00582E26"/>
    <w:rsid w:val="00587BA2"/>
    <w:rsid w:val="0059652B"/>
    <w:rsid w:val="00596B3C"/>
    <w:rsid w:val="005A19CD"/>
    <w:rsid w:val="005A4A97"/>
    <w:rsid w:val="005B0C52"/>
    <w:rsid w:val="005B1F4E"/>
    <w:rsid w:val="005B3136"/>
    <w:rsid w:val="005B7218"/>
    <w:rsid w:val="005B77ED"/>
    <w:rsid w:val="005C12E9"/>
    <w:rsid w:val="005C361F"/>
    <w:rsid w:val="005C4240"/>
    <w:rsid w:val="005C5116"/>
    <w:rsid w:val="005D2C5C"/>
    <w:rsid w:val="005D30F0"/>
    <w:rsid w:val="005D4C19"/>
    <w:rsid w:val="005D6D1B"/>
    <w:rsid w:val="005E1FA6"/>
    <w:rsid w:val="005E3703"/>
    <w:rsid w:val="005E737F"/>
    <w:rsid w:val="005F3661"/>
    <w:rsid w:val="005F48A5"/>
    <w:rsid w:val="005F6968"/>
    <w:rsid w:val="005F7B5C"/>
    <w:rsid w:val="006033DC"/>
    <w:rsid w:val="00603547"/>
    <w:rsid w:val="0061032D"/>
    <w:rsid w:val="00610507"/>
    <w:rsid w:val="00611228"/>
    <w:rsid w:val="00612265"/>
    <w:rsid w:val="0061359E"/>
    <w:rsid w:val="00620849"/>
    <w:rsid w:val="0062652B"/>
    <w:rsid w:val="006355D6"/>
    <w:rsid w:val="006358FC"/>
    <w:rsid w:val="0064240C"/>
    <w:rsid w:val="006513A8"/>
    <w:rsid w:val="00652875"/>
    <w:rsid w:val="0066089D"/>
    <w:rsid w:val="006659BD"/>
    <w:rsid w:val="00666C87"/>
    <w:rsid w:val="00667148"/>
    <w:rsid w:val="00667B22"/>
    <w:rsid w:val="00670E8A"/>
    <w:rsid w:val="00670F6C"/>
    <w:rsid w:val="006720F6"/>
    <w:rsid w:val="006759CD"/>
    <w:rsid w:val="0067616E"/>
    <w:rsid w:val="00677221"/>
    <w:rsid w:val="006809A3"/>
    <w:rsid w:val="0068195A"/>
    <w:rsid w:val="00681EBC"/>
    <w:rsid w:val="00682751"/>
    <w:rsid w:val="00684974"/>
    <w:rsid w:val="00691DFB"/>
    <w:rsid w:val="006921F9"/>
    <w:rsid w:val="00692D55"/>
    <w:rsid w:val="006A1D62"/>
    <w:rsid w:val="006A5DF6"/>
    <w:rsid w:val="006A6004"/>
    <w:rsid w:val="006A77C6"/>
    <w:rsid w:val="006B555A"/>
    <w:rsid w:val="006C0059"/>
    <w:rsid w:val="006C2278"/>
    <w:rsid w:val="006D0515"/>
    <w:rsid w:val="006E005C"/>
    <w:rsid w:val="006E2A4B"/>
    <w:rsid w:val="006E4505"/>
    <w:rsid w:val="006E7A73"/>
    <w:rsid w:val="006F3B02"/>
    <w:rsid w:val="006F6534"/>
    <w:rsid w:val="00711B8E"/>
    <w:rsid w:val="0071307F"/>
    <w:rsid w:val="00714757"/>
    <w:rsid w:val="0071722B"/>
    <w:rsid w:val="0072765A"/>
    <w:rsid w:val="0073086C"/>
    <w:rsid w:val="0073113C"/>
    <w:rsid w:val="007328FD"/>
    <w:rsid w:val="007430A1"/>
    <w:rsid w:val="00746EC0"/>
    <w:rsid w:val="007474A0"/>
    <w:rsid w:val="00752E64"/>
    <w:rsid w:val="00755A57"/>
    <w:rsid w:val="00755EAD"/>
    <w:rsid w:val="00756EA4"/>
    <w:rsid w:val="00761D8A"/>
    <w:rsid w:val="00763BAF"/>
    <w:rsid w:val="0077197F"/>
    <w:rsid w:val="00773916"/>
    <w:rsid w:val="00777F70"/>
    <w:rsid w:val="00780173"/>
    <w:rsid w:val="0078146E"/>
    <w:rsid w:val="00785D32"/>
    <w:rsid w:val="007902B5"/>
    <w:rsid w:val="007902C7"/>
    <w:rsid w:val="007905F6"/>
    <w:rsid w:val="0079588F"/>
    <w:rsid w:val="007A4E0E"/>
    <w:rsid w:val="007A62CE"/>
    <w:rsid w:val="007A6731"/>
    <w:rsid w:val="007B4FEA"/>
    <w:rsid w:val="007B609B"/>
    <w:rsid w:val="007C17E4"/>
    <w:rsid w:val="007C3E26"/>
    <w:rsid w:val="007C5232"/>
    <w:rsid w:val="007D0AE7"/>
    <w:rsid w:val="007E54E2"/>
    <w:rsid w:val="007F1663"/>
    <w:rsid w:val="007F41B6"/>
    <w:rsid w:val="0080025A"/>
    <w:rsid w:val="0080158E"/>
    <w:rsid w:val="00801BEB"/>
    <w:rsid w:val="00802571"/>
    <w:rsid w:val="00806B8F"/>
    <w:rsid w:val="00811024"/>
    <w:rsid w:val="00814292"/>
    <w:rsid w:val="008151DF"/>
    <w:rsid w:val="008157B0"/>
    <w:rsid w:val="00823CE4"/>
    <w:rsid w:val="008249FB"/>
    <w:rsid w:val="0082621E"/>
    <w:rsid w:val="00826574"/>
    <w:rsid w:val="0083111E"/>
    <w:rsid w:val="00832744"/>
    <w:rsid w:val="008335AD"/>
    <w:rsid w:val="00834F24"/>
    <w:rsid w:val="00836788"/>
    <w:rsid w:val="00841A03"/>
    <w:rsid w:val="0084366E"/>
    <w:rsid w:val="00844288"/>
    <w:rsid w:val="00844634"/>
    <w:rsid w:val="00851D8E"/>
    <w:rsid w:val="008554AF"/>
    <w:rsid w:val="00857ED7"/>
    <w:rsid w:val="0086375A"/>
    <w:rsid w:val="00863DB7"/>
    <w:rsid w:val="00863E27"/>
    <w:rsid w:val="008648D9"/>
    <w:rsid w:val="00875C70"/>
    <w:rsid w:val="0088301A"/>
    <w:rsid w:val="0089520D"/>
    <w:rsid w:val="00896748"/>
    <w:rsid w:val="008A2829"/>
    <w:rsid w:val="008A47CE"/>
    <w:rsid w:val="008B2499"/>
    <w:rsid w:val="008B4553"/>
    <w:rsid w:val="008B6ABB"/>
    <w:rsid w:val="008C7F6C"/>
    <w:rsid w:val="008D5724"/>
    <w:rsid w:val="008D716F"/>
    <w:rsid w:val="008E6357"/>
    <w:rsid w:val="008E66E7"/>
    <w:rsid w:val="008F1B1C"/>
    <w:rsid w:val="008F6098"/>
    <w:rsid w:val="009038D2"/>
    <w:rsid w:val="0090479E"/>
    <w:rsid w:val="00905F1A"/>
    <w:rsid w:val="009074D3"/>
    <w:rsid w:val="00910BEE"/>
    <w:rsid w:val="00922B7D"/>
    <w:rsid w:val="0092663A"/>
    <w:rsid w:val="0093040F"/>
    <w:rsid w:val="00933085"/>
    <w:rsid w:val="009333AC"/>
    <w:rsid w:val="0093502D"/>
    <w:rsid w:val="009401C1"/>
    <w:rsid w:val="00943069"/>
    <w:rsid w:val="00944D83"/>
    <w:rsid w:val="009454A3"/>
    <w:rsid w:val="0095066E"/>
    <w:rsid w:val="009519DA"/>
    <w:rsid w:val="00951F30"/>
    <w:rsid w:val="00955BF4"/>
    <w:rsid w:val="00960262"/>
    <w:rsid w:val="00960795"/>
    <w:rsid w:val="009619BD"/>
    <w:rsid w:val="00962B3E"/>
    <w:rsid w:val="00965C75"/>
    <w:rsid w:val="00970503"/>
    <w:rsid w:val="009711A3"/>
    <w:rsid w:val="00973F08"/>
    <w:rsid w:val="009801D9"/>
    <w:rsid w:val="009803ED"/>
    <w:rsid w:val="0098457F"/>
    <w:rsid w:val="009919F5"/>
    <w:rsid w:val="00993053"/>
    <w:rsid w:val="00993A92"/>
    <w:rsid w:val="009A68D9"/>
    <w:rsid w:val="009A71B3"/>
    <w:rsid w:val="009A76B2"/>
    <w:rsid w:val="009B19D1"/>
    <w:rsid w:val="009B48D9"/>
    <w:rsid w:val="009C1EC2"/>
    <w:rsid w:val="009C3504"/>
    <w:rsid w:val="009C4A7C"/>
    <w:rsid w:val="009C5830"/>
    <w:rsid w:val="009C6124"/>
    <w:rsid w:val="009C6CD7"/>
    <w:rsid w:val="009D3ADF"/>
    <w:rsid w:val="009E3886"/>
    <w:rsid w:val="009E756B"/>
    <w:rsid w:val="009F7088"/>
    <w:rsid w:val="00A00D17"/>
    <w:rsid w:val="00A04137"/>
    <w:rsid w:val="00A144C1"/>
    <w:rsid w:val="00A21580"/>
    <w:rsid w:val="00A23AA6"/>
    <w:rsid w:val="00A324F6"/>
    <w:rsid w:val="00A36405"/>
    <w:rsid w:val="00A402DC"/>
    <w:rsid w:val="00A41DEF"/>
    <w:rsid w:val="00A463BB"/>
    <w:rsid w:val="00A46A46"/>
    <w:rsid w:val="00A4744C"/>
    <w:rsid w:val="00A5122E"/>
    <w:rsid w:val="00A5346E"/>
    <w:rsid w:val="00A541A7"/>
    <w:rsid w:val="00A55482"/>
    <w:rsid w:val="00A5561E"/>
    <w:rsid w:val="00A604AF"/>
    <w:rsid w:val="00A629FA"/>
    <w:rsid w:val="00A65785"/>
    <w:rsid w:val="00A65A69"/>
    <w:rsid w:val="00A7218B"/>
    <w:rsid w:val="00A7382B"/>
    <w:rsid w:val="00A77D76"/>
    <w:rsid w:val="00A8339A"/>
    <w:rsid w:val="00A8364D"/>
    <w:rsid w:val="00A85316"/>
    <w:rsid w:val="00A917C3"/>
    <w:rsid w:val="00A96A65"/>
    <w:rsid w:val="00A96D48"/>
    <w:rsid w:val="00AA0965"/>
    <w:rsid w:val="00AA4519"/>
    <w:rsid w:val="00AB1AB8"/>
    <w:rsid w:val="00AB2955"/>
    <w:rsid w:val="00AB3F26"/>
    <w:rsid w:val="00AC1CC8"/>
    <w:rsid w:val="00AC20AD"/>
    <w:rsid w:val="00AC2E08"/>
    <w:rsid w:val="00AC69CD"/>
    <w:rsid w:val="00AD0B2A"/>
    <w:rsid w:val="00AD2BB3"/>
    <w:rsid w:val="00AD4D72"/>
    <w:rsid w:val="00AD55E5"/>
    <w:rsid w:val="00AD6565"/>
    <w:rsid w:val="00AD74D0"/>
    <w:rsid w:val="00AE0114"/>
    <w:rsid w:val="00AE1683"/>
    <w:rsid w:val="00AE2459"/>
    <w:rsid w:val="00AE529F"/>
    <w:rsid w:val="00AE77E0"/>
    <w:rsid w:val="00AE7D87"/>
    <w:rsid w:val="00AF0F12"/>
    <w:rsid w:val="00AF22B7"/>
    <w:rsid w:val="00AF26A8"/>
    <w:rsid w:val="00AF45BB"/>
    <w:rsid w:val="00B00332"/>
    <w:rsid w:val="00B02B37"/>
    <w:rsid w:val="00B0467F"/>
    <w:rsid w:val="00B079E9"/>
    <w:rsid w:val="00B14FF2"/>
    <w:rsid w:val="00B1633E"/>
    <w:rsid w:val="00B17305"/>
    <w:rsid w:val="00B306BB"/>
    <w:rsid w:val="00B30704"/>
    <w:rsid w:val="00B31CC9"/>
    <w:rsid w:val="00B32CBF"/>
    <w:rsid w:val="00B34086"/>
    <w:rsid w:val="00B42CC1"/>
    <w:rsid w:val="00B44CF8"/>
    <w:rsid w:val="00B45AE9"/>
    <w:rsid w:val="00B45E19"/>
    <w:rsid w:val="00B465DD"/>
    <w:rsid w:val="00B508CF"/>
    <w:rsid w:val="00B51C49"/>
    <w:rsid w:val="00B53A71"/>
    <w:rsid w:val="00B53D4D"/>
    <w:rsid w:val="00B63BB4"/>
    <w:rsid w:val="00B650C6"/>
    <w:rsid w:val="00B7523C"/>
    <w:rsid w:val="00B812A6"/>
    <w:rsid w:val="00B81F44"/>
    <w:rsid w:val="00B82EB3"/>
    <w:rsid w:val="00B84D80"/>
    <w:rsid w:val="00B86501"/>
    <w:rsid w:val="00B86AFC"/>
    <w:rsid w:val="00B91826"/>
    <w:rsid w:val="00B92A61"/>
    <w:rsid w:val="00B97726"/>
    <w:rsid w:val="00BA1B3E"/>
    <w:rsid w:val="00BA7B85"/>
    <w:rsid w:val="00BB2BA5"/>
    <w:rsid w:val="00BB3CA6"/>
    <w:rsid w:val="00BB57FE"/>
    <w:rsid w:val="00BB6127"/>
    <w:rsid w:val="00BC17E4"/>
    <w:rsid w:val="00BC1DB3"/>
    <w:rsid w:val="00BC376F"/>
    <w:rsid w:val="00BC3866"/>
    <w:rsid w:val="00BC6176"/>
    <w:rsid w:val="00BD06AE"/>
    <w:rsid w:val="00BE29DA"/>
    <w:rsid w:val="00BE68EE"/>
    <w:rsid w:val="00BE71B1"/>
    <w:rsid w:val="00BF0665"/>
    <w:rsid w:val="00BF5B7D"/>
    <w:rsid w:val="00C01D42"/>
    <w:rsid w:val="00C039FF"/>
    <w:rsid w:val="00C03C61"/>
    <w:rsid w:val="00C042DC"/>
    <w:rsid w:val="00C06079"/>
    <w:rsid w:val="00C1764C"/>
    <w:rsid w:val="00C242AC"/>
    <w:rsid w:val="00C30F6C"/>
    <w:rsid w:val="00C32B40"/>
    <w:rsid w:val="00C36CE5"/>
    <w:rsid w:val="00C37A6D"/>
    <w:rsid w:val="00C41B67"/>
    <w:rsid w:val="00C4274E"/>
    <w:rsid w:val="00C45348"/>
    <w:rsid w:val="00C47A8C"/>
    <w:rsid w:val="00C551BE"/>
    <w:rsid w:val="00C5536F"/>
    <w:rsid w:val="00C576DD"/>
    <w:rsid w:val="00C627B9"/>
    <w:rsid w:val="00C7554D"/>
    <w:rsid w:val="00C80D65"/>
    <w:rsid w:val="00C82A4A"/>
    <w:rsid w:val="00C855E4"/>
    <w:rsid w:val="00C85B35"/>
    <w:rsid w:val="00C8694C"/>
    <w:rsid w:val="00C87B50"/>
    <w:rsid w:val="00C92AFF"/>
    <w:rsid w:val="00C92E7F"/>
    <w:rsid w:val="00C93909"/>
    <w:rsid w:val="00C93951"/>
    <w:rsid w:val="00C94868"/>
    <w:rsid w:val="00C9654E"/>
    <w:rsid w:val="00CA6A8F"/>
    <w:rsid w:val="00CB1E29"/>
    <w:rsid w:val="00CB437B"/>
    <w:rsid w:val="00CB6B02"/>
    <w:rsid w:val="00CB7712"/>
    <w:rsid w:val="00CC23BF"/>
    <w:rsid w:val="00CC2429"/>
    <w:rsid w:val="00CC4C4E"/>
    <w:rsid w:val="00CD06DB"/>
    <w:rsid w:val="00CD2E69"/>
    <w:rsid w:val="00CD7CDC"/>
    <w:rsid w:val="00CE3340"/>
    <w:rsid w:val="00CE5F09"/>
    <w:rsid w:val="00CF2D7B"/>
    <w:rsid w:val="00CF3A55"/>
    <w:rsid w:val="00CF4081"/>
    <w:rsid w:val="00D00636"/>
    <w:rsid w:val="00D013B4"/>
    <w:rsid w:val="00D13526"/>
    <w:rsid w:val="00D13FCF"/>
    <w:rsid w:val="00D1454D"/>
    <w:rsid w:val="00D148CB"/>
    <w:rsid w:val="00D23437"/>
    <w:rsid w:val="00D267B8"/>
    <w:rsid w:val="00D34937"/>
    <w:rsid w:val="00D34DB4"/>
    <w:rsid w:val="00D37FB4"/>
    <w:rsid w:val="00D41E15"/>
    <w:rsid w:val="00D4277B"/>
    <w:rsid w:val="00D42D68"/>
    <w:rsid w:val="00D47678"/>
    <w:rsid w:val="00D47D07"/>
    <w:rsid w:val="00D50EF3"/>
    <w:rsid w:val="00D555A1"/>
    <w:rsid w:val="00D57C94"/>
    <w:rsid w:val="00D63D9D"/>
    <w:rsid w:val="00D641A0"/>
    <w:rsid w:val="00D66B7E"/>
    <w:rsid w:val="00D757D0"/>
    <w:rsid w:val="00D82CCF"/>
    <w:rsid w:val="00D843B5"/>
    <w:rsid w:val="00D844F2"/>
    <w:rsid w:val="00D848E6"/>
    <w:rsid w:val="00D87C5F"/>
    <w:rsid w:val="00D91DF1"/>
    <w:rsid w:val="00D94179"/>
    <w:rsid w:val="00DA1464"/>
    <w:rsid w:val="00DA37A1"/>
    <w:rsid w:val="00DA7BF4"/>
    <w:rsid w:val="00DB13EE"/>
    <w:rsid w:val="00DB1859"/>
    <w:rsid w:val="00DB2AAB"/>
    <w:rsid w:val="00DB32D0"/>
    <w:rsid w:val="00DC0975"/>
    <w:rsid w:val="00DC24E4"/>
    <w:rsid w:val="00DD15D9"/>
    <w:rsid w:val="00DD4086"/>
    <w:rsid w:val="00DD6473"/>
    <w:rsid w:val="00DE17F6"/>
    <w:rsid w:val="00DE19CB"/>
    <w:rsid w:val="00DE518B"/>
    <w:rsid w:val="00DE5516"/>
    <w:rsid w:val="00DE576C"/>
    <w:rsid w:val="00DE7D55"/>
    <w:rsid w:val="00DF1203"/>
    <w:rsid w:val="00DF283D"/>
    <w:rsid w:val="00DF42C1"/>
    <w:rsid w:val="00DF50EB"/>
    <w:rsid w:val="00DF56F1"/>
    <w:rsid w:val="00DF57D7"/>
    <w:rsid w:val="00E009FD"/>
    <w:rsid w:val="00E0167D"/>
    <w:rsid w:val="00E066E6"/>
    <w:rsid w:val="00E07604"/>
    <w:rsid w:val="00E20BD0"/>
    <w:rsid w:val="00E2100D"/>
    <w:rsid w:val="00E21A5A"/>
    <w:rsid w:val="00E229C0"/>
    <w:rsid w:val="00E23061"/>
    <w:rsid w:val="00E27AD6"/>
    <w:rsid w:val="00E308B1"/>
    <w:rsid w:val="00E31DF2"/>
    <w:rsid w:val="00E47D8A"/>
    <w:rsid w:val="00E526E0"/>
    <w:rsid w:val="00E54469"/>
    <w:rsid w:val="00E54FA7"/>
    <w:rsid w:val="00E56FDA"/>
    <w:rsid w:val="00E7059A"/>
    <w:rsid w:val="00E72F95"/>
    <w:rsid w:val="00E74443"/>
    <w:rsid w:val="00E745EF"/>
    <w:rsid w:val="00E74B5E"/>
    <w:rsid w:val="00E8031A"/>
    <w:rsid w:val="00E82066"/>
    <w:rsid w:val="00E82C73"/>
    <w:rsid w:val="00E83B6C"/>
    <w:rsid w:val="00E854A8"/>
    <w:rsid w:val="00E95403"/>
    <w:rsid w:val="00EA0AA8"/>
    <w:rsid w:val="00EA22E0"/>
    <w:rsid w:val="00EA31AE"/>
    <w:rsid w:val="00EA7298"/>
    <w:rsid w:val="00EA771C"/>
    <w:rsid w:val="00EA7C96"/>
    <w:rsid w:val="00EB0309"/>
    <w:rsid w:val="00EB185A"/>
    <w:rsid w:val="00EB2B4C"/>
    <w:rsid w:val="00EB4508"/>
    <w:rsid w:val="00EC23AD"/>
    <w:rsid w:val="00ED1685"/>
    <w:rsid w:val="00ED192B"/>
    <w:rsid w:val="00ED56D2"/>
    <w:rsid w:val="00ED726B"/>
    <w:rsid w:val="00EE1ACA"/>
    <w:rsid w:val="00EE2F02"/>
    <w:rsid w:val="00EE401B"/>
    <w:rsid w:val="00EF05C3"/>
    <w:rsid w:val="00EF4124"/>
    <w:rsid w:val="00F01AA7"/>
    <w:rsid w:val="00F02D79"/>
    <w:rsid w:val="00F03933"/>
    <w:rsid w:val="00F072C7"/>
    <w:rsid w:val="00F07A01"/>
    <w:rsid w:val="00F10F3E"/>
    <w:rsid w:val="00F16A39"/>
    <w:rsid w:val="00F21AE9"/>
    <w:rsid w:val="00F23396"/>
    <w:rsid w:val="00F27245"/>
    <w:rsid w:val="00F30722"/>
    <w:rsid w:val="00F30906"/>
    <w:rsid w:val="00F3535A"/>
    <w:rsid w:val="00F40C17"/>
    <w:rsid w:val="00F55D9A"/>
    <w:rsid w:val="00F6177B"/>
    <w:rsid w:val="00F6725E"/>
    <w:rsid w:val="00F70898"/>
    <w:rsid w:val="00F71D3C"/>
    <w:rsid w:val="00F7727D"/>
    <w:rsid w:val="00F807BD"/>
    <w:rsid w:val="00F86AEB"/>
    <w:rsid w:val="00F87D38"/>
    <w:rsid w:val="00F923A7"/>
    <w:rsid w:val="00F95969"/>
    <w:rsid w:val="00FA4F13"/>
    <w:rsid w:val="00FA6FE3"/>
    <w:rsid w:val="00FB3543"/>
    <w:rsid w:val="00FB3C4E"/>
    <w:rsid w:val="00FB503A"/>
    <w:rsid w:val="00FB5FC9"/>
    <w:rsid w:val="00FC3592"/>
    <w:rsid w:val="00FC4800"/>
    <w:rsid w:val="00FC6739"/>
    <w:rsid w:val="00FD2C11"/>
    <w:rsid w:val="00FD38D4"/>
    <w:rsid w:val="00FD48C9"/>
    <w:rsid w:val="00FD6C85"/>
    <w:rsid w:val="00FE0C80"/>
    <w:rsid w:val="00FE5B82"/>
    <w:rsid w:val="00FE7BD7"/>
    <w:rsid w:val="00FE7EA1"/>
    <w:rsid w:val="00FF5EF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C855E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22B7D"/>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206BFE"/>
    <w:pPr>
      <w:keepNext/>
      <w:autoSpaceDE w:val="0"/>
      <w:autoSpaceDN w:val="0"/>
      <w:adjustRightInd w:val="0"/>
      <w:spacing w:line="360" w:lineRule="auto"/>
      <w:jc w:val="both"/>
      <w:outlineLvl w:val="3"/>
    </w:pPr>
    <w:rPr>
      <w:rFonts w:eastAsia="Times New Roman"/>
      <w:b/>
      <w:bCs/>
      <w:sz w:val="22"/>
      <w:szCs w:val="22"/>
      <w:lang w:val="fr-CH"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53D4D"/>
    <w:pPr>
      <w:tabs>
        <w:tab w:val="center" w:pos="4320"/>
        <w:tab w:val="right" w:pos="8640"/>
      </w:tabs>
    </w:pPr>
  </w:style>
  <w:style w:type="character" w:styleId="PageNumber">
    <w:name w:val="page number"/>
    <w:basedOn w:val="DefaultParagraphFont"/>
    <w:rsid w:val="00B53D4D"/>
  </w:style>
  <w:style w:type="paragraph" w:styleId="FootnoteText">
    <w:name w:val="footnote text"/>
    <w:basedOn w:val="Normal"/>
    <w:link w:val="FootnoteTextChar"/>
    <w:semiHidden/>
    <w:rsid w:val="00EB2B4C"/>
    <w:rPr>
      <w:sz w:val="20"/>
      <w:szCs w:val="20"/>
    </w:rPr>
  </w:style>
  <w:style w:type="character" w:styleId="FootnoteReference">
    <w:name w:val="footnote reference"/>
    <w:aliases w:val="Footnote number"/>
    <w:semiHidden/>
    <w:rsid w:val="00EB2B4C"/>
    <w:rPr>
      <w:vertAlign w:val="superscript"/>
    </w:rPr>
  </w:style>
  <w:style w:type="paragraph" w:styleId="NormalWeb">
    <w:name w:val="Normal (Web)"/>
    <w:basedOn w:val="Normal"/>
    <w:rsid w:val="00C8694C"/>
    <w:pPr>
      <w:spacing w:before="100" w:beforeAutospacing="1" w:after="100" w:afterAutospacing="1"/>
    </w:pPr>
    <w:rPr>
      <w:color w:val="000000"/>
    </w:rPr>
  </w:style>
  <w:style w:type="paragraph" w:styleId="Title">
    <w:name w:val="Title"/>
    <w:basedOn w:val="Normal"/>
    <w:qFormat/>
    <w:rsid w:val="00206BFE"/>
    <w:pPr>
      <w:spacing w:line="-238" w:lineRule="auto"/>
      <w:jc w:val="center"/>
    </w:pPr>
    <w:rPr>
      <w:rFonts w:eastAsia="Times New Roman"/>
      <w:b/>
      <w:lang w:eastAsia="en-US"/>
    </w:rPr>
  </w:style>
  <w:style w:type="character" w:styleId="Strong">
    <w:name w:val="Strong"/>
    <w:qFormat/>
    <w:rsid w:val="00D148CB"/>
    <w:rPr>
      <w:b/>
      <w:bCs/>
    </w:rPr>
  </w:style>
  <w:style w:type="character" w:customStyle="1" w:styleId="Heading1Char">
    <w:name w:val="Heading 1 Char"/>
    <w:link w:val="Heading1"/>
    <w:locked/>
    <w:rsid w:val="00C855E4"/>
    <w:rPr>
      <w:rFonts w:ascii="Arial" w:eastAsia="SimSun" w:hAnsi="Arial" w:cs="Arial"/>
      <w:b/>
      <w:bCs/>
      <w:kern w:val="32"/>
      <w:sz w:val="32"/>
      <w:szCs w:val="32"/>
      <w:lang w:val="en-US" w:eastAsia="zh-CN" w:bidi="ar-SA"/>
    </w:rPr>
  </w:style>
  <w:style w:type="character" w:customStyle="1" w:styleId="FootnoteTextChar">
    <w:name w:val="Footnote Text Char"/>
    <w:link w:val="FootnoteText"/>
    <w:semiHidden/>
    <w:locked/>
    <w:rsid w:val="00C855E4"/>
    <w:rPr>
      <w:rFonts w:eastAsia="SimSun"/>
      <w:lang w:val="en-US" w:eastAsia="zh-CN" w:bidi="ar-SA"/>
    </w:rPr>
  </w:style>
  <w:style w:type="paragraph" w:styleId="Header">
    <w:name w:val="header"/>
    <w:basedOn w:val="Normal"/>
    <w:rsid w:val="00E7059A"/>
    <w:pPr>
      <w:tabs>
        <w:tab w:val="center" w:pos="4320"/>
        <w:tab w:val="right" w:pos="8640"/>
      </w:tabs>
    </w:pPr>
  </w:style>
  <w:style w:type="paragraph" w:styleId="BalloonText">
    <w:name w:val="Balloon Text"/>
    <w:basedOn w:val="Normal"/>
    <w:semiHidden/>
    <w:rsid w:val="000C7891"/>
    <w:rPr>
      <w:rFonts w:ascii="Tahoma" w:hAnsi="Tahoma" w:cs="Tahoma"/>
      <w:sz w:val="16"/>
      <w:szCs w:val="16"/>
    </w:rPr>
  </w:style>
  <w:style w:type="paragraph" w:styleId="Date">
    <w:name w:val="Date"/>
    <w:basedOn w:val="Normal"/>
    <w:next w:val="Normal"/>
    <w:rsid w:val="00DA7BF4"/>
  </w:style>
  <w:style w:type="table" w:styleId="TableGrid">
    <w:name w:val="Table Grid"/>
    <w:basedOn w:val="TableNormal"/>
    <w:rsid w:val="0061122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37782">
      <w:bodyDiv w:val="1"/>
      <w:marLeft w:val="0"/>
      <w:marRight w:val="0"/>
      <w:marTop w:val="0"/>
      <w:marBottom w:val="0"/>
      <w:divBdr>
        <w:top w:val="none" w:sz="0" w:space="0" w:color="auto"/>
        <w:left w:val="none" w:sz="0" w:space="0" w:color="auto"/>
        <w:bottom w:val="none" w:sz="0" w:space="0" w:color="auto"/>
        <w:right w:val="none" w:sz="0" w:space="0" w:color="auto"/>
      </w:divBdr>
    </w:div>
    <w:div w:id="437651111">
      <w:bodyDiv w:val="1"/>
      <w:marLeft w:val="0"/>
      <w:marRight w:val="0"/>
      <w:marTop w:val="0"/>
      <w:marBottom w:val="0"/>
      <w:divBdr>
        <w:top w:val="none" w:sz="0" w:space="0" w:color="auto"/>
        <w:left w:val="none" w:sz="0" w:space="0" w:color="auto"/>
        <w:bottom w:val="none" w:sz="0" w:space="0" w:color="auto"/>
        <w:right w:val="none" w:sz="0" w:space="0" w:color="auto"/>
      </w:divBdr>
    </w:div>
    <w:div w:id="516163018">
      <w:bodyDiv w:val="1"/>
      <w:marLeft w:val="0"/>
      <w:marRight w:val="0"/>
      <w:marTop w:val="0"/>
      <w:marBottom w:val="0"/>
      <w:divBdr>
        <w:top w:val="none" w:sz="0" w:space="0" w:color="auto"/>
        <w:left w:val="none" w:sz="0" w:space="0" w:color="auto"/>
        <w:bottom w:val="none" w:sz="0" w:space="0" w:color="auto"/>
        <w:right w:val="none" w:sz="0" w:space="0" w:color="auto"/>
      </w:divBdr>
    </w:div>
    <w:div w:id="556282144">
      <w:bodyDiv w:val="1"/>
      <w:marLeft w:val="0"/>
      <w:marRight w:val="0"/>
      <w:marTop w:val="0"/>
      <w:marBottom w:val="0"/>
      <w:divBdr>
        <w:top w:val="none" w:sz="0" w:space="0" w:color="auto"/>
        <w:left w:val="none" w:sz="0" w:space="0" w:color="auto"/>
        <w:bottom w:val="none" w:sz="0" w:space="0" w:color="auto"/>
        <w:right w:val="none" w:sz="0" w:space="0" w:color="auto"/>
      </w:divBdr>
    </w:div>
    <w:div w:id="575095786">
      <w:bodyDiv w:val="1"/>
      <w:marLeft w:val="0"/>
      <w:marRight w:val="0"/>
      <w:marTop w:val="0"/>
      <w:marBottom w:val="0"/>
      <w:divBdr>
        <w:top w:val="none" w:sz="0" w:space="0" w:color="auto"/>
        <w:left w:val="none" w:sz="0" w:space="0" w:color="auto"/>
        <w:bottom w:val="none" w:sz="0" w:space="0" w:color="auto"/>
        <w:right w:val="none" w:sz="0" w:space="0" w:color="auto"/>
      </w:divBdr>
    </w:div>
    <w:div w:id="638539819">
      <w:bodyDiv w:val="1"/>
      <w:marLeft w:val="0"/>
      <w:marRight w:val="0"/>
      <w:marTop w:val="0"/>
      <w:marBottom w:val="0"/>
      <w:divBdr>
        <w:top w:val="none" w:sz="0" w:space="0" w:color="auto"/>
        <w:left w:val="none" w:sz="0" w:space="0" w:color="auto"/>
        <w:bottom w:val="none" w:sz="0" w:space="0" w:color="auto"/>
        <w:right w:val="none" w:sz="0" w:space="0" w:color="auto"/>
      </w:divBdr>
    </w:div>
    <w:div w:id="963926759">
      <w:bodyDiv w:val="1"/>
      <w:marLeft w:val="0"/>
      <w:marRight w:val="0"/>
      <w:marTop w:val="0"/>
      <w:marBottom w:val="0"/>
      <w:divBdr>
        <w:top w:val="none" w:sz="0" w:space="0" w:color="auto"/>
        <w:left w:val="none" w:sz="0" w:space="0" w:color="auto"/>
        <w:bottom w:val="none" w:sz="0" w:space="0" w:color="auto"/>
        <w:right w:val="none" w:sz="0" w:space="0" w:color="auto"/>
      </w:divBdr>
    </w:div>
    <w:div w:id="1841311023">
      <w:bodyDiv w:val="1"/>
      <w:marLeft w:val="0"/>
      <w:marRight w:val="0"/>
      <w:marTop w:val="0"/>
      <w:marBottom w:val="0"/>
      <w:divBdr>
        <w:top w:val="none" w:sz="0" w:space="0" w:color="auto"/>
        <w:left w:val="none" w:sz="0" w:space="0" w:color="auto"/>
        <w:bottom w:val="none" w:sz="0" w:space="0" w:color="auto"/>
        <w:right w:val="none" w:sz="0" w:space="0" w:color="auto"/>
      </w:divBdr>
    </w:div>
    <w:div w:id="1910994378">
      <w:bodyDiv w:val="1"/>
      <w:marLeft w:val="0"/>
      <w:marRight w:val="0"/>
      <w:marTop w:val="0"/>
      <w:marBottom w:val="0"/>
      <w:divBdr>
        <w:top w:val="none" w:sz="0" w:space="0" w:color="auto"/>
        <w:left w:val="none" w:sz="0" w:space="0" w:color="auto"/>
        <w:bottom w:val="none" w:sz="0" w:space="0" w:color="auto"/>
        <w:right w:val="none" w:sz="0" w:space="0" w:color="auto"/>
      </w:divBdr>
    </w:div>
    <w:div w:id="201406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2589</Words>
  <Characters>13828</Characters>
  <Application>Microsoft Office Word</Application>
  <DocSecurity>4</DocSecurity>
  <Lines>251</Lines>
  <Paragraphs>113</Paragraphs>
  <ScaleCrop>false</ScaleCrop>
  <HeadingPairs>
    <vt:vector size="2" baseType="variant">
      <vt:variant>
        <vt:lpstr>Title</vt:lpstr>
      </vt:variant>
      <vt:variant>
        <vt:i4>1</vt:i4>
      </vt:variant>
    </vt:vector>
  </HeadingPairs>
  <TitlesOfParts>
    <vt:vector size="1" baseType="lpstr">
      <vt:lpstr>Summary Surinder KAUR v Canada</vt:lpstr>
    </vt:vector>
  </TitlesOfParts>
  <Company>International Computing Centre</Company>
  <LinksUpToDate>false</LinksUpToDate>
  <CharactersWithSpaces>16304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Surinder KAUR v Canada</dc:title>
  <dc:subject/>
  <dc:creator>OHCHR</dc:creator>
  <cp:keywords/>
  <cp:lastModifiedBy>csd</cp:lastModifiedBy>
  <cp:revision>2</cp:revision>
  <cp:lastPrinted>2009-09-07T11:50:00Z</cp:lastPrinted>
  <dcterms:created xsi:type="dcterms:W3CDTF">2009-09-08T14:48:00Z</dcterms:created>
  <dcterms:modified xsi:type="dcterms:W3CDTF">2009-09-08T14:48:00Z</dcterms:modified>
</cp:coreProperties>
</file>