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4A1AC9" w:rsidP="004A1AC9">
            <w:pPr>
              <w:jc w:val="right"/>
            </w:pPr>
            <w:r w:rsidRPr="004A1AC9">
              <w:rPr>
                <w:sz w:val="40"/>
              </w:rPr>
              <w:t>CCPR</w:t>
            </w:r>
            <w:r>
              <w:t>/C/96/D/1574/2007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4A1AC9" w:rsidRDefault="00642728" w:rsidP="00CC207F">
            <w:pPr>
              <w:spacing w:before="240"/>
            </w:pPr>
            <w:r w:rsidRPr="00DB58B5">
              <w:t xml:space="preserve">Distr. </w:t>
            </w:r>
            <w:r w:rsidR="00663CB6">
              <w:t>r</w:t>
            </w:r>
            <w:r>
              <w:t>estreinte</w:t>
            </w:r>
            <w:r w:rsidR="00B510C0">
              <w:footnoteReference w:customMarkFollows="1" w:id="2"/>
              <w:t>*</w:t>
            </w:r>
          </w:p>
          <w:p w:rsidR="004A1AC9" w:rsidRDefault="004A1AC9" w:rsidP="004A1AC9">
            <w:pPr>
              <w:spacing w:line="240" w:lineRule="exact"/>
            </w:pPr>
            <w:r>
              <w:t>7 septembre 2009</w:t>
            </w:r>
          </w:p>
          <w:p w:rsidR="004A1AC9" w:rsidRDefault="004A1AC9" w:rsidP="004A1AC9">
            <w:pPr>
              <w:spacing w:line="240" w:lineRule="exact"/>
            </w:pPr>
            <w:r>
              <w:t>Français</w:t>
            </w:r>
          </w:p>
          <w:p w:rsidR="00642728" w:rsidRPr="00DB58B5" w:rsidRDefault="004A1AC9" w:rsidP="004A1AC9">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3B5BEF">
        <w:rPr>
          <w:b/>
          <w:sz w:val="24"/>
          <w:szCs w:val="24"/>
        </w:rPr>
        <w:t>’</w:t>
      </w:r>
      <w:r w:rsidR="00FD511F" w:rsidRPr="00FD511F">
        <w:rPr>
          <w:b/>
          <w:sz w:val="24"/>
          <w:szCs w:val="24"/>
        </w:rPr>
        <w:t>homme</w:t>
      </w:r>
    </w:p>
    <w:p w:rsidR="009F7F79" w:rsidRDefault="004A1AC9" w:rsidP="009F7F79">
      <w:pPr>
        <w:spacing w:line="240" w:lineRule="exact"/>
        <w:rPr>
          <w:b/>
        </w:rPr>
      </w:pPr>
      <w:r>
        <w:rPr>
          <w:b/>
        </w:rPr>
        <w:t>Quatre</w:t>
      </w:r>
      <w:r w:rsidR="003B5BEF">
        <w:rPr>
          <w:b/>
        </w:rPr>
        <w:noBreakHyphen/>
      </w:r>
      <w:r>
        <w:rPr>
          <w:b/>
        </w:rPr>
        <w:t>vingt</w:t>
      </w:r>
      <w:r w:rsidR="003B5BEF">
        <w:rPr>
          <w:b/>
        </w:rPr>
        <w:noBreakHyphen/>
      </w:r>
      <w:r>
        <w:rPr>
          <w:b/>
        </w:rPr>
        <w:t>seizième</w:t>
      </w:r>
      <w:r w:rsidR="00817A26">
        <w:rPr>
          <w:b/>
        </w:rPr>
        <w:t xml:space="preserve"> </w:t>
      </w:r>
      <w:r w:rsidR="00642728" w:rsidRPr="00FD511F">
        <w:rPr>
          <w:b/>
        </w:rPr>
        <w:t>session</w:t>
      </w:r>
    </w:p>
    <w:p w:rsidR="00642728" w:rsidRDefault="004A1AC9" w:rsidP="009F7F79">
      <w:pPr>
        <w:spacing w:line="240" w:lineRule="exact"/>
      </w:pPr>
      <w:r>
        <w:t>13</w:t>
      </w:r>
      <w:r w:rsidR="003B5BEF">
        <w:noBreakHyphen/>
      </w:r>
      <w:r>
        <w:t>31 juillet</w:t>
      </w:r>
      <w:r w:rsidR="00817A26">
        <w:t xml:space="preserve"> </w:t>
      </w:r>
      <w:r>
        <w:t>2009</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E4261C">
        <w:t xml:space="preserve"> </w:t>
      </w:r>
      <w:r w:rsidR="00624735">
        <w:t>1574/2007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rPr>
              <w:t>Présentée par</w:t>
            </w:r>
            <w:r w:rsidR="00EC6E49" w:rsidRPr="00EC6E49">
              <w:rPr>
                <w:i/>
              </w:rPr>
              <w:t>:</w:t>
            </w:r>
          </w:p>
        </w:tc>
        <w:tc>
          <w:tcPr>
            <w:tcW w:w="3686" w:type="dxa"/>
          </w:tcPr>
          <w:p w:rsidR="005D29C8" w:rsidRDefault="00C02B77" w:rsidP="00EC6E49">
            <w:pPr>
              <w:spacing w:after="120"/>
            </w:pPr>
            <w:r w:rsidRPr="00C02B77">
              <w:rPr>
                <w:lang w:val="fr-FR"/>
              </w:rPr>
              <w:t>Jaroslav et Alena Slezák (non représentés</w:t>
            </w:r>
            <w:r>
              <w:rPr>
                <w:lang w:val="fr-FR"/>
              </w:rPr>
              <w:t xml:space="preserve"> par un conseil</w:t>
            </w:r>
            <w:r w:rsidRPr="00C02B77">
              <w:rPr>
                <w:lang w:val="fr-FR"/>
              </w:rPr>
              <w:t>)</w:t>
            </w:r>
          </w:p>
        </w:tc>
      </w:tr>
      <w:tr w:rsidR="005D29C8" w:rsidTr="00065ECB">
        <w:tc>
          <w:tcPr>
            <w:tcW w:w="3119" w:type="dxa"/>
          </w:tcPr>
          <w:p w:rsidR="005D29C8" w:rsidRPr="00EC6E49" w:rsidRDefault="005D29C8" w:rsidP="00EC6E49">
            <w:r w:rsidRPr="00EC6E49">
              <w:rPr>
                <w:i/>
              </w:rPr>
              <w:t>Au nom de</w:t>
            </w:r>
            <w:r w:rsidR="00EC6E49" w:rsidRPr="00EC6E49">
              <w:rPr>
                <w:i/>
              </w:rPr>
              <w:t>:</w:t>
            </w:r>
          </w:p>
        </w:tc>
        <w:tc>
          <w:tcPr>
            <w:tcW w:w="3686" w:type="dxa"/>
          </w:tcPr>
          <w:p w:rsidR="005D29C8" w:rsidRDefault="00C02B77" w:rsidP="00EC6E49">
            <w:pPr>
              <w:spacing w:after="120"/>
            </w:pPr>
            <w:r>
              <w:rPr>
                <w:lang w:val="fr-FR"/>
              </w:rPr>
              <w:t>L</w:t>
            </w:r>
            <w:r w:rsidRPr="00C02B77">
              <w:rPr>
                <w:lang w:val="fr-FR"/>
              </w:rPr>
              <w:t>es auteurs</w:t>
            </w:r>
          </w:p>
        </w:tc>
      </w:tr>
      <w:tr w:rsidR="005D29C8" w:rsidTr="00065ECB">
        <w:tc>
          <w:tcPr>
            <w:tcW w:w="3119" w:type="dxa"/>
          </w:tcPr>
          <w:p w:rsidR="005D29C8" w:rsidRPr="00EC6E49" w:rsidRDefault="005D29C8" w:rsidP="00EC6E49">
            <w:r w:rsidRPr="00EC6E49">
              <w:rPr>
                <w:i/>
              </w:rPr>
              <w:t>État partie</w:t>
            </w:r>
            <w:r w:rsidR="00EC6E49" w:rsidRPr="00EC6E49">
              <w:rPr>
                <w:i/>
              </w:rPr>
              <w:t>:</w:t>
            </w:r>
          </w:p>
        </w:tc>
        <w:tc>
          <w:tcPr>
            <w:tcW w:w="3686" w:type="dxa"/>
          </w:tcPr>
          <w:p w:rsidR="005D29C8" w:rsidRDefault="00C02B77" w:rsidP="00EC6E49">
            <w:pPr>
              <w:spacing w:after="120"/>
            </w:pPr>
            <w:r w:rsidRPr="00C02B77">
              <w:rPr>
                <w:lang w:val="fr-FR"/>
              </w:rPr>
              <w:t>République tchèque</w:t>
            </w:r>
          </w:p>
        </w:tc>
      </w:tr>
      <w:tr w:rsidR="005D29C8" w:rsidTr="00065ECB">
        <w:tc>
          <w:tcPr>
            <w:tcW w:w="3119" w:type="dxa"/>
          </w:tcPr>
          <w:p w:rsidR="005D29C8" w:rsidRPr="00EC6E49" w:rsidRDefault="005D29C8" w:rsidP="00EC6E49">
            <w:r w:rsidRPr="00EC6E49">
              <w:rPr>
                <w:i/>
              </w:rPr>
              <w:t>Date de la communication</w:t>
            </w:r>
            <w:r w:rsidR="00EC6E49" w:rsidRPr="00EC6E49">
              <w:rPr>
                <w:i/>
              </w:rPr>
              <w:t>:</w:t>
            </w:r>
          </w:p>
        </w:tc>
        <w:tc>
          <w:tcPr>
            <w:tcW w:w="3686" w:type="dxa"/>
          </w:tcPr>
          <w:p w:rsidR="005D29C8" w:rsidRDefault="00C02B77" w:rsidP="00EC6E49">
            <w:pPr>
              <w:spacing w:after="120"/>
            </w:pPr>
            <w:r w:rsidRPr="00C02B77">
              <w:rPr>
                <w:lang w:val="fr-FR"/>
              </w:rPr>
              <w:t>10 avril 2006 (date de la lettre initiale)</w:t>
            </w:r>
          </w:p>
        </w:tc>
      </w:tr>
      <w:tr w:rsidR="005D29C8" w:rsidTr="00065ECB">
        <w:tc>
          <w:tcPr>
            <w:tcW w:w="3119" w:type="dxa"/>
          </w:tcPr>
          <w:p w:rsidR="005D29C8" w:rsidRPr="00EC6E49" w:rsidRDefault="005D29C8" w:rsidP="00EC6E49">
            <w:r w:rsidRPr="00EC6E49">
              <w:rPr>
                <w:i/>
              </w:rPr>
              <w:t>Références</w:t>
            </w:r>
            <w:r w:rsidR="00EC6E49" w:rsidRPr="00EC6E49">
              <w:rPr>
                <w:i/>
              </w:rPr>
              <w:t>:</w:t>
            </w:r>
          </w:p>
        </w:tc>
        <w:tc>
          <w:tcPr>
            <w:tcW w:w="3686" w:type="dxa"/>
          </w:tcPr>
          <w:p w:rsidR="005D29C8" w:rsidRDefault="00C02B77" w:rsidP="00EC6E49">
            <w:pPr>
              <w:spacing w:after="120"/>
            </w:pPr>
            <w:r w:rsidRPr="00C02B77">
              <w:rPr>
                <w:lang w:val="fr-FR"/>
              </w:rPr>
              <w:t>Décision prise par le Rapporteur spécial en application de</w:t>
            </w:r>
            <w:r>
              <w:rPr>
                <w:lang w:val="fr-FR"/>
              </w:rPr>
              <w:t xml:space="preserve"> </w:t>
            </w:r>
            <w:r w:rsidRPr="00C02B77">
              <w:rPr>
                <w:lang w:val="fr-FR"/>
              </w:rPr>
              <w:t>l</w:t>
            </w:r>
            <w:r w:rsidR="003B5BEF">
              <w:rPr>
                <w:lang w:val="fr-FR"/>
              </w:rPr>
              <w:t>’</w:t>
            </w:r>
            <w:r w:rsidR="00E4261C">
              <w:rPr>
                <w:lang w:val="fr-FR"/>
              </w:rPr>
              <w:t xml:space="preserve">article </w:t>
            </w:r>
            <w:r w:rsidRPr="00C02B77">
              <w:rPr>
                <w:lang w:val="fr-FR"/>
              </w:rPr>
              <w:t>97 du Règlement intérieur, communiquée à</w:t>
            </w:r>
            <w:r>
              <w:rPr>
                <w:lang w:val="fr-FR"/>
              </w:rPr>
              <w:t xml:space="preserve"> </w:t>
            </w:r>
            <w:r w:rsidRPr="00C02B77">
              <w:rPr>
                <w:lang w:val="fr-FR"/>
              </w:rPr>
              <w:t>l</w:t>
            </w:r>
            <w:r w:rsidR="003B5BEF">
              <w:rPr>
                <w:lang w:val="fr-FR"/>
              </w:rPr>
              <w:t>’</w:t>
            </w:r>
            <w:r w:rsidRPr="00C02B77">
              <w:rPr>
                <w:lang w:val="fr-FR"/>
              </w:rPr>
              <w:t>État partie le 18</w:t>
            </w:r>
            <w:r>
              <w:rPr>
                <w:lang w:val="fr-FR"/>
              </w:rPr>
              <w:t> </w:t>
            </w:r>
            <w:r w:rsidRPr="00C02B77">
              <w:rPr>
                <w:lang w:val="fr-FR"/>
              </w:rPr>
              <w:t>juillet 2007</w:t>
            </w:r>
            <w:r>
              <w:rPr>
                <w:lang w:val="fr-FR"/>
              </w:rPr>
              <w:t xml:space="preserve"> (non publiée sous forme de </w:t>
            </w:r>
            <w:r w:rsidRPr="00C02B77">
              <w:rPr>
                <w:lang w:val="fr-FR"/>
              </w:rPr>
              <w:t>document)</w:t>
            </w:r>
          </w:p>
        </w:tc>
      </w:tr>
      <w:tr w:rsidR="005D29C8" w:rsidTr="00065ECB">
        <w:tc>
          <w:tcPr>
            <w:tcW w:w="3119" w:type="dxa"/>
          </w:tcPr>
          <w:p w:rsidR="005D29C8" w:rsidRPr="00EC6E49" w:rsidRDefault="005D29C8" w:rsidP="00EC6E49">
            <w:r w:rsidRPr="00EC6E49">
              <w:rPr>
                <w:i/>
              </w:rPr>
              <w:t>Date de l</w:t>
            </w:r>
            <w:r w:rsidR="003B5BEF">
              <w:rPr>
                <w:i/>
              </w:rPr>
              <w:t>’</w:t>
            </w:r>
            <w:r w:rsidRPr="00EC6E49">
              <w:rPr>
                <w:i/>
              </w:rPr>
              <w:t>adoption</w:t>
            </w:r>
            <w:r w:rsidR="00065ECB" w:rsidRPr="00EC6E49">
              <w:rPr>
                <w:i/>
              </w:rPr>
              <w:t xml:space="preserve"> </w:t>
            </w:r>
            <w:r w:rsidRPr="00EC6E49">
              <w:rPr>
                <w:i/>
              </w:rPr>
              <w:t>des</w:t>
            </w:r>
            <w:r w:rsidR="00EC788F">
              <w:rPr>
                <w:i/>
              </w:rPr>
              <w:t xml:space="preserve"> </w:t>
            </w:r>
            <w:r w:rsidRPr="00EC6E49">
              <w:rPr>
                <w:i/>
              </w:rPr>
              <w:t>constatations</w:t>
            </w:r>
            <w:r w:rsidR="00EC6E49" w:rsidRPr="00EC6E49">
              <w:rPr>
                <w:i/>
              </w:rPr>
              <w:t>:</w:t>
            </w:r>
          </w:p>
        </w:tc>
        <w:tc>
          <w:tcPr>
            <w:tcW w:w="3686" w:type="dxa"/>
            <w:vAlign w:val="bottom"/>
          </w:tcPr>
          <w:p w:rsidR="005D29C8" w:rsidRDefault="00BC4903" w:rsidP="00EC6E49">
            <w:pPr>
              <w:spacing w:after="120"/>
            </w:pPr>
            <w:r>
              <w:rPr>
                <w:lang w:val="fr-FR"/>
              </w:rPr>
              <w:t>20</w:t>
            </w:r>
            <w:r w:rsidR="00C02B77" w:rsidRPr="00C02B77">
              <w:rPr>
                <w:lang w:val="fr-FR"/>
              </w:rPr>
              <w:t xml:space="preserve"> juillet 2009</w:t>
            </w:r>
          </w:p>
        </w:tc>
      </w:tr>
      <w:tr w:rsidR="005D29C8" w:rsidTr="00065ECB">
        <w:tc>
          <w:tcPr>
            <w:tcW w:w="3119" w:type="dxa"/>
          </w:tcPr>
          <w:p w:rsidR="005D29C8" w:rsidRPr="00EC6E49" w:rsidRDefault="005D29C8" w:rsidP="00EC6E49">
            <w:r w:rsidRPr="00EC6E49">
              <w:rPr>
                <w:i/>
                <w:iCs/>
              </w:rPr>
              <w:t>Objet</w:t>
            </w:r>
            <w:r w:rsidR="00EC6E49" w:rsidRPr="00EC6E49">
              <w:rPr>
                <w:i/>
              </w:rPr>
              <w:t>:</w:t>
            </w:r>
          </w:p>
        </w:tc>
        <w:tc>
          <w:tcPr>
            <w:tcW w:w="3686" w:type="dxa"/>
          </w:tcPr>
          <w:p w:rsidR="005D29C8" w:rsidRDefault="00C02B77" w:rsidP="00EC6E49">
            <w:pPr>
              <w:spacing w:after="120"/>
            </w:pPr>
            <w:r w:rsidRPr="00C02B77">
              <w:rPr>
                <w:lang w:val="fr-FR"/>
              </w:rPr>
              <w:t>Discrimination fondée sur la nationalité en ce qui concerne la restitution de biens</w:t>
            </w:r>
          </w:p>
        </w:tc>
      </w:tr>
      <w:tr w:rsidR="005D29C8" w:rsidTr="00065ECB">
        <w:tc>
          <w:tcPr>
            <w:tcW w:w="3119" w:type="dxa"/>
          </w:tcPr>
          <w:p w:rsidR="005D29C8" w:rsidRPr="00EC6E49" w:rsidRDefault="005D29C8" w:rsidP="00EC6E49">
            <w:r w:rsidRPr="00EC6E49">
              <w:rPr>
                <w:i/>
                <w:iCs/>
              </w:rPr>
              <w:t>Questions de procédure</w:t>
            </w:r>
            <w:r w:rsidR="00EC6E49" w:rsidRPr="00EC6E49">
              <w:rPr>
                <w:i/>
              </w:rPr>
              <w:t>:</w:t>
            </w:r>
          </w:p>
        </w:tc>
        <w:tc>
          <w:tcPr>
            <w:tcW w:w="3686" w:type="dxa"/>
          </w:tcPr>
          <w:p w:rsidR="005D29C8" w:rsidRDefault="00C02B77" w:rsidP="00EC6E49">
            <w:pPr>
              <w:spacing w:after="120"/>
            </w:pPr>
            <w:r w:rsidRPr="00C02B77">
              <w:rPr>
                <w:lang w:val="fr-FR"/>
              </w:rPr>
              <w:t>Abus du droit de présenter une communication</w:t>
            </w:r>
          </w:p>
        </w:tc>
      </w:tr>
      <w:tr w:rsidR="005D29C8" w:rsidTr="00065ECB">
        <w:tc>
          <w:tcPr>
            <w:tcW w:w="3119" w:type="dxa"/>
          </w:tcPr>
          <w:p w:rsidR="005D29C8" w:rsidRPr="00EC6E49" w:rsidRDefault="005D29C8" w:rsidP="00EC6E49">
            <w:r w:rsidRPr="00EC6E49">
              <w:rPr>
                <w:i/>
                <w:iCs/>
              </w:rPr>
              <w:t>Questions de fond</w:t>
            </w:r>
            <w:r w:rsidR="00EC6E49" w:rsidRPr="00EC6E49">
              <w:rPr>
                <w:i/>
              </w:rPr>
              <w:t>:</w:t>
            </w:r>
          </w:p>
        </w:tc>
        <w:tc>
          <w:tcPr>
            <w:tcW w:w="3686" w:type="dxa"/>
          </w:tcPr>
          <w:p w:rsidR="005D29C8" w:rsidRDefault="00C02B77" w:rsidP="00EC6E49">
            <w:pPr>
              <w:spacing w:after="120"/>
            </w:pPr>
            <w:r>
              <w:t>Égalité devant la loi; égale protection de la loi sans discrimination</w:t>
            </w:r>
          </w:p>
        </w:tc>
      </w:tr>
      <w:tr w:rsidR="005D29C8" w:rsidTr="00065ECB">
        <w:tc>
          <w:tcPr>
            <w:tcW w:w="3119" w:type="dxa"/>
          </w:tcPr>
          <w:p w:rsidR="005D29C8" w:rsidRPr="00EC6E49" w:rsidRDefault="005D29C8" w:rsidP="00EC6E49">
            <w:r w:rsidRPr="00EC6E49">
              <w:rPr>
                <w:i/>
                <w:iCs/>
              </w:rPr>
              <w:t>Article du Pacte</w:t>
            </w:r>
            <w:r w:rsidR="00EC6E49" w:rsidRPr="00EC6E49">
              <w:rPr>
                <w:i/>
              </w:rPr>
              <w:t>:</w:t>
            </w:r>
          </w:p>
        </w:tc>
        <w:tc>
          <w:tcPr>
            <w:tcW w:w="3686" w:type="dxa"/>
          </w:tcPr>
          <w:p w:rsidR="005D29C8" w:rsidRDefault="00C02B77" w:rsidP="00EC6E49">
            <w:pPr>
              <w:spacing w:after="120"/>
            </w:pPr>
            <w:r>
              <w:t>26</w:t>
            </w:r>
          </w:p>
        </w:tc>
      </w:tr>
      <w:tr w:rsidR="005D29C8" w:rsidTr="00065ECB">
        <w:tc>
          <w:tcPr>
            <w:tcW w:w="3119" w:type="dxa"/>
          </w:tcPr>
          <w:p w:rsidR="005D29C8" w:rsidRPr="00EC6E49" w:rsidRDefault="005D29C8" w:rsidP="00EC6E49">
            <w:r w:rsidRPr="00EC6E49">
              <w:rPr>
                <w:i/>
                <w:iCs/>
              </w:rPr>
              <w:t>Article du Protocole facultatif</w:t>
            </w:r>
            <w:r w:rsidR="00EC6E49" w:rsidRPr="00EC6E49">
              <w:rPr>
                <w:i/>
              </w:rPr>
              <w:t>:</w:t>
            </w:r>
          </w:p>
        </w:tc>
        <w:tc>
          <w:tcPr>
            <w:tcW w:w="3686" w:type="dxa"/>
          </w:tcPr>
          <w:p w:rsidR="005D29C8" w:rsidRDefault="00C02B77" w:rsidP="00EC6E49">
            <w:pPr>
              <w:spacing w:after="120"/>
            </w:pPr>
            <w:r>
              <w:t>3</w:t>
            </w:r>
          </w:p>
        </w:tc>
      </w:tr>
    </w:tbl>
    <w:p w:rsidR="00642728" w:rsidRDefault="00642728" w:rsidP="00C17857">
      <w:pPr>
        <w:pStyle w:val="SingleTxtG"/>
        <w:ind w:firstLine="567"/>
      </w:pPr>
      <w:r>
        <w:t xml:space="preserve">Le </w:t>
      </w:r>
      <w:r w:rsidR="00C02B77">
        <w:t>20</w:t>
      </w:r>
      <w:r w:rsidR="00E4261C">
        <w:t xml:space="preserve"> </w:t>
      </w:r>
      <w:r w:rsidR="00C02B77">
        <w:t>juillet 2009</w:t>
      </w:r>
      <w:r>
        <w:t>, le Comité des droits de l</w:t>
      </w:r>
      <w:r w:rsidR="003B5BEF">
        <w:t>’</w:t>
      </w:r>
      <w:r>
        <w:t xml:space="preserve">homme a adopté le texte </w:t>
      </w:r>
      <w:r w:rsidR="00FB439B">
        <w:t>ci</w:t>
      </w:r>
      <w:r w:rsidR="00E4261C">
        <w:t>-</w:t>
      </w:r>
      <w:r w:rsidR="00FB439B">
        <w:t xml:space="preserve">après </w:t>
      </w:r>
      <w:r>
        <w:t xml:space="preserve">en tant que constatations concernant la communication </w:t>
      </w:r>
      <w:r>
        <w:rPr>
          <w:rFonts w:eastAsia="MS Mincho"/>
        </w:rPr>
        <w:t>n</w:t>
      </w:r>
      <w:r>
        <w:rPr>
          <w:rFonts w:eastAsia="MS Mincho"/>
          <w:vertAlign w:val="superscript"/>
        </w:rPr>
        <w:t>o</w:t>
      </w:r>
      <w:r w:rsidR="00E4261C">
        <w:t xml:space="preserve"> </w:t>
      </w:r>
      <w:r w:rsidR="00F31190">
        <w:t>15</w:t>
      </w:r>
      <w:r w:rsidR="002D6A77">
        <w:t>7</w:t>
      </w:r>
      <w:r w:rsidR="00C02B77">
        <w:t>4/200</w:t>
      </w:r>
      <w:r w:rsidR="00EC788F">
        <w:t>7</w:t>
      </w:r>
      <w:r w:rsidR="00572B3F">
        <w:t xml:space="preserve"> </w:t>
      </w:r>
      <w:r>
        <w:t>au titre du paragraphe</w:t>
      </w:r>
      <w:r w:rsidR="00E4261C">
        <w:t xml:space="preserve"> </w:t>
      </w:r>
      <w:r>
        <w:t>4 de l</w:t>
      </w:r>
      <w:r w:rsidR="003B5BEF">
        <w:t>’</w:t>
      </w:r>
      <w:r w:rsidR="00E4261C">
        <w:t xml:space="preserve">article </w:t>
      </w:r>
      <w:r>
        <w:t xml:space="preserve">5 du Protocole facultatif.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3B5BEF">
        <w:t>’</w:t>
      </w:r>
      <w:r w:rsidR="00E4261C">
        <w:t xml:space="preserve">homme au titre du </w:t>
      </w:r>
      <w:r>
        <w:t>paragraphe 4 de l</w:t>
      </w:r>
      <w:r w:rsidR="003B5BEF">
        <w:t>’</w:t>
      </w:r>
      <w:r>
        <w:t xml:space="preserve">article 5 du </w:t>
      </w:r>
      <w:r w:rsidR="00572B3F">
        <w:t>P</w:t>
      </w:r>
      <w:r w:rsidR="00E4261C">
        <w:t xml:space="preserve">rotocole facultatif se </w:t>
      </w:r>
      <w:r>
        <w:t xml:space="preserve">rapportant au </w:t>
      </w:r>
      <w:r w:rsidR="00572B3F">
        <w:t>P</w:t>
      </w:r>
      <w:r>
        <w:t>acte internation</w:t>
      </w:r>
      <w:r w:rsidR="00E4261C">
        <w:t xml:space="preserve">al relatif aux droits civils et </w:t>
      </w:r>
      <w:r>
        <w:t>politiques (</w:t>
      </w:r>
      <w:r w:rsidR="00EC788F">
        <w:t>quatre</w:t>
      </w:r>
      <w:r w:rsidR="00E4261C">
        <w:t>-</w:t>
      </w:r>
      <w:r w:rsidR="00EC788F">
        <w:t>ving</w:t>
      </w:r>
      <w:r w:rsidR="002D6A77">
        <w:t>t</w:t>
      </w:r>
      <w:r w:rsidR="00E4261C">
        <w:t>-</w:t>
      </w:r>
      <w:r w:rsidR="00EC788F">
        <w:t>seizième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F31190">
        <w:t>15</w:t>
      </w:r>
      <w:r w:rsidR="002D6A77">
        <w:t>7</w:t>
      </w:r>
      <w:r w:rsidR="00F31190">
        <w:t>4/200</w:t>
      </w:r>
      <w:r w:rsidR="00EC788F">
        <w:t>7</w:t>
      </w:r>
      <w:r w:rsidR="00F31190" w:rsidRPr="00F31190">
        <w:rPr>
          <w:rStyle w:val="FootnoteReference"/>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F31190" w:rsidRPr="005D29C8" w:rsidTr="005D29C8">
        <w:tc>
          <w:tcPr>
            <w:tcW w:w="2410" w:type="dxa"/>
          </w:tcPr>
          <w:p w:rsidR="00F31190" w:rsidRPr="005D29C8" w:rsidRDefault="00F31190" w:rsidP="005D29C8">
            <w:pPr>
              <w:spacing w:after="120"/>
              <w:rPr>
                <w:i/>
              </w:rPr>
            </w:pPr>
            <w:r w:rsidRPr="005D29C8">
              <w:rPr>
                <w:i/>
              </w:rPr>
              <w:t>Présentée par</w:t>
            </w:r>
            <w:r w:rsidRPr="00FB439B">
              <w:t>:</w:t>
            </w:r>
          </w:p>
        </w:tc>
        <w:tc>
          <w:tcPr>
            <w:tcW w:w="4394" w:type="dxa"/>
          </w:tcPr>
          <w:p w:rsidR="00F31190" w:rsidRDefault="00F31190" w:rsidP="005D01DD">
            <w:pPr>
              <w:spacing w:after="120"/>
            </w:pPr>
            <w:r w:rsidRPr="00C02B77">
              <w:rPr>
                <w:lang w:val="fr-FR"/>
              </w:rPr>
              <w:t>Jaroslav et Alena Slezák (non représentés</w:t>
            </w:r>
            <w:r>
              <w:rPr>
                <w:lang w:val="fr-FR"/>
              </w:rPr>
              <w:t xml:space="preserve"> par un conseil</w:t>
            </w:r>
            <w:r w:rsidRPr="00C02B77">
              <w:rPr>
                <w:lang w:val="fr-FR"/>
              </w:rPr>
              <w:t>)</w:t>
            </w:r>
          </w:p>
        </w:tc>
      </w:tr>
      <w:tr w:rsidR="00F31190" w:rsidRPr="005D29C8" w:rsidTr="005D29C8">
        <w:tc>
          <w:tcPr>
            <w:tcW w:w="2410" w:type="dxa"/>
          </w:tcPr>
          <w:p w:rsidR="00F31190" w:rsidRPr="005D29C8" w:rsidRDefault="00F31190" w:rsidP="005D29C8">
            <w:pPr>
              <w:spacing w:after="120"/>
              <w:rPr>
                <w:i/>
              </w:rPr>
            </w:pPr>
            <w:r w:rsidRPr="005D29C8">
              <w:rPr>
                <w:i/>
              </w:rPr>
              <w:t>Au nom de</w:t>
            </w:r>
            <w:r w:rsidRPr="00FB439B">
              <w:t>:</w:t>
            </w:r>
          </w:p>
        </w:tc>
        <w:tc>
          <w:tcPr>
            <w:tcW w:w="4394" w:type="dxa"/>
          </w:tcPr>
          <w:p w:rsidR="00F31190" w:rsidRDefault="00F31190" w:rsidP="005D01DD">
            <w:pPr>
              <w:spacing w:after="120"/>
            </w:pPr>
            <w:r>
              <w:rPr>
                <w:lang w:val="fr-FR"/>
              </w:rPr>
              <w:t>L</w:t>
            </w:r>
            <w:r w:rsidRPr="00C02B77">
              <w:rPr>
                <w:lang w:val="fr-FR"/>
              </w:rPr>
              <w:t>es auteurs</w:t>
            </w:r>
          </w:p>
        </w:tc>
      </w:tr>
      <w:tr w:rsidR="00F31190" w:rsidRPr="005D29C8" w:rsidTr="005D29C8">
        <w:tc>
          <w:tcPr>
            <w:tcW w:w="2410" w:type="dxa"/>
          </w:tcPr>
          <w:p w:rsidR="00F31190" w:rsidRPr="005D29C8" w:rsidRDefault="00F31190" w:rsidP="005D29C8">
            <w:pPr>
              <w:spacing w:after="120"/>
              <w:rPr>
                <w:i/>
              </w:rPr>
            </w:pPr>
            <w:r w:rsidRPr="005D29C8">
              <w:rPr>
                <w:i/>
              </w:rPr>
              <w:t>État partie</w:t>
            </w:r>
            <w:r w:rsidRPr="00FB439B">
              <w:t>:</w:t>
            </w:r>
          </w:p>
        </w:tc>
        <w:tc>
          <w:tcPr>
            <w:tcW w:w="4394" w:type="dxa"/>
          </w:tcPr>
          <w:p w:rsidR="00F31190" w:rsidRDefault="00F31190" w:rsidP="005D01DD">
            <w:pPr>
              <w:spacing w:after="120"/>
            </w:pPr>
            <w:r w:rsidRPr="00C02B77">
              <w:rPr>
                <w:lang w:val="fr-FR"/>
              </w:rPr>
              <w:t>République tchèque</w:t>
            </w:r>
          </w:p>
        </w:tc>
      </w:tr>
      <w:tr w:rsidR="00F31190" w:rsidRPr="005D29C8" w:rsidTr="005D29C8">
        <w:tc>
          <w:tcPr>
            <w:tcW w:w="2410" w:type="dxa"/>
          </w:tcPr>
          <w:p w:rsidR="00F31190" w:rsidRPr="005D29C8" w:rsidRDefault="00F31190" w:rsidP="00C17857">
            <w:pPr>
              <w:spacing w:after="240"/>
              <w:rPr>
                <w:i/>
              </w:rPr>
            </w:pPr>
            <w:r w:rsidRPr="005D29C8">
              <w:rPr>
                <w:i/>
              </w:rPr>
              <w:t>Date de la communication</w:t>
            </w:r>
            <w:r w:rsidRPr="00FB439B">
              <w:t>:</w:t>
            </w:r>
          </w:p>
        </w:tc>
        <w:tc>
          <w:tcPr>
            <w:tcW w:w="4394" w:type="dxa"/>
          </w:tcPr>
          <w:p w:rsidR="00F31190" w:rsidRDefault="00F31190" w:rsidP="005D01DD">
            <w:pPr>
              <w:spacing w:after="120"/>
            </w:pPr>
            <w:r w:rsidRPr="00C02B77">
              <w:rPr>
                <w:lang w:val="fr-FR"/>
              </w:rPr>
              <w:t>10 avril 2006 (date de la lettre initiale)</w:t>
            </w:r>
          </w:p>
        </w:tc>
      </w:tr>
    </w:tbl>
    <w:p w:rsidR="00642728" w:rsidRDefault="00642728" w:rsidP="00C17857">
      <w:pPr>
        <w:pStyle w:val="SingleTxtG"/>
        <w:ind w:firstLine="567"/>
      </w:pPr>
      <w:r w:rsidRPr="00B57784">
        <w:rPr>
          <w:i/>
        </w:rPr>
        <w:t>Le Comité des droits de l</w:t>
      </w:r>
      <w:r w:rsidR="003B5BEF">
        <w:rPr>
          <w:i/>
        </w:rPr>
        <w:t>’</w:t>
      </w:r>
      <w:r w:rsidRPr="00B57784">
        <w:rPr>
          <w:i/>
        </w:rPr>
        <w:t>homme</w:t>
      </w:r>
      <w:r>
        <w:t>, institué en vertu de l</w:t>
      </w:r>
      <w:r w:rsidR="003B5BEF">
        <w:t>’</w:t>
      </w:r>
      <w:r w:rsidR="00E4261C">
        <w:t xml:space="preserve">article </w:t>
      </w:r>
      <w:r>
        <w:t>28 du Pacte international relatif aux droits civils et politiques,</w:t>
      </w:r>
    </w:p>
    <w:p w:rsidR="00642728" w:rsidRDefault="00642728" w:rsidP="00BA405E">
      <w:pPr>
        <w:pStyle w:val="SingleTxtG"/>
        <w:ind w:firstLine="567"/>
      </w:pPr>
      <w:r w:rsidRPr="00B57784">
        <w:rPr>
          <w:i/>
        </w:rPr>
        <w:t>Réuni</w:t>
      </w:r>
      <w:r w:rsidRPr="00065ECB">
        <w:rPr>
          <w:i/>
          <w:iCs/>
        </w:rPr>
        <w:t xml:space="preserve"> le</w:t>
      </w:r>
      <w:r w:rsidRPr="00B57784">
        <w:t xml:space="preserve"> </w:t>
      </w:r>
      <w:r w:rsidR="004F1E50">
        <w:t>20</w:t>
      </w:r>
      <w:r w:rsidR="00E4261C">
        <w:t xml:space="preserve"> </w:t>
      </w:r>
      <w:r w:rsidR="004F1E50">
        <w:t>juillet 2009</w:t>
      </w:r>
      <w:r>
        <w:t>,</w:t>
      </w:r>
    </w:p>
    <w:p w:rsidR="00642728" w:rsidRDefault="00642728" w:rsidP="00BA405E">
      <w:pPr>
        <w:pStyle w:val="SingleTxtG"/>
        <w:ind w:firstLine="567"/>
      </w:pPr>
      <w:r w:rsidRPr="00B57784">
        <w:rPr>
          <w:i/>
        </w:rPr>
        <w:t>Ayant achevé</w:t>
      </w:r>
      <w:r>
        <w:t xml:space="preserve"> l</w:t>
      </w:r>
      <w:r w:rsidR="003B5BEF">
        <w:t>’</w:t>
      </w:r>
      <w:r>
        <w:t xml:space="preserve">examen de la communication </w:t>
      </w:r>
      <w:r>
        <w:rPr>
          <w:rFonts w:eastAsia="MS Mincho"/>
        </w:rPr>
        <w:t>n</w:t>
      </w:r>
      <w:r>
        <w:rPr>
          <w:rFonts w:eastAsia="MS Mincho"/>
          <w:vertAlign w:val="superscript"/>
        </w:rPr>
        <w:t>o</w:t>
      </w:r>
      <w:r w:rsidR="00E4261C">
        <w:t xml:space="preserve"> </w:t>
      </w:r>
      <w:r w:rsidR="004F1E50">
        <w:t>1574/200</w:t>
      </w:r>
      <w:r w:rsidR="00EC788F">
        <w:t>7</w:t>
      </w:r>
      <w:r w:rsidR="00572B3F">
        <w:t xml:space="preserve"> </w:t>
      </w:r>
      <w:r>
        <w:t xml:space="preserve">présentée au nom de </w:t>
      </w:r>
      <w:r w:rsidR="004F1E50">
        <w:t>Jaroslav et Alena Slezák</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3B5BEF">
        <w:t>’</w:t>
      </w:r>
      <w:r>
        <w:t>auteur de la communication et l</w:t>
      </w:r>
      <w:r w:rsidR="003B5BEF">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3B5BEF">
        <w:t>’</w:t>
      </w:r>
      <w:r w:rsidR="00642728">
        <w:t>article 5 du Protocole facultatif</w:t>
      </w:r>
    </w:p>
    <w:p w:rsidR="004F1E50" w:rsidRPr="004F1E50" w:rsidRDefault="004F1E50" w:rsidP="003B5BEF">
      <w:pPr>
        <w:pStyle w:val="SingleTxtG"/>
        <w:rPr>
          <w:lang w:val="fr-FR"/>
        </w:rPr>
      </w:pPr>
      <w:r>
        <w:t>1.</w:t>
      </w:r>
      <w:r>
        <w:tab/>
      </w:r>
      <w:r w:rsidRPr="004F1E50">
        <w:rPr>
          <w:lang w:val="fr-FR"/>
        </w:rPr>
        <w:t xml:space="preserve">Les auteurs de la communication sont </w:t>
      </w:r>
      <w:r w:rsidR="00E4261C">
        <w:rPr>
          <w:lang w:val="fr-FR"/>
        </w:rPr>
        <w:t xml:space="preserve">M. </w:t>
      </w:r>
      <w:r w:rsidRPr="004F1E50">
        <w:rPr>
          <w:lang w:val="fr-FR"/>
        </w:rPr>
        <w:t xml:space="preserve">Jaroslav et </w:t>
      </w:r>
      <w:r w:rsidR="00EC788F" w:rsidRPr="00EC788F">
        <w:rPr>
          <w:lang w:val="fr-FR"/>
        </w:rPr>
        <w:t>M</w:t>
      </w:r>
      <w:r w:rsidR="00EC788F" w:rsidRPr="00EC788F">
        <w:rPr>
          <w:vertAlign w:val="superscript"/>
          <w:lang w:val="fr-FR"/>
        </w:rPr>
        <w:t>me</w:t>
      </w:r>
      <w:r w:rsidR="00E4261C">
        <w:rPr>
          <w:lang w:val="fr-FR"/>
        </w:rPr>
        <w:t xml:space="preserve"> </w:t>
      </w:r>
      <w:r w:rsidRPr="004F1E50">
        <w:rPr>
          <w:lang w:val="fr-FR"/>
        </w:rPr>
        <w:t>Alena</w:t>
      </w:r>
      <w:r w:rsidR="00EC788F">
        <w:rPr>
          <w:lang w:val="fr-FR"/>
        </w:rPr>
        <w:t xml:space="preserve"> </w:t>
      </w:r>
      <w:r w:rsidRPr="004F1E50">
        <w:rPr>
          <w:lang w:val="fr-FR"/>
        </w:rPr>
        <w:t>Slezák, naturalisés Américains, résidant dans le Massachusetts (États</w:t>
      </w:r>
      <w:r w:rsidR="00E4261C">
        <w:rPr>
          <w:lang w:val="fr-FR"/>
        </w:rPr>
        <w:t>-</w:t>
      </w:r>
      <w:r w:rsidRPr="004F1E50">
        <w:rPr>
          <w:lang w:val="fr-FR"/>
        </w:rPr>
        <w:t>Unis d</w:t>
      </w:r>
      <w:r w:rsidR="003B5BEF">
        <w:rPr>
          <w:lang w:val="fr-FR"/>
        </w:rPr>
        <w:t>’</w:t>
      </w:r>
      <w:r w:rsidRPr="004F1E50">
        <w:rPr>
          <w:lang w:val="fr-FR"/>
        </w:rPr>
        <w:t>Amérique), nés en Tchécoslovaquie le</w:t>
      </w:r>
      <w:r w:rsidR="00850D94">
        <w:rPr>
          <w:lang w:val="fr-FR"/>
        </w:rPr>
        <w:t xml:space="preserve"> </w:t>
      </w:r>
      <w:r w:rsidR="00E4261C">
        <w:rPr>
          <w:lang w:val="fr-FR"/>
        </w:rPr>
        <w:t xml:space="preserve">28 </w:t>
      </w:r>
      <w:r w:rsidRPr="004F1E50">
        <w:rPr>
          <w:lang w:val="fr-FR"/>
        </w:rPr>
        <w:t>février</w:t>
      </w:r>
      <w:r w:rsidR="00850D94">
        <w:rPr>
          <w:lang w:val="fr-FR"/>
        </w:rPr>
        <w:t xml:space="preserve"> </w:t>
      </w:r>
      <w:r w:rsidRPr="004F1E50">
        <w:rPr>
          <w:lang w:val="fr-FR"/>
        </w:rPr>
        <w:t>1926 et le 20</w:t>
      </w:r>
      <w:r w:rsidR="00E4261C">
        <w:rPr>
          <w:lang w:val="fr-FR"/>
        </w:rPr>
        <w:t xml:space="preserve"> </w:t>
      </w:r>
      <w:r w:rsidRPr="004F1E50">
        <w:rPr>
          <w:lang w:val="fr-FR"/>
        </w:rPr>
        <w:t xml:space="preserve">décembre 1930, respectivement. Ils </w:t>
      </w:r>
      <w:r w:rsidR="00EC788F">
        <w:rPr>
          <w:lang w:val="fr-FR"/>
        </w:rPr>
        <w:t>se déclarent</w:t>
      </w:r>
      <w:r w:rsidRPr="004F1E50">
        <w:rPr>
          <w:lang w:val="fr-FR"/>
        </w:rPr>
        <w:t xml:space="preserve"> victimes d</w:t>
      </w:r>
      <w:r w:rsidR="003B5BEF">
        <w:rPr>
          <w:lang w:val="fr-FR"/>
        </w:rPr>
        <w:t>’</w:t>
      </w:r>
      <w:r w:rsidRPr="004F1E50">
        <w:rPr>
          <w:lang w:val="fr-FR"/>
        </w:rPr>
        <w:t>une</w:t>
      </w:r>
      <w:r w:rsidR="003B5BEF">
        <w:rPr>
          <w:lang w:val="fr-FR"/>
        </w:rPr>
        <w:t xml:space="preserve"> </w:t>
      </w:r>
      <w:r w:rsidRPr="004F1E50">
        <w:rPr>
          <w:lang w:val="fr-FR"/>
        </w:rPr>
        <w:t>violation par la</w:t>
      </w:r>
      <w:r w:rsidR="003B5BEF">
        <w:rPr>
          <w:lang w:val="fr-FR"/>
        </w:rPr>
        <w:t xml:space="preserve"> </w:t>
      </w:r>
      <w:r w:rsidRPr="004F1E50">
        <w:rPr>
          <w:lang w:val="fr-FR"/>
        </w:rPr>
        <w:t>République tchèque de l</w:t>
      </w:r>
      <w:r w:rsidR="003B5BEF">
        <w:rPr>
          <w:lang w:val="fr-FR"/>
        </w:rPr>
        <w:t>’</w:t>
      </w:r>
      <w:r w:rsidRPr="004F1E50">
        <w:rPr>
          <w:lang w:val="fr-FR"/>
        </w:rPr>
        <w:t>article</w:t>
      </w:r>
      <w:r w:rsidR="00E4261C">
        <w:rPr>
          <w:lang w:val="fr-FR"/>
        </w:rPr>
        <w:t xml:space="preserve"> </w:t>
      </w:r>
      <w:r w:rsidRPr="004F1E50">
        <w:rPr>
          <w:lang w:val="fr-FR"/>
        </w:rPr>
        <w:t>26 du Pacte international relatif aux droits civils et politiques</w:t>
      </w:r>
      <w:r w:rsidRPr="00EC788F">
        <w:rPr>
          <w:rStyle w:val="FootnoteReference"/>
        </w:rPr>
        <w:footnoteReference w:id="4"/>
      </w:r>
      <w:r w:rsidR="00EC788F">
        <w:rPr>
          <w:lang w:val="fr-FR"/>
        </w:rPr>
        <w:t>.</w:t>
      </w:r>
      <w:r w:rsidRPr="004F1E50">
        <w:rPr>
          <w:lang w:val="fr-FR"/>
        </w:rPr>
        <w:t xml:space="preserve"> Ils ne sont pas représentés par un conseil.</w:t>
      </w:r>
    </w:p>
    <w:p w:rsidR="004F1E50" w:rsidRPr="004F1E50" w:rsidRDefault="00850D94" w:rsidP="00850D94">
      <w:pPr>
        <w:pStyle w:val="H23G"/>
        <w:rPr>
          <w:lang w:val="fr-FR"/>
        </w:rPr>
      </w:pPr>
      <w:r>
        <w:rPr>
          <w:lang w:val="fr-FR"/>
        </w:rPr>
        <w:tab/>
      </w:r>
      <w:r>
        <w:rPr>
          <w:lang w:val="fr-FR"/>
        </w:rPr>
        <w:tab/>
      </w:r>
      <w:r w:rsidR="004F1E50" w:rsidRPr="004F1E50">
        <w:rPr>
          <w:lang w:val="fr-FR"/>
        </w:rPr>
        <w:t>Rappel des faits présentés par les auteurs</w:t>
      </w:r>
    </w:p>
    <w:p w:rsidR="004F1E50" w:rsidRPr="004F1E50" w:rsidRDefault="004F1E50" w:rsidP="004F1E50">
      <w:pPr>
        <w:pStyle w:val="SingleTxtG"/>
        <w:rPr>
          <w:lang w:val="fr-FR"/>
        </w:rPr>
      </w:pPr>
      <w:r w:rsidRPr="004F1E50">
        <w:rPr>
          <w:lang w:val="fr-FR"/>
        </w:rPr>
        <w:t>2.1</w:t>
      </w:r>
      <w:r w:rsidRPr="004F1E50">
        <w:rPr>
          <w:lang w:val="fr-FR"/>
        </w:rPr>
        <w:tab/>
        <w:t>Les auteurs ont quitté la Tchécoslovaquie pour des raisons politiques en 1969 et ils ont vécu aux États</w:t>
      </w:r>
      <w:r w:rsidR="00E4261C">
        <w:rPr>
          <w:lang w:val="fr-FR"/>
        </w:rPr>
        <w:t>-</w:t>
      </w:r>
      <w:r w:rsidRPr="004F1E50">
        <w:rPr>
          <w:lang w:val="fr-FR"/>
        </w:rPr>
        <w:t>Unis depuis cette date. En 1980, ils ont tous</w:t>
      </w:r>
      <w:r w:rsidR="00E4261C">
        <w:rPr>
          <w:lang w:val="fr-FR"/>
        </w:rPr>
        <w:t xml:space="preserve"> </w:t>
      </w:r>
      <w:r w:rsidRPr="004F1E50">
        <w:rPr>
          <w:lang w:val="fr-FR"/>
        </w:rPr>
        <w:t>deux obtenu la nationalité américaine et perdu leur nationalité tchécoslovaque</w:t>
      </w:r>
      <w:r w:rsidRPr="00EC788F">
        <w:rPr>
          <w:rStyle w:val="FootnoteReference"/>
        </w:rPr>
        <w:footnoteReference w:id="5"/>
      </w:r>
      <w:r w:rsidRPr="004F1E50">
        <w:rPr>
          <w:lang w:val="fr-FR"/>
        </w:rPr>
        <w:t>.</w:t>
      </w:r>
    </w:p>
    <w:p w:rsidR="004F1E50" w:rsidRPr="004F1E50" w:rsidRDefault="004F1E50" w:rsidP="004F1E50">
      <w:pPr>
        <w:pStyle w:val="SingleTxtG"/>
        <w:rPr>
          <w:lang w:val="fr-FR"/>
        </w:rPr>
      </w:pPr>
      <w:r w:rsidRPr="004F1E50">
        <w:rPr>
          <w:lang w:val="fr-FR"/>
        </w:rPr>
        <w:t>2.2</w:t>
      </w:r>
      <w:r w:rsidRPr="004F1E50">
        <w:rPr>
          <w:lang w:val="fr-FR"/>
        </w:rPr>
        <w:tab/>
        <w:t>En janvier 1971, le tribunal de district d</w:t>
      </w:r>
      <w:r w:rsidR="003B5BEF">
        <w:rPr>
          <w:lang w:val="fr-FR"/>
        </w:rPr>
        <w:t>’</w:t>
      </w:r>
      <w:r w:rsidRPr="004F1E50">
        <w:rPr>
          <w:lang w:val="fr-FR"/>
        </w:rPr>
        <w:t xml:space="preserve">Olomouc les a condamnés </w:t>
      </w:r>
      <w:r w:rsidR="00850D94">
        <w:rPr>
          <w:lang w:val="fr-FR"/>
        </w:rPr>
        <w:t xml:space="preserve">par défaut </w:t>
      </w:r>
      <w:r w:rsidRPr="004F1E50">
        <w:rPr>
          <w:lang w:val="fr-FR"/>
        </w:rPr>
        <w:t>à une peine d</w:t>
      </w:r>
      <w:r w:rsidR="003B5BEF">
        <w:rPr>
          <w:lang w:val="fr-FR"/>
        </w:rPr>
        <w:t>’</w:t>
      </w:r>
      <w:r w:rsidRPr="004F1E50">
        <w:rPr>
          <w:lang w:val="fr-FR"/>
        </w:rPr>
        <w:t xml:space="preserve">emprisonnement et à la confiscation de leurs biens, notamment </w:t>
      </w:r>
      <w:r w:rsidR="00850D94">
        <w:rPr>
          <w:lang w:val="fr-FR"/>
        </w:rPr>
        <w:t xml:space="preserve">de </w:t>
      </w:r>
      <w:r w:rsidRPr="004F1E50">
        <w:rPr>
          <w:lang w:val="fr-FR"/>
        </w:rPr>
        <w:t>leur maison familiale à Sternberk, dont la valeur est estimée par les auteurs à 2,5</w:t>
      </w:r>
      <w:r w:rsidR="00E4261C">
        <w:rPr>
          <w:lang w:val="fr-FR"/>
        </w:rPr>
        <w:t xml:space="preserve"> </w:t>
      </w:r>
      <w:r w:rsidRPr="004F1E50">
        <w:rPr>
          <w:lang w:val="fr-FR"/>
        </w:rPr>
        <w:t>millions de couronnes tchèques.</w:t>
      </w:r>
    </w:p>
    <w:p w:rsidR="004F1E50" w:rsidRPr="004F1E50" w:rsidRDefault="004F1E50" w:rsidP="004F1E50">
      <w:pPr>
        <w:pStyle w:val="SingleTxtG"/>
        <w:rPr>
          <w:lang w:val="fr-FR"/>
        </w:rPr>
      </w:pPr>
      <w:r w:rsidRPr="004F1E50">
        <w:rPr>
          <w:lang w:val="fr-FR"/>
        </w:rPr>
        <w:t>2.3</w:t>
      </w:r>
      <w:r w:rsidRPr="004F1E50">
        <w:rPr>
          <w:lang w:val="fr-FR"/>
        </w:rPr>
        <w:tab/>
        <w:t xml:space="preserve">Suite à la promulgation de la loi </w:t>
      </w:r>
      <w:r w:rsidR="00850D94" w:rsidRPr="00850D94">
        <w:rPr>
          <w:lang w:val="fr-FR"/>
        </w:rPr>
        <w:t>n</w:t>
      </w:r>
      <w:r w:rsidR="00850D94" w:rsidRPr="00850D94">
        <w:rPr>
          <w:vertAlign w:val="superscript"/>
          <w:lang w:val="fr-FR"/>
        </w:rPr>
        <w:t>o</w:t>
      </w:r>
      <w:r w:rsidR="00E4261C">
        <w:rPr>
          <w:lang w:val="fr-FR"/>
        </w:rPr>
        <w:t xml:space="preserve"> </w:t>
      </w:r>
      <w:r w:rsidRPr="004F1E50">
        <w:rPr>
          <w:lang w:val="fr-FR"/>
        </w:rPr>
        <w:t xml:space="preserve">119/1990, les auteurs ont été réhabilités et leur condamnation, y compris la confiscation de leur propriété, a été annulée </w:t>
      </w:r>
      <w:r w:rsidRPr="004F1E50">
        <w:rPr>
          <w:i/>
          <w:lang w:val="fr-FR"/>
        </w:rPr>
        <w:t>ex tunc</w:t>
      </w:r>
      <w:r w:rsidRPr="004F1E50">
        <w:rPr>
          <w:lang w:val="fr-FR"/>
        </w:rPr>
        <w:t>. Les auteurs ont demandé à leur neveu, qui l</w:t>
      </w:r>
      <w:r w:rsidR="003B5BEF">
        <w:rPr>
          <w:lang w:val="fr-FR"/>
        </w:rPr>
        <w:t>’</w:t>
      </w:r>
      <w:r w:rsidRPr="004F1E50">
        <w:rPr>
          <w:lang w:val="fr-FR"/>
        </w:rPr>
        <w:t>avait achetée à l</w:t>
      </w:r>
      <w:r w:rsidR="003B5BEF">
        <w:rPr>
          <w:lang w:val="fr-FR"/>
        </w:rPr>
        <w:t>’</w:t>
      </w:r>
      <w:r w:rsidRPr="004F1E50">
        <w:rPr>
          <w:lang w:val="fr-FR"/>
        </w:rPr>
        <w:t>État, de la leur restituer, mais celui</w:t>
      </w:r>
      <w:r w:rsidR="003B5BEF">
        <w:rPr>
          <w:lang w:val="fr-FR"/>
        </w:rPr>
        <w:noBreakHyphen/>
      </w:r>
      <w:r w:rsidRPr="004F1E50">
        <w:rPr>
          <w:lang w:val="fr-FR"/>
        </w:rPr>
        <w:t>ci a refusé. Ils</w:t>
      </w:r>
      <w:r w:rsidR="00850D94">
        <w:rPr>
          <w:lang w:val="fr-FR"/>
        </w:rPr>
        <w:t xml:space="preserve"> </w:t>
      </w:r>
      <w:r w:rsidRPr="004F1E50">
        <w:rPr>
          <w:lang w:val="fr-FR"/>
        </w:rPr>
        <w:t>ont alors engagé une action en justice en 1994. Le tribunal de district d</w:t>
      </w:r>
      <w:r w:rsidR="003B5BEF">
        <w:rPr>
          <w:lang w:val="fr-FR"/>
        </w:rPr>
        <w:t>’</w:t>
      </w:r>
      <w:r w:rsidRPr="004F1E50">
        <w:rPr>
          <w:lang w:val="fr-FR"/>
        </w:rPr>
        <w:t>Olomouc a décidé, en</w:t>
      </w:r>
      <w:r w:rsidR="00850D94">
        <w:rPr>
          <w:lang w:val="fr-FR"/>
        </w:rPr>
        <w:t xml:space="preserve"> </w:t>
      </w:r>
      <w:r w:rsidRPr="004F1E50">
        <w:rPr>
          <w:lang w:val="fr-FR"/>
        </w:rPr>
        <w:t>novembre 1998, que les auteurs ne pouvaient pas prétendre à la restitution au titre de la loi n</w:t>
      </w:r>
      <w:r w:rsidRPr="004F1E50">
        <w:rPr>
          <w:vertAlign w:val="superscript"/>
          <w:lang w:val="fr-FR"/>
        </w:rPr>
        <w:t>o</w:t>
      </w:r>
      <w:r w:rsidR="00E4261C">
        <w:rPr>
          <w:lang w:val="fr-FR"/>
        </w:rPr>
        <w:t xml:space="preserve"> </w:t>
      </w:r>
      <w:r w:rsidRPr="004F1E50">
        <w:rPr>
          <w:lang w:val="fr-FR"/>
        </w:rPr>
        <w:t>87/1991, dans la mesure où ils avaient été déchus de leur nationalité tchèque en devenant citoyens des États</w:t>
      </w:r>
      <w:r w:rsidR="00E4261C">
        <w:rPr>
          <w:lang w:val="fr-FR"/>
        </w:rPr>
        <w:t>-</w:t>
      </w:r>
      <w:r w:rsidRPr="004F1E50">
        <w:rPr>
          <w:lang w:val="fr-FR"/>
        </w:rPr>
        <w:t>Unis. Le tribunal régional a confirm</w:t>
      </w:r>
      <w:r w:rsidR="00E4261C">
        <w:rPr>
          <w:lang w:val="fr-FR"/>
        </w:rPr>
        <w:t xml:space="preserve">é cette décision en appel le 25 </w:t>
      </w:r>
      <w:r w:rsidRPr="004F1E50">
        <w:rPr>
          <w:lang w:val="fr-FR"/>
        </w:rPr>
        <w:t>février</w:t>
      </w:r>
      <w:r w:rsidR="00850D94">
        <w:rPr>
          <w:lang w:val="fr-FR"/>
        </w:rPr>
        <w:t xml:space="preserve"> </w:t>
      </w:r>
      <w:r w:rsidRPr="004F1E50">
        <w:rPr>
          <w:lang w:val="fr-FR"/>
        </w:rPr>
        <w:t>1999. Les auteurs ont alors saisi la Cour constitutionnelle, qui a rejeté leur demande pour des motifs formels, le 15</w:t>
      </w:r>
      <w:r w:rsidR="00E4261C">
        <w:rPr>
          <w:lang w:val="fr-FR"/>
        </w:rPr>
        <w:t xml:space="preserve"> </w:t>
      </w:r>
      <w:r w:rsidRPr="004F1E50">
        <w:rPr>
          <w:lang w:val="fr-FR"/>
        </w:rPr>
        <w:t>décembre 1999. Les auteurs évoqu</w:t>
      </w:r>
      <w:r w:rsidR="00850D94">
        <w:rPr>
          <w:lang w:val="fr-FR"/>
        </w:rPr>
        <w:t xml:space="preserve">ent également la décision de la </w:t>
      </w:r>
      <w:r w:rsidRPr="004F1E50">
        <w:rPr>
          <w:lang w:val="fr-FR"/>
        </w:rPr>
        <w:t>Cour constitutionnelle du 4</w:t>
      </w:r>
      <w:r w:rsidR="00E4261C">
        <w:rPr>
          <w:lang w:val="fr-FR"/>
        </w:rPr>
        <w:t xml:space="preserve"> </w:t>
      </w:r>
      <w:r w:rsidRPr="004F1E50">
        <w:rPr>
          <w:lang w:val="fr-FR"/>
        </w:rPr>
        <w:t>juin 1997, par laquelle celle</w:t>
      </w:r>
      <w:r w:rsidR="00E4261C">
        <w:rPr>
          <w:lang w:val="fr-FR"/>
        </w:rPr>
        <w:t>-</w:t>
      </w:r>
      <w:r w:rsidRPr="004F1E50">
        <w:rPr>
          <w:lang w:val="fr-FR"/>
        </w:rPr>
        <w:t>ci a rejeté toutes les demandes de restitution émanant de personnes qui n</w:t>
      </w:r>
      <w:r w:rsidR="003B5BEF">
        <w:rPr>
          <w:lang w:val="fr-FR"/>
        </w:rPr>
        <w:t>’</w:t>
      </w:r>
      <w:r w:rsidRPr="004F1E50">
        <w:rPr>
          <w:lang w:val="fr-FR"/>
        </w:rPr>
        <w:t>étaient pas des ressortissants tchèques lorsqu</w:t>
      </w:r>
      <w:r w:rsidR="003B5BEF">
        <w:rPr>
          <w:lang w:val="fr-FR"/>
        </w:rPr>
        <w:t>’</w:t>
      </w:r>
      <w:r w:rsidRPr="004F1E50">
        <w:rPr>
          <w:lang w:val="fr-FR"/>
        </w:rPr>
        <w:t>elles ont déposé leur demande.</w:t>
      </w:r>
    </w:p>
    <w:p w:rsidR="004F1E50" w:rsidRPr="004F1E50" w:rsidRDefault="00850D94" w:rsidP="00850D94">
      <w:pPr>
        <w:pStyle w:val="H23G"/>
        <w:rPr>
          <w:lang w:val="fr-FR"/>
        </w:rPr>
      </w:pPr>
      <w:r>
        <w:rPr>
          <w:lang w:val="fr-FR"/>
        </w:rPr>
        <w:tab/>
      </w:r>
      <w:r>
        <w:rPr>
          <w:lang w:val="fr-FR"/>
        </w:rPr>
        <w:tab/>
      </w:r>
      <w:r w:rsidR="004F1E50" w:rsidRPr="004F1E50">
        <w:rPr>
          <w:lang w:val="fr-FR"/>
        </w:rPr>
        <w:t>Teneur de la plainte</w:t>
      </w:r>
    </w:p>
    <w:p w:rsidR="004F1E50" w:rsidRPr="004F1E50" w:rsidRDefault="004F1E50" w:rsidP="004F1E50">
      <w:pPr>
        <w:pStyle w:val="SingleTxtG"/>
        <w:rPr>
          <w:lang w:val="fr-FR"/>
        </w:rPr>
      </w:pPr>
      <w:r w:rsidRPr="004F1E50">
        <w:rPr>
          <w:lang w:val="fr-FR"/>
        </w:rPr>
        <w:t>3.</w:t>
      </w:r>
      <w:r w:rsidRPr="004F1E50">
        <w:rPr>
          <w:lang w:val="fr-FR"/>
        </w:rPr>
        <w:tab/>
        <w:t>Les auteurs affirment qu</w:t>
      </w:r>
      <w:r w:rsidR="003B5BEF">
        <w:rPr>
          <w:lang w:val="fr-FR"/>
        </w:rPr>
        <w:t>’</w:t>
      </w:r>
      <w:r w:rsidRPr="004F1E50">
        <w:rPr>
          <w:lang w:val="fr-FR"/>
        </w:rPr>
        <w:t>ils sont victimes de discrimination et font valoir que le critère de la nationalité aux fins de la restitution de leurs biens en vertu de la loi n</w:t>
      </w:r>
      <w:r w:rsidRPr="004F1E50">
        <w:rPr>
          <w:vertAlign w:val="superscript"/>
          <w:lang w:val="fr-FR"/>
        </w:rPr>
        <w:t>o</w:t>
      </w:r>
      <w:r w:rsidR="00E4261C">
        <w:rPr>
          <w:lang w:val="fr-FR"/>
        </w:rPr>
        <w:t xml:space="preserve"> </w:t>
      </w:r>
      <w:r w:rsidRPr="004F1E50">
        <w:rPr>
          <w:lang w:val="fr-FR"/>
        </w:rPr>
        <w:t>87/1991 est une</w:t>
      </w:r>
      <w:r w:rsidR="00850D94">
        <w:rPr>
          <w:lang w:val="fr-FR"/>
        </w:rPr>
        <w:t xml:space="preserve"> </w:t>
      </w:r>
      <w:r w:rsidRPr="004F1E50">
        <w:rPr>
          <w:lang w:val="fr-FR"/>
        </w:rPr>
        <w:t>violation de l</w:t>
      </w:r>
      <w:r w:rsidR="003B5BEF">
        <w:rPr>
          <w:lang w:val="fr-FR"/>
        </w:rPr>
        <w:t>’</w:t>
      </w:r>
      <w:r w:rsidR="00E4261C">
        <w:rPr>
          <w:lang w:val="fr-FR"/>
        </w:rPr>
        <w:t xml:space="preserve">article </w:t>
      </w:r>
      <w:r w:rsidRPr="004F1E50">
        <w:rPr>
          <w:lang w:val="fr-FR"/>
        </w:rPr>
        <w:t>26 du Pacte.</w:t>
      </w:r>
    </w:p>
    <w:p w:rsidR="004F1E50" w:rsidRDefault="00850D94" w:rsidP="00850D94">
      <w:pPr>
        <w:pStyle w:val="H23G"/>
        <w:rPr>
          <w:lang w:val="fr-FR"/>
        </w:rPr>
      </w:pPr>
      <w:r>
        <w:rPr>
          <w:lang w:val="fr-FR"/>
        </w:rPr>
        <w:tab/>
      </w:r>
      <w:r>
        <w:rPr>
          <w:lang w:val="fr-FR"/>
        </w:rPr>
        <w:tab/>
      </w:r>
      <w:r w:rsidR="004F1E50" w:rsidRPr="00850D94">
        <w:rPr>
          <w:lang w:val="fr-FR"/>
        </w:rPr>
        <w:t>Observations de l</w:t>
      </w:r>
      <w:r w:rsidR="003B5BEF">
        <w:rPr>
          <w:lang w:val="fr-FR"/>
        </w:rPr>
        <w:t>’</w:t>
      </w:r>
      <w:r w:rsidR="004F1E50" w:rsidRPr="00850D94">
        <w:rPr>
          <w:lang w:val="fr-FR"/>
        </w:rPr>
        <w:t xml:space="preserve">État partie sur la recevabilité et sur le fond </w:t>
      </w:r>
    </w:p>
    <w:p w:rsidR="004F1E50" w:rsidRPr="004F1E50" w:rsidRDefault="004F1E50" w:rsidP="004F1E50">
      <w:pPr>
        <w:pStyle w:val="SingleTxtG"/>
        <w:rPr>
          <w:lang w:val="fr-FR"/>
        </w:rPr>
      </w:pPr>
      <w:r w:rsidRPr="004F1E50">
        <w:rPr>
          <w:lang w:val="fr-FR"/>
        </w:rPr>
        <w:t>4.1</w:t>
      </w:r>
      <w:r w:rsidRPr="004F1E50">
        <w:rPr>
          <w:lang w:val="fr-FR"/>
        </w:rPr>
        <w:tab/>
      </w:r>
      <w:r w:rsidR="009F081F">
        <w:rPr>
          <w:lang w:val="fr-FR"/>
        </w:rPr>
        <w:t>Dans une note du</w:t>
      </w:r>
      <w:r w:rsidRPr="004F1E50">
        <w:rPr>
          <w:lang w:val="fr-FR"/>
        </w:rPr>
        <w:t xml:space="preserve"> 15</w:t>
      </w:r>
      <w:r w:rsidR="00E4261C">
        <w:rPr>
          <w:lang w:val="fr-FR"/>
        </w:rPr>
        <w:t xml:space="preserve"> </w:t>
      </w:r>
      <w:r w:rsidRPr="004F1E50">
        <w:rPr>
          <w:lang w:val="fr-FR"/>
        </w:rPr>
        <w:t>janvier 2008, l</w:t>
      </w:r>
      <w:r w:rsidR="003B5BEF">
        <w:rPr>
          <w:lang w:val="fr-FR"/>
        </w:rPr>
        <w:t>’</w:t>
      </w:r>
      <w:r w:rsidRPr="004F1E50">
        <w:rPr>
          <w:lang w:val="fr-FR"/>
        </w:rPr>
        <w:t xml:space="preserve">État partie a </w:t>
      </w:r>
      <w:r w:rsidR="009F081F">
        <w:rPr>
          <w:lang w:val="fr-FR"/>
        </w:rPr>
        <w:t xml:space="preserve">fait part de </w:t>
      </w:r>
      <w:r w:rsidRPr="004F1E50">
        <w:rPr>
          <w:lang w:val="fr-FR"/>
        </w:rPr>
        <w:t>ses observations sur la recevabilité et le</w:t>
      </w:r>
      <w:r w:rsidR="003B5BEF">
        <w:rPr>
          <w:lang w:val="fr-FR"/>
        </w:rPr>
        <w:t xml:space="preserve"> </w:t>
      </w:r>
      <w:r w:rsidRPr="004F1E50">
        <w:rPr>
          <w:lang w:val="fr-FR"/>
        </w:rPr>
        <w:t>fond de la communication. En ce qui concerne les faits, il constate que les auteurs ont été déchus de la nationalité tchécoslovaque parce qu</w:t>
      </w:r>
      <w:r w:rsidR="003B5BEF">
        <w:rPr>
          <w:lang w:val="fr-FR"/>
        </w:rPr>
        <w:t>’</w:t>
      </w:r>
      <w:r w:rsidRPr="004F1E50">
        <w:rPr>
          <w:lang w:val="fr-FR"/>
        </w:rPr>
        <w:t xml:space="preserve">ils avaient acquis la nationalité américaine, conformément au traité relatif à la naturalisation de 1928 </w:t>
      </w:r>
      <w:r w:rsidR="00850D94">
        <w:rPr>
          <w:lang w:val="fr-FR"/>
        </w:rPr>
        <w:t>conclu entre les deux</w:t>
      </w:r>
      <w:r w:rsidR="00E4261C">
        <w:rPr>
          <w:lang w:val="fr-FR"/>
        </w:rPr>
        <w:t xml:space="preserve"> </w:t>
      </w:r>
      <w:r w:rsidR="00850D94">
        <w:rPr>
          <w:lang w:val="fr-FR"/>
        </w:rPr>
        <w:t xml:space="preserve">pays. Les </w:t>
      </w:r>
      <w:r w:rsidRPr="004F1E50">
        <w:rPr>
          <w:lang w:val="fr-FR"/>
        </w:rPr>
        <w:t>auteurs ont été réintégrés dans la nationalité tchèque en vertu d</w:t>
      </w:r>
      <w:r w:rsidR="003B5BEF">
        <w:rPr>
          <w:lang w:val="fr-FR"/>
        </w:rPr>
        <w:t>’</w:t>
      </w:r>
      <w:r w:rsidR="00850D94">
        <w:rPr>
          <w:lang w:val="fr-FR"/>
        </w:rPr>
        <w:t xml:space="preserve">une déclaration faite le </w:t>
      </w:r>
      <w:r w:rsidRPr="004F1E50">
        <w:rPr>
          <w:lang w:val="fr-FR"/>
        </w:rPr>
        <w:t>10</w:t>
      </w:r>
      <w:r w:rsidR="00E4261C">
        <w:rPr>
          <w:lang w:val="fr-FR"/>
        </w:rPr>
        <w:t xml:space="preserve"> </w:t>
      </w:r>
      <w:r w:rsidRPr="004F1E50">
        <w:rPr>
          <w:lang w:val="fr-FR"/>
        </w:rPr>
        <w:t>mai 2000. L</w:t>
      </w:r>
      <w:r w:rsidR="003B5BEF">
        <w:rPr>
          <w:lang w:val="fr-FR"/>
        </w:rPr>
        <w:t>’</w:t>
      </w:r>
      <w:r w:rsidRPr="004F1E50">
        <w:rPr>
          <w:lang w:val="fr-FR"/>
        </w:rPr>
        <w:t>État partie passe en revue les différentes procédures judiciaires engagées par les auteurs, jusqu</w:t>
      </w:r>
      <w:r w:rsidR="003B5BEF">
        <w:rPr>
          <w:lang w:val="fr-FR"/>
        </w:rPr>
        <w:t>’</w:t>
      </w:r>
      <w:r w:rsidRPr="004F1E50">
        <w:rPr>
          <w:lang w:val="fr-FR"/>
        </w:rPr>
        <w:t xml:space="preserve">à la dernière décision de </w:t>
      </w:r>
      <w:r w:rsidR="00E4261C">
        <w:rPr>
          <w:lang w:val="fr-FR"/>
        </w:rPr>
        <w:t xml:space="preserve">la Cour constitutionnelle du 15 </w:t>
      </w:r>
      <w:r w:rsidRPr="004F1E50">
        <w:rPr>
          <w:lang w:val="fr-FR"/>
        </w:rPr>
        <w:t>décembre 1999, qui a rejeté leur recours, parce qu</w:t>
      </w:r>
      <w:r w:rsidR="003B5BEF">
        <w:rPr>
          <w:lang w:val="fr-FR"/>
        </w:rPr>
        <w:t>’</w:t>
      </w:r>
      <w:r w:rsidRPr="004F1E50">
        <w:rPr>
          <w:lang w:val="fr-FR"/>
        </w:rPr>
        <w:t>ils n</w:t>
      </w:r>
      <w:r w:rsidR="003B5BEF">
        <w:rPr>
          <w:lang w:val="fr-FR"/>
        </w:rPr>
        <w:t>’</w:t>
      </w:r>
      <w:r w:rsidRPr="004F1E50">
        <w:rPr>
          <w:lang w:val="fr-FR"/>
        </w:rPr>
        <w:t>étaient pas représentés par un avocat comme l</w:t>
      </w:r>
      <w:r w:rsidR="003B5BEF">
        <w:rPr>
          <w:lang w:val="fr-FR"/>
        </w:rPr>
        <w:t>’</w:t>
      </w:r>
      <w:r w:rsidRPr="004F1E50">
        <w:rPr>
          <w:lang w:val="fr-FR"/>
        </w:rPr>
        <w:t>exige la loi. L</w:t>
      </w:r>
      <w:r w:rsidR="003B5BEF">
        <w:rPr>
          <w:lang w:val="fr-FR"/>
        </w:rPr>
        <w:t>’</w:t>
      </w:r>
      <w:r w:rsidRPr="004F1E50">
        <w:rPr>
          <w:lang w:val="fr-FR"/>
        </w:rPr>
        <w:t>État partie examine la législation pertinente applicable, à savoir la loi n</w:t>
      </w:r>
      <w:r w:rsidRPr="004F1E50">
        <w:rPr>
          <w:vertAlign w:val="superscript"/>
          <w:lang w:val="fr-FR"/>
        </w:rPr>
        <w:t>o</w:t>
      </w:r>
      <w:r w:rsidR="00E4261C">
        <w:rPr>
          <w:vertAlign w:val="superscript"/>
          <w:lang w:val="fr-FR"/>
        </w:rPr>
        <w:t xml:space="preserve"> </w:t>
      </w:r>
      <w:r w:rsidR="00850D94">
        <w:rPr>
          <w:lang w:val="fr-FR"/>
        </w:rPr>
        <w:t xml:space="preserve">119/1990 sur la </w:t>
      </w:r>
      <w:r w:rsidRPr="004F1E50">
        <w:rPr>
          <w:lang w:val="fr-FR"/>
        </w:rPr>
        <w:t>réhabilitation judiciaire et la loi n</w:t>
      </w:r>
      <w:r w:rsidRPr="004F1E50">
        <w:rPr>
          <w:vertAlign w:val="superscript"/>
          <w:lang w:val="fr-FR"/>
        </w:rPr>
        <w:t>o</w:t>
      </w:r>
      <w:r w:rsidRPr="004F1E50">
        <w:rPr>
          <w:lang w:val="fr-FR"/>
        </w:rPr>
        <w:t xml:space="preserve"> 87/1991 sur la </w:t>
      </w:r>
      <w:r w:rsidR="009F081F">
        <w:rPr>
          <w:lang w:val="fr-FR"/>
        </w:rPr>
        <w:t xml:space="preserve">réparation par voie non </w:t>
      </w:r>
      <w:r w:rsidR="00850D94">
        <w:rPr>
          <w:lang w:val="fr-FR"/>
        </w:rPr>
        <w:t xml:space="preserve">judiciaire, et renvoie à la </w:t>
      </w:r>
      <w:r w:rsidRPr="004F1E50">
        <w:rPr>
          <w:lang w:val="fr-FR"/>
        </w:rPr>
        <w:t xml:space="preserve">décision de </w:t>
      </w:r>
      <w:r w:rsidR="00850D94">
        <w:rPr>
          <w:lang w:val="fr-FR"/>
        </w:rPr>
        <w:t>la Cour constitutionnelle du 11</w:t>
      </w:r>
      <w:r w:rsidR="00E4261C">
        <w:rPr>
          <w:lang w:val="fr-FR"/>
        </w:rPr>
        <w:t xml:space="preserve"> </w:t>
      </w:r>
      <w:r w:rsidRPr="004F1E50">
        <w:rPr>
          <w:lang w:val="fr-FR"/>
        </w:rPr>
        <w:t>mars 1997, qui établit q</w:t>
      </w:r>
      <w:r w:rsidR="00850D94">
        <w:rPr>
          <w:lang w:val="fr-FR"/>
        </w:rPr>
        <w:t xml:space="preserve">ue les décisions judiciaires en </w:t>
      </w:r>
      <w:r w:rsidRPr="004F1E50">
        <w:rPr>
          <w:lang w:val="fr-FR"/>
        </w:rPr>
        <w:t>dernier ressort adoptées en vertu de la loi n</w:t>
      </w:r>
      <w:r w:rsidRPr="004F1E50">
        <w:rPr>
          <w:vertAlign w:val="superscript"/>
          <w:lang w:val="fr-FR"/>
        </w:rPr>
        <w:t>o</w:t>
      </w:r>
      <w:r w:rsidR="00E4261C">
        <w:rPr>
          <w:lang w:val="fr-FR"/>
        </w:rPr>
        <w:t xml:space="preserve"> </w:t>
      </w:r>
      <w:r w:rsidRPr="004F1E50">
        <w:rPr>
          <w:lang w:val="fr-FR"/>
        </w:rPr>
        <w:t>119/1990 ne constituent pas un instrument approprié pour l</w:t>
      </w:r>
      <w:r w:rsidR="003B5BEF">
        <w:rPr>
          <w:lang w:val="fr-FR"/>
        </w:rPr>
        <w:t>’</w:t>
      </w:r>
      <w:r w:rsidRPr="004F1E50">
        <w:rPr>
          <w:lang w:val="fr-FR"/>
        </w:rPr>
        <w:t>acquisition de biens. Dans une décision ultérieure</w:t>
      </w:r>
      <w:r w:rsidRPr="00EC788F">
        <w:rPr>
          <w:rStyle w:val="FootnoteReference"/>
        </w:rPr>
        <w:footnoteReference w:id="6"/>
      </w:r>
      <w:r w:rsidRPr="004F1E50">
        <w:rPr>
          <w:lang w:val="fr-FR"/>
        </w:rPr>
        <w:t>, la Cour constitutionnelle a jugé que les personnes réclamant la restitution d</w:t>
      </w:r>
      <w:r w:rsidR="003B5BEF">
        <w:rPr>
          <w:lang w:val="fr-FR"/>
        </w:rPr>
        <w:t>’</w:t>
      </w:r>
      <w:r w:rsidRPr="004F1E50">
        <w:rPr>
          <w:lang w:val="fr-FR"/>
        </w:rPr>
        <w:t>un bien en vertu de la loi n</w:t>
      </w:r>
      <w:r w:rsidRPr="004F1E50">
        <w:rPr>
          <w:vertAlign w:val="superscript"/>
          <w:lang w:val="fr-FR"/>
        </w:rPr>
        <w:t>o</w:t>
      </w:r>
      <w:r w:rsidR="00E4261C">
        <w:rPr>
          <w:lang w:val="fr-FR"/>
        </w:rPr>
        <w:t xml:space="preserve"> </w:t>
      </w:r>
      <w:r w:rsidRPr="004F1E50">
        <w:rPr>
          <w:lang w:val="fr-FR"/>
        </w:rPr>
        <w:t>87/1991 devaient satisfaire à toutes les conditions énoncées dans ladite loi, notamment en matière de nationalité</w:t>
      </w:r>
      <w:r w:rsidRPr="00EC788F">
        <w:rPr>
          <w:rStyle w:val="FootnoteReference"/>
        </w:rPr>
        <w:footnoteReference w:id="7"/>
      </w:r>
      <w:r w:rsidRPr="004F1E50">
        <w:rPr>
          <w:lang w:val="fr-FR"/>
        </w:rPr>
        <w:t>.</w:t>
      </w:r>
    </w:p>
    <w:p w:rsidR="004F1E50" w:rsidRPr="004F1E50" w:rsidRDefault="004F1E50" w:rsidP="004F1E50">
      <w:pPr>
        <w:pStyle w:val="SingleTxtG"/>
        <w:rPr>
          <w:lang w:val="fr-FR"/>
        </w:rPr>
      </w:pPr>
      <w:r w:rsidRPr="004F1E50">
        <w:rPr>
          <w:lang w:val="fr-FR"/>
        </w:rPr>
        <w:t>4.2</w:t>
      </w:r>
      <w:r w:rsidRPr="004F1E50">
        <w:rPr>
          <w:lang w:val="fr-FR"/>
        </w:rPr>
        <w:tab/>
        <w:t>L</w:t>
      </w:r>
      <w:r w:rsidR="003B5BEF">
        <w:rPr>
          <w:lang w:val="fr-FR"/>
        </w:rPr>
        <w:t>’</w:t>
      </w:r>
      <w:r w:rsidRPr="004F1E50">
        <w:rPr>
          <w:lang w:val="fr-FR"/>
        </w:rPr>
        <w:t>État partie note que les auteurs se considèrent victimes d</w:t>
      </w:r>
      <w:r w:rsidR="003B5BEF">
        <w:rPr>
          <w:lang w:val="fr-FR"/>
        </w:rPr>
        <w:t>’</w:t>
      </w:r>
      <w:r w:rsidRPr="004F1E50">
        <w:rPr>
          <w:lang w:val="fr-FR"/>
        </w:rPr>
        <w:t>une violation de l</w:t>
      </w:r>
      <w:r w:rsidR="003B5BEF">
        <w:rPr>
          <w:lang w:val="fr-FR"/>
        </w:rPr>
        <w:t>’</w:t>
      </w:r>
      <w:r w:rsidRPr="004F1E50">
        <w:rPr>
          <w:lang w:val="fr-FR"/>
        </w:rPr>
        <w:t>article 26 du</w:t>
      </w:r>
      <w:r w:rsidR="00850D94">
        <w:rPr>
          <w:lang w:val="fr-FR"/>
        </w:rPr>
        <w:t xml:space="preserve"> </w:t>
      </w:r>
      <w:r w:rsidRPr="004F1E50">
        <w:rPr>
          <w:lang w:val="fr-FR"/>
        </w:rPr>
        <w:t>Pacte parce que l</w:t>
      </w:r>
      <w:r w:rsidR="003B5BEF">
        <w:rPr>
          <w:lang w:val="fr-FR"/>
        </w:rPr>
        <w:t>’</w:t>
      </w:r>
      <w:r w:rsidRPr="004F1E50">
        <w:rPr>
          <w:lang w:val="fr-FR"/>
        </w:rPr>
        <w:t>action qu</w:t>
      </w:r>
      <w:r w:rsidR="003B5BEF">
        <w:rPr>
          <w:lang w:val="fr-FR"/>
        </w:rPr>
        <w:t>’</w:t>
      </w:r>
      <w:r w:rsidRPr="004F1E50">
        <w:rPr>
          <w:lang w:val="fr-FR"/>
        </w:rPr>
        <w:t>ils avaient engagée aux fins de la restitution de leur bien n</w:t>
      </w:r>
      <w:r w:rsidR="003B5BEF">
        <w:rPr>
          <w:lang w:val="fr-FR"/>
        </w:rPr>
        <w:t>’</w:t>
      </w:r>
      <w:r w:rsidR="00850D94">
        <w:rPr>
          <w:lang w:val="fr-FR"/>
        </w:rPr>
        <w:t xml:space="preserve">a pas </w:t>
      </w:r>
      <w:r w:rsidRPr="004F1E50">
        <w:rPr>
          <w:lang w:val="fr-FR"/>
        </w:rPr>
        <w:t>abouti. En ce qui concerne la recevabilité, il fait observer que la dernière décision interne dans l</w:t>
      </w:r>
      <w:r w:rsidR="003B5BEF">
        <w:rPr>
          <w:lang w:val="fr-FR"/>
        </w:rPr>
        <w:t>’</w:t>
      </w:r>
      <w:r w:rsidRPr="004F1E50">
        <w:rPr>
          <w:lang w:val="fr-FR"/>
        </w:rPr>
        <w:t xml:space="preserve">affaire </w:t>
      </w:r>
      <w:r w:rsidR="00E4261C">
        <w:rPr>
          <w:lang w:val="fr-FR"/>
        </w:rPr>
        <w:t xml:space="preserve">des auteurs a été adoptée le 15 </w:t>
      </w:r>
      <w:r w:rsidRPr="004F1E50">
        <w:rPr>
          <w:lang w:val="fr-FR"/>
        </w:rPr>
        <w:t>décembre 1999, soit plus de six</w:t>
      </w:r>
      <w:r w:rsidR="00850D94">
        <w:rPr>
          <w:lang w:val="fr-FR"/>
        </w:rPr>
        <w:t> </w:t>
      </w:r>
      <w:r w:rsidRPr="004F1E50">
        <w:rPr>
          <w:lang w:val="fr-FR"/>
        </w:rPr>
        <w:t>années avant que les auteurs ne s</w:t>
      </w:r>
      <w:r w:rsidR="003B5BEF">
        <w:rPr>
          <w:lang w:val="fr-FR"/>
        </w:rPr>
        <w:t>’</w:t>
      </w:r>
      <w:r w:rsidRPr="004F1E50">
        <w:rPr>
          <w:lang w:val="fr-FR"/>
        </w:rPr>
        <w:t>adressent au Comité. En l</w:t>
      </w:r>
      <w:r w:rsidR="003B5BEF">
        <w:rPr>
          <w:lang w:val="fr-FR"/>
        </w:rPr>
        <w:t>’</w:t>
      </w:r>
      <w:r w:rsidRPr="004F1E50">
        <w:rPr>
          <w:lang w:val="fr-FR"/>
        </w:rPr>
        <w:t>absence de faits nouveaux depuis l</w:t>
      </w:r>
      <w:r w:rsidR="003B5BEF">
        <w:rPr>
          <w:lang w:val="fr-FR"/>
        </w:rPr>
        <w:t>’</w:t>
      </w:r>
      <w:r w:rsidRPr="004F1E50">
        <w:rPr>
          <w:lang w:val="fr-FR"/>
        </w:rPr>
        <w:t>adoption de la dernière décision interne, et en l</w:t>
      </w:r>
      <w:r w:rsidR="003B5BEF">
        <w:rPr>
          <w:lang w:val="fr-FR"/>
        </w:rPr>
        <w:t>’</w:t>
      </w:r>
      <w:r w:rsidRPr="004F1E50">
        <w:rPr>
          <w:lang w:val="fr-FR"/>
        </w:rPr>
        <w:t>absence de toute explication raisonnable quelle qu</w:t>
      </w:r>
      <w:r w:rsidR="003B5BEF">
        <w:rPr>
          <w:lang w:val="fr-FR"/>
        </w:rPr>
        <w:t>’</w:t>
      </w:r>
      <w:r w:rsidRPr="004F1E50">
        <w:rPr>
          <w:lang w:val="fr-FR"/>
        </w:rPr>
        <w:t>elle soit</w:t>
      </w:r>
      <w:r w:rsidRPr="00EC788F">
        <w:rPr>
          <w:rStyle w:val="FootnoteReference"/>
        </w:rPr>
        <w:footnoteReference w:id="8"/>
      </w:r>
      <w:r w:rsidRPr="004F1E50">
        <w:rPr>
          <w:lang w:val="fr-FR"/>
        </w:rPr>
        <w:t>, susceptible de justifier un tel délai, l</w:t>
      </w:r>
      <w:r w:rsidR="003B5BEF">
        <w:rPr>
          <w:lang w:val="fr-FR"/>
        </w:rPr>
        <w:t>’</w:t>
      </w:r>
      <w:r w:rsidRPr="004F1E50">
        <w:rPr>
          <w:lang w:val="fr-FR"/>
        </w:rPr>
        <w:t>État partie invite le Comité à considérer la communication irrecevable au motif qu</w:t>
      </w:r>
      <w:r w:rsidR="003B5BEF">
        <w:rPr>
          <w:lang w:val="fr-FR"/>
        </w:rPr>
        <w:t>’</w:t>
      </w:r>
      <w:r w:rsidRPr="004F1E50">
        <w:rPr>
          <w:lang w:val="fr-FR"/>
        </w:rPr>
        <w:t>elle constitue un abus du droit de présenter une communication, au sens de l</w:t>
      </w:r>
      <w:r w:rsidR="003B5BEF">
        <w:rPr>
          <w:lang w:val="fr-FR"/>
        </w:rPr>
        <w:t>’</w:t>
      </w:r>
      <w:r w:rsidR="00E4261C">
        <w:rPr>
          <w:lang w:val="fr-FR"/>
        </w:rPr>
        <w:t xml:space="preserve">article </w:t>
      </w:r>
      <w:r w:rsidRPr="004F1E50">
        <w:rPr>
          <w:lang w:val="fr-FR"/>
        </w:rPr>
        <w:t>3 du Protocole facultatif. Pour appuyer son argument, l</w:t>
      </w:r>
      <w:r w:rsidR="003B5BEF">
        <w:rPr>
          <w:lang w:val="fr-FR"/>
        </w:rPr>
        <w:t>’</w:t>
      </w:r>
      <w:r w:rsidRPr="004F1E50">
        <w:rPr>
          <w:lang w:val="fr-FR"/>
        </w:rPr>
        <w:t>État partie invoque les décisions du Comité au sujet des communications n</w:t>
      </w:r>
      <w:r w:rsidRPr="004F1E50">
        <w:rPr>
          <w:vertAlign w:val="superscript"/>
          <w:lang w:val="fr-FR"/>
        </w:rPr>
        <w:t>o</w:t>
      </w:r>
      <w:r w:rsidR="00E4261C">
        <w:rPr>
          <w:lang w:val="fr-FR"/>
        </w:rPr>
        <w:t xml:space="preserve"> </w:t>
      </w:r>
      <w:r w:rsidRPr="004F1E50">
        <w:rPr>
          <w:lang w:val="fr-FR"/>
        </w:rPr>
        <w:t xml:space="preserve">1434/2005, </w:t>
      </w:r>
      <w:r w:rsidRPr="004F1E50">
        <w:rPr>
          <w:i/>
          <w:lang w:val="fr-FR"/>
        </w:rPr>
        <w:t>Fillacier</w:t>
      </w:r>
      <w:r w:rsidRPr="004F1E50">
        <w:rPr>
          <w:lang w:val="fr-FR"/>
        </w:rPr>
        <w:t xml:space="preserve"> c. </w:t>
      </w:r>
      <w:r w:rsidRPr="004F1E50">
        <w:rPr>
          <w:i/>
          <w:lang w:val="fr-FR"/>
        </w:rPr>
        <w:t>France</w:t>
      </w:r>
      <w:r w:rsidRPr="00EC788F">
        <w:rPr>
          <w:rStyle w:val="FootnoteReference"/>
        </w:rPr>
        <w:footnoteReference w:id="9"/>
      </w:r>
      <w:r w:rsidRPr="004F1E50">
        <w:rPr>
          <w:lang w:val="fr-FR"/>
        </w:rPr>
        <w:t>, n</w:t>
      </w:r>
      <w:r w:rsidRPr="004F1E50">
        <w:rPr>
          <w:vertAlign w:val="superscript"/>
          <w:lang w:val="fr-FR"/>
        </w:rPr>
        <w:t>o</w:t>
      </w:r>
      <w:r w:rsidR="00E4261C">
        <w:rPr>
          <w:lang w:val="fr-FR"/>
        </w:rPr>
        <w:t xml:space="preserve"> </w:t>
      </w:r>
      <w:r w:rsidRPr="004F1E50">
        <w:rPr>
          <w:lang w:val="fr-FR"/>
        </w:rPr>
        <w:t xml:space="preserve">787/1997, </w:t>
      </w:r>
      <w:r w:rsidRPr="004F1E50">
        <w:rPr>
          <w:i/>
          <w:lang w:val="fr-FR"/>
        </w:rPr>
        <w:t>Gobin</w:t>
      </w:r>
      <w:r w:rsidRPr="004F1E50">
        <w:rPr>
          <w:lang w:val="fr-FR"/>
        </w:rPr>
        <w:t xml:space="preserve"> c. </w:t>
      </w:r>
      <w:r w:rsidRPr="004F1E50">
        <w:rPr>
          <w:i/>
          <w:lang w:val="fr-FR"/>
        </w:rPr>
        <w:t>Maurice</w:t>
      </w:r>
      <w:r w:rsidRPr="00EC788F">
        <w:rPr>
          <w:rStyle w:val="FootnoteReference"/>
        </w:rPr>
        <w:footnoteReference w:id="10"/>
      </w:r>
      <w:r w:rsidRPr="004F1E50">
        <w:rPr>
          <w:lang w:val="fr-FR"/>
        </w:rPr>
        <w:t>, et n</w:t>
      </w:r>
      <w:r w:rsidRPr="004F1E50">
        <w:rPr>
          <w:vertAlign w:val="superscript"/>
          <w:lang w:val="fr-FR"/>
        </w:rPr>
        <w:t>o</w:t>
      </w:r>
      <w:r w:rsidRPr="004F1E50">
        <w:rPr>
          <w:lang w:val="fr-FR"/>
        </w:rPr>
        <w:t xml:space="preserve"> 1452/2006, </w:t>
      </w:r>
      <w:r w:rsidRPr="004F1E50">
        <w:rPr>
          <w:i/>
          <w:lang w:val="fr-FR"/>
        </w:rPr>
        <w:t>Chytil</w:t>
      </w:r>
      <w:r w:rsidRPr="004F1E50">
        <w:rPr>
          <w:lang w:val="fr-FR"/>
        </w:rPr>
        <w:t xml:space="preserve"> c. </w:t>
      </w:r>
      <w:r w:rsidRPr="004F1E50">
        <w:rPr>
          <w:i/>
          <w:lang w:val="fr-FR"/>
        </w:rPr>
        <w:t>République tchèque</w:t>
      </w:r>
      <w:r w:rsidRPr="00EC788F">
        <w:rPr>
          <w:rStyle w:val="FootnoteReference"/>
        </w:rPr>
        <w:footnoteReference w:id="11"/>
      </w:r>
      <w:r w:rsidRPr="004F1E50">
        <w:rPr>
          <w:lang w:val="fr-FR"/>
        </w:rPr>
        <w:t>.</w:t>
      </w:r>
    </w:p>
    <w:p w:rsidR="004F1E50" w:rsidRPr="004F1E50" w:rsidRDefault="004F1E50" w:rsidP="004F1E50">
      <w:pPr>
        <w:pStyle w:val="SingleTxtG"/>
        <w:rPr>
          <w:lang w:val="fr-FR"/>
        </w:rPr>
      </w:pPr>
      <w:r w:rsidRPr="004F1E50">
        <w:rPr>
          <w:lang w:val="fr-FR"/>
        </w:rPr>
        <w:t>4.3</w:t>
      </w:r>
      <w:r w:rsidRPr="004F1E50">
        <w:rPr>
          <w:lang w:val="fr-FR"/>
        </w:rPr>
        <w:tab/>
        <w:t>À titre subsidiaire, l</w:t>
      </w:r>
      <w:r w:rsidR="003B5BEF">
        <w:rPr>
          <w:lang w:val="fr-FR"/>
        </w:rPr>
        <w:t>’</w:t>
      </w:r>
      <w:r w:rsidRPr="004F1E50">
        <w:rPr>
          <w:lang w:val="fr-FR"/>
        </w:rPr>
        <w:t xml:space="preserve">État partie affirme que la communication est irrecevable </w:t>
      </w:r>
      <w:r w:rsidRPr="004F1E50">
        <w:rPr>
          <w:i/>
          <w:lang w:val="fr-FR"/>
        </w:rPr>
        <w:t>ratione temporis</w:t>
      </w:r>
      <w:r w:rsidRPr="004F1E50">
        <w:rPr>
          <w:lang w:val="fr-FR"/>
        </w:rPr>
        <w:t>, dans la mesure où les auteurs ont été déchus de leur droit de propriété en 1971, soit</w:t>
      </w:r>
      <w:r w:rsidR="009F081F">
        <w:rPr>
          <w:lang w:val="fr-FR"/>
        </w:rPr>
        <w:t xml:space="preserve"> </w:t>
      </w:r>
      <w:r w:rsidRPr="004F1E50">
        <w:rPr>
          <w:lang w:val="fr-FR"/>
        </w:rPr>
        <w:t>bien avant que le Pacte et le Protocole facultatif n</w:t>
      </w:r>
      <w:r w:rsidR="003B5BEF">
        <w:rPr>
          <w:lang w:val="fr-FR"/>
        </w:rPr>
        <w:t>’</w:t>
      </w:r>
      <w:r w:rsidRPr="004F1E50">
        <w:rPr>
          <w:lang w:val="fr-FR"/>
        </w:rPr>
        <w:t xml:space="preserve">entrent en vigueur pour la République tchèque. </w:t>
      </w:r>
    </w:p>
    <w:p w:rsidR="004F1E50" w:rsidRPr="004F1E50" w:rsidRDefault="004F1E50" w:rsidP="004F1E50">
      <w:pPr>
        <w:pStyle w:val="SingleTxtG"/>
        <w:rPr>
          <w:lang w:val="fr-FR"/>
        </w:rPr>
      </w:pPr>
      <w:r w:rsidRPr="004F1E50">
        <w:rPr>
          <w:lang w:val="fr-FR"/>
        </w:rPr>
        <w:t>4.4</w:t>
      </w:r>
      <w:r w:rsidRPr="004F1E50">
        <w:rPr>
          <w:lang w:val="fr-FR"/>
        </w:rPr>
        <w:tab/>
        <w:t>En ce qui concerne le fond de l</w:t>
      </w:r>
      <w:r w:rsidR="003B5BEF">
        <w:rPr>
          <w:lang w:val="fr-FR"/>
        </w:rPr>
        <w:t>’</w:t>
      </w:r>
      <w:r w:rsidRPr="004F1E50">
        <w:rPr>
          <w:lang w:val="fr-FR"/>
        </w:rPr>
        <w:t>affaire, l</w:t>
      </w:r>
      <w:r w:rsidR="003B5BEF">
        <w:rPr>
          <w:lang w:val="fr-FR"/>
        </w:rPr>
        <w:t>’</w:t>
      </w:r>
      <w:r w:rsidRPr="004F1E50">
        <w:rPr>
          <w:lang w:val="fr-FR"/>
        </w:rPr>
        <w:t>État partie note que le droit invoqué par les auteurs au titre de l</w:t>
      </w:r>
      <w:r w:rsidR="003B5BEF">
        <w:rPr>
          <w:lang w:val="fr-FR"/>
        </w:rPr>
        <w:t>’</w:t>
      </w:r>
      <w:r w:rsidRPr="004F1E50">
        <w:rPr>
          <w:lang w:val="fr-FR"/>
        </w:rPr>
        <w:t>article</w:t>
      </w:r>
      <w:r w:rsidR="00E4261C">
        <w:rPr>
          <w:lang w:val="fr-FR"/>
        </w:rPr>
        <w:t xml:space="preserve"> </w:t>
      </w:r>
      <w:r w:rsidRPr="004F1E50">
        <w:rPr>
          <w:lang w:val="fr-FR"/>
        </w:rPr>
        <w:t>26 du Pacte est un droit autonome, indépendant de tout autre droit garanti par le Pacte. Il rappelle que, dans sa jurisprudence, le Comité a affirmé que les différences de traitement n</w:t>
      </w:r>
      <w:r w:rsidR="003B5BEF">
        <w:rPr>
          <w:lang w:val="fr-FR"/>
        </w:rPr>
        <w:t>’</w:t>
      </w:r>
      <w:r w:rsidRPr="004F1E50">
        <w:rPr>
          <w:lang w:val="fr-FR"/>
        </w:rPr>
        <w:t>étaient pas toutes discriminatoires et qu</w:t>
      </w:r>
      <w:r w:rsidR="003B5BEF">
        <w:rPr>
          <w:lang w:val="fr-FR"/>
        </w:rPr>
        <w:t>’</w:t>
      </w:r>
      <w:r w:rsidRPr="004F1E50">
        <w:rPr>
          <w:lang w:val="fr-FR"/>
        </w:rPr>
        <w:t>une différenciation fondée sur des critères raisonnables et objectifs n</w:t>
      </w:r>
      <w:r w:rsidR="003B5BEF">
        <w:rPr>
          <w:lang w:val="fr-FR"/>
        </w:rPr>
        <w:t>’</w:t>
      </w:r>
      <w:r w:rsidRPr="004F1E50">
        <w:rPr>
          <w:lang w:val="fr-FR"/>
        </w:rPr>
        <w:t>équivalait pas à un traitement discriminatoire interdit au sens de l</w:t>
      </w:r>
      <w:r w:rsidR="003B5BEF">
        <w:rPr>
          <w:lang w:val="fr-FR"/>
        </w:rPr>
        <w:t>’</w:t>
      </w:r>
      <w:r w:rsidR="00E4261C">
        <w:rPr>
          <w:lang w:val="fr-FR"/>
        </w:rPr>
        <w:t xml:space="preserve">article </w:t>
      </w:r>
      <w:r w:rsidRPr="004F1E50">
        <w:rPr>
          <w:lang w:val="fr-FR"/>
        </w:rPr>
        <w:t>26</w:t>
      </w:r>
      <w:r w:rsidRPr="00EC788F">
        <w:rPr>
          <w:rStyle w:val="FootnoteReference"/>
        </w:rPr>
        <w:footnoteReference w:id="12"/>
      </w:r>
      <w:r w:rsidRPr="004F1E50">
        <w:rPr>
          <w:lang w:val="fr-FR"/>
        </w:rPr>
        <w:t>. L</w:t>
      </w:r>
      <w:r w:rsidR="003B5BEF">
        <w:rPr>
          <w:lang w:val="fr-FR"/>
        </w:rPr>
        <w:t>’</w:t>
      </w:r>
      <w:r w:rsidR="00E4261C">
        <w:rPr>
          <w:lang w:val="fr-FR"/>
        </w:rPr>
        <w:t xml:space="preserve">article </w:t>
      </w:r>
      <w:r w:rsidRPr="004F1E50">
        <w:rPr>
          <w:lang w:val="fr-FR"/>
        </w:rPr>
        <w:t>26 n</w:t>
      </w:r>
      <w:r w:rsidR="003B5BEF">
        <w:rPr>
          <w:lang w:val="fr-FR"/>
        </w:rPr>
        <w:t>’</w:t>
      </w:r>
      <w:r w:rsidRPr="004F1E50">
        <w:rPr>
          <w:lang w:val="fr-FR"/>
        </w:rPr>
        <w:t>implique pas que l</w:t>
      </w:r>
      <w:r w:rsidR="003B5BEF">
        <w:rPr>
          <w:lang w:val="fr-FR"/>
        </w:rPr>
        <w:t>’</w:t>
      </w:r>
      <w:r w:rsidRPr="004F1E50">
        <w:rPr>
          <w:lang w:val="fr-FR"/>
        </w:rPr>
        <w:t>État est tenu de réparer une injustice passée, compte tenu en particulier du fait que le Pacte n</w:t>
      </w:r>
      <w:r w:rsidR="003B5BEF">
        <w:rPr>
          <w:lang w:val="fr-FR"/>
        </w:rPr>
        <w:t>’</w:t>
      </w:r>
      <w:r w:rsidRPr="004F1E50">
        <w:rPr>
          <w:lang w:val="fr-FR"/>
        </w:rPr>
        <w:t>était pas applicable à l</w:t>
      </w:r>
      <w:r w:rsidR="003B5BEF">
        <w:rPr>
          <w:lang w:val="fr-FR"/>
        </w:rPr>
        <w:t>’</w:t>
      </w:r>
      <w:r w:rsidRPr="004F1E50">
        <w:rPr>
          <w:lang w:val="fr-FR"/>
        </w:rPr>
        <w:t>époque où la</w:t>
      </w:r>
      <w:r w:rsidR="003B5BEF">
        <w:rPr>
          <w:lang w:val="fr-FR"/>
        </w:rPr>
        <w:t xml:space="preserve"> </w:t>
      </w:r>
      <w:r w:rsidRPr="004F1E50">
        <w:rPr>
          <w:lang w:val="fr-FR"/>
        </w:rPr>
        <w:t>Tchécoslovaquie était un pays communiste.</w:t>
      </w:r>
    </w:p>
    <w:p w:rsidR="004F1E50" w:rsidRPr="004F1E50" w:rsidRDefault="004F1E50" w:rsidP="004F1E50">
      <w:pPr>
        <w:pStyle w:val="SingleTxtG"/>
        <w:rPr>
          <w:lang w:val="fr-FR"/>
        </w:rPr>
      </w:pPr>
      <w:r w:rsidRPr="004F1E50">
        <w:rPr>
          <w:lang w:val="fr-FR"/>
        </w:rPr>
        <w:t>4.5</w:t>
      </w:r>
      <w:r w:rsidRPr="004F1E50">
        <w:rPr>
          <w:lang w:val="fr-FR"/>
        </w:rPr>
        <w:tab/>
        <w:t>L</w:t>
      </w:r>
      <w:r w:rsidR="003B5BEF">
        <w:rPr>
          <w:lang w:val="fr-FR"/>
        </w:rPr>
        <w:t>’</w:t>
      </w:r>
      <w:r w:rsidRPr="004F1E50">
        <w:rPr>
          <w:lang w:val="fr-FR"/>
        </w:rPr>
        <w:t>État partie fait en outre observer qu</w:t>
      </w:r>
      <w:r w:rsidR="003B5BEF">
        <w:rPr>
          <w:lang w:val="fr-FR"/>
        </w:rPr>
        <w:t>’</w:t>
      </w:r>
      <w:r w:rsidRPr="004F1E50">
        <w:rPr>
          <w:lang w:val="fr-FR"/>
        </w:rPr>
        <w:t>il n</w:t>
      </w:r>
      <w:r w:rsidR="003B5BEF">
        <w:rPr>
          <w:lang w:val="fr-FR"/>
        </w:rPr>
        <w:t>’</w:t>
      </w:r>
      <w:r w:rsidRPr="004F1E50">
        <w:rPr>
          <w:lang w:val="fr-FR"/>
        </w:rPr>
        <w:t xml:space="preserve">est pas possible de remédier à toutes les injustices passées et que, dans le cadre de ses prérogatives légitimes, le législateur, exerçant sa marge </w:t>
      </w:r>
      <w:r w:rsidR="00A423DE">
        <w:rPr>
          <w:lang w:val="fr-FR"/>
        </w:rPr>
        <w:t xml:space="preserve">de pouvoir </w:t>
      </w:r>
      <w:r w:rsidRPr="004F1E50">
        <w:rPr>
          <w:lang w:val="fr-FR"/>
        </w:rPr>
        <w:t xml:space="preserve">discrétionnaire, a dû déterminer </w:t>
      </w:r>
      <w:r w:rsidR="00A423DE">
        <w:rPr>
          <w:lang w:val="fr-FR"/>
        </w:rPr>
        <w:t xml:space="preserve">dans </w:t>
      </w:r>
      <w:r w:rsidRPr="004F1E50">
        <w:rPr>
          <w:lang w:val="fr-FR"/>
        </w:rPr>
        <w:t>quels domaines factuels il</w:t>
      </w:r>
      <w:r w:rsidR="00A423DE">
        <w:rPr>
          <w:lang w:val="fr-FR"/>
        </w:rPr>
        <w:t xml:space="preserve"> </w:t>
      </w:r>
      <w:r w:rsidRPr="004F1E50">
        <w:rPr>
          <w:lang w:val="fr-FR"/>
        </w:rPr>
        <w:t>allait légiférer,</w:t>
      </w:r>
      <w:r w:rsidR="00A423DE">
        <w:rPr>
          <w:lang w:val="fr-FR"/>
        </w:rPr>
        <w:t xml:space="preserve"> et dans quel sens, afin d</w:t>
      </w:r>
      <w:r w:rsidR="003B5BEF">
        <w:rPr>
          <w:lang w:val="fr-FR"/>
        </w:rPr>
        <w:t>’</w:t>
      </w:r>
      <w:r w:rsidRPr="004F1E50">
        <w:rPr>
          <w:lang w:val="fr-FR"/>
        </w:rPr>
        <w:t>atténuer les préjudices, sachant qu</w:t>
      </w:r>
      <w:r w:rsidR="003B5BEF">
        <w:rPr>
          <w:lang w:val="fr-FR"/>
        </w:rPr>
        <w:t>’</w:t>
      </w:r>
      <w:r w:rsidRPr="004F1E50">
        <w:rPr>
          <w:lang w:val="fr-FR"/>
        </w:rPr>
        <w:t>il devait tenir compte d</w:t>
      </w:r>
      <w:r w:rsidR="003B5BEF">
        <w:rPr>
          <w:lang w:val="fr-FR"/>
        </w:rPr>
        <w:t>’</w:t>
      </w:r>
      <w:r w:rsidRPr="004F1E50">
        <w:rPr>
          <w:lang w:val="fr-FR"/>
        </w:rPr>
        <w:t>un certain nombre d</w:t>
      </w:r>
      <w:r w:rsidR="003B5BEF">
        <w:rPr>
          <w:lang w:val="fr-FR"/>
        </w:rPr>
        <w:t>’</w:t>
      </w:r>
      <w:r w:rsidRPr="004F1E50">
        <w:rPr>
          <w:lang w:val="fr-FR"/>
        </w:rPr>
        <w:t>intérêts opposés. L</w:t>
      </w:r>
      <w:r w:rsidR="003B5BEF">
        <w:rPr>
          <w:lang w:val="fr-FR"/>
        </w:rPr>
        <w:t>’</w:t>
      </w:r>
      <w:r w:rsidRPr="004F1E50">
        <w:rPr>
          <w:lang w:val="fr-FR"/>
        </w:rPr>
        <w:t>action engagée par les auteurs n</w:t>
      </w:r>
      <w:r w:rsidR="003B5BEF">
        <w:rPr>
          <w:lang w:val="fr-FR"/>
        </w:rPr>
        <w:t>’</w:t>
      </w:r>
      <w:r w:rsidRPr="004F1E50">
        <w:rPr>
          <w:lang w:val="fr-FR"/>
        </w:rPr>
        <w:t>a pas abouti parce qu</w:t>
      </w:r>
      <w:r w:rsidR="003B5BEF">
        <w:rPr>
          <w:lang w:val="fr-FR"/>
        </w:rPr>
        <w:t>’</w:t>
      </w:r>
      <w:r w:rsidRPr="004F1E50">
        <w:rPr>
          <w:lang w:val="fr-FR"/>
        </w:rPr>
        <w:t>ils n</w:t>
      </w:r>
      <w:r w:rsidR="003B5BEF">
        <w:rPr>
          <w:lang w:val="fr-FR"/>
        </w:rPr>
        <w:t>’</w:t>
      </w:r>
      <w:r w:rsidRPr="004F1E50">
        <w:rPr>
          <w:lang w:val="fr-FR"/>
        </w:rPr>
        <w:t xml:space="preserve">ont pas respecté </w:t>
      </w:r>
      <w:r w:rsidR="00A423DE">
        <w:rPr>
          <w:lang w:val="fr-FR"/>
        </w:rPr>
        <w:t xml:space="preserve">la condition </w:t>
      </w:r>
      <w:r w:rsidRPr="004F1E50">
        <w:rPr>
          <w:lang w:val="fr-FR"/>
        </w:rPr>
        <w:t>de nationalité énoncé</w:t>
      </w:r>
      <w:r w:rsidR="001C28C8">
        <w:rPr>
          <w:lang w:val="fr-FR"/>
        </w:rPr>
        <w:t>e</w:t>
      </w:r>
      <w:r w:rsidRPr="004F1E50">
        <w:rPr>
          <w:lang w:val="fr-FR"/>
        </w:rPr>
        <w:t xml:space="preserve"> dans la loi n</w:t>
      </w:r>
      <w:r w:rsidRPr="004F1E50">
        <w:rPr>
          <w:vertAlign w:val="superscript"/>
          <w:lang w:val="fr-FR"/>
        </w:rPr>
        <w:t>o</w:t>
      </w:r>
      <w:r w:rsidR="00E4261C">
        <w:rPr>
          <w:lang w:val="fr-FR"/>
        </w:rPr>
        <w:t xml:space="preserve"> </w:t>
      </w:r>
      <w:r w:rsidRPr="004F1E50">
        <w:rPr>
          <w:lang w:val="fr-FR"/>
        </w:rPr>
        <w:t>87/1991. L</w:t>
      </w:r>
      <w:r w:rsidR="003B5BEF">
        <w:rPr>
          <w:lang w:val="fr-FR"/>
        </w:rPr>
        <w:t>’</w:t>
      </w:r>
      <w:r w:rsidRPr="004F1E50">
        <w:rPr>
          <w:lang w:val="fr-FR"/>
        </w:rPr>
        <w:t>État partie invoque d</w:t>
      </w:r>
      <w:r w:rsidR="003B5BEF">
        <w:rPr>
          <w:lang w:val="fr-FR"/>
        </w:rPr>
        <w:t>’</w:t>
      </w:r>
      <w:r w:rsidRPr="004F1E50">
        <w:rPr>
          <w:lang w:val="fr-FR"/>
        </w:rPr>
        <w:t>autres arguments qu</w:t>
      </w:r>
      <w:r w:rsidR="003B5BEF">
        <w:rPr>
          <w:lang w:val="fr-FR"/>
        </w:rPr>
        <w:t>’</w:t>
      </w:r>
      <w:r w:rsidRPr="004F1E50">
        <w:rPr>
          <w:lang w:val="fr-FR"/>
        </w:rPr>
        <w:t>il avait précédemment présentés au Comité, et il conclut en</w:t>
      </w:r>
      <w:r w:rsidR="003B5BEF">
        <w:rPr>
          <w:lang w:val="fr-FR"/>
        </w:rPr>
        <w:t xml:space="preserve"> </w:t>
      </w:r>
      <w:r w:rsidRPr="004F1E50">
        <w:rPr>
          <w:lang w:val="fr-FR"/>
        </w:rPr>
        <w:t>affirmant qu</w:t>
      </w:r>
      <w:r w:rsidR="003B5BEF">
        <w:rPr>
          <w:lang w:val="fr-FR"/>
        </w:rPr>
        <w:t>’</w:t>
      </w:r>
      <w:r w:rsidRPr="004F1E50">
        <w:rPr>
          <w:lang w:val="fr-FR"/>
        </w:rPr>
        <w:t>il n</w:t>
      </w:r>
      <w:r w:rsidR="003B5BEF">
        <w:rPr>
          <w:lang w:val="fr-FR"/>
        </w:rPr>
        <w:t>’</w:t>
      </w:r>
      <w:r w:rsidRPr="004F1E50">
        <w:rPr>
          <w:lang w:val="fr-FR"/>
        </w:rPr>
        <w:t xml:space="preserve">a pas </w:t>
      </w:r>
      <w:r w:rsidR="00A423DE">
        <w:rPr>
          <w:lang w:val="fr-FR"/>
        </w:rPr>
        <w:t xml:space="preserve">commis de violation de </w:t>
      </w:r>
      <w:r w:rsidRPr="004F1E50">
        <w:rPr>
          <w:lang w:val="fr-FR"/>
        </w:rPr>
        <w:t>l</w:t>
      </w:r>
      <w:r w:rsidR="003B5BEF">
        <w:rPr>
          <w:lang w:val="fr-FR"/>
        </w:rPr>
        <w:t>’</w:t>
      </w:r>
      <w:r w:rsidR="001463A7">
        <w:rPr>
          <w:lang w:val="fr-FR"/>
        </w:rPr>
        <w:t>article </w:t>
      </w:r>
      <w:r w:rsidRPr="004F1E50">
        <w:rPr>
          <w:lang w:val="fr-FR"/>
        </w:rPr>
        <w:t>26 dans le cas d</w:t>
      </w:r>
      <w:r w:rsidR="003B5BEF">
        <w:rPr>
          <w:lang w:val="fr-FR"/>
        </w:rPr>
        <w:t>’</w:t>
      </w:r>
      <w:r w:rsidRPr="004F1E50">
        <w:rPr>
          <w:lang w:val="fr-FR"/>
        </w:rPr>
        <w:t xml:space="preserve">espèce. </w:t>
      </w:r>
    </w:p>
    <w:p w:rsidR="004F1E50" w:rsidRPr="004F1E50" w:rsidRDefault="00A423DE" w:rsidP="00850D94">
      <w:pPr>
        <w:pStyle w:val="H23G"/>
        <w:rPr>
          <w:lang w:val="fr-FR"/>
        </w:rPr>
      </w:pPr>
      <w:r>
        <w:rPr>
          <w:lang w:val="fr-FR"/>
        </w:rPr>
        <w:tab/>
      </w:r>
      <w:r>
        <w:rPr>
          <w:lang w:val="fr-FR"/>
        </w:rPr>
        <w:tab/>
      </w:r>
      <w:r w:rsidR="004F1E50" w:rsidRPr="00850D94">
        <w:rPr>
          <w:lang w:val="fr-FR"/>
        </w:rPr>
        <w:t>Commentaires des auteurs sur les observations de l</w:t>
      </w:r>
      <w:r w:rsidR="003B5BEF">
        <w:rPr>
          <w:lang w:val="fr-FR"/>
        </w:rPr>
        <w:t>’</w:t>
      </w:r>
      <w:r w:rsidR="004F1E50" w:rsidRPr="00850D94">
        <w:rPr>
          <w:lang w:val="fr-FR"/>
        </w:rPr>
        <w:t>État partie</w:t>
      </w:r>
    </w:p>
    <w:p w:rsidR="004F1E50" w:rsidRPr="004F1E50" w:rsidRDefault="004F1E50" w:rsidP="004F1E50">
      <w:pPr>
        <w:pStyle w:val="SingleTxtG"/>
        <w:rPr>
          <w:lang w:val="fr-FR"/>
        </w:rPr>
      </w:pPr>
      <w:r w:rsidRPr="004F1E50">
        <w:rPr>
          <w:lang w:val="fr-FR"/>
        </w:rPr>
        <w:t>5.1</w:t>
      </w:r>
      <w:r w:rsidRPr="004F1E50">
        <w:rPr>
          <w:lang w:val="fr-FR"/>
        </w:rPr>
        <w:tab/>
        <w:t>Dans leurs commentaires, datés du 18</w:t>
      </w:r>
      <w:r w:rsidR="00E4261C">
        <w:rPr>
          <w:lang w:val="fr-FR"/>
        </w:rPr>
        <w:t xml:space="preserve"> </w:t>
      </w:r>
      <w:r w:rsidRPr="004F1E50">
        <w:rPr>
          <w:lang w:val="fr-FR"/>
        </w:rPr>
        <w:t>février 2008, les auteurs maintiennent que la loi n</w:t>
      </w:r>
      <w:r w:rsidRPr="004F1E50">
        <w:rPr>
          <w:vertAlign w:val="superscript"/>
          <w:lang w:val="fr-FR"/>
        </w:rPr>
        <w:t>o</w:t>
      </w:r>
      <w:r w:rsidR="00E4261C">
        <w:rPr>
          <w:lang w:val="fr-FR"/>
        </w:rPr>
        <w:t xml:space="preserve"> </w:t>
      </w:r>
      <w:r w:rsidRPr="004F1E50">
        <w:rPr>
          <w:lang w:val="fr-FR"/>
        </w:rPr>
        <w:t>87/1991 est discriminatoire et qu</w:t>
      </w:r>
      <w:r w:rsidR="003B5BEF">
        <w:rPr>
          <w:lang w:val="fr-FR"/>
        </w:rPr>
        <w:t>’</w:t>
      </w:r>
      <w:r w:rsidRPr="004F1E50">
        <w:rPr>
          <w:lang w:val="fr-FR"/>
        </w:rPr>
        <w:t xml:space="preserve">elle </w:t>
      </w:r>
      <w:r w:rsidR="00A423DE">
        <w:rPr>
          <w:lang w:val="fr-FR"/>
        </w:rPr>
        <w:t xml:space="preserve">constitue une violation du </w:t>
      </w:r>
      <w:r w:rsidRPr="004F1E50">
        <w:rPr>
          <w:lang w:val="fr-FR"/>
        </w:rPr>
        <w:t>Pacte. Ils invoquent les observations finales du Comité au sujet du deuxième rapport périodique de la République tchèque</w:t>
      </w:r>
      <w:r w:rsidRPr="00EC788F">
        <w:rPr>
          <w:rStyle w:val="FootnoteReference"/>
        </w:rPr>
        <w:footnoteReference w:id="13"/>
      </w:r>
      <w:r w:rsidRPr="004F1E50">
        <w:rPr>
          <w:lang w:val="fr-FR"/>
        </w:rPr>
        <w:t xml:space="preserve"> et ses considérations dans des affaires similaires où il avait conclu à une violation. Ils affirment que les décisions internes invoquées par l</w:t>
      </w:r>
      <w:r w:rsidR="003B5BEF">
        <w:rPr>
          <w:lang w:val="fr-FR"/>
        </w:rPr>
        <w:t>’</w:t>
      </w:r>
      <w:r w:rsidRPr="004F1E50">
        <w:rPr>
          <w:lang w:val="fr-FR"/>
        </w:rPr>
        <w:t>État partie, y compris celles de la Cour constitutionnelle, ne sauraient l</w:t>
      </w:r>
      <w:r w:rsidR="003B5BEF">
        <w:rPr>
          <w:lang w:val="fr-FR"/>
        </w:rPr>
        <w:t>’</w:t>
      </w:r>
      <w:r w:rsidRPr="004F1E50">
        <w:rPr>
          <w:lang w:val="fr-FR"/>
        </w:rPr>
        <w:t>emporter sur le Pacte.</w:t>
      </w:r>
    </w:p>
    <w:p w:rsidR="004F1E50" w:rsidRPr="004F1E50" w:rsidRDefault="004F1E50" w:rsidP="004F1E50">
      <w:pPr>
        <w:pStyle w:val="SingleTxtG"/>
        <w:rPr>
          <w:lang w:val="fr-FR"/>
        </w:rPr>
      </w:pPr>
      <w:r w:rsidRPr="004F1E50">
        <w:rPr>
          <w:lang w:val="fr-FR"/>
        </w:rPr>
        <w:t>5.2</w:t>
      </w:r>
      <w:r w:rsidRPr="004F1E50">
        <w:rPr>
          <w:lang w:val="fr-FR"/>
        </w:rPr>
        <w:tab/>
      </w:r>
      <w:r w:rsidR="00A423DE">
        <w:rPr>
          <w:lang w:val="fr-FR"/>
        </w:rPr>
        <w:t xml:space="preserve">En ce qui concerne </w:t>
      </w:r>
      <w:r w:rsidRPr="004F1E50">
        <w:rPr>
          <w:lang w:val="fr-FR"/>
        </w:rPr>
        <w:t xml:space="preserve">la question du </w:t>
      </w:r>
      <w:r w:rsidR="00A423DE">
        <w:rPr>
          <w:lang w:val="fr-FR"/>
        </w:rPr>
        <w:t xml:space="preserve">retard qui représente un </w:t>
      </w:r>
      <w:r w:rsidRPr="004F1E50">
        <w:rPr>
          <w:lang w:val="fr-FR"/>
        </w:rPr>
        <w:t>abus du droit de présenter une communication</w:t>
      </w:r>
      <w:r w:rsidR="00A423DE">
        <w:rPr>
          <w:lang w:val="fr-FR"/>
        </w:rPr>
        <w:t xml:space="preserve"> de leur part</w:t>
      </w:r>
      <w:r w:rsidRPr="004F1E50">
        <w:rPr>
          <w:lang w:val="fr-FR"/>
        </w:rPr>
        <w:t>, les auteurs rejettent l</w:t>
      </w:r>
      <w:r w:rsidR="003B5BEF">
        <w:rPr>
          <w:lang w:val="fr-FR"/>
        </w:rPr>
        <w:t>’</w:t>
      </w:r>
      <w:r w:rsidRPr="004F1E50">
        <w:rPr>
          <w:lang w:val="fr-FR"/>
        </w:rPr>
        <w:t>argument de l</w:t>
      </w:r>
      <w:r w:rsidR="003B5BEF">
        <w:rPr>
          <w:lang w:val="fr-FR"/>
        </w:rPr>
        <w:t>’</w:t>
      </w:r>
      <w:r w:rsidRPr="004F1E50">
        <w:rPr>
          <w:lang w:val="fr-FR"/>
        </w:rPr>
        <w:t xml:space="preserve">État partie. Ils font valoir que le Protocole facultatif ne fixe aucun délai pour </w:t>
      </w:r>
      <w:r w:rsidR="00A423DE">
        <w:rPr>
          <w:lang w:val="fr-FR"/>
        </w:rPr>
        <w:t>adresser une communication</w:t>
      </w:r>
      <w:r w:rsidRPr="004F1E50">
        <w:rPr>
          <w:lang w:val="fr-FR"/>
        </w:rPr>
        <w:t>, et que le retard dans la présentation de leur communication était dû à un manque d</w:t>
      </w:r>
      <w:r w:rsidR="003B5BEF">
        <w:rPr>
          <w:lang w:val="fr-FR"/>
        </w:rPr>
        <w:t>’</w:t>
      </w:r>
      <w:r w:rsidRPr="004F1E50">
        <w:rPr>
          <w:lang w:val="fr-FR"/>
        </w:rPr>
        <w:t>information. Ils constatent à ce</w:t>
      </w:r>
      <w:r w:rsidR="00A423DE">
        <w:rPr>
          <w:lang w:val="fr-FR"/>
        </w:rPr>
        <w:t xml:space="preserve"> propos</w:t>
      </w:r>
      <w:r w:rsidRPr="004F1E50">
        <w:rPr>
          <w:lang w:val="fr-FR"/>
        </w:rPr>
        <w:t xml:space="preserve"> que l</w:t>
      </w:r>
      <w:r w:rsidR="003B5BEF">
        <w:rPr>
          <w:lang w:val="fr-FR"/>
        </w:rPr>
        <w:t>’</w:t>
      </w:r>
      <w:r w:rsidRPr="004F1E50">
        <w:rPr>
          <w:lang w:val="fr-FR"/>
        </w:rPr>
        <w:t>État partie ne fait pas traduire et publier les décisions du Comité.</w:t>
      </w:r>
    </w:p>
    <w:p w:rsidR="004F1E50" w:rsidRPr="004F1E50" w:rsidRDefault="004F1E50" w:rsidP="004F1E50">
      <w:pPr>
        <w:pStyle w:val="SingleTxtG"/>
        <w:rPr>
          <w:lang w:val="fr-FR"/>
        </w:rPr>
      </w:pPr>
      <w:r w:rsidRPr="004F1E50">
        <w:rPr>
          <w:lang w:val="fr-FR"/>
        </w:rPr>
        <w:t>5.3</w:t>
      </w:r>
      <w:r w:rsidRPr="004F1E50">
        <w:rPr>
          <w:lang w:val="fr-FR"/>
        </w:rPr>
        <w:tab/>
        <w:t>Les auteurs rejettent l</w:t>
      </w:r>
      <w:r w:rsidR="003B5BEF">
        <w:rPr>
          <w:lang w:val="fr-FR"/>
        </w:rPr>
        <w:t>’</w:t>
      </w:r>
      <w:r w:rsidRPr="004F1E50">
        <w:rPr>
          <w:lang w:val="fr-FR"/>
        </w:rPr>
        <w:t>argument de l</w:t>
      </w:r>
      <w:r w:rsidR="003B5BEF">
        <w:rPr>
          <w:lang w:val="fr-FR"/>
        </w:rPr>
        <w:t>’</w:t>
      </w:r>
      <w:r w:rsidRPr="004F1E50">
        <w:rPr>
          <w:lang w:val="fr-FR"/>
        </w:rPr>
        <w:t xml:space="preserve">État partie selon lequel leur communication devrait être jugée irrecevable </w:t>
      </w:r>
      <w:r w:rsidRPr="004F1E50">
        <w:rPr>
          <w:i/>
          <w:lang w:val="fr-FR"/>
        </w:rPr>
        <w:t>ratione temporis</w:t>
      </w:r>
      <w:r w:rsidRPr="004F1E50">
        <w:rPr>
          <w:lang w:val="fr-FR"/>
        </w:rPr>
        <w:t>, dans la mesure où la législation tchèque pertinente en</w:t>
      </w:r>
      <w:r w:rsidR="003B5BEF">
        <w:rPr>
          <w:lang w:val="fr-FR"/>
        </w:rPr>
        <w:t xml:space="preserve"> </w:t>
      </w:r>
      <w:r w:rsidRPr="004F1E50">
        <w:rPr>
          <w:lang w:val="fr-FR"/>
        </w:rPr>
        <w:t>matière de restitution et les d</w:t>
      </w:r>
      <w:r w:rsidR="00A423DE">
        <w:rPr>
          <w:lang w:val="fr-FR"/>
        </w:rPr>
        <w:t xml:space="preserve">écisions de justice à ce sujet </w:t>
      </w:r>
      <w:r w:rsidRPr="004F1E50">
        <w:rPr>
          <w:lang w:val="fr-FR"/>
        </w:rPr>
        <w:t xml:space="preserve">ont été adoptées après que le Pacte est entré en vigueur pour la République tchèque. </w:t>
      </w:r>
    </w:p>
    <w:p w:rsidR="004F1E50" w:rsidRPr="00850D94" w:rsidRDefault="00A423DE" w:rsidP="00850D94">
      <w:pPr>
        <w:pStyle w:val="H23G"/>
        <w:rPr>
          <w:lang w:val="fr-FR"/>
        </w:rPr>
      </w:pPr>
      <w:r>
        <w:rPr>
          <w:lang w:val="fr-FR"/>
        </w:rPr>
        <w:tab/>
      </w:r>
      <w:r>
        <w:rPr>
          <w:lang w:val="fr-FR"/>
        </w:rPr>
        <w:tab/>
      </w:r>
      <w:r w:rsidR="004F1E50" w:rsidRPr="00850D94">
        <w:rPr>
          <w:lang w:val="fr-FR"/>
        </w:rPr>
        <w:t>Délibérations du Comité</w:t>
      </w:r>
    </w:p>
    <w:p w:rsidR="004F1E50" w:rsidRPr="004F1E50" w:rsidRDefault="00A423DE" w:rsidP="00A423DE">
      <w:pPr>
        <w:pStyle w:val="H4G"/>
        <w:rPr>
          <w:lang w:val="fr-FR"/>
        </w:rPr>
      </w:pPr>
      <w:r>
        <w:rPr>
          <w:lang w:val="fr-FR"/>
        </w:rPr>
        <w:tab/>
      </w:r>
      <w:r>
        <w:rPr>
          <w:lang w:val="fr-FR"/>
        </w:rPr>
        <w:tab/>
      </w:r>
      <w:r w:rsidR="004F1E50" w:rsidRPr="00850D94">
        <w:rPr>
          <w:lang w:val="fr-FR"/>
        </w:rPr>
        <w:t>Examen de la recevabilité</w:t>
      </w:r>
    </w:p>
    <w:p w:rsidR="004F1E50" w:rsidRPr="004F1E50" w:rsidRDefault="004F1E50" w:rsidP="004F1E50">
      <w:pPr>
        <w:pStyle w:val="SingleTxtG"/>
        <w:rPr>
          <w:lang w:val="fr-FR"/>
        </w:rPr>
      </w:pPr>
      <w:r w:rsidRPr="004F1E50">
        <w:rPr>
          <w:lang w:val="fr-FR"/>
        </w:rPr>
        <w:t>6.1</w:t>
      </w:r>
      <w:r w:rsidRPr="004F1E50">
        <w:rPr>
          <w:lang w:val="fr-FR"/>
        </w:rPr>
        <w:tab/>
        <w:t>Avant d</w:t>
      </w:r>
      <w:r w:rsidR="003B5BEF">
        <w:rPr>
          <w:lang w:val="fr-FR"/>
        </w:rPr>
        <w:t>’</w:t>
      </w:r>
      <w:r w:rsidRPr="004F1E50">
        <w:rPr>
          <w:lang w:val="fr-FR"/>
        </w:rPr>
        <w:t>examiner toute plainte soumise dans une communication, le Comité des droits de</w:t>
      </w:r>
      <w:r w:rsidR="003B5BEF">
        <w:rPr>
          <w:lang w:val="fr-FR"/>
        </w:rPr>
        <w:t xml:space="preserve"> </w:t>
      </w:r>
      <w:r w:rsidRPr="004F1E50">
        <w:rPr>
          <w:lang w:val="fr-FR"/>
        </w:rPr>
        <w:t>l</w:t>
      </w:r>
      <w:r w:rsidR="003B5BEF">
        <w:rPr>
          <w:lang w:val="fr-FR"/>
        </w:rPr>
        <w:t>’</w:t>
      </w:r>
      <w:r w:rsidRPr="004F1E50">
        <w:rPr>
          <w:lang w:val="fr-FR"/>
        </w:rPr>
        <w:t xml:space="preserve">homme </w:t>
      </w:r>
      <w:r w:rsidR="00A423DE">
        <w:rPr>
          <w:lang w:val="fr-FR"/>
        </w:rPr>
        <w:t>doit</w:t>
      </w:r>
      <w:r w:rsidRPr="004F1E50">
        <w:rPr>
          <w:lang w:val="fr-FR"/>
        </w:rPr>
        <w:t>, conformément à l</w:t>
      </w:r>
      <w:r w:rsidR="003B5BEF">
        <w:rPr>
          <w:lang w:val="fr-FR"/>
        </w:rPr>
        <w:t>’</w:t>
      </w:r>
      <w:r w:rsidRPr="004F1E50">
        <w:rPr>
          <w:lang w:val="fr-FR"/>
        </w:rPr>
        <w:t>article</w:t>
      </w:r>
      <w:r w:rsidR="00E4261C">
        <w:rPr>
          <w:lang w:val="fr-FR"/>
        </w:rPr>
        <w:t xml:space="preserve"> </w:t>
      </w:r>
      <w:r w:rsidRPr="004F1E50">
        <w:rPr>
          <w:lang w:val="fr-FR"/>
        </w:rPr>
        <w:t>93 de son règlement intérieur, déterminer si la</w:t>
      </w:r>
      <w:r w:rsidR="003B5BEF">
        <w:rPr>
          <w:lang w:val="fr-FR"/>
        </w:rPr>
        <w:t xml:space="preserve"> </w:t>
      </w:r>
      <w:r w:rsidRPr="004F1E50">
        <w:rPr>
          <w:lang w:val="fr-FR"/>
        </w:rPr>
        <w:t>communication est recevable en vertu du Protocole facultatif se rapportant au Pacte.</w:t>
      </w:r>
    </w:p>
    <w:p w:rsidR="004F1E50" w:rsidRPr="004F1E50" w:rsidRDefault="004F1E50" w:rsidP="004F1E50">
      <w:pPr>
        <w:pStyle w:val="SingleTxtG"/>
        <w:rPr>
          <w:lang w:val="fr-FR"/>
        </w:rPr>
      </w:pPr>
      <w:r w:rsidRPr="004F1E50">
        <w:rPr>
          <w:lang w:val="fr-FR"/>
        </w:rPr>
        <w:t>6.2</w:t>
      </w:r>
      <w:r w:rsidRPr="004F1E50">
        <w:rPr>
          <w:lang w:val="fr-FR"/>
        </w:rPr>
        <w:tab/>
        <w:t>Le Comité s</w:t>
      </w:r>
      <w:r w:rsidR="003B5BEF">
        <w:rPr>
          <w:lang w:val="fr-FR"/>
        </w:rPr>
        <w:t>’</w:t>
      </w:r>
      <w:r w:rsidRPr="004F1E50">
        <w:rPr>
          <w:lang w:val="fr-FR"/>
        </w:rPr>
        <w:t>est assuré, comme il est tenu de le faire conformément aux dispositions du paragraphe</w:t>
      </w:r>
      <w:r w:rsidR="00E4261C">
        <w:rPr>
          <w:lang w:val="fr-FR"/>
        </w:rPr>
        <w:t xml:space="preserve"> </w:t>
      </w:r>
      <w:r w:rsidRPr="004F1E50">
        <w:rPr>
          <w:lang w:val="fr-FR"/>
        </w:rPr>
        <w:t>2</w:t>
      </w:r>
      <w:r w:rsidR="00E4261C">
        <w:rPr>
          <w:lang w:val="fr-FR"/>
        </w:rPr>
        <w:t xml:space="preserve"> </w:t>
      </w:r>
      <w:r w:rsidRPr="004F1E50">
        <w:rPr>
          <w:lang w:val="fr-FR"/>
        </w:rPr>
        <w:t>a) de l</w:t>
      </w:r>
      <w:r w:rsidR="003B5BEF">
        <w:rPr>
          <w:lang w:val="fr-FR"/>
        </w:rPr>
        <w:t>’</w:t>
      </w:r>
      <w:r w:rsidR="00E4261C">
        <w:rPr>
          <w:lang w:val="fr-FR"/>
        </w:rPr>
        <w:t xml:space="preserve">article </w:t>
      </w:r>
      <w:r w:rsidRPr="004F1E50">
        <w:rPr>
          <w:lang w:val="fr-FR"/>
        </w:rPr>
        <w:t>5 du Protocole facultatif, que la même affaire n</w:t>
      </w:r>
      <w:r w:rsidR="003B5BEF">
        <w:rPr>
          <w:lang w:val="fr-FR"/>
        </w:rPr>
        <w:t>’</w:t>
      </w:r>
      <w:r w:rsidRPr="004F1E50">
        <w:rPr>
          <w:lang w:val="fr-FR"/>
        </w:rPr>
        <w:t>était pas en cours d</w:t>
      </w:r>
      <w:r w:rsidR="003B5BEF">
        <w:rPr>
          <w:lang w:val="fr-FR"/>
        </w:rPr>
        <w:t>’</w:t>
      </w:r>
      <w:r w:rsidRPr="004F1E50">
        <w:rPr>
          <w:lang w:val="fr-FR"/>
        </w:rPr>
        <w:t>examen devant une autre instance internationale d</w:t>
      </w:r>
      <w:r w:rsidR="003B5BEF">
        <w:rPr>
          <w:lang w:val="fr-FR"/>
        </w:rPr>
        <w:t>’</w:t>
      </w:r>
      <w:r w:rsidRPr="004F1E50">
        <w:rPr>
          <w:lang w:val="fr-FR"/>
        </w:rPr>
        <w:t>enquête ou de règlement.</w:t>
      </w:r>
    </w:p>
    <w:p w:rsidR="004F1E50" w:rsidRPr="004F1E50" w:rsidRDefault="004F1E50" w:rsidP="004F1E50">
      <w:pPr>
        <w:pStyle w:val="SingleTxtG"/>
        <w:rPr>
          <w:lang w:val="fr-FR"/>
        </w:rPr>
      </w:pPr>
      <w:r w:rsidRPr="004F1E50">
        <w:rPr>
          <w:lang w:val="fr-FR"/>
        </w:rPr>
        <w:t>6.3</w:t>
      </w:r>
      <w:r w:rsidRPr="004F1E50">
        <w:rPr>
          <w:lang w:val="fr-FR"/>
        </w:rPr>
        <w:tab/>
        <w:t>Le Comité a pris note de l</w:t>
      </w:r>
      <w:r w:rsidR="003B5BEF">
        <w:rPr>
          <w:lang w:val="fr-FR"/>
        </w:rPr>
        <w:t>’</w:t>
      </w:r>
      <w:r w:rsidRPr="004F1E50">
        <w:rPr>
          <w:lang w:val="fr-FR"/>
        </w:rPr>
        <w:t>argument de l</w:t>
      </w:r>
      <w:r w:rsidR="003B5BEF">
        <w:rPr>
          <w:lang w:val="fr-FR"/>
        </w:rPr>
        <w:t>’</w:t>
      </w:r>
      <w:r w:rsidRPr="004F1E50">
        <w:rPr>
          <w:lang w:val="fr-FR"/>
        </w:rPr>
        <w:t>État partie pour qui la communication devrait être déclarée irrecevable car elle constitue un abus du droit de plainte, en raison du long délai qui</w:t>
      </w:r>
      <w:r w:rsidR="003B5BEF">
        <w:rPr>
          <w:lang w:val="fr-FR"/>
        </w:rPr>
        <w:t xml:space="preserve"> </w:t>
      </w:r>
      <w:r w:rsidRPr="004F1E50">
        <w:rPr>
          <w:lang w:val="fr-FR"/>
        </w:rPr>
        <w:t>s</w:t>
      </w:r>
      <w:r w:rsidR="003B5BEF">
        <w:rPr>
          <w:lang w:val="fr-FR"/>
        </w:rPr>
        <w:t>’</w:t>
      </w:r>
      <w:r w:rsidRPr="004F1E50">
        <w:rPr>
          <w:lang w:val="fr-FR"/>
        </w:rPr>
        <w:t>est écoulé entre la dernière décision rendue dans le cas d</w:t>
      </w:r>
      <w:r w:rsidR="003B5BEF">
        <w:rPr>
          <w:lang w:val="fr-FR"/>
        </w:rPr>
        <w:t>’</w:t>
      </w:r>
      <w:r w:rsidRPr="004F1E50">
        <w:rPr>
          <w:lang w:val="fr-FR"/>
        </w:rPr>
        <w:t>espèce et la présentation de la communication au Comité. Le Comité fait observer que le Protocole facultatif ne fixe pas de délai pour lui adresser une communication. C</w:t>
      </w:r>
      <w:r w:rsidR="003B5BEF">
        <w:rPr>
          <w:lang w:val="fr-FR"/>
        </w:rPr>
        <w:t>’</w:t>
      </w:r>
      <w:r w:rsidRPr="004F1E50">
        <w:rPr>
          <w:lang w:val="fr-FR"/>
        </w:rPr>
        <w:t xml:space="preserve">est uniquement dans des circonstances exceptionnelles que le </w:t>
      </w:r>
      <w:r w:rsidR="00A423DE">
        <w:rPr>
          <w:lang w:val="fr-FR"/>
        </w:rPr>
        <w:t xml:space="preserve">retard mis à présenter </w:t>
      </w:r>
      <w:r w:rsidRPr="004F1E50">
        <w:rPr>
          <w:lang w:val="fr-FR"/>
        </w:rPr>
        <w:t>une communication peut aboutir à l</w:t>
      </w:r>
      <w:r w:rsidR="003B5BEF">
        <w:rPr>
          <w:lang w:val="fr-FR"/>
        </w:rPr>
        <w:t>’</w:t>
      </w:r>
      <w:r w:rsidRPr="004F1E50">
        <w:rPr>
          <w:lang w:val="fr-FR"/>
        </w:rPr>
        <w:t>irrecevabilité de celle</w:t>
      </w:r>
      <w:r w:rsidR="003B5BEF">
        <w:rPr>
          <w:lang w:val="fr-FR"/>
        </w:rPr>
        <w:noBreakHyphen/>
      </w:r>
      <w:r w:rsidRPr="004F1E50">
        <w:rPr>
          <w:lang w:val="fr-FR"/>
        </w:rPr>
        <w:t>ci</w:t>
      </w:r>
      <w:r w:rsidRPr="00EC788F">
        <w:rPr>
          <w:rStyle w:val="FootnoteReference"/>
        </w:rPr>
        <w:footnoteReference w:id="14"/>
      </w:r>
      <w:r w:rsidRPr="004F1E50">
        <w:rPr>
          <w:lang w:val="fr-FR"/>
        </w:rPr>
        <w:t>. Compte tenu des circonstances de l</w:t>
      </w:r>
      <w:r w:rsidR="003B5BEF">
        <w:rPr>
          <w:lang w:val="fr-FR"/>
        </w:rPr>
        <w:t>’</w:t>
      </w:r>
      <w:r w:rsidRPr="004F1E50">
        <w:rPr>
          <w:lang w:val="fr-FR"/>
        </w:rPr>
        <w:t xml:space="preserve">espèce, le Comité considère que le </w:t>
      </w:r>
      <w:r w:rsidR="00C514EE">
        <w:rPr>
          <w:lang w:val="fr-FR"/>
        </w:rPr>
        <w:t xml:space="preserve">laps de temps </w:t>
      </w:r>
      <w:r w:rsidRPr="004F1E50">
        <w:rPr>
          <w:lang w:val="fr-FR"/>
        </w:rPr>
        <w:t>d</w:t>
      </w:r>
      <w:r w:rsidR="003B5BEF">
        <w:rPr>
          <w:lang w:val="fr-FR"/>
        </w:rPr>
        <w:t>’</w:t>
      </w:r>
      <w:r w:rsidRPr="004F1E50">
        <w:rPr>
          <w:lang w:val="fr-FR"/>
        </w:rPr>
        <w:t>environ six</w:t>
      </w:r>
      <w:r w:rsidR="00E4261C">
        <w:rPr>
          <w:lang w:val="fr-FR"/>
        </w:rPr>
        <w:t xml:space="preserve"> </w:t>
      </w:r>
      <w:r w:rsidRPr="004F1E50">
        <w:rPr>
          <w:lang w:val="fr-FR"/>
        </w:rPr>
        <w:t>ans et demi entre la dernière décision de l</w:t>
      </w:r>
      <w:r w:rsidR="003B5BEF">
        <w:rPr>
          <w:lang w:val="fr-FR"/>
        </w:rPr>
        <w:t>’</w:t>
      </w:r>
      <w:r w:rsidRPr="004F1E50">
        <w:rPr>
          <w:lang w:val="fr-FR"/>
        </w:rPr>
        <w:t>autorité compétente et la présentation de la communication au Comité ne rend pas celle</w:t>
      </w:r>
      <w:r w:rsidR="003B5BEF">
        <w:rPr>
          <w:lang w:val="fr-FR"/>
        </w:rPr>
        <w:noBreakHyphen/>
      </w:r>
      <w:r w:rsidRPr="004F1E50">
        <w:rPr>
          <w:lang w:val="fr-FR"/>
        </w:rPr>
        <w:t>ci irrecevable au motif qu</w:t>
      </w:r>
      <w:r w:rsidR="003B5BEF">
        <w:rPr>
          <w:lang w:val="fr-FR"/>
        </w:rPr>
        <w:t>’</w:t>
      </w:r>
      <w:r w:rsidRPr="004F1E50">
        <w:rPr>
          <w:lang w:val="fr-FR"/>
        </w:rPr>
        <w:t>elle constituerait un abus au regard de l</w:t>
      </w:r>
      <w:r w:rsidR="003B5BEF">
        <w:rPr>
          <w:lang w:val="fr-FR"/>
        </w:rPr>
        <w:t>’</w:t>
      </w:r>
      <w:r w:rsidR="00E4261C">
        <w:rPr>
          <w:lang w:val="fr-FR"/>
        </w:rPr>
        <w:t xml:space="preserve">article </w:t>
      </w:r>
      <w:r w:rsidRPr="004F1E50">
        <w:rPr>
          <w:lang w:val="fr-FR"/>
        </w:rPr>
        <w:t>3 du Protocole facultatif.</w:t>
      </w:r>
    </w:p>
    <w:p w:rsidR="004F1E50" w:rsidRPr="004F1E50" w:rsidRDefault="004F1E50" w:rsidP="004F1E50">
      <w:pPr>
        <w:pStyle w:val="SingleTxtG"/>
        <w:rPr>
          <w:lang w:val="fr-FR"/>
        </w:rPr>
      </w:pPr>
      <w:r w:rsidRPr="004F1E50">
        <w:rPr>
          <w:lang w:val="fr-FR"/>
        </w:rPr>
        <w:t>6.4</w:t>
      </w:r>
      <w:r w:rsidRPr="004F1E50">
        <w:rPr>
          <w:lang w:val="fr-FR"/>
        </w:rPr>
        <w:tab/>
        <w:t>Le Comité s</w:t>
      </w:r>
      <w:r w:rsidR="003B5BEF">
        <w:rPr>
          <w:lang w:val="fr-FR"/>
        </w:rPr>
        <w:t>’</w:t>
      </w:r>
      <w:r w:rsidRPr="004F1E50">
        <w:rPr>
          <w:lang w:val="fr-FR"/>
        </w:rPr>
        <w:t xml:space="preserve">est également demandé si les griefs de violation pouvaient être examinés </w:t>
      </w:r>
      <w:r w:rsidRPr="004F1E50">
        <w:rPr>
          <w:i/>
          <w:lang w:val="fr-FR"/>
        </w:rPr>
        <w:t>ratione temporis</w:t>
      </w:r>
      <w:r w:rsidRPr="004F1E50">
        <w:rPr>
          <w:lang w:val="fr-FR"/>
        </w:rPr>
        <w:t>. Il note que les confiscations ont eu lieu avant l</w:t>
      </w:r>
      <w:r w:rsidR="003B5BEF">
        <w:rPr>
          <w:lang w:val="fr-FR"/>
        </w:rPr>
        <w:t>’</w:t>
      </w:r>
      <w:r w:rsidRPr="004F1E50">
        <w:rPr>
          <w:lang w:val="fr-FR"/>
        </w:rPr>
        <w:t>entrée en vigueur du Pacte et du Protocole facultatif pour la République tchèque, mais que les effets de la nouvelle législation, qui ne s</w:t>
      </w:r>
      <w:r w:rsidR="003B5BEF">
        <w:rPr>
          <w:lang w:val="fr-FR"/>
        </w:rPr>
        <w:t>’</w:t>
      </w:r>
      <w:r w:rsidRPr="004F1E50">
        <w:rPr>
          <w:lang w:val="fr-FR"/>
        </w:rPr>
        <w:t>applique pas aux demandeurs n</w:t>
      </w:r>
      <w:r w:rsidR="003B5BEF">
        <w:rPr>
          <w:lang w:val="fr-FR"/>
        </w:rPr>
        <w:t>’</w:t>
      </w:r>
      <w:r w:rsidRPr="004F1E50">
        <w:rPr>
          <w:lang w:val="fr-FR"/>
        </w:rPr>
        <w:t>ayant pas la nationalité tchèque, persistent après l</w:t>
      </w:r>
      <w:r w:rsidR="003B5BEF">
        <w:rPr>
          <w:lang w:val="fr-FR"/>
        </w:rPr>
        <w:t>’</w:t>
      </w:r>
      <w:r w:rsidRPr="004F1E50">
        <w:rPr>
          <w:lang w:val="fr-FR"/>
        </w:rPr>
        <w:t>entrée en</w:t>
      </w:r>
      <w:r w:rsidR="003B5BEF">
        <w:rPr>
          <w:lang w:val="fr-FR"/>
        </w:rPr>
        <w:t xml:space="preserve"> </w:t>
      </w:r>
      <w:r w:rsidRPr="004F1E50">
        <w:rPr>
          <w:lang w:val="fr-FR"/>
        </w:rPr>
        <w:t>vigueur du Protocole facultatif pour la République tchèque, ce qui pourrait entraîner une discrimination en violation de l</w:t>
      </w:r>
      <w:r w:rsidR="003B5BEF">
        <w:rPr>
          <w:lang w:val="fr-FR"/>
        </w:rPr>
        <w:t>’</w:t>
      </w:r>
      <w:r w:rsidR="00E4261C">
        <w:rPr>
          <w:lang w:val="fr-FR"/>
        </w:rPr>
        <w:t xml:space="preserve">article </w:t>
      </w:r>
      <w:r w:rsidRPr="004F1E50">
        <w:rPr>
          <w:lang w:val="fr-FR"/>
        </w:rPr>
        <w:t>26 du Pacte</w:t>
      </w:r>
      <w:r w:rsidRPr="00EC788F">
        <w:rPr>
          <w:rStyle w:val="FootnoteReference"/>
        </w:rPr>
        <w:footnoteReference w:id="15"/>
      </w:r>
      <w:r w:rsidRPr="004F1E50">
        <w:rPr>
          <w:lang w:val="fr-FR"/>
        </w:rPr>
        <w:t>.</w:t>
      </w:r>
    </w:p>
    <w:p w:rsidR="004F1E50" w:rsidRPr="004F1E50" w:rsidRDefault="004F1E50" w:rsidP="004F1E50">
      <w:pPr>
        <w:pStyle w:val="SingleTxtG"/>
        <w:rPr>
          <w:lang w:val="fr-FR"/>
        </w:rPr>
      </w:pPr>
      <w:r w:rsidRPr="004F1E50">
        <w:rPr>
          <w:lang w:val="fr-FR"/>
        </w:rPr>
        <w:t>6.5</w:t>
      </w:r>
      <w:r w:rsidRPr="004F1E50">
        <w:rPr>
          <w:lang w:val="fr-FR"/>
        </w:rPr>
        <w:tab/>
        <w:t>En l</w:t>
      </w:r>
      <w:r w:rsidR="003B5BEF">
        <w:rPr>
          <w:lang w:val="fr-FR"/>
        </w:rPr>
        <w:t>’</w:t>
      </w:r>
      <w:r w:rsidRPr="004F1E50">
        <w:rPr>
          <w:lang w:val="fr-FR"/>
        </w:rPr>
        <w:t>absence de toute autre objection à la recevabilité de la plainte, le Comité déclare la</w:t>
      </w:r>
      <w:r w:rsidR="003B5BEF">
        <w:rPr>
          <w:lang w:val="fr-FR"/>
        </w:rPr>
        <w:t xml:space="preserve"> </w:t>
      </w:r>
      <w:r w:rsidRPr="004F1E50">
        <w:rPr>
          <w:lang w:val="fr-FR"/>
        </w:rPr>
        <w:t>communication recevable en ce qu</w:t>
      </w:r>
      <w:r w:rsidR="003B5BEF">
        <w:rPr>
          <w:lang w:val="fr-FR"/>
        </w:rPr>
        <w:t>’</w:t>
      </w:r>
      <w:r w:rsidRPr="004F1E50">
        <w:rPr>
          <w:lang w:val="fr-FR"/>
        </w:rPr>
        <w:t>elle peut soulever des questions au regard de l</w:t>
      </w:r>
      <w:r w:rsidR="003B5BEF">
        <w:rPr>
          <w:lang w:val="fr-FR"/>
        </w:rPr>
        <w:t>’</w:t>
      </w:r>
      <w:r w:rsidRPr="004F1E50">
        <w:rPr>
          <w:lang w:val="fr-FR"/>
        </w:rPr>
        <w:t>article 26 du</w:t>
      </w:r>
      <w:r w:rsidR="003B5BEF">
        <w:rPr>
          <w:lang w:val="fr-FR"/>
        </w:rPr>
        <w:t xml:space="preserve"> </w:t>
      </w:r>
      <w:r w:rsidRPr="004F1E50">
        <w:rPr>
          <w:lang w:val="fr-FR"/>
        </w:rPr>
        <w:t>Pacte, et il procède à son examen</w:t>
      </w:r>
      <w:r w:rsidR="00C514EE">
        <w:rPr>
          <w:lang w:val="fr-FR"/>
        </w:rPr>
        <w:t xml:space="preserve"> quant</w:t>
      </w:r>
      <w:r w:rsidRPr="004F1E50">
        <w:rPr>
          <w:lang w:val="fr-FR"/>
        </w:rPr>
        <w:t xml:space="preserve"> au fond.</w:t>
      </w:r>
    </w:p>
    <w:p w:rsidR="004F1E50" w:rsidRPr="004F1E50" w:rsidRDefault="00C514EE" w:rsidP="00C514EE">
      <w:pPr>
        <w:pStyle w:val="H4G"/>
        <w:rPr>
          <w:lang w:val="fr-FR"/>
        </w:rPr>
      </w:pPr>
      <w:r>
        <w:rPr>
          <w:lang w:val="fr-FR"/>
        </w:rPr>
        <w:tab/>
      </w:r>
      <w:r>
        <w:rPr>
          <w:lang w:val="fr-FR"/>
        </w:rPr>
        <w:tab/>
      </w:r>
      <w:r w:rsidR="004F1E50" w:rsidRPr="00850D94">
        <w:rPr>
          <w:lang w:val="fr-FR"/>
        </w:rPr>
        <w:t>Examen au fond</w:t>
      </w:r>
    </w:p>
    <w:p w:rsidR="004F1E50" w:rsidRPr="004F1E50" w:rsidRDefault="00E4261C" w:rsidP="004F1E50">
      <w:pPr>
        <w:pStyle w:val="SingleTxtG"/>
        <w:rPr>
          <w:lang w:val="fr-FR"/>
        </w:rPr>
      </w:pPr>
      <w:r>
        <w:rPr>
          <w:lang w:val="fr-FR"/>
        </w:rPr>
        <w:t>7.1</w:t>
      </w:r>
      <w:r>
        <w:rPr>
          <w:lang w:val="fr-FR"/>
        </w:rPr>
        <w:tab/>
        <w:t xml:space="preserve">Conformément au paragraphe </w:t>
      </w:r>
      <w:r w:rsidR="004F1E50" w:rsidRPr="004F1E50">
        <w:rPr>
          <w:lang w:val="fr-FR"/>
        </w:rPr>
        <w:t>1 de l</w:t>
      </w:r>
      <w:r w:rsidR="003B5BEF">
        <w:rPr>
          <w:lang w:val="fr-FR"/>
        </w:rPr>
        <w:t>’</w:t>
      </w:r>
      <w:r w:rsidR="004F1E50" w:rsidRPr="004F1E50">
        <w:rPr>
          <w:lang w:val="fr-FR"/>
        </w:rPr>
        <w:t>article</w:t>
      </w:r>
      <w:r>
        <w:rPr>
          <w:lang w:val="fr-FR"/>
        </w:rPr>
        <w:t xml:space="preserve"> </w:t>
      </w:r>
      <w:r w:rsidR="004F1E50" w:rsidRPr="004F1E50">
        <w:rPr>
          <w:lang w:val="fr-FR"/>
        </w:rPr>
        <w:t>5 du Protocole facultatif, le Comité des droits de l</w:t>
      </w:r>
      <w:r w:rsidR="003B5BEF">
        <w:rPr>
          <w:lang w:val="fr-FR"/>
        </w:rPr>
        <w:t>’</w:t>
      </w:r>
      <w:r w:rsidR="004F1E50" w:rsidRPr="004F1E50">
        <w:rPr>
          <w:lang w:val="fr-FR"/>
        </w:rPr>
        <w:t>homme a examiné la présente communication en tenant compte de toutes les informations qui lui ont été communiquées par les parties.</w:t>
      </w:r>
    </w:p>
    <w:p w:rsidR="004F1E50" w:rsidRPr="004F1E50" w:rsidRDefault="004F1E50" w:rsidP="004F1E50">
      <w:pPr>
        <w:pStyle w:val="SingleTxtG"/>
        <w:rPr>
          <w:lang w:val="fr-FR"/>
        </w:rPr>
      </w:pPr>
      <w:r w:rsidRPr="004F1E50">
        <w:rPr>
          <w:lang w:val="fr-FR"/>
        </w:rPr>
        <w:t>7.2</w:t>
      </w:r>
      <w:r w:rsidRPr="004F1E50">
        <w:rPr>
          <w:lang w:val="fr-FR"/>
        </w:rPr>
        <w:tab/>
        <w:t>Le Comité doit déterminer si l</w:t>
      </w:r>
      <w:r w:rsidR="003B5BEF">
        <w:rPr>
          <w:lang w:val="fr-FR"/>
        </w:rPr>
        <w:t>’</w:t>
      </w:r>
      <w:r w:rsidRPr="004F1E50">
        <w:rPr>
          <w:lang w:val="fr-FR"/>
        </w:rPr>
        <w:t>application aux auteurs de la loi n</w:t>
      </w:r>
      <w:r w:rsidRPr="004F1E50">
        <w:rPr>
          <w:vertAlign w:val="superscript"/>
          <w:lang w:val="fr-FR"/>
        </w:rPr>
        <w:t>o</w:t>
      </w:r>
      <w:r w:rsidR="00E4261C">
        <w:rPr>
          <w:lang w:val="fr-FR"/>
        </w:rPr>
        <w:t xml:space="preserve"> </w:t>
      </w:r>
      <w:r w:rsidRPr="004F1E50">
        <w:rPr>
          <w:lang w:val="fr-FR"/>
        </w:rPr>
        <w:t>87/1991 équivaut à une discrimination, constitutive d</w:t>
      </w:r>
      <w:r w:rsidR="003B5BEF">
        <w:rPr>
          <w:lang w:val="fr-FR"/>
        </w:rPr>
        <w:t>’</w:t>
      </w:r>
      <w:r w:rsidRPr="004F1E50">
        <w:rPr>
          <w:lang w:val="fr-FR"/>
        </w:rPr>
        <w:t>une violation de l</w:t>
      </w:r>
      <w:r w:rsidR="003B5BEF">
        <w:rPr>
          <w:lang w:val="fr-FR"/>
        </w:rPr>
        <w:t>’</w:t>
      </w:r>
      <w:r w:rsidRPr="004F1E50">
        <w:rPr>
          <w:lang w:val="fr-FR"/>
        </w:rPr>
        <w:t>article</w:t>
      </w:r>
      <w:r w:rsidR="00E4261C">
        <w:rPr>
          <w:lang w:val="fr-FR"/>
        </w:rPr>
        <w:t xml:space="preserve"> </w:t>
      </w:r>
      <w:r w:rsidRPr="004F1E50">
        <w:rPr>
          <w:lang w:val="fr-FR"/>
        </w:rPr>
        <w:t>26 du Pacte. Le Comité rappelle sa jurisprudence selon laquelle les différences de traitement ne sauraient toutes être réputées discriminatoires au regard de l</w:t>
      </w:r>
      <w:r w:rsidR="003B5BEF">
        <w:rPr>
          <w:lang w:val="fr-FR"/>
        </w:rPr>
        <w:t>’</w:t>
      </w:r>
      <w:r w:rsidR="00E4261C">
        <w:rPr>
          <w:lang w:val="fr-FR"/>
        </w:rPr>
        <w:t xml:space="preserve">article </w:t>
      </w:r>
      <w:r w:rsidRPr="004F1E50">
        <w:rPr>
          <w:lang w:val="fr-FR"/>
        </w:rPr>
        <w:t>26. Un traitement différent qui est compatible avec les dispositions du Pacte et qui est fondé sur des motifs objectifs et raisonnables ne constitue pas une</w:t>
      </w:r>
      <w:r w:rsidR="003B5BEF">
        <w:rPr>
          <w:lang w:val="fr-FR"/>
        </w:rPr>
        <w:t xml:space="preserve"> </w:t>
      </w:r>
      <w:r w:rsidRPr="004F1E50">
        <w:rPr>
          <w:lang w:val="fr-FR"/>
        </w:rPr>
        <w:t>discrimination interdite au sens de l</w:t>
      </w:r>
      <w:r w:rsidR="003B5BEF">
        <w:rPr>
          <w:lang w:val="fr-FR"/>
        </w:rPr>
        <w:t>’</w:t>
      </w:r>
      <w:r w:rsidR="00E4261C">
        <w:rPr>
          <w:lang w:val="fr-FR"/>
        </w:rPr>
        <w:t xml:space="preserve">article </w:t>
      </w:r>
      <w:r w:rsidRPr="004F1E50">
        <w:rPr>
          <w:lang w:val="fr-FR"/>
        </w:rPr>
        <w:t>26</w:t>
      </w:r>
      <w:r w:rsidRPr="00EC788F">
        <w:rPr>
          <w:rStyle w:val="FootnoteReference"/>
        </w:rPr>
        <w:footnoteReference w:id="16"/>
      </w:r>
      <w:r w:rsidRPr="004F1E50">
        <w:rPr>
          <w:lang w:val="fr-FR"/>
        </w:rPr>
        <w:t>.</w:t>
      </w:r>
    </w:p>
    <w:p w:rsidR="004F1E50" w:rsidRPr="004F1E50" w:rsidRDefault="004F1E50" w:rsidP="004F1E50">
      <w:pPr>
        <w:pStyle w:val="SingleTxtG"/>
        <w:rPr>
          <w:lang w:val="fr-FR"/>
        </w:rPr>
      </w:pPr>
      <w:r w:rsidRPr="004F1E50">
        <w:rPr>
          <w:lang w:val="fr-FR"/>
        </w:rPr>
        <w:t>7.3</w:t>
      </w:r>
      <w:r w:rsidRPr="004F1E50">
        <w:rPr>
          <w:lang w:val="fr-FR"/>
        </w:rPr>
        <w:tab/>
        <w:t>Le Comité rappelle les constatations qu</w:t>
      </w:r>
      <w:r w:rsidR="003B5BEF">
        <w:rPr>
          <w:lang w:val="fr-FR"/>
        </w:rPr>
        <w:t>’</w:t>
      </w:r>
      <w:r w:rsidRPr="004F1E50">
        <w:rPr>
          <w:lang w:val="fr-FR"/>
        </w:rPr>
        <w:t>il a adoptées dans les nombreuses affaires portant sur la restitution de biens en République tchèque</w:t>
      </w:r>
      <w:r w:rsidRPr="00EC788F">
        <w:rPr>
          <w:rStyle w:val="FootnoteReference"/>
        </w:rPr>
        <w:footnoteReference w:id="17"/>
      </w:r>
      <w:r w:rsidRPr="004F1E50">
        <w:rPr>
          <w:lang w:val="fr-FR"/>
        </w:rPr>
        <w:t>, dans lesquelles il a conclu à une violation de l</w:t>
      </w:r>
      <w:r w:rsidR="003B5BEF">
        <w:rPr>
          <w:lang w:val="fr-FR"/>
        </w:rPr>
        <w:t>’</w:t>
      </w:r>
      <w:r w:rsidRPr="004F1E50">
        <w:rPr>
          <w:lang w:val="fr-FR"/>
        </w:rPr>
        <w:t>ar</w:t>
      </w:r>
      <w:r w:rsidR="005103DE">
        <w:rPr>
          <w:lang w:val="fr-FR"/>
        </w:rPr>
        <w:t>ticle</w:t>
      </w:r>
      <w:r w:rsidR="00E4261C">
        <w:rPr>
          <w:lang w:val="fr-FR"/>
        </w:rPr>
        <w:t xml:space="preserve"> </w:t>
      </w:r>
      <w:r w:rsidRPr="004F1E50">
        <w:rPr>
          <w:lang w:val="fr-FR"/>
        </w:rPr>
        <w:t>26 du Pacte</w:t>
      </w:r>
      <w:r w:rsidR="00C514EE">
        <w:rPr>
          <w:lang w:val="fr-FR"/>
        </w:rPr>
        <w:t xml:space="preserve"> </w:t>
      </w:r>
      <w:r w:rsidRPr="004F1E50">
        <w:rPr>
          <w:lang w:val="fr-FR"/>
        </w:rPr>
        <w:t xml:space="preserve">et </w:t>
      </w:r>
      <w:r w:rsidR="00C514EE">
        <w:rPr>
          <w:lang w:val="fr-FR"/>
        </w:rPr>
        <w:t xml:space="preserve">a </w:t>
      </w:r>
      <w:r w:rsidRPr="004F1E50">
        <w:rPr>
          <w:lang w:val="fr-FR"/>
        </w:rPr>
        <w:t>considéré qu</w:t>
      </w:r>
      <w:r w:rsidR="003B5BEF">
        <w:rPr>
          <w:lang w:val="fr-FR"/>
        </w:rPr>
        <w:t>’</w:t>
      </w:r>
      <w:r w:rsidRPr="004F1E50">
        <w:rPr>
          <w:lang w:val="fr-FR"/>
        </w:rPr>
        <w:t>il serait incompatible avec le Pacte d</w:t>
      </w:r>
      <w:r w:rsidR="003B5BEF">
        <w:rPr>
          <w:lang w:val="fr-FR"/>
        </w:rPr>
        <w:t>’</w:t>
      </w:r>
      <w:r w:rsidRPr="004F1E50">
        <w:rPr>
          <w:lang w:val="fr-FR"/>
        </w:rPr>
        <w:t>exiger des auteurs qu</w:t>
      </w:r>
      <w:r w:rsidR="003B5BEF">
        <w:rPr>
          <w:lang w:val="fr-FR"/>
        </w:rPr>
        <w:t>’</w:t>
      </w:r>
      <w:r w:rsidRPr="004F1E50">
        <w:rPr>
          <w:lang w:val="fr-FR"/>
        </w:rPr>
        <w:t>ils obtiennent la nationalité tchèque à titre de condition pour obtenir la restitution de leur bien</w:t>
      </w:r>
      <w:r w:rsidR="003B5BEF">
        <w:rPr>
          <w:lang w:val="fr-FR"/>
        </w:rPr>
        <w:t xml:space="preserve"> </w:t>
      </w:r>
      <w:r w:rsidRPr="004F1E50">
        <w:rPr>
          <w:lang w:val="fr-FR"/>
        </w:rPr>
        <w:t>ou, à défaut, une indemnisation appropriée. Étant donné qu</w:t>
      </w:r>
      <w:r w:rsidR="003B5BEF">
        <w:rPr>
          <w:lang w:val="fr-FR"/>
        </w:rPr>
        <w:t>’</w:t>
      </w:r>
      <w:r w:rsidRPr="004F1E50">
        <w:rPr>
          <w:lang w:val="fr-FR"/>
        </w:rPr>
        <w:t>à l</w:t>
      </w:r>
      <w:r w:rsidR="003B5BEF">
        <w:rPr>
          <w:lang w:val="fr-FR"/>
        </w:rPr>
        <w:t>’</w:t>
      </w:r>
      <w:r w:rsidRPr="004F1E50">
        <w:rPr>
          <w:lang w:val="fr-FR"/>
        </w:rPr>
        <w:t>origine le droit des auteurs de demander la restitution de leur bien n</w:t>
      </w:r>
      <w:r w:rsidR="003B5BEF">
        <w:rPr>
          <w:lang w:val="fr-FR"/>
        </w:rPr>
        <w:t>’</w:t>
      </w:r>
      <w:r w:rsidRPr="004F1E50">
        <w:rPr>
          <w:lang w:val="fr-FR"/>
        </w:rPr>
        <w:t>était en rien fonction d</w:t>
      </w:r>
      <w:r w:rsidR="003B5BEF">
        <w:rPr>
          <w:lang w:val="fr-FR"/>
        </w:rPr>
        <w:t>’</w:t>
      </w:r>
      <w:r w:rsidRPr="004F1E50">
        <w:rPr>
          <w:lang w:val="fr-FR"/>
        </w:rPr>
        <w:t>un critère de nationalité, le</w:t>
      </w:r>
      <w:r w:rsidR="003B5BEF">
        <w:rPr>
          <w:lang w:val="fr-FR"/>
        </w:rPr>
        <w:t xml:space="preserve"> </w:t>
      </w:r>
      <w:r w:rsidRPr="004F1E50">
        <w:rPr>
          <w:lang w:val="fr-FR"/>
        </w:rPr>
        <w:t>Comité a considéré que la condition de nationalité était déraisonnable. Dans l</w:t>
      </w:r>
      <w:r w:rsidR="003B5BEF">
        <w:rPr>
          <w:lang w:val="fr-FR"/>
        </w:rPr>
        <w:t>’</w:t>
      </w:r>
      <w:r w:rsidRPr="004F1E50">
        <w:rPr>
          <w:lang w:val="fr-FR"/>
        </w:rPr>
        <w:t xml:space="preserve">affaire </w:t>
      </w:r>
      <w:r w:rsidRPr="004F1E50">
        <w:rPr>
          <w:i/>
          <w:lang w:val="fr-FR"/>
        </w:rPr>
        <w:t>Des</w:t>
      </w:r>
      <w:r w:rsidR="003B5BEF">
        <w:rPr>
          <w:i/>
          <w:lang w:val="fr-FR"/>
        </w:rPr>
        <w:t xml:space="preserve"> </w:t>
      </w:r>
      <w:r w:rsidRPr="004F1E50">
        <w:rPr>
          <w:i/>
          <w:lang w:val="fr-FR"/>
        </w:rPr>
        <w:t>Fours Walderode</w:t>
      </w:r>
      <w:r w:rsidRPr="00EC788F">
        <w:rPr>
          <w:rStyle w:val="FootnoteReference"/>
        </w:rPr>
        <w:footnoteReference w:id="18"/>
      </w:r>
      <w:r w:rsidRPr="004F1E50">
        <w:rPr>
          <w:lang w:val="fr-FR"/>
        </w:rPr>
        <w:t>, le Comité a fait observer que l</w:t>
      </w:r>
      <w:r w:rsidR="003B5BEF">
        <w:rPr>
          <w:lang w:val="fr-FR"/>
        </w:rPr>
        <w:t>’</w:t>
      </w:r>
      <w:r w:rsidRPr="004F1E50">
        <w:rPr>
          <w:lang w:val="fr-FR"/>
        </w:rPr>
        <w:t>établissement dans la loi d</w:t>
      </w:r>
      <w:r w:rsidR="003B5BEF">
        <w:rPr>
          <w:lang w:val="fr-FR"/>
        </w:rPr>
        <w:t>’</w:t>
      </w:r>
      <w:r w:rsidRPr="004F1E50">
        <w:rPr>
          <w:lang w:val="fr-FR"/>
        </w:rPr>
        <w:t>un critère de</w:t>
      </w:r>
      <w:r w:rsidR="003B5BEF">
        <w:rPr>
          <w:lang w:val="fr-FR"/>
        </w:rPr>
        <w:t xml:space="preserve"> </w:t>
      </w:r>
      <w:r w:rsidRPr="004F1E50">
        <w:rPr>
          <w:lang w:val="fr-FR"/>
        </w:rPr>
        <w:t>nationalité en tant que condition nécessaire pour obtenir la restitution d</w:t>
      </w:r>
      <w:r w:rsidR="003B5BEF">
        <w:rPr>
          <w:lang w:val="fr-FR"/>
        </w:rPr>
        <w:t>’</w:t>
      </w:r>
      <w:r w:rsidRPr="004F1E50">
        <w:rPr>
          <w:lang w:val="fr-FR"/>
        </w:rPr>
        <w:t>un bien confisqué par les autorités établissait une distinction arbitraire et discriminatoire entre des individus qui étaient tous également victimes des confiscations antérieures, et constituait une violation de l</w:t>
      </w:r>
      <w:r w:rsidR="003B5BEF">
        <w:rPr>
          <w:lang w:val="fr-FR"/>
        </w:rPr>
        <w:t>’</w:t>
      </w:r>
      <w:r w:rsidR="00E4261C">
        <w:rPr>
          <w:lang w:val="fr-FR"/>
        </w:rPr>
        <w:t xml:space="preserve">article </w:t>
      </w:r>
      <w:r w:rsidRPr="004F1E50">
        <w:rPr>
          <w:lang w:val="fr-FR"/>
        </w:rPr>
        <w:t>26 du</w:t>
      </w:r>
      <w:r w:rsidR="003B5BEF">
        <w:rPr>
          <w:lang w:val="fr-FR"/>
        </w:rPr>
        <w:t xml:space="preserve"> </w:t>
      </w:r>
      <w:r w:rsidRPr="004F1E50">
        <w:rPr>
          <w:lang w:val="fr-FR"/>
        </w:rPr>
        <w:t>Pacte. Le Comité considère que le principe établi dans les affaires susmentionnées s</w:t>
      </w:r>
      <w:r w:rsidR="003B5BEF">
        <w:rPr>
          <w:lang w:val="fr-FR"/>
        </w:rPr>
        <w:t>’</w:t>
      </w:r>
      <w:r w:rsidRPr="004F1E50">
        <w:rPr>
          <w:lang w:val="fr-FR"/>
        </w:rPr>
        <w:t>applique également aux auteurs de la présente communication. Il conclut donc que l</w:t>
      </w:r>
      <w:r w:rsidR="003B5BEF">
        <w:rPr>
          <w:lang w:val="fr-FR"/>
        </w:rPr>
        <w:t>’</w:t>
      </w:r>
      <w:r w:rsidRPr="004F1E50">
        <w:rPr>
          <w:lang w:val="fr-FR"/>
        </w:rPr>
        <w:t>application aux auteurs du critère de nationalité énoncé dans la loi n</w:t>
      </w:r>
      <w:r w:rsidRPr="004F1E50">
        <w:rPr>
          <w:vertAlign w:val="superscript"/>
          <w:lang w:val="fr-FR"/>
        </w:rPr>
        <w:t>o</w:t>
      </w:r>
      <w:r w:rsidR="00E4261C">
        <w:rPr>
          <w:lang w:val="fr-FR"/>
        </w:rPr>
        <w:t xml:space="preserve"> </w:t>
      </w:r>
      <w:r w:rsidRPr="004F1E50">
        <w:rPr>
          <w:lang w:val="fr-FR"/>
        </w:rPr>
        <w:t>87/1991 a violé leurs droits au regard de l</w:t>
      </w:r>
      <w:r w:rsidR="003B5BEF">
        <w:rPr>
          <w:lang w:val="fr-FR"/>
        </w:rPr>
        <w:t>’</w:t>
      </w:r>
      <w:r w:rsidRPr="004F1E50">
        <w:rPr>
          <w:lang w:val="fr-FR"/>
        </w:rPr>
        <w:t>article 26 du Pacte.</w:t>
      </w:r>
    </w:p>
    <w:p w:rsidR="004F1E50" w:rsidRPr="004F1E50" w:rsidRDefault="004F1E50" w:rsidP="004F1E50">
      <w:pPr>
        <w:pStyle w:val="SingleTxtG"/>
        <w:rPr>
          <w:lang w:val="fr-FR"/>
        </w:rPr>
      </w:pPr>
      <w:r w:rsidRPr="004F1E50">
        <w:rPr>
          <w:lang w:val="fr-FR"/>
        </w:rPr>
        <w:t>8.1</w:t>
      </w:r>
      <w:r w:rsidRPr="004F1E50">
        <w:rPr>
          <w:lang w:val="fr-FR"/>
        </w:rPr>
        <w:tab/>
        <w:t>Le Comité des droits de l</w:t>
      </w:r>
      <w:r w:rsidR="003B5BEF">
        <w:rPr>
          <w:lang w:val="fr-FR"/>
        </w:rPr>
        <w:t>’</w:t>
      </w:r>
      <w:r w:rsidRPr="004F1E50">
        <w:rPr>
          <w:lang w:val="fr-FR"/>
        </w:rPr>
        <w:t xml:space="preserve">homme, </w:t>
      </w:r>
      <w:r w:rsidR="00E4261C">
        <w:rPr>
          <w:lang w:val="fr-FR"/>
        </w:rPr>
        <w:t xml:space="preserve">agissant en vertu du paragraphe </w:t>
      </w:r>
      <w:r w:rsidRPr="004F1E50">
        <w:rPr>
          <w:lang w:val="fr-FR"/>
        </w:rPr>
        <w:t>4 de l</w:t>
      </w:r>
      <w:r w:rsidR="003B5BEF">
        <w:rPr>
          <w:lang w:val="fr-FR"/>
        </w:rPr>
        <w:t>’</w:t>
      </w:r>
      <w:r w:rsidR="00E4261C">
        <w:rPr>
          <w:lang w:val="fr-FR"/>
        </w:rPr>
        <w:t xml:space="preserve">article </w:t>
      </w:r>
      <w:r w:rsidRPr="004F1E50">
        <w:rPr>
          <w:lang w:val="fr-FR"/>
        </w:rPr>
        <w:t>5 du Protocole facultatif, est d</w:t>
      </w:r>
      <w:r w:rsidR="003B5BEF">
        <w:rPr>
          <w:lang w:val="fr-FR"/>
        </w:rPr>
        <w:t>’</w:t>
      </w:r>
      <w:r w:rsidRPr="004F1E50">
        <w:rPr>
          <w:lang w:val="fr-FR"/>
        </w:rPr>
        <w:t>avis que les faits dont il est saisi font apparaître une violation de l</w:t>
      </w:r>
      <w:r w:rsidR="003B5BEF">
        <w:rPr>
          <w:lang w:val="fr-FR"/>
        </w:rPr>
        <w:t>’</w:t>
      </w:r>
      <w:r w:rsidRPr="004F1E50">
        <w:rPr>
          <w:lang w:val="fr-FR"/>
        </w:rPr>
        <w:t>article 26 du Pacte international relatif aux droits civils et politiques.</w:t>
      </w:r>
    </w:p>
    <w:p w:rsidR="004F1E50" w:rsidRPr="004F1E50" w:rsidRDefault="004F1E50" w:rsidP="004F1E50">
      <w:pPr>
        <w:pStyle w:val="SingleTxtG"/>
        <w:rPr>
          <w:lang w:val="fr-FR"/>
        </w:rPr>
      </w:pPr>
      <w:r w:rsidRPr="004F1E50">
        <w:rPr>
          <w:lang w:val="fr-FR"/>
        </w:rPr>
        <w:t>8.2</w:t>
      </w:r>
      <w:r w:rsidRPr="004F1E50">
        <w:rPr>
          <w:lang w:val="fr-FR"/>
        </w:rPr>
        <w:tab/>
        <w:t>En vertu du paragraphe</w:t>
      </w:r>
      <w:r w:rsidR="00E4261C">
        <w:rPr>
          <w:lang w:val="fr-FR"/>
        </w:rPr>
        <w:t xml:space="preserve"> </w:t>
      </w:r>
      <w:r w:rsidRPr="004F1E50">
        <w:rPr>
          <w:lang w:val="fr-FR"/>
        </w:rPr>
        <w:t>3</w:t>
      </w:r>
      <w:r w:rsidR="00E4261C">
        <w:rPr>
          <w:lang w:val="fr-FR"/>
        </w:rPr>
        <w:t xml:space="preserve"> </w:t>
      </w:r>
      <w:r w:rsidRPr="004F1E50">
        <w:rPr>
          <w:lang w:val="fr-FR"/>
        </w:rPr>
        <w:t>a) de l</w:t>
      </w:r>
      <w:r w:rsidR="003B5BEF">
        <w:rPr>
          <w:lang w:val="fr-FR"/>
        </w:rPr>
        <w:t>’</w:t>
      </w:r>
      <w:r w:rsidRPr="004F1E50">
        <w:rPr>
          <w:lang w:val="fr-FR"/>
        </w:rPr>
        <w:t>article</w:t>
      </w:r>
      <w:r w:rsidR="00E4261C">
        <w:rPr>
          <w:lang w:val="fr-FR"/>
        </w:rPr>
        <w:t xml:space="preserve"> </w:t>
      </w:r>
      <w:r w:rsidRPr="004F1E50">
        <w:rPr>
          <w:lang w:val="fr-FR"/>
        </w:rPr>
        <w:t>2 du Pacte, l</w:t>
      </w:r>
      <w:r w:rsidR="003B5BEF">
        <w:rPr>
          <w:lang w:val="fr-FR"/>
        </w:rPr>
        <w:t>’</w:t>
      </w:r>
      <w:r w:rsidRPr="004F1E50">
        <w:rPr>
          <w:lang w:val="fr-FR"/>
        </w:rPr>
        <w:t>État partie est tenu d</w:t>
      </w:r>
      <w:r w:rsidR="003B5BEF">
        <w:rPr>
          <w:lang w:val="fr-FR"/>
        </w:rPr>
        <w:t>’</w:t>
      </w:r>
      <w:r w:rsidRPr="004F1E50">
        <w:rPr>
          <w:lang w:val="fr-FR"/>
        </w:rPr>
        <w:t>assurer aux auteurs un recours utile, qui peut être une indemnisation si son bien ne peut pas lui être rendu. Le</w:t>
      </w:r>
      <w:r w:rsidR="003B5BEF">
        <w:rPr>
          <w:lang w:val="fr-FR"/>
        </w:rPr>
        <w:t xml:space="preserve"> </w:t>
      </w:r>
      <w:r w:rsidRPr="004F1E50">
        <w:rPr>
          <w:lang w:val="fr-FR"/>
        </w:rPr>
        <w:t>Comité engage de nouveau l</w:t>
      </w:r>
      <w:r w:rsidR="003B5BEF">
        <w:rPr>
          <w:lang w:val="fr-FR"/>
        </w:rPr>
        <w:t>’</w:t>
      </w:r>
      <w:r w:rsidRPr="004F1E50">
        <w:rPr>
          <w:lang w:val="fr-FR"/>
        </w:rPr>
        <w:t>État partie à revoir sa législation de façon à garantir que toutes les personnes bénéficient à la fois de l</w:t>
      </w:r>
      <w:r w:rsidR="003B5BEF">
        <w:rPr>
          <w:lang w:val="fr-FR"/>
        </w:rPr>
        <w:t>’</w:t>
      </w:r>
      <w:r w:rsidRPr="004F1E50">
        <w:rPr>
          <w:lang w:val="fr-FR"/>
        </w:rPr>
        <w:t>égalité devant la loi et de l</w:t>
      </w:r>
      <w:r w:rsidR="003B5BEF">
        <w:rPr>
          <w:lang w:val="fr-FR"/>
        </w:rPr>
        <w:t>’</w:t>
      </w:r>
      <w:r w:rsidRPr="004F1E50">
        <w:rPr>
          <w:lang w:val="fr-FR"/>
        </w:rPr>
        <w:t>égale protection de la loi.</w:t>
      </w:r>
    </w:p>
    <w:p w:rsidR="004F1E50" w:rsidRPr="004F1E50" w:rsidRDefault="004F1E50" w:rsidP="004F1E50">
      <w:pPr>
        <w:pStyle w:val="SingleTxtG"/>
        <w:rPr>
          <w:lang w:val="fr-FR"/>
        </w:rPr>
      </w:pPr>
      <w:r w:rsidRPr="004F1E50">
        <w:rPr>
          <w:lang w:val="fr-FR"/>
        </w:rPr>
        <w:t>8.3</w:t>
      </w:r>
      <w:r w:rsidRPr="004F1E50">
        <w:rPr>
          <w:lang w:val="fr-FR"/>
        </w:rPr>
        <w:tab/>
        <w:t>Étant donné qu</w:t>
      </w:r>
      <w:r w:rsidR="003B5BEF">
        <w:rPr>
          <w:lang w:val="fr-FR"/>
        </w:rPr>
        <w:t>’</w:t>
      </w:r>
      <w:r w:rsidRPr="004F1E50">
        <w:rPr>
          <w:lang w:val="fr-FR"/>
        </w:rPr>
        <w:t>en adhérant au Protocole facultatif l</w:t>
      </w:r>
      <w:r w:rsidR="003B5BEF">
        <w:rPr>
          <w:lang w:val="fr-FR"/>
        </w:rPr>
        <w:t>’</w:t>
      </w:r>
      <w:r w:rsidRPr="004F1E50">
        <w:rPr>
          <w:lang w:val="fr-FR"/>
        </w:rPr>
        <w:t>État partie a reconnu que le Comité avait compétence pour déterminer s</w:t>
      </w:r>
      <w:r w:rsidR="003B5BEF">
        <w:rPr>
          <w:lang w:val="fr-FR"/>
        </w:rPr>
        <w:t>’</w:t>
      </w:r>
      <w:r w:rsidRPr="004F1E50">
        <w:rPr>
          <w:lang w:val="fr-FR"/>
        </w:rPr>
        <w:t>il y avait eu ou non violation du Pacte et que, conformément à l</w:t>
      </w:r>
      <w:r w:rsidR="003B5BEF">
        <w:rPr>
          <w:lang w:val="fr-FR"/>
        </w:rPr>
        <w:t>’</w:t>
      </w:r>
      <w:r w:rsidR="00E4261C">
        <w:rPr>
          <w:lang w:val="fr-FR"/>
        </w:rPr>
        <w:t xml:space="preserve">article </w:t>
      </w:r>
      <w:r w:rsidRPr="004F1E50">
        <w:rPr>
          <w:lang w:val="fr-FR"/>
        </w:rPr>
        <w:t>2 du Pacte, il s</w:t>
      </w:r>
      <w:r w:rsidR="003B5BEF">
        <w:rPr>
          <w:lang w:val="fr-FR"/>
        </w:rPr>
        <w:t>’</w:t>
      </w:r>
      <w:r w:rsidRPr="004F1E50">
        <w:rPr>
          <w:lang w:val="fr-FR"/>
        </w:rPr>
        <w:t>est engagé à garantir à tous les individus se trouvant sur son territoire et</w:t>
      </w:r>
      <w:r w:rsidR="003B5BEF">
        <w:rPr>
          <w:lang w:val="fr-FR"/>
        </w:rPr>
        <w:t xml:space="preserve"> </w:t>
      </w:r>
      <w:r w:rsidRPr="004F1E50">
        <w:rPr>
          <w:lang w:val="fr-FR"/>
        </w:rPr>
        <w:t>relevant de sa juridiction les droits reconnus dans le Pacte et à assurer un recours utile et exécutoire lorsqu</w:t>
      </w:r>
      <w:r w:rsidR="003B5BEF">
        <w:rPr>
          <w:lang w:val="fr-FR"/>
        </w:rPr>
        <w:t>’</w:t>
      </w:r>
      <w:r w:rsidRPr="004F1E50">
        <w:rPr>
          <w:lang w:val="fr-FR"/>
        </w:rPr>
        <w:t>une violation a été établie, le Comité souhaite recevoir de l</w:t>
      </w:r>
      <w:r w:rsidR="003B5BEF">
        <w:rPr>
          <w:lang w:val="fr-FR"/>
        </w:rPr>
        <w:t>’</w:t>
      </w:r>
      <w:r w:rsidRPr="004F1E50">
        <w:rPr>
          <w:lang w:val="fr-FR"/>
        </w:rPr>
        <w:t>État partie, dans un</w:t>
      </w:r>
      <w:r w:rsidR="003B5BEF">
        <w:rPr>
          <w:lang w:val="fr-FR"/>
        </w:rPr>
        <w:t xml:space="preserve"> </w:t>
      </w:r>
      <w:r w:rsidRPr="004F1E50">
        <w:rPr>
          <w:lang w:val="fr-FR"/>
        </w:rPr>
        <w:t>délai de cent</w:t>
      </w:r>
      <w:r w:rsidR="00E4261C">
        <w:rPr>
          <w:lang w:val="fr-FR"/>
        </w:rPr>
        <w:t xml:space="preserve"> </w:t>
      </w:r>
      <w:r w:rsidRPr="004F1E50">
        <w:rPr>
          <w:lang w:val="fr-FR"/>
        </w:rPr>
        <w:t>quatre</w:t>
      </w:r>
      <w:r w:rsidR="00E4261C">
        <w:rPr>
          <w:lang w:val="fr-FR"/>
        </w:rPr>
        <w:t>-</w:t>
      </w:r>
      <w:r w:rsidR="005103DE">
        <w:rPr>
          <w:lang w:val="fr-FR"/>
        </w:rPr>
        <w:t>vingts</w:t>
      </w:r>
      <w:r w:rsidR="00E4261C">
        <w:rPr>
          <w:lang w:val="fr-FR"/>
        </w:rPr>
        <w:t xml:space="preserve"> </w:t>
      </w:r>
      <w:r w:rsidRPr="004F1E50">
        <w:rPr>
          <w:lang w:val="fr-FR"/>
        </w:rPr>
        <w:t>jours, des renseignements sur les mesures prises pour donner effet à ses constatations.</w:t>
      </w:r>
    </w:p>
    <w:p w:rsidR="004F1E50" w:rsidRDefault="004F1E50" w:rsidP="004F1E50">
      <w:pPr>
        <w:pStyle w:val="SingleTxtG"/>
        <w:rPr>
          <w:lang w:val="fr-FR"/>
        </w:rPr>
      </w:pPr>
      <w:r w:rsidRPr="004F1E50">
        <w:rPr>
          <w:lang w:val="fr-FR"/>
        </w:rPr>
        <w:t>[Adopté en anglais (version originale), en espagnol et en français. Paraîtra ultérieurement en</w:t>
      </w:r>
      <w:r w:rsidR="003B5BEF">
        <w:rPr>
          <w:lang w:val="fr-FR"/>
        </w:rPr>
        <w:t xml:space="preserve"> </w:t>
      </w:r>
      <w:r w:rsidRPr="004F1E50">
        <w:rPr>
          <w:lang w:val="fr-FR"/>
        </w:rPr>
        <w:t>arabe, en</w:t>
      </w:r>
      <w:r w:rsidR="003B5BEF">
        <w:rPr>
          <w:lang w:val="fr-FR"/>
        </w:rPr>
        <w:t xml:space="preserve"> </w:t>
      </w:r>
      <w:r w:rsidRPr="004F1E50">
        <w:rPr>
          <w:lang w:val="fr-FR"/>
        </w:rPr>
        <w:t>chinois et en</w:t>
      </w:r>
      <w:r w:rsidR="003B5BEF">
        <w:rPr>
          <w:lang w:val="fr-FR"/>
        </w:rPr>
        <w:t xml:space="preserve"> </w:t>
      </w:r>
      <w:r w:rsidRPr="004F1E50">
        <w:rPr>
          <w:lang w:val="fr-FR"/>
        </w:rPr>
        <w:t>russe dans le rapport annuel du Comité à l</w:t>
      </w:r>
      <w:r w:rsidR="003B5BEF">
        <w:rPr>
          <w:lang w:val="fr-FR"/>
        </w:rPr>
        <w:t>’</w:t>
      </w:r>
      <w:r w:rsidRPr="004F1E50">
        <w:rPr>
          <w:lang w:val="fr-FR"/>
        </w:rPr>
        <w:t>Assemblée générale.]</w:t>
      </w:r>
    </w:p>
    <w:p w:rsidR="004F1E50" w:rsidRPr="004F1E50" w:rsidRDefault="004F1E50" w:rsidP="00C514EE">
      <w:pPr>
        <w:pStyle w:val="HChG"/>
      </w:pPr>
      <w:r>
        <w:rPr>
          <w:lang w:val="fr-FR"/>
        </w:rPr>
        <w:br w:type="page"/>
      </w:r>
      <w:r w:rsidR="0095719C" w:rsidRPr="004F1E50">
        <w:t>Appendice</w:t>
      </w:r>
    </w:p>
    <w:p w:rsidR="004F1E50" w:rsidRDefault="00C514EE" w:rsidP="00C514EE">
      <w:pPr>
        <w:pStyle w:val="HChG"/>
      </w:pPr>
      <w:r>
        <w:tab/>
      </w:r>
      <w:r>
        <w:tab/>
      </w:r>
      <w:r w:rsidR="004F1E50" w:rsidRPr="004F1E50">
        <w:t>Opinio</w:t>
      </w:r>
      <w:r w:rsidR="00E4261C">
        <w:t xml:space="preserve">n individuelle dissidente de M. </w:t>
      </w:r>
      <w:r w:rsidR="004F1E50" w:rsidRPr="004F1E50">
        <w:t>Krister Thelin</w:t>
      </w:r>
    </w:p>
    <w:p w:rsidR="004F1E50" w:rsidRPr="004F1E50" w:rsidRDefault="004F1E50" w:rsidP="00C514EE">
      <w:pPr>
        <w:pStyle w:val="SingleTxtG"/>
        <w:ind w:firstLine="567"/>
      </w:pPr>
      <w:r w:rsidRPr="004F1E50">
        <w:t xml:space="preserve">La majorité des membres du Comité </w:t>
      </w:r>
      <w:r w:rsidR="00925D86">
        <w:t>a conclu</w:t>
      </w:r>
      <w:r w:rsidRPr="004F1E50">
        <w:t xml:space="preserve"> que la communication était recevable et </w:t>
      </w:r>
      <w:r w:rsidR="00925D86">
        <w:t>a décidé de l</w:t>
      </w:r>
      <w:r w:rsidR="003B5BEF">
        <w:t>’</w:t>
      </w:r>
      <w:r w:rsidR="00925D86">
        <w:t>examiner au fond</w:t>
      </w:r>
      <w:r w:rsidRPr="004F1E50">
        <w:t xml:space="preserve">. </w:t>
      </w:r>
    </w:p>
    <w:p w:rsidR="004F1E50" w:rsidRPr="004F1E50" w:rsidRDefault="004F1E50" w:rsidP="00C514EE">
      <w:pPr>
        <w:pStyle w:val="SingleTxtG"/>
        <w:ind w:firstLine="567"/>
      </w:pPr>
      <w:r w:rsidRPr="004F1E50">
        <w:t xml:space="preserve">Avec tout le respect dû au Comité, je suis en désaccord avec lui. </w:t>
      </w:r>
    </w:p>
    <w:p w:rsidR="004F1E50" w:rsidRPr="004F1E50" w:rsidRDefault="004F1E50" w:rsidP="00C514EE">
      <w:pPr>
        <w:pStyle w:val="SingleTxtG"/>
        <w:ind w:firstLine="567"/>
      </w:pPr>
      <w:r w:rsidRPr="004F1E50">
        <w:t>La</w:t>
      </w:r>
      <w:r w:rsidR="00925D86">
        <w:t xml:space="preserve">isser passer un certain temps avant de présenter </w:t>
      </w:r>
      <w:r w:rsidRPr="004F1E50">
        <w:t xml:space="preserve">une communication ne constitue pas en soi un abus du droit de présenter des communications, </w:t>
      </w:r>
      <w:r w:rsidR="00925D86">
        <w:t xml:space="preserve">au sens de </w:t>
      </w:r>
      <w:r w:rsidRPr="004F1E50">
        <w:t>l</w:t>
      </w:r>
      <w:r w:rsidR="003B5BEF">
        <w:t>’</w:t>
      </w:r>
      <w:r w:rsidRPr="004F1E50">
        <w:t>article</w:t>
      </w:r>
      <w:r w:rsidR="00E4261C">
        <w:t xml:space="preserve"> </w:t>
      </w:r>
      <w:r w:rsidRPr="004F1E50">
        <w:t xml:space="preserve">3 du Protocole facultatif. </w:t>
      </w:r>
      <w:r w:rsidR="00925D86">
        <w:t>Toutefois</w:t>
      </w:r>
      <w:r w:rsidRPr="004F1E50">
        <w:t>, on peut déduire de la jurisprudence du Comité qu</w:t>
      </w:r>
      <w:r w:rsidR="003B5BEF">
        <w:t>’</w:t>
      </w:r>
      <w:r w:rsidRPr="004F1E50">
        <w:t xml:space="preserve">un </w:t>
      </w:r>
      <w:r w:rsidR="00925D86">
        <w:t xml:space="preserve">retard excessif </w:t>
      </w:r>
      <w:r w:rsidRPr="004F1E50">
        <w:t xml:space="preserve">devrait, </w:t>
      </w:r>
      <w:r w:rsidR="00925D86">
        <w:t>en l</w:t>
      </w:r>
      <w:r w:rsidR="003B5BEF">
        <w:t>’</w:t>
      </w:r>
      <w:r w:rsidR="00925D86">
        <w:t xml:space="preserve">absence de </w:t>
      </w:r>
      <w:r w:rsidRPr="004F1E50">
        <w:t>circonstances exceptionnelles, entraîner l</w:t>
      </w:r>
      <w:r w:rsidR="003B5BEF">
        <w:t>’</w:t>
      </w:r>
      <w:r w:rsidRPr="004F1E50">
        <w:t xml:space="preserve">irrecevabilité de la communication. </w:t>
      </w:r>
      <w:r w:rsidR="00925D86">
        <w:t>D</w:t>
      </w:r>
      <w:r w:rsidRPr="004F1E50">
        <w:t>ans un certain nombre d</w:t>
      </w:r>
      <w:r w:rsidR="003B5BEF">
        <w:t>’</w:t>
      </w:r>
      <w:r w:rsidRPr="004F1E50">
        <w:t xml:space="preserve">affaires, </w:t>
      </w:r>
      <w:r w:rsidR="00925D86">
        <w:t xml:space="preserve">le Comité </w:t>
      </w:r>
      <w:r w:rsidRPr="004F1E50">
        <w:t>a conclu qu</w:t>
      </w:r>
      <w:r w:rsidR="003B5BEF">
        <w:t>’</w:t>
      </w:r>
      <w:r w:rsidR="00E4261C">
        <w:t xml:space="preserve">une période de plus de cinq </w:t>
      </w:r>
      <w:r w:rsidRPr="004F1E50">
        <w:t>ans constituait un délai d</w:t>
      </w:r>
      <w:r w:rsidR="003B5BEF">
        <w:t>’</w:t>
      </w:r>
      <w:r w:rsidRPr="004F1E50">
        <w:t>une longueur indue</w:t>
      </w:r>
      <w:r w:rsidRPr="00EC788F">
        <w:rPr>
          <w:rStyle w:val="FootnoteReference"/>
        </w:rPr>
        <w:footnoteReference w:id="19"/>
      </w:r>
      <w:r w:rsidRPr="004F1E50">
        <w:t xml:space="preserve">. </w:t>
      </w:r>
    </w:p>
    <w:p w:rsidR="004F1E50" w:rsidRDefault="004F1E50" w:rsidP="00C514EE">
      <w:pPr>
        <w:pStyle w:val="SingleTxtG"/>
        <w:ind w:firstLine="567"/>
      </w:pPr>
      <w:r w:rsidRPr="004F1E50">
        <w:t>En l</w:t>
      </w:r>
      <w:r w:rsidR="003B5BEF">
        <w:t>’</w:t>
      </w:r>
      <w:r w:rsidRPr="004F1E50">
        <w:t>espèce, l</w:t>
      </w:r>
      <w:r w:rsidR="003B5BEF">
        <w:t>’</w:t>
      </w:r>
      <w:r w:rsidRPr="004F1E50">
        <w:t>auteur a laissé s</w:t>
      </w:r>
      <w:r w:rsidR="003B5BEF">
        <w:t>’</w:t>
      </w:r>
      <w:r w:rsidR="00E4261C">
        <w:t xml:space="preserve">écouler près de six </w:t>
      </w:r>
      <w:r w:rsidRPr="004F1E50">
        <w:t>ans et demi avant de présenter la communication</w:t>
      </w:r>
      <w:r w:rsidR="00925D86">
        <w:t xml:space="preserve">. Le </w:t>
      </w:r>
      <w:r w:rsidRPr="004F1E50">
        <w:t>manque d</w:t>
      </w:r>
      <w:r w:rsidR="003B5BEF">
        <w:t>’</w:t>
      </w:r>
      <w:r w:rsidRPr="004F1E50">
        <w:t>information</w:t>
      </w:r>
      <w:r w:rsidR="00925D86">
        <w:t>, qui est la seule explication donnée par l</w:t>
      </w:r>
      <w:r w:rsidR="003B5BEF">
        <w:t>’</w:t>
      </w:r>
      <w:r w:rsidR="00925D86">
        <w:t>auteur,  qui pourrait justifier le retard ne constitue par une circonstance</w:t>
      </w:r>
      <w:r w:rsidR="001C28C8">
        <w:t xml:space="preserve"> exceptionnelle</w:t>
      </w:r>
      <w:r w:rsidRPr="004F1E50">
        <w:t xml:space="preserve">. Il faut donc y voir un abus du droit de </w:t>
      </w:r>
      <w:r w:rsidR="00A20BEB">
        <w:t>plainte et la communication aurait dû par conséquent être déclarée irrecevable en vertu de l</w:t>
      </w:r>
      <w:r w:rsidR="003B5BEF">
        <w:t>’</w:t>
      </w:r>
      <w:r w:rsidR="00E4261C">
        <w:t xml:space="preserve">article </w:t>
      </w:r>
      <w:r w:rsidR="00A20BEB">
        <w:t>3 du Protocole facultatif</w:t>
      </w:r>
      <w:r w:rsidRPr="004F1E50">
        <w:t>.</w:t>
      </w:r>
    </w:p>
    <w:p w:rsidR="004F1E50" w:rsidRPr="004F1E50" w:rsidRDefault="005103DE" w:rsidP="00A20BEB">
      <w:pPr>
        <w:pStyle w:val="SingleTxtG"/>
        <w:jc w:val="right"/>
      </w:pPr>
      <w:r>
        <w:t>(</w:t>
      </w:r>
      <w:r w:rsidRPr="001C28C8">
        <w:rPr>
          <w:i/>
        </w:rPr>
        <w:t>Signé</w:t>
      </w:r>
      <w:r w:rsidR="00E4261C">
        <w:t xml:space="preserve">) M. </w:t>
      </w:r>
      <w:r w:rsidR="004F1E50" w:rsidRPr="004F1E50">
        <w:t xml:space="preserve">Krister </w:t>
      </w:r>
      <w:r w:rsidR="004F1E50" w:rsidRPr="001463A7">
        <w:rPr>
          <w:b/>
        </w:rPr>
        <w:t>Thelin</w:t>
      </w:r>
    </w:p>
    <w:p w:rsidR="00E849E1" w:rsidRDefault="004F1E50" w:rsidP="004F1E50">
      <w:pPr>
        <w:pStyle w:val="SingleTxtG"/>
      </w:pPr>
      <w:r w:rsidRPr="004F1E50">
        <w:t>[Fait en anglais (version originale), en espagnol et en français. Paraîtra ultérieurement en arabe, en chinois et en russe dans le rapport annuel du Comité à l</w:t>
      </w:r>
      <w:r w:rsidR="003B5BEF">
        <w:t>’</w:t>
      </w:r>
      <w:r w:rsidRPr="004F1E50">
        <w:t>Assemblée générale.]</w:t>
      </w:r>
    </w:p>
    <w:p w:rsidR="00A20BEB" w:rsidRPr="00A20BEB" w:rsidRDefault="00A20BEB" w:rsidP="00A20BEB">
      <w:pPr>
        <w:pStyle w:val="SingleTxtG"/>
        <w:spacing w:before="240" w:after="0"/>
        <w:jc w:val="center"/>
        <w:rPr>
          <w:u w:val="single"/>
        </w:rPr>
      </w:pPr>
      <w:r>
        <w:rPr>
          <w:u w:val="single"/>
        </w:rPr>
        <w:tab/>
      </w:r>
      <w:r>
        <w:rPr>
          <w:u w:val="single"/>
        </w:rPr>
        <w:tab/>
      </w:r>
      <w:r>
        <w:rPr>
          <w:u w:val="single"/>
        </w:rPr>
        <w:tab/>
      </w:r>
    </w:p>
    <w:sectPr w:rsidR="00A20BEB" w:rsidRPr="00A20BEB" w:rsidSect="004A1AC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EA" w:rsidRDefault="000A03EA"/>
  </w:endnote>
  <w:endnote w:type="continuationSeparator" w:id="0">
    <w:p w:rsidR="000A03EA" w:rsidRDefault="000A03EA"/>
  </w:endnote>
  <w:endnote w:type="continuationNotice" w:id="1">
    <w:p w:rsidR="000A03EA" w:rsidRDefault="000A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A" w:rsidRPr="004A1AC9" w:rsidRDefault="000A03EA" w:rsidP="004A1AC9">
    <w:pPr>
      <w:pStyle w:val="Footer"/>
      <w:tabs>
        <w:tab w:val="right" w:pos="9638"/>
      </w:tabs>
    </w:pPr>
    <w:r w:rsidRPr="004A1AC9">
      <w:rPr>
        <w:b/>
        <w:sz w:val="18"/>
      </w:rPr>
      <w:fldChar w:fldCharType="begin"/>
    </w:r>
    <w:r w:rsidRPr="004A1AC9">
      <w:rPr>
        <w:b/>
        <w:sz w:val="18"/>
      </w:rPr>
      <w:instrText xml:space="preserve"> PAGE  \* MERGEFORMAT </w:instrText>
    </w:r>
    <w:r w:rsidRPr="004A1AC9">
      <w:rPr>
        <w:b/>
        <w:sz w:val="18"/>
      </w:rPr>
      <w:fldChar w:fldCharType="separate"/>
    </w:r>
    <w:r>
      <w:rPr>
        <w:b/>
        <w:noProof/>
        <w:sz w:val="18"/>
      </w:rPr>
      <w:t>8</w:t>
    </w:r>
    <w:r w:rsidRPr="004A1AC9">
      <w:rPr>
        <w:b/>
        <w:sz w:val="18"/>
      </w:rPr>
      <w:fldChar w:fldCharType="end"/>
    </w:r>
    <w:r>
      <w:rPr>
        <w:b/>
        <w:sz w:val="18"/>
      </w:rPr>
      <w:tab/>
    </w:r>
    <w:r>
      <w:t>GE.09</w:t>
    </w:r>
    <w:r>
      <w:noBreakHyphen/>
      <w:t>44800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A" w:rsidRPr="004A1AC9" w:rsidRDefault="000A03EA" w:rsidP="004A1AC9">
    <w:pPr>
      <w:pStyle w:val="Footer"/>
      <w:tabs>
        <w:tab w:val="right" w:pos="9638"/>
      </w:tabs>
      <w:rPr>
        <w:b/>
        <w:sz w:val="18"/>
      </w:rPr>
    </w:pPr>
    <w:r>
      <w:t>GE.09</w:t>
    </w:r>
    <w:r>
      <w:noBreakHyphen/>
      <w:t>44800</w:t>
    </w:r>
    <w:r>
      <w:tab/>
    </w:r>
    <w:r w:rsidRPr="004A1AC9">
      <w:rPr>
        <w:b/>
        <w:sz w:val="18"/>
      </w:rPr>
      <w:fldChar w:fldCharType="begin"/>
    </w:r>
    <w:r w:rsidRPr="004A1AC9">
      <w:rPr>
        <w:b/>
        <w:sz w:val="18"/>
      </w:rPr>
      <w:instrText xml:space="preserve"> PAGE  \* MERGEFORMAT </w:instrText>
    </w:r>
    <w:r w:rsidRPr="004A1AC9">
      <w:rPr>
        <w:b/>
        <w:sz w:val="18"/>
      </w:rPr>
      <w:fldChar w:fldCharType="separate"/>
    </w:r>
    <w:r>
      <w:rPr>
        <w:b/>
        <w:noProof/>
        <w:sz w:val="18"/>
      </w:rPr>
      <w:t>7</w:t>
    </w:r>
    <w:r w:rsidRPr="004A1A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A" w:rsidRPr="004A1AC9" w:rsidRDefault="000A03EA">
    <w:pPr>
      <w:pStyle w:val="Footer"/>
      <w:rPr>
        <w:sz w:val="20"/>
      </w:rPr>
    </w:pPr>
    <w:r>
      <w:rPr>
        <w:sz w:val="20"/>
      </w:rPr>
      <w:t>GE.09</w:t>
    </w:r>
    <w:r>
      <w:rPr>
        <w:sz w:val="20"/>
      </w:rPr>
      <w:noBreakHyphen/>
      <w:t>44800  (F)    051009    191009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EA" w:rsidRPr="00D27D5E" w:rsidRDefault="000A03EA" w:rsidP="00D27D5E">
      <w:pPr>
        <w:tabs>
          <w:tab w:val="right" w:pos="2155"/>
        </w:tabs>
        <w:spacing w:after="80"/>
        <w:ind w:left="680"/>
        <w:rPr>
          <w:u w:val="single"/>
        </w:rPr>
      </w:pPr>
      <w:r>
        <w:rPr>
          <w:u w:val="single"/>
        </w:rPr>
        <w:tab/>
      </w:r>
    </w:p>
  </w:footnote>
  <w:footnote w:type="continuationSeparator" w:id="0">
    <w:p w:rsidR="000A03EA" w:rsidRDefault="000A03EA">
      <w:r>
        <w:rPr>
          <w:u w:val="single"/>
        </w:rPr>
        <w:tab/>
      </w:r>
      <w:r>
        <w:rPr>
          <w:u w:val="single"/>
        </w:rPr>
        <w:tab/>
      </w:r>
      <w:r>
        <w:rPr>
          <w:u w:val="single"/>
        </w:rPr>
        <w:tab/>
      </w:r>
      <w:r>
        <w:rPr>
          <w:u w:val="single"/>
        </w:rPr>
        <w:tab/>
      </w:r>
    </w:p>
  </w:footnote>
  <w:footnote w:type="continuationNotice" w:id="1">
    <w:p w:rsidR="000A03EA" w:rsidRDefault="000A03EA"/>
  </w:footnote>
  <w:footnote w:id="2">
    <w:p w:rsidR="000A03EA" w:rsidRPr="00757D82" w:rsidRDefault="000A03EA" w:rsidP="003B5BEF">
      <w:pPr>
        <w:pStyle w:val="FootnoteTex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w:t>
      </w:r>
      <w:r>
        <w:rPr>
          <w:rStyle w:val="FootnoteTextChar"/>
        </w:rPr>
        <w:t>’</w:t>
      </w:r>
      <w:r w:rsidRPr="00757D82">
        <w:rPr>
          <w:rStyle w:val="FootnoteTextChar"/>
        </w:rPr>
        <w:t>homme.</w:t>
      </w:r>
    </w:p>
  </w:footnote>
  <w:footnote w:id="3">
    <w:p w:rsidR="000A03EA" w:rsidRPr="005D29C8" w:rsidRDefault="000A03EA" w:rsidP="003B5BEF">
      <w:pPr>
        <w:pStyle w:val="FootnoteText"/>
      </w:pPr>
      <w:r>
        <w:tab/>
      </w:r>
      <w:r w:rsidRPr="00F31190">
        <w:rPr>
          <w:rStyle w:val="FootnoteReference"/>
          <w:sz w:val="20"/>
          <w:vertAlign w:val="baseline"/>
        </w:rPr>
        <w:t>**</w:t>
      </w:r>
      <w:r>
        <w:rPr>
          <w:sz w:val="20"/>
        </w:rPr>
        <w:tab/>
      </w:r>
      <w:r>
        <w:t xml:space="preserve">Les membres du Comité dont le nom suit ont participé à l’examen de la communication: </w:t>
      </w:r>
      <w:r>
        <w:rPr>
          <w:lang w:val="fr-FR"/>
        </w:rPr>
        <w:t>M. </w:t>
      </w:r>
      <w:r w:rsidRPr="00AC4634">
        <w:rPr>
          <w:lang w:val="fr-FR"/>
        </w:rPr>
        <w:t>Prafullachandra Natwarlal Bhagwati, M</w:t>
      </w:r>
      <w:r w:rsidRPr="00AC4634">
        <w:rPr>
          <w:vertAlign w:val="superscript"/>
          <w:lang w:val="fr-FR"/>
        </w:rPr>
        <w:t>me</w:t>
      </w:r>
      <w:r w:rsidRPr="00AC4634">
        <w:rPr>
          <w:lang w:val="fr-FR"/>
        </w:rPr>
        <w:t> Christine Chanet, M. Ahmad Amin Fathalla, M</w:t>
      </w:r>
      <w:r>
        <w:rPr>
          <w:lang w:val="fr-FR"/>
        </w:rPr>
        <w:t>. Yuji </w:t>
      </w:r>
      <w:r w:rsidRPr="00AC4634">
        <w:rPr>
          <w:lang w:val="fr-FR"/>
        </w:rPr>
        <w:t>Iwasawa, M</w:t>
      </w:r>
      <w:r w:rsidRPr="00AC4634">
        <w:rPr>
          <w:vertAlign w:val="superscript"/>
          <w:lang w:val="fr-FR"/>
        </w:rPr>
        <w:t>me</w:t>
      </w:r>
      <w:r w:rsidRPr="00AC4634">
        <w:rPr>
          <w:lang w:val="fr-FR"/>
        </w:rPr>
        <w:t xml:space="preserve"> Helen Keller, M. Rajsoomer Lallah, </w:t>
      </w:r>
      <w:r w:rsidRPr="00AC4634">
        <w:rPr>
          <w:bCs/>
          <w:lang w:val="fr-FR"/>
        </w:rPr>
        <w:t>M. Lazhari Bouzid</w:t>
      </w:r>
      <w:r w:rsidRPr="00AC4634">
        <w:rPr>
          <w:lang w:val="fr-FR"/>
        </w:rPr>
        <w:t>, M</w:t>
      </w:r>
      <w:r w:rsidRPr="00AC4634">
        <w:rPr>
          <w:vertAlign w:val="superscript"/>
          <w:lang w:val="fr-FR"/>
        </w:rPr>
        <w:t>me</w:t>
      </w:r>
      <w:r w:rsidRPr="00AC4634">
        <w:rPr>
          <w:lang w:val="fr-FR"/>
        </w:rPr>
        <w:t> Zonke Zanele Majodina, M</w:t>
      </w:r>
      <w:r w:rsidRPr="00AC4634">
        <w:rPr>
          <w:vertAlign w:val="superscript"/>
          <w:lang w:val="fr-FR"/>
        </w:rPr>
        <w:t>me</w:t>
      </w:r>
      <w:r w:rsidRPr="00AC4634">
        <w:rPr>
          <w:lang w:val="fr-FR"/>
        </w:rPr>
        <w:t> Iulia Antoanella Motoc, M. Michael O</w:t>
      </w:r>
      <w:r>
        <w:rPr>
          <w:lang w:val="fr-FR"/>
        </w:rPr>
        <w:t>’</w:t>
      </w:r>
      <w:r w:rsidRPr="00AC4634">
        <w:rPr>
          <w:lang w:val="fr-FR"/>
        </w:rPr>
        <w:t>Flaherty, M. José Luis Pérez S</w:t>
      </w:r>
      <w:r>
        <w:rPr>
          <w:lang w:val="fr-FR"/>
        </w:rPr>
        <w:t>á</w:t>
      </w:r>
      <w:r w:rsidRPr="00AC4634">
        <w:rPr>
          <w:lang w:val="fr-FR"/>
        </w:rPr>
        <w:t>nchez</w:t>
      </w:r>
      <w:r>
        <w:rPr>
          <w:lang w:val="fr-FR"/>
        </w:rPr>
        <w:t>-</w:t>
      </w:r>
      <w:r w:rsidRPr="00AC4634">
        <w:rPr>
          <w:lang w:val="fr-FR"/>
        </w:rPr>
        <w:t>Cerro, M. Rafael Rivas Posada, Sir</w:t>
      </w:r>
      <w:r>
        <w:rPr>
          <w:lang w:val="fr-FR"/>
        </w:rPr>
        <w:t xml:space="preserve"> </w:t>
      </w:r>
      <w:r w:rsidRPr="00AC4634">
        <w:rPr>
          <w:lang w:val="fr-FR"/>
        </w:rPr>
        <w:t xml:space="preserve">Nigel Rodley, </w:t>
      </w:r>
      <w:r w:rsidRPr="00AC4634">
        <w:rPr>
          <w:bCs/>
          <w:lang w:val="fr-FR"/>
        </w:rPr>
        <w:t>M. Fabi</w:t>
      </w:r>
      <w:r>
        <w:rPr>
          <w:bCs/>
          <w:lang w:val="fr-FR"/>
        </w:rPr>
        <w:t>á</w:t>
      </w:r>
      <w:r w:rsidRPr="00AC4634">
        <w:rPr>
          <w:bCs/>
          <w:lang w:val="fr-FR"/>
        </w:rPr>
        <w:t>n Omar Salvioli et M. Krister Thelin.</w:t>
      </w:r>
      <w:r>
        <w:rPr>
          <w:bCs/>
          <w:lang w:val="fr-FR"/>
        </w:rPr>
        <w:br/>
      </w:r>
      <w:r w:rsidRPr="00AC4634">
        <w:rPr>
          <w:lang w:val="fr-FR"/>
        </w:rPr>
        <w:t>Le texte d</w:t>
      </w:r>
      <w:r>
        <w:rPr>
          <w:lang w:val="fr-FR"/>
        </w:rPr>
        <w:t>’</w:t>
      </w:r>
      <w:r w:rsidRPr="00AC4634">
        <w:rPr>
          <w:lang w:val="fr-FR"/>
        </w:rPr>
        <w:t>une opinion individuelle signée de M. Krister Thelin est joint à la présente décision.</w:t>
      </w:r>
    </w:p>
  </w:footnote>
  <w:footnote w:id="4">
    <w:p w:rsidR="000A03EA" w:rsidRPr="00BD57CC" w:rsidRDefault="000A03EA" w:rsidP="003B5BEF">
      <w:pPr>
        <w:pStyle w:val="FootnoteText"/>
      </w:pPr>
      <w:r>
        <w:tab/>
      </w:r>
      <w:r>
        <w:rPr>
          <w:rStyle w:val="FootnoteReference"/>
        </w:rPr>
        <w:footnoteRef/>
      </w:r>
      <w:r>
        <w:tab/>
        <w:t>Le Protocole facultatif est entré en vigueur pour l’État partie le 22 février 1993.</w:t>
      </w:r>
    </w:p>
  </w:footnote>
  <w:footnote w:id="5">
    <w:p w:rsidR="000A03EA" w:rsidRDefault="000A03EA" w:rsidP="003B5BEF">
      <w:pPr>
        <w:pStyle w:val="FootnoteText"/>
      </w:pPr>
      <w:r>
        <w:tab/>
      </w:r>
      <w:r>
        <w:rPr>
          <w:rStyle w:val="FootnoteReference"/>
        </w:rPr>
        <w:footnoteRef/>
      </w:r>
      <w:r>
        <w:tab/>
        <w:t xml:space="preserve">En vertu de l’article premier du traité bilatéral relatif à la naturalisation conclu entre les </w:t>
      </w:r>
      <w:r>
        <w:rPr>
          <w:rFonts w:eastAsia="MS Mincho"/>
        </w:rPr>
        <w:t>États-Unis et la Tchécoslovaquie le 16 juillet 1928.</w:t>
      </w:r>
    </w:p>
  </w:footnote>
  <w:footnote w:id="6">
    <w:p w:rsidR="000A03EA" w:rsidRPr="00850D94" w:rsidRDefault="000A03EA" w:rsidP="003B5BEF">
      <w:pPr>
        <w:pStyle w:val="FootnoteText"/>
      </w:pPr>
      <w:r>
        <w:tab/>
      </w:r>
      <w:r>
        <w:rPr>
          <w:rStyle w:val="FootnoteReference"/>
        </w:rPr>
        <w:footnoteRef/>
      </w:r>
      <w:r>
        <w:tab/>
        <w:t>Décision du 3 mai 2005.</w:t>
      </w:r>
    </w:p>
  </w:footnote>
  <w:footnote w:id="7">
    <w:p w:rsidR="000A03EA" w:rsidRDefault="000A03EA" w:rsidP="003B5BEF">
      <w:pPr>
        <w:pStyle w:val="FootnoteText"/>
      </w:pPr>
      <w:r>
        <w:tab/>
      </w:r>
      <w:r>
        <w:rPr>
          <w:rStyle w:val="FootnoteReference"/>
        </w:rPr>
        <w:footnoteRef/>
      </w:r>
      <w:r>
        <w:tab/>
        <w:t xml:space="preserve">L’État partie fait également observer que la condition de la résidence permanente, qui était un critère obligatoire au titre de la loi </w:t>
      </w:r>
      <w:r w:rsidRPr="00C14D2A">
        <w:t>n</w:t>
      </w:r>
      <w:r w:rsidRPr="00C14D2A">
        <w:rPr>
          <w:vertAlign w:val="superscript"/>
        </w:rPr>
        <w:t>o</w:t>
      </w:r>
      <w:r>
        <w:t xml:space="preserve"> 87/1991 (qui s’ajoutait à celui de la nationalité), a été supprimée par une décision de la Cour constitutionnelle publiée au Journal officiel sous le numéro 164/1994.</w:t>
      </w:r>
    </w:p>
  </w:footnote>
  <w:footnote w:id="8">
    <w:p w:rsidR="000A03EA" w:rsidRDefault="000A03EA" w:rsidP="003B5BEF">
      <w:pPr>
        <w:pStyle w:val="FootnoteText"/>
      </w:pPr>
      <w:r>
        <w:tab/>
      </w:r>
      <w:r>
        <w:rPr>
          <w:rStyle w:val="FootnoteReference"/>
        </w:rPr>
        <w:footnoteRef/>
      </w:r>
      <w:r>
        <w:tab/>
        <w:t xml:space="preserve">L’État partie constate que les auteurs auraient dû fournir une «explication raisonnable qui a un fondement objectif et qui est également tenable», et il évoque également le principe général </w:t>
      </w:r>
      <w:r w:rsidRPr="00D82843">
        <w:rPr>
          <w:i/>
        </w:rPr>
        <w:t>ignorantia legis non excusat</w:t>
      </w:r>
      <w:r>
        <w:t>, ainsi que le fait que les intérêts subjectifs des auteurs ne sauraient primer les exigences de la sécurité juridique.</w:t>
      </w:r>
    </w:p>
  </w:footnote>
  <w:footnote w:id="9">
    <w:p w:rsidR="000A03EA" w:rsidRDefault="000A03EA" w:rsidP="003B5BEF">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1435/2005, </w:t>
      </w:r>
      <w:r w:rsidRPr="000E6D01">
        <w:rPr>
          <w:i/>
        </w:rPr>
        <w:t>Claude Fillacier</w:t>
      </w:r>
      <w:r>
        <w:t xml:space="preserve"> c. </w:t>
      </w:r>
      <w:r w:rsidRPr="000E6D01">
        <w:rPr>
          <w:i/>
        </w:rPr>
        <w:t>France</w:t>
      </w:r>
      <w:r>
        <w:t>.</w:t>
      </w:r>
    </w:p>
  </w:footnote>
  <w:footnote w:id="10">
    <w:p w:rsidR="000A03EA" w:rsidRPr="000E6D01" w:rsidRDefault="000A03EA" w:rsidP="003B5BEF">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787/1997, </w:t>
      </w:r>
      <w:r>
        <w:rPr>
          <w:i/>
        </w:rPr>
        <w:t>Gobin</w:t>
      </w:r>
      <w:r>
        <w:t xml:space="preserve"> c. </w:t>
      </w:r>
      <w:r>
        <w:rPr>
          <w:i/>
        </w:rPr>
        <w:t>Maurice</w:t>
      </w:r>
      <w:r>
        <w:t>.</w:t>
      </w:r>
    </w:p>
  </w:footnote>
  <w:footnote w:id="11">
    <w:p w:rsidR="000A03EA" w:rsidRPr="003D2922" w:rsidRDefault="000A03EA" w:rsidP="003B5BEF">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1452/2006, </w:t>
      </w:r>
      <w:r>
        <w:rPr>
          <w:i/>
        </w:rPr>
        <w:t>Renatus J. Chytil</w:t>
      </w:r>
      <w:r>
        <w:t xml:space="preserve"> c. </w:t>
      </w:r>
      <w:r>
        <w:rPr>
          <w:i/>
        </w:rPr>
        <w:t>République tchèque. A contrario</w:t>
      </w:r>
      <w:r>
        <w:t xml:space="preserve">, l’État partie a invoqué la communication </w:t>
      </w:r>
      <w:r>
        <w:rPr>
          <w:rFonts w:eastAsia="MS Mincho"/>
        </w:rPr>
        <w:t>n</w:t>
      </w:r>
      <w:r>
        <w:rPr>
          <w:rFonts w:eastAsia="MS Mincho"/>
          <w:vertAlign w:val="superscript"/>
        </w:rPr>
        <w:t>o</w:t>
      </w:r>
      <w:r>
        <w:t xml:space="preserve"> 1533/2006, </w:t>
      </w:r>
      <w:r>
        <w:rPr>
          <w:i/>
        </w:rPr>
        <w:t xml:space="preserve">Zdenek Ondracka </w:t>
      </w:r>
      <w:r w:rsidRPr="0024369B">
        <w:rPr>
          <w:i/>
        </w:rPr>
        <w:t>et</w:t>
      </w:r>
      <w:r>
        <w:t xml:space="preserve"> </w:t>
      </w:r>
      <w:r>
        <w:rPr>
          <w:i/>
        </w:rPr>
        <w:t>Milada Ondrackova</w:t>
      </w:r>
      <w:r>
        <w:t xml:space="preserve"> c. </w:t>
      </w:r>
      <w:r>
        <w:rPr>
          <w:i/>
        </w:rPr>
        <w:t>République tchèque</w:t>
      </w:r>
      <w:r>
        <w:t xml:space="preserve">. L’État partie note également que la jurisprudence du Comité n’a pas toujours été concordante s’agissant du délai au-delà duquel le Comité estime qu’il y a abus du droit de présenter une communication, et il souligne qu’il partage l’opinion dissidente du membre du Comité M. Abdelfattah Amor, dans l’affaire </w:t>
      </w:r>
      <w:r>
        <w:rPr>
          <w:i/>
        </w:rPr>
        <w:t>Zdenek</w:t>
      </w:r>
      <w:r>
        <w:t>.</w:t>
      </w:r>
    </w:p>
  </w:footnote>
  <w:footnote w:id="12">
    <w:p w:rsidR="000A03EA" w:rsidRPr="00732EA0" w:rsidRDefault="000A03EA" w:rsidP="003B5BEF">
      <w:pPr>
        <w:pStyle w:val="FootnoteText"/>
      </w:pPr>
      <w:r>
        <w:tab/>
      </w:r>
      <w:r>
        <w:rPr>
          <w:rStyle w:val="FootnoteReference"/>
        </w:rPr>
        <w:footnoteRef/>
      </w:r>
      <w:r>
        <w:tab/>
        <w:t xml:space="preserve">L’État partie renvoie à la communication </w:t>
      </w:r>
      <w:r>
        <w:rPr>
          <w:rFonts w:eastAsia="MS Mincho"/>
        </w:rPr>
        <w:t>n</w:t>
      </w:r>
      <w:r>
        <w:rPr>
          <w:rFonts w:eastAsia="MS Mincho"/>
          <w:vertAlign w:val="superscript"/>
        </w:rPr>
        <w:t>o</w:t>
      </w:r>
      <w:r>
        <w:t xml:space="preserve"> 182/1984, </w:t>
      </w:r>
      <w:r>
        <w:rPr>
          <w:i/>
        </w:rPr>
        <w:t xml:space="preserve">F. H. Zwaan-de Vries </w:t>
      </w:r>
      <w:r>
        <w:t xml:space="preserve">c. </w:t>
      </w:r>
      <w:r>
        <w:rPr>
          <w:i/>
        </w:rPr>
        <w:t>Pays-Bas</w:t>
      </w:r>
      <w:r>
        <w:t>.</w:t>
      </w:r>
    </w:p>
  </w:footnote>
  <w:footnote w:id="13">
    <w:p w:rsidR="000A03EA" w:rsidRDefault="000A03EA" w:rsidP="003B5BEF">
      <w:pPr>
        <w:pStyle w:val="FootnoteText"/>
      </w:pPr>
      <w:r>
        <w:tab/>
      </w:r>
      <w:r>
        <w:rPr>
          <w:rStyle w:val="FootnoteReference"/>
        </w:rPr>
        <w:footnoteRef/>
      </w:r>
      <w:r>
        <w:tab/>
        <w:t xml:space="preserve">CCPR/C/CZE/CO/2, Observations finales du Comité des droits de l’homme concernant le deuxième rapport périodique de la République tchèque présenté en vertu du Pacte international relatif aux droits civils et politiques, adoptées le 25 juillet 2007. Le Comité a notamment engagé «l’État partie à donner effet à toutes ses constatations, y compris aux recommandations qui portent sur des affaires relatives à la loi </w:t>
      </w:r>
      <w:r>
        <w:rPr>
          <w:rFonts w:eastAsia="MS Mincho"/>
        </w:rPr>
        <w:t>n</w:t>
      </w:r>
      <w:r>
        <w:rPr>
          <w:rFonts w:eastAsia="MS Mincho"/>
          <w:vertAlign w:val="superscript"/>
        </w:rPr>
        <w:t>o</w:t>
      </w:r>
      <w:r>
        <w:t> 87/91 de 1991, de façon à restituer leur bien aux personnes lésées ou à leur accorder une indemnisation».</w:t>
      </w:r>
    </w:p>
  </w:footnote>
  <w:footnote w:id="14">
    <w:p w:rsidR="000A03EA" w:rsidRDefault="000A03EA" w:rsidP="003B5BEF">
      <w:pPr>
        <w:pStyle w:val="FootnoteText"/>
      </w:pPr>
      <w:r>
        <w:tab/>
      </w:r>
      <w:r>
        <w:rPr>
          <w:rStyle w:val="FootnoteReference"/>
        </w:rPr>
        <w:footnoteRef/>
      </w:r>
      <w:r>
        <w:tab/>
        <w:t>Voir la communication n</w:t>
      </w:r>
      <w:r>
        <w:rPr>
          <w:vertAlign w:val="superscript"/>
        </w:rPr>
        <w:t>o</w:t>
      </w:r>
      <w:r>
        <w:t xml:space="preserve"> 1434/2005, </w:t>
      </w:r>
      <w:r>
        <w:rPr>
          <w:i/>
        </w:rPr>
        <w:t>Fillacier</w:t>
      </w:r>
      <w:r>
        <w:t xml:space="preserve"> c. </w:t>
      </w:r>
      <w:r>
        <w:rPr>
          <w:i/>
        </w:rPr>
        <w:t>France</w:t>
      </w:r>
      <w:r>
        <w:t>, par. 4.3 et la communication n</w:t>
      </w:r>
      <w:r>
        <w:rPr>
          <w:vertAlign w:val="superscript"/>
        </w:rPr>
        <w:t>o</w:t>
      </w:r>
      <w:r>
        <w:t xml:space="preserve"> 787/1997, </w:t>
      </w:r>
      <w:r>
        <w:rPr>
          <w:i/>
        </w:rPr>
        <w:t>Gobin</w:t>
      </w:r>
      <w:r>
        <w:t xml:space="preserve"> c.</w:t>
      </w:r>
      <w:r>
        <w:rPr>
          <w:i/>
        </w:rPr>
        <w:t xml:space="preserve"> Maurice</w:t>
      </w:r>
      <w:r>
        <w:t>, par. 6.3.</w:t>
      </w:r>
    </w:p>
  </w:footnote>
  <w:footnote w:id="15">
    <w:p w:rsidR="000A03EA" w:rsidRPr="00E47033" w:rsidRDefault="000A03EA" w:rsidP="003B5BEF">
      <w:pPr>
        <w:pStyle w:val="FootnoteText"/>
      </w:pPr>
      <w:r>
        <w:tab/>
      </w:r>
      <w:r>
        <w:rPr>
          <w:rStyle w:val="FootnoteReference"/>
        </w:rPr>
        <w:footnoteRef/>
      </w:r>
      <w:r>
        <w:tab/>
        <w:t xml:space="preserve">Voir la communication </w:t>
      </w:r>
      <w:r>
        <w:rPr>
          <w:rFonts w:eastAsia="MS Mincho"/>
        </w:rPr>
        <w:t>n</w:t>
      </w:r>
      <w:r>
        <w:rPr>
          <w:rFonts w:eastAsia="MS Mincho"/>
          <w:vertAlign w:val="superscript"/>
        </w:rPr>
        <w:t>o</w:t>
      </w:r>
      <w:r>
        <w:t xml:space="preserve"> 586/1994, </w:t>
      </w:r>
      <w:r>
        <w:rPr>
          <w:i/>
        </w:rPr>
        <w:t>Adam</w:t>
      </w:r>
      <w:r>
        <w:t xml:space="preserve"> c.</w:t>
      </w:r>
      <w:r>
        <w:rPr>
          <w:i/>
        </w:rPr>
        <w:t xml:space="preserve"> République tchèque</w:t>
      </w:r>
      <w:r>
        <w:t>, constatations adoptées le 23 juillet 1996, par. 6.3.</w:t>
      </w:r>
    </w:p>
  </w:footnote>
  <w:footnote w:id="16">
    <w:p w:rsidR="000A03EA" w:rsidRPr="00E47033" w:rsidRDefault="000A03EA" w:rsidP="003B5BEF">
      <w:pPr>
        <w:pStyle w:val="FootnoteText"/>
      </w:pPr>
      <w:r>
        <w:tab/>
      </w:r>
      <w:r>
        <w:rPr>
          <w:rStyle w:val="FootnoteReference"/>
        </w:rPr>
        <w:footnoteRef/>
      </w:r>
      <w:r>
        <w:tab/>
        <w:t>Voir la communication n</w:t>
      </w:r>
      <w:r>
        <w:rPr>
          <w:vertAlign w:val="superscript"/>
        </w:rPr>
        <w:t>o</w:t>
      </w:r>
      <w:r>
        <w:t xml:space="preserve"> 182/1984, </w:t>
      </w:r>
      <w:r>
        <w:rPr>
          <w:i/>
        </w:rPr>
        <w:t>Zwaan-de Vries</w:t>
      </w:r>
      <w:r>
        <w:t xml:space="preserve"> c. </w:t>
      </w:r>
      <w:r>
        <w:rPr>
          <w:i/>
        </w:rPr>
        <w:t>Pays-Bas</w:t>
      </w:r>
      <w:r>
        <w:t>, constatations adoptées le 9 avril 1987, par. 13.</w:t>
      </w:r>
    </w:p>
  </w:footnote>
  <w:footnote w:id="17">
    <w:p w:rsidR="000A03EA" w:rsidRPr="00124913" w:rsidRDefault="000A03EA" w:rsidP="003B5BEF">
      <w:pPr>
        <w:pStyle w:val="FootnoteText"/>
      </w:pPr>
      <w:r>
        <w:tab/>
      </w:r>
      <w:r>
        <w:rPr>
          <w:rStyle w:val="FootnoteReference"/>
        </w:rPr>
        <w:footnoteRef/>
      </w:r>
      <w:r>
        <w:tab/>
        <w:t>Communication n</w:t>
      </w:r>
      <w:r>
        <w:rPr>
          <w:vertAlign w:val="superscript"/>
        </w:rPr>
        <w:t>o</w:t>
      </w:r>
      <w:r>
        <w:t xml:space="preserve"> 516/1992, </w:t>
      </w:r>
      <w:r>
        <w:rPr>
          <w:i/>
        </w:rPr>
        <w:t xml:space="preserve">Simunek </w:t>
      </w:r>
      <w:r>
        <w:t>c.</w:t>
      </w:r>
      <w:r>
        <w:rPr>
          <w:i/>
        </w:rPr>
        <w:t xml:space="preserve"> République tchèque</w:t>
      </w:r>
      <w:r>
        <w:t>, constatations adoptées le 19 juillet 1995, par. 11.6; communication n</w:t>
      </w:r>
      <w:r>
        <w:rPr>
          <w:vertAlign w:val="superscript"/>
        </w:rPr>
        <w:t>o</w:t>
      </w:r>
      <w:r>
        <w:t xml:space="preserve"> 586/1994, </w:t>
      </w:r>
      <w:r>
        <w:rPr>
          <w:i/>
        </w:rPr>
        <w:t>Adam</w:t>
      </w:r>
      <w:r>
        <w:t xml:space="preserve"> c. </w:t>
      </w:r>
      <w:r>
        <w:rPr>
          <w:i/>
        </w:rPr>
        <w:t>République tchèque</w:t>
      </w:r>
      <w:r>
        <w:t>, constatations adoptées le 23 juillet 1996, par. 12.6; communication n</w:t>
      </w:r>
      <w:r>
        <w:rPr>
          <w:vertAlign w:val="superscript"/>
        </w:rPr>
        <w:t>o</w:t>
      </w:r>
      <w:r>
        <w:t xml:space="preserve"> 857/1999, </w:t>
      </w:r>
      <w:r>
        <w:rPr>
          <w:i/>
        </w:rPr>
        <w:t>Blazek</w:t>
      </w:r>
      <w:r>
        <w:t xml:space="preserve"> c. </w:t>
      </w:r>
      <w:r>
        <w:rPr>
          <w:i/>
        </w:rPr>
        <w:t>République tchèque</w:t>
      </w:r>
      <w:r>
        <w:t>, constatations adoptées le 12 juillet 2001, par. 5.8; communication n</w:t>
      </w:r>
      <w:r>
        <w:rPr>
          <w:vertAlign w:val="superscript"/>
        </w:rPr>
        <w:t>o</w:t>
      </w:r>
      <w:r>
        <w:t xml:space="preserve"> 945/2000, </w:t>
      </w:r>
      <w:r>
        <w:rPr>
          <w:i/>
        </w:rPr>
        <w:t xml:space="preserve">Marik </w:t>
      </w:r>
      <w:r>
        <w:t xml:space="preserve">c. </w:t>
      </w:r>
      <w:r>
        <w:rPr>
          <w:i/>
        </w:rPr>
        <w:t>République tchèque</w:t>
      </w:r>
      <w:r>
        <w:t>, constatations adoptées le 26 juillet 2005, par. 6.4; communication n</w:t>
      </w:r>
      <w:r>
        <w:rPr>
          <w:vertAlign w:val="superscript"/>
        </w:rPr>
        <w:t>o</w:t>
      </w:r>
      <w:r>
        <w:t xml:space="preserve"> 1054/2002, </w:t>
      </w:r>
      <w:r>
        <w:rPr>
          <w:i/>
        </w:rPr>
        <w:t xml:space="preserve">Kriz </w:t>
      </w:r>
      <w:r>
        <w:t xml:space="preserve">c. </w:t>
      </w:r>
      <w:r>
        <w:rPr>
          <w:i/>
        </w:rPr>
        <w:t>République tchèque</w:t>
      </w:r>
      <w:r>
        <w:t>, constatations adoptées le 1</w:t>
      </w:r>
      <w:r w:rsidRPr="00124913">
        <w:rPr>
          <w:vertAlign w:val="superscript"/>
        </w:rPr>
        <w:t>er</w:t>
      </w:r>
      <w:r>
        <w:t> novembre 2005, par. 7.3; communication n</w:t>
      </w:r>
      <w:r>
        <w:rPr>
          <w:vertAlign w:val="superscript"/>
        </w:rPr>
        <w:t>o</w:t>
      </w:r>
      <w:r>
        <w:t xml:space="preserve"> 1445/2006,</w:t>
      </w:r>
      <w:r>
        <w:rPr>
          <w:i/>
        </w:rPr>
        <w:t xml:space="preserve"> Polackova et Polacek</w:t>
      </w:r>
      <w:r>
        <w:t xml:space="preserve"> c. </w:t>
      </w:r>
      <w:r>
        <w:rPr>
          <w:i/>
        </w:rPr>
        <w:t>République tchèque</w:t>
      </w:r>
      <w:r>
        <w:t>, constatations adoptées le 24 juillet 2007, par. 7.4; communication n</w:t>
      </w:r>
      <w:r>
        <w:rPr>
          <w:vertAlign w:val="superscript"/>
        </w:rPr>
        <w:t>o</w:t>
      </w:r>
      <w:r>
        <w:t xml:space="preserve"> 1463/2006, </w:t>
      </w:r>
      <w:r>
        <w:rPr>
          <w:i/>
        </w:rPr>
        <w:t>Gratzinger</w:t>
      </w:r>
      <w:r>
        <w:t xml:space="preserve"> c. </w:t>
      </w:r>
      <w:r>
        <w:rPr>
          <w:i/>
        </w:rPr>
        <w:t>République tchèque</w:t>
      </w:r>
      <w:r>
        <w:t>, constatations adoptées le 25 octobre 2007, par. 7.5; et communication n</w:t>
      </w:r>
      <w:r>
        <w:rPr>
          <w:vertAlign w:val="superscript"/>
        </w:rPr>
        <w:t>o</w:t>
      </w:r>
      <w:r>
        <w:t xml:space="preserve"> 1533/2006, </w:t>
      </w:r>
      <w:r>
        <w:rPr>
          <w:i/>
        </w:rPr>
        <w:t>Ondracka</w:t>
      </w:r>
      <w:r>
        <w:t xml:space="preserve"> c. </w:t>
      </w:r>
      <w:r>
        <w:rPr>
          <w:i/>
        </w:rPr>
        <w:t>République tchèque</w:t>
      </w:r>
      <w:r>
        <w:t>, constatations adoptées le 2 novembre 2007, par. 7.</w:t>
      </w:r>
    </w:p>
  </w:footnote>
  <w:footnote w:id="18">
    <w:p w:rsidR="000A03EA" w:rsidRDefault="000A03EA" w:rsidP="003B5BEF">
      <w:pPr>
        <w:pStyle w:val="FootnoteText"/>
      </w:pPr>
      <w:r>
        <w:tab/>
      </w:r>
      <w:r>
        <w:rPr>
          <w:rStyle w:val="FootnoteReference"/>
        </w:rPr>
        <w:footnoteRef/>
      </w:r>
      <w:r>
        <w:tab/>
        <w:t>Communication n</w:t>
      </w:r>
      <w:r>
        <w:rPr>
          <w:vertAlign w:val="superscript"/>
        </w:rPr>
        <w:t>o</w:t>
      </w:r>
      <w:r>
        <w:t xml:space="preserve"> 747/1997, </w:t>
      </w:r>
      <w:r>
        <w:rPr>
          <w:i/>
        </w:rPr>
        <w:t>Des Fours Walderode</w:t>
      </w:r>
      <w:r>
        <w:t xml:space="preserve"> c. </w:t>
      </w:r>
      <w:r>
        <w:rPr>
          <w:i/>
        </w:rPr>
        <w:t>République tchèque</w:t>
      </w:r>
      <w:r>
        <w:t>, constatations adoptées le 30 octobre 2001, par. 8.3 et 8.4.</w:t>
      </w:r>
    </w:p>
  </w:footnote>
  <w:footnote w:id="19">
    <w:p w:rsidR="000A03EA" w:rsidRPr="007550C3" w:rsidRDefault="000A03EA" w:rsidP="003B5BEF">
      <w:pPr>
        <w:pStyle w:val="FootnoteText"/>
      </w:pPr>
      <w:r>
        <w:tab/>
      </w:r>
      <w:r w:rsidRPr="008B6ABB">
        <w:rPr>
          <w:rStyle w:val="FootnoteReference"/>
        </w:rPr>
        <w:footnoteRef/>
      </w:r>
      <w:r>
        <w:tab/>
      </w:r>
      <w:r w:rsidRPr="007550C3">
        <w:t xml:space="preserve">Communications </w:t>
      </w:r>
      <w:r w:rsidRPr="00C14D2A">
        <w:t>n</w:t>
      </w:r>
      <w:r w:rsidRPr="00C14D2A">
        <w:rPr>
          <w:vertAlign w:val="superscript"/>
        </w:rPr>
        <w:t>o</w:t>
      </w:r>
      <w:r>
        <w:t xml:space="preserve"> </w:t>
      </w:r>
      <w:r w:rsidRPr="007550C3">
        <w:t xml:space="preserve">1434/2005, </w:t>
      </w:r>
      <w:r w:rsidRPr="007550C3">
        <w:rPr>
          <w:i/>
          <w:iCs/>
        </w:rPr>
        <w:t xml:space="preserve">Fillacier </w:t>
      </w:r>
      <w:r w:rsidRPr="0095719C">
        <w:rPr>
          <w:iCs/>
        </w:rPr>
        <w:t>c.</w:t>
      </w:r>
      <w:r w:rsidRPr="007550C3">
        <w:rPr>
          <w:i/>
          <w:iCs/>
        </w:rPr>
        <w:t xml:space="preserve"> France</w:t>
      </w:r>
      <w:r w:rsidRPr="007550C3">
        <w:t xml:space="preserve"> </w:t>
      </w:r>
      <w:r>
        <w:t>et</w:t>
      </w:r>
      <w:r w:rsidRPr="007550C3">
        <w:t xml:space="preserve"> </w:t>
      </w:r>
      <w:r w:rsidRPr="00C14D2A">
        <w:t>n</w:t>
      </w:r>
      <w:r w:rsidRPr="00C14D2A">
        <w:rPr>
          <w:vertAlign w:val="superscript"/>
        </w:rPr>
        <w:t>o</w:t>
      </w:r>
      <w:r>
        <w:t xml:space="preserve"> </w:t>
      </w:r>
      <w:r w:rsidRPr="007550C3">
        <w:t xml:space="preserve">787/1997, </w:t>
      </w:r>
      <w:r w:rsidRPr="007550C3">
        <w:rPr>
          <w:i/>
          <w:iCs/>
        </w:rPr>
        <w:t xml:space="preserve">Gobin </w:t>
      </w:r>
      <w:r w:rsidRPr="0095719C">
        <w:rPr>
          <w:iCs/>
        </w:rPr>
        <w:t>c.</w:t>
      </w:r>
      <w:r w:rsidRPr="007550C3">
        <w:rPr>
          <w:i/>
          <w:iCs/>
        </w:rPr>
        <w:t xml:space="preserve"> Mauri</w:t>
      </w:r>
      <w:r>
        <w:rPr>
          <w:i/>
          <w:iCs/>
        </w:rPr>
        <w:t>ce</w:t>
      </w:r>
      <w:r>
        <w:t>; c</w:t>
      </w:r>
      <w:r w:rsidRPr="007550C3">
        <w:t xml:space="preserve">f. </w:t>
      </w:r>
      <w:r>
        <w:t>c</w:t>
      </w:r>
      <w:r w:rsidRPr="007550C3">
        <w:t xml:space="preserve">ommunications </w:t>
      </w:r>
      <w:r w:rsidRPr="00C14D2A">
        <w:t>n</w:t>
      </w:r>
      <w:r w:rsidRPr="00C14D2A">
        <w:rPr>
          <w:vertAlign w:val="superscript"/>
        </w:rPr>
        <w:t>o</w:t>
      </w:r>
      <w:r>
        <w:t xml:space="preserve"> </w:t>
      </w:r>
      <w:r w:rsidRPr="007550C3">
        <w:t xml:space="preserve">1452/2006, </w:t>
      </w:r>
      <w:r w:rsidRPr="007550C3">
        <w:rPr>
          <w:i/>
          <w:iCs/>
        </w:rPr>
        <w:t>Chytil</w:t>
      </w:r>
      <w:r w:rsidRPr="007550C3">
        <w:t xml:space="preserve"> c. </w:t>
      </w:r>
      <w:r w:rsidRPr="007550C3">
        <w:rPr>
          <w:i/>
          <w:iCs/>
        </w:rPr>
        <w:t>République tchèque</w:t>
      </w:r>
      <w:r w:rsidRPr="0095719C">
        <w:rPr>
          <w:iCs/>
        </w:rPr>
        <w:t>;</w:t>
      </w:r>
      <w:r w:rsidRPr="0095719C">
        <w:t xml:space="preserve"> </w:t>
      </w:r>
      <w:r w:rsidRPr="00C14D2A">
        <w:t>n</w:t>
      </w:r>
      <w:r w:rsidRPr="00C14D2A">
        <w:rPr>
          <w:vertAlign w:val="superscript"/>
        </w:rPr>
        <w:t>o</w:t>
      </w:r>
      <w:r>
        <w:t xml:space="preserve"> </w:t>
      </w:r>
      <w:r w:rsidRPr="007550C3">
        <w:t xml:space="preserve">1484/2006, </w:t>
      </w:r>
      <w:r w:rsidRPr="007550C3">
        <w:rPr>
          <w:i/>
          <w:iCs/>
        </w:rPr>
        <w:t xml:space="preserve">Lnenicka </w:t>
      </w:r>
      <w:r w:rsidRPr="0095719C">
        <w:rPr>
          <w:iCs/>
        </w:rPr>
        <w:t>c</w:t>
      </w:r>
      <w:r w:rsidRPr="0095719C">
        <w:t>.</w:t>
      </w:r>
      <w:r w:rsidRPr="007550C3">
        <w:t xml:space="preserve"> </w:t>
      </w:r>
      <w:r w:rsidRPr="007550C3">
        <w:rPr>
          <w:i/>
          <w:iCs/>
        </w:rPr>
        <w:t>République tchèque</w:t>
      </w:r>
      <w:r w:rsidRPr="007550C3">
        <w:t xml:space="preserve">; </w:t>
      </w:r>
      <w:r w:rsidRPr="00C14D2A">
        <w:t>n</w:t>
      </w:r>
      <w:r w:rsidRPr="00C14D2A">
        <w:rPr>
          <w:vertAlign w:val="superscript"/>
        </w:rPr>
        <w:t>o</w:t>
      </w:r>
      <w:r>
        <w:t xml:space="preserve"> </w:t>
      </w:r>
      <w:r w:rsidRPr="007550C3">
        <w:t xml:space="preserve">1485/2006, </w:t>
      </w:r>
      <w:r w:rsidRPr="007550C3">
        <w:rPr>
          <w:i/>
          <w:iCs/>
        </w:rPr>
        <w:t xml:space="preserve">Vlcek </w:t>
      </w:r>
      <w:r w:rsidRPr="0095719C">
        <w:rPr>
          <w:iCs/>
        </w:rPr>
        <w:t>c</w:t>
      </w:r>
      <w:r w:rsidRPr="0095719C">
        <w:t>.</w:t>
      </w:r>
      <w:r w:rsidRPr="007550C3">
        <w:t xml:space="preserve"> </w:t>
      </w:r>
      <w:r w:rsidRPr="007550C3">
        <w:rPr>
          <w:i/>
          <w:iCs/>
        </w:rPr>
        <w:t xml:space="preserve">République tchèque </w:t>
      </w:r>
      <w:r>
        <w:t>et</w:t>
      </w:r>
      <w:r w:rsidRPr="007550C3">
        <w:t xml:space="preserve"> </w:t>
      </w:r>
      <w:r w:rsidRPr="00C14D2A">
        <w:t>n</w:t>
      </w:r>
      <w:r w:rsidRPr="00C14D2A">
        <w:rPr>
          <w:vertAlign w:val="superscript"/>
        </w:rPr>
        <w:t>o</w:t>
      </w:r>
      <w:r>
        <w:t xml:space="preserve"> </w:t>
      </w:r>
      <w:r w:rsidRPr="007550C3">
        <w:t xml:space="preserve">1582/2007, </w:t>
      </w:r>
      <w:r w:rsidRPr="007550C3">
        <w:rPr>
          <w:i/>
          <w:iCs/>
        </w:rPr>
        <w:t xml:space="preserve">Kudrna </w:t>
      </w:r>
      <w:r w:rsidRPr="0095719C">
        <w:rPr>
          <w:iCs/>
        </w:rPr>
        <w:t>c</w:t>
      </w:r>
      <w:r w:rsidRPr="0095719C">
        <w:t>.</w:t>
      </w:r>
      <w:r w:rsidRPr="007550C3">
        <w:t xml:space="preserve"> </w:t>
      </w:r>
      <w:r w:rsidRPr="007550C3">
        <w:rPr>
          <w:i/>
          <w:iCs/>
        </w:rPr>
        <w:t>République tchèque.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A" w:rsidRPr="004A1AC9" w:rsidRDefault="000A03EA">
    <w:pPr>
      <w:pStyle w:val="Header"/>
    </w:pPr>
    <w:r>
      <w:t>CCPR/C/96/D/1574/2007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A" w:rsidRPr="004A1AC9" w:rsidRDefault="000A03EA" w:rsidP="004A1AC9">
    <w:pPr>
      <w:pStyle w:val="Header"/>
      <w:jc w:val="right"/>
    </w:pPr>
    <w:r>
      <w:t>CCPR/C/96/D/1574/2007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3D4"/>
    <w:rsid w:val="00016AC5"/>
    <w:rsid w:val="000236A2"/>
    <w:rsid w:val="00065ECB"/>
    <w:rsid w:val="00071EA9"/>
    <w:rsid w:val="0007545B"/>
    <w:rsid w:val="000A03EA"/>
    <w:rsid w:val="000C461C"/>
    <w:rsid w:val="000D680E"/>
    <w:rsid w:val="000F41F2"/>
    <w:rsid w:val="000F7365"/>
    <w:rsid w:val="001444F6"/>
    <w:rsid w:val="001463A7"/>
    <w:rsid w:val="001472B7"/>
    <w:rsid w:val="00160540"/>
    <w:rsid w:val="00192EEB"/>
    <w:rsid w:val="001A20FB"/>
    <w:rsid w:val="001C28C8"/>
    <w:rsid w:val="001C6CB4"/>
    <w:rsid w:val="001E3FEB"/>
    <w:rsid w:val="001E4A02"/>
    <w:rsid w:val="001F4675"/>
    <w:rsid w:val="0024293A"/>
    <w:rsid w:val="002659F1"/>
    <w:rsid w:val="00287E79"/>
    <w:rsid w:val="002928F9"/>
    <w:rsid w:val="002A5D07"/>
    <w:rsid w:val="002D6A77"/>
    <w:rsid w:val="003016B7"/>
    <w:rsid w:val="003101C6"/>
    <w:rsid w:val="0031186B"/>
    <w:rsid w:val="00320072"/>
    <w:rsid w:val="0034214E"/>
    <w:rsid w:val="003515AA"/>
    <w:rsid w:val="003573F5"/>
    <w:rsid w:val="0036726B"/>
    <w:rsid w:val="00374106"/>
    <w:rsid w:val="00385399"/>
    <w:rsid w:val="003976D5"/>
    <w:rsid w:val="003B4CBD"/>
    <w:rsid w:val="003B5BEF"/>
    <w:rsid w:val="003C6783"/>
    <w:rsid w:val="003D6C68"/>
    <w:rsid w:val="003F5551"/>
    <w:rsid w:val="00414794"/>
    <w:rsid w:val="004159D0"/>
    <w:rsid w:val="004811D3"/>
    <w:rsid w:val="00481EC5"/>
    <w:rsid w:val="004A1AC9"/>
    <w:rsid w:val="004C52E8"/>
    <w:rsid w:val="004F1E50"/>
    <w:rsid w:val="004F2C80"/>
    <w:rsid w:val="005103DE"/>
    <w:rsid w:val="00571F41"/>
    <w:rsid w:val="00572B3F"/>
    <w:rsid w:val="005753C4"/>
    <w:rsid w:val="005D01DD"/>
    <w:rsid w:val="005D29C8"/>
    <w:rsid w:val="005E5D1F"/>
    <w:rsid w:val="00612D48"/>
    <w:rsid w:val="00616B45"/>
    <w:rsid w:val="00624735"/>
    <w:rsid w:val="006312C9"/>
    <w:rsid w:val="00631953"/>
    <w:rsid w:val="00642728"/>
    <w:rsid w:val="006439EC"/>
    <w:rsid w:val="00644659"/>
    <w:rsid w:val="00663CB6"/>
    <w:rsid w:val="006B4590"/>
    <w:rsid w:val="006C340C"/>
    <w:rsid w:val="0070347C"/>
    <w:rsid w:val="00757D82"/>
    <w:rsid w:val="007B0586"/>
    <w:rsid w:val="00817A26"/>
    <w:rsid w:val="00844750"/>
    <w:rsid w:val="00850D94"/>
    <w:rsid w:val="00886128"/>
    <w:rsid w:val="00886D12"/>
    <w:rsid w:val="008E7FAE"/>
    <w:rsid w:val="009033FB"/>
    <w:rsid w:val="00911BF7"/>
    <w:rsid w:val="00925D86"/>
    <w:rsid w:val="0095719C"/>
    <w:rsid w:val="009717AD"/>
    <w:rsid w:val="00976995"/>
    <w:rsid w:val="00977EC8"/>
    <w:rsid w:val="009D3A8C"/>
    <w:rsid w:val="009E7956"/>
    <w:rsid w:val="009F081F"/>
    <w:rsid w:val="009F7F79"/>
    <w:rsid w:val="00A136F2"/>
    <w:rsid w:val="00A20BEB"/>
    <w:rsid w:val="00A2492E"/>
    <w:rsid w:val="00A423DE"/>
    <w:rsid w:val="00A85799"/>
    <w:rsid w:val="00AC2A67"/>
    <w:rsid w:val="00AC4634"/>
    <w:rsid w:val="00AC7977"/>
    <w:rsid w:val="00AD41FE"/>
    <w:rsid w:val="00AE352C"/>
    <w:rsid w:val="00B00515"/>
    <w:rsid w:val="00B22B0B"/>
    <w:rsid w:val="00B32E2D"/>
    <w:rsid w:val="00B457BF"/>
    <w:rsid w:val="00B510C0"/>
    <w:rsid w:val="00B57784"/>
    <w:rsid w:val="00B61990"/>
    <w:rsid w:val="00B955CB"/>
    <w:rsid w:val="00BA405E"/>
    <w:rsid w:val="00BA42F9"/>
    <w:rsid w:val="00BB6E96"/>
    <w:rsid w:val="00BC4903"/>
    <w:rsid w:val="00BF0556"/>
    <w:rsid w:val="00C02B77"/>
    <w:rsid w:val="00C17857"/>
    <w:rsid w:val="00C261F8"/>
    <w:rsid w:val="00C514EE"/>
    <w:rsid w:val="00CB2BAF"/>
    <w:rsid w:val="00CC207F"/>
    <w:rsid w:val="00CD1A71"/>
    <w:rsid w:val="00CD1FBB"/>
    <w:rsid w:val="00CF79C1"/>
    <w:rsid w:val="00D016B5"/>
    <w:rsid w:val="00D034F1"/>
    <w:rsid w:val="00D27D5E"/>
    <w:rsid w:val="00D652C8"/>
    <w:rsid w:val="00D77E85"/>
    <w:rsid w:val="00D80BC5"/>
    <w:rsid w:val="00DB42E2"/>
    <w:rsid w:val="00DB681C"/>
    <w:rsid w:val="00DC2F07"/>
    <w:rsid w:val="00DE6D90"/>
    <w:rsid w:val="00DF002F"/>
    <w:rsid w:val="00DF5248"/>
    <w:rsid w:val="00DF5D80"/>
    <w:rsid w:val="00E0244D"/>
    <w:rsid w:val="00E20C9C"/>
    <w:rsid w:val="00E4261C"/>
    <w:rsid w:val="00E50BEB"/>
    <w:rsid w:val="00E5485D"/>
    <w:rsid w:val="00E81E94"/>
    <w:rsid w:val="00E82607"/>
    <w:rsid w:val="00E849E1"/>
    <w:rsid w:val="00EA5BC9"/>
    <w:rsid w:val="00EB3164"/>
    <w:rsid w:val="00EC181F"/>
    <w:rsid w:val="00EC6E49"/>
    <w:rsid w:val="00EC788F"/>
    <w:rsid w:val="00F31190"/>
    <w:rsid w:val="00F373D4"/>
    <w:rsid w:val="00F94D49"/>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8</Pages>
  <Words>2794</Words>
  <Characters>14785</Characters>
  <Application>Microsoft Office Word</Application>
  <DocSecurity>4</DocSecurity>
  <Lines>268</Lines>
  <Paragraphs>111</Paragraphs>
  <ScaleCrop>false</ScaleCrop>
  <HeadingPairs>
    <vt:vector size="2" baseType="variant">
      <vt:variant>
        <vt:lpstr>Titre</vt:lpstr>
      </vt:variant>
      <vt:variant>
        <vt:i4>1</vt:i4>
      </vt:variant>
    </vt:vector>
  </HeadingPairs>
  <TitlesOfParts>
    <vt:vector size="1" baseType="lpstr">
      <vt:lpstr>CCPR/C/96/D/1574/2007</vt:lpstr>
    </vt:vector>
  </TitlesOfParts>
  <Company>CSD</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CCPR/C/96/D/1574/2007</dc:title>
  <dc:subject>FINAL1-17</dc:subject>
  <dc:creator>Morin</dc:creator>
  <cp:keywords/>
  <dc:description/>
  <cp:lastModifiedBy>Adtpsfra</cp:lastModifiedBy>
  <cp:revision>2</cp:revision>
  <cp:lastPrinted>2009-10-19T08:48:00Z</cp:lastPrinted>
  <dcterms:created xsi:type="dcterms:W3CDTF">2009-10-19T08:49:00Z</dcterms:created>
  <dcterms:modified xsi:type="dcterms:W3CDTF">2009-10-19T08:49:00Z</dcterms:modified>
</cp:coreProperties>
</file>