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88547"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712E12">
            <w:pPr>
              <w:spacing w:after="240"/>
            </w:pPr>
            <w:r>
              <w:t>CCPR/C/</w:t>
            </w:r>
            <w:r w:rsidR="009E3335">
              <w:t>96</w:t>
            </w:r>
            <w:r>
              <w:t>/D/</w:t>
            </w:r>
            <w:r w:rsidR="009E3335">
              <w:t>1585/2007</w:t>
            </w:r>
            <w:r>
              <w:br/>
            </w:r>
            <w:r w:rsidR="009E3335">
              <w:t>21 août</w:t>
            </w:r>
            <w:r>
              <w:t xml:space="preserve"> 200</w:t>
            </w:r>
            <w:r w:rsidR="00824A05">
              <w:t>9</w:t>
            </w:r>
          </w:p>
          <w:p w:rsidR="00712E12" w:rsidRDefault="00712E12">
            <w:r>
              <w:t>FRANÇAIS</w:t>
            </w:r>
            <w:r>
              <w:br/>
              <w:t>Original: ANGLAIS</w:t>
            </w:r>
          </w:p>
        </w:tc>
      </w:tr>
    </w:tbl>
    <w:p w:rsidR="00712E12" w:rsidRDefault="00712E12">
      <w:pPr>
        <w:spacing w:before="120" w:after="480"/>
      </w:pPr>
      <w:r>
        <w:t>COMITÉ DES DROITS DE L’HOMME</w:t>
      </w:r>
      <w:r>
        <w:br/>
      </w:r>
      <w:r w:rsidR="009E3335" w:rsidRPr="00163541">
        <w:rPr>
          <w:bCs/>
        </w:rPr>
        <w:t>Quatre</w:t>
      </w:r>
      <w:r w:rsidR="009E3335">
        <w:rPr>
          <w:bCs/>
        </w:rPr>
        <w:noBreakHyphen/>
      </w:r>
      <w:r w:rsidR="009E3335" w:rsidRPr="00163541">
        <w:rPr>
          <w:bCs/>
        </w:rPr>
        <w:t>vingt</w:t>
      </w:r>
      <w:r w:rsidR="009E3335">
        <w:rPr>
          <w:bCs/>
        </w:rPr>
        <w:noBreakHyphen/>
      </w:r>
      <w:r w:rsidR="009E3335" w:rsidRPr="00163541">
        <w:rPr>
          <w:bCs/>
        </w:rPr>
        <w:t xml:space="preserve">seizième </w:t>
      </w:r>
      <w:r w:rsidR="009E3335">
        <w:t>session</w:t>
      </w:r>
      <w:r w:rsidR="009E3335">
        <w:br/>
      </w:r>
      <w:r w:rsidR="009E3335" w:rsidRPr="00163541">
        <w:rPr>
          <w:bCs/>
        </w:rPr>
        <w:t>13</w:t>
      </w:r>
      <w:r w:rsidR="009E3335">
        <w:rPr>
          <w:bCs/>
        </w:rPr>
        <w:noBreakHyphen/>
      </w:r>
      <w:r w:rsidR="009E3335" w:rsidRPr="00163541">
        <w:rPr>
          <w:bCs/>
        </w:rPr>
        <w:t xml:space="preserve">31 juillet </w:t>
      </w:r>
      <w:r>
        <w:t>200</w:t>
      </w:r>
      <w:r w:rsidR="00824A05">
        <w:t>9</w:t>
      </w:r>
    </w:p>
    <w:p w:rsidR="00712E12" w:rsidRDefault="00DB548E">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sidR="009E3335">
        <w:rPr>
          <w:b/>
          <w:bCs/>
        </w:rPr>
        <w:t> 1585/2007</w:t>
      </w:r>
    </w:p>
    <w:tbl>
      <w:tblPr>
        <w:tblW w:w="0" w:type="auto"/>
        <w:tblLayout w:type="fixed"/>
        <w:tblCellMar>
          <w:left w:w="70" w:type="dxa"/>
          <w:right w:w="70" w:type="dxa"/>
        </w:tblCellMar>
        <w:tblLook w:val="0000" w:firstRow="0" w:lastRow="0" w:firstColumn="0" w:lastColumn="0" w:noHBand="0" w:noVBand="0"/>
      </w:tblPr>
      <w:tblGrid>
        <w:gridCol w:w="3827"/>
        <w:gridCol w:w="5670"/>
      </w:tblGrid>
      <w:tr w:rsidR="00712E12" w:rsidTr="00DB548E">
        <w:tblPrEx>
          <w:tblCellMar>
            <w:top w:w="0" w:type="dxa"/>
            <w:bottom w:w="0" w:type="dxa"/>
          </w:tblCellMar>
        </w:tblPrEx>
        <w:tc>
          <w:tcPr>
            <w:tcW w:w="3827" w:type="dxa"/>
          </w:tcPr>
          <w:p w:rsidR="00712E12" w:rsidRDefault="00712E12">
            <w:pPr>
              <w:spacing w:after="240"/>
              <w:rPr>
                <w:u w:val="single"/>
              </w:rPr>
            </w:pPr>
            <w:r>
              <w:rPr>
                <w:u w:val="single"/>
              </w:rPr>
              <w:t>Présentée par</w:t>
            </w:r>
            <w:r>
              <w:t>:</w:t>
            </w:r>
          </w:p>
        </w:tc>
        <w:tc>
          <w:tcPr>
            <w:tcW w:w="5670" w:type="dxa"/>
          </w:tcPr>
          <w:p w:rsidR="00712E12" w:rsidRDefault="009E3335">
            <w:pPr>
              <w:spacing w:after="240"/>
            </w:pPr>
            <w:r w:rsidRPr="00273189">
              <w:t>Batyrova Zoolfi</w:t>
            </w:r>
            <w:r>
              <w:t>y</w:t>
            </w:r>
            <w:r w:rsidRPr="00273189">
              <w:t>a (représentée par u</w:t>
            </w:r>
            <w:r>
              <w:t>n conseil, Verenin </w:t>
            </w:r>
            <w:r w:rsidRPr="00273189">
              <w:t>S.)</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Au nom de</w:t>
            </w:r>
            <w:r>
              <w:t>:</w:t>
            </w:r>
          </w:p>
        </w:tc>
        <w:tc>
          <w:tcPr>
            <w:tcW w:w="5670" w:type="dxa"/>
          </w:tcPr>
          <w:p w:rsidR="00712E12" w:rsidRDefault="009E3335">
            <w:pPr>
              <w:spacing w:after="240"/>
            </w:pPr>
            <w:r>
              <w:t>Batyrov Zafar (père de l’auteur)</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État partie</w:t>
            </w:r>
            <w:r>
              <w:t>:</w:t>
            </w:r>
          </w:p>
        </w:tc>
        <w:tc>
          <w:tcPr>
            <w:tcW w:w="5670" w:type="dxa"/>
          </w:tcPr>
          <w:p w:rsidR="00712E12" w:rsidRDefault="009E3335">
            <w:pPr>
              <w:spacing w:after="240"/>
            </w:pPr>
            <w:r>
              <w:t>Ouzbékistan</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Date de la communication</w:t>
            </w:r>
            <w:r>
              <w:t>:</w:t>
            </w:r>
          </w:p>
        </w:tc>
        <w:tc>
          <w:tcPr>
            <w:tcW w:w="5670" w:type="dxa"/>
          </w:tcPr>
          <w:p w:rsidR="00712E12" w:rsidRDefault="009E3335">
            <w:pPr>
              <w:spacing w:after="240"/>
            </w:pPr>
            <w:r>
              <w:t>6 juillet 2007 (date de la lettre initiale)</w:t>
            </w:r>
          </w:p>
        </w:tc>
      </w:tr>
      <w:tr w:rsidR="00712E12" w:rsidTr="00DB548E">
        <w:tblPrEx>
          <w:tblCellMar>
            <w:top w:w="0" w:type="dxa"/>
            <w:bottom w:w="0" w:type="dxa"/>
          </w:tblCellMar>
        </w:tblPrEx>
        <w:tc>
          <w:tcPr>
            <w:tcW w:w="3827" w:type="dxa"/>
          </w:tcPr>
          <w:p w:rsidR="00712E12" w:rsidRDefault="00712E12">
            <w:pPr>
              <w:spacing w:after="240"/>
              <w:rPr>
                <w:u w:val="single"/>
              </w:rPr>
            </w:pPr>
            <w:r>
              <w:rPr>
                <w:u w:val="single"/>
              </w:rPr>
              <w:t>Références</w:t>
            </w:r>
            <w:r>
              <w:t>:</w:t>
            </w:r>
          </w:p>
        </w:tc>
        <w:tc>
          <w:tcPr>
            <w:tcW w:w="5670" w:type="dxa"/>
          </w:tcPr>
          <w:p w:rsidR="00712E12" w:rsidRDefault="009E3335">
            <w:pPr>
              <w:spacing w:after="240"/>
            </w:pPr>
            <w:r>
              <w:t>Décision prise par le Rapporteur spécial en application de l’article 97 du Règlement intérieur, communiquée à l’État partie le 15 août 2007 (non publiée sous forme de document)</w:t>
            </w:r>
          </w:p>
        </w:tc>
      </w:tr>
      <w:tr w:rsidR="00712E12" w:rsidTr="00DB548E">
        <w:tblPrEx>
          <w:tblCellMar>
            <w:top w:w="0" w:type="dxa"/>
            <w:bottom w:w="0" w:type="dxa"/>
          </w:tblCellMar>
        </w:tblPrEx>
        <w:tc>
          <w:tcPr>
            <w:tcW w:w="3827" w:type="dxa"/>
          </w:tcPr>
          <w:p w:rsidR="00712E12" w:rsidRDefault="00DB548E">
            <w:pPr>
              <w:spacing w:after="240"/>
              <w:rPr>
                <w:u w:val="single"/>
              </w:rPr>
            </w:pPr>
            <w:r>
              <w:rPr>
                <w:u w:val="single"/>
              </w:rPr>
              <w:t>Date de l’adoption des constatations</w:t>
            </w:r>
            <w:r w:rsidRPr="00DB548E">
              <w:t>:</w:t>
            </w:r>
          </w:p>
        </w:tc>
        <w:tc>
          <w:tcPr>
            <w:tcW w:w="5670" w:type="dxa"/>
          </w:tcPr>
          <w:p w:rsidR="00712E12" w:rsidRDefault="009E3335">
            <w:pPr>
              <w:spacing w:after="240"/>
            </w:pPr>
            <w:r>
              <w:t>30 juillet 2009</w:t>
            </w:r>
          </w:p>
        </w:tc>
      </w:tr>
    </w:tbl>
    <w:p w:rsidR="00DB548E" w:rsidRDefault="00DB548E" w:rsidP="0030162B">
      <w:pPr>
        <w:spacing w:after="240"/>
        <w:ind w:firstLine="567"/>
        <w:rPr>
          <w:i/>
        </w:rPr>
      </w:pPr>
    </w:p>
    <w:p w:rsidR="0030162B" w:rsidRDefault="00DB548E" w:rsidP="0030162B">
      <w:pPr>
        <w:spacing w:after="240"/>
        <w:ind w:firstLine="567"/>
      </w:pPr>
      <w:r>
        <w:rPr>
          <w:i/>
        </w:rPr>
        <w:br w:type="page"/>
      </w:r>
      <w:r w:rsidR="0030162B" w:rsidRPr="0030162B">
        <w:rPr>
          <w:i/>
        </w:rPr>
        <w:t>Objet</w:t>
      </w:r>
      <w:r w:rsidR="0030162B">
        <w:t>:</w:t>
      </w:r>
      <w:r w:rsidR="009E3335">
        <w:t xml:space="preserve"> A</w:t>
      </w:r>
      <w:r w:rsidR="009E3335">
        <w:rPr>
          <w:iCs/>
        </w:rPr>
        <w:t>llégation de violation du droit à la liberté de circulation</w:t>
      </w:r>
    </w:p>
    <w:p w:rsidR="0030162B" w:rsidRDefault="0030162B" w:rsidP="0030162B">
      <w:pPr>
        <w:spacing w:after="240"/>
        <w:ind w:firstLine="567"/>
      </w:pPr>
      <w:r w:rsidRPr="0030162B">
        <w:rPr>
          <w:i/>
        </w:rPr>
        <w:t>Questions de procédure</w:t>
      </w:r>
      <w:r>
        <w:t>:</w:t>
      </w:r>
      <w:r w:rsidR="009E3335">
        <w:t xml:space="preserve"> </w:t>
      </w:r>
      <w:r w:rsidR="009E3335">
        <w:rPr>
          <w:iCs/>
        </w:rPr>
        <w:t>Griefs non étayés</w:t>
      </w:r>
    </w:p>
    <w:p w:rsidR="0030162B" w:rsidRDefault="0030162B" w:rsidP="0030162B">
      <w:pPr>
        <w:spacing w:after="240"/>
        <w:ind w:firstLine="567"/>
      </w:pPr>
      <w:r w:rsidRPr="0030162B">
        <w:rPr>
          <w:i/>
        </w:rPr>
        <w:t>Question</w:t>
      </w:r>
      <w:r w:rsidR="003C3AD2">
        <w:rPr>
          <w:i/>
        </w:rPr>
        <w:t>s</w:t>
      </w:r>
      <w:r w:rsidRPr="0030162B">
        <w:rPr>
          <w:i/>
        </w:rPr>
        <w:t xml:space="preserve"> de fond</w:t>
      </w:r>
      <w:r>
        <w:t>:</w:t>
      </w:r>
      <w:r w:rsidR="009E3335">
        <w:t xml:space="preserve"> Dr</w:t>
      </w:r>
      <w:r w:rsidR="009E3335">
        <w:rPr>
          <w:szCs w:val="24"/>
        </w:rPr>
        <w:t xml:space="preserve">oit de quitter n’importe quel pays, y compris le sien; </w:t>
      </w:r>
      <w:r w:rsidR="009E3335">
        <w:t>appréciation des faits et des preuves</w:t>
      </w:r>
    </w:p>
    <w:p w:rsidR="0030162B" w:rsidRDefault="0030162B" w:rsidP="0030162B">
      <w:pPr>
        <w:spacing w:after="240"/>
        <w:ind w:firstLine="567"/>
      </w:pPr>
      <w:r w:rsidRPr="0030162B">
        <w:rPr>
          <w:i/>
        </w:rPr>
        <w:t>Article</w:t>
      </w:r>
      <w:r>
        <w:rPr>
          <w:i/>
        </w:rPr>
        <w:t>s</w:t>
      </w:r>
      <w:r w:rsidRPr="0030162B">
        <w:rPr>
          <w:i/>
        </w:rPr>
        <w:t xml:space="preserve"> du Pacte</w:t>
      </w:r>
      <w:r>
        <w:t>:</w:t>
      </w:r>
      <w:r w:rsidR="009E3335">
        <w:t xml:space="preserve"> 12 (par. 2 et 3), 14 (par. 1, 3 b) et 3 e)) et 15 (par. 1)</w:t>
      </w:r>
    </w:p>
    <w:p w:rsidR="003C3AD2" w:rsidRDefault="003C3AD2" w:rsidP="003C3AD2">
      <w:pPr>
        <w:spacing w:after="240"/>
        <w:ind w:firstLine="567"/>
      </w:pPr>
      <w:r w:rsidRPr="0030162B">
        <w:rPr>
          <w:i/>
        </w:rPr>
        <w:t>Article</w:t>
      </w:r>
      <w:r>
        <w:rPr>
          <w:i/>
        </w:rPr>
        <w:t>s</w:t>
      </w:r>
      <w:r w:rsidRPr="0030162B">
        <w:rPr>
          <w:i/>
        </w:rPr>
        <w:t xml:space="preserve"> du Protocole facultatif</w:t>
      </w:r>
      <w:r>
        <w:t>:</w:t>
      </w:r>
      <w:r w:rsidR="009E3335">
        <w:t xml:space="preserve"> </w:t>
      </w:r>
      <w:r w:rsidR="009E3335">
        <w:rPr>
          <w:iCs/>
          <w:lang w:val="fr-FR"/>
        </w:rPr>
        <w:t>2 et 5 (par. 2 b))</w:t>
      </w:r>
    </w:p>
    <w:p w:rsidR="00DB548E" w:rsidRDefault="00DB548E" w:rsidP="00DB548E">
      <w:pPr>
        <w:spacing w:after="240"/>
        <w:ind w:firstLine="567"/>
      </w:pPr>
      <w:r>
        <w:t xml:space="preserve">Le </w:t>
      </w:r>
      <w:r w:rsidR="009E3335">
        <w:t>30 juillet 2009</w:t>
      </w:r>
      <w:r>
        <w:t>, le Comité des droits de l’homme a adopté le texte ci</w:t>
      </w:r>
      <w:r>
        <w:noBreakHyphen/>
        <w:t>après en tant que constatations concernant la communication n</w:t>
      </w:r>
      <w:r>
        <w:rPr>
          <w:vertAlign w:val="superscript"/>
        </w:rPr>
        <w:t>o</w:t>
      </w:r>
      <w:r>
        <w:t> </w:t>
      </w:r>
      <w:r w:rsidR="009E3335">
        <w:t xml:space="preserve">1585/2007 </w:t>
      </w:r>
      <w:r>
        <w:t>au titre du paragraphe 4 de l’article 5 du Protocole facultatif.</w:t>
      </w:r>
    </w:p>
    <w:p w:rsidR="00E6156E" w:rsidRDefault="00712E12" w:rsidP="00E6156E">
      <w:pPr>
        <w:spacing w:after="240"/>
        <w:jc w:val="center"/>
        <w:sectPr w:rsidR="00E6156E" w:rsidSect="00E6156E">
          <w:headerReference w:type="even" r:id="rId9"/>
          <w:headerReference w:type="default" r:id="rId10"/>
          <w:footerReference w:type="first" r:id="rId11"/>
          <w:pgSz w:w="11906" w:h="16838"/>
          <w:pgMar w:top="1134" w:right="851" w:bottom="1985" w:left="1701" w:header="851" w:footer="1701" w:gutter="0"/>
          <w:pgNumType w:start="1"/>
          <w:cols w:space="720"/>
          <w:titlePg/>
          <w:docGrid w:linePitch="326"/>
        </w:sectPr>
      </w:pPr>
      <w:r>
        <w:t>[ANNEXE]</w:t>
      </w:r>
    </w:p>
    <w:p w:rsidR="00712E12" w:rsidRDefault="00712E12" w:rsidP="00E6156E">
      <w:pPr>
        <w:spacing w:after="240"/>
        <w:jc w:val="center"/>
        <w:rPr>
          <w:b/>
          <w:bCs/>
        </w:rPr>
      </w:pPr>
      <w:r>
        <w:rPr>
          <w:b/>
          <w:bCs/>
        </w:rPr>
        <w:t>ANNEXE</w:t>
      </w:r>
    </w:p>
    <w:p w:rsidR="00712E12" w:rsidRDefault="00DB548E">
      <w:pPr>
        <w:keepNext/>
        <w:keepLines/>
        <w:spacing w:after="240"/>
        <w:jc w:val="center"/>
        <w:rPr>
          <w:b/>
          <w:bCs/>
        </w:rPr>
      </w:pPr>
      <w:r>
        <w:rPr>
          <w:b/>
          <w:bCs/>
        </w:rPr>
        <w:t xml:space="preserve">CONSTATATIONS </w:t>
      </w:r>
      <w:r w:rsidR="00712E12">
        <w:rPr>
          <w:b/>
          <w:bCs/>
        </w:rPr>
        <w:t xml:space="preserve">DU COMITÉ DES DROITS DE L’HOMME </w:t>
      </w:r>
      <w:r>
        <w:rPr>
          <w:b/>
          <w:bCs/>
        </w:rPr>
        <w:t>AU TITRE</w:t>
      </w:r>
      <w:r>
        <w:rPr>
          <w:b/>
          <w:bCs/>
        </w:rPr>
        <w:br/>
        <w:t xml:space="preserve">DU PARAGRAPHE 4 DE L’ARTICLE 5 </w:t>
      </w:r>
      <w:r w:rsidR="00712E12">
        <w:rPr>
          <w:b/>
          <w:bCs/>
        </w:rPr>
        <w:t>DU PROTOCOLE FACULTATIF</w:t>
      </w:r>
      <w:r>
        <w:rPr>
          <w:b/>
          <w:bCs/>
        </w:rPr>
        <w:br/>
      </w:r>
      <w:r w:rsidR="00712E12">
        <w:rPr>
          <w:b/>
          <w:bCs/>
        </w:rPr>
        <w:t>SE RAPPORTANT AU PACTE INTERNATIONAL RELATIF</w:t>
      </w:r>
      <w:r>
        <w:rPr>
          <w:b/>
          <w:bCs/>
        </w:rPr>
        <w:br/>
      </w:r>
      <w:r w:rsidR="00712E12">
        <w:rPr>
          <w:b/>
          <w:bCs/>
        </w:rPr>
        <w:t>AUX DROITS CIVILS ET POLITIQUES</w:t>
      </w:r>
    </w:p>
    <w:p w:rsidR="00712E12" w:rsidRDefault="009E3335">
      <w:pPr>
        <w:spacing w:after="240"/>
        <w:jc w:val="center"/>
        <w:rPr>
          <w:b/>
          <w:bCs/>
        </w:rPr>
      </w:pPr>
      <w:r w:rsidRPr="006313DA">
        <w:rPr>
          <w:b/>
          <w:bCs/>
        </w:rPr>
        <w:t>Quatre</w:t>
      </w:r>
      <w:r>
        <w:rPr>
          <w:b/>
          <w:bCs/>
        </w:rPr>
        <w:t>-</w:t>
      </w:r>
      <w:r w:rsidRPr="006313DA">
        <w:rPr>
          <w:b/>
          <w:bCs/>
        </w:rPr>
        <w:t>vingt</w:t>
      </w:r>
      <w:r>
        <w:rPr>
          <w:b/>
          <w:bCs/>
        </w:rPr>
        <w:t>-</w:t>
      </w:r>
      <w:r w:rsidRPr="006313DA">
        <w:rPr>
          <w:b/>
          <w:bCs/>
        </w:rPr>
        <w:t xml:space="preserve">seizième </w:t>
      </w:r>
      <w:r w:rsidR="0030162B">
        <w:rPr>
          <w:b/>
          <w:bCs/>
        </w:rPr>
        <w:t>session</w:t>
      </w:r>
    </w:p>
    <w:p w:rsidR="00712E12" w:rsidRDefault="00712E12">
      <w:pPr>
        <w:spacing w:after="240"/>
        <w:jc w:val="center"/>
        <w:rPr>
          <w:b/>
          <w:bCs/>
        </w:rPr>
      </w:pPr>
      <w:r>
        <w:rPr>
          <w:b/>
          <w:bCs/>
        </w:rPr>
        <w:t>concernant la</w:t>
      </w:r>
    </w:p>
    <w:p w:rsidR="00712E12" w:rsidRDefault="00712E12">
      <w:pPr>
        <w:spacing w:after="240"/>
        <w:jc w:val="center"/>
      </w:pPr>
      <w:r>
        <w:rPr>
          <w:b/>
          <w:bCs/>
        </w:rPr>
        <w:t>Communication n</w:t>
      </w:r>
      <w:r>
        <w:rPr>
          <w:b/>
          <w:bCs/>
          <w:vertAlign w:val="superscript"/>
        </w:rPr>
        <w:t>o</w:t>
      </w:r>
      <w:r>
        <w:rPr>
          <w:b/>
          <w:bCs/>
        </w:rPr>
        <w:t> </w:t>
      </w:r>
      <w:r w:rsidR="009E3335">
        <w:rPr>
          <w:b/>
          <w:bCs/>
        </w:rPr>
        <w:t>1585/2007</w:t>
      </w:r>
      <w:r w:rsidR="00E6156E" w:rsidRPr="00E6156E">
        <w:rPr>
          <w:rStyle w:val="FootnoteReference"/>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712E12">
        <w:tblPrEx>
          <w:tblCellMar>
            <w:top w:w="0" w:type="dxa"/>
            <w:bottom w:w="0" w:type="dxa"/>
          </w:tblCellMar>
        </w:tblPrEx>
        <w:tc>
          <w:tcPr>
            <w:tcW w:w="2977" w:type="dxa"/>
          </w:tcPr>
          <w:p w:rsidR="00712E12" w:rsidRDefault="00712E12">
            <w:pPr>
              <w:spacing w:after="240"/>
              <w:rPr>
                <w:u w:val="single"/>
              </w:rPr>
            </w:pPr>
            <w:r>
              <w:rPr>
                <w:u w:val="single"/>
              </w:rPr>
              <w:t>Présentée par</w:t>
            </w:r>
            <w:r>
              <w:t>:</w:t>
            </w:r>
          </w:p>
        </w:tc>
        <w:tc>
          <w:tcPr>
            <w:tcW w:w="6521" w:type="dxa"/>
          </w:tcPr>
          <w:p w:rsidR="00712E12" w:rsidRDefault="009E3335">
            <w:pPr>
              <w:spacing w:after="240"/>
            </w:pPr>
            <w:r>
              <w:t>Batyrova Zoolfiya (représentée par un conseil, Verenin S.)</w:t>
            </w:r>
          </w:p>
        </w:tc>
      </w:tr>
      <w:tr w:rsidR="00712E12">
        <w:tblPrEx>
          <w:tblCellMar>
            <w:top w:w="0" w:type="dxa"/>
            <w:bottom w:w="0" w:type="dxa"/>
          </w:tblCellMar>
        </w:tblPrEx>
        <w:tc>
          <w:tcPr>
            <w:tcW w:w="2977" w:type="dxa"/>
          </w:tcPr>
          <w:p w:rsidR="00712E12" w:rsidRDefault="00712E12">
            <w:pPr>
              <w:spacing w:after="240"/>
              <w:rPr>
                <w:u w:val="single"/>
              </w:rPr>
            </w:pPr>
            <w:r>
              <w:rPr>
                <w:u w:val="single"/>
              </w:rPr>
              <w:t>Au nom de</w:t>
            </w:r>
            <w:r>
              <w:t>:</w:t>
            </w:r>
          </w:p>
        </w:tc>
        <w:tc>
          <w:tcPr>
            <w:tcW w:w="6521" w:type="dxa"/>
          </w:tcPr>
          <w:p w:rsidR="00712E12" w:rsidRDefault="009E3335">
            <w:pPr>
              <w:spacing w:after="240"/>
            </w:pPr>
            <w:r>
              <w:t>Batyrov Zafar (père de l’auteur)</w:t>
            </w:r>
          </w:p>
        </w:tc>
      </w:tr>
      <w:tr w:rsidR="00712E12">
        <w:tblPrEx>
          <w:tblCellMar>
            <w:top w:w="0" w:type="dxa"/>
            <w:bottom w:w="0" w:type="dxa"/>
          </w:tblCellMar>
        </w:tblPrEx>
        <w:tc>
          <w:tcPr>
            <w:tcW w:w="2977" w:type="dxa"/>
          </w:tcPr>
          <w:p w:rsidR="00712E12" w:rsidRDefault="00712E12">
            <w:pPr>
              <w:spacing w:after="240"/>
              <w:rPr>
                <w:u w:val="single"/>
              </w:rPr>
            </w:pPr>
            <w:r>
              <w:rPr>
                <w:u w:val="single"/>
              </w:rPr>
              <w:t>État partie</w:t>
            </w:r>
            <w:r>
              <w:t>:</w:t>
            </w:r>
          </w:p>
        </w:tc>
        <w:tc>
          <w:tcPr>
            <w:tcW w:w="6521" w:type="dxa"/>
          </w:tcPr>
          <w:p w:rsidR="00712E12" w:rsidRDefault="009E3335">
            <w:pPr>
              <w:spacing w:after="240"/>
            </w:pPr>
            <w:r>
              <w:t>Ouzbékistan</w:t>
            </w:r>
          </w:p>
        </w:tc>
      </w:tr>
      <w:tr w:rsidR="00712E12">
        <w:tblPrEx>
          <w:tblCellMar>
            <w:top w:w="0" w:type="dxa"/>
            <w:bottom w:w="0" w:type="dxa"/>
          </w:tblCellMar>
        </w:tblPrEx>
        <w:tc>
          <w:tcPr>
            <w:tcW w:w="2977" w:type="dxa"/>
          </w:tcPr>
          <w:p w:rsidR="00712E12" w:rsidRDefault="00712E12">
            <w:pPr>
              <w:spacing w:after="240"/>
              <w:rPr>
                <w:u w:val="single"/>
              </w:rPr>
            </w:pPr>
            <w:r>
              <w:rPr>
                <w:u w:val="single"/>
              </w:rPr>
              <w:t>Date de la communication</w:t>
            </w:r>
            <w:r>
              <w:t>:</w:t>
            </w:r>
          </w:p>
        </w:tc>
        <w:tc>
          <w:tcPr>
            <w:tcW w:w="6521" w:type="dxa"/>
          </w:tcPr>
          <w:p w:rsidR="00712E12" w:rsidRDefault="009E3335">
            <w:pPr>
              <w:spacing w:after="240"/>
            </w:pPr>
            <w:r>
              <w:t>6 juillet 2007 (date de la lettre initiale)</w:t>
            </w:r>
          </w:p>
        </w:tc>
      </w:tr>
    </w:tbl>
    <w:p w:rsidR="00712E12" w:rsidRDefault="00712E12">
      <w:pPr>
        <w:spacing w:before="240" w:after="240"/>
        <w:ind w:firstLine="567"/>
      </w:pPr>
      <w:r>
        <w:rPr>
          <w:i/>
          <w:iCs/>
        </w:rPr>
        <w:t>Le Comité des droits de l’homme</w:t>
      </w:r>
      <w:r>
        <w:t>, institué en vertu de l’article 28 du Pacte international relatif aux droits civils et politiques,</w:t>
      </w:r>
    </w:p>
    <w:p w:rsidR="00712E12" w:rsidRDefault="00712E12">
      <w:pPr>
        <w:spacing w:after="240"/>
        <w:ind w:firstLine="567"/>
      </w:pPr>
      <w:r>
        <w:rPr>
          <w:i/>
          <w:iCs/>
        </w:rPr>
        <w:t>Réuni le</w:t>
      </w:r>
      <w:r>
        <w:t xml:space="preserve"> </w:t>
      </w:r>
      <w:r w:rsidR="009E3335">
        <w:t>30 juillet 2009</w:t>
      </w:r>
      <w:r>
        <w:t>,</w:t>
      </w:r>
    </w:p>
    <w:p w:rsidR="00712E12" w:rsidRDefault="00712E12">
      <w:pPr>
        <w:spacing w:after="240"/>
        <w:ind w:firstLine="567"/>
      </w:pPr>
      <w:r>
        <w:rPr>
          <w:i/>
          <w:iCs/>
        </w:rPr>
        <w:t>Ayant achevé</w:t>
      </w:r>
      <w:r>
        <w:t xml:space="preserve"> l’examen de la communication n</w:t>
      </w:r>
      <w:r>
        <w:rPr>
          <w:vertAlign w:val="superscript"/>
        </w:rPr>
        <w:t>o</w:t>
      </w:r>
      <w:r w:rsidR="009E3335">
        <w:t> 1585/2007</w:t>
      </w:r>
      <w:r>
        <w:t xml:space="preserve"> présentée au nom de </w:t>
      </w:r>
      <w:r w:rsidR="009E3335">
        <w:t>M. Batyrov Zafar</w:t>
      </w:r>
      <w:r>
        <w:t xml:space="preserve"> en vertu du Protocole facultatif se rapportant au Pacte international relatif aux droits civils et politiques,</w:t>
      </w:r>
    </w:p>
    <w:p w:rsidR="00712E12" w:rsidRDefault="00712E12">
      <w:pPr>
        <w:spacing w:after="240"/>
        <w:ind w:firstLine="567"/>
      </w:pPr>
      <w:r>
        <w:rPr>
          <w:i/>
          <w:iCs/>
        </w:rPr>
        <w:t>Ayant tenu compte</w:t>
      </w:r>
      <w:r>
        <w:t xml:space="preserve"> de toutes les informations écrites qui lui ont été communiquées par l’auteur de la communication et l’État partie,</w:t>
      </w:r>
    </w:p>
    <w:p w:rsidR="00712E12" w:rsidRDefault="00712E12">
      <w:pPr>
        <w:spacing w:after="240"/>
        <w:ind w:firstLine="567"/>
      </w:pPr>
      <w:r>
        <w:rPr>
          <w:i/>
          <w:iCs/>
        </w:rPr>
        <w:t>Adopte</w:t>
      </w:r>
      <w:r>
        <w:t xml:space="preserve"> ce qui suit:</w:t>
      </w:r>
    </w:p>
    <w:p w:rsidR="00712E12" w:rsidRDefault="00DB548E">
      <w:pPr>
        <w:spacing w:after="240"/>
        <w:jc w:val="center"/>
      </w:pPr>
      <w:r>
        <w:rPr>
          <w:b/>
          <w:bCs/>
        </w:rPr>
        <w:t>Constatations au titre du paragraphe 4 de l’article 5 du Protocole facultatif</w:t>
      </w:r>
    </w:p>
    <w:p w:rsidR="00EE2D18" w:rsidRPr="00A70D2B" w:rsidRDefault="00EE2D18" w:rsidP="00EE2D18">
      <w:pPr>
        <w:spacing w:after="240"/>
      </w:pPr>
      <w:r w:rsidRPr="00A70D2B">
        <w:t>1</w:t>
      </w:r>
      <w:r>
        <w:t>.</w:t>
      </w:r>
      <w:r>
        <w:tab/>
      </w:r>
      <w:r w:rsidRPr="00A70D2B">
        <w:t>L</w:t>
      </w:r>
      <w:r>
        <w:t>’</w:t>
      </w:r>
      <w:r w:rsidRPr="00A70D2B">
        <w:t>auteur de la communication est Zoolfiya Batyrova, de nationalité ouzbèke, né</w:t>
      </w:r>
      <w:r>
        <w:t xml:space="preserve">e en 1971, qui </w:t>
      </w:r>
      <w:r w:rsidRPr="00A70D2B">
        <w:t>présente la communication au nom de son père, Zafar Batyrov, également de nationalité ouzbèke, né en 1946. Elle affirme que son père est victime de violation</w:t>
      </w:r>
      <w:r>
        <w:t>s</w:t>
      </w:r>
      <w:r w:rsidRPr="00A70D2B">
        <w:t xml:space="preserve"> par l</w:t>
      </w:r>
      <w:r>
        <w:t>’</w:t>
      </w:r>
      <w:r w:rsidRPr="00A70D2B">
        <w:t>Ouzbékistan des droits qu</w:t>
      </w:r>
      <w:r>
        <w:t>’il tient des</w:t>
      </w:r>
      <w:r w:rsidRPr="00A70D2B">
        <w:t xml:space="preserve"> </w:t>
      </w:r>
      <w:r>
        <w:t>paragraphes </w:t>
      </w:r>
      <w:r w:rsidRPr="007C74DE">
        <w:t>2 et 3 de l</w:t>
      </w:r>
      <w:r>
        <w:t>’article </w:t>
      </w:r>
      <w:r w:rsidRPr="007C74DE">
        <w:t xml:space="preserve">12, </w:t>
      </w:r>
      <w:r>
        <w:t>des paragraphes </w:t>
      </w:r>
      <w:r w:rsidRPr="007C74DE">
        <w:t xml:space="preserve">1 et 3 b) et </w:t>
      </w:r>
      <w:r>
        <w:t>3 </w:t>
      </w:r>
      <w:r w:rsidRPr="007C74DE">
        <w:t>e) de l</w:t>
      </w:r>
      <w:r>
        <w:t>’article </w:t>
      </w:r>
      <w:r w:rsidRPr="007C74DE">
        <w:t xml:space="preserve">14 et </w:t>
      </w:r>
      <w:r>
        <w:t>du paragraphe </w:t>
      </w:r>
      <w:r w:rsidRPr="007C74DE">
        <w:t>1 de l</w:t>
      </w:r>
      <w:r>
        <w:t>’article </w:t>
      </w:r>
      <w:r w:rsidRPr="007C74DE">
        <w:t>15</w:t>
      </w:r>
      <w:r>
        <w:t xml:space="preserve"> du Pacte</w:t>
      </w:r>
      <w:r w:rsidRPr="00A70D2B">
        <w:t>. Le Protocole facultatif est entré en vigueur pour l</w:t>
      </w:r>
      <w:r>
        <w:t>’</w:t>
      </w:r>
      <w:r w:rsidRPr="00A70D2B">
        <w:t>État partie le 12 décembre 1995. L</w:t>
      </w:r>
      <w:r>
        <w:t>’</w:t>
      </w:r>
      <w:r w:rsidRPr="00A70D2B">
        <w:t>auteur est représentée par un conseil, Verenin</w:t>
      </w:r>
      <w:r>
        <w:t> </w:t>
      </w:r>
      <w:r w:rsidRPr="00A70D2B">
        <w:t>S.</w:t>
      </w:r>
    </w:p>
    <w:p w:rsidR="00EE2D18" w:rsidRPr="00A70D2B" w:rsidRDefault="00EE2D18" w:rsidP="00EE2D18">
      <w:pPr>
        <w:keepNext/>
        <w:spacing w:after="240"/>
      </w:pPr>
      <w:r w:rsidRPr="00A70D2B">
        <w:rPr>
          <w:b/>
        </w:rPr>
        <w:t>Rappel des faits présentés par l</w:t>
      </w:r>
      <w:r>
        <w:rPr>
          <w:b/>
        </w:rPr>
        <w:t>’</w:t>
      </w:r>
      <w:r w:rsidRPr="00A70D2B">
        <w:rPr>
          <w:b/>
        </w:rPr>
        <w:t>auteur</w:t>
      </w:r>
    </w:p>
    <w:p w:rsidR="00EE2D18" w:rsidRPr="00A70D2B" w:rsidRDefault="00EE2D18" w:rsidP="00EE2D18">
      <w:pPr>
        <w:spacing w:after="240"/>
      </w:pPr>
      <w:r w:rsidRPr="00A70D2B">
        <w:t>2.1</w:t>
      </w:r>
      <w:r w:rsidRPr="00A70D2B">
        <w:tab/>
        <w:t xml:space="preserve">Le </w:t>
      </w:r>
      <w:r>
        <w:t>2</w:t>
      </w:r>
      <w:r w:rsidRPr="00A70D2B">
        <w:t xml:space="preserve">5 </w:t>
      </w:r>
      <w:r>
        <w:t>s</w:t>
      </w:r>
      <w:r w:rsidRPr="00A70D2B">
        <w:t>eptembre 2006, le père de l</w:t>
      </w:r>
      <w:r>
        <w:t>’</w:t>
      </w:r>
      <w:r w:rsidRPr="00A70D2B">
        <w:t>auteur a été reconnu coupable et condamné à cinq ans d</w:t>
      </w:r>
      <w:r>
        <w:t>’</w:t>
      </w:r>
      <w:r w:rsidRPr="00A70D2B">
        <w:t xml:space="preserve">emprisonnement en vertu du </w:t>
      </w:r>
      <w:r>
        <w:t>paragraphe </w:t>
      </w:r>
      <w:r w:rsidRPr="00A70D2B">
        <w:t>3 de l</w:t>
      </w:r>
      <w:r>
        <w:t>’article </w:t>
      </w:r>
      <w:r w:rsidRPr="00A70D2B">
        <w:t xml:space="preserve">184, du </w:t>
      </w:r>
      <w:r>
        <w:t>paragraphe </w:t>
      </w:r>
      <w:r w:rsidRPr="00A70D2B">
        <w:t xml:space="preserve">2 a) et </w:t>
      </w:r>
      <w:r>
        <w:t>2 </w:t>
      </w:r>
      <w:r w:rsidRPr="00A70D2B">
        <w:t>b) de l</w:t>
      </w:r>
      <w:r>
        <w:t>’article </w:t>
      </w:r>
      <w:r w:rsidRPr="00A70D2B">
        <w:t xml:space="preserve">205 et du </w:t>
      </w:r>
      <w:r>
        <w:t>paragraphe </w:t>
      </w:r>
      <w:r w:rsidRPr="00A70D2B">
        <w:t xml:space="preserve">2 </w:t>
      </w:r>
      <w:r>
        <w:t xml:space="preserve">c) </w:t>
      </w:r>
      <w:r w:rsidRPr="00A70D2B">
        <w:t>de l</w:t>
      </w:r>
      <w:r>
        <w:t>’article </w:t>
      </w:r>
      <w:r w:rsidRPr="00A70D2B">
        <w:t>223 du Code pénal</w:t>
      </w:r>
      <w:r>
        <w:t xml:space="preserve"> ouzbek</w:t>
      </w:r>
      <w:r w:rsidRPr="00A70D2B">
        <w:t>, pour «non</w:t>
      </w:r>
      <w:r>
        <w:noBreakHyphen/>
      </w:r>
      <w:r w:rsidRPr="00A70D2B">
        <w:t>paiement de sommes particulièrement importantes dues au titre de</w:t>
      </w:r>
      <w:r>
        <w:t xml:space="preserve"> l’</w:t>
      </w:r>
      <w:r w:rsidRPr="00A70D2B">
        <w:t xml:space="preserve">impôt», «abus de </w:t>
      </w:r>
      <w:r>
        <w:t>pouvoir</w:t>
      </w:r>
      <w:r w:rsidRPr="00A70D2B">
        <w:t xml:space="preserve"> ayant causé des dommages particulièrement graves» et «voyage illégal à l</w:t>
      </w:r>
      <w:r>
        <w:t>’</w:t>
      </w:r>
      <w:r w:rsidRPr="00A70D2B">
        <w:t>étranger ou sortie illégale de la République d</w:t>
      </w:r>
      <w:r>
        <w:t>’Ouzbékistan».</w:t>
      </w:r>
    </w:p>
    <w:p w:rsidR="00EE2D18" w:rsidRPr="00A70D2B" w:rsidRDefault="00EE2D18" w:rsidP="00EE2D18">
      <w:pPr>
        <w:spacing w:after="240"/>
      </w:pPr>
      <w:r w:rsidRPr="00A70D2B">
        <w:t>2.2</w:t>
      </w:r>
      <w:r w:rsidRPr="00A70D2B">
        <w:tab/>
        <w:t>Le 29 mai 2006 ou aux alentours</w:t>
      </w:r>
      <w:r>
        <w:t xml:space="preserve"> de cette date</w:t>
      </w:r>
      <w:r w:rsidRPr="00A70D2B">
        <w:t>, le père de l</w:t>
      </w:r>
      <w:r>
        <w:t>’</w:t>
      </w:r>
      <w:r w:rsidRPr="00A70D2B">
        <w:t xml:space="preserve">auteur, qui </w:t>
      </w:r>
      <w:r>
        <w:t>dirigeait</w:t>
      </w:r>
      <w:r w:rsidRPr="00A70D2B">
        <w:t xml:space="preserve"> à l</w:t>
      </w:r>
      <w:r>
        <w:t>’</w:t>
      </w:r>
      <w:r w:rsidRPr="00A70D2B">
        <w:t>époque une entreprise publique de gaz</w:t>
      </w:r>
      <w:r>
        <w:t xml:space="preserve"> et qui était élu au conseil régional de la région de Khorezm et au Conseil suprême de la République du Karakalpakstan</w:t>
      </w:r>
      <w:r w:rsidRPr="00A70D2B">
        <w:t>, a</w:t>
      </w:r>
      <w:r>
        <w:t>vait</w:t>
      </w:r>
      <w:r w:rsidRPr="00A70D2B">
        <w:t xml:space="preserve"> été envoyé en voyage d</w:t>
      </w:r>
      <w:r>
        <w:t>’</w:t>
      </w:r>
      <w:r w:rsidRPr="00A70D2B">
        <w:t>affaires officiel à Achgabat (Turkménistan) pour participer à des négociations sur le transport de gaz naturel du Turkménistan vers l</w:t>
      </w:r>
      <w:r>
        <w:t>’</w:t>
      </w:r>
      <w:r w:rsidRPr="00A70D2B">
        <w:t>Ouzbékistan. Ce voyage faisait suite à une lettre d</w:t>
      </w:r>
      <w:r>
        <w:t>’</w:t>
      </w:r>
      <w:r w:rsidRPr="00A70D2B">
        <w:t>invitation officielle du Gouvernement turkmène.</w:t>
      </w:r>
    </w:p>
    <w:p w:rsidR="00EE2D18" w:rsidRPr="00A70D2B" w:rsidRDefault="00EE2D18" w:rsidP="00EE2D18">
      <w:pPr>
        <w:spacing w:after="240"/>
      </w:pPr>
      <w:r w:rsidRPr="00A70D2B">
        <w:t>2.3</w:t>
      </w:r>
      <w:r w:rsidRPr="00A70D2B">
        <w:tab/>
        <w:t>Le père de l</w:t>
      </w:r>
      <w:r>
        <w:t>’</w:t>
      </w:r>
      <w:r w:rsidRPr="00A70D2B">
        <w:t>auteur résidait à l</w:t>
      </w:r>
      <w:r>
        <w:t>’</w:t>
      </w:r>
      <w:r w:rsidRPr="00A70D2B">
        <w:t>époque dans la province de Khorezm en Ouzbékistan, près de la frontière turkmène. Pour participer à la réunion d</w:t>
      </w:r>
      <w:r>
        <w:t>’</w:t>
      </w:r>
      <w:r w:rsidRPr="00A70D2B">
        <w:t>affaires, il a</w:t>
      </w:r>
      <w:r>
        <w:t>vait</w:t>
      </w:r>
      <w:r w:rsidRPr="00A70D2B">
        <w:t xml:space="preserve"> passé en voiture la frontière entre l</w:t>
      </w:r>
      <w:r>
        <w:t>’</w:t>
      </w:r>
      <w:r w:rsidRPr="00A70D2B">
        <w:t xml:space="preserve">Ouzbékistan et la région frontalière turkmène de Dashoguz, en remplissant toutes les formalités exigées au </w:t>
      </w:r>
      <w:r>
        <w:t>p</w:t>
      </w:r>
      <w:r w:rsidRPr="00A70D2B">
        <w:t xml:space="preserve">oste frontière </w:t>
      </w:r>
      <w:r>
        <w:rPr>
          <w:rFonts w:eastAsia="MS Mincho"/>
        </w:rPr>
        <w:t>n</w:t>
      </w:r>
      <w:r>
        <w:rPr>
          <w:rFonts w:eastAsia="MS Mincho"/>
          <w:vertAlign w:val="superscript"/>
        </w:rPr>
        <w:t>o</w:t>
      </w:r>
      <w:r>
        <w:t> </w:t>
      </w:r>
      <w:r w:rsidRPr="00A70D2B">
        <w:t>1. L</w:t>
      </w:r>
      <w:r>
        <w:t>’</w:t>
      </w:r>
      <w:r w:rsidRPr="00A70D2B">
        <w:t>auteur affirme que les deux pays ont signé en 2004 un accord intitulé «Circulation des citoyens et simplification des règles pour les citoyens qui résident dans les zones frontalières», lequel dispense de visa</w:t>
      </w:r>
      <w:r>
        <w:t xml:space="preserve"> les citoyens résidant dans les</w:t>
      </w:r>
      <w:r w:rsidR="002C1788">
        <w:t xml:space="preserve"> </w:t>
      </w:r>
      <w:r w:rsidRPr="00A70D2B">
        <w:t xml:space="preserve">régions ouzbèkes de Boukhara et de Khorezm qui souhaitent se rendre dans les régions turkmènes de Dashoguz et de Lebap et en revenir, pour </w:t>
      </w:r>
      <w:r>
        <w:t xml:space="preserve">une durée de </w:t>
      </w:r>
      <w:r w:rsidRPr="00A70D2B">
        <w:t>trois jours au maximum une fois par mois. Le passeport du père de l</w:t>
      </w:r>
      <w:r>
        <w:t>’</w:t>
      </w:r>
      <w:r w:rsidRPr="00A70D2B">
        <w:t>auteur porte un cachet</w:t>
      </w:r>
      <w:r w:rsidRPr="001A21F8">
        <w:rPr>
          <w:rStyle w:val="FootnoteReference"/>
        </w:rPr>
        <w:t xml:space="preserve"> </w:t>
      </w:r>
      <w:r w:rsidRPr="00A70D2B">
        <w:t>qui pourrait confirmer qu</w:t>
      </w:r>
      <w:r>
        <w:t>’</w:t>
      </w:r>
      <w:r w:rsidRPr="00A70D2B">
        <w:t>il</w:t>
      </w:r>
      <w:r>
        <w:t xml:space="preserve"> était</w:t>
      </w:r>
      <w:r w:rsidRPr="00A70D2B">
        <w:t xml:space="preserve"> resté au Turkménistan moins de trois jours. Il a</w:t>
      </w:r>
      <w:r>
        <w:t>vait</w:t>
      </w:r>
      <w:r w:rsidRPr="00A70D2B">
        <w:t xml:space="preserve"> ensuite utilisé le visa d</w:t>
      </w:r>
      <w:r>
        <w:t>’</w:t>
      </w:r>
      <w:r w:rsidRPr="00A70D2B">
        <w:t xml:space="preserve">entrée délivré par le Turkménistan pour </w:t>
      </w:r>
      <w:r>
        <w:t>se rendre à Achgabat en avion.</w:t>
      </w:r>
    </w:p>
    <w:p w:rsidR="00EE2D18" w:rsidRDefault="00EE2D18" w:rsidP="00EE2D18">
      <w:pPr>
        <w:spacing w:after="240"/>
      </w:pPr>
      <w:r w:rsidRPr="00A70D2B">
        <w:t>2.4</w:t>
      </w:r>
      <w:r w:rsidRPr="00A70D2B">
        <w:tab/>
        <w:t>Les 1</w:t>
      </w:r>
      <w:r w:rsidRPr="00A70D2B">
        <w:rPr>
          <w:vertAlign w:val="superscript"/>
        </w:rPr>
        <w:t>er</w:t>
      </w:r>
      <w:r w:rsidRPr="00A70D2B">
        <w:t xml:space="preserve"> et 2 juin 2006, le père de l</w:t>
      </w:r>
      <w:r>
        <w:t>’</w:t>
      </w:r>
      <w:r w:rsidRPr="00A70D2B">
        <w:t>auteur a</w:t>
      </w:r>
      <w:r>
        <w:t>vait</w:t>
      </w:r>
      <w:r w:rsidRPr="00A70D2B">
        <w:t xml:space="preserve"> participé </w:t>
      </w:r>
      <w:r>
        <w:t xml:space="preserve">à Achgabat </w:t>
      </w:r>
      <w:r w:rsidRPr="00A70D2B">
        <w:t xml:space="preserve">aux négociations sur le transport de gaz naturel entre les deux pays, qui </w:t>
      </w:r>
      <w:r w:rsidR="004045B6">
        <w:t>avaient</w:t>
      </w:r>
      <w:r w:rsidRPr="00A70D2B">
        <w:t xml:space="preserve"> abouti à la signature d</w:t>
      </w:r>
      <w:r>
        <w:t>’</w:t>
      </w:r>
      <w:r w:rsidRPr="00A70D2B">
        <w:t xml:space="preserve">un protocole sur les termes et les dispositions des futurs contrats. Le 2 juin 2006, </w:t>
      </w:r>
      <w:r w:rsidR="004045B6">
        <w:t xml:space="preserve">il était </w:t>
      </w:r>
      <w:r w:rsidRPr="00A70D2B">
        <w:t>retourné en avion dans la région de Dashoguz</w:t>
      </w:r>
      <w:r w:rsidR="004045B6">
        <w:t xml:space="preserve"> (Turkménistan)</w:t>
      </w:r>
      <w:r w:rsidRPr="00A70D2B">
        <w:t>. Il a</w:t>
      </w:r>
      <w:r w:rsidR="004045B6">
        <w:t>vait</w:t>
      </w:r>
      <w:r w:rsidRPr="00A70D2B">
        <w:t xml:space="preserve"> ensuite passé la frontière ouzbèke sans incident, par le même poste frontière </w:t>
      </w:r>
      <w:r>
        <w:rPr>
          <w:rFonts w:eastAsia="MS Mincho"/>
        </w:rPr>
        <w:t>n</w:t>
      </w:r>
      <w:r>
        <w:rPr>
          <w:rFonts w:eastAsia="MS Mincho"/>
          <w:vertAlign w:val="superscript"/>
        </w:rPr>
        <w:t>o</w:t>
      </w:r>
      <w:r>
        <w:t> </w:t>
      </w:r>
      <w:r w:rsidRPr="00A70D2B">
        <w:t>1, en s</w:t>
      </w:r>
      <w:r>
        <w:t>’</w:t>
      </w:r>
      <w:r w:rsidRPr="00A70D2B">
        <w:t>acquittant des formalités de contrôle nécessaires à la frontière</w:t>
      </w:r>
      <w:r>
        <w:t>.</w:t>
      </w:r>
    </w:p>
    <w:p w:rsidR="00EE2D18" w:rsidRDefault="00EE2D18" w:rsidP="00A45010">
      <w:pPr>
        <w:spacing w:after="240" w:line="260" w:lineRule="exact"/>
      </w:pPr>
      <w:r w:rsidRPr="00A70D2B">
        <w:t>2.5</w:t>
      </w:r>
      <w:r w:rsidRPr="00A70D2B">
        <w:tab/>
        <w:t>Le 25 août 2006, le père de l</w:t>
      </w:r>
      <w:r>
        <w:t>’</w:t>
      </w:r>
      <w:r w:rsidRPr="00A70D2B">
        <w:t>auteur a</w:t>
      </w:r>
      <w:r w:rsidR="004045B6">
        <w:t>vait</w:t>
      </w:r>
      <w:r w:rsidRPr="00A70D2B">
        <w:t xml:space="preserve"> été arrêté et inculpé </w:t>
      </w:r>
      <w:r>
        <w:t>pour avoir</w:t>
      </w:r>
      <w:r w:rsidRPr="00A70D2B">
        <w:t xml:space="preserve"> franchi illégal</w:t>
      </w:r>
      <w:r>
        <w:t>ement</w:t>
      </w:r>
      <w:r w:rsidRPr="00A70D2B">
        <w:t xml:space="preserve"> la frontière ouzbéko</w:t>
      </w:r>
      <w:r>
        <w:noBreakHyphen/>
      </w:r>
      <w:r w:rsidRPr="00A70D2B">
        <w:t xml:space="preserve">turkmène avec un visa de sortie </w:t>
      </w:r>
      <w:r>
        <w:t>périmé</w:t>
      </w:r>
      <w:r w:rsidRPr="00A70D2B">
        <w:t xml:space="preserve"> délivré par le Département des visas et de l</w:t>
      </w:r>
      <w:r>
        <w:t>’</w:t>
      </w:r>
      <w:r w:rsidRPr="00A70D2B">
        <w:t>enregistrement,</w:t>
      </w:r>
      <w:r>
        <w:t xml:space="preserve"> et pour ne pas avoir obtenu l’accord du maire de la province de Khorezm et du </w:t>
      </w:r>
      <w:r w:rsidR="00E6156E">
        <w:t>P</w:t>
      </w:r>
      <w:r>
        <w:t>résident du Conseil suprême de la République du Karakalpakstan avant de quitter le Turkménistan</w:t>
      </w:r>
      <w:r w:rsidR="004045B6">
        <w:t>,</w:t>
      </w:r>
      <w:r w:rsidRPr="00A70D2B">
        <w:t xml:space="preserve"> en violation de l</w:t>
      </w:r>
      <w:r>
        <w:t>’article </w:t>
      </w:r>
      <w:r w:rsidRPr="00A70D2B">
        <w:t>223</w:t>
      </w:r>
      <w:r>
        <w:t>, paragraphe 2 c),</w:t>
      </w:r>
      <w:r w:rsidRPr="00A70D2B">
        <w:t xml:space="preserve"> du Code pénal ouzb</w:t>
      </w:r>
      <w:r>
        <w:t>e</w:t>
      </w:r>
      <w:r w:rsidRPr="00A70D2B">
        <w:t>k.</w:t>
      </w:r>
      <w:r>
        <w:t xml:space="preserve"> Selon cette disposition, les élus doivent obtenir une autorisation spéciale pour voyager à l’étranger. L’auteur fait valoir que l’article 223, paragraphe 2 c), du Code pénal ne contient aucune information sur les procédures à suivre pour obtenir cet accord, ni sur sa forme, ses termes et ses conditions. Par conséquent, elle affirme que </w:t>
      </w:r>
      <w:r w:rsidR="004045B6">
        <w:t xml:space="preserve">comme </w:t>
      </w:r>
      <w:r>
        <w:t xml:space="preserve">le maire de sa province </w:t>
      </w:r>
      <w:r w:rsidR="004045B6">
        <w:t>d’origine étai</w:t>
      </w:r>
      <w:r>
        <w:t xml:space="preserve">t absent au moment de son départ, son père a organisé </w:t>
      </w:r>
      <w:r w:rsidR="004045B6">
        <w:t xml:space="preserve">le voyage </w:t>
      </w:r>
      <w:r>
        <w:t>avec l</w:t>
      </w:r>
      <w:r w:rsidR="004045B6">
        <w:t>’adjoint</w:t>
      </w:r>
      <w:r>
        <w:t xml:space="preserve"> </w:t>
      </w:r>
      <w:r w:rsidR="004045B6">
        <w:t>au maire</w:t>
      </w:r>
      <w:r>
        <w:t>. En outre, il a</w:t>
      </w:r>
      <w:r w:rsidR="004045B6">
        <w:t>vait</w:t>
      </w:r>
      <w:r>
        <w:t xml:space="preserve"> séjourné au Turkménistan </w:t>
      </w:r>
      <w:r w:rsidR="004045B6">
        <w:t>uniquement pour affaire</w:t>
      </w:r>
      <w:r w:rsidR="00E6156E">
        <w:t>s</w:t>
      </w:r>
      <w:r>
        <w:t xml:space="preserve">. L’auteur a </w:t>
      </w:r>
      <w:r w:rsidR="004045B6">
        <w:t xml:space="preserve">transmis </w:t>
      </w:r>
      <w:r>
        <w:t>une copie d’une lettre du Conseil suprême de la République du Karakalpakstan indiquant qu’aucune délégation parlementaire du Karakalpakstan ne s’était rendue au Turkménistan en 2006.</w:t>
      </w:r>
    </w:p>
    <w:p w:rsidR="00EE2D18" w:rsidRDefault="00EE2D18" w:rsidP="00A45010">
      <w:pPr>
        <w:spacing w:after="240" w:line="260" w:lineRule="exact"/>
      </w:pPr>
      <w:r>
        <w:t>2.6</w:t>
      </w:r>
      <w:r>
        <w:tab/>
      </w:r>
      <w:r w:rsidRPr="00A70D2B">
        <w:t>L</w:t>
      </w:r>
      <w:r>
        <w:t>’</w:t>
      </w:r>
      <w:r w:rsidRPr="00A70D2B">
        <w:t>auteur affirme que</w:t>
      </w:r>
      <w:r w:rsidR="004045B6">
        <w:t>,</w:t>
      </w:r>
      <w:r w:rsidRPr="00A70D2B">
        <w:t xml:space="preserve"> conformément</w:t>
      </w:r>
      <w:r w:rsidR="004045B6">
        <w:t xml:space="preserve"> à l’annexe 1 du décret du Conseil des ministres n</w:t>
      </w:r>
      <w:r w:rsidR="004045B6" w:rsidRPr="004045B6">
        <w:rPr>
          <w:vertAlign w:val="superscript"/>
        </w:rPr>
        <w:t>o</w:t>
      </w:r>
      <w:r w:rsidR="004045B6">
        <w:t xml:space="preserve"> 8, du 6 janvier 1995, et à l’Instruction </w:t>
      </w:r>
      <w:r w:rsidR="004045B6" w:rsidRPr="007222A2">
        <w:t>n</w:t>
      </w:r>
      <w:r w:rsidR="004045B6" w:rsidRPr="007222A2">
        <w:rPr>
          <w:vertAlign w:val="superscript"/>
        </w:rPr>
        <w:t>o</w:t>
      </w:r>
      <w:r w:rsidR="004045B6" w:rsidRPr="007222A2">
        <w:t> </w:t>
      </w:r>
      <w:r w:rsidR="004045B6">
        <w:t>760, du 1</w:t>
      </w:r>
      <w:r w:rsidR="004045B6" w:rsidRPr="004045B6">
        <w:rPr>
          <w:vertAlign w:val="superscript"/>
        </w:rPr>
        <w:t>er</w:t>
      </w:r>
      <w:r w:rsidR="004045B6">
        <w:t> juillet 1999, confirmée par le Ministère de la justice, les citoyens ouzbèkes n’ont pas besoin d’un visa de sortie pour se rendre dans les</w:t>
      </w:r>
      <w:r w:rsidR="004045B6" w:rsidRPr="00A70D2B">
        <w:t xml:space="preserve"> </w:t>
      </w:r>
      <w:r w:rsidRPr="00A70D2B">
        <w:t>États membres de la CEI, y compris le Turkménistan</w:t>
      </w:r>
      <w:r>
        <w:t xml:space="preserve">. Elle se réfère aussi aux </w:t>
      </w:r>
      <w:r w:rsidRPr="00A70D2B">
        <w:t>dispositions d</w:t>
      </w:r>
      <w:r>
        <w:t>’</w:t>
      </w:r>
      <w:r w:rsidRPr="00A70D2B">
        <w:t xml:space="preserve">un </w:t>
      </w:r>
      <w:r>
        <w:t xml:space="preserve">autre </w:t>
      </w:r>
      <w:r w:rsidRPr="00A70D2B">
        <w:t>accord signé en 2004 entre l</w:t>
      </w:r>
      <w:r>
        <w:t>’</w:t>
      </w:r>
      <w:r w:rsidRPr="00A70D2B">
        <w:t>Ouzbékistan et le Turkménistan intitulé «</w:t>
      </w:r>
      <w:r w:rsidR="004045B6" w:rsidRPr="00A70D2B">
        <w:t xml:space="preserve">Franchissement </w:t>
      </w:r>
      <w:r w:rsidRPr="00A70D2B">
        <w:t>de la frontière ouzbéko</w:t>
      </w:r>
      <w:r>
        <w:noBreakHyphen/>
      </w:r>
      <w:r w:rsidRPr="00A70D2B">
        <w:t xml:space="preserve">turkmène par les citoyens servant des intérêts économiques situés dans les zones frontalières des deux pays», </w:t>
      </w:r>
      <w:r>
        <w:t xml:space="preserve">selon lesquelles </w:t>
      </w:r>
      <w:r w:rsidRPr="00A70D2B">
        <w:t>les citoyens d</w:t>
      </w:r>
      <w:r>
        <w:t>’</w:t>
      </w:r>
      <w:r w:rsidRPr="00A70D2B">
        <w:t>un pays poursuivant des objectifs économiques, comme le père de l</w:t>
      </w:r>
      <w:r>
        <w:t>’</w:t>
      </w:r>
      <w:r w:rsidRPr="00A70D2B">
        <w:t>auteur, peuvent entrer sur le territoire des zones</w:t>
      </w:r>
      <w:r>
        <w:t xml:space="preserve"> frontalières des deux pays, y </w:t>
      </w:r>
      <w:r w:rsidRPr="00A70D2B">
        <w:t>séjourner et en sortir sans visa s</w:t>
      </w:r>
      <w:r>
        <w:t>’</w:t>
      </w:r>
      <w:r w:rsidRPr="00A70D2B">
        <w:t>ils sont munis d</w:t>
      </w:r>
      <w:r>
        <w:t>’</w:t>
      </w:r>
      <w:r w:rsidRPr="00A70D2B">
        <w:t xml:space="preserve">autorisations délivrées à la frontière par les organismes </w:t>
      </w:r>
      <w:r>
        <w:t>compétents</w:t>
      </w:r>
      <w:r w:rsidRPr="00A70D2B">
        <w:t xml:space="preserve"> de l</w:t>
      </w:r>
      <w:r>
        <w:t>’</w:t>
      </w:r>
      <w:r w:rsidRPr="00A70D2B">
        <w:t>État</w:t>
      </w:r>
      <w:r w:rsidR="004045B6">
        <w:t>, sur la base</w:t>
      </w:r>
      <w:r w:rsidRPr="00A70D2B">
        <w:t xml:space="preserve"> de listes de noms établies à l</w:t>
      </w:r>
      <w:r>
        <w:t>’</w:t>
      </w:r>
      <w:r w:rsidRPr="00A70D2B">
        <w:t>avance. L</w:t>
      </w:r>
      <w:r>
        <w:t>’auteur renvoie à </w:t>
      </w:r>
      <w:r w:rsidRPr="00A70D2B">
        <w:t>la correspondance entre le Ministère des affaires étrangères de l</w:t>
      </w:r>
      <w:r>
        <w:t>’</w:t>
      </w:r>
      <w:r w:rsidRPr="00A70D2B">
        <w:t>Ouzbékistan et l</w:t>
      </w:r>
      <w:r>
        <w:t>’</w:t>
      </w:r>
      <w:r w:rsidRPr="00A70D2B">
        <w:t>entreprise publique de gaz, qui a autorisé le voyage d</w:t>
      </w:r>
      <w:r>
        <w:t>’</w:t>
      </w:r>
      <w:r w:rsidRPr="00A70D2B">
        <w:t>affaires de son père, et affirme que cette liste, où figure notamment le nom de son père, a été établie conformément à la procédure</w:t>
      </w:r>
      <w:r>
        <w:t>.</w:t>
      </w:r>
    </w:p>
    <w:p w:rsidR="00EE2D18" w:rsidRPr="00A70D2B" w:rsidRDefault="00EE2D18" w:rsidP="00A45010">
      <w:pPr>
        <w:spacing w:after="240" w:line="260" w:lineRule="exact"/>
      </w:pPr>
      <w:r>
        <w:t>2.7</w:t>
      </w:r>
      <w:r w:rsidRPr="00A70D2B">
        <w:tab/>
        <w:t>Le père de l</w:t>
      </w:r>
      <w:r>
        <w:t>’</w:t>
      </w:r>
      <w:r w:rsidRPr="00A70D2B">
        <w:t>auteur a également été inculpé d</w:t>
      </w:r>
      <w:r>
        <w:t>’</w:t>
      </w:r>
      <w:r w:rsidRPr="00A70D2B">
        <w:t>«</w:t>
      </w:r>
      <w:r w:rsidRPr="000E2007">
        <w:t>évasion fiscale ou autre soustraction» en</w:t>
      </w:r>
      <w:r w:rsidR="002C1788">
        <w:t xml:space="preserve"> </w:t>
      </w:r>
      <w:r w:rsidRPr="00A70D2B">
        <w:t>vertu de l</w:t>
      </w:r>
      <w:r>
        <w:t>’article </w:t>
      </w:r>
      <w:r w:rsidRPr="00A70D2B">
        <w:t>184</w:t>
      </w:r>
      <w:r>
        <w:t>, paragraphe 3,</w:t>
      </w:r>
      <w:r w:rsidRPr="00A70D2B">
        <w:t xml:space="preserve"> du Code pénal ouzbek. L</w:t>
      </w:r>
      <w:r>
        <w:t>’</w:t>
      </w:r>
      <w:r w:rsidRPr="00A70D2B">
        <w:t xml:space="preserve">évasion fiscale est </w:t>
      </w:r>
      <w:r>
        <w:t>notamment définie comme </w:t>
      </w:r>
      <w:r w:rsidRPr="00A70D2B">
        <w:t>«une tromperie des organismes fiscaux d</w:t>
      </w:r>
      <w:r>
        <w:t xml:space="preserve">estinée à dissimuler </w:t>
      </w:r>
      <w:r w:rsidRPr="00A70D2B">
        <w:t xml:space="preserve">et à diminuer </w:t>
      </w:r>
      <w:r>
        <w:t>notablement</w:t>
      </w:r>
      <w:r w:rsidRPr="00A70D2B">
        <w:t xml:space="preserve"> le montant des prélèvements obligatoires en faveur de l</w:t>
      </w:r>
      <w:r>
        <w:t>’É</w:t>
      </w:r>
      <w:r w:rsidRPr="00A70D2B">
        <w:t>tat ou des budgets locaux». L</w:t>
      </w:r>
      <w:r>
        <w:t>’</w:t>
      </w:r>
      <w:r w:rsidRPr="00A70D2B">
        <w:t>auteur</w:t>
      </w:r>
      <w:r w:rsidR="004045B6">
        <w:t xml:space="preserve"> fait valoir</w:t>
      </w:r>
      <w:r w:rsidRPr="00A70D2B">
        <w:t xml:space="preserve"> qu</w:t>
      </w:r>
      <w:r>
        <w:t>’</w:t>
      </w:r>
      <w:r w:rsidRPr="00A70D2B">
        <w:t>aucune information recueillie au cours des enquêtes, qu</w:t>
      </w:r>
      <w:r>
        <w:t>’</w:t>
      </w:r>
      <w:r w:rsidRPr="00A70D2B">
        <w:t>il s</w:t>
      </w:r>
      <w:r>
        <w:t>’</w:t>
      </w:r>
      <w:r w:rsidRPr="00A70D2B">
        <w:t>agisse de rapports d</w:t>
      </w:r>
      <w:r>
        <w:t>’</w:t>
      </w:r>
      <w:r w:rsidRPr="00A70D2B">
        <w:t>audit ou de déclarations de témoins, n</w:t>
      </w:r>
      <w:r>
        <w:t>’</w:t>
      </w:r>
      <w:r w:rsidRPr="00A70D2B">
        <w:t>a apporté la moindre preuve que son père ait commis de tels actes.</w:t>
      </w:r>
    </w:p>
    <w:p w:rsidR="00EE2D18" w:rsidRDefault="00EE2D18" w:rsidP="00A45010">
      <w:pPr>
        <w:spacing w:after="240" w:line="260" w:lineRule="exact"/>
      </w:pPr>
      <w:r>
        <w:t>2.8</w:t>
      </w:r>
      <w:r w:rsidRPr="00A70D2B">
        <w:tab/>
        <w:t>Le père de l</w:t>
      </w:r>
      <w:r>
        <w:t>’</w:t>
      </w:r>
      <w:r w:rsidRPr="00A70D2B">
        <w:t>auteur a également été inculpé d</w:t>
      </w:r>
      <w:r>
        <w:t>’</w:t>
      </w:r>
      <w:r w:rsidRPr="00A70D2B">
        <w:t>«abus d</w:t>
      </w:r>
      <w:r w:rsidR="004045B6">
        <w:t>’autorité</w:t>
      </w:r>
      <w:r w:rsidRPr="00A70D2B">
        <w:t>» e</w:t>
      </w:r>
      <w:r>
        <w:t xml:space="preserve">n vertu de </w:t>
      </w:r>
      <w:r w:rsidRPr="00A70D2B">
        <w:t>l</w:t>
      </w:r>
      <w:r>
        <w:t>’article </w:t>
      </w:r>
      <w:r w:rsidRPr="00A70D2B">
        <w:t>205</w:t>
      </w:r>
      <w:r>
        <w:t>, paragraphe 2,</w:t>
      </w:r>
      <w:r w:rsidRPr="00A70D2B">
        <w:t xml:space="preserve"> du Code pénal ouzbek. L</w:t>
      </w:r>
      <w:r>
        <w:t>’</w:t>
      </w:r>
      <w:r w:rsidRPr="00A70D2B">
        <w:t>abus</w:t>
      </w:r>
      <w:r w:rsidR="004045B6">
        <w:t xml:space="preserve"> d’autorité</w:t>
      </w:r>
      <w:r w:rsidRPr="00A70D2B">
        <w:t xml:space="preserve"> est notamment défini comme «l</w:t>
      </w:r>
      <w:r>
        <w:t>’</w:t>
      </w:r>
      <w:r w:rsidRPr="00A70D2B">
        <w:t xml:space="preserve">abus intentionnel de </w:t>
      </w:r>
      <w:r w:rsidR="004045B6">
        <w:t xml:space="preserve">son autorité </w:t>
      </w:r>
      <w:r w:rsidRPr="00A70D2B">
        <w:t xml:space="preserve">par un </w:t>
      </w:r>
      <w:r>
        <w:t>élu</w:t>
      </w:r>
      <w:r w:rsidRPr="00A70D2B">
        <w:t xml:space="preserve">, qui cause [...] un </w:t>
      </w:r>
      <w:r w:rsidR="004045B6">
        <w:t xml:space="preserve">préjudice important </w:t>
      </w:r>
      <w:r w:rsidRPr="00A70D2B">
        <w:t xml:space="preserve">aux droits et intérêts des citoyens ou </w:t>
      </w:r>
      <w:r>
        <w:t>aux intérêts de</w:t>
      </w:r>
      <w:r w:rsidRPr="00A70D2B">
        <w:t xml:space="preserve"> l</w:t>
      </w:r>
      <w:r>
        <w:t xml:space="preserve">’État </w:t>
      </w:r>
      <w:r w:rsidRPr="00A70D2B">
        <w:t xml:space="preserve">et </w:t>
      </w:r>
      <w:r>
        <w:t>du</w:t>
      </w:r>
      <w:r w:rsidRPr="00A70D2B">
        <w:t xml:space="preserve"> public». L</w:t>
      </w:r>
      <w:r>
        <w:t>’</w:t>
      </w:r>
      <w:r w:rsidRPr="00A70D2B">
        <w:t>auteur fait valoir que ni l</w:t>
      </w:r>
      <w:r>
        <w:t>’</w:t>
      </w:r>
      <w:r w:rsidRPr="00A70D2B">
        <w:t>enquête préliminaire ni l</w:t>
      </w:r>
      <w:r>
        <w:t>’</w:t>
      </w:r>
      <w:r w:rsidRPr="00A70D2B">
        <w:t>enquête judiciaire n</w:t>
      </w:r>
      <w:r>
        <w:t>’</w:t>
      </w:r>
      <w:r w:rsidRPr="00A70D2B">
        <w:t xml:space="preserve">ont jamais établi le montant du dommage causé par </w:t>
      </w:r>
      <w:r>
        <w:t>son père</w:t>
      </w:r>
      <w:r w:rsidRPr="00A70D2B">
        <w:t xml:space="preserve"> à la suite d</w:t>
      </w:r>
      <w:r>
        <w:t>’</w:t>
      </w:r>
      <w:r w:rsidRPr="00A70D2B">
        <w:t>un quelconque acte de ce type</w:t>
      </w:r>
      <w:r>
        <w:t>.</w:t>
      </w:r>
    </w:p>
    <w:p w:rsidR="00EE2D18" w:rsidRDefault="00EE2D18" w:rsidP="00A45010">
      <w:pPr>
        <w:spacing w:after="240" w:line="260" w:lineRule="exact"/>
      </w:pPr>
      <w:r>
        <w:t>2.9</w:t>
      </w:r>
      <w:r w:rsidRPr="00A70D2B">
        <w:tab/>
        <w:t>Le 25 septembre 2006, le père de l</w:t>
      </w:r>
      <w:r>
        <w:t>’</w:t>
      </w:r>
      <w:r w:rsidRPr="00A70D2B">
        <w:t xml:space="preserve">auteur a été reconnu </w:t>
      </w:r>
      <w:r>
        <w:t>coupable en vertu du paragraphe </w:t>
      </w:r>
      <w:r w:rsidRPr="00A70D2B">
        <w:t>3 de l</w:t>
      </w:r>
      <w:r>
        <w:t>’article </w:t>
      </w:r>
      <w:r w:rsidRPr="00A70D2B">
        <w:t xml:space="preserve">184, du </w:t>
      </w:r>
      <w:r>
        <w:t>paragraphe </w:t>
      </w:r>
      <w:r w:rsidRPr="00A70D2B">
        <w:t>2 a) et b) de l</w:t>
      </w:r>
      <w:r>
        <w:t>’article </w:t>
      </w:r>
      <w:r w:rsidRPr="00A70D2B">
        <w:t xml:space="preserve">205 et du </w:t>
      </w:r>
      <w:r>
        <w:t>paragraphe </w:t>
      </w:r>
      <w:r w:rsidRPr="00A70D2B">
        <w:t xml:space="preserve">2 </w:t>
      </w:r>
      <w:r>
        <w:t>c)</w:t>
      </w:r>
      <w:r w:rsidR="004045B6">
        <w:t xml:space="preserve"> </w:t>
      </w:r>
      <w:r w:rsidRPr="00A70D2B">
        <w:t>de l</w:t>
      </w:r>
      <w:r w:rsidR="002C1788">
        <w:t xml:space="preserve">’article 223 du </w:t>
      </w:r>
      <w:r w:rsidRPr="00A70D2B">
        <w:t xml:space="preserve">Code pénal </w:t>
      </w:r>
      <w:r>
        <w:t xml:space="preserve">ouzbek </w:t>
      </w:r>
      <w:r w:rsidRPr="00A70D2B">
        <w:t xml:space="preserve">et condamné à cinq ans </w:t>
      </w:r>
      <w:r>
        <w:t>d’emprisonnement</w:t>
      </w:r>
      <w:r w:rsidRPr="00A70D2B">
        <w:t xml:space="preserve"> par le tribunal de district de</w:t>
      </w:r>
      <w:r w:rsidR="002C1788">
        <w:t xml:space="preserve"> </w:t>
      </w:r>
      <w:r w:rsidRPr="00A70D2B">
        <w:t>Bagat. L</w:t>
      </w:r>
      <w:r>
        <w:t>’</w:t>
      </w:r>
      <w:r w:rsidRPr="00A70D2B">
        <w:t xml:space="preserve">auteur dénonce les nombreuses violations de </w:t>
      </w:r>
      <w:r w:rsidR="004045B6">
        <w:t xml:space="preserve">la </w:t>
      </w:r>
      <w:r w:rsidRPr="00A70D2B">
        <w:t xml:space="preserve">procédure commises au cours de </w:t>
      </w:r>
      <w:r w:rsidR="004045B6">
        <w:t>la procédure judiciaire</w:t>
      </w:r>
      <w:r w:rsidRPr="00A70D2B">
        <w:t>, la partialité de la juridiction de jugement et les contradictions dans la condamnation au regard des faits de la cause</w:t>
      </w:r>
      <w:r>
        <w:t>.</w:t>
      </w:r>
    </w:p>
    <w:p w:rsidR="00EE2D18" w:rsidRDefault="00EE2D18" w:rsidP="00A45010">
      <w:pPr>
        <w:spacing w:after="240" w:line="260" w:lineRule="exact"/>
      </w:pPr>
      <w:r>
        <w:t>2.10</w:t>
      </w:r>
      <w:r w:rsidRPr="00A70D2B">
        <w:tab/>
        <w:t>L</w:t>
      </w:r>
      <w:r>
        <w:t>’</w:t>
      </w:r>
      <w:r w:rsidRPr="00A70D2B">
        <w:t>auteur affirme que l</w:t>
      </w:r>
      <w:r>
        <w:t>’</w:t>
      </w:r>
      <w:r w:rsidRPr="00A70D2B">
        <w:t>avocat de son père n</w:t>
      </w:r>
      <w:r>
        <w:t>’</w:t>
      </w:r>
      <w:r w:rsidRPr="00A70D2B">
        <w:t>a pas été informé de la procédure et n</w:t>
      </w:r>
      <w:r>
        <w:t>’</w:t>
      </w:r>
      <w:r w:rsidRPr="00A70D2B">
        <w:t xml:space="preserve">a donc pas pu défendre son client pendant </w:t>
      </w:r>
      <w:r>
        <w:t>des</w:t>
      </w:r>
      <w:r w:rsidRPr="00A70D2B">
        <w:t xml:space="preserve"> partie</w:t>
      </w:r>
      <w:r>
        <w:t>s essentielles</w:t>
      </w:r>
      <w:r w:rsidRPr="00A70D2B">
        <w:t xml:space="preserve"> de l</w:t>
      </w:r>
      <w:r>
        <w:t>’</w:t>
      </w:r>
      <w:r w:rsidRPr="00A70D2B">
        <w:t>action en justice, alors que le tribunal disposait de ses coordonnées. L</w:t>
      </w:r>
      <w:r>
        <w:t>’</w:t>
      </w:r>
      <w:r w:rsidRPr="00A70D2B">
        <w:t>avocat a été informé par un tiers de l</w:t>
      </w:r>
      <w:r>
        <w:t>’</w:t>
      </w:r>
      <w:r w:rsidRPr="00A70D2B">
        <w:t>ouverture de la procédure judiciaire. Il a fait valoir cette infraction devant le tribunal lors d</w:t>
      </w:r>
      <w:r>
        <w:t>’</w:t>
      </w:r>
      <w:r w:rsidRPr="00A70D2B">
        <w:t>une des audiences, au cours de laquelle il a appris que l</w:t>
      </w:r>
      <w:r>
        <w:t>’</w:t>
      </w:r>
      <w:r w:rsidRPr="00A70D2B">
        <w:t>enquête était achevée. L</w:t>
      </w:r>
      <w:r>
        <w:t>’</w:t>
      </w:r>
      <w:r w:rsidRPr="00A70D2B">
        <w:t xml:space="preserve">avocat a </w:t>
      </w:r>
      <w:r w:rsidRPr="000E2007">
        <w:t xml:space="preserve">invoqué ce </w:t>
      </w:r>
      <w:r>
        <w:t>vice</w:t>
      </w:r>
      <w:r w:rsidRPr="000E2007">
        <w:t xml:space="preserve"> de procédure pour demander que la procédure soit recommencée, mais son recours a été rejeté. Un</w:t>
      </w:r>
      <w:r>
        <w:t> </w:t>
      </w:r>
      <w:r w:rsidRPr="00A70D2B">
        <w:t>autre appel visant à ce que la procédure soit recommencée en raison de nouvelles circonstances,</w:t>
      </w:r>
      <w:r w:rsidR="004045B6">
        <w:t xml:space="preserve"> c’est-à-dire</w:t>
      </w:r>
      <w:r w:rsidRPr="00A70D2B">
        <w:t xml:space="preserve"> l</w:t>
      </w:r>
      <w:r>
        <w:t>’</w:t>
      </w:r>
      <w:r w:rsidRPr="00A70D2B">
        <w:t>existence de nouveaux témoins, a également été rejeté</w:t>
      </w:r>
      <w:r>
        <w:t>.</w:t>
      </w:r>
    </w:p>
    <w:p w:rsidR="00EE2D18" w:rsidRDefault="00EE2D18" w:rsidP="00EE2D18">
      <w:pPr>
        <w:spacing w:after="240"/>
      </w:pPr>
      <w:r>
        <w:t>2.11</w:t>
      </w:r>
      <w:r w:rsidRPr="00A70D2B">
        <w:tab/>
        <w:t>En outre, l</w:t>
      </w:r>
      <w:r>
        <w:t>’</w:t>
      </w:r>
      <w:r w:rsidRPr="00A70D2B">
        <w:t>auteur affirme que l</w:t>
      </w:r>
      <w:r>
        <w:t>’</w:t>
      </w:r>
      <w:r w:rsidRPr="00A70D2B">
        <w:t>avocat de son père n</w:t>
      </w:r>
      <w:r>
        <w:t>’</w:t>
      </w:r>
      <w:r w:rsidRPr="00A70D2B">
        <w:t>a pas eu le droit de s</w:t>
      </w:r>
      <w:r>
        <w:t>’entretenir avec </w:t>
      </w:r>
      <w:r w:rsidRPr="00A70D2B">
        <w:t>son client pendant sa détention. L</w:t>
      </w:r>
      <w:r>
        <w:t>’</w:t>
      </w:r>
      <w:r w:rsidRPr="00A70D2B">
        <w:t>avocat s</w:t>
      </w:r>
      <w:r>
        <w:t>’</w:t>
      </w:r>
      <w:r w:rsidRPr="00A70D2B">
        <w:t>est plaint aupr</w:t>
      </w:r>
      <w:r>
        <w:t xml:space="preserve">ès du </w:t>
      </w:r>
      <w:r w:rsidR="006B4736">
        <w:t>b</w:t>
      </w:r>
      <w:r>
        <w:t>ureau du procureur et du </w:t>
      </w:r>
      <w:r w:rsidRPr="00A70D2B">
        <w:t>tribunal et a demandé à rencontrer le père de l</w:t>
      </w:r>
      <w:r>
        <w:t>’</w:t>
      </w:r>
      <w:r w:rsidRPr="00A70D2B">
        <w:t>auteur</w:t>
      </w:r>
      <w:r>
        <w:t>.</w:t>
      </w:r>
    </w:p>
    <w:p w:rsidR="00EE2D18" w:rsidRDefault="00EE2D18" w:rsidP="00EE2D18">
      <w:pPr>
        <w:spacing w:after="240"/>
      </w:pPr>
      <w:r>
        <w:t>2.12</w:t>
      </w:r>
      <w:r w:rsidRPr="00A70D2B">
        <w:tab/>
        <w:t>L</w:t>
      </w:r>
      <w:r>
        <w:t>’</w:t>
      </w:r>
      <w:r w:rsidRPr="00A70D2B">
        <w:t>auteur affirme que la condamnation contient des incohérences et des contradictions portant sur les faits et les preuve</w:t>
      </w:r>
      <w:r w:rsidR="004F574C">
        <w:t>s</w:t>
      </w:r>
      <w:r w:rsidRPr="00A70D2B">
        <w:t>. Neuf pages de motions de défense</w:t>
      </w:r>
      <w:r>
        <w:t xml:space="preserve"> et 18 autres annexes</w:t>
      </w:r>
      <w:r w:rsidRPr="00A70D2B">
        <w:t xml:space="preserve"> n</w:t>
      </w:r>
      <w:r>
        <w:t>’</w:t>
      </w:r>
      <w:r w:rsidRPr="00A70D2B">
        <w:t>ont pas été examinées par le tribunal. La condamnation ne précise pas pour quels motifs le tribunal a rejeté les preuve</w:t>
      </w:r>
      <w:r w:rsidR="004F574C">
        <w:t>s</w:t>
      </w:r>
      <w:r w:rsidRPr="00A70D2B">
        <w:t xml:space="preserve"> et documents présentés par la défense. L</w:t>
      </w:r>
      <w:r>
        <w:t>’</w:t>
      </w:r>
      <w:r w:rsidRPr="00A70D2B">
        <w:t>avocat du père de l</w:t>
      </w:r>
      <w:r>
        <w:t>’</w:t>
      </w:r>
      <w:r w:rsidRPr="00A70D2B">
        <w:t>auteur a déposé devant le tribunal régional de Khorezm un recours dénonçant toutes ces viol</w:t>
      </w:r>
      <w:r>
        <w:t>ations</w:t>
      </w:r>
      <w:r w:rsidRPr="00A70D2B">
        <w:t>. Avant le début de l</w:t>
      </w:r>
      <w:r>
        <w:t>’</w:t>
      </w:r>
      <w:r w:rsidRPr="00A70D2B">
        <w:t>audience en appel, l</w:t>
      </w:r>
      <w:r>
        <w:t>’</w:t>
      </w:r>
      <w:r w:rsidRPr="00A70D2B">
        <w:t>avocat a demandé à s</w:t>
      </w:r>
      <w:r>
        <w:t>’</w:t>
      </w:r>
      <w:r w:rsidRPr="00A70D2B">
        <w:t>entretenir avec le père de l</w:t>
      </w:r>
      <w:r>
        <w:t>’</w:t>
      </w:r>
      <w:r w:rsidRPr="00A70D2B">
        <w:t>auteur, demande qui a de nouveau été rejetée. Il n</w:t>
      </w:r>
      <w:r>
        <w:t>’</w:t>
      </w:r>
      <w:r w:rsidRPr="00A70D2B">
        <w:t>a même pas eu l</w:t>
      </w:r>
      <w:r>
        <w:t>’</w:t>
      </w:r>
      <w:r w:rsidRPr="00A70D2B">
        <w:t>autorisation de s</w:t>
      </w:r>
      <w:r>
        <w:t>’</w:t>
      </w:r>
      <w:r w:rsidRPr="00A70D2B">
        <w:t>entretenir avec lui en tête à tête dans l</w:t>
      </w:r>
      <w:r>
        <w:t>’</w:t>
      </w:r>
      <w:r w:rsidRPr="00A70D2B">
        <w:t>enceinte du tribunal avant l</w:t>
      </w:r>
      <w:r>
        <w:t>’</w:t>
      </w:r>
      <w:r w:rsidRPr="00A70D2B">
        <w:t>ouverture de l</w:t>
      </w:r>
      <w:r>
        <w:t>’</w:t>
      </w:r>
      <w:r w:rsidRPr="00A70D2B">
        <w:t>audience, et n</w:t>
      </w:r>
      <w:r>
        <w:t>’</w:t>
      </w:r>
      <w:r w:rsidRPr="00A70D2B">
        <w:t>a pu lui parler qu</w:t>
      </w:r>
      <w:r>
        <w:t>’</w:t>
      </w:r>
      <w:r w:rsidRPr="00A70D2B">
        <w:t>au cours de celle</w:t>
      </w:r>
      <w:r>
        <w:noBreakHyphen/>
      </w:r>
      <w:r w:rsidRPr="00A70D2B">
        <w:t xml:space="preserve">ci. Sa demande a été rejetée par le </w:t>
      </w:r>
      <w:r>
        <w:t>p</w:t>
      </w:r>
      <w:r w:rsidRPr="00A70D2B">
        <w:t xml:space="preserve">résident du </w:t>
      </w:r>
      <w:r>
        <w:t>c</w:t>
      </w:r>
      <w:r w:rsidRPr="00A70D2B">
        <w:t>ollège du tribunal qui a examiné l</w:t>
      </w:r>
      <w:r>
        <w:t>’</w:t>
      </w:r>
      <w:r w:rsidRPr="00A70D2B">
        <w:t>affaire</w:t>
      </w:r>
      <w:r>
        <w:t>.</w:t>
      </w:r>
    </w:p>
    <w:p w:rsidR="00EE2D18" w:rsidRDefault="00EE2D18" w:rsidP="00EE2D18">
      <w:pPr>
        <w:spacing w:after="240"/>
      </w:pPr>
      <w:r>
        <w:t>2.13</w:t>
      </w:r>
      <w:r w:rsidRPr="00A70D2B">
        <w:tab/>
        <w:t>L</w:t>
      </w:r>
      <w:r>
        <w:t>’</w:t>
      </w:r>
      <w:r w:rsidRPr="00A70D2B">
        <w:t xml:space="preserve">auteur affirme que, </w:t>
      </w:r>
      <w:r w:rsidR="004F574C">
        <w:t xml:space="preserve">à </w:t>
      </w:r>
      <w:r w:rsidRPr="00A70D2B">
        <w:t>l</w:t>
      </w:r>
      <w:r>
        <w:t>’</w:t>
      </w:r>
      <w:r w:rsidRPr="00A70D2B">
        <w:t>audience en appel, l</w:t>
      </w:r>
      <w:r>
        <w:t>’</w:t>
      </w:r>
      <w:r w:rsidRPr="00A70D2B">
        <w:t>avocat a fait valoir les violations de procédure commises lors du procès au tribunal de district. La cour d</w:t>
      </w:r>
      <w:r>
        <w:t>’</w:t>
      </w:r>
      <w:r w:rsidR="004F574C">
        <w:t xml:space="preserve">appel a rejeté ses griefs et </w:t>
      </w:r>
      <w:r w:rsidRPr="00A70D2B">
        <w:t>a</w:t>
      </w:r>
      <w:r w:rsidR="004F574C">
        <w:t> </w:t>
      </w:r>
      <w:r w:rsidRPr="00A70D2B">
        <w:t>confirmé la décision du tribunal de district de Bagat.</w:t>
      </w:r>
      <w:r>
        <w:t xml:space="preserve"> L’avocat a alors déposé devant le tribunal régional de Khorezm un recours en </w:t>
      </w:r>
      <w:r w:rsidR="004F574C">
        <w:t>révision</w:t>
      </w:r>
      <w:r>
        <w:t xml:space="preserve">, qui a été rejeté le 28 novembre 2006. </w:t>
      </w:r>
      <w:r w:rsidR="004F574C">
        <w:t>L</w:t>
      </w:r>
      <w:r>
        <w:t>e</w:t>
      </w:r>
      <w:r w:rsidR="004F574C">
        <w:t xml:space="preserve"> recours </w:t>
      </w:r>
      <w:r w:rsidRPr="00A70D2B">
        <w:t>en</w:t>
      </w:r>
      <w:r w:rsidR="004F574C">
        <w:t xml:space="preserve"> révision </w:t>
      </w:r>
      <w:r>
        <w:t>qu’il a déposé ensuite devant la Cour suprêm</w:t>
      </w:r>
      <w:r w:rsidR="004F574C">
        <w:t>e a été également rejeté, en date du 16 mars </w:t>
      </w:r>
      <w:r>
        <w:t>2007.</w:t>
      </w:r>
    </w:p>
    <w:p w:rsidR="00EE2D18" w:rsidRPr="00A70D2B" w:rsidRDefault="00EE2D18" w:rsidP="00EE2D18">
      <w:pPr>
        <w:spacing w:after="240"/>
      </w:pPr>
      <w:r>
        <w:t>2.14</w:t>
      </w:r>
      <w:r w:rsidRPr="00A70D2B">
        <w:tab/>
        <w:t>Le 30 novembre 2006, le Parlement ouzbek a adopté un décret intitulé «</w:t>
      </w:r>
      <w:r w:rsidR="004F574C">
        <w:t>L</w:t>
      </w:r>
      <w:r>
        <w:t>’amnistie décrétée</w:t>
      </w:r>
      <w:r w:rsidRPr="00A70D2B">
        <w:t xml:space="preserve"> à l</w:t>
      </w:r>
      <w:r>
        <w:t>’occasion du quatorzième</w:t>
      </w:r>
      <w:r w:rsidRPr="00A70D2B">
        <w:t xml:space="preserve"> anniversaire de l</w:t>
      </w:r>
      <w:r>
        <w:t>’</w:t>
      </w:r>
      <w:r w:rsidRPr="00A70D2B">
        <w:t>indépendance de l</w:t>
      </w:r>
      <w:r>
        <w:t>’</w:t>
      </w:r>
      <w:r w:rsidRPr="00A70D2B">
        <w:t>Ouzbékistan». Le père de l</w:t>
      </w:r>
      <w:r>
        <w:t>’</w:t>
      </w:r>
      <w:r w:rsidRPr="00A70D2B">
        <w:t>auteur n</w:t>
      </w:r>
      <w:r>
        <w:t>’</w:t>
      </w:r>
      <w:r w:rsidRPr="00A70D2B">
        <w:t>a pas bénéficié de ce</w:t>
      </w:r>
      <w:r>
        <w:t>tte</w:t>
      </w:r>
      <w:r w:rsidRPr="00A70D2B">
        <w:t xml:space="preserve"> </w:t>
      </w:r>
      <w:r>
        <w:t>amnistie</w:t>
      </w:r>
      <w:r w:rsidRPr="00A70D2B">
        <w:t>, alors qu</w:t>
      </w:r>
      <w:r>
        <w:t>’</w:t>
      </w:r>
      <w:r w:rsidRPr="00A70D2B">
        <w:t>il avait 60 ans au moment où le décret a été publié et qu</w:t>
      </w:r>
      <w:r>
        <w:t>’</w:t>
      </w:r>
      <w:r w:rsidRPr="00A70D2B">
        <w:t xml:space="preserve">il aurait dû </w:t>
      </w:r>
      <w:r>
        <w:t>faire partie des bénéficiaires</w:t>
      </w:r>
      <w:r w:rsidRPr="00A70D2B">
        <w:t xml:space="preserve">, selon les critères </w:t>
      </w:r>
      <w:r w:rsidR="004F574C">
        <w:t>retenus</w:t>
      </w:r>
      <w:r w:rsidRPr="00A70D2B">
        <w:t>. L</w:t>
      </w:r>
      <w:r>
        <w:t>’</w:t>
      </w:r>
      <w:r w:rsidRPr="00A70D2B">
        <w:t>avocat a fait appel devant le Département principal de l</w:t>
      </w:r>
      <w:r>
        <w:t>’</w:t>
      </w:r>
      <w:r w:rsidRPr="00A70D2B">
        <w:t>application des peines et le tribu</w:t>
      </w:r>
      <w:r>
        <w:t>nal de district de </w:t>
      </w:r>
      <w:r w:rsidRPr="00A70D2B">
        <w:t>Bagat en leur demandant de préciser les raisons pour lesquelles le père de l</w:t>
      </w:r>
      <w:r>
        <w:t>’</w:t>
      </w:r>
      <w:r w:rsidRPr="00A70D2B">
        <w:t>auteur n</w:t>
      </w:r>
      <w:r>
        <w:t>’</w:t>
      </w:r>
      <w:r w:rsidRPr="00A70D2B">
        <w:t>avait pas bénéficié d</w:t>
      </w:r>
      <w:r>
        <w:t>e</w:t>
      </w:r>
      <w:r w:rsidRPr="00A70D2B">
        <w:t xml:space="preserve"> </w:t>
      </w:r>
      <w:r>
        <w:t>l’amnistie</w:t>
      </w:r>
      <w:r w:rsidRPr="00A70D2B">
        <w:t>. Il n</w:t>
      </w:r>
      <w:r>
        <w:t>’</w:t>
      </w:r>
      <w:r w:rsidRPr="00A70D2B">
        <w:t xml:space="preserve">a </w:t>
      </w:r>
      <w:r w:rsidR="004F574C">
        <w:t xml:space="preserve">jamais </w:t>
      </w:r>
      <w:r w:rsidRPr="00A70D2B">
        <w:t xml:space="preserve">reçu </w:t>
      </w:r>
      <w:r w:rsidR="004F574C">
        <w:t xml:space="preserve">de </w:t>
      </w:r>
      <w:r w:rsidRPr="00A70D2B">
        <w:t>réponse.</w:t>
      </w:r>
    </w:p>
    <w:p w:rsidR="00EE2D18" w:rsidRDefault="00EE2D18" w:rsidP="00EE2D18">
      <w:pPr>
        <w:keepNext/>
        <w:spacing w:after="240"/>
        <w:rPr>
          <w:b/>
        </w:rPr>
      </w:pPr>
      <w:r w:rsidRPr="00A70D2B">
        <w:rPr>
          <w:b/>
        </w:rPr>
        <w:t>Teneur de la plainte</w:t>
      </w:r>
    </w:p>
    <w:p w:rsidR="00EE2D18" w:rsidRDefault="00EE2D18" w:rsidP="00EE2D18">
      <w:pPr>
        <w:spacing w:after="240"/>
      </w:pPr>
      <w:r>
        <w:t>3.1</w:t>
      </w:r>
      <w:r>
        <w:tab/>
        <w:t xml:space="preserve"> L’auteur affirme que son père a été condamné illégalement pour s’être rendu à l’étranger pour affaires, ce qui ne constituait pas une menace pour la sécurité nationale, l’ordre public, la santé ou la moralité publiques ou les droits et libertés d’autrui, en violation de ses droits au titre des paragraphes 2 et 3 de l’article 12 du Pacte.</w:t>
      </w:r>
    </w:p>
    <w:p w:rsidR="00EE2D18" w:rsidRDefault="00EE2D18" w:rsidP="00EE2D18">
      <w:pPr>
        <w:spacing w:after="240"/>
      </w:pPr>
      <w:r>
        <w:t>3.2</w:t>
      </w:r>
      <w:r>
        <w:tab/>
        <w:t xml:space="preserve"> L’auteur fait valoir que les incohérences et les contradictions portant sur les faits et les preuve</w:t>
      </w:r>
      <w:r w:rsidR="008065BA">
        <w:t>s</w:t>
      </w:r>
      <w:r>
        <w:t xml:space="preserve"> contenues dans la condamnation et le défaut d’examen des motions de défense par le tribunal constituent une violation du paragraphe 1 de l’article 14 du Pacte.</w:t>
      </w:r>
    </w:p>
    <w:p w:rsidR="00EE2D18" w:rsidRDefault="00EE2D18" w:rsidP="00EE2D18">
      <w:pPr>
        <w:spacing w:after="240"/>
      </w:pPr>
      <w:r>
        <w:t>3.3</w:t>
      </w:r>
      <w:r>
        <w:tab/>
        <w:t xml:space="preserve">L’auteur affirme aussi que l’avocat de son père n’a </w:t>
      </w:r>
      <w:r w:rsidR="008065BA">
        <w:t xml:space="preserve">pas </w:t>
      </w:r>
      <w:r>
        <w:t>été tenu informé des procédures et n’a donc pas pu défendre son père à des momen</w:t>
      </w:r>
      <w:r w:rsidR="008065BA">
        <w:t>ts importants du procès, et qu’on</w:t>
      </w:r>
      <w:r>
        <w:t xml:space="preserve"> lui a refusé la possibilité de le rencontrer durant sa détention, en violation du paragraphe 3 b) de l’article 14. Elle</w:t>
      </w:r>
      <w:r w:rsidR="008065BA">
        <w:t xml:space="preserve"> fait valoir</w:t>
      </w:r>
      <w:r>
        <w:t xml:space="preserve"> que le </w:t>
      </w:r>
      <w:r w:rsidR="008065BA">
        <w:t xml:space="preserve">refus opposé à </w:t>
      </w:r>
      <w:r>
        <w:t xml:space="preserve">l’avocat </w:t>
      </w:r>
      <w:r w:rsidR="008065BA">
        <w:t xml:space="preserve">qui demandait la </w:t>
      </w:r>
      <w:r w:rsidR="006B4736">
        <w:t>comparution</w:t>
      </w:r>
      <w:r w:rsidR="008065BA">
        <w:t xml:space="preserve"> </w:t>
      </w:r>
      <w:r>
        <w:t>d’autres témoins est une violation du paragraphe 3 e) de l’article 14 du Pacte.</w:t>
      </w:r>
    </w:p>
    <w:p w:rsidR="00EE2D18" w:rsidRPr="00FE5F4A" w:rsidRDefault="00EE2D18" w:rsidP="00EE2D18">
      <w:pPr>
        <w:spacing w:after="240"/>
      </w:pPr>
      <w:r>
        <w:t>3.4</w:t>
      </w:r>
      <w:r>
        <w:tab/>
        <w:t>L’auteur</w:t>
      </w:r>
      <w:r w:rsidR="008065BA">
        <w:t xml:space="preserve"> affirme</w:t>
      </w:r>
      <w:r>
        <w:t xml:space="preserve"> que son père a été jugé coupable d’actes qui n’étaient pas délictueux, en violation du paragraphe 1 de l’article 15 du Pacte.</w:t>
      </w:r>
    </w:p>
    <w:p w:rsidR="00EE2D18" w:rsidRPr="00273189" w:rsidRDefault="00EE2D18" w:rsidP="00EE2D18">
      <w:pPr>
        <w:keepNext/>
        <w:spacing w:after="240"/>
        <w:rPr>
          <w:b/>
          <w:bCs/>
        </w:rPr>
      </w:pPr>
      <w:r w:rsidRPr="00273189">
        <w:rPr>
          <w:b/>
        </w:rPr>
        <w:t>Observations de l</w:t>
      </w:r>
      <w:r>
        <w:rPr>
          <w:b/>
        </w:rPr>
        <w:t>’</w:t>
      </w:r>
      <w:r w:rsidRPr="00273189">
        <w:rPr>
          <w:b/>
        </w:rPr>
        <w:t xml:space="preserve">État partie </w:t>
      </w:r>
      <w:r>
        <w:rPr>
          <w:b/>
          <w:bCs/>
        </w:rPr>
        <w:t>sur la recevabilité et le fond</w:t>
      </w:r>
    </w:p>
    <w:p w:rsidR="00EE2D18" w:rsidRDefault="00EE2D18" w:rsidP="00EE2D18">
      <w:pPr>
        <w:tabs>
          <w:tab w:val="left" w:pos="567"/>
        </w:tabs>
        <w:spacing w:after="240"/>
      </w:pPr>
      <w:r w:rsidRPr="00A70D2B">
        <w:t>4.1</w:t>
      </w:r>
      <w:r w:rsidRPr="00A70D2B">
        <w:tab/>
        <w:t>Dans une lettre datée du 15 octobre 2007, l</w:t>
      </w:r>
      <w:r>
        <w:t>’</w:t>
      </w:r>
      <w:r w:rsidRPr="00A70D2B">
        <w:t>État partie rappelle les faits présentés par l</w:t>
      </w:r>
      <w:r>
        <w:t>’</w:t>
      </w:r>
      <w:r w:rsidRPr="00A70D2B">
        <w:t>auteur et affirme que la culpabilité du père de l</w:t>
      </w:r>
      <w:r>
        <w:t>’</w:t>
      </w:r>
      <w:r w:rsidRPr="00A70D2B">
        <w:t xml:space="preserve">auteur </w:t>
      </w:r>
      <w:r>
        <w:t xml:space="preserve">a </w:t>
      </w:r>
      <w:r w:rsidRPr="00A70D2B">
        <w:t>été établie à partir des preuve</w:t>
      </w:r>
      <w:r w:rsidR="008065BA">
        <w:t>s</w:t>
      </w:r>
      <w:r w:rsidRPr="00A70D2B">
        <w:t xml:space="preserve"> qui ont été obtenu</w:t>
      </w:r>
      <w:r w:rsidR="008065BA">
        <w:t>e</w:t>
      </w:r>
      <w:r w:rsidRPr="00A70D2B">
        <w:t>s au cours de l</w:t>
      </w:r>
      <w:r>
        <w:t>’</w:t>
      </w:r>
      <w:r w:rsidRPr="00A70D2B">
        <w:t>enquête et corroboré</w:t>
      </w:r>
      <w:r w:rsidR="008065BA">
        <w:t>e</w:t>
      </w:r>
      <w:r w:rsidRPr="00A70D2B">
        <w:t xml:space="preserve">s </w:t>
      </w:r>
      <w:r w:rsidR="008065BA">
        <w:t xml:space="preserve">au </w:t>
      </w:r>
      <w:r>
        <w:t>procès</w:t>
      </w:r>
      <w:r w:rsidRPr="00A70D2B">
        <w:t>. Il fait valoir que les actes de l</w:t>
      </w:r>
      <w:r>
        <w:t>’</w:t>
      </w:r>
      <w:r w:rsidRPr="00A70D2B">
        <w:t xml:space="preserve">auteur ont été appréciés correctement et </w:t>
      </w:r>
      <w:r w:rsidR="008065BA">
        <w:t xml:space="preserve">que </w:t>
      </w:r>
      <w:r w:rsidRPr="00A70D2B">
        <w:t xml:space="preserve">la condamnation </w:t>
      </w:r>
      <w:r w:rsidR="008065BA">
        <w:t xml:space="preserve">a été </w:t>
      </w:r>
      <w:r w:rsidRPr="00A70D2B">
        <w:t>déterminée conformément à la loi</w:t>
      </w:r>
      <w:r>
        <w:t>.</w:t>
      </w:r>
    </w:p>
    <w:p w:rsidR="00EE2D18" w:rsidRPr="00A70D2B" w:rsidRDefault="00EE2D18" w:rsidP="00EE2D18">
      <w:pPr>
        <w:tabs>
          <w:tab w:val="left" w:pos="567"/>
        </w:tabs>
        <w:spacing w:after="240"/>
      </w:pPr>
      <w:r w:rsidRPr="00A70D2B">
        <w:t>4.2</w:t>
      </w:r>
      <w:r w:rsidRPr="00A70D2B">
        <w:tab/>
        <w:t>L</w:t>
      </w:r>
      <w:r>
        <w:t>’</w:t>
      </w:r>
      <w:r w:rsidRPr="00A70D2B">
        <w:t>État indique en outre</w:t>
      </w:r>
      <w:r>
        <w:t xml:space="preserve"> pour étayer son argumentation </w:t>
      </w:r>
      <w:r w:rsidRPr="00A70D2B">
        <w:t xml:space="preserve">que le 20 août 2007, </w:t>
      </w:r>
      <w:r>
        <w:t>le tribunal</w:t>
      </w:r>
      <w:r w:rsidRPr="00A70D2B">
        <w:t xml:space="preserve"> pénal de la ville de Tachkent a rendu une autre déc</w:t>
      </w:r>
      <w:r>
        <w:t>ision reconnaissant</w:t>
      </w:r>
      <w:r w:rsidRPr="00A70D2B">
        <w:t xml:space="preserve"> le père de l</w:t>
      </w:r>
      <w:r>
        <w:t>’</w:t>
      </w:r>
      <w:r w:rsidRPr="00A70D2B">
        <w:t>auteur coupable en vertu des articles suivant</w:t>
      </w:r>
      <w:r>
        <w:t>s</w:t>
      </w:r>
      <w:r w:rsidRPr="00A70D2B">
        <w:t xml:space="preserve"> du Code pénal: </w:t>
      </w:r>
      <w:r>
        <w:t>paragraphe </w:t>
      </w:r>
      <w:r w:rsidRPr="00A70D2B">
        <w:t>3 a) et b) de l</w:t>
      </w:r>
      <w:r>
        <w:t>’article </w:t>
      </w:r>
      <w:r w:rsidRPr="00A70D2B">
        <w:t>1</w:t>
      </w:r>
      <w:r>
        <w:t>67 relatif au détournement ou à la malversation</w:t>
      </w:r>
      <w:r w:rsidRPr="00A70D2B">
        <w:t xml:space="preserve"> de fonds</w:t>
      </w:r>
      <w:r>
        <w:t>;</w:t>
      </w:r>
      <w:r w:rsidRPr="00A70D2B">
        <w:t xml:space="preserve"> </w:t>
      </w:r>
      <w:r>
        <w:t>article </w:t>
      </w:r>
      <w:r w:rsidRPr="00A70D2B">
        <w:t xml:space="preserve">179 relatif </w:t>
      </w:r>
      <w:r>
        <w:t>à l’usurpation de la qualité</w:t>
      </w:r>
      <w:r w:rsidRPr="00F8373B">
        <w:t xml:space="preserve"> d</w:t>
      </w:r>
      <w:r>
        <w:t>’</w:t>
      </w:r>
      <w:r w:rsidRPr="00F8373B">
        <w:t>entrepr</w:t>
      </w:r>
      <w:r>
        <w:t>eneur</w:t>
      </w:r>
      <w:r w:rsidRPr="00A70D2B">
        <w:t xml:space="preserve">; </w:t>
      </w:r>
      <w:r>
        <w:t>paragraphe </w:t>
      </w:r>
      <w:r w:rsidRPr="00A70D2B">
        <w:t>2 a), b) et c) de l</w:t>
      </w:r>
      <w:r>
        <w:t>’article </w:t>
      </w:r>
      <w:r w:rsidRPr="00A70D2B">
        <w:t>205 relatif à l</w:t>
      </w:r>
      <w:r>
        <w:t>’</w:t>
      </w:r>
      <w:r w:rsidRPr="00A70D2B">
        <w:t xml:space="preserve">abus </w:t>
      </w:r>
      <w:r w:rsidR="008065BA">
        <w:t xml:space="preserve">d’autorité </w:t>
      </w:r>
      <w:r>
        <w:t>et de fonctions officielles;</w:t>
      </w:r>
      <w:r w:rsidRPr="00A70D2B">
        <w:t xml:space="preserve"> </w:t>
      </w:r>
      <w:r>
        <w:t>paragraphe </w:t>
      </w:r>
      <w:r w:rsidRPr="00A70D2B">
        <w:t>2 a) et b) de l</w:t>
      </w:r>
      <w:r>
        <w:t>’article </w:t>
      </w:r>
      <w:r w:rsidRPr="00A70D2B">
        <w:t xml:space="preserve">209 relatif </w:t>
      </w:r>
      <w:r>
        <w:t>à la falsification de documents;</w:t>
      </w:r>
      <w:r w:rsidRPr="00A70D2B">
        <w:t xml:space="preserve"> </w:t>
      </w:r>
      <w:r>
        <w:t>paragraphe 3 a), b) et </w:t>
      </w:r>
      <w:r w:rsidRPr="00A70D2B">
        <w:t>c) de l</w:t>
      </w:r>
      <w:r>
        <w:t>’article </w:t>
      </w:r>
      <w:r w:rsidRPr="00A70D2B">
        <w:t>210 relatif aux pots</w:t>
      </w:r>
      <w:r>
        <w:noBreakHyphen/>
      </w:r>
      <w:r w:rsidRPr="00A70D2B">
        <w:t>de</w:t>
      </w:r>
      <w:r>
        <w:noBreakHyphen/>
        <w:t>vin;</w:t>
      </w:r>
      <w:r w:rsidRPr="00A70D2B">
        <w:t xml:space="preserve"> et</w:t>
      </w:r>
      <w:r>
        <w:t> paragraphe </w:t>
      </w:r>
      <w:r w:rsidRPr="00A70D2B">
        <w:t>1 de l</w:t>
      </w:r>
      <w:r>
        <w:t>’article </w:t>
      </w:r>
      <w:r w:rsidRPr="00A70D2B">
        <w:t>242 relatif à l</w:t>
      </w:r>
      <w:r>
        <w:t>’</w:t>
      </w:r>
      <w:r w:rsidRPr="00A70D2B">
        <w:t>association de malfaiteurs</w:t>
      </w:r>
      <w:r>
        <w:t xml:space="preserve">. Il </w:t>
      </w:r>
      <w:r w:rsidRPr="00A70D2B">
        <w:t>l</w:t>
      </w:r>
      <w:r>
        <w:t>’a condamné à 12 </w:t>
      </w:r>
      <w:r w:rsidRPr="00A70D2B">
        <w:t>ans</w:t>
      </w:r>
      <w:r>
        <w:t xml:space="preserve"> </w:t>
      </w:r>
      <w:r w:rsidRPr="00A70D2B">
        <w:t xml:space="preserve">et </w:t>
      </w:r>
      <w:r>
        <w:t>6 </w:t>
      </w:r>
      <w:r w:rsidRPr="00A70D2B">
        <w:t>mois d</w:t>
      </w:r>
      <w:r>
        <w:t>’</w:t>
      </w:r>
      <w:r w:rsidRPr="00A70D2B">
        <w:t>emprisonnement en vertu de l</w:t>
      </w:r>
      <w:r>
        <w:t>’article </w:t>
      </w:r>
      <w:r w:rsidRPr="00A70D2B">
        <w:t>59 du Code pénal de l</w:t>
      </w:r>
      <w:r>
        <w:t>’</w:t>
      </w:r>
      <w:r w:rsidRPr="00A70D2B">
        <w:t>État partie. L</w:t>
      </w:r>
      <w:r>
        <w:t>’</w:t>
      </w:r>
      <w:r w:rsidRPr="00A70D2B">
        <w:t>État partie affirme que, grâce à la confusion des peines prononcées le 25</w:t>
      </w:r>
      <w:r>
        <w:t> </w:t>
      </w:r>
      <w:r w:rsidRPr="00A70D2B">
        <w:t>décembre 2006 et le 20 août 2007, l</w:t>
      </w:r>
      <w:r>
        <w:t>’</w:t>
      </w:r>
      <w:r w:rsidRPr="00A70D2B">
        <w:t xml:space="preserve">auteur a été condamné à </w:t>
      </w:r>
      <w:r>
        <w:t xml:space="preserve">treize </w:t>
      </w:r>
      <w:r w:rsidRPr="00A70D2B">
        <w:t>ans d</w:t>
      </w:r>
      <w:r>
        <w:t>’</w:t>
      </w:r>
      <w:r w:rsidRPr="00A70D2B">
        <w:t>emprisonnement. Conformément au décret du 30 novembre 2006</w:t>
      </w:r>
      <w:r>
        <w:t xml:space="preserve"> </w:t>
      </w:r>
      <w:r w:rsidRPr="00A70D2B">
        <w:t xml:space="preserve">sur </w:t>
      </w:r>
      <w:r>
        <w:t>l’amnistie, la durée de sa peine a ensuite été réduite d</w:t>
      </w:r>
      <w:r w:rsidRPr="00A70D2B">
        <w:t>u qu</w:t>
      </w:r>
      <w:r>
        <w:t>art.</w:t>
      </w:r>
    </w:p>
    <w:p w:rsidR="00EE2D18" w:rsidRPr="00273189" w:rsidRDefault="00EE2D18" w:rsidP="00EE2D18">
      <w:pPr>
        <w:keepNext/>
        <w:tabs>
          <w:tab w:val="left" w:pos="567"/>
        </w:tabs>
        <w:spacing w:after="240"/>
        <w:rPr>
          <w:b/>
          <w:bCs/>
        </w:rPr>
      </w:pPr>
      <w:r w:rsidRPr="00273189">
        <w:rPr>
          <w:b/>
          <w:bCs/>
        </w:rPr>
        <w:t>Commentaires de l</w:t>
      </w:r>
      <w:r>
        <w:rPr>
          <w:b/>
          <w:bCs/>
        </w:rPr>
        <w:t>’</w:t>
      </w:r>
      <w:r w:rsidRPr="00273189">
        <w:rPr>
          <w:b/>
          <w:bCs/>
        </w:rPr>
        <w:t>auteur sur les observations de l</w:t>
      </w:r>
      <w:r>
        <w:rPr>
          <w:b/>
          <w:bCs/>
        </w:rPr>
        <w:t>’</w:t>
      </w:r>
      <w:r w:rsidRPr="00273189">
        <w:rPr>
          <w:b/>
          <w:bCs/>
        </w:rPr>
        <w:t>État partie</w:t>
      </w:r>
    </w:p>
    <w:p w:rsidR="00EE2D18" w:rsidRDefault="00EE2D18" w:rsidP="00EE2D18">
      <w:pPr>
        <w:tabs>
          <w:tab w:val="left" w:pos="-840"/>
        </w:tabs>
        <w:spacing w:after="240"/>
      </w:pPr>
      <w:r w:rsidRPr="00A70D2B">
        <w:t>5.1</w:t>
      </w:r>
      <w:r w:rsidRPr="00A70D2B">
        <w:tab/>
        <w:t xml:space="preserve">Dans </w:t>
      </w:r>
      <w:r>
        <w:t>une lettre</w:t>
      </w:r>
      <w:r w:rsidRPr="00A70D2B">
        <w:t xml:space="preserve"> dat</w:t>
      </w:r>
      <w:r>
        <w:t>é</w:t>
      </w:r>
      <w:r w:rsidRPr="00A70D2B">
        <w:t>e du 10 décembre 2007, l</w:t>
      </w:r>
      <w:r>
        <w:t>’</w:t>
      </w:r>
      <w:r w:rsidRPr="00A70D2B">
        <w:t xml:space="preserve">auteur </w:t>
      </w:r>
      <w:r>
        <w:t>fait valoir</w:t>
      </w:r>
      <w:r w:rsidRPr="00A70D2B">
        <w:t xml:space="preserve"> que </w:t>
      </w:r>
      <w:r>
        <w:t>dans ses</w:t>
      </w:r>
      <w:r w:rsidRPr="00A70D2B">
        <w:t xml:space="preserve"> observations l</w:t>
      </w:r>
      <w:r>
        <w:t>’</w:t>
      </w:r>
      <w:r w:rsidRPr="00A70D2B">
        <w:t xml:space="preserve">État partie </w:t>
      </w:r>
      <w:r>
        <w:t>n’a</w:t>
      </w:r>
      <w:r w:rsidRPr="00A70D2B">
        <w:t xml:space="preserve"> pas </w:t>
      </w:r>
      <w:r>
        <w:t xml:space="preserve">réfuté ses arguments </w:t>
      </w:r>
      <w:r w:rsidRPr="00A70D2B">
        <w:t xml:space="preserve">mais </w:t>
      </w:r>
      <w:r w:rsidR="008065BA">
        <w:t xml:space="preserve">a </w:t>
      </w:r>
      <w:r w:rsidRPr="00A70D2B">
        <w:t>au contraire prouv</w:t>
      </w:r>
      <w:r>
        <w:t>é</w:t>
      </w:r>
      <w:r w:rsidRPr="00A70D2B">
        <w:t xml:space="preserve"> </w:t>
      </w:r>
      <w:r>
        <w:t>que son père</w:t>
      </w:r>
      <w:r w:rsidRPr="00A70D2B">
        <w:t xml:space="preserve"> </w:t>
      </w:r>
      <w:r>
        <w:t>n’avait commis aucune infraction pénale</w:t>
      </w:r>
      <w:r w:rsidRPr="00A70D2B">
        <w:t xml:space="preserve">. Elle </w:t>
      </w:r>
      <w:r>
        <w:t>souligne</w:t>
      </w:r>
      <w:r w:rsidRPr="00A70D2B">
        <w:t xml:space="preserve"> que l</w:t>
      </w:r>
      <w:r>
        <w:t>’</w:t>
      </w:r>
      <w:r w:rsidRPr="00A70D2B">
        <w:t>État partie n</w:t>
      </w:r>
      <w:r>
        <w:t>’</w:t>
      </w:r>
      <w:r w:rsidRPr="00A70D2B">
        <w:t>a réfuté aucune des allégations de violation du Pacte</w:t>
      </w:r>
      <w:r>
        <w:t>.</w:t>
      </w:r>
    </w:p>
    <w:p w:rsidR="00EE2D18" w:rsidRDefault="00EE2D18" w:rsidP="00EE2D18">
      <w:pPr>
        <w:tabs>
          <w:tab w:val="left" w:pos="-840"/>
        </w:tabs>
        <w:spacing w:after="240"/>
      </w:pPr>
      <w:r w:rsidRPr="00A70D2B">
        <w:t>5.2</w:t>
      </w:r>
      <w:r w:rsidRPr="00A70D2B">
        <w:tab/>
        <w:t>L</w:t>
      </w:r>
      <w:r>
        <w:t>’</w:t>
      </w:r>
      <w:r w:rsidRPr="00A70D2B">
        <w:t xml:space="preserve">auteur affirme que la deuxième affaire pénale examinée par </w:t>
      </w:r>
      <w:r>
        <w:t>le tribunal</w:t>
      </w:r>
      <w:r w:rsidRPr="00A70D2B">
        <w:t xml:space="preserve"> pénal de Tachkent </w:t>
      </w:r>
      <w:r>
        <w:t xml:space="preserve">ne </w:t>
      </w:r>
      <w:r w:rsidRPr="00A70D2B">
        <w:t xml:space="preserve">visait </w:t>
      </w:r>
      <w:r>
        <w:t>qu’</w:t>
      </w:r>
      <w:r w:rsidRPr="00A70D2B">
        <w:t>à corriger les erreurs commises au cours de l</w:t>
      </w:r>
      <w:r>
        <w:t>’</w:t>
      </w:r>
      <w:r w:rsidRPr="00A70D2B">
        <w:t>enquête et de la procédure judiciaire dans la première affaire. Au cours de l</w:t>
      </w:r>
      <w:r>
        <w:t>’</w:t>
      </w:r>
      <w:r w:rsidRPr="00A70D2B">
        <w:t>enquête préliminaire de la deuxième affaire pénale, l</w:t>
      </w:r>
      <w:r>
        <w:t>’</w:t>
      </w:r>
      <w:r w:rsidRPr="00A70D2B">
        <w:t>avocat de son père a déposé de nombreuses plaintes concernant des irrégularités de procédure dans le recueil et l</w:t>
      </w:r>
      <w:r>
        <w:t>’</w:t>
      </w:r>
      <w:r w:rsidRPr="00A70D2B">
        <w:t>appréciation des preuve</w:t>
      </w:r>
      <w:r w:rsidR="008065BA">
        <w:t>s</w:t>
      </w:r>
      <w:r w:rsidRPr="00A70D2B">
        <w:t xml:space="preserve">, </w:t>
      </w:r>
      <w:r>
        <w:t>et des violations des droits de </w:t>
      </w:r>
      <w:r w:rsidRPr="00A70D2B">
        <w:t xml:space="preserve">la défense. </w:t>
      </w:r>
      <w:r>
        <w:t xml:space="preserve">Aucune de </w:t>
      </w:r>
      <w:r w:rsidRPr="00A70D2B">
        <w:t xml:space="preserve">ces plaintes </w:t>
      </w:r>
      <w:r>
        <w:t>n’a été prise en considération.</w:t>
      </w:r>
    </w:p>
    <w:p w:rsidR="00EE2D18" w:rsidRDefault="00EE2D18" w:rsidP="00EE2D18">
      <w:pPr>
        <w:tabs>
          <w:tab w:val="left" w:pos="-840"/>
        </w:tabs>
        <w:spacing w:after="180"/>
      </w:pPr>
      <w:r w:rsidRPr="00A70D2B">
        <w:t>5.3</w:t>
      </w:r>
      <w:r w:rsidRPr="00A70D2B">
        <w:tab/>
        <w:t>L</w:t>
      </w:r>
      <w:r>
        <w:t>’</w:t>
      </w:r>
      <w:r w:rsidRPr="00A70D2B">
        <w:t>auteur fait valoir qu</w:t>
      </w:r>
      <w:r>
        <w:t>’</w:t>
      </w:r>
      <w:r w:rsidRPr="00A70D2B">
        <w:t>avant le début du second procès, la section judiciaire du tribunal de Tachkent n</w:t>
      </w:r>
      <w:r>
        <w:t>’</w:t>
      </w:r>
      <w:r w:rsidRPr="00A70D2B">
        <w:t>a pas tenu compte des requêtes présentées par l</w:t>
      </w:r>
      <w:r>
        <w:t>’</w:t>
      </w:r>
      <w:r w:rsidRPr="00A70D2B">
        <w:t xml:space="preserve">avocat de son père en </w:t>
      </w:r>
      <w:r w:rsidRPr="00A45593">
        <w:t>vue d</w:t>
      </w:r>
      <w:r>
        <w:t>’</w:t>
      </w:r>
      <w:r w:rsidRPr="00A45593">
        <w:t>engager un second avocat. L</w:t>
      </w:r>
      <w:r>
        <w:t>’</w:t>
      </w:r>
      <w:r w:rsidRPr="00A45593">
        <w:t>a</w:t>
      </w:r>
      <w:r>
        <w:t>ction</w:t>
      </w:r>
      <w:r w:rsidRPr="00A45593">
        <w:t xml:space="preserve"> pénale n</w:t>
      </w:r>
      <w:r>
        <w:t>’</w:t>
      </w:r>
      <w:r w:rsidRPr="00A45593">
        <w:t>a pas fait l</w:t>
      </w:r>
      <w:r>
        <w:t>’</w:t>
      </w:r>
      <w:r w:rsidRPr="00A45593">
        <w:t>objet d</w:t>
      </w:r>
      <w:r>
        <w:t>’</w:t>
      </w:r>
      <w:r w:rsidRPr="00A45593">
        <w:t>un examen au fond au cours du procès. L</w:t>
      </w:r>
      <w:r>
        <w:t>’</w:t>
      </w:r>
      <w:r w:rsidRPr="00A45593">
        <w:t xml:space="preserve">auteur </w:t>
      </w:r>
      <w:r w:rsidR="00FB7DE9">
        <w:t xml:space="preserve">donne </w:t>
      </w:r>
      <w:r w:rsidRPr="00A45593">
        <w:t>une liste d</w:t>
      </w:r>
      <w:r>
        <w:t>’</w:t>
      </w:r>
      <w:r w:rsidRPr="00A45593">
        <w:t>exemples ayant trait à chaque</w:t>
      </w:r>
      <w:r w:rsidRPr="00A70D2B">
        <w:t xml:space="preserve"> </w:t>
      </w:r>
      <w:r>
        <w:t xml:space="preserve">article du Code pénal </w:t>
      </w:r>
      <w:r w:rsidRPr="00A70D2B">
        <w:t>pour lesquels le tribunal a rejeté ou n</w:t>
      </w:r>
      <w:r>
        <w:t>’</w:t>
      </w:r>
      <w:r w:rsidRPr="00A70D2B">
        <w:t>a pas examiné les témoignages et au</w:t>
      </w:r>
      <w:r>
        <w:t>tres éléments de preuve</w:t>
      </w:r>
      <w:r w:rsidRPr="00A70D2B">
        <w:t xml:space="preserve">. Si le montant des </w:t>
      </w:r>
      <w:r>
        <w:t>dommages</w:t>
      </w:r>
      <w:r w:rsidRPr="00A70D2B">
        <w:t xml:space="preserve"> matériels causés par son père était si élevé, pourquoi personne n</w:t>
      </w:r>
      <w:r>
        <w:t>’</w:t>
      </w:r>
      <w:r w:rsidRPr="00A70D2B">
        <w:t>a</w:t>
      </w:r>
      <w:r>
        <w:t xml:space="preserve"> </w:t>
      </w:r>
      <w:r w:rsidRPr="00A70D2B">
        <w:t>engagé de poursuites civiles? Les requêtes présentées en vue de faire comparaître des témoins dont les dépositions auraient été essentielles dans cette affaire ont toutes été rejetées. Parallèlement, aucune des requêtes formulées par le ministère public n</w:t>
      </w:r>
      <w:r>
        <w:t xml:space="preserve">’a été rejetée. </w:t>
      </w:r>
    </w:p>
    <w:p w:rsidR="00EE2D18" w:rsidRDefault="00EE2D18" w:rsidP="00EE2D18">
      <w:pPr>
        <w:tabs>
          <w:tab w:val="left" w:pos="-840"/>
        </w:tabs>
        <w:spacing w:after="180"/>
      </w:pPr>
      <w:r w:rsidRPr="00A70D2B">
        <w:t>5.4</w:t>
      </w:r>
      <w:r w:rsidRPr="00A70D2B">
        <w:tab/>
        <w:t>L</w:t>
      </w:r>
      <w:r>
        <w:t>’</w:t>
      </w:r>
      <w:r w:rsidRPr="00A70D2B">
        <w:t>auteur ajoute que le procès</w:t>
      </w:r>
      <w:r>
        <w:noBreakHyphen/>
      </w:r>
      <w:r w:rsidRPr="00A70D2B">
        <w:t xml:space="preserve">verbal du procès a été publié </w:t>
      </w:r>
      <w:r>
        <w:t>quatorze jours après que la décision a </w:t>
      </w:r>
      <w:r w:rsidRPr="00A70D2B">
        <w:t>été rendue. Cela a permis de le falsifier et d</w:t>
      </w:r>
      <w:r>
        <w:t>’</w:t>
      </w:r>
      <w:r w:rsidRPr="00A70D2B">
        <w:t>y ajouter des éléments, parce qu</w:t>
      </w:r>
      <w:r>
        <w:t>’</w:t>
      </w:r>
      <w:r w:rsidRPr="00A70D2B">
        <w:t>il conten</w:t>
      </w:r>
      <w:r>
        <w:t>ai</w:t>
      </w:r>
      <w:r w:rsidRPr="00A70D2B">
        <w:t>t de nombreuses inexactitudes. L</w:t>
      </w:r>
      <w:r>
        <w:t>’</w:t>
      </w:r>
      <w:r w:rsidRPr="00A70D2B">
        <w:t>auteur a soumis une note relative au procès</w:t>
      </w:r>
      <w:r>
        <w:noBreakHyphen/>
      </w:r>
      <w:r w:rsidRPr="00A70D2B">
        <w:t>ve</w:t>
      </w:r>
      <w:r>
        <w:t>rbal du </w:t>
      </w:r>
      <w:r w:rsidRPr="00A70D2B">
        <w:t>procès au tribunal municipal de Tachkent chargé des affaires pénales</w:t>
      </w:r>
      <w:r>
        <w:t>.</w:t>
      </w:r>
    </w:p>
    <w:p w:rsidR="00EE2D18" w:rsidRPr="00A70D2B" w:rsidRDefault="00EE2D18" w:rsidP="00EE2D18">
      <w:pPr>
        <w:tabs>
          <w:tab w:val="left" w:pos="-840"/>
        </w:tabs>
        <w:spacing w:after="180"/>
      </w:pPr>
      <w:r w:rsidRPr="00A70D2B">
        <w:t>5.5</w:t>
      </w:r>
      <w:r w:rsidRPr="00A70D2B">
        <w:tab/>
        <w:t>L</w:t>
      </w:r>
      <w:r>
        <w:t>’</w:t>
      </w:r>
      <w:r w:rsidRPr="00A70D2B">
        <w:t xml:space="preserve">auteur ajoute que les </w:t>
      </w:r>
      <w:r w:rsidR="00FB7DE9">
        <w:t xml:space="preserve">griefs </w:t>
      </w:r>
      <w:r w:rsidRPr="00A70D2B">
        <w:t>ci</w:t>
      </w:r>
      <w:r>
        <w:noBreakHyphen/>
      </w:r>
      <w:r w:rsidRPr="00A70D2B">
        <w:t xml:space="preserve">dessus constituent </w:t>
      </w:r>
      <w:r>
        <w:t xml:space="preserve">également </w:t>
      </w:r>
      <w:r w:rsidRPr="00A70D2B">
        <w:t>des violations des articles</w:t>
      </w:r>
      <w:r>
        <w:t> </w:t>
      </w:r>
      <w:r w:rsidRPr="00A70D2B">
        <w:t xml:space="preserve">6, 7, 10, et des </w:t>
      </w:r>
      <w:r>
        <w:t>paragraphes </w:t>
      </w:r>
      <w:r w:rsidRPr="00A70D2B">
        <w:t>2 et 3 d) de l</w:t>
      </w:r>
      <w:r>
        <w:t>’article </w:t>
      </w:r>
      <w:r w:rsidRPr="00A70D2B">
        <w:t>14 du Pacte.</w:t>
      </w:r>
    </w:p>
    <w:p w:rsidR="00EE2D18" w:rsidRPr="00273189" w:rsidRDefault="00EE2D18" w:rsidP="00EE2D18">
      <w:pPr>
        <w:keepNext/>
        <w:tabs>
          <w:tab w:val="left" w:pos="-840"/>
        </w:tabs>
        <w:spacing w:after="180"/>
        <w:rPr>
          <w:b/>
          <w:bCs/>
        </w:rPr>
      </w:pPr>
      <w:r w:rsidRPr="00273189">
        <w:rPr>
          <w:b/>
          <w:bCs/>
        </w:rPr>
        <w:t>Réponses complémentaires de l</w:t>
      </w:r>
      <w:r>
        <w:rPr>
          <w:b/>
          <w:bCs/>
        </w:rPr>
        <w:t>’</w:t>
      </w:r>
      <w:r w:rsidRPr="00273189">
        <w:rPr>
          <w:b/>
          <w:bCs/>
        </w:rPr>
        <w:t>auteur</w:t>
      </w:r>
    </w:p>
    <w:p w:rsidR="00EE2D18" w:rsidRPr="00F8373B" w:rsidRDefault="00EE2D18" w:rsidP="00EE2D18">
      <w:pPr>
        <w:spacing w:after="180"/>
      </w:pPr>
      <w:r>
        <w:t xml:space="preserve">6. </w:t>
      </w:r>
      <w:r>
        <w:tab/>
        <w:t>Dans une lettre du</w:t>
      </w:r>
      <w:r w:rsidRPr="00F8373B">
        <w:t xml:space="preserve"> 21 </w:t>
      </w:r>
      <w:r>
        <w:t>m</w:t>
      </w:r>
      <w:r w:rsidRPr="00F8373B">
        <w:t>ars 2009, l</w:t>
      </w:r>
      <w:r>
        <w:t>’</w:t>
      </w:r>
      <w:r w:rsidRPr="00F8373B">
        <w:t xml:space="preserve">auteur </w:t>
      </w:r>
      <w:r>
        <w:t xml:space="preserve">indique </w:t>
      </w:r>
      <w:r w:rsidRPr="00F8373B">
        <w:t>que l</w:t>
      </w:r>
      <w:r>
        <w:t>’</w:t>
      </w:r>
      <w:r w:rsidRPr="00F8373B">
        <w:t xml:space="preserve">état de santé de son père </w:t>
      </w:r>
      <w:r>
        <w:t>s’est</w:t>
      </w:r>
      <w:r w:rsidRPr="00F8373B">
        <w:t xml:space="preserve"> </w:t>
      </w:r>
      <w:r>
        <w:t>nettement</w:t>
      </w:r>
      <w:r w:rsidRPr="00F8373B">
        <w:t xml:space="preserve"> dé</w:t>
      </w:r>
      <w:r w:rsidR="00FB7DE9">
        <w:t>gradé</w:t>
      </w:r>
      <w:r w:rsidRPr="00F8373B">
        <w:t xml:space="preserve">. </w:t>
      </w:r>
      <w:r w:rsidR="00FB7DE9">
        <w:t>Son</w:t>
      </w:r>
      <w:r w:rsidRPr="00F8373B">
        <w:t xml:space="preserve"> père a été </w:t>
      </w:r>
      <w:r>
        <w:t>placé</w:t>
      </w:r>
      <w:r w:rsidRPr="00F8373B">
        <w:t xml:space="preserve"> </w:t>
      </w:r>
      <w:r>
        <w:t>en</w:t>
      </w:r>
      <w:r w:rsidRPr="00F8373B">
        <w:t xml:space="preserve"> observation ambulatoire </w:t>
      </w:r>
      <w:r>
        <w:t xml:space="preserve">au </w:t>
      </w:r>
      <w:r w:rsidRPr="00F8373B">
        <w:t xml:space="preserve">Centre </w:t>
      </w:r>
      <w:r w:rsidR="00FB7DE9">
        <w:t xml:space="preserve">de </w:t>
      </w:r>
      <w:r>
        <w:t>c</w:t>
      </w:r>
      <w:r w:rsidRPr="00F8373B">
        <w:t xml:space="preserve">ardiologie </w:t>
      </w:r>
      <w:r>
        <w:t>et il a été établi qu’il souffre</w:t>
      </w:r>
      <w:r w:rsidRPr="00F8373B">
        <w:t xml:space="preserve"> </w:t>
      </w:r>
      <w:r>
        <w:t>de</w:t>
      </w:r>
      <w:r w:rsidRPr="00F8373B">
        <w:t xml:space="preserve"> </w:t>
      </w:r>
      <w:r>
        <w:t>«</w:t>
      </w:r>
      <w:r w:rsidRPr="00F8373B">
        <w:t xml:space="preserve">cardiopathie ischémique de forme arythmique et </w:t>
      </w:r>
      <w:r>
        <w:t>d’</w:t>
      </w:r>
      <w:r w:rsidRPr="00F8373B">
        <w:t xml:space="preserve">arythmie </w:t>
      </w:r>
      <w:r>
        <w:t>c</w:t>
      </w:r>
      <w:r w:rsidRPr="00F8373B">
        <w:t>ilia</w:t>
      </w:r>
      <w:r>
        <w:t xml:space="preserve">ire de forme </w:t>
      </w:r>
      <w:r w:rsidRPr="00F8373B">
        <w:t>paroxystique</w:t>
      </w:r>
      <w:r>
        <w:t>»</w:t>
      </w:r>
      <w:r w:rsidRPr="00F8373B">
        <w:t>. En 2003</w:t>
      </w:r>
      <w:r>
        <w:t>, une</w:t>
      </w:r>
      <w:r w:rsidRPr="00F8373B">
        <w:t xml:space="preserve"> hypertension du </w:t>
      </w:r>
      <w:r>
        <w:t>premier</w:t>
      </w:r>
      <w:r w:rsidRPr="0007139B">
        <w:rPr>
          <w:vertAlign w:val="superscript"/>
        </w:rPr>
        <w:t xml:space="preserve"> </w:t>
      </w:r>
      <w:r w:rsidRPr="00F8373B">
        <w:t xml:space="preserve">degré </w:t>
      </w:r>
      <w:r>
        <w:t>avait été diagnostiquée en</w:t>
      </w:r>
      <w:r w:rsidRPr="00F8373B">
        <w:t xml:space="preserve"> plus de maladies cardiaques et </w:t>
      </w:r>
      <w:r>
        <w:t xml:space="preserve">d’une </w:t>
      </w:r>
      <w:r w:rsidRPr="00F8373B">
        <w:t>hyperpl</w:t>
      </w:r>
      <w:r>
        <w:t>asie bénigne de la prostate. En </w:t>
      </w:r>
      <w:r w:rsidRPr="00F8373B">
        <w:t>2005, l</w:t>
      </w:r>
      <w:r>
        <w:t>’</w:t>
      </w:r>
      <w:r w:rsidRPr="00F8373B">
        <w:t xml:space="preserve">hypertension </w:t>
      </w:r>
      <w:r>
        <w:t xml:space="preserve">a </w:t>
      </w:r>
      <w:r w:rsidRPr="00F8373B">
        <w:t xml:space="preserve">atteint le second degré. En juillet 2007, le personnel médical </w:t>
      </w:r>
      <w:r w:rsidR="00B85249">
        <w:t xml:space="preserve">de la prison </w:t>
      </w:r>
      <w:r w:rsidRPr="00F8373B">
        <w:t xml:space="preserve">a confirmé une cardiopathie ischémique, </w:t>
      </w:r>
      <w:r>
        <w:t xml:space="preserve">une </w:t>
      </w:r>
      <w:r w:rsidRPr="00F8373B">
        <w:t xml:space="preserve">sténocardie </w:t>
      </w:r>
      <w:r>
        <w:t>stable</w:t>
      </w:r>
      <w:r w:rsidRPr="00F8373B">
        <w:t xml:space="preserve"> FK</w:t>
      </w:r>
      <w:r>
        <w:t>’</w:t>
      </w:r>
      <w:r w:rsidRPr="00F8373B">
        <w:t xml:space="preserve">2, </w:t>
      </w:r>
      <w:r>
        <w:t xml:space="preserve">une </w:t>
      </w:r>
      <w:r w:rsidRPr="00F8373B">
        <w:t>arythmie</w:t>
      </w:r>
      <w:r>
        <w:t xml:space="preserve"> ciliaire </w:t>
      </w:r>
      <w:r w:rsidRPr="00F8373B">
        <w:t xml:space="preserve">paroxystique </w:t>
      </w:r>
      <w:r>
        <w:t>et une h</w:t>
      </w:r>
      <w:r w:rsidRPr="00F8373B">
        <w:t>ypertension du second degré.</w:t>
      </w:r>
      <w:r>
        <w:t> </w:t>
      </w:r>
      <w:r w:rsidRPr="00F8373B">
        <w:t xml:space="preserve">En outre, il </w:t>
      </w:r>
      <w:r>
        <w:t>a</w:t>
      </w:r>
      <w:r w:rsidRPr="00F8373B">
        <w:t xml:space="preserve"> diagnostiqué </w:t>
      </w:r>
      <w:r>
        <w:t>un</w:t>
      </w:r>
      <w:r w:rsidRPr="00F8373B">
        <w:t xml:space="preserve"> diabète pancréatique d</w:t>
      </w:r>
      <w:r>
        <w:t>e</w:t>
      </w:r>
      <w:r w:rsidRPr="00F8373B">
        <w:t xml:space="preserve"> type</w:t>
      </w:r>
      <w:r>
        <w:t xml:space="preserve"> 2.</w:t>
      </w:r>
      <w:r w:rsidRPr="00F8373B">
        <w:t xml:space="preserve"> L</w:t>
      </w:r>
      <w:r>
        <w:t>’</w:t>
      </w:r>
      <w:r w:rsidRPr="00F8373B">
        <w:t>auteur affirme que ces</w:t>
      </w:r>
      <w:r>
        <w:t> </w:t>
      </w:r>
      <w:r w:rsidRPr="00F8373B">
        <w:t xml:space="preserve">diagnostics montrent que la vie de son père </w:t>
      </w:r>
      <w:r>
        <w:t xml:space="preserve">sera en danger si des mesures </w:t>
      </w:r>
      <w:r w:rsidR="00B85249">
        <w:t>préventives</w:t>
      </w:r>
      <w:r>
        <w:t xml:space="preserve"> ne sont pas </w:t>
      </w:r>
      <w:r w:rsidRPr="00F8373B">
        <w:t xml:space="preserve">prises à temps. Elle </w:t>
      </w:r>
      <w:r w:rsidR="00B85249">
        <w:t xml:space="preserve">demande au </w:t>
      </w:r>
      <w:r w:rsidRPr="00F8373B">
        <w:t xml:space="preserve">Comité </w:t>
      </w:r>
      <w:r>
        <w:t>d’</w:t>
      </w:r>
      <w:r w:rsidRPr="00F8373B">
        <w:t>accélérer l</w:t>
      </w:r>
      <w:r>
        <w:t>’</w:t>
      </w:r>
      <w:r w:rsidRPr="00F8373B">
        <w:t>examen de l</w:t>
      </w:r>
      <w:r>
        <w:t>’</w:t>
      </w:r>
      <w:r w:rsidRPr="00F8373B">
        <w:t>affaire afin d</w:t>
      </w:r>
      <w:r>
        <w:t>’</w:t>
      </w:r>
      <w:r w:rsidRPr="00F8373B">
        <w:t>éviter des dommages irréparables.</w:t>
      </w:r>
    </w:p>
    <w:p w:rsidR="00EE2D18" w:rsidRPr="00A70D2B" w:rsidRDefault="00EE2D18" w:rsidP="00EE2D18">
      <w:pPr>
        <w:keepNext/>
        <w:spacing w:after="180"/>
        <w:rPr>
          <w:b/>
        </w:rPr>
      </w:pPr>
      <w:r w:rsidRPr="00A70D2B">
        <w:rPr>
          <w:b/>
        </w:rPr>
        <w:t>Délibérations du Comité</w:t>
      </w:r>
    </w:p>
    <w:p w:rsidR="00EE2D18" w:rsidRPr="00A70D2B" w:rsidRDefault="00EE2D18" w:rsidP="00EE2D18">
      <w:pPr>
        <w:keepNext/>
        <w:spacing w:after="180"/>
        <w:rPr>
          <w:b/>
        </w:rPr>
      </w:pPr>
      <w:r w:rsidRPr="00A70D2B">
        <w:rPr>
          <w:b/>
        </w:rPr>
        <w:t>Examen de la recevabilité</w:t>
      </w:r>
    </w:p>
    <w:p w:rsidR="00EE2D18" w:rsidRPr="00A70D2B" w:rsidRDefault="00EE2D18" w:rsidP="00EE2D18">
      <w:pPr>
        <w:tabs>
          <w:tab w:val="left" w:pos="-360"/>
        </w:tabs>
        <w:spacing w:after="180"/>
      </w:pPr>
      <w:r>
        <w:t>7.1</w:t>
      </w:r>
      <w:r w:rsidRPr="00A70D2B">
        <w:tab/>
        <w:t>Avant d</w:t>
      </w:r>
      <w:r>
        <w:t>’</w:t>
      </w:r>
      <w:r w:rsidRPr="00A70D2B">
        <w:t>examiner une plainte soumise dans une communi</w:t>
      </w:r>
      <w:r>
        <w:t xml:space="preserve">cation, le Comité des droits de </w:t>
      </w:r>
      <w:r w:rsidRPr="00A70D2B">
        <w:t>l</w:t>
      </w:r>
      <w:r>
        <w:t>’</w:t>
      </w:r>
      <w:r w:rsidRPr="00A70D2B">
        <w:t>homme doit, conformément à l</w:t>
      </w:r>
      <w:r>
        <w:t>’article </w:t>
      </w:r>
      <w:r w:rsidRPr="00A70D2B">
        <w:t xml:space="preserve">93 de son </w:t>
      </w:r>
      <w:r w:rsidR="006B4736">
        <w:t>R</w:t>
      </w:r>
      <w:r w:rsidRPr="00A70D2B">
        <w:t>èglement intérieur, déterminer si la communication est recevable en vertu du Protocole facultatif se rapportant au Pacte.</w:t>
      </w:r>
    </w:p>
    <w:p w:rsidR="00EE2D18" w:rsidRPr="00DB42F7" w:rsidRDefault="00EE2D18" w:rsidP="00EE2D18">
      <w:pPr>
        <w:tabs>
          <w:tab w:val="left" w:pos="-360"/>
        </w:tabs>
        <w:spacing w:after="180"/>
      </w:pPr>
      <w:r>
        <w:t>7.2</w:t>
      </w:r>
      <w:r w:rsidRPr="00DB42F7">
        <w:tab/>
        <w:t>Le Comité s</w:t>
      </w:r>
      <w:r>
        <w:t>’</w:t>
      </w:r>
      <w:r w:rsidRPr="00DB42F7">
        <w:t>est assuré, comme il est tenu de le faire c</w:t>
      </w:r>
      <w:r>
        <w:t>onformément aux dispositions du paragraphe </w:t>
      </w:r>
      <w:r w:rsidRPr="00DB42F7">
        <w:t>2</w:t>
      </w:r>
      <w:r>
        <w:t> a) et b)</w:t>
      </w:r>
      <w:r w:rsidRPr="00DB42F7">
        <w:t xml:space="preserve"> de l</w:t>
      </w:r>
      <w:r>
        <w:t>’article </w:t>
      </w:r>
      <w:r w:rsidRPr="00DB42F7">
        <w:t>5 du Protocole facultatif, que la même affaire n</w:t>
      </w:r>
      <w:r>
        <w:t xml:space="preserve">’était pas en </w:t>
      </w:r>
      <w:r w:rsidRPr="00DB42F7">
        <w:t>cours d</w:t>
      </w:r>
      <w:r>
        <w:t>’</w:t>
      </w:r>
      <w:r w:rsidRPr="00DB42F7">
        <w:t>examen devant une autre instance internationale d</w:t>
      </w:r>
      <w:r>
        <w:t>’</w:t>
      </w:r>
      <w:r w:rsidRPr="00DB42F7">
        <w:t xml:space="preserve">enquête ou de règlement. </w:t>
      </w:r>
      <w:r>
        <w:t>I</w:t>
      </w:r>
      <w:r w:rsidRPr="00DB42F7">
        <w:t xml:space="preserve">l note </w:t>
      </w:r>
      <w:r>
        <w:t xml:space="preserve">également </w:t>
      </w:r>
      <w:r w:rsidRPr="00DB42F7">
        <w:t>que l</w:t>
      </w:r>
      <w:r>
        <w:t>’</w:t>
      </w:r>
      <w:r w:rsidRPr="00DB42F7">
        <w:t>État partie n</w:t>
      </w:r>
      <w:r>
        <w:t>’</w:t>
      </w:r>
      <w:r w:rsidRPr="00DB42F7">
        <w:t>a pas contesté que les recours internes avaient été épuisés.</w:t>
      </w:r>
    </w:p>
    <w:p w:rsidR="00EE2D18" w:rsidRPr="001F4FDF" w:rsidRDefault="00EE2D18" w:rsidP="00EE2D18">
      <w:pPr>
        <w:tabs>
          <w:tab w:val="left" w:pos="567"/>
        </w:tabs>
        <w:spacing w:after="240"/>
      </w:pPr>
      <w:r w:rsidRPr="00DB42F7">
        <w:t>7.3</w:t>
      </w:r>
      <w:r w:rsidRPr="00DB42F7">
        <w:tab/>
        <w:t xml:space="preserve">Le Comité </w:t>
      </w:r>
      <w:r w:rsidR="00B85249">
        <w:t xml:space="preserve">a pris </w:t>
      </w:r>
      <w:r w:rsidRPr="00DB42F7">
        <w:t>not</w:t>
      </w:r>
      <w:r>
        <w:t>e</w:t>
      </w:r>
      <w:r w:rsidRPr="00DB42F7">
        <w:t xml:space="preserve"> </w:t>
      </w:r>
      <w:r w:rsidR="00B85249">
        <w:t>d</w:t>
      </w:r>
      <w:r w:rsidRPr="00DB42F7">
        <w:t>es allégations de l</w:t>
      </w:r>
      <w:r>
        <w:t>’</w:t>
      </w:r>
      <w:r w:rsidRPr="00DB42F7">
        <w:t xml:space="preserve">auteur </w:t>
      </w:r>
      <w:r>
        <w:t xml:space="preserve">sur </w:t>
      </w:r>
      <w:r w:rsidRPr="00DB42F7">
        <w:t xml:space="preserve">la manière dont les tribunaux </w:t>
      </w:r>
      <w:r>
        <w:t>ont traité l</w:t>
      </w:r>
      <w:r w:rsidR="00B85249">
        <w:t>’affaire</w:t>
      </w:r>
      <w:r w:rsidRPr="00DB42F7">
        <w:t xml:space="preserve">, </w:t>
      </w:r>
      <w:r>
        <w:t xml:space="preserve">apprécié les </w:t>
      </w:r>
      <w:r w:rsidRPr="00DB42F7">
        <w:t>preuve</w:t>
      </w:r>
      <w:r w:rsidR="00B85249">
        <w:t>s</w:t>
      </w:r>
      <w:r w:rsidRPr="00DB42F7">
        <w:t xml:space="preserve">, qualifié </w:t>
      </w:r>
      <w:r w:rsidR="00B85249">
        <w:t>l</w:t>
      </w:r>
      <w:r w:rsidRPr="00DB42F7">
        <w:t xml:space="preserve">es actes </w:t>
      </w:r>
      <w:r>
        <w:t xml:space="preserve">présumés </w:t>
      </w:r>
      <w:r w:rsidRPr="00DB42F7">
        <w:t>et détermin</w:t>
      </w:r>
      <w:r>
        <w:t>é</w:t>
      </w:r>
      <w:r w:rsidRPr="00DB42F7">
        <w:t xml:space="preserve"> sa culpabilité</w:t>
      </w:r>
      <w:r w:rsidR="00B85249">
        <w:t>, qui d’après l’auteur</w:t>
      </w:r>
      <w:r w:rsidRPr="00DB42F7">
        <w:t xml:space="preserve"> </w:t>
      </w:r>
      <w:r>
        <w:t xml:space="preserve">peuvent </w:t>
      </w:r>
      <w:r w:rsidRPr="001F4FDF">
        <w:t>soul</w:t>
      </w:r>
      <w:r>
        <w:t>e</w:t>
      </w:r>
      <w:r w:rsidRPr="001F4FDF">
        <w:t>ve</w:t>
      </w:r>
      <w:r>
        <w:t>r</w:t>
      </w:r>
      <w:r w:rsidRPr="001F4FDF">
        <w:t xml:space="preserve"> des questions au titre des </w:t>
      </w:r>
      <w:r>
        <w:t>paragraphes </w:t>
      </w:r>
      <w:r w:rsidRPr="001F4FDF">
        <w:t>1</w:t>
      </w:r>
      <w:r>
        <w:t xml:space="preserve"> et 3 b) et e)</w:t>
      </w:r>
      <w:r w:rsidRPr="001F4FDF">
        <w:t xml:space="preserve"> de l</w:t>
      </w:r>
      <w:r>
        <w:t>’article </w:t>
      </w:r>
      <w:r w:rsidRPr="001F4FDF">
        <w:t>14 du Pacte</w:t>
      </w:r>
      <w:r w:rsidRPr="00DB42F7">
        <w:t xml:space="preserve">. </w:t>
      </w:r>
      <w:r w:rsidRPr="001F4FDF">
        <w:t>Il relève cependant que ces allégations ont trait essentiellement à l</w:t>
      </w:r>
      <w:r>
        <w:t xml:space="preserve">’appréciation des </w:t>
      </w:r>
      <w:r w:rsidRPr="001F4FDF">
        <w:t>faits et des preuve</w:t>
      </w:r>
      <w:r w:rsidR="00B85249">
        <w:t>s</w:t>
      </w:r>
      <w:r w:rsidRPr="001F4FDF">
        <w:t xml:space="preserve"> par les tribunaux de l</w:t>
      </w:r>
      <w:r>
        <w:t>’</w:t>
      </w:r>
      <w:r w:rsidRPr="001F4FDF">
        <w:t>État partie</w:t>
      </w:r>
      <w:r w:rsidRPr="00DB42F7">
        <w:t xml:space="preserve">. </w:t>
      </w:r>
      <w:r w:rsidRPr="001F4FDF">
        <w:t>Il rappelle que c</w:t>
      </w:r>
      <w:r>
        <w:t>’</w:t>
      </w:r>
      <w:r w:rsidRPr="001F4FDF">
        <w:t>est généralement aux</w:t>
      </w:r>
      <w:r w:rsidR="00B85249">
        <w:t xml:space="preserve"> juridictions</w:t>
      </w:r>
      <w:r w:rsidRPr="001F4FDF">
        <w:t xml:space="preserve"> des États parties qu</w:t>
      </w:r>
      <w:r>
        <w:t>’</w:t>
      </w:r>
      <w:r w:rsidRPr="001F4FDF">
        <w:t>il appartient d</w:t>
      </w:r>
      <w:r>
        <w:t>’</w:t>
      </w:r>
      <w:r w:rsidRPr="001F4FDF">
        <w:t>apprécier les faits et les preuve</w:t>
      </w:r>
      <w:r w:rsidR="00B85249">
        <w:t>s</w:t>
      </w:r>
      <w:r w:rsidRPr="001F4FDF">
        <w:t xml:space="preserve"> dans une affaire donnée, </w:t>
      </w:r>
      <w:r w:rsidR="00B85249">
        <w:t xml:space="preserve">sauf </w:t>
      </w:r>
      <w:r w:rsidR="006B4736">
        <w:t>s’il</w:t>
      </w:r>
      <w:r w:rsidR="00B85249">
        <w:t xml:space="preserve"> peut être établi </w:t>
      </w:r>
      <w:r w:rsidRPr="001F4FDF">
        <w:t>que cette appréciation a été manifestement arbitraire ou a constitué un déni de justice</w:t>
      </w:r>
      <w:r w:rsidR="006B4736">
        <w:rPr>
          <w:rStyle w:val="FootnoteReference"/>
        </w:rPr>
        <w:footnoteReference w:id="3"/>
      </w:r>
      <w:r w:rsidRPr="00DB42F7">
        <w:t xml:space="preserve">. </w:t>
      </w:r>
      <w:r w:rsidRPr="001F4FDF">
        <w:t>En l</w:t>
      </w:r>
      <w:r>
        <w:t xml:space="preserve">’absence d’autres informations </w:t>
      </w:r>
      <w:r w:rsidR="004465C4">
        <w:t>pertinentes</w:t>
      </w:r>
      <w:r>
        <w:t>, le Comité considère</w:t>
      </w:r>
      <w:r w:rsidRPr="001F4FDF">
        <w:t xml:space="preserve"> qu</w:t>
      </w:r>
      <w:r>
        <w:t>e</w:t>
      </w:r>
      <w:r w:rsidRPr="001F4FDF">
        <w:t xml:space="preserve"> cette partie de </w:t>
      </w:r>
      <w:r>
        <w:t xml:space="preserve">la communication est irrecevable </w:t>
      </w:r>
      <w:r w:rsidRPr="001F4FDF">
        <w:t>au titre de l</w:t>
      </w:r>
      <w:r>
        <w:t>’article </w:t>
      </w:r>
      <w:r w:rsidRPr="001F4FDF">
        <w:t>2 du Protocole facultatif</w:t>
      </w:r>
      <w:r>
        <w:t xml:space="preserve"> faute d’avoir été suffisamment étayée aux fins de la recevabilité.</w:t>
      </w:r>
    </w:p>
    <w:p w:rsidR="00EE2D18" w:rsidRPr="00DB42F7" w:rsidRDefault="00EE2D18" w:rsidP="00EE2D18">
      <w:pPr>
        <w:tabs>
          <w:tab w:val="left" w:pos="567"/>
        </w:tabs>
        <w:spacing w:after="240"/>
      </w:pPr>
      <w:r w:rsidRPr="00DB42F7">
        <w:t>7.4</w:t>
      </w:r>
      <w:r w:rsidRPr="00DB42F7">
        <w:tab/>
      </w:r>
      <w:r w:rsidRPr="001F4FDF">
        <w:t xml:space="preserve">Le Comité </w:t>
      </w:r>
      <w:r w:rsidRPr="00DB42F7">
        <w:t>note que l</w:t>
      </w:r>
      <w:r>
        <w:t>’</w:t>
      </w:r>
      <w:r w:rsidRPr="00DB42F7">
        <w:t>auteur affirme que le droit</w:t>
      </w:r>
      <w:r>
        <w:t xml:space="preserve"> </w:t>
      </w:r>
      <w:r w:rsidR="004465C4">
        <w:t xml:space="preserve">consacré </w:t>
      </w:r>
      <w:r>
        <w:t>au</w:t>
      </w:r>
      <w:r w:rsidRPr="00DB42F7">
        <w:t xml:space="preserve"> </w:t>
      </w:r>
      <w:r>
        <w:t>paragraphe 1 de l’article </w:t>
      </w:r>
      <w:r w:rsidRPr="00DB42F7">
        <w:t xml:space="preserve">15 du Pacte a été violé. </w:t>
      </w:r>
      <w:r>
        <w:t>Cependant</w:t>
      </w:r>
      <w:r w:rsidRPr="00DB42F7">
        <w:t>, l</w:t>
      </w:r>
      <w:r>
        <w:t>’</w:t>
      </w:r>
      <w:r w:rsidRPr="00DB42F7">
        <w:t xml:space="preserve">auteur ne </w:t>
      </w:r>
      <w:r>
        <w:t>donne</w:t>
      </w:r>
      <w:r w:rsidRPr="00DB42F7">
        <w:t xml:space="preserve"> pas suffisamment d</w:t>
      </w:r>
      <w:r>
        <w:t>’</w:t>
      </w:r>
      <w:r w:rsidRPr="00DB42F7">
        <w:t xml:space="preserve">informations pour </w:t>
      </w:r>
      <w:r>
        <w:t>étayer</w:t>
      </w:r>
      <w:r w:rsidR="004465C4">
        <w:t xml:space="preserve"> ce</w:t>
      </w:r>
      <w:r w:rsidRPr="00DB42F7">
        <w:t xml:space="preserve"> </w:t>
      </w:r>
      <w:r w:rsidR="004465C4">
        <w:t>grief</w:t>
      </w:r>
      <w:r w:rsidRPr="00DB42F7">
        <w:t>. En conséquence, cette partie de la communication est considérée comme irrecevable</w:t>
      </w:r>
      <w:r>
        <w:t xml:space="preserve"> au titre</w:t>
      </w:r>
      <w:r w:rsidRPr="00DB42F7">
        <w:t xml:space="preserve"> de l</w:t>
      </w:r>
      <w:r>
        <w:t>’article </w:t>
      </w:r>
      <w:r w:rsidRPr="00DB42F7">
        <w:t xml:space="preserve">2 du Protocole facultatif, </w:t>
      </w:r>
      <w:r w:rsidRPr="00035EE2">
        <w:t>faute d</w:t>
      </w:r>
      <w:r>
        <w:t>’</w:t>
      </w:r>
      <w:r w:rsidRPr="00035EE2">
        <w:t xml:space="preserve">avoir été suffisamment étayée </w:t>
      </w:r>
      <w:r w:rsidRPr="00DB42F7">
        <w:t>aux fins de la recevabilité.</w:t>
      </w:r>
    </w:p>
    <w:p w:rsidR="00EE2D18" w:rsidRDefault="00EE2D18" w:rsidP="00EE2D18">
      <w:pPr>
        <w:spacing w:after="240"/>
      </w:pPr>
      <w:r w:rsidRPr="00DB42F7">
        <w:t>7.5</w:t>
      </w:r>
      <w:r w:rsidRPr="00DB42F7">
        <w:tab/>
        <w:t xml:space="preserve">Le Comité a également noté que dans </w:t>
      </w:r>
      <w:r w:rsidR="004465C4">
        <w:t xml:space="preserve">une de ses plus récentes </w:t>
      </w:r>
      <w:r>
        <w:t>lettre</w:t>
      </w:r>
      <w:r w:rsidR="004465C4">
        <w:t>s</w:t>
      </w:r>
      <w:r w:rsidRPr="00DB42F7">
        <w:t xml:space="preserve"> l</w:t>
      </w:r>
      <w:r>
        <w:t>’</w:t>
      </w:r>
      <w:r w:rsidRPr="00DB42F7">
        <w:t xml:space="preserve">auteur a également fait valoir </w:t>
      </w:r>
      <w:r>
        <w:t>des</w:t>
      </w:r>
      <w:r w:rsidRPr="00DB42F7">
        <w:t xml:space="preserve"> violation</w:t>
      </w:r>
      <w:r>
        <w:t>s</w:t>
      </w:r>
      <w:r w:rsidRPr="00DB42F7">
        <w:t xml:space="preserve"> des articles 6, 7, 10</w:t>
      </w:r>
      <w:r>
        <w:t xml:space="preserve"> et des paragraphes 2 et 3 </w:t>
      </w:r>
      <w:r w:rsidRPr="00DB42F7">
        <w:t>d)</w:t>
      </w:r>
      <w:r>
        <w:t xml:space="preserve"> de l’article </w:t>
      </w:r>
      <w:r w:rsidRPr="00DB42F7">
        <w:t>14 du Pacte, qu</w:t>
      </w:r>
      <w:r>
        <w:t>’elle n’avait pas mentionnées avant. Il</w:t>
      </w:r>
      <w:r w:rsidR="004465C4">
        <w:t xml:space="preserve"> estime</w:t>
      </w:r>
      <w:r>
        <w:t xml:space="preserve"> que l’auteur n’a pas </w:t>
      </w:r>
      <w:r w:rsidR="004465C4">
        <w:t xml:space="preserve">apporté </w:t>
      </w:r>
      <w:r>
        <w:t xml:space="preserve">des informations suffisantes pour étayer ces </w:t>
      </w:r>
      <w:r w:rsidR="004465C4">
        <w:t>nouvelles allégations</w:t>
      </w:r>
      <w:r>
        <w:t>. Le</w:t>
      </w:r>
      <w:r w:rsidRPr="00DB42F7">
        <w:t xml:space="preserve"> Comité considère que cette partie de la communication est irrecevable </w:t>
      </w:r>
      <w:r>
        <w:t>au titre</w:t>
      </w:r>
      <w:r w:rsidRPr="00DB42F7">
        <w:t xml:space="preserve"> de l</w:t>
      </w:r>
      <w:r>
        <w:t>’article </w:t>
      </w:r>
      <w:r w:rsidRPr="00DB42F7">
        <w:t>2 du Protocole facultatif</w:t>
      </w:r>
      <w:r>
        <w:t xml:space="preserve"> </w:t>
      </w:r>
      <w:r w:rsidRPr="00DB42F7">
        <w:t xml:space="preserve">car elle est insuffisamment </w:t>
      </w:r>
      <w:r>
        <w:t>étayée.</w:t>
      </w:r>
    </w:p>
    <w:p w:rsidR="00EE2D18" w:rsidRPr="00374C18" w:rsidRDefault="00EE2D18" w:rsidP="00EE2D18">
      <w:pPr>
        <w:tabs>
          <w:tab w:val="left" w:pos="567"/>
        </w:tabs>
        <w:spacing w:after="240"/>
      </w:pPr>
      <w:r w:rsidRPr="00374C18">
        <w:t>7.6</w:t>
      </w:r>
      <w:r w:rsidRPr="00374C18">
        <w:tab/>
        <w:t>Le Comité considère que les autres allégations de l</w:t>
      </w:r>
      <w:r>
        <w:t>’</w:t>
      </w:r>
      <w:r w:rsidRPr="00374C18">
        <w:t>auteur, qui semblent soulever des questions au</w:t>
      </w:r>
      <w:r w:rsidR="007211D0">
        <w:t xml:space="preserve"> regard</w:t>
      </w:r>
      <w:r w:rsidRPr="00374C18">
        <w:t xml:space="preserve"> des </w:t>
      </w:r>
      <w:r>
        <w:t>paragraphes </w:t>
      </w:r>
      <w:r w:rsidRPr="00374C18">
        <w:t xml:space="preserve">2 </w:t>
      </w:r>
      <w:r>
        <w:t>et</w:t>
      </w:r>
      <w:r w:rsidRPr="00374C18">
        <w:t xml:space="preserve"> 3</w:t>
      </w:r>
      <w:r>
        <w:t xml:space="preserve"> de l’article </w:t>
      </w:r>
      <w:r w:rsidRPr="00374C18">
        <w:t>12</w:t>
      </w:r>
      <w:r>
        <w:t xml:space="preserve"> </w:t>
      </w:r>
      <w:r w:rsidRPr="00374C18">
        <w:t>du Pacte, ont été suffisamment étayées aux fins de la recevabilité et les déclare donc recevables.</w:t>
      </w:r>
    </w:p>
    <w:p w:rsidR="00EE2D18" w:rsidRPr="00374C18" w:rsidRDefault="00EE2D18" w:rsidP="00EE2D18">
      <w:pPr>
        <w:keepNext/>
        <w:spacing w:after="240"/>
        <w:rPr>
          <w:b/>
          <w:bCs/>
        </w:rPr>
      </w:pPr>
      <w:r w:rsidRPr="00374C18">
        <w:rPr>
          <w:b/>
          <w:bCs/>
        </w:rPr>
        <w:t>Examen au fond</w:t>
      </w:r>
    </w:p>
    <w:p w:rsidR="00EE2D18" w:rsidRPr="00374C18" w:rsidRDefault="00EE2D18" w:rsidP="00EE2D18">
      <w:pPr>
        <w:tabs>
          <w:tab w:val="left" w:pos="567"/>
          <w:tab w:val="left" w:pos="1134"/>
        </w:tabs>
        <w:spacing w:after="240"/>
      </w:pPr>
      <w:r w:rsidRPr="00374C18">
        <w:t>8.1</w:t>
      </w:r>
      <w:r w:rsidRPr="00374C18">
        <w:tab/>
        <w:t>Le Comité des droits de l</w:t>
      </w:r>
      <w:r>
        <w:t>’</w:t>
      </w:r>
      <w:r w:rsidRPr="00374C18">
        <w:t xml:space="preserve">homme a examiné la présente communication en tenant compte de toutes les informations fournies par les parties, conformément au </w:t>
      </w:r>
      <w:r>
        <w:t>paragraphe </w:t>
      </w:r>
      <w:r w:rsidRPr="00374C18">
        <w:t>1 de l</w:t>
      </w:r>
      <w:r>
        <w:t>’article </w:t>
      </w:r>
      <w:r w:rsidRPr="00374C18">
        <w:t>5 du Protocole facultatif.</w:t>
      </w:r>
    </w:p>
    <w:p w:rsidR="00EE2D18" w:rsidRPr="00374C18" w:rsidRDefault="00EE2D18" w:rsidP="00EE2D18">
      <w:pPr>
        <w:autoSpaceDE w:val="0"/>
        <w:autoSpaceDN w:val="0"/>
        <w:adjustRightInd w:val="0"/>
        <w:spacing w:after="240"/>
      </w:pPr>
      <w:r w:rsidRPr="00374C18">
        <w:t>8.2</w:t>
      </w:r>
      <w:r w:rsidRPr="00374C18">
        <w:tab/>
      </w:r>
      <w:r>
        <w:t>L</w:t>
      </w:r>
      <w:r w:rsidRPr="00374C18">
        <w:t>e Com</w:t>
      </w:r>
      <w:r>
        <w:t xml:space="preserve">ité </w:t>
      </w:r>
      <w:r w:rsidRPr="00374C18">
        <w:t xml:space="preserve">note </w:t>
      </w:r>
      <w:r>
        <w:t>que</w:t>
      </w:r>
      <w:r w:rsidRPr="00374C18">
        <w:t xml:space="preserve"> l</w:t>
      </w:r>
      <w:r>
        <w:t>’</w:t>
      </w:r>
      <w:r w:rsidRPr="00374C18">
        <w:t>auteur</w:t>
      </w:r>
      <w:r>
        <w:t xml:space="preserve"> affirme </w:t>
      </w:r>
      <w:r w:rsidRPr="00374C18">
        <w:t xml:space="preserve">que le droit de son père </w:t>
      </w:r>
      <w:r>
        <w:t xml:space="preserve">de </w:t>
      </w:r>
      <w:r w:rsidRPr="00374C18">
        <w:t xml:space="preserve">quitter </w:t>
      </w:r>
      <w:r>
        <w:t>n’importe quel</w:t>
      </w:r>
      <w:r w:rsidRPr="00374C18">
        <w:t xml:space="preserve"> pays, y compris le sien, </w:t>
      </w:r>
      <w:r w:rsidR="007211D0">
        <w:t xml:space="preserve">garanti par les </w:t>
      </w:r>
      <w:r>
        <w:t>paragraphes </w:t>
      </w:r>
      <w:r w:rsidRPr="00374C18">
        <w:t>2 et 3</w:t>
      </w:r>
      <w:r>
        <w:t xml:space="preserve"> </w:t>
      </w:r>
      <w:r w:rsidRPr="00374C18">
        <w:t>de l</w:t>
      </w:r>
      <w:r>
        <w:t>’article </w:t>
      </w:r>
      <w:r w:rsidRPr="00374C18">
        <w:t xml:space="preserve">12, a </w:t>
      </w:r>
      <w:r>
        <w:t xml:space="preserve">été </w:t>
      </w:r>
      <w:r w:rsidR="007211D0">
        <w:t>violé</w:t>
      </w:r>
      <w:r>
        <w:t>.</w:t>
      </w:r>
      <w:r w:rsidRPr="00374C18">
        <w:t xml:space="preserve"> </w:t>
      </w:r>
      <w:r w:rsidR="007211D0">
        <w:t xml:space="preserve">Il relève </w:t>
      </w:r>
      <w:r w:rsidRPr="00374C18">
        <w:t>que l</w:t>
      </w:r>
      <w:r>
        <w:t>’</w:t>
      </w:r>
      <w:r w:rsidRPr="00374C18">
        <w:t>État partie n</w:t>
      </w:r>
      <w:r>
        <w:t>’</w:t>
      </w:r>
      <w:r w:rsidRPr="00374C18">
        <w:t>a pas réfuté les allégations de l</w:t>
      </w:r>
      <w:r>
        <w:t>’</w:t>
      </w:r>
      <w:r w:rsidRPr="00374C18">
        <w:t>auteur</w:t>
      </w:r>
      <w:r>
        <w:t xml:space="preserve"> </w:t>
      </w:r>
      <w:r w:rsidRPr="00374C18">
        <w:t xml:space="preserve">mais </w:t>
      </w:r>
      <w:r>
        <w:t xml:space="preserve">a </w:t>
      </w:r>
      <w:r w:rsidRPr="00374C18">
        <w:t xml:space="preserve">simplement déclaré que les </w:t>
      </w:r>
      <w:r>
        <w:t>chefs d’inculpation</w:t>
      </w:r>
      <w:r w:rsidRPr="00374C18">
        <w:t xml:space="preserve"> étaient fondés sur des preuve</w:t>
      </w:r>
      <w:r w:rsidR="007211D0">
        <w:t>s</w:t>
      </w:r>
      <w:r w:rsidRPr="00374C18">
        <w:t xml:space="preserve"> obtenu</w:t>
      </w:r>
      <w:r w:rsidR="005F15C4">
        <w:t>e</w:t>
      </w:r>
      <w:r w:rsidRPr="00374C18">
        <w:t>s au cours de l</w:t>
      </w:r>
      <w:r>
        <w:t>’</w:t>
      </w:r>
      <w:r w:rsidRPr="00374C18">
        <w:t>enquête et vérifi</w:t>
      </w:r>
      <w:r>
        <w:t>é</w:t>
      </w:r>
      <w:r w:rsidR="006B4736">
        <w:t>e</w:t>
      </w:r>
      <w:r>
        <w:t xml:space="preserve">s </w:t>
      </w:r>
      <w:r w:rsidR="005F15C4">
        <w:t>a</w:t>
      </w:r>
      <w:r>
        <w:t>u procès</w:t>
      </w:r>
      <w:r w:rsidRPr="00374C18">
        <w:t>.</w:t>
      </w:r>
    </w:p>
    <w:p w:rsidR="00EE2D18" w:rsidRDefault="00EE2D18" w:rsidP="00EE2D18">
      <w:pPr>
        <w:tabs>
          <w:tab w:val="left" w:pos="567"/>
        </w:tabs>
        <w:autoSpaceDE w:val="0"/>
        <w:autoSpaceDN w:val="0"/>
        <w:adjustRightInd w:val="0"/>
        <w:spacing w:after="180"/>
      </w:pPr>
      <w:r w:rsidRPr="00D83C4E">
        <w:t>8.3</w:t>
      </w:r>
      <w:r w:rsidRPr="00D83C4E">
        <w:tab/>
        <w:t xml:space="preserve">Le Comité rappelle son </w:t>
      </w:r>
      <w:r>
        <w:t>O</w:t>
      </w:r>
      <w:r w:rsidRPr="00D83C4E">
        <w:t xml:space="preserve">bservation générale </w:t>
      </w:r>
      <w:r>
        <w:rPr>
          <w:rFonts w:eastAsia="MS Mincho"/>
        </w:rPr>
        <w:t>n</w:t>
      </w:r>
      <w:r>
        <w:rPr>
          <w:rFonts w:eastAsia="MS Mincho"/>
          <w:vertAlign w:val="superscript"/>
        </w:rPr>
        <w:t>o</w:t>
      </w:r>
      <w:r>
        <w:t> </w:t>
      </w:r>
      <w:r w:rsidRPr="00D83C4E">
        <w:t xml:space="preserve">27 </w:t>
      </w:r>
      <w:r>
        <w:t>relative à</w:t>
      </w:r>
      <w:r w:rsidRPr="00D83C4E">
        <w:t xml:space="preserve"> l</w:t>
      </w:r>
      <w:r>
        <w:t>’article </w:t>
      </w:r>
      <w:r w:rsidRPr="00D83C4E">
        <w:t xml:space="preserve">12, </w:t>
      </w:r>
      <w:r>
        <w:t>dans laquelle</w:t>
      </w:r>
      <w:r w:rsidRPr="00D83C4E">
        <w:t xml:space="preserve"> </w:t>
      </w:r>
      <w:r>
        <w:t xml:space="preserve">il </w:t>
      </w:r>
      <w:r w:rsidRPr="00D83C4E">
        <w:t xml:space="preserve">a </w:t>
      </w:r>
      <w:r>
        <w:t>indiqué</w:t>
      </w:r>
      <w:r w:rsidRPr="00D83C4E">
        <w:t xml:space="preserve"> que la liberté de circulation</w:t>
      </w:r>
      <w:r w:rsidR="005F15C4">
        <w:t xml:space="preserve"> était</w:t>
      </w:r>
      <w:r w:rsidRPr="00D83C4E">
        <w:t xml:space="preserve"> </w:t>
      </w:r>
      <w:r>
        <w:t>une</w:t>
      </w:r>
      <w:r w:rsidRPr="00D83C4E">
        <w:t xml:space="preserve"> condition indispensable </w:t>
      </w:r>
      <w:r>
        <w:t>au</w:t>
      </w:r>
      <w:r w:rsidRPr="00D83C4E">
        <w:t xml:space="preserve"> libre développement de l</w:t>
      </w:r>
      <w:r>
        <w:t>’</w:t>
      </w:r>
      <w:r w:rsidRPr="00D83C4E">
        <w:t xml:space="preserve">individu. </w:t>
      </w:r>
      <w:r>
        <w:t>Cependant, il</w:t>
      </w:r>
      <w:r w:rsidRPr="00D83C4E">
        <w:t xml:space="preserve"> rappelle également que les droits </w:t>
      </w:r>
      <w:r>
        <w:t>visés à</w:t>
      </w:r>
      <w:r w:rsidRPr="00D83C4E">
        <w:t xml:space="preserve"> l</w:t>
      </w:r>
      <w:r>
        <w:t>’article </w:t>
      </w:r>
      <w:r w:rsidRPr="00D83C4E">
        <w:t xml:space="preserve">12 ne sont pas absolus. </w:t>
      </w:r>
      <w:r w:rsidRPr="00835960">
        <w:t xml:space="preserve">Le </w:t>
      </w:r>
      <w:r>
        <w:t>paragraphe </w:t>
      </w:r>
      <w:r w:rsidRPr="00835960">
        <w:t>3 de l</w:t>
      </w:r>
      <w:r>
        <w:t>’article </w:t>
      </w:r>
      <w:r w:rsidRPr="00835960">
        <w:t>12 du Pacte prévoit des cas exceptionnels dans lesquels l</w:t>
      </w:r>
      <w:r>
        <w:t>’</w:t>
      </w:r>
      <w:r w:rsidRPr="00835960">
        <w:t>exercice des droits visés à l</w:t>
      </w:r>
      <w:r>
        <w:t>’article </w:t>
      </w:r>
      <w:r w:rsidRPr="00835960">
        <w:t xml:space="preserve">12 peut être restreint. Conformément aux dispositions de ce paragraphe, </w:t>
      </w:r>
      <w:r>
        <w:t xml:space="preserve">un </w:t>
      </w:r>
      <w:r w:rsidRPr="00835960">
        <w:t>État partie ne peut restreindre l</w:t>
      </w:r>
      <w:r>
        <w:t>’</w:t>
      </w:r>
      <w:r w:rsidRPr="00835960">
        <w:t>exercice de ces droits que si les restrictions sont prévues par la loi, nécessaires pour protéger la sécurité nationale, l</w:t>
      </w:r>
      <w:r>
        <w:t xml:space="preserve">’ordre public, la santé ou la </w:t>
      </w:r>
      <w:r w:rsidRPr="00835960">
        <w:t>moralité publiques, ou les droits et libertés d</w:t>
      </w:r>
      <w:r>
        <w:t>’</w:t>
      </w:r>
      <w:r w:rsidRPr="00835960">
        <w:t xml:space="preserve">autrui, et </w:t>
      </w:r>
      <w:r w:rsidR="005F15C4">
        <w:t xml:space="preserve">sont </w:t>
      </w:r>
      <w:r w:rsidRPr="00835960">
        <w:t xml:space="preserve">compatibles avec les autres droits reconnus par le Pacte. Dans son Observation générale </w:t>
      </w:r>
      <w:r>
        <w:rPr>
          <w:rFonts w:eastAsia="MS Mincho"/>
        </w:rPr>
        <w:t>n</w:t>
      </w:r>
      <w:r>
        <w:rPr>
          <w:rFonts w:eastAsia="MS Mincho"/>
          <w:vertAlign w:val="superscript"/>
        </w:rPr>
        <w:t>o</w:t>
      </w:r>
      <w:r>
        <w:t> </w:t>
      </w:r>
      <w:r w:rsidRPr="00835960">
        <w:t xml:space="preserve">27, le Comité </w:t>
      </w:r>
      <w:r>
        <w:t xml:space="preserve">a </w:t>
      </w:r>
      <w:r w:rsidRPr="00835960">
        <w:t>not</w:t>
      </w:r>
      <w:r>
        <w:t>é</w:t>
      </w:r>
      <w:r w:rsidRPr="00835960">
        <w:t xml:space="preserve"> </w:t>
      </w:r>
      <w:r>
        <w:t>«</w:t>
      </w:r>
      <w:r w:rsidRPr="00835960">
        <w:t>qu</w:t>
      </w:r>
      <w:r>
        <w:t>’</w:t>
      </w:r>
      <w:r w:rsidRPr="00835960">
        <w:t>il ne suffit pas que les restrictions servent les buts autorisés</w:t>
      </w:r>
      <w:r>
        <w:t>;</w:t>
      </w:r>
      <w:r w:rsidRPr="00835960">
        <w:t xml:space="preserve"> celles</w:t>
      </w:r>
      <w:r>
        <w:noBreakHyphen/>
      </w:r>
      <w:r w:rsidRPr="00835960">
        <w:t>ci doivent également être nécessaires pour protéger ces buts</w:t>
      </w:r>
      <w:r>
        <w:t>»</w:t>
      </w:r>
      <w:r w:rsidRPr="00835960">
        <w:t xml:space="preserve"> et que </w:t>
      </w:r>
      <w:r>
        <w:t>«</w:t>
      </w:r>
      <w:r w:rsidRPr="00835960">
        <w:t>les mesures restrictives doivent être conformes au principe de la proportionnalité</w:t>
      </w:r>
      <w:r>
        <w:t>;</w:t>
      </w:r>
      <w:r w:rsidRPr="00835960">
        <w:t xml:space="preserve"> elles doivent être appropriées pour rempli</w:t>
      </w:r>
      <w:r>
        <w:t>r leurs fonctions de protection». En </w:t>
      </w:r>
      <w:r w:rsidRPr="00D83C4E">
        <w:t>l</w:t>
      </w:r>
      <w:r>
        <w:t>’</w:t>
      </w:r>
      <w:r w:rsidR="005F15C4">
        <w:t>espèce toutefois,</w:t>
      </w:r>
      <w:r w:rsidRPr="00D83C4E">
        <w:t xml:space="preserve"> l</w:t>
      </w:r>
      <w:r>
        <w:t>’</w:t>
      </w:r>
      <w:r w:rsidRPr="00D83C4E">
        <w:t>État partie n</w:t>
      </w:r>
      <w:r>
        <w:t>’</w:t>
      </w:r>
      <w:r w:rsidRPr="00D83C4E">
        <w:t xml:space="preserve">a pas </w:t>
      </w:r>
      <w:r>
        <w:t>donné</w:t>
      </w:r>
      <w:r w:rsidRPr="00D83C4E">
        <w:t xml:space="preserve"> </w:t>
      </w:r>
      <w:r>
        <w:t>d’</w:t>
      </w:r>
      <w:r w:rsidRPr="00D83C4E">
        <w:t>informations</w:t>
      </w:r>
      <w:r>
        <w:t xml:space="preserve"> montrant la nécessité de la restriction ni la justifiant au regard du principe de proportionnalité</w:t>
      </w:r>
      <w:r w:rsidRPr="00D377F3">
        <w:t>. Dans ces circonstances, l</w:t>
      </w:r>
      <w:r>
        <w:t>e</w:t>
      </w:r>
      <w:r w:rsidRPr="00D377F3">
        <w:t xml:space="preserve"> </w:t>
      </w:r>
      <w:r>
        <w:t>C</w:t>
      </w:r>
      <w:r w:rsidRPr="00D377F3">
        <w:t>om</w:t>
      </w:r>
      <w:r>
        <w:t xml:space="preserve">ité </w:t>
      </w:r>
      <w:r w:rsidRPr="00D377F3">
        <w:t>conclut qu</w:t>
      </w:r>
      <w:r>
        <w:t>’</w:t>
      </w:r>
      <w:r w:rsidRPr="00D377F3">
        <w:t>il y</w:t>
      </w:r>
      <w:r>
        <w:t xml:space="preserve"> a e</w:t>
      </w:r>
      <w:r w:rsidRPr="00D377F3">
        <w:t xml:space="preserve">u violation </w:t>
      </w:r>
      <w:r>
        <w:t>des paragraphes </w:t>
      </w:r>
      <w:r w:rsidRPr="00D377F3">
        <w:t>2 et 3 de l</w:t>
      </w:r>
      <w:r>
        <w:t>’article 12 du Pacte.</w:t>
      </w:r>
    </w:p>
    <w:p w:rsidR="00EE2D18" w:rsidRPr="00AE1733" w:rsidRDefault="00EE2D18" w:rsidP="00EE2D18">
      <w:pPr>
        <w:tabs>
          <w:tab w:val="left" w:pos="567"/>
        </w:tabs>
        <w:autoSpaceDE w:val="0"/>
        <w:autoSpaceDN w:val="0"/>
        <w:adjustRightInd w:val="0"/>
        <w:spacing w:after="180"/>
      </w:pPr>
      <w:r>
        <w:t>9.</w:t>
      </w:r>
      <w:r>
        <w:tab/>
        <w:t>Le Comité des droits de l’homme, agissant en vertu du paragraphe 4 de l’article 5 du Protocole facultatif, est d’avis que les faits dont il est saisi font apparaître une violation des paragraphes 2 et 3 de l’article 12 du Pacte international relatif aux droits civils et politiques.</w:t>
      </w:r>
    </w:p>
    <w:p w:rsidR="00EE2D18" w:rsidRDefault="00EE2D18" w:rsidP="00EE2D18">
      <w:pPr>
        <w:autoSpaceDE w:val="0"/>
        <w:autoSpaceDN w:val="0"/>
        <w:adjustRightInd w:val="0"/>
        <w:spacing w:after="180"/>
      </w:pPr>
      <w:r w:rsidRPr="00F5204B">
        <w:t>10.</w:t>
      </w:r>
      <w:r w:rsidRPr="00F5204B">
        <w:tab/>
      </w:r>
      <w:r w:rsidRPr="00F5204B">
        <w:rPr>
          <w:szCs w:val="24"/>
        </w:rPr>
        <w:t xml:space="preserve">En vertu du </w:t>
      </w:r>
      <w:r>
        <w:rPr>
          <w:szCs w:val="24"/>
        </w:rPr>
        <w:t>paragraphe </w:t>
      </w:r>
      <w:r w:rsidRPr="00F5204B">
        <w:rPr>
          <w:szCs w:val="24"/>
        </w:rPr>
        <w:t>3</w:t>
      </w:r>
      <w:r>
        <w:rPr>
          <w:szCs w:val="24"/>
        </w:rPr>
        <w:t> </w:t>
      </w:r>
      <w:r w:rsidRPr="00F5204B">
        <w:rPr>
          <w:szCs w:val="24"/>
        </w:rPr>
        <w:t>a) de l</w:t>
      </w:r>
      <w:r>
        <w:t>’</w:t>
      </w:r>
      <w:r>
        <w:rPr>
          <w:szCs w:val="24"/>
        </w:rPr>
        <w:t>article </w:t>
      </w:r>
      <w:r w:rsidRPr="00F5204B">
        <w:rPr>
          <w:szCs w:val="24"/>
        </w:rPr>
        <w:t>2 du Pacte</w:t>
      </w:r>
      <w:r w:rsidRPr="00F5204B">
        <w:t>, l</w:t>
      </w:r>
      <w:r>
        <w:t>’</w:t>
      </w:r>
      <w:r w:rsidRPr="00F5204B">
        <w:t xml:space="preserve">État partie </w:t>
      </w:r>
      <w:r>
        <w:t>est tenu d’offrir</w:t>
      </w:r>
      <w:r w:rsidRPr="00F5204B">
        <w:t xml:space="preserve"> à l</w:t>
      </w:r>
      <w:r>
        <w:t>’</w:t>
      </w:r>
      <w:r w:rsidRPr="00F5204B">
        <w:t>auteur un</w:t>
      </w:r>
      <w:r>
        <w:t xml:space="preserve"> recours utile, y compris une </w:t>
      </w:r>
      <w:r w:rsidR="00CA719D">
        <w:t>indemnis</w:t>
      </w:r>
      <w:r>
        <w:t xml:space="preserve">ation, ainsi que de modifier sa législation </w:t>
      </w:r>
      <w:r w:rsidR="00CA719D">
        <w:t>qui régit la sortie du pays afin de la</w:t>
      </w:r>
      <w:r>
        <w:t xml:space="preserve"> mettre en conformité avec les dispositions du Pacte.</w:t>
      </w:r>
      <w:r w:rsidRPr="00F5204B">
        <w:t xml:space="preserve"> </w:t>
      </w:r>
      <w:r>
        <w:rPr>
          <w:szCs w:val="24"/>
        </w:rPr>
        <w:t>L</w:t>
      </w:r>
      <w:r>
        <w:t xml:space="preserve">’État </w:t>
      </w:r>
      <w:r>
        <w:rPr>
          <w:szCs w:val="24"/>
        </w:rPr>
        <w:t>partie est en outre tenu de veiller à ce que des violations analogues ne se reproduisent pas à l</w:t>
      </w:r>
      <w:r>
        <w:t>’</w:t>
      </w:r>
      <w:r>
        <w:rPr>
          <w:szCs w:val="24"/>
        </w:rPr>
        <w:t>avenir</w:t>
      </w:r>
      <w:r>
        <w:t>.</w:t>
      </w:r>
    </w:p>
    <w:p w:rsidR="00EE2D18" w:rsidRDefault="00EE2D18" w:rsidP="00EE2D18">
      <w:pPr>
        <w:tabs>
          <w:tab w:val="left" w:pos="567"/>
        </w:tabs>
        <w:autoSpaceDE w:val="0"/>
        <w:autoSpaceDN w:val="0"/>
        <w:adjustRightInd w:val="0"/>
        <w:spacing w:after="360"/>
      </w:pPr>
      <w:r w:rsidRPr="00AE1733">
        <w:t>11.</w:t>
      </w:r>
      <w:r w:rsidRPr="00AE1733">
        <w:tab/>
        <w:t>Étant donné qu</w:t>
      </w:r>
      <w:r>
        <w:t>’</w:t>
      </w:r>
      <w:r w:rsidRPr="00AE1733">
        <w:t>en adhérant au Protocole facultatif l</w:t>
      </w:r>
      <w:r>
        <w:t>’</w:t>
      </w:r>
      <w:r w:rsidRPr="00AE1733">
        <w:t>État partie a reconnu que le Comité avait compétence pour déterminer s</w:t>
      </w:r>
      <w:r>
        <w:t>’</w:t>
      </w:r>
      <w:r w:rsidRPr="00AE1733">
        <w:t>il y avait eu ou non violation du Pacte et que, conformément à l</w:t>
      </w:r>
      <w:r>
        <w:t>’article </w:t>
      </w:r>
      <w:r w:rsidRPr="00AE1733">
        <w:t>2 du Pacte, il s</w:t>
      </w:r>
      <w:r>
        <w:t>’</w:t>
      </w:r>
      <w:r w:rsidRPr="00AE1733">
        <w:t>est engagé à garantir à tous les individus se trouvant sur son territoire et relevant de sa juridiction les droits reconnus dans le Pacte et à assurer un recours utile et exécutoire lorsqu</w:t>
      </w:r>
      <w:r>
        <w:t>’</w:t>
      </w:r>
      <w:r w:rsidRPr="00AE1733">
        <w:t xml:space="preserve">une violation a été établie, </w:t>
      </w:r>
      <w:r w:rsidRPr="00F5204B">
        <w:t>le Comité souhaite recevoir de l</w:t>
      </w:r>
      <w:r>
        <w:t>’</w:t>
      </w:r>
      <w:r w:rsidRPr="00F5204B">
        <w:t xml:space="preserve">État partie, dans un délai de </w:t>
      </w:r>
      <w:r>
        <w:t>cent quatre</w:t>
      </w:r>
      <w:r>
        <w:noBreakHyphen/>
        <w:t>vingts</w:t>
      </w:r>
      <w:r w:rsidRPr="00F5204B">
        <w:t xml:space="preserve"> jours, des renseignements sur les mesures prises pour donner effet à ses constatations</w:t>
      </w:r>
      <w:r>
        <w:t>.</w:t>
      </w:r>
    </w:p>
    <w:p w:rsidR="00EE2D18" w:rsidRDefault="00EE2D18" w:rsidP="00EE2D18">
      <w:pPr>
        <w:tabs>
          <w:tab w:val="left" w:pos="567"/>
        </w:tabs>
        <w:autoSpaceDE w:val="0"/>
        <w:autoSpaceDN w:val="0"/>
        <w:adjustRightInd w:val="0"/>
        <w:spacing w:after="180"/>
      </w:pPr>
      <w:r w:rsidRPr="00A70D2B">
        <w:t>[Adopté en anglais (version originale), en espagnol et en français. Paraîtra ultérieurement aussi en arabe, en chinois et en russe dans le rapport annuel du Comité à l</w:t>
      </w:r>
      <w:r>
        <w:t>’</w:t>
      </w:r>
      <w:r w:rsidRPr="00A70D2B">
        <w:t>Assemblée générale.]</w:t>
      </w:r>
    </w:p>
    <w:p w:rsidR="00712E12" w:rsidRPr="00EE2D18" w:rsidRDefault="00EE2D18" w:rsidP="00EE2D18">
      <w:pPr>
        <w:tabs>
          <w:tab w:val="left" w:pos="567"/>
        </w:tabs>
        <w:autoSpaceDE w:val="0"/>
        <w:autoSpaceDN w:val="0"/>
        <w:adjustRightInd w:val="0"/>
        <w:spacing w:after="240"/>
        <w:jc w:val="center"/>
      </w:pPr>
      <w:r>
        <w:t>-----</w:t>
      </w:r>
    </w:p>
    <w:sectPr w:rsidR="00712E12" w:rsidRPr="00EE2D18" w:rsidSect="00E6156E">
      <w:headerReference w:type="first" r:id="rId12"/>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A2" w:rsidRDefault="003570A2">
      <w:r>
        <w:separator/>
      </w:r>
    </w:p>
  </w:endnote>
  <w:endnote w:type="continuationSeparator" w:id="0">
    <w:p w:rsidR="003570A2" w:rsidRDefault="0035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5" w:rsidRDefault="005D74E5">
    <w:pPr>
      <w:pStyle w:val="Footer"/>
    </w:pPr>
    <w:r>
      <w:t>GE.09-44386 (F)    090909    090909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A2" w:rsidRDefault="003570A2">
      <w:r>
        <w:separator/>
      </w:r>
    </w:p>
  </w:footnote>
  <w:footnote w:type="continuationSeparator" w:id="0">
    <w:p w:rsidR="003570A2" w:rsidRDefault="003570A2">
      <w:r>
        <w:continuationSeparator/>
      </w:r>
    </w:p>
  </w:footnote>
  <w:footnote w:id="1">
    <w:p w:rsidR="005D74E5" w:rsidRDefault="005D74E5">
      <w:pPr>
        <w:pStyle w:val="FootnoteText"/>
        <w:spacing w:after="240"/>
      </w:pPr>
      <w:r>
        <w:rPr>
          <w:rStyle w:val="FootnoteReference"/>
        </w:rPr>
        <w:t>*</w:t>
      </w:r>
      <w:r>
        <w:t xml:space="preserve"> Constatations rendues publiques sur décision du Comité des droits de l’homme.</w:t>
      </w:r>
    </w:p>
  </w:footnote>
  <w:footnote w:id="2">
    <w:p w:rsidR="005D74E5" w:rsidRDefault="005D74E5" w:rsidP="00E6156E">
      <w:pPr>
        <w:pStyle w:val="FootnoteText"/>
        <w:spacing w:after="240"/>
      </w:pPr>
      <w:r>
        <w:rPr>
          <w:rStyle w:val="FootnoteReference"/>
        </w:rPr>
        <w:t>*</w:t>
      </w:r>
      <w:r>
        <w:t xml:space="preserve"> Les membres du Comité dont le nom suit ont participé à l’examen de la communication: M. Mohammed Ayat, M. Prafullachandra Natwarlal Bhagwati, M. Lazhari Bouzid, M</w:t>
      </w:r>
      <w:r>
        <w:rPr>
          <w:vertAlign w:val="superscript"/>
        </w:rPr>
        <w:t>me</w:t>
      </w:r>
      <w:r>
        <w:t> Christine Chanet, M. Ahmad Amin Fathalla, M. Yuji Iwasawa, M. Rajsoomer Lallah, M</w:t>
      </w:r>
      <w:r>
        <w:rPr>
          <w:vertAlign w:val="superscript"/>
        </w:rPr>
        <w:t>me</w:t>
      </w:r>
      <w:r>
        <w:t> Zonke Zanele Majodina, M. Michael O’Flaberty, M. Rafael Rivas Posada, Sir Nigel Rodley, M. Fabian Omar Salvioli, M. Krister Thelin et M</w:t>
      </w:r>
      <w:r>
        <w:rPr>
          <w:vertAlign w:val="superscript"/>
        </w:rPr>
        <w:t>me</w:t>
      </w:r>
      <w:r>
        <w:t> Ruth Wedgwood.</w:t>
      </w:r>
    </w:p>
  </w:footnote>
  <w:footnote w:id="3">
    <w:p w:rsidR="005D74E5" w:rsidRDefault="005D74E5" w:rsidP="006B4736">
      <w:pPr>
        <w:pStyle w:val="FootnoteText"/>
        <w:spacing w:after="240"/>
      </w:pPr>
      <w:r>
        <w:rPr>
          <w:rStyle w:val="FootnoteReference"/>
        </w:rPr>
        <w:footnoteRef/>
      </w:r>
      <w:r>
        <w:t xml:space="preserve"> </w:t>
      </w:r>
      <w:r w:rsidRPr="00263CD0">
        <w:rPr>
          <w:szCs w:val="24"/>
        </w:rPr>
        <w:t>Voir</w:t>
      </w:r>
      <w:r>
        <w:rPr>
          <w:szCs w:val="24"/>
        </w:rPr>
        <w:t xml:space="preserve"> notamment</w:t>
      </w:r>
      <w:r w:rsidRPr="00263CD0">
        <w:rPr>
          <w:szCs w:val="24"/>
        </w:rPr>
        <w:t xml:space="preserve"> la communication </w:t>
      </w:r>
      <w:r w:rsidRPr="00B93EA2">
        <w:rPr>
          <w:rFonts w:eastAsia="MS Mincho"/>
          <w:szCs w:val="24"/>
        </w:rPr>
        <w:t>n</w:t>
      </w:r>
      <w:r w:rsidRPr="00B93EA2">
        <w:rPr>
          <w:rFonts w:eastAsia="MS Mincho"/>
          <w:szCs w:val="24"/>
          <w:vertAlign w:val="superscript"/>
        </w:rPr>
        <w:t>o</w:t>
      </w:r>
      <w:r>
        <w:rPr>
          <w:szCs w:val="24"/>
        </w:rPr>
        <w:t> </w:t>
      </w:r>
      <w:r w:rsidRPr="00263CD0">
        <w:rPr>
          <w:szCs w:val="24"/>
        </w:rPr>
        <w:t xml:space="preserve">541/1993, </w:t>
      </w:r>
      <w:r w:rsidRPr="00263CD0">
        <w:rPr>
          <w:i/>
          <w:szCs w:val="24"/>
        </w:rPr>
        <w:t>Errol Simms</w:t>
      </w:r>
      <w:r w:rsidRPr="00263CD0">
        <w:rPr>
          <w:szCs w:val="24"/>
        </w:rPr>
        <w:t xml:space="preserve"> c. </w:t>
      </w:r>
      <w:r w:rsidRPr="00263CD0">
        <w:rPr>
          <w:i/>
          <w:szCs w:val="24"/>
        </w:rPr>
        <w:t>Jamaïque</w:t>
      </w:r>
      <w:r w:rsidRPr="00263CD0">
        <w:rPr>
          <w:szCs w:val="24"/>
        </w:rPr>
        <w:t xml:space="preserve">, décision </w:t>
      </w:r>
      <w:r>
        <w:rPr>
          <w:szCs w:val="24"/>
        </w:rPr>
        <w:t>d’</w:t>
      </w:r>
      <w:r w:rsidRPr="00263CD0">
        <w:rPr>
          <w:szCs w:val="24"/>
        </w:rPr>
        <w:t>irrecevabilité adoptée le 3 avril 1995, p</w:t>
      </w:r>
      <w:r>
        <w:rPr>
          <w:szCs w:val="24"/>
        </w:rPr>
        <w:t>ar. </w:t>
      </w:r>
      <w:r w:rsidRPr="00263CD0">
        <w:rPr>
          <w:szCs w:val="24"/>
        </w:rPr>
        <w:t>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5" w:rsidRDefault="005D74E5" w:rsidP="00E6156E">
    <w:pPr>
      <w:pStyle w:val="Header"/>
    </w:pPr>
    <w:r>
      <w:t>CCPR/C/96/D/1585/2007</w:t>
    </w:r>
  </w:p>
  <w:p w:rsidR="005D74E5" w:rsidRDefault="005D74E5" w:rsidP="00E6156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4EA4">
      <w:rPr>
        <w:rStyle w:val="PageNumber"/>
        <w:noProof/>
      </w:rPr>
      <w:t>10</w:t>
    </w:r>
    <w:r>
      <w:rPr>
        <w:rStyle w:val="PageNumber"/>
      </w:rPr>
      <w:fldChar w:fldCharType="end"/>
    </w:r>
  </w:p>
  <w:p w:rsidR="005D74E5" w:rsidRPr="00E6156E" w:rsidRDefault="005D74E5" w:rsidP="00E61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5" w:rsidRDefault="005D74E5" w:rsidP="00E6156E">
    <w:pPr>
      <w:pStyle w:val="Header"/>
      <w:ind w:left="6804"/>
    </w:pPr>
    <w:r>
      <w:t>CCPR/C/96/D/1585/2007</w:t>
    </w:r>
  </w:p>
  <w:p w:rsidR="005D74E5" w:rsidRDefault="005D74E5" w:rsidP="00E6156E">
    <w:pPr>
      <w:pStyle w:val="Header"/>
      <w:ind w:left="6804"/>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4EA4">
      <w:rPr>
        <w:rStyle w:val="PageNumber"/>
        <w:noProof/>
      </w:rPr>
      <w:t>9</w:t>
    </w:r>
    <w:r>
      <w:rPr>
        <w:rStyle w:val="PageNumber"/>
      </w:rPr>
      <w:fldChar w:fldCharType="end"/>
    </w:r>
  </w:p>
  <w:p w:rsidR="005D74E5" w:rsidRDefault="005D7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5" w:rsidRDefault="005D74E5" w:rsidP="00E6156E">
    <w:pPr>
      <w:pStyle w:val="Header"/>
      <w:ind w:left="6804"/>
    </w:pPr>
    <w:r>
      <w:t>CCPR/C/96/D/1585/2007</w:t>
    </w:r>
  </w:p>
  <w:p w:rsidR="005D74E5" w:rsidRDefault="005D74E5" w:rsidP="00E6156E">
    <w:pPr>
      <w:pStyle w:val="Header"/>
      <w:ind w:left="6804"/>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4EA4">
      <w:rPr>
        <w:rStyle w:val="PageNumber"/>
        <w:noProof/>
      </w:rPr>
      <w:t>3</w:t>
    </w:r>
    <w:r>
      <w:rPr>
        <w:rStyle w:val="PageNumber"/>
      </w:rPr>
      <w:fldChar w:fldCharType="end"/>
    </w:r>
  </w:p>
  <w:p w:rsidR="005D74E5" w:rsidRPr="00E6156E" w:rsidRDefault="005D74E5" w:rsidP="00E6156E">
    <w:pPr>
      <w:pStyle w:val="Header"/>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B0C"/>
    <w:rsid w:val="00111265"/>
    <w:rsid w:val="001D5EE9"/>
    <w:rsid w:val="0020448C"/>
    <w:rsid w:val="0028688E"/>
    <w:rsid w:val="002C1788"/>
    <w:rsid w:val="0030162B"/>
    <w:rsid w:val="003570A2"/>
    <w:rsid w:val="003C3AD2"/>
    <w:rsid w:val="004045B6"/>
    <w:rsid w:val="004465C4"/>
    <w:rsid w:val="004B24CB"/>
    <w:rsid w:val="004C56CF"/>
    <w:rsid w:val="004F574C"/>
    <w:rsid w:val="0051521B"/>
    <w:rsid w:val="005D74E5"/>
    <w:rsid w:val="005F15C4"/>
    <w:rsid w:val="006B4736"/>
    <w:rsid w:val="00712E12"/>
    <w:rsid w:val="007211D0"/>
    <w:rsid w:val="007A4EA4"/>
    <w:rsid w:val="008065BA"/>
    <w:rsid w:val="00824A05"/>
    <w:rsid w:val="00890713"/>
    <w:rsid w:val="00927BCB"/>
    <w:rsid w:val="009D799B"/>
    <w:rsid w:val="009E3335"/>
    <w:rsid w:val="009F078E"/>
    <w:rsid w:val="00A45010"/>
    <w:rsid w:val="00AC4B34"/>
    <w:rsid w:val="00B85249"/>
    <w:rsid w:val="00C45B0C"/>
    <w:rsid w:val="00CA719D"/>
    <w:rsid w:val="00D3148B"/>
    <w:rsid w:val="00D41E32"/>
    <w:rsid w:val="00DB548E"/>
    <w:rsid w:val="00E10BE0"/>
    <w:rsid w:val="00E252C5"/>
    <w:rsid w:val="00E6156E"/>
    <w:rsid w:val="00E70B6B"/>
    <w:rsid w:val="00EE2D18"/>
    <w:rsid w:val="00FB7D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8E"/>
    <w:rPr>
      <w:sz w:val="24"/>
      <w:lang w:eastAsia="en-US"/>
    </w:rPr>
  </w:style>
  <w:style w:type="paragraph" w:styleId="Heading1">
    <w:name w:val="heading 1"/>
    <w:basedOn w:val="Normal"/>
    <w:next w:val="Normal"/>
    <w:qFormat/>
    <w:rsid w:val="00DB548E"/>
    <w:pPr>
      <w:keepNext/>
      <w:spacing w:after="240"/>
      <w:outlineLvl w:val="0"/>
    </w:pPr>
    <w:rPr>
      <w:b/>
      <w:bCs/>
    </w:rPr>
  </w:style>
  <w:style w:type="paragraph" w:styleId="Heading2">
    <w:name w:val="heading 2"/>
    <w:basedOn w:val="Normal"/>
    <w:next w:val="Normal"/>
    <w:qFormat/>
    <w:rsid w:val="00DB548E"/>
    <w:pPr>
      <w:keepNext/>
      <w:spacing w:after="240"/>
      <w:outlineLvl w:val="1"/>
    </w:pPr>
    <w:rPr>
      <w:b/>
    </w:rPr>
  </w:style>
  <w:style w:type="paragraph" w:styleId="Heading3">
    <w:name w:val="heading 3"/>
    <w:basedOn w:val="Normal"/>
    <w:next w:val="Normal"/>
    <w:qFormat/>
    <w:rsid w:val="00DB548E"/>
    <w:pPr>
      <w:keepNext/>
      <w:spacing w:after="240"/>
      <w:outlineLvl w:val="2"/>
    </w:pPr>
  </w:style>
  <w:style w:type="paragraph" w:styleId="Heading4">
    <w:name w:val="heading 4"/>
    <w:basedOn w:val="Normal"/>
    <w:next w:val="Normal"/>
    <w:qFormat/>
    <w:rsid w:val="00DB548E"/>
    <w:pPr>
      <w:keepNext/>
      <w:spacing w:before="240" w:after="60"/>
      <w:outlineLvl w:val="3"/>
    </w:pPr>
    <w:rPr>
      <w:b/>
      <w:bCs/>
      <w:sz w:val="28"/>
      <w:szCs w:val="28"/>
    </w:rPr>
  </w:style>
  <w:style w:type="paragraph" w:styleId="Heading5">
    <w:name w:val="heading 5"/>
    <w:basedOn w:val="Normal"/>
    <w:next w:val="Normal"/>
    <w:qFormat/>
    <w:rsid w:val="00DB548E"/>
    <w:pPr>
      <w:spacing w:before="240" w:after="60"/>
      <w:outlineLvl w:val="4"/>
    </w:pPr>
    <w:rPr>
      <w:b/>
      <w:bCs/>
      <w:i/>
      <w:iCs/>
      <w:sz w:val="26"/>
      <w:szCs w:val="26"/>
    </w:rPr>
  </w:style>
  <w:style w:type="paragraph" w:styleId="Heading6">
    <w:name w:val="heading 6"/>
    <w:basedOn w:val="Normal"/>
    <w:next w:val="Normal"/>
    <w:qFormat/>
    <w:rsid w:val="00DB548E"/>
    <w:pPr>
      <w:spacing w:before="240" w:after="60"/>
      <w:outlineLvl w:val="5"/>
    </w:pPr>
    <w:rPr>
      <w:b/>
      <w:bCs/>
      <w:sz w:val="22"/>
      <w:szCs w:val="22"/>
    </w:rPr>
  </w:style>
  <w:style w:type="paragraph" w:styleId="Heading7">
    <w:name w:val="heading 7"/>
    <w:basedOn w:val="Normal"/>
    <w:next w:val="Normal"/>
    <w:qFormat/>
    <w:rsid w:val="00DB548E"/>
    <w:pPr>
      <w:spacing w:before="240" w:after="60"/>
      <w:outlineLvl w:val="6"/>
    </w:pPr>
    <w:rPr>
      <w:szCs w:val="24"/>
    </w:rPr>
  </w:style>
  <w:style w:type="paragraph" w:styleId="Heading8">
    <w:name w:val="heading 8"/>
    <w:basedOn w:val="Normal"/>
    <w:next w:val="Normal"/>
    <w:qFormat/>
    <w:rsid w:val="00DB548E"/>
    <w:pPr>
      <w:spacing w:before="240" w:after="60"/>
      <w:outlineLvl w:val="7"/>
    </w:pPr>
    <w:rPr>
      <w:i/>
      <w:iCs/>
      <w:szCs w:val="24"/>
    </w:rPr>
  </w:style>
  <w:style w:type="paragraph" w:styleId="Heading9">
    <w:name w:val="heading 9"/>
    <w:basedOn w:val="Normal"/>
    <w:next w:val="Normal"/>
    <w:qFormat/>
    <w:rsid w:val="00DB548E"/>
    <w:pPr>
      <w:spacing w:before="240" w:after="60"/>
      <w:outlineLvl w:val="8"/>
    </w:pPr>
    <w:rPr>
      <w:rFonts w:ascii="Arial" w:hAnsi="Arial" w:cs="Arial"/>
      <w:sz w:val="22"/>
      <w:szCs w:val="22"/>
    </w:rPr>
  </w:style>
  <w:style w:type="character" w:default="1" w:styleId="DefaultParagraphFont">
    <w:name w:val="Default Paragraph Font"/>
    <w:rsid w:val="00DB548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548E"/>
  </w:style>
  <w:style w:type="character" w:styleId="EndnoteReference">
    <w:name w:val="endnote reference"/>
    <w:rsid w:val="00DB548E"/>
    <w:rPr>
      <w:rFonts w:ascii="Times New Roman" w:hAnsi="Times New Roman"/>
      <w:b/>
      <w:sz w:val="24"/>
      <w:vertAlign w:val="superscript"/>
    </w:rPr>
  </w:style>
  <w:style w:type="character" w:styleId="FootnoteReference">
    <w:name w:val="footnote reference"/>
    <w:rsid w:val="00DB548E"/>
    <w:rPr>
      <w:rFonts w:ascii="Times New Roman" w:hAnsi="Times New Roman"/>
      <w:b/>
      <w:sz w:val="24"/>
      <w:vertAlign w:val="superscript"/>
    </w:rPr>
  </w:style>
  <w:style w:type="paragraph" w:styleId="Header">
    <w:name w:val="header"/>
    <w:basedOn w:val="Normal"/>
    <w:rsid w:val="00DB548E"/>
    <w:pPr>
      <w:tabs>
        <w:tab w:val="center" w:pos="4320"/>
        <w:tab w:val="right" w:pos="8640"/>
      </w:tabs>
    </w:pPr>
  </w:style>
  <w:style w:type="paragraph" w:styleId="FootnoteText">
    <w:name w:val="footnote text"/>
    <w:basedOn w:val="Normal"/>
    <w:rsid w:val="00DB548E"/>
  </w:style>
  <w:style w:type="paragraph" w:styleId="EndnoteText">
    <w:name w:val="endnote text"/>
    <w:basedOn w:val="Normal"/>
    <w:rsid w:val="00DB548E"/>
  </w:style>
  <w:style w:type="character" w:styleId="PageNumber">
    <w:name w:val="page number"/>
    <w:basedOn w:val="DefaultParagraphFont"/>
    <w:rsid w:val="00DB548E"/>
  </w:style>
  <w:style w:type="paragraph" w:styleId="Footer">
    <w:name w:val="footer"/>
    <w:basedOn w:val="Normal"/>
    <w:rsid w:val="00DB54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1</TotalTime>
  <Pages>1</Pages>
  <Words>4076</Words>
  <Characters>20911</Characters>
  <Application>Microsoft Office Word</Application>
  <DocSecurity>4</DocSecurity>
  <Lines>337</Lines>
  <Paragraphs>114</Paragraphs>
  <ScaleCrop>false</ScaleCrop>
  <HeadingPairs>
    <vt:vector size="2" baseType="variant">
      <vt:variant>
        <vt:lpstr>Titre</vt:lpstr>
      </vt:variant>
      <vt:variant>
        <vt:i4>1</vt:i4>
      </vt:variant>
    </vt:vector>
  </HeadingPairs>
  <TitlesOfParts>
    <vt:vector size="1" baseType="lpstr">
      <vt:lpstr>CCPR/C/96/DS/1585/2007</vt:lpstr>
    </vt:vector>
  </TitlesOfParts>
  <Company>ONU</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CCPR/C/96/DS/1585/2007</dc:title>
  <dc:subject/>
  <dc:creator>Isabelle Ferigo</dc:creator>
  <cp:keywords/>
  <dc:description/>
  <cp:lastModifiedBy>Dunand</cp:lastModifiedBy>
  <cp:revision>4</cp:revision>
  <cp:lastPrinted>2009-09-09T14:27:00Z</cp:lastPrinted>
  <dcterms:created xsi:type="dcterms:W3CDTF">2009-09-09T14:27:00Z</dcterms:created>
  <dcterms:modified xsi:type="dcterms:W3CDTF">2009-09-09T14:28:00Z</dcterms:modified>
</cp:coreProperties>
</file>