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56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56B4" w:rsidP="004356B4">
            <w:pPr>
              <w:jc w:val="right"/>
            </w:pPr>
            <w:r w:rsidRPr="004356B4">
              <w:rPr>
                <w:sz w:val="40"/>
              </w:rPr>
              <w:t>CRPD</w:t>
            </w:r>
            <w:r>
              <w:t>/C/NER/Q/1</w:t>
            </w:r>
          </w:p>
        </w:tc>
      </w:tr>
      <w:tr w:rsidR="002D5AAC" w:rsidRPr="004356B4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56B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56B4" w:rsidRDefault="004356B4" w:rsidP="004356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2018</w:t>
            </w:r>
          </w:p>
          <w:p w:rsidR="004356B4" w:rsidRDefault="004356B4" w:rsidP="004356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56B4" w:rsidRPr="004356B4" w:rsidRDefault="004356B4" w:rsidP="004356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proofErr w:type="spellStart"/>
            <w:r w:rsidRPr="004356B4">
              <w:rPr>
                <w:lang w:val="en-US"/>
              </w:rPr>
              <w:t>English</w:t>
            </w:r>
            <w:proofErr w:type="spellEnd"/>
            <w:r w:rsidRPr="004356B4">
              <w:rPr>
                <w:lang w:val="en-US"/>
              </w:rPr>
              <w:t>, French, Russian and Spanish only</w:t>
            </w:r>
          </w:p>
        </w:tc>
      </w:tr>
    </w:tbl>
    <w:p w:rsidR="004356B4" w:rsidRPr="009D5189" w:rsidRDefault="004356B4" w:rsidP="004356B4">
      <w:pPr>
        <w:spacing w:before="120" w:line="276" w:lineRule="auto"/>
        <w:rPr>
          <w:rFonts w:asciiTheme="majorBidi" w:hAnsiTheme="majorBidi" w:cstheme="majorBidi"/>
          <w:b/>
          <w:sz w:val="24"/>
          <w:szCs w:val="24"/>
        </w:rPr>
      </w:pPr>
      <w:r w:rsidRPr="009D5189">
        <w:rPr>
          <w:rFonts w:asciiTheme="majorBidi" w:hAnsiTheme="majorBidi" w:cstheme="majorBidi"/>
          <w:b/>
          <w:bCs/>
          <w:sz w:val="24"/>
          <w:szCs w:val="24"/>
        </w:rPr>
        <w:t>Комитет по правам инвалидов</w:t>
      </w:r>
    </w:p>
    <w:p w:rsidR="004356B4" w:rsidRPr="009D5189" w:rsidRDefault="004356B4" w:rsidP="007B06BB">
      <w:pPr>
        <w:pStyle w:val="HChG"/>
      </w:pPr>
      <w:r w:rsidRPr="009D5189">
        <w:tab/>
      </w:r>
      <w:r w:rsidRPr="009D5189">
        <w:tab/>
        <w:t>Перечень вопросов в связи с рассмотрением первоначального доклада Нигера</w:t>
      </w:r>
      <w:r w:rsidRPr="007B06BB">
        <w:rPr>
          <w:b w:val="0"/>
          <w:sz w:val="20"/>
        </w:rPr>
        <w:footnoteReference w:customMarkFollows="1" w:id="1"/>
        <w:t>*</w:t>
      </w:r>
    </w:p>
    <w:p w:rsidR="004356B4" w:rsidRPr="009D5189" w:rsidRDefault="004356B4" w:rsidP="007B06BB">
      <w:pPr>
        <w:pStyle w:val="H1G"/>
      </w:pPr>
      <w:r>
        <w:tab/>
      </w:r>
      <w:r w:rsidRPr="009D5189">
        <w:t>A.</w:t>
      </w:r>
      <w:r w:rsidRPr="009D5189">
        <w:tab/>
        <w:t>Цель и общие обязательства (статьи 1–4)</w:t>
      </w:r>
    </w:p>
    <w:p w:rsidR="004356B4" w:rsidRPr="009D5189" w:rsidRDefault="004356B4" w:rsidP="004356B4">
      <w:pPr>
        <w:pStyle w:val="SingleTxtG"/>
      </w:pPr>
      <w:r w:rsidRPr="009D5189">
        <w:t>1.</w:t>
      </w:r>
      <w:r w:rsidRPr="009D5189">
        <w:tab/>
        <w:t>Просьба указать, пересмотрело ли государство-участник свое законодательство, политику и практику, в том числе Постановление № 2010-028 от 20 мая 2010 года, с</w:t>
      </w:r>
      <w:r w:rsidR="004D2244">
        <w:t> </w:t>
      </w:r>
      <w:r w:rsidRPr="009D5189">
        <w:t>тем чтобы привести их в соответствие с положениями Конвенции и с правозащитной моделью инвалидности. В частности, просьба представить информацию о мерах, принятых для отмены или изменения законодательных актов, противоречащих положениям Конвенции, как</w:t>
      </w:r>
      <w:r w:rsidR="007B06BB">
        <w:t>-</w:t>
      </w:r>
      <w:r w:rsidRPr="009D5189">
        <w:t>то Закона № 60-36 от 29 июля 1960 года об отчислении из школы лиц, страдающих проказой (CRPD/C/NER/1, пункт 106)</w:t>
      </w:r>
      <w:r w:rsidRPr="007B06BB">
        <w:rPr>
          <w:rStyle w:val="aa"/>
          <w:rFonts w:asciiTheme="majorBidi" w:hAnsiTheme="majorBidi" w:cstheme="majorBidi"/>
          <w:sz w:val="20"/>
        </w:rPr>
        <w:footnoteReference w:id="2"/>
      </w:r>
      <w:r w:rsidR="007B06BB">
        <w:t>.</w:t>
      </w:r>
    </w:p>
    <w:p w:rsidR="004356B4" w:rsidRPr="009D5189" w:rsidRDefault="004356B4" w:rsidP="004356B4">
      <w:pPr>
        <w:pStyle w:val="SingleTxtG"/>
      </w:pPr>
      <w:r w:rsidRPr="009D5189">
        <w:t>2.</w:t>
      </w:r>
      <w:r w:rsidRPr="009D5189">
        <w:tab/>
        <w:t>Просьба представить подробные сведения о мерах, принятых для обеспечения того, чтобы экспертизы, предусматриваемые для установления инвалидности в конкретных целях, как</w:t>
      </w:r>
      <w:r w:rsidR="007B06BB">
        <w:t>-</w:t>
      </w:r>
      <w:r w:rsidRPr="009D5189">
        <w:t xml:space="preserve">то для получения доступа к мерам социальной защиты и услугам для лиц с инвалидностью, или в рамках статьи 2 Постановления № 2010-028, проводились в соответствии с Конвенцией и правозащитной модели инвалидности. </w:t>
      </w:r>
    </w:p>
    <w:p w:rsidR="004356B4" w:rsidRPr="009D5189" w:rsidRDefault="004356B4" w:rsidP="004356B4">
      <w:pPr>
        <w:pStyle w:val="SingleTxtG"/>
      </w:pPr>
      <w:r w:rsidRPr="009D5189">
        <w:t>3.</w:t>
      </w:r>
      <w:r w:rsidRPr="009D5189">
        <w:tab/>
        <w:t xml:space="preserve">Просьба представить информацию о: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том, в какой степени инвалиды, включая женщин-инвалидов и детей-инвалидов, эффективно участвуют через представляющие их организации в разработке и осуществлении законодательных и политических мер, в том числе в подготовке докладов для договорных органов, порученной межминистерскому комитету (HRI/CORE/NER/2018, пункты 59, 60 и 63);</w:t>
      </w:r>
    </w:p>
    <w:p w:rsidR="004356B4" w:rsidRPr="009D5189" w:rsidRDefault="004356B4" w:rsidP="004356B4">
      <w:pPr>
        <w:pStyle w:val="SingleTxtG"/>
      </w:pPr>
      <w:r w:rsidRPr="009D5189">
        <w:tab/>
      </w:r>
      <w:r w:rsidR="007B06BB">
        <w:tab/>
      </w:r>
      <w:r w:rsidRPr="009D5189">
        <w:t>b)</w:t>
      </w:r>
      <w:r w:rsidRPr="009D5189">
        <w:tab/>
        <w:t>мерах, принятых для содействия учреждению и самоуправлению организаций инвалидов, в частности организаций лиц с умственными нарушениями.</w:t>
      </w:r>
    </w:p>
    <w:p w:rsidR="004356B4" w:rsidRPr="009D5189" w:rsidRDefault="004356B4" w:rsidP="007B06BB">
      <w:pPr>
        <w:pStyle w:val="H1G"/>
      </w:pPr>
      <w:r>
        <w:tab/>
      </w:r>
      <w:r w:rsidRPr="009D5189">
        <w:t xml:space="preserve">B. </w:t>
      </w:r>
      <w:r w:rsidRPr="009D5189">
        <w:tab/>
        <w:t>Конкретные права (статьи 5–30)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Равенство и </w:t>
      </w:r>
      <w:proofErr w:type="spellStart"/>
      <w:r w:rsidRPr="009D5189">
        <w:t>недискриминация</w:t>
      </w:r>
      <w:proofErr w:type="spellEnd"/>
      <w:r w:rsidRPr="009D5189">
        <w:t xml:space="preserve"> (статья 5) </w:t>
      </w:r>
    </w:p>
    <w:p w:rsidR="004356B4" w:rsidRPr="009D5189" w:rsidRDefault="004356B4" w:rsidP="004356B4">
      <w:pPr>
        <w:pStyle w:val="SingleTxtG"/>
      </w:pPr>
      <w:r w:rsidRPr="009D5189">
        <w:t>4.</w:t>
      </w:r>
      <w:r w:rsidRPr="009D5189">
        <w:tab/>
        <w:t xml:space="preserve">Просьба представить информацию о том, признается ли отказ в разумном приспособлении в качестве одной из форм дискриминации. Просьба также рассказать о предусмотренных механизмах, используемых Национальной комиссией по правам человека для регистрации жалоб и проведения расследований в связи со случаями множественной и пересекающейся дискриминации, с которой сталкиваются инвалиды, в частности женщины-инвалиды и девочки-инвалиды, инвалиды, живущие </w:t>
      </w:r>
      <w:r w:rsidRPr="009D5189">
        <w:lastRenderedPageBreak/>
        <w:t>в условиях нищеты, инвалиды из сельских районов и мигранты-инвалиды, и пояснить, каким образом эти множественные и пересекающиеся формы дискриминации преследуются по закону и в какой степени Комиссия оказывает жертвам правовую помощь.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Женщины-инвалиды (статья 6) </w:t>
      </w:r>
    </w:p>
    <w:p w:rsidR="004356B4" w:rsidRPr="009D5189" w:rsidRDefault="004356B4" w:rsidP="004356B4">
      <w:pPr>
        <w:pStyle w:val="SingleTxtG"/>
      </w:pPr>
      <w:r w:rsidRPr="009D5189">
        <w:t>5.</w:t>
      </w:r>
      <w:r w:rsidRPr="009D5189">
        <w:tab/>
      </w:r>
      <w:proofErr w:type="gramStart"/>
      <w:r w:rsidRPr="009D5189">
        <w:t>В</w:t>
      </w:r>
      <w:proofErr w:type="gramEnd"/>
      <w:r w:rsidRPr="009D5189">
        <w:t xml:space="preserve"> свете принятого Комитетом замечания общего порядка № 3 (2016) о женщинах-инвалидах и девочках-инвалидах и с учетом задач 5.1, 5.2 и 5.5 целей в области устойчивого развития, просьба представить информацию о: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мерах, принимаемых для учета прав женщин-инвалидов и девочек-инвалидов в мерах политики и стратегиях по обеспечению гендерного равенства, и о любых других мерах, принимаемых для обеспечения им возможности осуществлять свои права;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том, в какой мере женщины-инвалиды и девочки-инвалиды представлены в общественной жизни, в том числе в плане их полноценного участия в образовании, профессиональной подготовке, программах развития карьеры и занятости, а также взаимодействия с организациями, представляющими женщин-инвалидов и девочек-инвалидов, включая женщин-мигрантов, имеющих инвалидность;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>том, приняло ли государство-участник национальный план действий по борьбе со всеми формами дискриминации, которым подвергаются женщины-инвалиды и девочки-инвалиды, включая насилие в семье и гендерное насилие, и для устранения</w:t>
      </w:r>
      <w:r w:rsidR="004356B4">
        <w:t xml:space="preserve"> </w:t>
      </w:r>
      <w:r w:rsidR="004356B4" w:rsidRPr="009D5189">
        <w:t>факторов, усугубляющих такие формы дискриминации (пункты 256 и 259).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Дети-инвалиды (статья 7) </w:t>
      </w:r>
    </w:p>
    <w:p w:rsidR="004356B4" w:rsidRPr="009D5189" w:rsidRDefault="004356B4" w:rsidP="004356B4">
      <w:pPr>
        <w:pStyle w:val="SingleTxtG"/>
      </w:pPr>
      <w:r w:rsidRPr="009D5189">
        <w:t>6.</w:t>
      </w:r>
      <w:r w:rsidRPr="009D5189">
        <w:tab/>
        <w:t>Просьба сообщить о любых шагах, предпринятых для создания местного, регионального или национального форума, в рамках которого дети-инвалиды могли бы выражать свои мнения по затрагивающим их вопросам, а также о мерах, принятых для обеспечения того, чтобы их мнения должным образом принимались во внимание.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Просветительно-воспитательная работа (статья 8) </w:t>
      </w:r>
    </w:p>
    <w:p w:rsidR="004356B4" w:rsidRPr="009D5189" w:rsidRDefault="004356B4" w:rsidP="004356B4">
      <w:pPr>
        <w:pStyle w:val="SingleTxtG"/>
      </w:pPr>
      <w:r w:rsidRPr="009D5189">
        <w:t>7.</w:t>
      </w:r>
      <w:r w:rsidRPr="009D5189">
        <w:tab/>
        <w:t xml:space="preserve">Просьба представить информацию о законодательных и политических мерах, принятых в целях борьбы с предрассудками, стереотипами и вредной практикой, включая преступления на почве ненависти, в отношении инвалидов во всех сферах. </w:t>
      </w:r>
    </w:p>
    <w:p w:rsidR="004356B4" w:rsidRPr="009D5189" w:rsidRDefault="004356B4" w:rsidP="004356B4">
      <w:pPr>
        <w:pStyle w:val="SingleTxtG"/>
      </w:pPr>
      <w:r w:rsidRPr="009D5189">
        <w:t>8.</w:t>
      </w:r>
      <w:r w:rsidRPr="009D5189">
        <w:tab/>
        <w:t>Просьба представить информацию о нормативно закрепленных механизмах предоставления финансовой поддержки инвалидам, проведения с ними консультаций и обеспечения их конструктивного участия через представляющие их организации в государственных просветительно-воспитательных кампаниях, в том числе кампаниях в средствах массовой информации, направленных на ликвидацию дискриминации, которой подвергаются инвалиды, а также о том, привлекаются ли организации инвалидов на систематической основе к разработке и осуществлению программ по повышению уровня осведомленности о правах инвалидов на протяжении всего года (пункт 127).</w:t>
      </w:r>
    </w:p>
    <w:p w:rsidR="004356B4" w:rsidRPr="009D5189" w:rsidRDefault="004356B4" w:rsidP="004356B4">
      <w:pPr>
        <w:pStyle w:val="SingleTxtG"/>
      </w:pPr>
      <w:r w:rsidRPr="009D5189">
        <w:t>9.</w:t>
      </w:r>
      <w:r w:rsidRPr="009D5189">
        <w:tab/>
        <w:t>Просьба представить информацию о показателях, используемых Национальным комитетом по контролю за осуществлением Конвенции, который был учрежден на основании Постановления № 0030/MP/RS/DRS от 1 декабря 2008 года, и указать, какие ему были выделены кадровые и финансовые ресурсы (пункт 124).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Доступность (статья 9) </w:t>
      </w:r>
    </w:p>
    <w:p w:rsidR="004356B4" w:rsidRPr="009D5189" w:rsidRDefault="004356B4" w:rsidP="004356B4">
      <w:pPr>
        <w:pStyle w:val="SingleTxtG"/>
      </w:pPr>
      <w:r w:rsidRPr="009D5189">
        <w:t>10.</w:t>
      </w:r>
      <w:r w:rsidRPr="009D5189">
        <w:tab/>
        <w:t xml:space="preserve">Просьба представить информацию о: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том, насколько действующее законодательство соответствует статье 9 Конвенции в части, касающейся доступа к физическому окружению, транспорту, информационно-коммуникационным технологиям и системам, а также к другим объектам и услугам, предназначенным для населения (пункт 137); </w:t>
      </w:r>
    </w:p>
    <w:p w:rsidR="004356B4" w:rsidRPr="009D5189" w:rsidRDefault="007B06BB" w:rsidP="004356B4">
      <w:pPr>
        <w:pStyle w:val="SingleTxtG"/>
      </w:pPr>
      <w:r>
        <w:lastRenderedPageBreak/>
        <w:tab/>
      </w:r>
      <w:r w:rsidR="004356B4" w:rsidRPr="009D5189">
        <w:tab/>
        <w:t>b)</w:t>
      </w:r>
      <w:r w:rsidR="004356B4" w:rsidRPr="009D5189">
        <w:tab/>
        <w:t xml:space="preserve">мерах, принятых для включения в Кодекс о государственных закупках требований к техническим нормам для улучшения доступности (пункт 135);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>механизмах, созданных для контроля за осуществлением статей 41–45 Указа № 2010-637/PCSRD/MP/PF/PE от 26 августа 2010 года в соответствии со статьей</w:t>
      </w:r>
      <w:r>
        <w:t> </w:t>
      </w:r>
      <w:r w:rsidR="004356B4" w:rsidRPr="009D5189">
        <w:t>28 Постановления № 93-012 от 2 марта 1993 года, а также о конкретных мерах, принятых для обеспечения применения этого законодательства, в том числе за счет использования санкций (пункты 130 и 137).</w:t>
      </w:r>
    </w:p>
    <w:p w:rsidR="004356B4" w:rsidRPr="009D5189" w:rsidRDefault="004356B4" w:rsidP="004356B4">
      <w:pPr>
        <w:pStyle w:val="SingleTxtG"/>
      </w:pPr>
      <w:r w:rsidRPr="009D5189">
        <w:t>11.</w:t>
      </w:r>
      <w:r w:rsidRPr="009D5189">
        <w:tab/>
        <w:t xml:space="preserve">Просьба представить информацию о: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мерах, принятых для обеспечения того, чтобы различные виды информационно-коммуникационных технологий и услуг были в полной мере доступны инвалидам;</w:t>
      </w:r>
    </w:p>
    <w:p w:rsidR="004356B4" w:rsidRPr="009D5189" w:rsidRDefault="004356B4" w:rsidP="004356B4">
      <w:pPr>
        <w:pStyle w:val="SingleTxtG"/>
      </w:pPr>
      <w:r w:rsidRPr="009D5189">
        <w:tab/>
      </w:r>
      <w:r w:rsidR="007B06BB">
        <w:tab/>
      </w:r>
      <w:r w:rsidRPr="009D5189">
        <w:t>b)</w:t>
      </w:r>
      <w:r w:rsidRPr="009D5189">
        <w:tab/>
        <w:t xml:space="preserve">последнем докладе, представленном министрами, ответственными за социальную защиту, здравоохранение и планирование, в частности о положениях, касающихся доступа к информационно-коммуникационным технологиям (пункт 140).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Ситуации риска и чрезвычайные гуманитарные ситуации (статья 11) </w:t>
      </w:r>
    </w:p>
    <w:p w:rsidR="004356B4" w:rsidRPr="009D5189" w:rsidRDefault="004356B4" w:rsidP="004356B4">
      <w:pPr>
        <w:pStyle w:val="SingleTxtG"/>
      </w:pPr>
      <w:r w:rsidRPr="009D5189">
        <w:t>12.</w:t>
      </w:r>
      <w:r w:rsidRPr="009D5189">
        <w:tab/>
        <w:t>Просьба уточнить, приняло ли государство-участник национальные стратегии по уменьшению опасности бедствий и ликвидации их последствий, и рассказать о том, в какой степени инвалиды через представляющие их организации приняли участие в их разработке.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Равенство перед законом (статья 12)</w:t>
      </w:r>
    </w:p>
    <w:p w:rsidR="004356B4" w:rsidRPr="009D5189" w:rsidRDefault="004356B4" w:rsidP="004356B4">
      <w:pPr>
        <w:pStyle w:val="SingleTxtG"/>
      </w:pPr>
      <w:r w:rsidRPr="009D5189">
        <w:t>13.</w:t>
      </w:r>
      <w:r w:rsidRPr="009D5189">
        <w:tab/>
        <w:t>В соответствии с принятым Комитетом замечанием общего порядка № 1 (2014) о равенстве перед законом просьба сообщить о любых мерах, принятых для изменения или отмены статей 489–512 Гражданского кодекса, которые ограничивают правоспособность лиц с умственными или психосоциальными нарушениями (пункт</w:t>
      </w:r>
      <w:r w:rsidR="007B06BB">
        <w:t> </w:t>
      </w:r>
      <w:r w:rsidRPr="009D5189">
        <w:t xml:space="preserve">154). Просьба также пояснить, какие меры были приняты для замены </w:t>
      </w:r>
      <w:proofErr w:type="spellStart"/>
      <w:r w:rsidRPr="009D5189">
        <w:t>субститутивной</w:t>
      </w:r>
      <w:proofErr w:type="spellEnd"/>
      <w:r w:rsidRPr="009D5189">
        <w:t xml:space="preserve"> модели принятия решений </w:t>
      </w:r>
      <w:proofErr w:type="spellStart"/>
      <w:r w:rsidRPr="009D5189">
        <w:t>суппортивными</w:t>
      </w:r>
      <w:proofErr w:type="spellEnd"/>
      <w:r w:rsidRPr="009D5189">
        <w:t xml:space="preserve"> моделями в контексте реализации правоспособности.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Доступ к правосудию (статья 13) </w:t>
      </w:r>
    </w:p>
    <w:p w:rsidR="004356B4" w:rsidRPr="009D5189" w:rsidRDefault="004356B4" w:rsidP="004356B4">
      <w:pPr>
        <w:pStyle w:val="SingleTxtG"/>
      </w:pPr>
      <w:r w:rsidRPr="009D5189">
        <w:t>14.</w:t>
      </w:r>
      <w:r w:rsidRPr="009D5189">
        <w:tab/>
        <w:t xml:space="preserve">Просьба указать, какие были приняты меры для: </w:t>
      </w:r>
    </w:p>
    <w:p w:rsidR="004356B4" w:rsidRPr="009D5189" w:rsidRDefault="004356B4" w:rsidP="004356B4">
      <w:pPr>
        <w:pStyle w:val="SingleTxtG"/>
      </w:pPr>
      <w:r w:rsidRPr="009D5189">
        <w:tab/>
      </w:r>
      <w:r w:rsidR="007B06BB">
        <w:tab/>
      </w:r>
      <w:r w:rsidRPr="009D5189">
        <w:t>a)</w:t>
      </w:r>
      <w:r w:rsidRPr="009D5189">
        <w:tab/>
        <w:t>реализац</w:t>
      </w:r>
      <w:r>
        <w:t>и</w:t>
      </w:r>
      <w:r w:rsidRPr="009D5189">
        <w:t>и права на процессуальные и соответствующие возрасту коррективы, которое подлежит непосредственному применению в качестве гражданского права в соответствии с Конвенцией для обеспечения доступа инвалидов к системе отправления правосудия наравне с другими;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обеспечения доступа инвалидов к системе отправления правосудия при поддержке Национального агентства по оказанию правовой и судебной помощи, учрежденного на основании Закона № 2011-42, а также выделения этому ведомству бюджетных средств (пункты 156</w:t>
      </w:r>
      <w:r>
        <w:t>–</w:t>
      </w:r>
      <w:r w:rsidR="004356B4" w:rsidRPr="009D5189">
        <w:t>159);</w:t>
      </w:r>
    </w:p>
    <w:p w:rsidR="004356B4" w:rsidRPr="009D5189" w:rsidRDefault="00297B63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 xml:space="preserve">организации подготовки судей, адвокатов, сотрудников судебных и правоохранительных органов, полиции и других государственных служащих по вопросам права инвалидов на доступ к правосудию, включая информирование их об обязанности обеспечивать разумное приспособление.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Свобода и личная неприкосновенность (статья 14) </w:t>
      </w:r>
    </w:p>
    <w:p w:rsidR="004356B4" w:rsidRPr="009D5189" w:rsidRDefault="004356B4" w:rsidP="004356B4">
      <w:pPr>
        <w:pStyle w:val="SingleTxtG"/>
      </w:pPr>
      <w:r w:rsidRPr="009D5189">
        <w:t>15.</w:t>
      </w:r>
      <w:r w:rsidRPr="009D5189">
        <w:tab/>
        <w:t xml:space="preserve">Просьба указать, какие меры были приняты для запрещения помещения инвалидов в специализированные учреждения и удержания их в больницах или других учреждениях без их свободного согласия на основе их фактической или предполагаемой инвалидности. Просьба также пояснить, какие меры были приняты для обеспечения того, чтобы с инвалидами, которые отбывают наказание в тюрьмах или центрах содержания под стражей, обращались в соответствии с целями и принципами Конвенции, в том числе посредством обеспечения разумного приспособления. </w:t>
      </w:r>
    </w:p>
    <w:p w:rsidR="004356B4" w:rsidRPr="009D5189" w:rsidRDefault="004356B4" w:rsidP="007B06BB">
      <w:pPr>
        <w:pStyle w:val="H23G"/>
      </w:pPr>
      <w:r w:rsidRPr="009D5189">
        <w:lastRenderedPageBreak/>
        <w:tab/>
      </w:r>
      <w:r w:rsidRPr="009D5189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4356B4" w:rsidRPr="009D5189" w:rsidRDefault="004356B4" w:rsidP="004356B4">
      <w:pPr>
        <w:pStyle w:val="SingleTxtG"/>
      </w:pPr>
      <w:r w:rsidRPr="009D5189">
        <w:t>16.</w:t>
      </w:r>
      <w:r w:rsidRPr="009D5189">
        <w:tab/>
        <w:t>Просьба представить информацию о любых шагах, предпринятых для принятия национальной стратегии осуществления Факультативного протокола к Конвенции против пыток и других жестоких, бесчеловечных или унижающих достоинство видов обращения и наказания, а также о том,</w:t>
      </w:r>
      <w:r>
        <w:t xml:space="preserve"> </w:t>
      </w:r>
      <w:r w:rsidRPr="009D5189">
        <w:t>в какой степени запрашивается мнение инвалидов через представляющие их организации и обеспечивается их участие в процессе ее осуществления.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Свобода от эксплуатации, насилия и надругательства (статья 16)</w:t>
      </w:r>
    </w:p>
    <w:p w:rsidR="004356B4" w:rsidRPr="009D5189" w:rsidRDefault="004356B4" w:rsidP="004356B4">
      <w:pPr>
        <w:pStyle w:val="SingleTxtG"/>
      </w:pPr>
      <w:r w:rsidRPr="009D5189">
        <w:t>17.</w:t>
      </w:r>
      <w:r w:rsidRPr="009D5189">
        <w:tab/>
        <w:t>Просьба указать число женщин-инвалидов и девочек-инвалидов, которые принуждаются к вступлению в брак, в частности женщин с умственными или психосоциальными нарушениями, живущих в специализированных учреждениях или в сельских районах, и пояснить, какие меры принимаются для их комплексной реабилитации.</w:t>
      </w:r>
    </w:p>
    <w:p w:rsidR="004356B4" w:rsidRPr="009D5189" w:rsidRDefault="004356B4" w:rsidP="004356B4">
      <w:pPr>
        <w:pStyle w:val="SingleTxtG"/>
      </w:pPr>
      <w:r w:rsidRPr="009D5189">
        <w:t>18.</w:t>
      </w:r>
      <w:r w:rsidRPr="009D5189">
        <w:tab/>
        <w:t xml:space="preserve">Просьба пояснить, какие меры были приняты для обеспечения привлечения к судебной ответственности и наказания отдельных лиц или групп лиц, которые совершают акты эксплуатации, насилия и надругательства в отношении инвалидов, в частности женщин-инвалидов и девочек-инвалидов. Просьба также пояснить, какие меры были приняты для предоставления инвалидам реального доступа к механизмам возмещения ущерба, включая надлежащую компенсацию, а также к имеющимся услугам по восстановлению, реабилитации и социальной </w:t>
      </w:r>
      <w:proofErr w:type="spellStart"/>
      <w:r w:rsidRPr="009D5189">
        <w:t>реинтеграции</w:t>
      </w:r>
      <w:proofErr w:type="spellEnd"/>
      <w:r w:rsidRPr="009D5189">
        <w:t>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Защита личной целостности (статья 17)</w:t>
      </w:r>
    </w:p>
    <w:p w:rsidR="004356B4" w:rsidRPr="009D5189" w:rsidRDefault="004356B4" w:rsidP="004356B4">
      <w:pPr>
        <w:pStyle w:val="SingleTxtG"/>
      </w:pPr>
      <w:r w:rsidRPr="009D5189">
        <w:t>19.</w:t>
      </w:r>
      <w:r w:rsidRPr="009D5189">
        <w:tab/>
        <w:t>Просьба указать, какие механизмы созданы на местном и национальном уровнях для обеспечения того, чтобы любое медицинское обследование, включая тестирование на ВИЧ, проводилось с осознанного согласия инвалидов. Просьба представить информацию о мерах, принятых для запрещения совершения принудительных медицинских манипуляций в отношении инвалидов, включая принудительную стерилизацию и принудительные аборты (пункты 175</w:t>
      </w:r>
      <w:r w:rsidR="007B06BB">
        <w:t>–</w:t>
      </w:r>
      <w:r w:rsidRPr="009D5189">
        <w:t xml:space="preserve">176). </w:t>
      </w:r>
    </w:p>
    <w:p w:rsidR="004356B4" w:rsidRPr="009D5189" w:rsidRDefault="004356B4" w:rsidP="004356B4">
      <w:pPr>
        <w:pStyle w:val="SingleTxtG"/>
      </w:pPr>
      <w:r w:rsidRPr="009D5189">
        <w:t>20.</w:t>
      </w:r>
      <w:r w:rsidRPr="009D5189">
        <w:tab/>
        <w:t>Просьба представить обновленную информацию, включая статистические данные, о количестве зарегистрированных случаев нарушения статьи 17 Конвенции, а также о доступных инвалидам средствах правовой защиты.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Самостоятельный образ жизни и вовлеченность в местное сообщество</w:t>
      </w:r>
      <w:r>
        <w:t xml:space="preserve"> </w:t>
      </w:r>
      <w:r w:rsidRPr="009D5189">
        <w:t>(статья</w:t>
      </w:r>
      <w:r w:rsidR="007B06BB">
        <w:t> </w:t>
      </w:r>
      <w:r w:rsidRPr="009D5189">
        <w:t>19)</w:t>
      </w:r>
      <w:bookmarkStart w:id="0" w:name="_Toc298999617"/>
      <w:bookmarkStart w:id="1" w:name="_Toc299883406"/>
      <w:bookmarkStart w:id="2" w:name="_Toc302368548"/>
      <w:bookmarkEnd w:id="0"/>
      <w:bookmarkEnd w:id="1"/>
      <w:bookmarkEnd w:id="2"/>
    </w:p>
    <w:p w:rsidR="004356B4" w:rsidRPr="009D5189" w:rsidRDefault="004356B4" w:rsidP="004356B4">
      <w:pPr>
        <w:pStyle w:val="SingleTxtG"/>
      </w:pPr>
      <w:r w:rsidRPr="009D5189">
        <w:t>21.</w:t>
      </w:r>
      <w:r w:rsidRPr="009D5189">
        <w:tab/>
        <w:t>В свете принятого Комитетом замечания общего порядка № 5 (2017) о самостоятельном образе жизни и вовлеченности в местное сообщество просьба уточнить, содержит ли законодательство конкретные положения о признании права на самостоятельный образ жизни и вовлеченность в местное сообщество, и в случае утвердительного ответа просьба указать, какие бюджетные ассигнования государство-участник выделяет на обеспечение эффективной реализации этого права, включая предоставление персональной помощи</w:t>
      </w:r>
      <w:r w:rsidR="00297B63">
        <w:t>,</w:t>
      </w:r>
      <w:r w:rsidRPr="009D5189">
        <w:t xml:space="preserve"> для того чтобы инвалиды, в частности инвалиды, живущие в сельских районах, имели доступ к рынку труда, транспорту, жилью, образованию, досуговым мероприятиям и другим объектам и услугам. </w:t>
      </w:r>
      <w:bookmarkStart w:id="3" w:name="_Toc302368549"/>
      <w:bookmarkStart w:id="4" w:name="_Toc299883407"/>
      <w:bookmarkStart w:id="5" w:name="_Toc298999618"/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Индивидуальная мобильность (статья 20) </w:t>
      </w:r>
      <w:bookmarkEnd w:id="3"/>
      <w:bookmarkEnd w:id="4"/>
      <w:bookmarkEnd w:id="5"/>
    </w:p>
    <w:p w:rsidR="004356B4" w:rsidRPr="009D5189" w:rsidRDefault="004356B4" w:rsidP="004356B4">
      <w:pPr>
        <w:pStyle w:val="SingleTxtG"/>
      </w:pPr>
      <w:r w:rsidRPr="009D5189">
        <w:t>22.</w:t>
      </w:r>
      <w:r w:rsidRPr="009D5189">
        <w:tab/>
        <w:t xml:space="preserve">Просьба представить информацию о существующих стратегиях и мерах по оказанию инвалидам поддержки для повышения уровня их индивидуальной мобильности, включая предоставление средств, облегчающих мобильность, устройств, </w:t>
      </w:r>
      <w:proofErr w:type="spellStart"/>
      <w:r w:rsidRPr="009D5189">
        <w:t>ассистивных</w:t>
      </w:r>
      <w:proofErr w:type="spellEnd"/>
      <w:r w:rsidRPr="009D5189">
        <w:t xml:space="preserve"> технологий и услуг помощников и посредников, а также информационно-коммуникационных технологий, в частности в сельских районах.</w:t>
      </w:r>
    </w:p>
    <w:p w:rsidR="004356B4" w:rsidRPr="009D5189" w:rsidRDefault="004356B4" w:rsidP="007B06BB">
      <w:pPr>
        <w:pStyle w:val="H23G"/>
      </w:pPr>
      <w:r w:rsidRPr="009D5189">
        <w:lastRenderedPageBreak/>
        <w:tab/>
      </w:r>
      <w:r w:rsidRPr="009D5189">
        <w:tab/>
        <w:t>Свобода выражения мнения и убеждений и доступ к информации (статья 21)</w:t>
      </w:r>
    </w:p>
    <w:p w:rsidR="004356B4" w:rsidRPr="009D5189" w:rsidRDefault="004356B4" w:rsidP="004356B4">
      <w:pPr>
        <w:pStyle w:val="SingleTxtG"/>
      </w:pPr>
      <w:r w:rsidRPr="009D5189">
        <w:t>23.</w:t>
      </w:r>
      <w:r w:rsidRPr="009D5189">
        <w:tab/>
        <w:t>Просьба представить информацию о любой проводимой политике по поощрению и защите права на свободу выражения мнения инвалидов, включая лиц с умственными или психосоциальными нарушениями. В частности, просьба указать любые меры, принятые с целью:</w:t>
      </w:r>
    </w:p>
    <w:p w:rsidR="004356B4" w:rsidRPr="009D5189" w:rsidRDefault="004356B4" w:rsidP="004356B4">
      <w:pPr>
        <w:pStyle w:val="SingleTxtG"/>
      </w:pPr>
      <w:r w:rsidRPr="009D5189">
        <w:tab/>
      </w:r>
      <w:r w:rsidR="007B06BB">
        <w:tab/>
      </w:r>
      <w:r w:rsidRPr="009D5189">
        <w:t>a)</w:t>
      </w:r>
      <w:r w:rsidRPr="009D5189">
        <w:tab/>
        <w:t>признания жестового языка Нигера в качестве одного из официальных языков государства-участника;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улучшения доступа к информации, представленной во всех форматах, в том числе с использованием азбуки Брайля, простых для чтения и понимания форматов и других усиливающих и альтернативных способов и методов общения.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Неприкосновенность частной жизни (статья 22)</w:t>
      </w:r>
    </w:p>
    <w:p w:rsidR="004356B4" w:rsidRPr="009D5189" w:rsidRDefault="004356B4" w:rsidP="004356B4">
      <w:pPr>
        <w:pStyle w:val="SingleTxtG"/>
      </w:pPr>
      <w:r w:rsidRPr="009D5189">
        <w:t>24.</w:t>
      </w:r>
      <w:r w:rsidRPr="009D5189">
        <w:tab/>
        <w:t xml:space="preserve">Просьба представить информацию о мерах, принятых для защиты и поощрения права на неприкосновенность частной жизни инвалидов, особенно женщин-инвалидов и девочек-инвалидов, а также для наказания виновных в случае нарушений и предоставления средств правовой защиты.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Уважение дома и семьи (статья 23)</w:t>
      </w:r>
    </w:p>
    <w:p w:rsidR="004356B4" w:rsidRPr="009D5189" w:rsidRDefault="004356B4" w:rsidP="004356B4">
      <w:pPr>
        <w:pStyle w:val="SingleTxtG"/>
      </w:pPr>
      <w:r w:rsidRPr="009D5189">
        <w:t>25.</w:t>
      </w:r>
      <w:r w:rsidRPr="009D5189">
        <w:tab/>
        <w:t>Просьба представить информацию о законодательных и иных мерах, принятых с целью: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отмены положений, которые не соответствуют Конвенции, в том числе статей 489–512 Гражданского кодекса;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обеспечения права всех инвалидов на жизнь в семье и выполнение родительских обязанностей наравне с другими;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>укрепления услуг, которые предоставляются родителям и семьям с детьми-инвалидами, в том числе услуг по оказанию помощи на раннем этапе и вспомогательных услуг.</w:t>
      </w:r>
      <w:bookmarkStart w:id="6" w:name="_Toc302368553"/>
      <w:bookmarkStart w:id="7" w:name="_Toc299883411"/>
      <w:bookmarkStart w:id="8" w:name="_Toc298999622"/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Образование (статья 24) </w:t>
      </w:r>
      <w:bookmarkEnd w:id="6"/>
      <w:bookmarkEnd w:id="7"/>
      <w:bookmarkEnd w:id="8"/>
    </w:p>
    <w:p w:rsidR="004356B4" w:rsidRPr="009D5189" w:rsidRDefault="004356B4" w:rsidP="004356B4">
      <w:pPr>
        <w:pStyle w:val="SingleTxtG"/>
      </w:pPr>
      <w:r w:rsidRPr="009D5189">
        <w:t>26.</w:t>
      </w:r>
      <w:r w:rsidRPr="009D5189">
        <w:tab/>
        <w:t>Просьба указать, какие меры были приняты для разработки качественных программ и политики в области инклюзивного образования и выделения на их реализацию надлежащих кадровых и финансовых ресурсов. Просьба указать: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данные о доле детей-инвалидов в системе инклюзивного образования в разбивке по возрасту, полу, категории инвалидности и трудностям, с которыми они сталкиваются;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 xml:space="preserve">данные о доле детей-инвалидов, которые по-прежнему посещают специальные школы или школы с раздельным обучением, в разбивке по возрасту, полу, категории инвалидности и трудностям, с которыми они сталкиваются;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 xml:space="preserve">увеличилось ли число детей-инвалидов, реализующих свое право на образование при условии обеспечения разумного приспособления, в общеобразовательных дошкольных учебных заведениях, а также начальной и средней школе, особенно в сельских районах.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Здоровье (статья 25)</w:t>
      </w:r>
    </w:p>
    <w:p w:rsidR="004356B4" w:rsidRPr="009D5189" w:rsidRDefault="004356B4" w:rsidP="004356B4">
      <w:pPr>
        <w:pStyle w:val="SingleTxtG"/>
      </w:pPr>
      <w:r w:rsidRPr="009D5189">
        <w:t>27.</w:t>
      </w:r>
      <w:r w:rsidRPr="009D5189">
        <w:tab/>
        <w:t xml:space="preserve">Просьба указать меры, принятые с целью: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обеспечения инвалидов, в частности женщин-инвалидов и девочек-инвалидов, наравне с другими доступом к комплексным медицинским услугам, в том числе в сфере сексуального и репродуктивного здоровья и </w:t>
      </w:r>
      <w:proofErr w:type="gramStart"/>
      <w:r w:rsidR="004356B4" w:rsidRPr="009D5189">
        <w:t>соответствующих прав</w:t>
      </w:r>
      <w:proofErr w:type="gramEnd"/>
      <w:r w:rsidR="004356B4" w:rsidRPr="009D5189">
        <w:t xml:space="preserve"> и ВИЧ/СПИДа;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 xml:space="preserve">обеспечения того, чтобы инвалиды, живущие за пределами городских районов, также имели право на освобождение от оплаты медицинских услуг </w:t>
      </w:r>
      <w:r w:rsidR="004356B4" w:rsidRPr="009D5189">
        <w:lastRenderedPageBreak/>
        <w:t>в</w:t>
      </w:r>
      <w:r>
        <w:t> </w:t>
      </w:r>
      <w:r w:rsidR="004356B4" w:rsidRPr="009D5189">
        <w:t xml:space="preserve">соответствии с Указом № 96-456/PRN/MSP от 28 ноября 1996 года и </w:t>
      </w:r>
      <w:r>
        <w:br/>
      </w:r>
      <w:r w:rsidR="004356B4" w:rsidRPr="009D5189">
        <w:t xml:space="preserve">Постановлением № 93-012.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</w:r>
      <w:proofErr w:type="spellStart"/>
      <w:r w:rsidRPr="009D5189">
        <w:t>Абилитация</w:t>
      </w:r>
      <w:proofErr w:type="spellEnd"/>
      <w:r w:rsidRPr="009D5189">
        <w:t xml:space="preserve"> и реабилитация (статья 26) </w:t>
      </w:r>
    </w:p>
    <w:p w:rsidR="004356B4" w:rsidRPr="009D5189" w:rsidRDefault="004356B4" w:rsidP="004356B4">
      <w:pPr>
        <w:pStyle w:val="SingleTxtG"/>
      </w:pPr>
      <w:r w:rsidRPr="009D5189">
        <w:t>28.</w:t>
      </w:r>
      <w:r w:rsidRPr="009D5189">
        <w:tab/>
        <w:t xml:space="preserve">Просьба пояснить, как государство-участник вместе с представляющими инвалидов организациями участвует в </w:t>
      </w:r>
      <w:proofErr w:type="spellStart"/>
      <w:r w:rsidRPr="009D5189">
        <w:t>абилитационных</w:t>
      </w:r>
      <w:proofErr w:type="spellEnd"/>
      <w:r w:rsidRPr="009D5189">
        <w:t xml:space="preserve"> и реабилитационных проектах (пункты 224</w:t>
      </w:r>
      <w:r w:rsidR="007B06BB">
        <w:t>–</w:t>
      </w:r>
      <w:r w:rsidRPr="009D5189">
        <w:t xml:space="preserve">226). 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Труд и занятость (статья 27)</w:t>
      </w:r>
    </w:p>
    <w:p w:rsidR="004356B4" w:rsidRPr="009D5189" w:rsidRDefault="004356B4" w:rsidP="004356B4">
      <w:pPr>
        <w:pStyle w:val="SingleTxtG"/>
      </w:pPr>
      <w:r w:rsidRPr="009D5189">
        <w:t>29.</w:t>
      </w:r>
      <w:r w:rsidRPr="009D5189">
        <w:tab/>
      </w:r>
      <w:proofErr w:type="gramStart"/>
      <w:r w:rsidRPr="009D5189">
        <w:t>С</w:t>
      </w:r>
      <w:proofErr w:type="gramEnd"/>
      <w:r w:rsidRPr="009D5189">
        <w:t xml:space="preserve"> учетом задачи 8.5 целей в области устойчивого развития просьба представить информацию о: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мониторинге хода осуществления статьи 10 Закона № 2012-48 от 25</w:t>
      </w:r>
      <w:r>
        <w:t> </w:t>
      </w:r>
      <w:r w:rsidR="004356B4" w:rsidRPr="009D5189">
        <w:t>сентября 2012 года о Трудовом кодексе и статьи 21 Постановления 93-012;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том, рассматривается ли отказ в разумном приспособлении на рабочем месте в качестве дискриминация, и если да, то какие предусмотрены меры наказания и какие средства правовой защиты имеются в распоряжении жертв дискриминации;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>доле инвалидов, работающих в государственном и частном секторах;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d)</w:t>
      </w:r>
      <w:r w:rsidR="004356B4" w:rsidRPr="009D5189">
        <w:tab/>
        <w:t>льготах, предоставляемых работодателям в частном секторе для поощрения трудоустройства инвалидов, в частности женщин-инвалидов.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Достаточный жизненный уровень и социальная защита (статья 28) </w:t>
      </w:r>
    </w:p>
    <w:p w:rsidR="004356B4" w:rsidRPr="009D5189" w:rsidRDefault="004356B4" w:rsidP="004356B4">
      <w:pPr>
        <w:pStyle w:val="SingleTxtG"/>
      </w:pPr>
      <w:r w:rsidRPr="009D5189">
        <w:t>30.</w:t>
      </w:r>
      <w:r w:rsidRPr="009D5189">
        <w:tab/>
      </w:r>
      <w:proofErr w:type="gramStart"/>
      <w:r w:rsidRPr="009D5189">
        <w:t>С</w:t>
      </w:r>
      <w:proofErr w:type="gramEnd"/>
      <w:r w:rsidRPr="009D5189">
        <w:t xml:space="preserve"> учетом задач 1.3, 1.4, 10.2 и 10.3 целей в области устойчивого развития просьба указать: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какие меры бюджетного и иного характера были разработаны для гарантирования инвалидам права на социальную защиту и обеспечения того, чтобы министерства и государственные учреждения имели возможность применять такие меры (пункт 235);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 xml:space="preserve">имеют ли инвалиды наравне с другими право на участие в программах по сокращению масштабов нищеты;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с)</w:t>
      </w:r>
      <w:r w:rsidR="004356B4" w:rsidRPr="009D5189">
        <w:tab/>
        <w:t>распространяются ли меры социальной защиты и услуги для инвалидов в том числе и на беженцев-инвалидов, проживающих в государстве-участнике.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Участие в политической и общественной жизни (статья 29)</w:t>
      </w:r>
    </w:p>
    <w:p w:rsidR="004356B4" w:rsidRPr="009D5189" w:rsidRDefault="004356B4" w:rsidP="004356B4">
      <w:pPr>
        <w:pStyle w:val="SingleTxtG"/>
      </w:pPr>
      <w:r w:rsidRPr="009D5189">
        <w:t>31.</w:t>
      </w:r>
      <w:r w:rsidRPr="009D5189">
        <w:tab/>
        <w:t xml:space="preserve">Просьба представить информацию о мерах, принятых с целью: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отмены или изменения статей 489</w:t>
      </w:r>
      <w:r w:rsidR="00297B63">
        <w:t>–</w:t>
      </w:r>
      <w:r w:rsidR="004356B4" w:rsidRPr="009D5189">
        <w:t>512 Гражданского кодекса и пунктов</w:t>
      </w:r>
      <w:r w:rsidR="00297B63">
        <w:t> </w:t>
      </w:r>
      <w:r w:rsidR="004356B4" w:rsidRPr="009D5189">
        <w:t>1 и 4 статьи 8 Избирательного кодекса для обеспечения того, чтобы лица с умственными или психосоциальными нарушениями и другие инвалиды, лишенные права на реализацию правоспособности, участвовали в политической и общественной жизни, а</w:t>
      </w:r>
      <w:r w:rsidR="00297B63">
        <w:t> </w:t>
      </w:r>
      <w:r w:rsidR="004356B4" w:rsidRPr="009D5189">
        <w:t xml:space="preserve">лица, которым на избирательных участках оказывается содействие в соответствии с пунктом 2 статьи 69 Избирательного кодекса, могли голосовать независимым и конфиденциальным образом;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обеспечения инвалидам наравне с другими доступа к избирательным участкам и избирательным материалам в доступных для них форматах.</w:t>
      </w:r>
      <w:bookmarkStart w:id="9" w:name="_Toc298999631"/>
      <w:bookmarkStart w:id="10" w:name="_Toc299883421"/>
      <w:bookmarkStart w:id="11" w:name="_Toc302368563"/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Участие в культурной жизни, проведении досуга и отдыха и занятии спортом (статья 30) </w:t>
      </w:r>
      <w:bookmarkEnd w:id="9"/>
      <w:bookmarkEnd w:id="10"/>
      <w:bookmarkEnd w:id="11"/>
    </w:p>
    <w:p w:rsidR="004356B4" w:rsidRPr="009D5189" w:rsidRDefault="004356B4" w:rsidP="004356B4">
      <w:pPr>
        <w:pStyle w:val="SingleTxtG"/>
      </w:pPr>
      <w:r w:rsidRPr="009D5189">
        <w:t>32.</w:t>
      </w:r>
      <w:r w:rsidRPr="009D5189">
        <w:tab/>
        <w:t xml:space="preserve">Просьба сообщить Комитету о всех мерах, принятых с целью: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>содействия обеспечению инвалидам доступа к носящим инклюзивный характер досуговым, спортивным и культурным мероприятиям на всей территории государства-участника;</w:t>
      </w:r>
    </w:p>
    <w:p w:rsidR="004356B4" w:rsidRPr="009D5189" w:rsidRDefault="007B06BB" w:rsidP="004356B4">
      <w:pPr>
        <w:pStyle w:val="SingleTxtG"/>
      </w:pPr>
      <w:r>
        <w:lastRenderedPageBreak/>
        <w:tab/>
      </w:r>
      <w:r w:rsidR="004356B4" w:rsidRPr="009D5189">
        <w:tab/>
        <w:t>b)</w:t>
      </w:r>
      <w:r w:rsidR="004356B4" w:rsidRPr="009D5189">
        <w:tab/>
        <w:t xml:space="preserve">рассмотрения возможности ратификации </w:t>
      </w:r>
      <w:proofErr w:type="spellStart"/>
      <w:r w:rsidR="004356B4" w:rsidRPr="009D5189">
        <w:t>Марракешского</w:t>
      </w:r>
      <w:proofErr w:type="spellEnd"/>
      <w:r w:rsidR="004356B4" w:rsidRPr="009D5189"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произведениям; </w:t>
      </w:r>
    </w:p>
    <w:p w:rsidR="004356B4" w:rsidRPr="009D5189" w:rsidRDefault="004356B4" w:rsidP="007B06BB">
      <w:pPr>
        <w:pStyle w:val="H1G"/>
      </w:pPr>
      <w:bookmarkStart w:id="12" w:name="_Toc416078416"/>
      <w:r>
        <w:tab/>
      </w:r>
      <w:r w:rsidRPr="009D5189">
        <w:t>C.</w:t>
      </w:r>
      <w:r w:rsidRPr="009D5189">
        <w:tab/>
        <w:t>Конкретные обязательства (статьи 31–33)</w:t>
      </w:r>
    </w:p>
    <w:bookmarkEnd w:id="12"/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Статистика и сбор данных (статья 31) </w:t>
      </w:r>
    </w:p>
    <w:p w:rsidR="004356B4" w:rsidRPr="009D5189" w:rsidRDefault="004356B4" w:rsidP="004356B4">
      <w:pPr>
        <w:pStyle w:val="SingleTxtG"/>
      </w:pPr>
      <w:r w:rsidRPr="009D5189">
        <w:t>33.</w:t>
      </w:r>
      <w:r w:rsidRPr="009D5189">
        <w:tab/>
        <w:t>Просьба указать, какие меры были приняты для обеспечения того, чтобы с инвалидами проводились предметные консультации через представляющие их организации в процессе подготовки переписного листа для следующей общей переписи населения, и будет ли в рамках переписи и любых обследований, проводимых Национальным статистическим институтом, а такж</w:t>
      </w:r>
      <w:bookmarkStart w:id="13" w:name="_GoBack"/>
      <w:bookmarkEnd w:id="13"/>
      <w:r w:rsidRPr="009D5189">
        <w:t>е ведомственными управлениями статистики в различных министерских подразделениях, учитываться краткий вопросник Вашингтонской группы по инвалидности (пункт</w:t>
      </w:r>
      <w:r>
        <w:t xml:space="preserve"> </w:t>
      </w:r>
      <w:r w:rsidRPr="009D5189">
        <w:t>274).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 xml:space="preserve">Международное сотрудничество (статья 32) </w:t>
      </w:r>
    </w:p>
    <w:p w:rsidR="004356B4" w:rsidRPr="009D5189" w:rsidRDefault="004356B4" w:rsidP="004356B4">
      <w:pPr>
        <w:pStyle w:val="SingleTxtG"/>
      </w:pPr>
      <w:r w:rsidRPr="009D5189">
        <w:t>34.</w:t>
      </w:r>
      <w:r w:rsidRPr="009D5189">
        <w:tab/>
        <w:t xml:space="preserve">Просьба указать: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a)</w:t>
      </w:r>
      <w:r w:rsidR="004356B4" w:rsidRPr="009D5189">
        <w:tab/>
        <w:t xml:space="preserve">насколько широко проводятся консультации с инвалидами через представляющие их организации и обеспечивается их участие в рамках международных соглашений, проектов и программ по вопросам сотрудничества, в частности тех, которые касаются осуществления Повестки дня в области устойчивого развития на период до 2030 года; </w:t>
      </w:r>
    </w:p>
    <w:p w:rsidR="004356B4" w:rsidRPr="009D5189" w:rsidRDefault="007B06BB" w:rsidP="004356B4">
      <w:pPr>
        <w:pStyle w:val="SingleTxtG"/>
      </w:pPr>
      <w:r>
        <w:tab/>
      </w:r>
      <w:r w:rsidR="004356B4" w:rsidRPr="009D5189">
        <w:tab/>
        <w:t>b)</w:t>
      </w:r>
      <w:r w:rsidR="004356B4" w:rsidRPr="009D5189">
        <w:tab/>
        <w:t>насколько широко инвалиды через представляющие их организации привлекаются к формулированию, представлению и обсуждению актуальных для них тем в рамках международных и региональных форумов и дискуссий по вопросам внешней политики, которые касаются как связанных с инвалидностью, так и иных стратегий, с целью всестороннего учета правозащитной модели инвалидности в этих стратегиях.</w:t>
      </w:r>
    </w:p>
    <w:p w:rsidR="004356B4" w:rsidRPr="009D5189" w:rsidRDefault="004356B4" w:rsidP="007B06BB">
      <w:pPr>
        <w:pStyle w:val="H23G"/>
      </w:pPr>
      <w:r w:rsidRPr="009D5189">
        <w:tab/>
      </w:r>
      <w:r w:rsidRPr="009D5189">
        <w:tab/>
        <w:t>Национальное осуществление и мониторинг (статья 33)</w:t>
      </w:r>
    </w:p>
    <w:p w:rsidR="004356B4" w:rsidRPr="004356B4" w:rsidRDefault="004356B4" w:rsidP="004356B4">
      <w:pPr>
        <w:pStyle w:val="SingleTxtG"/>
      </w:pPr>
      <w:r w:rsidRPr="009D5189">
        <w:t>35.</w:t>
      </w:r>
      <w:r w:rsidRPr="009D5189">
        <w:tab/>
        <w:t>Просьба указать, какое учреждение или ведомство было назначено в качестве центра для координации деятельности по осуществлению Конвенции в государстве-участнике и рассматривается ли вопрос о координационном механизме. Просьба</w:t>
      </w:r>
      <w:r w:rsidR="007B06BB">
        <w:t> </w:t>
      </w:r>
      <w:r w:rsidRPr="009D5189">
        <w:t>представить информацию о сфере деятельности</w:t>
      </w:r>
      <w:r>
        <w:t xml:space="preserve"> </w:t>
      </w:r>
      <w:r w:rsidRPr="009D5189">
        <w:t>Национального комитета по контролю за осуществлением Конвенции, который был учрежден на основании</w:t>
      </w:r>
      <w:r>
        <w:t xml:space="preserve"> Постановления</w:t>
      </w:r>
      <w:r w:rsidR="007B06BB">
        <w:t> </w:t>
      </w:r>
      <w:r>
        <w:t>№ 0030/MP/RS/DRS</w:t>
      </w:r>
      <w:r w:rsidRPr="009D5189">
        <w:t>, а также Национальной комиссии по правам человека. Просьба также представить информацию о мерах, принятых для обеспечения и укрепления независимости обоих органов, и указать, каким образом государство-участник вовлекает инвалидов через представляющие их организации в работу этих органов.</w:t>
      </w:r>
    </w:p>
    <w:p w:rsidR="00381C24" w:rsidRPr="004356B4" w:rsidRDefault="004356B4" w:rsidP="004356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356B4" w:rsidSect="004356B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2F" w:rsidRPr="00A312BC" w:rsidRDefault="00304E2F" w:rsidP="00A312BC"/>
  </w:endnote>
  <w:endnote w:type="continuationSeparator" w:id="0">
    <w:p w:rsidR="00304E2F" w:rsidRPr="00A312BC" w:rsidRDefault="00304E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B4" w:rsidRPr="004356B4" w:rsidRDefault="004356B4">
    <w:pPr>
      <w:pStyle w:val="a8"/>
    </w:pPr>
    <w:r w:rsidRPr="004356B4">
      <w:rPr>
        <w:b/>
        <w:sz w:val="18"/>
      </w:rPr>
      <w:fldChar w:fldCharType="begin"/>
    </w:r>
    <w:r w:rsidRPr="004356B4">
      <w:rPr>
        <w:b/>
        <w:sz w:val="18"/>
      </w:rPr>
      <w:instrText xml:space="preserve"> PAGE  \* MERGEFORMAT </w:instrText>
    </w:r>
    <w:r w:rsidRPr="004356B4">
      <w:rPr>
        <w:b/>
        <w:sz w:val="18"/>
      </w:rPr>
      <w:fldChar w:fldCharType="separate"/>
    </w:r>
    <w:r w:rsidR="0038271F">
      <w:rPr>
        <w:b/>
        <w:noProof/>
        <w:sz w:val="18"/>
      </w:rPr>
      <w:t>6</w:t>
    </w:r>
    <w:r w:rsidRPr="004356B4">
      <w:rPr>
        <w:b/>
        <w:sz w:val="18"/>
      </w:rPr>
      <w:fldChar w:fldCharType="end"/>
    </w:r>
    <w:r>
      <w:rPr>
        <w:b/>
        <w:sz w:val="18"/>
      </w:rPr>
      <w:tab/>
    </w:r>
    <w:r>
      <w:t>GE.18-18360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B4" w:rsidRPr="004356B4" w:rsidRDefault="004356B4" w:rsidP="004356B4">
    <w:pPr>
      <w:pStyle w:val="a8"/>
      <w:tabs>
        <w:tab w:val="clear" w:pos="9639"/>
        <w:tab w:val="right" w:pos="9638"/>
      </w:tabs>
      <w:rPr>
        <w:b/>
        <w:sz w:val="18"/>
      </w:rPr>
    </w:pPr>
    <w:r>
      <w:t>GE.18-18360</w:t>
    </w:r>
    <w:r>
      <w:tab/>
    </w:r>
    <w:r w:rsidRPr="004356B4">
      <w:rPr>
        <w:b/>
        <w:sz w:val="18"/>
      </w:rPr>
      <w:fldChar w:fldCharType="begin"/>
    </w:r>
    <w:r w:rsidRPr="004356B4">
      <w:rPr>
        <w:b/>
        <w:sz w:val="18"/>
      </w:rPr>
      <w:instrText xml:space="preserve"> PAGE  \* MERGEFORMAT </w:instrText>
    </w:r>
    <w:r w:rsidRPr="004356B4">
      <w:rPr>
        <w:b/>
        <w:sz w:val="18"/>
      </w:rPr>
      <w:fldChar w:fldCharType="separate"/>
    </w:r>
    <w:r w:rsidR="0038271F">
      <w:rPr>
        <w:b/>
        <w:noProof/>
        <w:sz w:val="18"/>
      </w:rPr>
      <w:t>7</w:t>
    </w:r>
    <w:r w:rsidRPr="004356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356B4" w:rsidRDefault="004356B4" w:rsidP="004356B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18360  (</w:t>
    </w:r>
    <w:proofErr w:type="gramEnd"/>
    <w:r>
      <w:t>R)</w:t>
    </w:r>
    <w:r w:rsidR="007B06BB">
      <w:t xml:space="preserve">  261118  261118</w:t>
    </w:r>
    <w:r>
      <w:br/>
    </w:r>
    <w:r w:rsidRPr="004356B4">
      <w:rPr>
        <w:rFonts w:ascii="C39T30Lfz" w:hAnsi="C39T30Lfz"/>
        <w:kern w:val="14"/>
        <w:sz w:val="56"/>
      </w:rPr>
      <w:t></w:t>
    </w:r>
    <w:r w:rsidRPr="004356B4">
      <w:rPr>
        <w:rFonts w:ascii="C39T30Lfz" w:hAnsi="C39T30Lfz"/>
        <w:kern w:val="14"/>
        <w:sz w:val="56"/>
      </w:rPr>
      <w:t></w:t>
    </w:r>
    <w:r w:rsidRPr="004356B4">
      <w:rPr>
        <w:rFonts w:ascii="C39T30Lfz" w:hAnsi="C39T30Lfz"/>
        <w:kern w:val="14"/>
        <w:sz w:val="56"/>
      </w:rPr>
      <w:t></w:t>
    </w:r>
    <w:r w:rsidRPr="004356B4">
      <w:rPr>
        <w:rFonts w:ascii="C39T30Lfz" w:hAnsi="C39T30Lfz"/>
        <w:kern w:val="14"/>
        <w:sz w:val="56"/>
      </w:rPr>
      <w:t></w:t>
    </w:r>
    <w:r w:rsidRPr="004356B4">
      <w:rPr>
        <w:rFonts w:ascii="C39T30Lfz" w:hAnsi="C39T30Lfz"/>
        <w:kern w:val="14"/>
        <w:sz w:val="56"/>
      </w:rPr>
      <w:t></w:t>
    </w:r>
    <w:r w:rsidRPr="004356B4">
      <w:rPr>
        <w:rFonts w:ascii="C39T30Lfz" w:hAnsi="C39T30Lfz"/>
        <w:kern w:val="14"/>
        <w:sz w:val="56"/>
      </w:rPr>
      <w:t></w:t>
    </w:r>
    <w:r w:rsidRPr="004356B4">
      <w:rPr>
        <w:rFonts w:ascii="C39T30Lfz" w:hAnsi="C39T30Lfz"/>
        <w:kern w:val="14"/>
        <w:sz w:val="56"/>
      </w:rPr>
      <w:t></w:t>
    </w:r>
    <w:r w:rsidRPr="004356B4">
      <w:rPr>
        <w:rFonts w:ascii="C39T30Lfz" w:hAnsi="C39T30Lfz"/>
        <w:kern w:val="14"/>
        <w:sz w:val="56"/>
      </w:rPr>
      <w:t></w:t>
    </w:r>
    <w:r w:rsidRPr="004356B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NER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NER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2F" w:rsidRPr="001075E9" w:rsidRDefault="00304E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4E2F" w:rsidRDefault="00304E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56B4" w:rsidRPr="009D5189" w:rsidRDefault="004356B4" w:rsidP="004356B4">
      <w:pPr>
        <w:pStyle w:val="ad"/>
      </w:pPr>
      <w:r>
        <w:tab/>
      </w:r>
      <w:r w:rsidRPr="007B06BB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десятой сессии (24–27 сентября 2018 года).</w:t>
      </w:r>
    </w:p>
  </w:footnote>
  <w:footnote w:id="2">
    <w:p w:rsidR="004356B4" w:rsidRPr="009D5189" w:rsidRDefault="004356B4" w:rsidP="004356B4">
      <w:pPr>
        <w:pStyle w:val="ad"/>
      </w:pPr>
      <w:r>
        <w:tab/>
      </w:r>
      <w:r w:rsidRPr="002F75AF">
        <w:rPr>
          <w:rStyle w:val="aa"/>
        </w:rPr>
        <w:footnoteRef/>
      </w:r>
      <w:r>
        <w:tab/>
        <w:t>Если не указано иное, все ссылки на пункты относятся к первоначальному докладу государства-участника (CRPD/C/NER/1).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B4" w:rsidRPr="004356B4" w:rsidRDefault="004356B4">
    <w:pPr>
      <w:pStyle w:val="a5"/>
    </w:pPr>
    <w:fldSimple w:instr=" TITLE  \* MERGEFORMAT ">
      <w:r w:rsidR="0038271F">
        <w:t>CRPD/C/NER/Q/1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B4" w:rsidRPr="004356B4" w:rsidRDefault="004356B4" w:rsidP="004356B4">
    <w:pPr>
      <w:pStyle w:val="a5"/>
      <w:jc w:val="right"/>
    </w:pPr>
    <w:fldSimple w:instr=" TITLE  \* MERGEFORMAT ">
      <w:r w:rsidR="0038271F">
        <w:t>CRPD/C/NER/Q/1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F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97B6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4E2F"/>
    <w:rsid w:val="00305C08"/>
    <w:rsid w:val="00307FB6"/>
    <w:rsid w:val="00317339"/>
    <w:rsid w:val="00322004"/>
    <w:rsid w:val="003349E4"/>
    <w:rsid w:val="003402C2"/>
    <w:rsid w:val="00381C24"/>
    <w:rsid w:val="0038271F"/>
    <w:rsid w:val="003958D0"/>
    <w:rsid w:val="003A255A"/>
    <w:rsid w:val="003B00E5"/>
    <w:rsid w:val="00406C90"/>
    <w:rsid w:val="00407B78"/>
    <w:rsid w:val="00424203"/>
    <w:rsid w:val="004356B4"/>
    <w:rsid w:val="00452493"/>
    <w:rsid w:val="00453318"/>
    <w:rsid w:val="00454E07"/>
    <w:rsid w:val="00472C5C"/>
    <w:rsid w:val="004D2244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B06BB"/>
    <w:rsid w:val="007C3F50"/>
    <w:rsid w:val="00806737"/>
    <w:rsid w:val="00825F8D"/>
    <w:rsid w:val="00833758"/>
    <w:rsid w:val="00834B71"/>
    <w:rsid w:val="00863F5C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E9156"/>
  <w15:docId w15:val="{41926467-21AF-48B5-8D12-B1CCD2B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4356B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2916-0DD5-428C-B504-03070B62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2544</Words>
  <Characters>17136</Characters>
  <Application>Microsoft Office Word</Application>
  <DocSecurity>0</DocSecurity>
  <Lines>322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CRPD/C/NER/Q/1</vt:lpstr>
      <vt:lpstr>A/</vt:lpstr>
      <vt:lpstr>A/</vt:lpstr>
    </vt:vector>
  </TitlesOfParts>
  <Company>DCM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CRPD/C/NER/Q/1</dc:title>
  <dc:subject/>
  <dc:creator>Svetlana PROKOUDINA</dc:creator>
  <cp:keywords/>
  <cp:lastModifiedBy>Svetlana Prokoudina</cp:lastModifiedBy>
  <cp:revision>3</cp:revision>
  <cp:lastPrinted>2018-11-26T08:00:00Z</cp:lastPrinted>
  <dcterms:created xsi:type="dcterms:W3CDTF">2018-11-26T08:00:00Z</dcterms:created>
  <dcterms:modified xsi:type="dcterms:W3CDTF">2018-11-26T08:01:00Z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