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9E76BBE" w14:textId="77777777" w:rsidTr="00F8174B">
        <w:trPr>
          <w:trHeight w:hRule="exact" w:val="851"/>
        </w:trPr>
        <w:tc>
          <w:tcPr>
            <w:tcW w:w="1280" w:type="dxa"/>
            <w:tcBorders>
              <w:bottom w:val="single" w:sz="4" w:space="0" w:color="auto"/>
            </w:tcBorders>
          </w:tcPr>
          <w:p w14:paraId="3113D315" w14:textId="77777777" w:rsidR="002D5AAC" w:rsidRPr="003067C5" w:rsidRDefault="002D5AAC" w:rsidP="006824F6">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14:paraId="60959C6D"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69EEC98" w14:textId="35265753" w:rsidR="002D5AAC" w:rsidRDefault="006824F6" w:rsidP="006824F6">
            <w:pPr>
              <w:jc w:val="right"/>
            </w:pPr>
            <w:r w:rsidRPr="006824F6">
              <w:rPr>
                <w:sz w:val="40"/>
              </w:rPr>
              <w:t>CAT</w:t>
            </w:r>
            <w:r>
              <w:t>/C/THA/2</w:t>
            </w:r>
          </w:p>
        </w:tc>
      </w:tr>
      <w:tr w:rsidR="002D5AAC" w14:paraId="3DBA090D" w14:textId="77777777" w:rsidTr="00F8174B">
        <w:trPr>
          <w:trHeight w:hRule="exact" w:val="2835"/>
        </w:trPr>
        <w:tc>
          <w:tcPr>
            <w:tcW w:w="1280" w:type="dxa"/>
            <w:tcBorders>
              <w:top w:val="single" w:sz="4" w:space="0" w:color="auto"/>
              <w:bottom w:val="single" w:sz="12" w:space="0" w:color="auto"/>
            </w:tcBorders>
          </w:tcPr>
          <w:p w14:paraId="3E1D40C6" w14:textId="77777777" w:rsidR="002D5AAC" w:rsidRDefault="00FD6905" w:rsidP="00462E81">
            <w:pPr>
              <w:spacing w:before="120"/>
              <w:jc w:val="center"/>
            </w:pPr>
            <w:r>
              <w:rPr>
                <w:noProof/>
              </w:rPr>
              <w:drawing>
                <wp:inline distT="0" distB="0" distL="0" distR="0" wp14:anchorId="756057CF" wp14:editId="0C1591C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34AC360"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0C792AFB" w14:textId="77777777" w:rsidR="002D5AAC" w:rsidRDefault="006824F6" w:rsidP="00462E81">
            <w:pPr>
              <w:spacing w:before="240"/>
            </w:pPr>
            <w:r>
              <w:t>Distr. general</w:t>
            </w:r>
          </w:p>
          <w:p w14:paraId="5C58992F" w14:textId="77777777" w:rsidR="006824F6" w:rsidRDefault="006824F6" w:rsidP="006824F6">
            <w:pPr>
              <w:spacing w:line="240" w:lineRule="exact"/>
            </w:pPr>
            <w:r>
              <w:t>21 de diciembre de 2021</w:t>
            </w:r>
          </w:p>
          <w:p w14:paraId="39481DAF" w14:textId="77777777" w:rsidR="006824F6" w:rsidRDefault="006824F6" w:rsidP="006824F6">
            <w:pPr>
              <w:spacing w:line="240" w:lineRule="exact"/>
            </w:pPr>
            <w:r>
              <w:t>Español</w:t>
            </w:r>
          </w:p>
          <w:p w14:paraId="53CD2723" w14:textId="77777777" w:rsidR="006824F6" w:rsidRDefault="006824F6" w:rsidP="006824F6">
            <w:pPr>
              <w:spacing w:line="240" w:lineRule="exact"/>
            </w:pPr>
            <w:r>
              <w:t>Original: inglés</w:t>
            </w:r>
          </w:p>
          <w:p w14:paraId="6635EC60" w14:textId="741C6A1D" w:rsidR="006824F6" w:rsidRDefault="006824F6" w:rsidP="006824F6">
            <w:pPr>
              <w:spacing w:line="240" w:lineRule="exact"/>
            </w:pPr>
            <w:r>
              <w:t>Español, francés e inglés únicamente</w:t>
            </w:r>
          </w:p>
        </w:tc>
      </w:tr>
    </w:tbl>
    <w:p w14:paraId="68C5F13F" w14:textId="77777777" w:rsidR="00F8174B" w:rsidRPr="00062B95" w:rsidRDefault="00F8174B" w:rsidP="00062B95">
      <w:pPr>
        <w:spacing w:before="120"/>
        <w:rPr>
          <w:b/>
          <w:bCs/>
          <w:sz w:val="24"/>
          <w:szCs w:val="24"/>
          <w:lang w:val="es-ES_tradnl"/>
        </w:rPr>
      </w:pPr>
      <w:r w:rsidRPr="00062B95">
        <w:rPr>
          <w:b/>
          <w:bCs/>
          <w:sz w:val="24"/>
          <w:szCs w:val="24"/>
          <w:lang w:val="es-ES_tradnl"/>
        </w:rPr>
        <w:t>Comité contra la Tortura</w:t>
      </w:r>
    </w:p>
    <w:p w14:paraId="0CC4EE6F" w14:textId="1CD154D0" w:rsidR="00F8174B" w:rsidRPr="00F8174B" w:rsidRDefault="00062B95" w:rsidP="00062B95">
      <w:pPr>
        <w:pStyle w:val="HMG"/>
        <w:rPr>
          <w:lang w:val="es-ES_tradnl"/>
        </w:rPr>
      </w:pPr>
      <w:r>
        <w:rPr>
          <w:lang w:val="es-ES_tradnl"/>
        </w:rPr>
        <w:tab/>
      </w:r>
      <w:r w:rsidR="00F8174B" w:rsidRPr="00F8174B">
        <w:rPr>
          <w:lang w:val="es-ES_tradnl"/>
        </w:rPr>
        <w:tab/>
        <w:t>Segundo informe periódico que Tailandia debía</w:t>
      </w:r>
      <w:r>
        <w:rPr>
          <w:lang w:val="es-ES_tradnl"/>
        </w:rPr>
        <w:t> </w:t>
      </w:r>
      <w:r w:rsidR="00F8174B" w:rsidRPr="00F8174B">
        <w:rPr>
          <w:lang w:val="es-ES_tradnl"/>
        </w:rPr>
        <w:t>presentar en 2018 en virtud del artículo 19 de la Convención con arreglo al procedimiento simplificado de presentación de informes</w:t>
      </w:r>
      <w:r w:rsidRPr="00062B95">
        <w:rPr>
          <w:rStyle w:val="Refdenotaalpie"/>
          <w:b w:val="0"/>
          <w:bCs/>
          <w:sz w:val="20"/>
          <w:vertAlign w:val="baseline"/>
          <w:lang w:val="es-ES_tradnl"/>
        </w:rPr>
        <w:footnoteReference w:customMarkFollows="1" w:id="1"/>
        <w:t>*</w:t>
      </w:r>
    </w:p>
    <w:p w14:paraId="79FBC50E" w14:textId="77777777" w:rsidR="00F8174B" w:rsidRPr="00F8174B" w:rsidRDefault="00F8174B" w:rsidP="00062B95">
      <w:pPr>
        <w:pStyle w:val="SingleTxtG"/>
        <w:jc w:val="right"/>
        <w:rPr>
          <w:lang w:val="es-ES_tradnl"/>
        </w:rPr>
      </w:pPr>
      <w:r w:rsidRPr="00F8174B">
        <w:rPr>
          <w:lang w:val="es-ES_tradnl"/>
        </w:rPr>
        <w:t>[Fecha de recepción: 4 de enero de 2021]</w:t>
      </w:r>
    </w:p>
    <w:p w14:paraId="4AC394C9" w14:textId="77777777" w:rsidR="00F8174B" w:rsidRPr="00F8174B" w:rsidRDefault="00F8174B" w:rsidP="00062B95">
      <w:pPr>
        <w:pStyle w:val="HChG"/>
        <w:rPr>
          <w:lang w:val="es-ES_tradnl"/>
        </w:rPr>
      </w:pPr>
      <w:r w:rsidRPr="00F8174B">
        <w:rPr>
          <w:lang w:val="es-ES_tradnl"/>
        </w:rPr>
        <w:br w:type="page"/>
      </w:r>
      <w:r w:rsidRPr="00F8174B">
        <w:rPr>
          <w:lang w:val="es-ES_tradnl"/>
        </w:rPr>
        <w:lastRenderedPageBreak/>
        <w:tab/>
      </w:r>
      <w:r w:rsidRPr="00F8174B">
        <w:rPr>
          <w:lang w:val="es-ES_tradnl"/>
        </w:rPr>
        <w:tab/>
        <w:t>Introducción</w:t>
      </w:r>
    </w:p>
    <w:p w14:paraId="4C2FAFAC" w14:textId="77777777" w:rsidR="00F8174B" w:rsidRPr="00F8174B" w:rsidRDefault="00F8174B" w:rsidP="00F8174B">
      <w:pPr>
        <w:pStyle w:val="SingleTxtG"/>
        <w:rPr>
          <w:lang w:val="es-ES_tradnl"/>
        </w:rPr>
      </w:pPr>
      <w:r w:rsidRPr="00F8174B">
        <w:rPr>
          <w:lang w:val="es-ES_tradnl"/>
        </w:rPr>
        <w:t>1.</w:t>
      </w:r>
      <w:r w:rsidRPr="00F8174B">
        <w:rPr>
          <w:lang w:val="es-ES_tradnl"/>
        </w:rPr>
        <w:tab/>
        <w:t>El presente informe se ha elaborado sobre la base de la lista de cuestiones (CAT/C/THA/QPR/2) preparada por el Comité contra la Tortura con arreglo al procedimiento facultativo de presentación de informes.</w:t>
      </w:r>
    </w:p>
    <w:p w14:paraId="5C732C5B" w14:textId="77777777" w:rsidR="00F8174B" w:rsidRPr="00F8174B" w:rsidRDefault="00F8174B" w:rsidP="00F8174B">
      <w:pPr>
        <w:pStyle w:val="SingleTxtG"/>
        <w:rPr>
          <w:b/>
          <w:bCs/>
          <w:lang w:val="es-ES_tradnl"/>
        </w:rPr>
      </w:pPr>
      <w:r w:rsidRPr="00F8174B">
        <w:rPr>
          <w:bCs/>
          <w:lang w:val="es-ES_tradnl"/>
        </w:rPr>
        <w:t>2.</w:t>
      </w:r>
      <w:r w:rsidRPr="00F8174B">
        <w:rPr>
          <w:bCs/>
          <w:lang w:val="es-ES_tradnl"/>
        </w:rPr>
        <w:tab/>
      </w:r>
      <w:r w:rsidRPr="00F8174B">
        <w:rPr>
          <w:lang w:val="es-ES_tradnl"/>
        </w:rPr>
        <w:t>Para la elaboración del informe, el Real Gobierno de Tailandia se puso en contacto con los organismos gubernamentales competentes, organizaciones de la sociedad civil y expertos en derechos humanos. No solo se recopiló información a partir de los documentos presentados por los diversos organismos y organizaciones, sino también sobre la base de las reuniones y entrevistas que se mantuvieron con las personas concernidas en todo el país. A menos que se indique lo contrario, la información que figura en este informe se refiere a la aplicación de la Convención entre mayo de 2014 y mayo de 2020.</w:t>
      </w:r>
    </w:p>
    <w:p w14:paraId="497974DA" w14:textId="63A582AB" w:rsidR="00F8174B" w:rsidRPr="00F8174B" w:rsidRDefault="00F8174B" w:rsidP="00B6769A">
      <w:pPr>
        <w:pStyle w:val="H1G"/>
        <w:rPr>
          <w:lang w:val="es-ES_tradnl"/>
        </w:rPr>
      </w:pPr>
      <w:r w:rsidRPr="00F8174B">
        <w:rPr>
          <w:lang w:val="es-ES_tradnl"/>
        </w:rPr>
        <w:tab/>
      </w:r>
      <w:r w:rsidR="00062B95">
        <w:rPr>
          <w:lang w:val="es-ES_tradnl"/>
        </w:rPr>
        <w:tab/>
      </w:r>
      <w:r w:rsidRPr="00F8174B">
        <w:rPr>
          <w:lang w:val="es-ES_tradnl"/>
        </w:rPr>
        <w:t>Cuestiones de seguimiento del anterior ciclo de presentación de</w:t>
      </w:r>
      <w:r w:rsidR="00B6769A">
        <w:rPr>
          <w:lang w:val="es-ES_tradnl"/>
        </w:rPr>
        <w:t> </w:t>
      </w:r>
      <w:r w:rsidRPr="00F8174B">
        <w:rPr>
          <w:lang w:val="es-ES_tradnl"/>
        </w:rPr>
        <w:t>informes</w:t>
      </w:r>
    </w:p>
    <w:p w14:paraId="5384A836" w14:textId="77777777" w:rsidR="00F8174B" w:rsidRPr="00F8174B" w:rsidRDefault="00F8174B" w:rsidP="00F8174B">
      <w:pPr>
        <w:pStyle w:val="SingleTxtG"/>
        <w:rPr>
          <w:lang w:val="es-ES_tradnl"/>
        </w:rPr>
      </w:pPr>
      <w:r w:rsidRPr="00F8174B">
        <w:rPr>
          <w:lang w:val="es-ES_tradnl"/>
        </w:rPr>
        <w:t>3.</w:t>
      </w:r>
      <w:r w:rsidRPr="00F8174B">
        <w:rPr>
          <w:lang w:val="es-ES_tradnl"/>
        </w:rPr>
        <w:tab/>
        <w:t xml:space="preserve">Véanse </w:t>
      </w:r>
      <w:r w:rsidRPr="00F8174B">
        <w:rPr>
          <w:i/>
          <w:iCs/>
          <w:lang w:val="es-ES_tradnl"/>
        </w:rPr>
        <w:t>infra</w:t>
      </w:r>
      <w:r w:rsidRPr="00F8174B">
        <w:rPr>
          <w:lang w:val="es-ES_tradnl"/>
        </w:rPr>
        <w:t xml:space="preserve"> las respuestas relativas a las cuestiones planteadas en los párrafos </w:t>
      </w:r>
      <w:r w:rsidRPr="00F8174B">
        <w:rPr>
          <w:cs/>
          <w:lang w:bidi="th-TH"/>
        </w:rPr>
        <w:t xml:space="preserve">3, 4, 5 </w:t>
      </w:r>
      <w:r w:rsidRPr="00F8174B">
        <w:rPr>
          <w:lang w:val="es-ES_tradnl"/>
        </w:rPr>
        <w:t>y 28 de la lista de cuestiones previa a la presentación de informes.</w:t>
      </w:r>
    </w:p>
    <w:p w14:paraId="2335F15E" w14:textId="6FA9D0AC" w:rsidR="00F8174B" w:rsidRPr="00F8174B" w:rsidRDefault="00062B95" w:rsidP="00062B95">
      <w:pPr>
        <w:pStyle w:val="HChG"/>
        <w:rPr>
          <w:lang w:val="es-ES_tradnl"/>
        </w:rPr>
      </w:pPr>
      <w:r>
        <w:rPr>
          <w:lang w:val="es-ES_tradnl"/>
        </w:rPr>
        <w:tab/>
      </w:r>
      <w:r w:rsidR="00F8174B" w:rsidRPr="00F8174B">
        <w:rPr>
          <w:lang w:val="es-ES_tradnl"/>
        </w:rPr>
        <w:tab/>
        <w:t>Artículos 1 y 4</w:t>
      </w:r>
    </w:p>
    <w:p w14:paraId="67795D24" w14:textId="6BA8BF22" w:rsidR="00F8174B" w:rsidRPr="00F8174B" w:rsidRDefault="00062B95" w:rsidP="00062B95">
      <w:pPr>
        <w:pStyle w:val="H1G"/>
        <w:rPr>
          <w:bCs/>
          <w:cs/>
          <w:lang w:bidi="th-TH"/>
        </w:rPr>
      </w:pPr>
      <w:r>
        <w:rPr>
          <w:lang w:val="es-ES_tradnl"/>
        </w:rPr>
        <w:tab/>
      </w:r>
      <w:r w:rsidR="00F8174B" w:rsidRPr="00F8174B">
        <w:rPr>
          <w:lang w:val="es-ES_tradnl"/>
        </w:rPr>
        <w:tab/>
        <w:t>Respuesta a las cuestiones planteadas en el párrafo 2 de la lista de</w:t>
      </w:r>
      <w:r>
        <w:rPr>
          <w:lang w:val="es-ES_tradnl"/>
        </w:rPr>
        <w:t> </w:t>
      </w:r>
      <w:r w:rsidR="00F8174B" w:rsidRPr="00F8174B">
        <w:rPr>
          <w:lang w:val="es-ES_tradnl"/>
        </w:rPr>
        <w:t>cuestiones (CAT/C/THA/QPR/2)</w:t>
      </w:r>
    </w:p>
    <w:p w14:paraId="35F71E8C" w14:textId="0FFCA3C8" w:rsidR="00F8174B" w:rsidRPr="00763251" w:rsidRDefault="00F8174B" w:rsidP="00F8174B">
      <w:pPr>
        <w:pStyle w:val="SingleTxtG"/>
        <w:rPr>
          <w:rFonts w:cs="Cordia New"/>
          <w:lang w:val="es-ES_tradnl"/>
        </w:rPr>
      </w:pPr>
      <w:r w:rsidRPr="00F8174B">
        <w:rPr>
          <w:lang w:val="es-ES_tradnl"/>
        </w:rPr>
        <w:t>4.</w:t>
      </w:r>
      <w:r w:rsidRPr="00F8174B">
        <w:rPr>
          <w:lang w:val="es-ES_tradnl"/>
        </w:rPr>
        <w:tab/>
        <w:t>Tailandia ha demostrado un compromiso político constante al más alto nivel con la promoción y protección de los derechos humanos, incluida la lucha contra la tortura, como ha quedado patente en varias ocasiones. Durante la presentación de la Agenda Nacional de Derechos Humanos para 2018-2019, que tuvo lugar el 12 de febrero de 2018, el Primer Ministro puso de relieve la importancia de las medidas de prevención y sensibilización, así como de la existencia de una legislación que prohíba la tortura, para apoyar la aplicación de la Convención</w:t>
      </w:r>
      <w:r w:rsidRPr="00F8174B">
        <w:rPr>
          <w:cs/>
          <w:lang w:bidi="th-TH"/>
        </w:rPr>
        <w:t>.</w:t>
      </w:r>
    </w:p>
    <w:p w14:paraId="645BACFC" w14:textId="7EF293D4" w:rsidR="00F8174B" w:rsidRPr="00F8174B" w:rsidRDefault="00F8174B" w:rsidP="00F8174B">
      <w:pPr>
        <w:pStyle w:val="SingleTxtG"/>
        <w:rPr>
          <w:lang w:val="es-ES_tradnl"/>
        </w:rPr>
      </w:pPr>
      <w:r w:rsidRPr="00F8174B">
        <w:rPr>
          <w:lang w:val="es-ES_tradnl"/>
        </w:rPr>
        <w:t>5.</w:t>
      </w:r>
      <w:r w:rsidRPr="00F8174B">
        <w:rPr>
          <w:lang w:val="es-ES_tradnl"/>
        </w:rPr>
        <w:tab/>
        <w:t>La legislación tailandesa prohíbe absolutamente la tortura y la desaparición forzada. Ninguna ley permite o justifica la comisión de actos de tortura o de desaparición forzada. En referencia al párrafo 36 del informe inicial</w:t>
      </w:r>
      <w:r w:rsidRPr="00763251">
        <w:rPr>
          <w:sz w:val="18"/>
          <w:szCs w:val="18"/>
          <w:vertAlign w:val="superscript"/>
          <w:lang w:val="es-ES_tradnl"/>
        </w:rPr>
        <w:footnoteReference w:id="2"/>
      </w:r>
      <w:r w:rsidRPr="00F8174B">
        <w:rPr>
          <w:lang w:val="es-ES_tradnl"/>
        </w:rPr>
        <w:t>, cabe señalar que toda persona que cometa un acto de tortura o de desaparición forzada será sancionada penalmente. En el párrafo 17 se enumeran los casos relativos a funcionarios del Estado condenados y sentenciados por un tribunal por haber cometido actos de tortura durante el período que abarca el informe. Cabe señalar también que el autor de los hechos asume la responsabilidad civil con respecto a la víctima y podrá, en su caso, ser pasible de sanciones o medidas disciplinarias. En el párrafo</w:t>
      </w:r>
      <w:r w:rsidR="00763251">
        <w:rPr>
          <w:lang w:val="es-ES_tradnl"/>
        </w:rPr>
        <w:t> </w:t>
      </w:r>
      <w:r w:rsidRPr="00F8174B">
        <w:rPr>
          <w:lang w:val="es-ES_tradnl"/>
        </w:rPr>
        <w:t>18 se ofrece más información al respecto. Por otro lado, la Constitución de 2017 introduce una medida innovadora. En virtud del artículo 25, párrafo 3, se garantiza que toda persona cuyos derechos estén consagrados en la Constitución, incluido el derecho a no ser sometida a torturas</w:t>
      </w:r>
      <w:r w:rsidRPr="00763251">
        <w:rPr>
          <w:sz w:val="18"/>
          <w:szCs w:val="18"/>
          <w:vertAlign w:val="superscript"/>
          <w:lang w:val="es-ES_tradnl"/>
        </w:rPr>
        <w:footnoteReference w:id="3"/>
      </w:r>
      <w:r w:rsidRPr="00F8174B">
        <w:rPr>
          <w:lang w:val="es-ES_tradnl"/>
        </w:rPr>
        <w:t>, puede invocar directamente las disposiciones de la Constitución para ejercer su derecho a interponer una demanda o a defenderse ante los tribunales, si se violan esos derechos, aun cuando no exista una ley específica al respecto.</w:t>
      </w:r>
    </w:p>
    <w:p w14:paraId="2C082E5E" w14:textId="6C5012A9" w:rsidR="00F8174B" w:rsidRPr="00F8174B" w:rsidRDefault="00F8174B" w:rsidP="00F8174B">
      <w:pPr>
        <w:pStyle w:val="SingleTxtG"/>
        <w:rPr>
          <w:lang w:val="es-ES_tradnl"/>
        </w:rPr>
      </w:pPr>
      <w:r w:rsidRPr="00F8174B">
        <w:rPr>
          <w:lang w:val="es-ES_tradnl"/>
        </w:rPr>
        <w:t>6.</w:t>
      </w:r>
      <w:r w:rsidRPr="00F8174B">
        <w:rPr>
          <w:lang w:val="es-ES_tradnl"/>
        </w:rPr>
        <w:tab/>
        <w:t xml:space="preserve">El Gobierno se ha comprometido a promulgar una ley que defina y tipifique como delito la </w:t>
      </w:r>
      <w:r w:rsidR="006F6842">
        <w:rPr>
          <w:lang w:val="es-ES_tradnl"/>
        </w:rPr>
        <w:t>“</w:t>
      </w:r>
      <w:r w:rsidRPr="00F8174B">
        <w:rPr>
          <w:lang w:val="es-ES_tradnl"/>
        </w:rPr>
        <w:t>tortura</w:t>
      </w:r>
      <w:r w:rsidR="006F6842">
        <w:rPr>
          <w:lang w:val="es-ES_tradnl"/>
        </w:rPr>
        <w:t>”</w:t>
      </w:r>
      <w:r w:rsidRPr="00F8174B">
        <w:rPr>
          <w:lang w:val="es-ES_tradnl"/>
        </w:rPr>
        <w:t xml:space="preserve"> y la </w:t>
      </w:r>
      <w:r w:rsidR="006F6842">
        <w:rPr>
          <w:lang w:val="es-ES_tradnl"/>
        </w:rPr>
        <w:t>“</w:t>
      </w:r>
      <w:r w:rsidRPr="00F8174B">
        <w:rPr>
          <w:lang w:val="es-ES_tradnl"/>
        </w:rPr>
        <w:t>desaparición forzada</w:t>
      </w:r>
      <w:r w:rsidR="006F6842">
        <w:rPr>
          <w:lang w:val="es-ES_tradnl"/>
        </w:rPr>
        <w:t>”</w:t>
      </w:r>
      <w:r w:rsidRPr="00F8174B">
        <w:rPr>
          <w:lang w:val="es-ES_tradnl"/>
        </w:rPr>
        <w:t xml:space="preserve"> en el ordenamiento jurídico interno, de conformidad con la Convención contra la Tortura y Otros Tratos o Penas Crueles, Inhumanos o Degradantes y la Convención Internacional para la Protección de Todas las Personas contra las Desapariciones Forzadas. El Ministerio de Justicia elaboró el proyecto de ley de prevención y represión de la tortura y las desapariciones forzadas, que fue aprobado por el Consejo de Ministros el 27 de diciembre de 2016. El 4 de marzo de 2019, la Comisión </w:t>
      </w:r>
      <w:r w:rsidRPr="00F8174B">
        <w:rPr>
          <w:lang w:val="es-ES_tradnl"/>
        </w:rPr>
        <w:lastRenderedPageBreak/>
        <w:t>Especial del Parlamento aprobó el proyecto de ley para que fuera examinado y ultimado por la Asamblea Legislativa Nacional. Sin embargo, todos los procedimientos legislativos quedaron suspendidos el 15 de marzo de 2019 debido a la celebración de las elecciones generales del 24 de marzo de 2019, debiéndose reanudar en la fecha que determinara el nuevo Gobierno. El 23 de abril de 2020, el proyecto de ley se volvió a presentar al nuevo Gobierno para su examen.</w:t>
      </w:r>
    </w:p>
    <w:p w14:paraId="50E7986D" w14:textId="77777777" w:rsidR="00F8174B" w:rsidRPr="00F8174B" w:rsidRDefault="00F8174B" w:rsidP="00F8174B">
      <w:pPr>
        <w:pStyle w:val="SingleTxtG"/>
        <w:rPr>
          <w:lang w:val="es-ES_tradnl"/>
        </w:rPr>
      </w:pPr>
      <w:r w:rsidRPr="00F8174B">
        <w:rPr>
          <w:lang w:val="es-ES_tradnl"/>
        </w:rPr>
        <w:t>7.</w:t>
      </w:r>
      <w:r w:rsidRPr="00F8174B">
        <w:rPr>
          <w:lang w:val="es-ES_tradnl"/>
        </w:rPr>
        <w:tab/>
        <w:t>El proyecto de ley, en la versión resultante tras el examen de la Comisión Especial del Parlamento, dispone, entre otras cosas, lo siguiente:</w:t>
      </w:r>
    </w:p>
    <w:p w14:paraId="5FCF63FD" w14:textId="688F7186" w:rsidR="00F8174B" w:rsidRPr="00F8174B" w:rsidRDefault="00F8174B" w:rsidP="00F8174B">
      <w:pPr>
        <w:pStyle w:val="SingleTxtG"/>
        <w:rPr>
          <w:lang w:val="es-ES_tradnl"/>
        </w:rPr>
      </w:pPr>
      <w:r w:rsidRPr="00F8174B">
        <w:rPr>
          <w:lang w:val="es-ES_tradnl"/>
        </w:rPr>
        <w:tab/>
        <w:t>a)</w:t>
      </w:r>
      <w:r w:rsidRPr="00F8174B">
        <w:rPr>
          <w:lang w:val="es-ES_tradnl"/>
        </w:rPr>
        <w:tab/>
        <w:t xml:space="preserve">La tortura se define como </w:t>
      </w:r>
      <w:r w:rsidR="006F6842">
        <w:rPr>
          <w:lang w:val="es-ES_tradnl"/>
        </w:rPr>
        <w:t>“</w:t>
      </w:r>
      <w:r w:rsidRPr="00F8174B">
        <w:rPr>
          <w:lang w:val="es-ES_tradnl"/>
        </w:rPr>
        <w:t>todo acto por el cual se inflija a una persona dolores o sufrimientos graves, ya sean físicos o mentales</w:t>
      </w:r>
      <w:r w:rsidR="006F6842">
        <w:rPr>
          <w:lang w:val="es-ES_tradnl"/>
        </w:rPr>
        <w:t>”</w:t>
      </w:r>
      <w:r w:rsidRPr="00F8174B">
        <w:rPr>
          <w:lang w:val="es-ES_tradnl"/>
        </w:rPr>
        <w:t xml:space="preserve"> con alguno de los fines siguientes:</w:t>
      </w:r>
    </w:p>
    <w:p w14:paraId="323BCB4F" w14:textId="14164545" w:rsidR="00F8174B" w:rsidRPr="00F8174B" w:rsidRDefault="00F8174B" w:rsidP="00062B95">
      <w:pPr>
        <w:pStyle w:val="SingleTxtG"/>
        <w:ind w:left="1701"/>
        <w:rPr>
          <w:lang w:val="es-ES_tradnl"/>
        </w:rPr>
      </w:pPr>
      <w:r w:rsidRPr="00F8174B">
        <w:rPr>
          <w:lang w:val="es-ES_tradnl"/>
        </w:rPr>
        <w:t>i)</w:t>
      </w:r>
      <w:r w:rsidRPr="00F8174B">
        <w:rPr>
          <w:lang w:val="es-ES_tradnl"/>
        </w:rPr>
        <w:tab/>
      </w:r>
      <w:r w:rsidR="00812033" w:rsidRPr="00F8174B">
        <w:rPr>
          <w:lang w:val="es-ES_tradnl"/>
        </w:rPr>
        <w:t xml:space="preserve">Obtener </w:t>
      </w:r>
      <w:r w:rsidRPr="00F8174B">
        <w:rPr>
          <w:lang w:val="es-ES_tradnl"/>
        </w:rPr>
        <w:t>de ella o de un tercero información o una confesión; o</w:t>
      </w:r>
    </w:p>
    <w:p w14:paraId="3AF36CD7" w14:textId="111E6183" w:rsidR="00F8174B" w:rsidRPr="00F8174B" w:rsidRDefault="00F8174B" w:rsidP="00062B95">
      <w:pPr>
        <w:pStyle w:val="SingleTxtG"/>
        <w:ind w:left="1701"/>
        <w:rPr>
          <w:lang w:val="es-ES_tradnl"/>
        </w:rPr>
      </w:pPr>
      <w:r w:rsidRPr="00F8174B">
        <w:rPr>
          <w:lang w:val="es-ES_tradnl"/>
        </w:rPr>
        <w:t>ii)</w:t>
      </w:r>
      <w:r w:rsidRPr="00F8174B">
        <w:rPr>
          <w:lang w:val="es-ES_tradnl"/>
        </w:rPr>
        <w:tab/>
      </w:r>
      <w:r w:rsidR="00812033" w:rsidRPr="00F8174B">
        <w:rPr>
          <w:lang w:val="es-ES_tradnl"/>
        </w:rPr>
        <w:t xml:space="preserve">Castigarla </w:t>
      </w:r>
      <w:r w:rsidRPr="00F8174B">
        <w:rPr>
          <w:lang w:val="es-ES_tradnl"/>
        </w:rPr>
        <w:t>por un acto que ella o un tercero hayan cometido, o se sospeche que han cometido; o</w:t>
      </w:r>
    </w:p>
    <w:p w14:paraId="27A35776" w14:textId="36DD4278" w:rsidR="00F8174B" w:rsidRPr="00F8174B" w:rsidRDefault="00F8174B" w:rsidP="00062B95">
      <w:pPr>
        <w:pStyle w:val="SingleTxtG"/>
        <w:ind w:left="1701"/>
        <w:rPr>
          <w:lang w:val="es-ES_tradnl"/>
        </w:rPr>
      </w:pPr>
      <w:r w:rsidRPr="00F8174B">
        <w:rPr>
          <w:lang w:val="es-ES_tradnl"/>
        </w:rPr>
        <w:t>iii)</w:t>
      </w:r>
      <w:r w:rsidRPr="00F8174B">
        <w:rPr>
          <w:lang w:val="es-ES_tradnl"/>
        </w:rPr>
        <w:tab/>
      </w:r>
      <w:r w:rsidR="00812033" w:rsidRPr="00F8174B">
        <w:rPr>
          <w:lang w:val="es-ES_tradnl"/>
        </w:rPr>
        <w:t xml:space="preserve">Intimidar </w:t>
      </w:r>
      <w:r w:rsidRPr="00F8174B">
        <w:rPr>
          <w:lang w:val="es-ES_tradnl"/>
        </w:rPr>
        <w:t>o coaccionar a esa persona o a otras</w:t>
      </w:r>
      <w:r w:rsidRPr="00763251">
        <w:rPr>
          <w:sz w:val="18"/>
          <w:szCs w:val="18"/>
          <w:vertAlign w:val="superscript"/>
          <w:lang w:val="es-ES_tradnl"/>
        </w:rPr>
        <w:footnoteReference w:id="4"/>
      </w:r>
      <w:r w:rsidR="00812033">
        <w:rPr>
          <w:lang w:val="es-ES_tradnl"/>
        </w:rPr>
        <w:t>;</w:t>
      </w:r>
    </w:p>
    <w:p w14:paraId="405F1E29" w14:textId="3222C0DD" w:rsidR="00F8174B" w:rsidRPr="00F8174B" w:rsidRDefault="00F8174B" w:rsidP="00F8174B">
      <w:pPr>
        <w:pStyle w:val="SingleTxtG"/>
        <w:rPr>
          <w:lang w:val="es-ES_tradnl"/>
        </w:rPr>
      </w:pPr>
      <w:r w:rsidRPr="00F8174B">
        <w:rPr>
          <w:lang w:val="es-ES_tradnl"/>
        </w:rPr>
        <w:tab/>
        <w:t>b)</w:t>
      </w:r>
      <w:r w:rsidRPr="00F8174B">
        <w:rPr>
          <w:lang w:val="es-ES_tradnl"/>
        </w:rPr>
        <w:tab/>
        <w:t xml:space="preserve">La desaparición forzada se define como </w:t>
      </w:r>
      <w:r w:rsidR="006F6842">
        <w:rPr>
          <w:lang w:val="es-ES_tradnl"/>
        </w:rPr>
        <w:t>“</w:t>
      </w:r>
      <w:r w:rsidRPr="00F8174B">
        <w:rPr>
          <w:lang w:val="es-ES_tradnl"/>
        </w:rPr>
        <w:t>el arresto, la detención, el secuestro o cualquier otra forma de privación de libertad que sean obra de agentes del Estado, seguida de la negativa a reconocer dicho acto o del ocultamiento de la suerte o el paradero de la persona desaparecida</w:t>
      </w:r>
      <w:r w:rsidR="006F6842">
        <w:rPr>
          <w:lang w:val="es-ES_tradnl"/>
        </w:rPr>
        <w:t>”</w:t>
      </w:r>
      <w:r w:rsidRPr="00763251">
        <w:rPr>
          <w:sz w:val="18"/>
          <w:szCs w:val="18"/>
          <w:vertAlign w:val="superscript"/>
          <w:lang w:val="es-ES_tradnl"/>
        </w:rPr>
        <w:footnoteReference w:id="5"/>
      </w:r>
      <w:r w:rsidR="00812033">
        <w:rPr>
          <w:lang w:val="es-ES_tradnl"/>
        </w:rPr>
        <w:t>;</w:t>
      </w:r>
    </w:p>
    <w:p w14:paraId="1C14F200" w14:textId="77777777" w:rsidR="00F8174B" w:rsidRPr="00F8174B" w:rsidRDefault="00F8174B" w:rsidP="00F8174B">
      <w:pPr>
        <w:pStyle w:val="SingleTxtG"/>
        <w:rPr>
          <w:lang w:val="es-ES_tradnl"/>
        </w:rPr>
      </w:pPr>
      <w:r w:rsidRPr="00F8174B">
        <w:rPr>
          <w:lang w:val="es-ES_tradnl"/>
        </w:rPr>
        <w:tab/>
        <w:t>c)</w:t>
      </w:r>
      <w:r w:rsidRPr="00F8174B">
        <w:rPr>
          <w:lang w:val="es-ES_tradnl"/>
        </w:rPr>
        <w:tab/>
        <w:t>Tanto la tortura como la desaparición forzada constituyen un delito específico que se castiga con una pena de entre uno y diez años de prisión y una multa de entre 20.000 y 200.000 bath</w:t>
      </w:r>
      <w:r w:rsidRPr="00763251">
        <w:rPr>
          <w:sz w:val="18"/>
          <w:szCs w:val="18"/>
          <w:vertAlign w:val="superscript"/>
          <w:lang w:val="es-ES_tradnl"/>
        </w:rPr>
        <w:footnoteReference w:id="6"/>
      </w:r>
      <w:r w:rsidRPr="00F8174B">
        <w:rPr>
          <w:lang w:val="es-ES_tradnl"/>
        </w:rPr>
        <w:t>. En caso de circunstancias o hechos agravantes, se imponen penas más severas, a saber:</w:t>
      </w:r>
    </w:p>
    <w:p w14:paraId="2120E49B" w14:textId="77777777" w:rsidR="00062B95" w:rsidRDefault="00F8174B" w:rsidP="00062B95">
      <w:pPr>
        <w:pStyle w:val="SingleTxtG"/>
        <w:ind w:left="1701"/>
        <w:rPr>
          <w:lang w:val="es-ES_tradnl"/>
        </w:rPr>
      </w:pPr>
      <w:r w:rsidRPr="00F8174B">
        <w:rPr>
          <w:lang w:val="es-ES_tradnl"/>
        </w:rPr>
        <w:t>i)</w:t>
      </w:r>
      <w:r w:rsidRPr="00F8174B">
        <w:rPr>
          <w:lang w:val="es-ES_tradnl"/>
        </w:rPr>
        <w:tab/>
        <w:t>Circunstancia agravante:</w:t>
      </w:r>
    </w:p>
    <w:p w14:paraId="620E2721" w14:textId="3ACA7581" w:rsidR="00F8174B" w:rsidRPr="00F8174B" w:rsidRDefault="00062B95" w:rsidP="00062B95">
      <w:pPr>
        <w:pStyle w:val="Bullet2G"/>
        <w:ind w:left="2268"/>
        <w:rPr>
          <w:lang w:val="es-ES_tradnl"/>
        </w:rPr>
      </w:pPr>
      <w:r w:rsidRPr="00F8174B">
        <w:rPr>
          <w:lang w:val="es-ES_tradnl"/>
        </w:rPr>
        <w:t xml:space="preserve">Lesiones </w:t>
      </w:r>
      <w:r w:rsidR="00F8174B" w:rsidRPr="00F8174B">
        <w:rPr>
          <w:lang w:val="es-ES_tradnl"/>
        </w:rPr>
        <w:t>corporales graves</w:t>
      </w:r>
      <w:r w:rsidR="00F8174B" w:rsidRPr="00763251">
        <w:rPr>
          <w:sz w:val="18"/>
          <w:szCs w:val="18"/>
          <w:vertAlign w:val="superscript"/>
          <w:lang w:val="es-ES_tradnl"/>
        </w:rPr>
        <w:footnoteReference w:id="7"/>
      </w:r>
      <w:r w:rsidR="00F8174B" w:rsidRPr="00F8174B">
        <w:rPr>
          <w:lang w:val="es-ES_tradnl"/>
        </w:rPr>
        <w:t xml:space="preserve">: se castigarán con una pena de entre </w:t>
      </w:r>
      <w:r w:rsidR="00730699">
        <w:rPr>
          <w:lang w:val="es-ES_tradnl"/>
        </w:rPr>
        <w:t>5</w:t>
      </w:r>
      <w:r w:rsidR="00F8174B" w:rsidRPr="00F8174B">
        <w:rPr>
          <w:lang w:val="es-ES_tradnl"/>
        </w:rPr>
        <w:t xml:space="preserve"> y </w:t>
      </w:r>
      <w:r w:rsidR="00730699">
        <w:rPr>
          <w:lang w:val="es-ES_tradnl"/>
        </w:rPr>
        <w:t>15</w:t>
      </w:r>
      <w:r w:rsidR="00F8174B" w:rsidRPr="00F8174B">
        <w:rPr>
          <w:lang w:val="es-ES_tradnl"/>
        </w:rPr>
        <w:t xml:space="preserve"> años de prisión y una multa de entre 100.000 y 300.000 baht</w:t>
      </w:r>
      <w:r w:rsidR="00F8174B" w:rsidRPr="00763251">
        <w:rPr>
          <w:sz w:val="18"/>
          <w:szCs w:val="18"/>
          <w:vertAlign w:val="superscript"/>
          <w:lang w:val="es-ES_tradnl"/>
        </w:rPr>
        <w:footnoteReference w:id="8"/>
      </w:r>
      <w:r>
        <w:rPr>
          <w:lang w:val="es-ES_tradnl"/>
        </w:rPr>
        <w:t>.</w:t>
      </w:r>
    </w:p>
    <w:p w14:paraId="54000729" w14:textId="3899DFF8" w:rsidR="00F8174B" w:rsidRPr="00F8174B" w:rsidRDefault="00062B95" w:rsidP="00062B95">
      <w:pPr>
        <w:pStyle w:val="Bullet2G"/>
        <w:ind w:left="2268"/>
        <w:rPr>
          <w:lang w:val="es-ES_tradnl"/>
        </w:rPr>
      </w:pPr>
      <w:r w:rsidRPr="00F8174B">
        <w:rPr>
          <w:lang w:val="es-ES_tradnl"/>
        </w:rPr>
        <w:t>Muerte</w:t>
      </w:r>
      <w:r w:rsidR="00F8174B" w:rsidRPr="00F8174B">
        <w:rPr>
          <w:lang w:val="es-ES_tradnl"/>
        </w:rPr>
        <w:t xml:space="preserve">: se castigará con una pena de entre </w:t>
      </w:r>
      <w:r w:rsidR="00730699">
        <w:rPr>
          <w:lang w:val="es-ES_tradnl"/>
        </w:rPr>
        <w:t>10</w:t>
      </w:r>
      <w:r w:rsidR="00F8174B" w:rsidRPr="00F8174B">
        <w:rPr>
          <w:lang w:val="es-ES_tradnl"/>
        </w:rPr>
        <w:t xml:space="preserve"> y </w:t>
      </w:r>
      <w:r w:rsidR="00730699">
        <w:rPr>
          <w:lang w:val="es-ES_tradnl"/>
        </w:rPr>
        <w:t>20</w:t>
      </w:r>
      <w:r w:rsidR="00F8174B" w:rsidRPr="00F8174B">
        <w:rPr>
          <w:lang w:val="es-ES_tradnl"/>
        </w:rPr>
        <w:t xml:space="preserve"> años de prisión o cadena perpetua y una multa de entre 200.000 y 400.000 baht</w:t>
      </w:r>
      <w:r w:rsidR="00F8174B" w:rsidRPr="00763251">
        <w:rPr>
          <w:sz w:val="18"/>
          <w:szCs w:val="18"/>
          <w:vertAlign w:val="superscript"/>
          <w:lang w:val="es-ES_tradnl"/>
        </w:rPr>
        <w:footnoteReference w:id="9"/>
      </w:r>
      <w:r>
        <w:rPr>
          <w:lang w:val="es-ES_tradnl"/>
        </w:rPr>
        <w:t>.</w:t>
      </w:r>
    </w:p>
    <w:p w14:paraId="201F987F" w14:textId="5218E953" w:rsidR="00F8174B" w:rsidRPr="00F8174B" w:rsidRDefault="00F8174B" w:rsidP="00062B95">
      <w:pPr>
        <w:pStyle w:val="SingleTxtG"/>
        <w:ind w:left="1701"/>
        <w:rPr>
          <w:lang w:val="es-ES_tradnl"/>
        </w:rPr>
      </w:pPr>
      <w:r w:rsidRPr="00F8174B">
        <w:rPr>
          <w:lang w:val="es-ES_tradnl"/>
        </w:rPr>
        <w:t>ii)</w:t>
      </w:r>
      <w:r w:rsidRPr="00F8174B">
        <w:rPr>
          <w:lang w:val="es-ES_tradnl"/>
        </w:rPr>
        <w:tab/>
      </w:r>
      <w:r w:rsidR="00812033" w:rsidRPr="00F8174B">
        <w:rPr>
          <w:lang w:val="es-ES_tradnl"/>
        </w:rPr>
        <w:t xml:space="preserve">Hecho </w:t>
      </w:r>
      <w:r w:rsidRPr="00F8174B">
        <w:rPr>
          <w:lang w:val="es-ES_tradnl"/>
        </w:rPr>
        <w:t>agravante: si el delito es infligido a una persona menor de 18 años, a una mujer embarazada, a una persona con discapacidad, ya sea física o mental, o a una persona dependiente, la pena se incrementará en la mitad</w:t>
      </w:r>
      <w:r w:rsidRPr="00763251">
        <w:rPr>
          <w:sz w:val="18"/>
          <w:szCs w:val="18"/>
          <w:vertAlign w:val="superscript"/>
          <w:lang w:val="es-ES_tradnl"/>
        </w:rPr>
        <w:footnoteReference w:id="10"/>
      </w:r>
      <w:r w:rsidR="00730699">
        <w:rPr>
          <w:lang w:val="es-ES_tradnl"/>
        </w:rPr>
        <w:t>;</w:t>
      </w:r>
    </w:p>
    <w:p w14:paraId="772A097D" w14:textId="77777777" w:rsidR="00F8174B" w:rsidRPr="00F8174B" w:rsidRDefault="00F8174B" w:rsidP="00F8174B">
      <w:pPr>
        <w:pStyle w:val="SingleTxtG"/>
        <w:rPr>
          <w:lang w:val="es-ES_tradnl"/>
        </w:rPr>
      </w:pPr>
      <w:r w:rsidRPr="00F8174B">
        <w:rPr>
          <w:lang w:val="es-ES_tradnl"/>
        </w:rPr>
        <w:tab/>
        <w:t>d)</w:t>
      </w:r>
      <w:r w:rsidRPr="00F8174B">
        <w:rPr>
          <w:lang w:val="es-ES_tradnl"/>
        </w:rPr>
        <w:tab/>
        <w:t>Circunstancia atenuante: en el caso de la desaparición forzada, el autor del delito podrá ser sancionado con una pena menor (que no será inferior a la mitad):</w:t>
      </w:r>
    </w:p>
    <w:p w14:paraId="22BAF9F2" w14:textId="6A326732" w:rsidR="00F8174B" w:rsidRPr="00F8174B" w:rsidRDefault="00F8174B" w:rsidP="00062B95">
      <w:pPr>
        <w:pStyle w:val="SingleTxtG"/>
        <w:ind w:left="1701"/>
        <w:rPr>
          <w:lang w:val="es-ES_tradnl"/>
        </w:rPr>
      </w:pPr>
      <w:r w:rsidRPr="00F8174B">
        <w:rPr>
          <w:lang w:val="es-ES_tradnl"/>
        </w:rPr>
        <w:t>i)</w:t>
      </w:r>
      <w:r w:rsidRPr="00F8174B">
        <w:rPr>
          <w:lang w:val="es-ES_tradnl"/>
        </w:rPr>
        <w:tab/>
      </w:r>
      <w:r w:rsidR="00812033" w:rsidRPr="00F8174B">
        <w:rPr>
          <w:lang w:val="es-ES_tradnl"/>
        </w:rPr>
        <w:t xml:space="preserve">Si </w:t>
      </w:r>
      <w:r w:rsidRPr="00F8174B">
        <w:rPr>
          <w:lang w:val="es-ES_tradnl"/>
        </w:rPr>
        <w:t>ayuda a encontrar a la persona desaparecida, siempre que esta no haya sufrido lesiones corporales graves ni se enfrente a peligros o amenazas inminentes o mortales</w:t>
      </w:r>
      <w:r w:rsidR="00812033">
        <w:rPr>
          <w:lang w:val="es-ES_tradnl"/>
        </w:rPr>
        <w:t>;</w:t>
      </w:r>
      <w:r w:rsidRPr="00F8174B">
        <w:rPr>
          <w:lang w:val="es-ES_tradnl"/>
        </w:rPr>
        <w:t xml:space="preserve"> o</w:t>
      </w:r>
    </w:p>
    <w:p w14:paraId="7A13845D" w14:textId="6BBF19C0" w:rsidR="00F8174B" w:rsidRPr="00F8174B" w:rsidRDefault="00F8174B" w:rsidP="00062B95">
      <w:pPr>
        <w:pStyle w:val="SingleTxtG"/>
        <w:ind w:left="1701"/>
        <w:rPr>
          <w:lang w:val="es-ES_tradnl"/>
        </w:rPr>
      </w:pPr>
      <w:r w:rsidRPr="00F8174B">
        <w:rPr>
          <w:lang w:val="es-ES_tradnl"/>
        </w:rPr>
        <w:t>ii)</w:t>
      </w:r>
      <w:r w:rsidRPr="00F8174B">
        <w:rPr>
          <w:lang w:val="es-ES_tradnl"/>
        </w:rPr>
        <w:tab/>
      </w:r>
      <w:r w:rsidR="00812033" w:rsidRPr="00F8174B">
        <w:rPr>
          <w:lang w:val="es-ES_tradnl"/>
        </w:rPr>
        <w:t xml:space="preserve">Si </w:t>
      </w:r>
      <w:r w:rsidRPr="00F8174B">
        <w:rPr>
          <w:lang w:val="es-ES_tradnl"/>
        </w:rPr>
        <w:t>proporciona al Estado información que sea esencial para la investigación</w:t>
      </w:r>
      <w:r w:rsidRPr="00763251">
        <w:rPr>
          <w:sz w:val="18"/>
          <w:szCs w:val="18"/>
          <w:vertAlign w:val="superscript"/>
          <w:lang w:val="es-ES_tradnl"/>
        </w:rPr>
        <w:footnoteReference w:id="11"/>
      </w:r>
      <w:r w:rsidR="00812033">
        <w:rPr>
          <w:lang w:val="es-ES_tradnl"/>
        </w:rPr>
        <w:t>;</w:t>
      </w:r>
    </w:p>
    <w:p w14:paraId="59C9E09D" w14:textId="008EE63D" w:rsidR="00F8174B" w:rsidRPr="00F8174B" w:rsidRDefault="00F8174B" w:rsidP="00F8174B">
      <w:pPr>
        <w:pStyle w:val="SingleTxtG"/>
        <w:rPr>
          <w:lang w:val="es-ES_tradnl"/>
        </w:rPr>
      </w:pPr>
      <w:r w:rsidRPr="00F8174B">
        <w:rPr>
          <w:lang w:val="es-ES_tradnl"/>
        </w:rPr>
        <w:lastRenderedPageBreak/>
        <w:tab/>
        <w:t>e)</w:t>
      </w:r>
      <w:r w:rsidRPr="00F8174B">
        <w:rPr>
          <w:lang w:val="es-ES_tradnl"/>
        </w:rPr>
        <w:tab/>
        <w:t>Conspiración: en el proyecto de ley se establece que toda persona que conspire para cometer cualquiera de dichos delitos será castigada con un tercio de la pena prevista para el delito en cuestión</w:t>
      </w:r>
      <w:r w:rsidRPr="00763251">
        <w:rPr>
          <w:sz w:val="18"/>
          <w:szCs w:val="18"/>
          <w:vertAlign w:val="superscript"/>
          <w:lang w:val="es-ES_tradnl"/>
        </w:rPr>
        <w:footnoteReference w:id="12"/>
      </w:r>
      <w:r w:rsidR="00812033">
        <w:rPr>
          <w:lang w:val="es-ES_tradnl"/>
        </w:rPr>
        <w:t>;</w:t>
      </w:r>
    </w:p>
    <w:p w14:paraId="30BAD88E" w14:textId="23DF36DD" w:rsidR="00F8174B" w:rsidRPr="00812033" w:rsidRDefault="00F8174B" w:rsidP="00812033">
      <w:pPr>
        <w:pStyle w:val="SingleTxtG"/>
        <w:rPr>
          <w:rFonts w:cs="Cordia New"/>
          <w:lang w:val="es-ES_tradnl"/>
        </w:rPr>
      </w:pPr>
      <w:r w:rsidRPr="00F8174B">
        <w:rPr>
          <w:lang w:val="es-ES_tradnl"/>
        </w:rPr>
        <w:tab/>
        <w:t>f)</w:t>
      </w:r>
      <w:r w:rsidRPr="00F8174B">
        <w:rPr>
          <w:lang w:val="es-ES_tradnl"/>
        </w:rPr>
        <w:tab/>
        <w:t>Tentativa: los participantes en la tentativa de delito serán castigados con dos tercios de la pena prevista para el delito en cuestión</w:t>
      </w:r>
      <w:r w:rsidR="00812033">
        <w:rPr>
          <w:lang w:val="es-ES_tradnl"/>
        </w:rPr>
        <w:t>;</w:t>
      </w:r>
    </w:p>
    <w:p w14:paraId="0B127A2F" w14:textId="0C736E36" w:rsidR="00F8174B" w:rsidRPr="00F8174B" w:rsidRDefault="00F8174B" w:rsidP="00F8174B">
      <w:pPr>
        <w:pStyle w:val="SingleTxtG"/>
        <w:rPr>
          <w:lang w:val="es-ES_tradnl"/>
        </w:rPr>
      </w:pPr>
      <w:r w:rsidRPr="00F8174B">
        <w:rPr>
          <w:lang w:val="es-ES_tradnl"/>
        </w:rPr>
        <w:tab/>
        <w:t>g)</w:t>
      </w:r>
      <w:r w:rsidRPr="00F8174B">
        <w:rPr>
          <w:lang w:val="es-ES_tradnl"/>
        </w:rPr>
        <w:tab/>
        <w:t>Complicidad: los participantes en un acto de tortura o desaparición forzada serán responsables en el mismo grado que el autor principal del acto en cuestión</w:t>
      </w:r>
      <w:r w:rsidRPr="00763251">
        <w:rPr>
          <w:sz w:val="18"/>
          <w:szCs w:val="18"/>
          <w:vertAlign w:val="superscript"/>
          <w:lang w:val="es-ES_tradnl"/>
        </w:rPr>
        <w:footnoteReference w:id="13"/>
      </w:r>
      <w:r w:rsidR="00812033">
        <w:rPr>
          <w:lang w:val="es-ES_tradnl"/>
        </w:rPr>
        <w:t>;</w:t>
      </w:r>
    </w:p>
    <w:p w14:paraId="5EE61232" w14:textId="180AADBB" w:rsidR="00F8174B" w:rsidRPr="00F8174B" w:rsidRDefault="00F8174B" w:rsidP="00F8174B">
      <w:pPr>
        <w:pStyle w:val="SingleTxtG"/>
        <w:rPr>
          <w:lang w:val="es-ES_tradnl"/>
        </w:rPr>
      </w:pPr>
      <w:r w:rsidRPr="00F8174B">
        <w:rPr>
          <w:lang w:val="es-ES_tradnl"/>
        </w:rPr>
        <w:tab/>
        <w:t>h)</w:t>
      </w:r>
      <w:r w:rsidRPr="00F8174B">
        <w:rPr>
          <w:lang w:val="es-ES_tradnl"/>
        </w:rPr>
        <w:tab/>
        <w:t>Jurisdicción universal: sin perjuicio del principio de doble incriminación, el proyecto de ley establece la jurisdicción universal para ambos delitos</w:t>
      </w:r>
      <w:r w:rsidRPr="00763251">
        <w:rPr>
          <w:sz w:val="18"/>
          <w:szCs w:val="18"/>
          <w:vertAlign w:val="superscript"/>
          <w:lang w:val="es-ES_tradnl"/>
        </w:rPr>
        <w:footnoteReference w:id="14"/>
      </w:r>
      <w:r w:rsidR="00812033">
        <w:rPr>
          <w:lang w:val="es-ES_tradnl"/>
        </w:rPr>
        <w:t>;</w:t>
      </w:r>
    </w:p>
    <w:p w14:paraId="3B55000D" w14:textId="5AEB6722" w:rsidR="00F8174B" w:rsidRPr="00F8174B" w:rsidRDefault="00F8174B" w:rsidP="00F8174B">
      <w:pPr>
        <w:pStyle w:val="SingleTxtG"/>
        <w:rPr>
          <w:lang w:val="es-ES_tradnl"/>
        </w:rPr>
      </w:pPr>
      <w:r w:rsidRPr="00F8174B">
        <w:rPr>
          <w:lang w:val="es-ES_tradnl"/>
        </w:rPr>
        <w:tab/>
        <w:t>i)</w:t>
      </w:r>
      <w:r w:rsidRPr="00F8174B">
        <w:rPr>
          <w:lang w:val="es-ES_tradnl"/>
        </w:rPr>
        <w:tab/>
        <w:t>Extradición y cooperación internacional en materia penal: ninguno de esos delitos será considerado delito político</w:t>
      </w:r>
      <w:r w:rsidRPr="00763251">
        <w:rPr>
          <w:sz w:val="18"/>
          <w:szCs w:val="18"/>
          <w:vertAlign w:val="superscript"/>
          <w:lang w:val="es-ES_tradnl"/>
        </w:rPr>
        <w:footnoteReference w:id="15"/>
      </w:r>
      <w:r w:rsidR="00812033">
        <w:rPr>
          <w:lang w:val="es-ES_tradnl"/>
        </w:rPr>
        <w:t>;</w:t>
      </w:r>
    </w:p>
    <w:p w14:paraId="46EFBE2D" w14:textId="77777777" w:rsidR="00F8174B" w:rsidRPr="00F8174B" w:rsidRDefault="00F8174B" w:rsidP="00F8174B">
      <w:pPr>
        <w:pStyle w:val="SingleTxtG"/>
        <w:rPr>
          <w:lang w:val="es-ES_tradnl"/>
        </w:rPr>
      </w:pPr>
      <w:r w:rsidRPr="00F8174B">
        <w:rPr>
          <w:lang w:val="es-ES_tradnl"/>
        </w:rPr>
        <w:tab/>
        <w:t>j)</w:t>
      </w:r>
      <w:r w:rsidRPr="00F8174B">
        <w:rPr>
          <w:lang w:val="es-ES_tradnl"/>
        </w:rPr>
        <w:tab/>
        <w:t>Responsabilidad del superior jerárquico: si un subordinado comete un acto de desaparición forzada, el superior jerárquico podrá ser condenado por un delito de desaparición forzada (y ser castigado con la mitad de la pena establecida en el párrafo 7, 3)):</w:t>
      </w:r>
    </w:p>
    <w:p w14:paraId="765F9AD0" w14:textId="68530656" w:rsidR="00F8174B" w:rsidRPr="00F8174B" w:rsidRDefault="00F8174B" w:rsidP="00062B95">
      <w:pPr>
        <w:pStyle w:val="SingleTxtG"/>
        <w:ind w:left="1701"/>
        <w:rPr>
          <w:lang w:val="es-ES_tradnl"/>
        </w:rPr>
      </w:pPr>
      <w:r w:rsidRPr="00F8174B">
        <w:rPr>
          <w:lang w:val="es-ES_tradnl"/>
        </w:rPr>
        <w:t>i)</w:t>
      </w:r>
      <w:r w:rsidRPr="00F8174B">
        <w:rPr>
          <w:lang w:val="es-ES_tradnl"/>
        </w:rPr>
        <w:tab/>
      </w:r>
      <w:r w:rsidR="00812033" w:rsidRPr="00F8174B">
        <w:rPr>
          <w:lang w:val="es-ES_tradnl"/>
        </w:rPr>
        <w:t xml:space="preserve">Si </w:t>
      </w:r>
      <w:r w:rsidRPr="00F8174B">
        <w:rPr>
          <w:lang w:val="es-ES_tradnl"/>
        </w:rPr>
        <w:t>tiene conocimiento de que su subordinado va a cometer un acto de desaparición forzada y no lo impide; o</w:t>
      </w:r>
    </w:p>
    <w:p w14:paraId="4CC30EEE" w14:textId="79F4B2A9" w:rsidR="00F8174B" w:rsidRPr="00F8174B" w:rsidRDefault="00F8174B" w:rsidP="00062B95">
      <w:pPr>
        <w:pStyle w:val="SingleTxtG"/>
        <w:ind w:left="1701"/>
        <w:rPr>
          <w:lang w:val="es-ES_tradnl"/>
        </w:rPr>
      </w:pPr>
      <w:r w:rsidRPr="00F8174B">
        <w:rPr>
          <w:lang w:val="es-ES_tradnl"/>
        </w:rPr>
        <w:t>i</w:t>
      </w:r>
      <w:r w:rsidR="00730699">
        <w:rPr>
          <w:lang w:val="es-ES_tradnl"/>
        </w:rPr>
        <w:t>i</w:t>
      </w:r>
      <w:r w:rsidRPr="00F8174B">
        <w:rPr>
          <w:lang w:val="es-ES_tradnl"/>
        </w:rPr>
        <w:t>)</w:t>
      </w:r>
      <w:r w:rsidRPr="00F8174B">
        <w:rPr>
          <w:lang w:val="es-ES_tradnl"/>
        </w:rPr>
        <w:tab/>
      </w:r>
      <w:r w:rsidR="00812033" w:rsidRPr="00F8174B">
        <w:rPr>
          <w:lang w:val="es-ES_tradnl"/>
        </w:rPr>
        <w:t xml:space="preserve">Si </w:t>
      </w:r>
      <w:r w:rsidRPr="00F8174B">
        <w:rPr>
          <w:lang w:val="es-ES_tradnl"/>
        </w:rPr>
        <w:t>tiene conocimiento de que su subordinado ha cometido un acto de desaparición forzada y no lo somete a investigación</w:t>
      </w:r>
      <w:r w:rsidRPr="00763251">
        <w:rPr>
          <w:sz w:val="18"/>
          <w:szCs w:val="18"/>
          <w:vertAlign w:val="superscript"/>
          <w:lang w:val="es-ES_tradnl"/>
        </w:rPr>
        <w:footnoteReference w:id="16"/>
      </w:r>
      <w:r w:rsidR="00812033">
        <w:rPr>
          <w:lang w:val="es-ES_tradnl"/>
        </w:rPr>
        <w:t>;</w:t>
      </w:r>
    </w:p>
    <w:p w14:paraId="7220938E" w14:textId="080A4A17" w:rsidR="00F8174B" w:rsidRPr="00F8174B" w:rsidRDefault="00F8174B" w:rsidP="00F8174B">
      <w:pPr>
        <w:pStyle w:val="SingleTxtG"/>
        <w:rPr>
          <w:lang w:val="es-ES_tradnl"/>
        </w:rPr>
      </w:pPr>
      <w:r w:rsidRPr="00F8174B">
        <w:rPr>
          <w:lang w:val="es-ES_tradnl"/>
        </w:rPr>
        <w:tab/>
        <w:t>k)</w:t>
      </w:r>
      <w:r w:rsidRPr="00F8174B">
        <w:rPr>
          <w:lang w:val="es-ES_tradnl"/>
        </w:rPr>
        <w:tab/>
        <w:t>A diferencia de la Convención Internacional para la Protección de Todas las Personas contra las Desapariciones Forzadas, la Convención contra la Tortura y Otros Tratos o Penas Crueles, Inhumanos o Degradantes no exige a los Estados partes que tipifiquen como delito la responsabilidad del superior jerárquico; el delito se limita únicamente al acto de desaparición forzada. Sin embargo, el superior jerárquico en cuestión puede ser declarado culpable de actuar como instigador, coautor o cómplice</w:t>
      </w:r>
      <w:r w:rsidR="00812033">
        <w:rPr>
          <w:lang w:val="es-ES_tradnl"/>
        </w:rPr>
        <w:t>;</w:t>
      </w:r>
    </w:p>
    <w:p w14:paraId="66C99948" w14:textId="6C67ABD3" w:rsidR="00F8174B" w:rsidRPr="00F8174B" w:rsidRDefault="00F8174B" w:rsidP="00F8174B">
      <w:pPr>
        <w:pStyle w:val="SingleTxtG"/>
        <w:rPr>
          <w:cs/>
        </w:rPr>
      </w:pPr>
      <w:r w:rsidRPr="00F8174B">
        <w:rPr>
          <w:cs/>
        </w:rPr>
        <w:tab/>
      </w:r>
      <w:r w:rsidRPr="00F8174B">
        <w:rPr>
          <w:lang w:val="es-ES_tradnl"/>
        </w:rPr>
        <w:t>l)</w:t>
      </w:r>
      <w:r w:rsidRPr="00F8174B">
        <w:rPr>
          <w:lang w:val="es-ES_tradnl"/>
        </w:rPr>
        <w:tab/>
        <w:t xml:space="preserve">Prescripción del delito: pese a lo establecido en el párrafo 40 de </w:t>
      </w:r>
      <w:r w:rsidRPr="00F8174B">
        <w:rPr>
          <w:cs/>
        </w:rPr>
        <w:t xml:space="preserve">la </w:t>
      </w:r>
      <w:r w:rsidRPr="00F8174B">
        <w:rPr>
          <w:lang w:val="es-ES_tradnl"/>
        </w:rPr>
        <w:t>observación general núm. 3 del Comité contra la Tortura sobre la aplicación del artículo 14 por los Estados partes, Tailandia sigue sosteniendo que no es necesario establecer la imprescriptibilidad de esos dos delitos</w:t>
      </w:r>
      <w:r w:rsidRPr="00F8174B">
        <w:rPr>
          <w:cs/>
        </w:rPr>
        <w:t xml:space="preserve">. El plazo de prescripción de ambos delitos </w:t>
      </w:r>
      <w:r w:rsidRPr="00F8174B">
        <w:rPr>
          <w:lang w:val="es-ES_tradnl"/>
        </w:rPr>
        <w:t xml:space="preserve">estará sujeto a los tipos penales que se apliquen a cada uno de ellos, establecidos en el artículo </w:t>
      </w:r>
      <w:r w:rsidRPr="00F8174B">
        <w:rPr>
          <w:cs/>
        </w:rPr>
        <w:t xml:space="preserve">95 </w:t>
      </w:r>
      <w:r w:rsidRPr="00F8174B">
        <w:rPr>
          <w:lang w:val="es-ES_tradnl"/>
        </w:rPr>
        <w:t>del Código Penal, en conjunción con la Ley de Procedimiento para Casos de Corrupción y Conducta Indebida, de</w:t>
      </w:r>
      <w:r w:rsidR="00730699">
        <w:rPr>
          <w:lang w:val="es-ES_tradnl"/>
        </w:rPr>
        <w:t> </w:t>
      </w:r>
      <w:r w:rsidRPr="00F8174B">
        <w:rPr>
          <w:cs/>
        </w:rPr>
        <w:t xml:space="preserve">2559 de la era budista [en adelante </w:t>
      </w:r>
      <w:r w:rsidR="006F6842">
        <w:t>“</w:t>
      </w:r>
      <w:r w:rsidRPr="00F8174B">
        <w:rPr>
          <w:cs/>
        </w:rPr>
        <w:t>de la E.B.</w:t>
      </w:r>
      <w:r w:rsidR="006F6842">
        <w:t>”</w:t>
      </w:r>
      <w:r w:rsidRPr="00F8174B">
        <w:rPr>
          <w:cs/>
        </w:rPr>
        <w:t>]</w:t>
      </w:r>
      <w:r w:rsidRPr="00F8174B">
        <w:rPr>
          <w:rFonts w:hint="cs"/>
          <w:cs/>
        </w:rPr>
        <w:t xml:space="preserve"> </w:t>
      </w:r>
      <w:r w:rsidRPr="00F8174B">
        <w:rPr>
          <w:cs/>
        </w:rPr>
        <w:t>(2016)</w:t>
      </w:r>
      <w:r w:rsidRPr="00F8174B">
        <w:rPr>
          <w:lang w:val="es-ES_tradnl"/>
        </w:rPr>
        <w:t>, en la que se dispone que si una persona se fuga durante las actuaciones, el período de tiempo que dure la fuga no se computará a los efectos del cálculo del plazo de prescripción.</w:t>
      </w:r>
    </w:p>
    <w:p w14:paraId="5F0A522B" w14:textId="48F64E22" w:rsidR="00F8174B" w:rsidRPr="00F8174B" w:rsidRDefault="00F8174B" w:rsidP="00F8174B">
      <w:pPr>
        <w:pStyle w:val="SingleTxtG"/>
        <w:rPr>
          <w:cs/>
        </w:rPr>
      </w:pPr>
      <w:r w:rsidRPr="00F8174B">
        <w:rPr>
          <w:cs/>
        </w:rPr>
        <w:t>8.</w:t>
      </w:r>
      <w:r w:rsidRPr="00F8174B">
        <w:rPr>
          <w:cs/>
        </w:rPr>
        <w:tab/>
      </w:r>
      <w:r w:rsidRPr="00F8174B">
        <w:rPr>
          <w:lang w:val="es-ES_tradnl"/>
        </w:rPr>
        <w:t xml:space="preserve">En la práctica, Tailandia ha tratado la cuestión de la expulsión con mucha cautela y ha tenido siempre en cuenta el principio de no devolución, los derechos humanos, las preocupaciones humanitarias y otras obligaciones internacionales dimanantes del derecho internacional consuetudinario. Si existiera un riesgo potencial de maltrato de la persona que va a ser expulsada, el Gobierno haría todo lo posible por solicitar garantías al país de destino de que dicha persona no será objeto de torturas o malos tratos. Además, a raíz de una resolución del Consejo de Ministros de 10 de enero de 2017, se ultimó el proyecto de Reglamento de la Oficina del Primer Ministro sobre el control de los extranjeros que entran en el Reino de Tailandia y no pueden regresar al país de origen, que fue aprobado por el Consejo de Ministros el 24 de diciembre de 2019, entrando en vigor el 22 de junio de 2020. En el Reglamento se toma en consideración el principio de no devolución y se establece que, cuando se considere que una persona es </w:t>
      </w:r>
      <w:r w:rsidR="006F6842">
        <w:rPr>
          <w:lang w:val="es-ES_tradnl"/>
        </w:rPr>
        <w:t>“</w:t>
      </w:r>
      <w:r w:rsidRPr="00F8174B">
        <w:rPr>
          <w:lang w:val="es-ES_tradnl"/>
        </w:rPr>
        <w:t>persona protegida</w:t>
      </w:r>
      <w:r w:rsidR="006F6842">
        <w:rPr>
          <w:lang w:val="es-ES_tradnl"/>
        </w:rPr>
        <w:t>”</w:t>
      </w:r>
      <w:r w:rsidRPr="00F8174B">
        <w:rPr>
          <w:lang w:val="es-ES_tradnl"/>
        </w:rPr>
        <w:t xml:space="preserve"> por existir motivos razonables para creer que puede ser perseguida en el país de destino, los organismos pertinentes no procederán a su repatriación al país de origen, excepto en el caso de que dicha persona tenga la intención de salir de Tailandia voluntariamente o si existe una causa que pueda afectar a </w:t>
      </w:r>
      <w:r w:rsidRPr="00F8174B">
        <w:rPr>
          <w:lang w:val="es-ES_tradnl"/>
        </w:rPr>
        <w:lastRenderedPageBreak/>
        <w:t>la seguridad nacional. El Reglamento también estipula que los organismos pertinentes tomarán medidas adecuadas para proporcionar educación a la persona protegida si se trata de un niño, así como para prestar servicios de atención de la salud de acuerdo con la legislación, las obligaciones internacionales, las resoluciones del Consejo de Ministros y las políticas gubernamentales pertinentes.</w:t>
      </w:r>
    </w:p>
    <w:p w14:paraId="29FF34DB" w14:textId="77777777" w:rsidR="00F8174B" w:rsidRPr="00F8174B" w:rsidRDefault="00F8174B" w:rsidP="00F8174B">
      <w:pPr>
        <w:pStyle w:val="SingleTxtG"/>
        <w:rPr>
          <w:lang w:val="es-ES_tradnl"/>
        </w:rPr>
      </w:pPr>
      <w:r w:rsidRPr="00F8174B">
        <w:rPr>
          <w:lang w:val="es-ES_tradnl"/>
        </w:rPr>
        <w:t>9.</w:t>
      </w:r>
      <w:r w:rsidRPr="00F8174B">
        <w:rPr>
          <w:lang w:val="es-ES_tradnl"/>
        </w:rPr>
        <w:tab/>
        <w:t>Aunque el proyecto de ley de prevención y represión de la tortura y las desapariciones forzadas sigue pendiente de aprobación, se han promulgado</w:t>
      </w:r>
      <w:bookmarkStart w:id="0" w:name="_Hlk41305530"/>
      <w:r w:rsidRPr="00F8174B">
        <w:rPr>
          <w:lang w:val="es-ES_tradnl"/>
        </w:rPr>
        <w:t xml:space="preserve"> sendas Órdenes de la Oficina del Primer Ministro</w:t>
      </w:r>
      <w:bookmarkEnd w:id="0"/>
      <w:r w:rsidRPr="00F8174B">
        <w:rPr>
          <w:lang w:val="es-ES_tradnl"/>
        </w:rPr>
        <w:t>, la núm. 131/2560 (2017), de 23 de mayo de 2017, y la núm. 338/2562 (2019), de 15 de noviembre de 2019, por las que se ha establecido el Comité Nacional para la Gestión de los Casos de Tortura y Desaparición Forzada. El Comité Nacional está presidido por el Ministro de Justicia y cuenta con 18 miembros representantes de organismos gubernamentales, organizaciones de la sociedad civil y el mundo académico. Tiene el mandato de investigar y dar curso con prontitud a las denuncias de tortura y desaparición, ofrecer medidas de reparación cuando se determine que se ha cometido una violación y promover mecanismos de protección para evitar que se produzcan casos de esa índole en el futuro. Todo funcionario público cuya participación en actos de torturas o desaparición forzada haya quedado demostrada será procesado de acuerdo con la ley. Las competencias y responsabilidades de este Comité han sido reforzadas y ampliadas con respecto a las competencias y responsabilidades que tenía su órgano predecesor, creado por el Ministro de Justicia en 2016, a fin de garantizar la eficacia del trabajo que lleva a cabo.</w:t>
      </w:r>
    </w:p>
    <w:p w14:paraId="3E9B8B5A" w14:textId="7436260C" w:rsidR="00F8174B" w:rsidRPr="00F8174B" w:rsidRDefault="00F8174B" w:rsidP="00F8174B">
      <w:pPr>
        <w:pStyle w:val="SingleTxtG"/>
        <w:rPr>
          <w:lang w:val="es-ES_tradnl"/>
        </w:rPr>
      </w:pPr>
      <w:r w:rsidRPr="00F8174B">
        <w:rPr>
          <w:lang w:val="es-ES_tradnl"/>
        </w:rPr>
        <w:t>10.</w:t>
      </w:r>
      <w:r w:rsidRPr="00F8174B">
        <w:rPr>
          <w:lang w:val="es-ES_tradnl"/>
        </w:rPr>
        <w:tab/>
        <w:t>Además, en el cumplimiento de sus tareas, el Comité Nacional cuenta con el apoyo de cuatro subcomités: 1) el Subcomité de Supervisión e Investigación de Casos de Tortura y Desaparición Forzada, presidido por el Director General del Departamento de Investigaciones Especiales del Ministerio de Justicia; 2)</w:t>
      </w:r>
      <w:bookmarkStart w:id="1" w:name="_Hlk41211543"/>
      <w:r w:rsidRPr="00F8174B">
        <w:rPr>
          <w:lang w:val="es-ES_tradnl"/>
        </w:rPr>
        <w:t xml:space="preserve"> el Subcomité de Reparación en los Casos de Tortura y Desaparición Forzada</w:t>
      </w:r>
      <w:bookmarkEnd w:id="1"/>
      <w:r w:rsidRPr="00F8174B">
        <w:rPr>
          <w:lang w:val="es-ES_tradnl"/>
        </w:rPr>
        <w:t>, presidido por el Director General del Departamento de Protección de Derechos y Libertades del Ministerio de Justicia. Su mandato consiste en ofrecer reparación a las víctimas de actos de tortura y desaparición forzada; 3) el Subcomité para Impedir Actos de Tortura y Desaparición Forzada, presidido por el profesor Narong Jaiharn</w:t>
      </w:r>
      <w:r w:rsidRPr="00F8174B">
        <w:rPr>
          <w:cs/>
        </w:rPr>
        <w:t xml:space="preserve">, </w:t>
      </w:r>
      <w:r w:rsidRPr="00F8174B">
        <w:rPr>
          <w:lang w:val="es-ES_tradnl"/>
        </w:rPr>
        <w:t xml:space="preserve">experto en derechos humanos y antiguo decano de la Facultad de Derecho de la Universidad de Thammasat. Este Subcomité ha impartido formación a los funcionarios de todo el país, así como a los encargados de atender las denuncias. También ha elaborado un manual sobre la investigación preliminar de los presuntos actos de tortura y desaparición forzada. Se están elaborando varios memorandos de entendimiento entre los organismos pertinentes con miras a reforzar la capacidad del Subcomité para cumplir sus funciones. Este Subcomité también se encarga de desarrollar y promover mecanismos preventivos dirigidos a las fuerzas del orden para impedir la comisión de actos de tortura y desaparición forzada. Hasta la fecha, el Subcomité ha impartido formación a miles de funcionarios de todo el país sobre la Convención, los mecanismos nacionales y las leyes pertinentes de lucha contra la tortura y las desapariciones forzadas; y 4) los Subcomités Regionales para la Detección de Casos de Tortura y Desaparición Forzada. Los </w:t>
      </w:r>
      <w:r w:rsidR="00837739">
        <w:rPr>
          <w:lang w:val="es-ES_tradnl"/>
        </w:rPr>
        <w:t>11</w:t>
      </w:r>
      <w:r w:rsidRPr="00F8174B">
        <w:rPr>
          <w:lang w:val="es-ES_tradnl"/>
        </w:rPr>
        <w:t xml:space="preserve"> subcomités regionales de todo el país tienen el mandato de recibir y examinar las denuncias de casos de tortura y desaparición forzada y de remitir al Subcomité de Supervisión e Investigación aquellas que cumplan los criterios establecidos. En el párrafo 31 se describen los avances del Comité Nacional en las labores de verificación con respecto a los presuntos casos de desaparición forzada planteados por el Grupo de Trabajo de las Naciones Unidas sobre las Desapariciones Forzadas o Involuntarias.</w:t>
      </w:r>
    </w:p>
    <w:p w14:paraId="703DD4B5" w14:textId="33DD2E35" w:rsidR="00F8174B" w:rsidRPr="00F8174B" w:rsidRDefault="00062B95" w:rsidP="00062B95">
      <w:pPr>
        <w:pStyle w:val="HChG"/>
        <w:rPr>
          <w:lang w:val="es-ES_tradnl"/>
        </w:rPr>
      </w:pPr>
      <w:r>
        <w:rPr>
          <w:lang w:val="es-ES_tradnl"/>
        </w:rPr>
        <w:tab/>
      </w:r>
      <w:r w:rsidR="00F8174B" w:rsidRPr="00F8174B">
        <w:rPr>
          <w:lang w:val="es-ES_tradnl"/>
        </w:rPr>
        <w:tab/>
        <w:t>Artículo 2</w:t>
      </w:r>
    </w:p>
    <w:p w14:paraId="0F161BDE" w14:textId="2387F35B" w:rsidR="00F8174B" w:rsidRPr="00F8174B" w:rsidRDefault="00062B95" w:rsidP="00062B95">
      <w:pPr>
        <w:pStyle w:val="H1G"/>
        <w:rPr>
          <w:lang w:val="es-ES_tradnl"/>
        </w:rPr>
      </w:pPr>
      <w:r>
        <w:rPr>
          <w:rFonts w:cs="Cordia New"/>
          <w:bCs/>
          <w:cs/>
          <w:lang w:bidi="th-TH"/>
        </w:rPr>
        <w:tab/>
      </w:r>
      <w:r w:rsidR="00F8174B" w:rsidRPr="00F8174B">
        <w:rPr>
          <w:bCs/>
          <w:cs/>
          <w:lang w:bidi="th-TH"/>
        </w:rPr>
        <w:tab/>
      </w:r>
      <w:r w:rsidR="00F8174B" w:rsidRPr="00F8174B">
        <w:rPr>
          <w:lang w:val="es-ES_tradnl"/>
        </w:rPr>
        <w:t>Respuesta a las cuestiones planteadas en el párrafo 3 de la lista de</w:t>
      </w:r>
      <w:r>
        <w:rPr>
          <w:lang w:val="es-ES_tradnl"/>
        </w:rPr>
        <w:t> </w:t>
      </w:r>
      <w:r w:rsidR="00F8174B" w:rsidRPr="00F8174B">
        <w:rPr>
          <w:lang w:val="es-ES_tradnl"/>
        </w:rPr>
        <w:t>cuestiones</w:t>
      </w:r>
    </w:p>
    <w:p w14:paraId="5E37CDB7" w14:textId="210DD836" w:rsidR="00F8174B" w:rsidRPr="00F8174B" w:rsidRDefault="00F8174B" w:rsidP="00F8174B">
      <w:pPr>
        <w:pStyle w:val="SingleTxtG"/>
        <w:rPr>
          <w:lang w:val="es-ES_tradnl"/>
        </w:rPr>
      </w:pPr>
      <w:r w:rsidRPr="00F8174B">
        <w:rPr>
          <w:lang w:val="es-ES_tradnl"/>
        </w:rPr>
        <w:t>11.</w:t>
      </w:r>
      <w:r w:rsidRPr="00F8174B">
        <w:rPr>
          <w:lang w:val="es-ES_tradnl"/>
        </w:rPr>
        <w:tab/>
        <w:t xml:space="preserve">Aun cuando se comprenden las preocupaciones planteadas por el Comité, las disposiciones, las órdenes y las leyes a que este hace referencia no constituyen cláusulas generales de inmunidad de </w:t>
      </w:r>
      <w:r w:rsidR="006834F2">
        <w:rPr>
          <w:i/>
          <w:iCs/>
          <w:lang w:val="es-ES_tradnl"/>
        </w:rPr>
        <w:t>i</w:t>
      </w:r>
      <w:r w:rsidRPr="00F8174B">
        <w:rPr>
          <w:i/>
          <w:iCs/>
          <w:lang w:val="es-ES_tradnl"/>
        </w:rPr>
        <w:t xml:space="preserve">ure </w:t>
      </w:r>
      <w:r w:rsidRPr="00F8174B">
        <w:rPr>
          <w:lang w:val="es-ES_tradnl"/>
        </w:rPr>
        <w:t xml:space="preserve">o de </w:t>
      </w:r>
      <w:r w:rsidRPr="00F8174B">
        <w:rPr>
          <w:i/>
          <w:iCs/>
          <w:lang w:val="es-ES_tradnl"/>
        </w:rPr>
        <w:t xml:space="preserve">facto </w:t>
      </w:r>
      <w:r w:rsidRPr="00F8174B">
        <w:rPr>
          <w:lang w:val="es-ES_tradnl"/>
        </w:rPr>
        <w:t xml:space="preserve">para los actos de tortura o malos tratos. Todas las acciones emprendidas por los funcionarios del Estado están sujetas a revisión judicial. Solo están justificadas las acciones permisibles que se ajusten a las condiciones estipuladas explícitamente por la ley. Por lo tanto, cualquier persona puede presentar una demanda contra </w:t>
      </w:r>
      <w:r w:rsidRPr="00F8174B">
        <w:rPr>
          <w:lang w:val="es-ES_tradnl"/>
        </w:rPr>
        <w:lastRenderedPageBreak/>
        <w:t>un funcionario del Estado ante un tribunal competente si considera que sus derechos han sido vulnerados por la actuación de dicho funcionario.</w:t>
      </w:r>
    </w:p>
    <w:p w14:paraId="1DDBDCEB" w14:textId="77777777" w:rsidR="00F8174B" w:rsidRPr="00F8174B" w:rsidRDefault="00F8174B" w:rsidP="001C0DF3">
      <w:pPr>
        <w:pStyle w:val="SingleTxtG"/>
        <w:spacing w:after="130"/>
        <w:rPr>
          <w:lang w:val="es-ES_tradnl"/>
        </w:rPr>
      </w:pPr>
      <w:r w:rsidRPr="00F8174B">
        <w:rPr>
          <w:lang w:val="es-ES_tradnl"/>
        </w:rPr>
        <w:t>12.</w:t>
      </w:r>
      <w:r w:rsidRPr="00F8174B">
        <w:rPr>
          <w:lang w:val="es-ES_tradnl"/>
        </w:rPr>
        <w:tab/>
        <w:t xml:space="preserve">En la práctica, se ha impugnado ante los tribunales el ejercicio de las facultades conferidas por los artículos 265 y 279 de la Constitución de 2017, que integran las disposiciones de los artículos 44 y 47 de la Constitución provisional de 2014. En 2018, el Defensor del Pueblo presentó un caso ante el Tribunal Constitucional (caso núm. </w:t>
      </w:r>
      <w:r w:rsidRPr="00F8174B">
        <w:rPr>
          <w:cs/>
          <w:lang w:bidi="th-TH"/>
        </w:rPr>
        <w:t>4/2561</w:t>
      </w:r>
      <w:r w:rsidRPr="00F8174B">
        <w:rPr>
          <w:lang w:val="es-ES_tradnl"/>
        </w:rPr>
        <w:t>) para impugnar la legitimidad constitucional de la Orden núm. 53/2560 del Jefe del Consejo Nacional para la Paz y el Orden relativa a la aplicación de la Ley Orgánica de Partidos Políticos, que se dictó en ejercicio de la facultad conferida por el artículo 265 de la Constitución de 2017 en conjunción con las disposiciones del artículo 44 de la Constitución provisional de 2014. El 5 de junio de 2018, el Tribunal Constitucional dictaminó que la mencionada Orden núm. 53/2560 era constitucional.</w:t>
      </w:r>
    </w:p>
    <w:p w14:paraId="16B6EB61" w14:textId="77777777" w:rsidR="00F8174B" w:rsidRPr="00F8174B" w:rsidRDefault="00F8174B" w:rsidP="001C0DF3">
      <w:pPr>
        <w:pStyle w:val="SingleTxtG"/>
        <w:spacing w:after="130"/>
        <w:rPr>
          <w:lang w:val="es-ES_tradnl"/>
        </w:rPr>
      </w:pPr>
      <w:r w:rsidRPr="00F8174B">
        <w:rPr>
          <w:lang w:val="es-ES_tradnl"/>
        </w:rPr>
        <w:t>13.</w:t>
      </w:r>
      <w:r w:rsidRPr="00F8174B">
        <w:rPr>
          <w:lang w:val="es-ES_tradnl"/>
        </w:rPr>
        <w:tab/>
        <w:t>Las facultades conferidas al Consejo Nacional para la Paz y el Orden por la Constitución tenían un carácter temporal y fueron suprimidas el 16 de julio de 2019, cuando entró en funciones el nuevo Consejo de Ministros. Todos los anuncios, órdenes y disposiciones emitidos por el Consejo Nacional para la Paz y el Orden o por el Jefe de dicho órgano se han revisado periódicamente en función de su necesidad y pertinencia, habida cuenta de la evolución de las circunstancias. Durante la fase final de la hoja de ruta política, que consta de tres etapas, el Gobierno inició el proceso de revisión de la necesidad y la pertinencia de todas las leyes, medidas y reglamentos promulgados en virtud del artículo 44 de la Constitución provisional de 2014, teniendo en cuenta la situación actual del país. Ello incluye las Órdenes núms. 3/2558 y 13/2559 del Jefe del Consejo Nacional para la Paz y el Orden, a que ha hecho referencia el Comité.</w:t>
      </w:r>
    </w:p>
    <w:p w14:paraId="0270B113" w14:textId="77777777" w:rsidR="00F8174B" w:rsidRPr="00F8174B" w:rsidRDefault="00F8174B" w:rsidP="001C0DF3">
      <w:pPr>
        <w:pStyle w:val="SingleTxtG"/>
        <w:spacing w:after="130"/>
        <w:rPr>
          <w:lang w:val="es-ES_tradnl"/>
        </w:rPr>
      </w:pPr>
      <w:r w:rsidRPr="00F8174B">
        <w:rPr>
          <w:lang w:val="es-ES_tradnl"/>
        </w:rPr>
        <w:t>14.</w:t>
      </w:r>
      <w:r w:rsidRPr="00F8174B">
        <w:rPr>
          <w:lang w:val="es-ES_tradnl"/>
        </w:rPr>
        <w:tab/>
        <w:t>Las Órdenes núms. 3/2558 y 13/2559 del Jefe del Consejo Nacional para la Paz y el Orden, en sus artículos 14 y 9, respectivamente, no otorgan inmunidad frente a la revisión judicial o la asunción de responsabilidad. Las acciones de los funcionarios estarán justificadas solo cuando estos actúen de buena fe, de manera no discriminatoria, proporcionada y sin sobrepasar los límites necesarios para el mantenimiento de la paz y el orden en el país. Si se incumple alguna de estas condiciones, la actuación de los funcionarios no estará justificada y los infractores deberán rendir cuentas. Además, la persona damnificada tendrá derecho a reclamar una indemnización pecuniaria al organismo, de acuerdo con la Ley de Responsabilidad por Actos Ilícitos Cometidos por Funcionarios, de 2539 de la E.B. (1996). No obstante, dicha legislación tenía solo un carácter temporal a fin de garantizar el orden público y la seguridad debido a las circunstancias especiales a las que se enfrentaba Tailandia.</w:t>
      </w:r>
    </w:p>
    <w:p w14:paraId="3845C84C" w14:textId="77777777" w:rsidR="00F8174B" w:rsidRPr="00F8174B" w:rsidRDefault="00F8174B" w:rsidP="001C0DF3">
      <w:pPr>
        <w:pStyle w:val="SingleTxtG"/>
        <w:spacing w:after="130"/>
        <w:rPr>
          <w:lang w:val="es-ES_tradnl"/>
        </w:rPr>
      </w:pPr>
      <w:r w:rsidRPr="00F8174B">
        <w:rPr>
          <w:lang w:val="es-ES_tradnl"/>
        </w:rPr>
        <w:t>15.</w:t>
      </w:r>
      <w:r w:rsidRPr="00F8174B">
        <w:rPr>
          <w:lang w:val="es-ES_tradnl"/>
        </w:rPr>
        <w:tab/>
        <w:t>La Ley Marcial de 1914, el Decreto de Emergencia de 2005 y la Ley de Seguridad Interior de 2008 no contribuyen a reforzar un clima de impunidad ni otorgan inmunidad judicial a los funcionarios. En la práctica, ha habido numerosos casos relativos a funcionarios quienes, al actuar amparados por dichas leyes, fueron denunciados por actos de tortura y condenados a pagar una indemnización a la persona damnificada. En el párrafo 17 se mencionan algunos ejemplos de este tipo de casos.</w:t>
      </w:r>
    </w:p>
    <w:p w14:paraId="6821CD66" w14:textId="77777777" w:rsidR="00F8174B" w:rsidRPr="00F8174B" w:rsidRDefault="00F8174B" w:rsidP="001C0DF3">
      <w:pPr>
        <w:pStyle w:val="SingleTxtG"/>
        <w:spacing w:after="130"/>
        <w:rPr>
          <w:lang w:val="es-ES_tradnl"/>
        </w:rPr>
      </w:pPr>
      <w:r w:rsidRPr="00F8174B">
        <w:rPr>
          <w:lang w:val="es-ES_tradnl"/>
        </w:rPr>
        <w:t>16.</w:t>
      </w:r>
      <w:r w:rsidRPr="00F8174B">
        <w:rPr>
          <w:lang w:val="es-ES_tradnl"/>
        </w:rPr>
        <w:tab/>
        <w:t>De conformidad con lo dispuesto en los artículos 17, 28 y 30 de la Ley Penitenciaria de 2017, se exime a los funcionarios de prisiones y a otros funcionarios de la responsabilidad civil, penal y disciplinaria únicamente si estos actúan con arreglo a la Ley Penitenciaria no solo de buena fe, sino también de manera no discriminatoria y proporcionada a las circunstancias. Dado que en los casos de actos de tortura o de malos tratos en virtud de la Convención contra la Tortura se incumplen dichas condiciones, se no eximirá de responsabilidad a los funcionarios que incurran en ellos. Además, al igual que con respecto a otras leyes mencionadas anteriormente, la persona damnificada tiene derecho a solicitar una indemnización pecuniaria al organismo correspondiente, de conformidad con lo dispuesto en la Ley de Responsabilidad por Actos Ilícitos Cometidos por Funcionarios, de 2539 de la E.B. (1996).</w:t>
      </w:r>
    </w:p>
    <w:p w14:paraId="73D19EF7" w14:textId="2B7C729E" w:rsidR="00F8174B" w:rsidRPr="00F8174B" w:rsidRDefault="00062B95" w:rsidP="001C0DF3">
      <w:pPr>
        <w:pStyle w:val="H1G"/>
        <w:rPr>
          <w:bCs/>
          <w:lang w:val="es-ES_tradnl"/>
        </w:rPr>
      </w:pPr>
      <w:r>
        <w:rPr>
          <w:lang w:val="es-ES_tradnl"/>
        </w:rPr>
        <w:lastRenderedPageBreak/>
        <w:tab/>
      </w:r>
      <w:r w:rsidR="00F8174B" w:rsidRPr="00F8174B">
        <w:rPr>
          <w:lang w:val="es-ES_tradnl"/>
        </w:rPr>
        <w:tab/>
        <w:t>Respuesta a las cuestiones planteadas en el párrafo 4 de la lista de</w:t>
      </w:r>
      <w:r>
        <w:rPr>
          <w:lang w:val="es-ES_tradnl"/>
        </w:rPr>
        <w:t> </w:t>
      </w:r>
      <w:r w:rsidR="00F8174B" w:rsidRPr="00F8174B">
        <w:rPr>
          <w:lang w:val="es-ES_tradnl"/>
        </w:rPr>
        <w:t>cuestiones</w:t>
      </w:r>
    </w:p>
    <w:p w14:paraId="4BCC4C8F" w14:textId="77777777" w:rsidR="00F8174B" w:rsidRPr="00F8174B" w:rsidRDefault="00F8174B" w:rsidP="001C0DF3">
      <w:pPr>
        <w:pStyle w:val="SingleTxtG"/>
        <w:keepNext/>
        <w:keepLines/>
        <w:rPr>
          <w:lang w:val="es-ES_tradnl"/>
        </w:rPr>
      </w:pPr>
      <w:r w:rsidRPr="00F8174B">
        <w:rPr>
          <w:lang w:val="es-ES_tradnl"/>
        </w:rPr>
        <w:t>17.</w:t>
      </w:r>
      <w:r w:rsidRPr="00F8174B">
        <w:rPr>
          <w:lang w:val="es-ES_tradnl"/>
        </w:rPr>
        <w:tab/>
        <w:t>De acuerdo con la legislación tailandesa, un funcionario del Estado que comete un acto de tortura o de malos tratos debe rendir cuentas de su actuación y se expone a una sanción penal. A continuación se exponen algunos casos en los que los tribunales tailandeses dictaron condenas contra funcionarios por la comisión de actos constitutivos de tortura o malos tratos:</w:t>
      </w:r>
    </w:p>
    <w:p w14:paraId="77A1FA43" w14:textId="0BC01C31" w:rsidR="00F8174B" w:rsidRPr="00F8174B" w:rsidRDefault="00062B95" w:rsidP="00F8174B">
      <w:pPr>
        <w:pStyle w:val="SingleTxtG"/>
        <w:rPr>
          <w:lang w:val="es-ES_tradnl"/>
        </w:rPr>
      </w:pPr>
      <w:r>
        <w:rPr>
          <w:lang w:val="es-ES_tradnl"/>
        </w:rPr>
        <w:tab/>
      </w:r>
      <w:r w:rsidR="00F8174B" w:rsidRPr="00F8174B">
        <w:rPr>
          <w:lang w:val="es-ES_tradnl"/>
        </w:rPr>
        <w:t>a)</w:t>
      </w:r>
      <w:r w:rsidR="00F8174B" w:rsidRPr="00F8174B">
        <w:rPr>
          <w:lang w:val="es-ES_tradnl"/>
        </w:rPr>
        <w:tab/>
        <w:t xml:space="preserve">En el caso núm. 1031/2560 (2017), el Tribunal Supremo condenó a dos acusados, un general de división y un coronel de la </w:t>
      </w:r>
      <w:r w:rsidR="001C0DF3">
        <w:rPr>
          <w:lang w:val="es-ES_tradnl"/>
        </w:rPr>
        <w:t>p</w:t>
      </w:r>
      <w:r w:rsidR="00F8174B" w:rsidRPr="00F8174B">
        <w:rPr>
          <w:lang w:val="es-ES_tradnl"/>
        </w:rPr>
        <w:t>olicía por, entre otras cosas</w:t>
      </w:r>
      <w:r w:rsidR="00F8174B" w:rsidRPr="00F8174B">
        <w:rPr>
          <w:i/>
          <w:iCs/>
          <w:lang w:val="es-ES_tradnl"/>
        </w:rPr>
        <w:t xml:space="preserve">, </w:t>
      </w:r>
      <w:r w:rsidR="00F8174B" w:rsidRPr="00F8174B">
        <w:rPr>
          <w:lang w:val="es-ES_tradnl"/>
        </w:rPr>
        <w:t xml:space="preserve">conducta indebida como funcionarios encargados de la investigación, agresión causante de lesiones graves, delito contra la libertad, y detención ilegal, en contravención de lo dispuesto en los artículos 200, párrafo 2, 297, 309 y 310 del Código Penal, respectivamente. Según los hechos del caso, los acusados, que actuaban como funcionarios encargados de la investigación, sometieron a un sospechoso de homicidio premeditado a descargas eléctricas para sonsacarle información. El Tribunal Supremo condenó a los dos acusados a </w:t>
      </w:r>
      <w:r w:rsidR="001C0DF3">
        <w:rPr>
          <w:lang w:val="es-ES_tradnl"/>
        </w:rPr>
        <w:t>15</w:t>
      </w:r>
      <w:r w:rsidR="00F8174B" w:rsidRPr="00F8174B">
        <w:rPr>
          <w:lang w:val="es-ES_tradnl"/>
        </w:rPr>
        <w:t xml:space="preserve"> años de prisión. Los dos exfuncionarios de policía están cumpliendo condena en la prisión provincial de Ranong</w:t>
      </w:r>
      <w:r w:rsidR="00812033">
        <w:rPr>
          <w:lang w:val="es-ES_tradnl"/>
        </w:rPr>
        <w:t>;</w:t>
      </w:r>
    </w:p>
    <w:p w14:paraId="1C0AE742" w14:textId="379614CC" w:rsidR="00F8174B" w:rsidRPr="00F8174B" w:rsidRDefault="00062B95" w:rsidP="00F8174B">
      <w:pPr>
        <w:pStyle w:val="SingleTxtG"/>
        <w:rPr>
          <w:cs/>
          <w:lang w:bidi="th-TH"/>
        </w:rPr>
      </w:pPr>
      <w:r>
        <w:rPr>
          <w:lang w:val="es-ES_tradnl"/>
        </w:rPr>
        <w:tab/>
      </w:r>
      <w:r w:rsidR="00F8174B" w:rsidRPr="00F8174B">
        <w:rPr>
          <w:lang w:val="es-ES_tradnl"/>
        </w:rPr>
        <w:t>b)</w:t>
      </w:r>
      <w:r w:rsidR="00F8174B" w:rsidRPr="00F8174B">
        <w:rPr>
          <w:lang w:val="es-ES_tradnl"/>
        </w:rPr>
        <w:tab/>
        <w:t>En virtud de la decisión núm. 27 Kor. /2553 (2010), el Tribunal Militar</w:t>
      </w:r>
      <w:r w:rsidR="00135654">
        <w:rPr>
          <w:lang w:val="es-ES_tradnl"/>
        </w:rPr>
        <w:t> </w:t>
      </w:r>
      <w:r w:rsidR="00F8174B" w:rsidRPr="00F8174B">
        <w:rPr>
          <w:lang w:val="es-ES_tradnl"/>
        </w:rPr>
        <w:t xml:space="preserve">Provincial de Pattani declaró culpable a un sargento del </w:t>
      </w:r>
      <w:r w:rsidR="00FE345B">
        <w:rPr>
          <w:lang w:val="es-ES_tradnl"/>
        </w:rPr>
        <w:t>e</w:t>
      </w:r>
      <w:r w:rsidR="00F8174B" w:rsidRPr="00F8174B">
        <w:rPr>
          <w:lang w:val="es-ES_tradnl"/>
        </w:rPr>
        <w:t>jército de un acto de agresión a dos civiles y lo condenó a cuatro meses de prisión y a una multa de 1.500 bath. Además, los demandantes entablaron acciones por separado por el mismo incidente ante el Tribunal Administrativo y, el 7 de marzo de 2016, el Tribunal Supremo de lo Contencioso</w:t>
      </w:r>
      <w:r w:rsidR="00135654">
        <w:rPr>
          <w:lang w:val="es-ES_tradnl"/>
        </w:rPr>
        <w:noBreakHyphen/>
      </w:r>
      <w:r w:rsidR="00F8174B" w:rsidRPr="00F8174B">
        <w:rPr>
          <w:lang w:val="es-ES_tradnl"/>
        </w:rPr>
        <w:t>Administrativo, en su decisión núm. Aor. 421/2559 (2016) otorgó sendas indemnizaciones por daños y perjuicios de 101.200 bath y de 100.000 bath a los dos damnificados por la violación de sus derechos. La indemnización ha sido abonada a los demandantes por la Oficina del Primer Ministro, que es el organismo gubernamental al que está adscrito el sargento</w:t>
      </w:r>
      <w:r w:rsidR="00812033">
        <w:rPr>
          <w:lang w:val="es-ES_tradnl"/>
        </w:rPr>
        <w:t>;</w:t>
      </w:r>
    </w:p>
    <w:p w14:paraId="69569FD2" w14:textId="0EBDB462" w:rsidR="00F8174B" w:rsidRPr="00F8174B" w:rsidRDefault="00062B95" w:rsidP="00F8174B">
      <w:pPr>
        <w:pStyle w:val="SingleTxtG"/>
        <w:rPr>
          <w:lang w:val="es-ES_tradnl"/>
        </w:rPr>
      </w:pPr>
      <w:r>
        <w:rPr>
          <w:lang w:val="es-ES_tradnl"/>
        </w:rPr>
        <w:tab/>
      </w:r>
      <w:r w:rsidR="00F8174B" w:rsidRPr="00F8174B">
        <w:rPr>
          <w:lang w:val="es-ES_tradnl"/>
        </w:rPr>
        <w:t>c)</w:t>
      </w:r>
      <w:r w:rsidR="00F8174B" w:rsidRPr="00F8174B">
        <w:rPr>
          <w:lang w:val="es-ES_tradnl"/>
        </w:rPr>
        <w:tab/>
        <w:t>El Tribunal Regional de Apelación núm. 8 condenó a un funcionario de prisiones por golpear a un preso causándole lesiones corporales graves. En virtud de la sentencia núm. 499/2552 (2009) de dicho Tribunal, el acusado fue condenado a dos años de prisión.</w:t>
      </w:r>
    </w:p>
    <w:p w14:paraId="3B3E3B1E" w14:textId="77777777" w:rsidR="00F8174B" w:rsidRPr="00F8174B" w:rsidRDefault="00F8174B" w:rsidP="00F8174B">
      <w:pPr>
        <w:pStyle w:val="SingleTxtG"/>
        <w:rPr>
          <w:lang w:val="es-ES_tradnl"/>
        </w:rPr>
      </w:pPr>
      <w:r w:rsidRPr="00F8174B">
        <w:rPr>
          <w:lang w:val="es-ES_tradnl"/>
        </w:rPr>
        <w:t>18.</w:t>
      </w:r>
      <w:r w:rsidRPr="00F8174B">
        <w:rPr>
          <w:lang w:val="es-ES_tradnl"/>
        </w:rPr>
        <w:tab/>
        <w:t>Además de la responsabilidad penal a que se ha hecho referencia anteriormente, el funcionario que comete un acto de tortura o malos tratos también puede incurrir en responsabilidad civil y disciplinaria. A continuación se presentan algunos ejemplos al respecto:</w:t>
      </w:r>
    </w:p>
    <w:p w14:paraId="5D6EC317" w14:textId="08775A91" w:rsidR="00F8174B" w:rsidRPr="00F8174B" w:rsidRDefault="00062B95" w:rsidP="00F8174B">
      <w:pPr>
        <w:pStyle w:val="SingleTxtG"/>
        <w:rPr>
          <w:lang w:val="es-ES_tradnl"/>
        </w:rPr>
      </w:pPr>
      <w:r>
        <w:rPr>
          <w:lang w:val="es-ES_tradnl"/>
        </w:rPr>
        <w:tab/>
      </w:r>
      <w:r w:rsidR="00F8174B" w:rsidRPr="00F8174B">
        <w:rPr>
          <w:lang w:val="es-ES_tradnl"/>
        </w:rPr>
        <w:t>a)</w:t>
      </w:r>
      <w:r w:rsidR="00F8174B" w:rsidRPr="00F8174B">
        <w:rPr>
          <w:lang w:val="es-ES_tradnl"/>
        </w:rPr>
        <w:tab/>
        <w:t>El 5 de septiembre de 2016, un teniente fue dado de baja del servicio y despojado de su rango por infligir un castigo físico a un soldado, el Sr. Songtham Mudmad, causándole la muerte</w:t>
      </w:r>
      <w:r w:rsidR="00812033">
        <w:rPr>
          <w:lang w:val="es-ES_tradnl"/>
        </w:rPr>
        <w:t>;</w:t>
      </w:r>
    </w:p>
    <w:p w14:paraId="7D3F3759" w14:textId="7A08013F" w:rsidR="00F8174B" w:rsidRPr="00F8174B" w:rsidRDefault="00062B95" w:rsidP="00F8174B">
      <w:pPr>
        <w:pStyle w:val="SingleTxtG"/>
        <w:rPr>
          <w:lang w:val="es-ES_tradnl"/>
        </w:rPr>
      </w:pPr>
      <w:r>
        <w:rPr>
          <w:lang w:val="es-ES_tradnl"/>
        </w:rPr>
        <w:tab/>
      </w:r>
      <w:r w:rsidR="00F8174B" w:rsidRPr="00F8174B">
        <w:rPr>
          <w:lang w:val="es-ES_tradnl"/>
        </w:rPr>
        <w:t>b)</w:t>
      </w:r>
      <w:r w:rsidR="00F8174B" w:rsidRPr="00F8174B">
        <w:rPr>
          <w:lang w:val="es-ES_tradnl"/>
        </w:rPr>
        <w:tab/>
        <w:t>En virtud de la sentencia núm. Aor</w:t>
      </w:r>
      <w:r w:rsidR="00F8174B" w:rsidRPr="00F8174B">
        <w:rPr>
          <w:cs/>
          <w:lang w:bidi="th-TH"/>
        </w:rPr>
        <w:t xml:space="preserve">. </w:t>
      </w:r>
      <w:r w:rsidR="00F8174B" w:rsidRPr="00F8174B">
        <w:rPr>
          <w:lang w:val="es-ES_tradnl"/>
        </w:rPr>
        <w:t xml:space="preserve">717/2558 (2015), el Tribunal Supremo de lo Contencioso-Administrativo condenó a la Oficina del Primer Ministro a pagar una indemnización por daños y perjuicios por un total de </w:t>
      </w:r>
      <w:r w:rsidR="00F8174B" w:rsidRPr="00F8174B">
        <w:rPr>
          <w:cs/>
          <w:lang w:bidi="th-TH"/>
        </w:rPr>
        <w:t>534.301,36</w:t>
      </w:r>
      <w:r w:rsidR="00F8174B" w:rsidRPr="00F8174B">
        <w:rPr>
          <w:lang w:val="es-ES_tradnl"/>
        </w:rPr>
        <w:t xml:space="preserve"> bath a la familia del fallecido, el Sr. Ashari Sama-ae, quien fue golpeado mientras se encontraba detenido por agentes de seguridad, falleciendo posteriormente</w:t>
      </w:r>
      <w:r w:rsidR="00812033">
        <w:rPr>
          <w:lang w:val="es-ES_tradnl"/>
        </w:rPr>
        <w:t>;</w:t>
      </w:r>
    </w:p>
    <w:p w14:paraId="7D3B440B" w14:textId="3BBE9FA9" w:rsidR="00F8174B" w:rsidRPr="00F8174B" w:rsidRDefault="00062B95" w:rsidP="00F8174B">
      <w:pPr>
        <w:pStyle w:val="SingleTxtG"/>
        <w:rPr>
          <w:cs/>
          <w:lang w:bidi="th-TH"/>
        </w:rPr>
      </w:pPr>
      <w:r>
        <w:rPr>
          <w:lang w:val="es-ES_tradnl"/>
        </w:rPr>
        <w:tab/>
      </w:r>
      <w:r w:rsidR="00F8174B" w:rsidRPr="00F8174B">
        <w:rPr>
          <w:lang w:val="es-ES_tradnl"/>
        </w:rPr>
        <w:t>c)</w:t>
      </w:r>
      <w:r w:rsidR="00F8174B" w:rsidRPr="00F8174B">
        <w:rPr>
          <w:lang w:val="es-ES_tradnl"/>
        </w:rPr>
        <w:tab/>
        <w:t xml:space="preserve">El Tribunal Supremo de lo Contencioso-Administrativo, en virtud de la sentencia núm. Aor. </w:t>
      </w:r>
      <w:r w:rsidR="00F8174B" w:rsidRPr="00F8174B">
        <w:rPr>
          <w:cs/>
          <w:lang w:bidi="th-TH"/>
        </w:rPr>
        <w:t>1309-1310/2559</w:t>
      </w:r>
      <w:r w:rsidR="00F8174B" w:rsidRPr="00F8174B">
        <w:rPr>
          <w:lang w:val="es-ES_tradnl"/>
        </w:rPr>
        <w:t>, condenó al Real Ejército Tailandés a pagar una indemnización de 305.000 y 200.000 bath al Sr. Isma-ae Tae y el Sr. Armesee Manak, respectivamente, quienes resultaron heridos tras ser detenidos por agentes de seguridad</w:t>
      </w:r>
      <w:r w:rsidR="00812033">
        <w:rPr>
          <w:lang w:val="es-ES_tradnl"/>
        </w:rPr>
        <w:t>;</w:t>
      </w:r>
    </w:p>
    <w:p w14:paraId="65AE5DCB" w14:textId="76C44258" w:rsidR="00F8174B" w:rsidRPr="00F8174B" w:rsidRDefault="00062B95" w:rsidP="00F8174B">
      <w:pPr>
        <w:pStyle w:val="SingleTxtG"/>
        <w:rPr>
          <w:lang w:val="es-ES_tradnl"/>
        </w:rPr>
      </w:pPr>
      <w:r>
        <w:rPr>
          <w:lang w:val="es-ES_tradnl"/>
        </w:rPr>
        <w:tab/>
      </w:r>
      <w:r w:rsidR="00F8174B" w:rsidRPr="00F8174B">
        <w:rPr>
          <w:lang w:val="es-ES_tradnl"/>
        </w:rPr>
        <w:t>d)</w:t>
      </w:r>
      <w:r w:rsidR="00F8174B" w:rsidRPr="00F8174B">
        <w:rPr>
          <w:lang w:val="es-ES_tradnl"/>
        </w:rPr>
        <w:tab/>
        <w:t xml:space="preserve">El Tribunal Supremo de lo Contencioso-Administrativo, mediante la sentencia núm. Aor. </w:t>
      </w:r>
      <w:r w:rsidR="00F8174B" w:rsidRPr="00F8174B">
        <w:rPr>
          <w:cs/>
          <w:lang w:bidi="th-TH"/>
        </w:rPr>
        <w:t>1350/2559</w:t>
      </w:r>
      <w:r w:rsidR="00F8174B" w:rsidRPr="00F8174B">
        <w:rPr>
          <w:lang w:val="es-ES_tradnl"/>
        </w:rPr>
        <w:t xml:space="preserve">, condenó a la Oficina del Primer Ministro a pagar una indemnización por daños y perjuicios de </w:t>
      </w:r>
      <w:r w:rsidR="00F8174B" w:rsidRPr="00F8174B">
        <w:rPr>
          <w:cs/>
          <w:lang w:bidi="th-TH"/>
        </w:rPr>
        <w:t xml:space="preserve">348.588 </w:t>
      </w:r>
      <w:r w:rsidR="00F8174B" w:rsidRPr="00F8174B">
        <w:rPr>
          <w:lang w:val="es-ES_tradnl"/>
        </w:rPr>
        <w:t>bath al Sr. Rayu Dorkor, que denunció haber sido agredido mientras se encontraba detenido con objeto de obligarlo a confesar.</w:t>
      </w:r>
    </w:p>
    <w:p w14:paraId="6D512210" w14:textId="0366B243" w:rsidR="00F8174B" w:rsidRPr="00F8174B" w:rsidRDefault="00F8174B" w:rsidP="00F8174B">
      <w:pPr>
        <w:pStyle w:val="SingleTxtG"/>
        <w:rPr>
          <w:cs/>
        </w:rPr>
      </w:pPr>
      <w:r w:rsidRPr="00F8174B">
        <w:rPr>
          <w:cs/>
        </w:rPr>
        <w:t>19.</w:t>
      </w:r>
      <w:r w:rsidRPr="00F8174B">
        <w:rPr>
          <w:cs/>
        </w:rPr>
        <w:tab/>
      </w:r>
      <w:r w:rsidRPr="00F8174B">
        <w:rPr>
          <w:lang w:val="es-ES_tradnl"/>
        </w:rPr>
        <w:t xml:space="preserve">Además, el artículo 226 del Código de Procedimiento Penal tailandés prohíbe la admisión de pruebas obtenidas por medios ilícitos, incluidas las obtenidas mediante coacción y actos de tortura o malos tratos, de conformidad con el principio del </w:t>
      </w:r>
      <w:r w:rsidR="006F6842">
        <w:rPr>
          <w:lang w:val="es-ES_tradnl"/>
        </w:rPr>
        <w:t>“</w:t>
      </w:r>
      <w:r w:rsidRPr="00F8174B">
        <w:rPr>
          <w:lang w:val="es-ES_tradnl"/>
        </w:rPr>
        <w:t>fruto del árbol envenenado</w:t>
      </w:r>
      <w:r w:rsidR="006F6842">
        <w:rPr>
          <w:lang w:val="es-ES_tradnl"/>
        </w:rPr>
        <w:t>”</w:t>
      </w:r>
      <w:r w:rsidRPr="00F8174B">
        <w:rPr>
          <w:lang w:val="es-ES_tradnl"/>
        </w:rPr>
        <w:t xml:space="preserve">, según el cual toda prueba obtenida con violación de las garantías </w:t>
      </w:r>
      <w:r w:rsidRPr="00F8174B">
        <w:rPr>
          <w:lang w:val="es-ES_tradnl"/>
        </w:rPr>
        <w:lastRenderedPageBreak/>
        <w:t xml:space="preserve">fundamentales será nula de pleno derecho. Como ejemplo al respecto cabe señalar que el Tribunal Supremo, en su sentencia núm. 1029/2548 (2005), absolvió al acusado a pesar de que este había confesado el delito que se le imputaba, porque el Tribunal Supremo estimó que la confesión, obtenida tras un interrogatorio de 12 horas consecutivas, no era creíble, ya que el acusado debía estar </w:t>
      </w:r>
      <w:r w:rsidR="006F6842">
        <w:rPr>
          <w:lang w:val="es-ES_tradnl"/>
        </w:rPr>
        <w:t>“</w:t>
      </w:r>
      <w:r w:rsidRPr="00F8174B">
        <w:rPr>
          <w:lang w:val="es-ES_tradnl"/>
        </w:rPr>
        <w:t>física y mentalmente exhausto</w:t>
      </w:r>
      <w:r w:rsidR="006F6842">
        <w:rPr>
          <w:lang w:val="es-ES_tradnl"/>
        </w:rPr>
        <w:t>”</w:t>
      </w:r>
      <w:r w:rsidRPr="00F8174B">
        <w:rPr>
          <w:lang w:val="es-ES_tradnl"/>
        </w:rPr>
        <w:t>.</w:t>
      </w:r>
    </w:p>
    <w:p w14:paraId="5C94C08A" w14:textId="552FEE0A" w:rsidR="00F8174B" w:rsidRPr="00F8174B" w:rsidRDefault="00062B95" w:rsidP="00062B95">
      <w:pPr>
        <w:pStyle w:val="H1G"/>
        <w:rPr>
          <w:bCs/>
          <w:lang w:val="es-ES_tradnl"/>
        </w:rPr>
      </w:pPr>
      <w:r>
        <w:rPr>
          <w:lang w:val="es-ES_tradnl"/>
        </w:rPr>
        <w:tab/>
      </w:r>
      <w:r w:rsidR="00F8174B" w:rsidRPr="00F8174B">
        <w:rPr>
          <w:lang w:val="es-ES_tradnl"/>
        </w:rPr>
        <w:tab/>
        <w:t>Respuesta a las cuestiones planteadas en el párrafo 5 de la lista de</w:t>
      </w:r>
      <w:r>
        <w:rPr>
          <w:lang w:val="es-ES_tradnl"/>
        </w:rPr>
        <w:t> </w:t>
      </w:r>
      <w:r w:rsidR="00F8174B" w:rsidRPr="00F8174B">
        <w:rPr>
          <w:lang w:val="es-ES_tradnl"/>
        </w:rPr>
        <w:t>cuestiones</w:t>
      </w:r>
    </w:p>
    <w:p w14:paraId="51AB4A5E" w14:textId="77777777" w:rsidR="00F8174B" w:rsidRPr="00F8174B" w:rsidRDefault="00F8174B" w:rsidP="005C4964">
      <w:pPr>
        <w:pStyle w:val="SingleTxtG"/>
        <w:spacing w:after="130"/>
        <w:rPr>
          <w:b/>
          <w:bCs/>
          <w:lang w:val="es-ES_tradnl"/>
        </w:rPr>
      </w:pPr>
      <w:r w:rsidRPr="00F8174B">
        <w:rPr>
          <w:bCs/>
          <w:lang w:val="es-ES_tradnl"/>
        </w:rPr>
        <w:t>20.</w:t>
      </w:r>
      <w:r w:rsidRPr="00F8174B">
        <w:rPr>
          <w:bCs/>
          <w:lang w:val="es-ES_tradnl"/>
        </w:rPr>
        <w:tab/>
      </w:r>
      <w:r w:rsidRPr="00F8174B">
        <w:rPr>
          <w:lang w:val="es-ES_tradnl"/>
        </w:rPr>
        <w:t>En relación con el párrafo 62 del informe inicial, el artículo 7, párrafo 1, del Código de Procedimiento Penal garantiza todas las salvaguardias legales a todos los detenidos</w:t>
      </w:r>
      <w:r w:rsidRPr="00F8174B">
        <w:rPr>
          <w:cs/>
          <w:lang w:bidi="th-TH"/>
        </w:rPr>
        <w:t xml:space="preserve">. </w:t>
      </w:r>
      <w:r w:rsidRPr="00F8174B">
        <w:rPr>
          <w:lang w:val="es-ES_tradnl"/>
        </w:rPr>
        <w:t>La policía, el personal penitenciario y otros funcionarios del sistema de justicia penal respetan estrictamente estos derechos</w:t>
      </w:r>
      <w:r w:rsidRPr="00F8174B">
        <w:rPr>
          <w:cs/>
          <w:lang w:bidi="th-TH"/>
        </w:rPr>
        <w:t xml:space="preserve">. </w:t>
      </w:r>
      <w:r w:rsidRPr="00F8174B">
        <w:rPr>
          <w:lang w:val="es-ES_tradnl"/>
        </w:rPr>
        <w:t>En la totalidad de las comisarías de policía, las prisiones y los demás lugares de detención, todas las personas detenidas son informadas de sus derechos y obligaciones en idiomas que pueden entender</w:t>
      </w:r>
      <w:r w:rsidRPr="00F8174B">
        <w:rPr>
          <w:cs/>
          <w:lang w:bidi="th-TH"/>
        </w:rPr>
        <w:t>.</w:t>
      </w:r>
    </w:p>
    <w:p w14:paraId="3350E8FE" w14:textId="77777777" w:rsidR="00F8174B" w:rsidRPr="00F8174B" w:rsidRDefault="00F8174B" w:rsidP="005C4964">
      <w:pPr>
        <w:pStyle w:val="SingleTxtG"/>
        <w:spacing w:after="130"/>
        <w:rPr>
          <w:lang w:val="es-ES_tradnl"/>
        </w:rPr>
      </w:pPr>
      <w:r w:rsidRPr="00F8174B">
        <w:rPr>
          <w:lang w:val="es-ES_tradnl"/>
        </w:rPr>
        <w:t>21.</w:t>
      </w:r>
      <w:r w:rsidRPr="00F8174B">
        <w:rPr>
          <w:lang w:val="es-ES_tradnl"/>
        </w:rPr>
        <w:tab/>
        <w:t>Tailandia sustituyó la Ley Penitenciaria de 1936 por la Ley Penitenciaria de 2017, que entró en vigor en mayo de 2017, con el fin de reformar el sistema penitenciario de conformidad con las Reglas Mínimas de las Naciones Unidas para el Tratamiento de los Reclusos (Reglas Nelson Mandela) y las Reglas de las Naciones Unidas para el Tratamiento de las Reclusas y Medidas No Privativas de la Libertad para las Mujeres Delincuentes (Reglas de Bangkok).</w:t>
      </w:r>
    </w:p>
    <w:p w14:paraId="420720E1" w14:textId="77777777" w:rsidR="00F8174B" w:rsidRPr="00F8174B" w:rsidRDefault="00F8174B" w:rsidP="005C4964">
      <w:pPr>
        <w:pStyle w:val="SingleTxtG"/>
        <w:spacing w:after="130"/>
        <w:rPr>
          <w:lang w:val="es-ES_tradnl"/>
        </w:rPr>
      </w:pPr>
      <w:r w:rsidRPr="00F8174B">
        <w:rPr>
          <w:lang w:val="es-ES_tradnl"/>
        </w:rPr>
        <w:t>22.</w:t>
      </w:r>
      <w:r w:rsidRPr="00F8174B">
        <w:rPr>
          <w:lang w:val="es-ES_tradnl"/>
        </w:rPr>
        <w:tab/>
        <w:t>El Plan de Reforma del Sistema de Justicia, de 6 de abril de 2018, tiene por objeto mejorar diversos aspectos del sistema judicial, incluidas las condiciones en las prisiones y los centros de reclusión de todo el país. El 18 de julio de 2017, para conmemorar el Día Internacional de Nelson Mandela, el Departamento de Instituciones Penitenciarias del Ministerio de Justicia y el Instituto de Justicia de Tailandia anunciaron la adopción de compromisos colectivos para impulsar la aplicación plena y efectiva en el país de las Reglas Nelson Mandela. El Departamento de Instituciones Penitenciarias ha puesto en marcha un proyecto experimental en la prisión preventiva de Thonburi para aplicar plenamente las Reglas Nelson Mandela, y prevé llevarlo a cabo también en la prisión preventiva de Bangkok y la prisión provincial de Uthai Thani en el ejercicio presupuestario de 2019. Asimismo, en 12 prisiones de diferentes partes del país se están aplicando de forma experimental las Reglas Nelson Mandela.</w:t>
      </w:r>
    </w:p>
    <w:p w14:paraId="268531F4" w14:textId="77777777" w:rsidR="00F8174B" w:rsidRPr="00F8174B" w:rsidRDefault="00F8174B" w:rsidP="005C4964">
      <w:pPr>
        <w:pStyle w:val="SingleTxtG"/>
        <w:spacing w:after="130"/>
        <w:rPr>
          <w:lang w:val="es-ES_tradnl"/>
        </w:rPr>
      </w:pPr>
      <w:r w:rsidRPr="00F8174B">
        <w:rPr>
          <w:lang w:val="es-ES_tradnl"/>
        </w:rPr>
        <w:t>23.</w:t>
      </w:r>
      <w:r w:rsidRPr="00F8174B">
        <w:rPr>
          <w:lang w:val="es-ES_tradnl"/>
        </w:rPr>
        <w:tab/>
        <w:t>Por lo que respecta a los servicios de salud en los centros penitenciarios, la División de Servicios Médicos del Departamento de Instituciones Penitenciarias del Ministerio de Justicia dedica esfuerzos y recursos a garantizar que los reclusos reciban servicios médicos adecuados. La Ley Penitenciaria de 2017 exige el establecimiento de un centro médico en cada uno de los establecimientos penitenciarios.</w:t>
      </w:r>
    </w:p>
    <w:p w14:paraId="5EDA2BCA" w14:textId="77777777" w:rsidR="00F8174B" w:rsidRPr="00F8174B" w:rsidRDefault="00F8174B" w:rsidP="005C4964">
      <w:pPr>
        <w:pStyle w:val="SingleTxtG"/>
        <w:spacing w:after="130"/>
        <w:rPr>
          <w:lang w:val="es-ES_tradnl"/>
        </w:rPr>
      </w:pPr>
      <w:r w:rsidRPr="00F8174B">
        <w:rPr>
          <w:lang w:val="es-ES_tradnl"/>
        </w:rPr>
        <w:t>24.</w:t>
      </w:r>
      <w:r w:rsidRPr="00F8174B">
        <w:rPr>
          <w:lang w:val="es-ES_tradnl"/>
        </w:rPr>
        <w:tab/>
        <w:t>El 22 de enero de 2019, el Ministerio de Salud Pública, el Departamento de Instituciones Penitenciarias y la Oficina Nacional de Seguridad Sanitaria firmaron un memorando de entendimiento con objeto de reforzar y mejorar el sistema de servicios de salud para los reclusos. Esta iniciativa está en consonancia con la resolución del Consejo de Ministros de 17 de noviembre de 2015, en la que se solicitó a las autoridades competentes que adoptaran medidas para asignar personal sanitario de los hospitales locales a fin de prestar servicios en las prisiones, establecer un pabellón especial para los reclusos que requirieran tratamiento fuera de las instalaciones penitenciarias y mejorar el sistema de servicios de salud para los reclusos. En el presente ejercicio presupuestario, la Oficina Nacional de Seguridad Sanitaria ha registrado servicios de salud de 141 prisiones como centros de atención primaria de salud y otros dos servicios más como centros permanentes. Gracias a ello, estos centros de salud de las prisiones podrán atender y derivar pacientes a otros establecimientos de salud del sistema de salud de la Oficina Nacional de Seguridad Sanitaria. Todos los centros de salud de las prisiones cuentan con personal de enfermería y con médicos adscritos al Ministerio de Salud Pública que realizan visitas periódicas. En caso de emergencia, los reclusos enfermos son trasladados a hospitales externos.</w:t>
      </w:r>
    </w:p>
    <w:p w14:paraId="72CECF87" w14:textId="77777777" w:rsidR="00F8174B" w:rsidRPr="00F8174B" w:rsidRDefault="00F8174B" w:rsidP="005C4964">
      <w:pPr>
        <w:pStyle w:val="SingleTxtG"/>
        <w:keepNext/>
        <w:keepLines/>
        <w:rPr>
          <w:lang w:val="es-ES_tradnl"/>
        </w:rPr>
      </w:pPr>
      <w:r w:rsidRPr="00F8174B">
        <w:rPr>
          <w:lang w:val="es-ES_tradnl"/>
        </w:rPr>
        <w:lastRenderedPageBreak/>
        <w:t>25.</w:t>
      </w:r>
      <w:r w:rsidRPr="00F8174B">
        <w:rPr>
          <w:lang w:val="es-ES_tradnl"/>
        </w:rPr>
        <w:tab/>
        <w:t xml:space="preserve">Se mantiene un registro electrónico de reclusos que se actualiza constantemente. Para más información sobre el número de reclusos existente en Tailandia, desglosado por género, edad y nacionalidad (datos actualizados a 20 de mayo de 2020), véase el cuadro </w:t>
      </w:r>
      <w:r w:rsidRPr="00F8174B">
        <w:rPr>
          <w:cs/>
          <w:lang w:bidi="th-TH"/>
        </w:rPr>
        <w:t xml:space="preserve">1 </w:t>
      </w:r>
      <w:r w:rsidRPr="00F8174B">
        <w:rPr>
          <w:lang w:val="es-ES_tradnl"/>
        </w:rPr>
        <w:t>anexo al presente informe.</w:t>
      </w:r>
    </w:p>
    <w:p w14:paraId="02FC6482" w14:textId="51194FE5" w:rsidR="00F8174B" w:rsidRPr="00F8174B" w:rsidRDefault="00F8174B" w:rsidP="00F8174B">
      <w:pPr>
        <w:pStyle w:val="SingleTxtG"/>
        <w:rPr>
          <w:lang w:val="es-ES_tradnl"/>
        </w:rPr>
      </w:pPr>
      <w:r w:rsidRPr="00F8174B">
        <w:rPr>
          <w:lang w:val="es-ES_tradnl"/>
        </w:rPr>
        <w:t>26.</w:t>
      </w:r>
      <w:r w:rsidRPr="00F8174B">
        <w:rPr>
          <w:lang w:val="es-ES_tradnl"/>
        </w:rPr>
        <w:tab/>
        <w:t xml:space="preserve">El acceso a la justicia, incluida la prestación de asistencia y asesoramiento jurídicos, es una de las principales prioridades del Real Gobierno de Tailandia. A ese respecto cabe señalar la creación del Fondo de Justicia en virtud de la Ley del Fondo de Justicia, de 2558 de la E.B. (2015), con objeto de prestar asistencia jurídica a todas las personas, tanto las personas acusadas como las que se han visto afectadas por un proceso judicial o han sido objeto de vulneraciones de sus derechos humanos, independientemente de su nacionalidad. El Fondo de Justicia, que tiene la condición de persona jurídica por ley, otorga ayudas para sufragar el pago de fianzas, la contratación de abogados, las costas judiciales y otros gastos relacionados con el enjuiciamiento en Tailandia. Además, presta apoyo financiero para la formación jurídica del público en general a fin de que todas las personas conozcan sus derechos y no sean sometidas a abusos. Actualmente, se puede contactar con el Fondo de Justicia de tres formas: 1) a través de una aplicación móvil; 2) a través del sitio web del Fondo </w:t>
      </w:r>
      <w:r w:rsidRPr="00F8174B">
        <w:rPr>
          <w:cs/>
          <w:lang w:bidi="th-TH"/>
        </w:rPr>
        <w:t>(</w:t>
      </w:r>
      <w:r w:rsidRPr="00F8174B">
        <w:rPr>
          <w:lang w:val="es-ES_tradnl"/>
        </w:rPr>
        <w:t>jfo.moj.go.th)</w:t>
      </w:r>
      <w:r w:rsidR="00C03C2D">
        <w:rPr>
          <w:lang w:val="es-ES_tradnl"/>
        </w:rPr>
        <w:t>;</w:t>
      </w:r>
      <w:r w:rsidRPr="00F8174B">
        <w:rPr>
          <w:lang w:val="es-ES_tradnl"/>
        </w:rPr>
        <w:t xml:space="preserve"> y 3) personalmente, en las oficinas del Fondo de Justicia en todas las provincias del país.</w:t>
      </w:r>
    </w:p>
    <w:p w14:paraId="27A88973" w14:textId="2FBD9A13" w:rsidR="00F8174B" w:rsidRPr="00D15B9A" w:rsidRDefault="00F8174B" w:rsidP="00F8174B">
      <w:pPr>
        <w:pStyle w:val="SingleTxtG"/>
        <w:rPr>
          <w:lang w:val="es-ES_tradnl"/>
        </w:rPr>
      </w:pPr>
      <w:r w:rsidRPr="00F8174B">
        <w:rPr>
          <w:bCs/>
          <w:lang w:val="es-ES_tradnl"/>
        </w:rPr>
        <w:t>27.</w:t>
      </w:r>
      <w:r w:rsidRPr="00F8174B">
        <w:rPr>
          <w:bCs/>
          <w:lang w:val="es-ES_tradnl"/>
        </w:rPr>
        <w:tab/>
      </w:r>
      <w:r w:rsidRPr="00F8174B">
        <w:rPr>
          <w:lang w:val="es-ES_tradnl"/>
        </w:rPr>
        <w:t xml:space="preserve">El Ministerio de Justicia también ha puesto en marcha un programa de divulgación denominado </w:t>
      </w:r>
      <w:r w:rsidR="006F6842">
        <w:rPr>
          <w:lang w:val="es-ES_tradnl"/>
        </w:rPr>
        <w:t>“</w:t>
      </w:r>
      <w:r w:rsidRPr="00F8174B">
        <w:rPr>
          <w:lang w:val="es-ES_tradnl"/>
        </w:rPr>
        <w:t>Atención de la Justicia</w:t>
      </w:r>
      <w:r w:rsidR="006F6842">
        <w:rPr>
          <w:lang w:val="es-ES_tradnl"/>
        </w:rPr>
        <w:t>”</w:t>
      </w:r>
      <w:r w:rsidRPr="00F8174B">
        <w:rPr>
          <w:cs/>
          <w:lang w:bidi="th-TH"/>
        </w:rPr>
        <w:t xml:space="preserve"> </w:t>
      </w:r>
      <w:r w:rsidRPr="00F8174B">
        <w:rPr>
          <w:lang w:val="es-ES_tradnl"/>
        </w:rPr>
        <w:t>que combina en una sola plataforma varios de los medios existentes para la prestación de asistencia a las personas damnificadas y a las víctimas de delitos</w:t>
      </w:r>
      <w:r w:rsidRPr="00F8174B">
        <w:rPr>
          <w:cs/>
          <w:lang w:bidi="th-TH"/>
        </w:rPr>
        <w:t xml:space="preserve">. Este programa se ocupará de las </w:t>
      </w:r>
      <w:r w:rsidRPr="00F8174B">
        <w:rPr>
          <w:lang w:val="es-ES_tradnl"/>
        </w:rPr>
        <w:t>denuncias relativas a violaciones de los derechos humanos con rapidez y eficacia</w:t>
      </w:r>
      <w:r w:rsidRPr="00F8174B">
        <w:rPr>
          <w:cs/>
          <w:lang w:bidi="th-TH"/>
        </w:rPr>
        <w:t xml:space="preserve">. </w:t>
      </w:r>
      <w:r w:rsidRPr="00F8174B">
        <w:rPr>
          <w:lang w:val="es-ES_tradnl"/>
        </w:rPr>
        <w:t>El servicio está disponible para todos, sin distinción de raza o nacionalidad</w:t>
      </w:r>
      <w:r w:rsidRPr="00F8174B">
        <w:rPr>
          <w:cs/>
          <w:lang w:bidi="th-TH"/>
        </w:rPr>
        <w:t xml:space="preserve">. </w:t>
      </w:r>
      <w:r w:rsidRPr="00F8174B">
        <w:rPr>
          <w:lang w:val="es-ES_tradnl"/>
        </w:rPr>
        <w:t>A través de este servicio, las personas pueden solicitar asesoramiento jurídico, asistencia legal, restitución, indemnización estatal, protección de testigos y otras formas de apoyo contempladas en la legislación pertinente, como la Ley del Fondo de Justicia, de 2558 de la E.B. (2015) y la Ley de Indemnización por Daños y Perjuicios para Personas Damnificadas e Indemnización y Gastos para Acusados en Casos Penales, de 2544 de la E.B. (2001) (modificada en 2559 de la E.B. (2016)).</w:t>
      </w:r>
    </w:p>
    <w:p w14:paraId="07ADB96E" w14:textId="19AE4AEE" w:rsidR="00F8174B" w:rsidRPr="00F8174B" w:rsidRDefault="00062B95" w:rsidP="00062B95">
      <w:pPr>
        <w:pStyle w:val="H1G"/>
        <w:rPr>
          <w:cs/>
        </w:rPr>
      </w:pPr>
      <w:r>
        <w:rPr>
          <w:bCs/>
          <w:lang w:val="es-ES_tradnl"/>
        </w:rPr>
        <w:tab/>
      </w:r>
      <w:r w:rsidR="00F8174B" w:rsidRPr="00F8174B">
        <w:rPr>
          <w:bCs/>
          <w:lang w:val="es-ES_tradnl"/>
        </w:rPr>
        <w:tab/>
      </w:r>
      <w:r w:rsidR="00F8174B" w:rsidRPr="00F8174B">
        <w:rPr>
          <w:lang w:val="es-ES_tradnl"/>
        </w:rPr>
        <w:t>Respuesta a las cuestiones planteadas en el párrafo 6 de la lista de</w:t>
      </w:r>
      <w:r w:rsidR="00D15B9A">
        <w:rPr>
          <w:lang w:val="es-ES_tradnl"/>
        </w:rPr>
        <w:t> </w:t>
      </w:r>
      <w:r w:rsidR="00F8174B" w:rsidRPr="00F8174B">
        <w:rPr>
          <w:lang w:val="es-ES_tradnl"/>
        </w:rPr>
        <w:t>cuestiones</w:t>
      </w:r>
    </w:p>
    <w:p w14:paraId="2EAF615E" w14:textId="77777777" w:rsidR="00F8174B" w:rsidRPr="00F8174B" w:rsidRDefault="00F8174B" w:rsidP="00F8174B">
      <w:pPr>
        <w:pStyle w:val="SingleTxtG"/>
        <w:rPr>
          <w:lang w:val="es-ES_tradnl"/>
        </w:rPr>
      </w:pPr>
      <w:r w:rsidRPr="00F8174B">
        <w:rPr>
          <w:lang w:val="es-ES_tradnl"/>
        </w:rPr>
        <w:t>28.</w:t>
      </w:r>
      <w:r w:rsidRPr="00F8174B">
        <w:rPr>
          <w:lang w:val="es-ES_tradnl"/>
        </w:rPr>
        <w:tab/>
        <w:t>La medida que prevé otorgar facultades para recluir a civiles en virtud de las Órdenes núms. 3/2558 y 13/2559 del Jefe del Consejo Nacional para la Paz y el Orden tiene carácter temporal y su adopción fue consecuencia de la prolongada situación de agitación política en el país. Cuando se ejecutaron las Órdenes, las facultades conferidas a los funcionarios se ejercieron con estricta observancia de las siguientes condiciones:</w:t>
      </w:r>
    </w:p>
    <w:p w14:paraId="193713AA" w14:textId="691D0F0B" w:rsidR="00F8174B" w:rsidRPr="00F8174B" w:rsidRDefault="00F8174B" w:rsidP="00F8174B">
      <w:pPr>
        <w:pStyle w:val="SingleTxtG"/>
        <w:rPr>
          <w:lang w:val="es-ES_tradnl"/>
        </w:rPr>
      </w:pPr>
      <w:r w:rsidRPr="00F8174B">
        <w:rPr>
          <w:lang w:val="es-ES_tradnl"/>
        </w:rPr>
        <w:tab/>
        <w:t>a)</w:t>
      </w:r>
      <w:r w:rsidRPr="00F8174B">
        <w:rPr>
          <w:lang w:val="es-ES_tradnl"/>
        </w:rPr>
        <w:tab/>
        <w:t>La reclusión temporal tendrá por objeto el establecimiento de un diálogo informal para obtener información o testimonios con miras al mantenimiento de la paz y el orden en el país</w:t>
      </w:r>
      <w:r w:rsidR="00812033">
        <w:rPr>
          <w:lang w:val="es-ES_tradnl"/>
        </w:rPr>
        <w:t>;</w:t>
      </w:r>
    </w:p>
    <w:p w14:paraId="70FA234B" w14:textId="452B9686" w:rsidR="00F8174B" w:rsidRPr="00F8174B" w:rsidRDefault="00F8174B" w:rsidP="00F8174B">
      <w:pPr>
        <w:pStyle w:val="SingleTxtG"/>
        <w:rPr>
          <w:lang w:val="es-ES_tradnl"/>
        </w:rPr>
      </w:pPr>
      <w:r w:rsidRPr="00F8174B">
        <w:rPr>
          <w:lang w:val="es-ES_tradnl"/>
        </w:rPr>
        <w:tab/>
        <w:t>b)</w:t>
      </w:r>
      <w:r w:rsidRPr="00F8174B">
        <w:rPr>
          <w:lang w:val="es-ES_tradnl"/>
        </w:rPr>
        <w:tab/>
        <w:t>La reclusión solo podrá llevarse a cabo cuando existan motivos razonables para considerar que se han cometido determinados delitos graves contra el orden público o el sistema económico o social</w:t>
      </w:r>
      <w:r w:rsidR="00812033">
        <w:rPr>
          <w:lang w:val="es-ES_tradnl"/>
        </w:rPr>
        <w:t>;</w:t>
      </w:r>
    </w:p>
    <w:p w14:paraId="4728D979" w14:textId="403C9DAB" w:rsidR="00F8174B" w:rsidRPr="00F8174B" w:rsidRDefault="00F8174B" w:rsidP="00F8174B">
      <w:pPr>
        <w:pStyle w:val="SingleTxtG"/>
        <w:rPr>
          <w:lang w:val="es-ES_tradnl"/>
        </w:rPr>
      </w:pPr>
      <w:r w:rsidRPr="00F8174B">
        <w:rPr>
          <w:lang w:val="es-ES_tradnl"/>
        </w:rPr>
        <w:tab/>
        <w:t>c)</w:t>
      </w:r>
      <w:r w:rsidRPr="00F8174B">
        <w:rPr>
          <w:lang w:val="es-ES_tradnl"/>
        </w:rPr>
        <w:tab/>
        <w:t>La reclusión no es un encarcelamiento y, por lo tanto, deberá producirse en un lugar oficial que no sea una comisaría de policía, un centro de detención o una prisión. Dicho lugar deberá reunir buenas condiciones y estar equipado con ropa de cama, aire acondicionado y cuarto de baño. Las personas recluidas tendrán derecho a comer, dormir, y realizar otras tareas que les permitan continuar con sus actividades diarias</w:t>
      </w:r>
      <w:r w:rsidR="00812033">
        <w:rPr>
          <w:lang w:val="es-ES_tradnl"/>
        </w:rPr>
        <w:t>;</w:t>
      </w:r>
    </w:p>
    <w:p w14:paraId="052BE016" w14:textId="02D82F91" w:rsidR="00F8174B" w:rsidRPr="00F8174B" w:rsidRDefault="00F8174B" w:rsidP="00F8174B">
      <w:pPr>
        <w:pStyle w:val="SingleTxtG"/>
        <w:rPr>
          <w:lang w:val="es-ES_tradnl"/>
        </w:rPr>
      </w:pPr>
      <w:r w:rsidRPr="00F8174B">
        <w:rPr>
          <w:lang w:val="es-ES_tradnl"/>
        </w:rPr>
        <w:tab/>
        <w:t>d)</w:t>
      </w:r>
      <w:r w:rsidRPr="00F8174B">
        <w:rPr>
          <w:lang w:val="es-ES_tradnl"/>
        </w:rPr>
        <w:tab/>
        <w:t>Ninguna persona privada de libertad será tratada como sospechosa</w:t>
      </w:r>
      <w:r w:rsidR="00812033">
        <w:rPr>
          <w:lang w:val="es-ES_tradnl"/>
        </w:rPr>
        <w:t>;</w:t>
      </w:r>
      <w:r w:rsidRPr="00F8174B">
        <w:rPr>
          <w:lang w:val="es-ES_tradnl"/>
        </w:rPr>
        <w:t xml:space="preserve"> y</w:t>
      </w:r>
    </w:p>
    <w:p w14:paraId="7F405965" w14:textId="1404FDB6" w:rsidR="00F8174B" w:rsidRPr="00F8174B" w:rsidRDefault="00F8174B" w:rsidP="00F8174B">
      <w:pPr>
        <w:pStyle w:val="SingleTxtG"/>
        <w:rPr>
          <w:cs/>
        </w:rPr>
      </w:pPr>
      <w:r w:rsidRPr="00F8174B">
        <w:rPr>
          <w:cs/>
        </w:rPr>
        <w:tab/>
      </w:r>
      <w:r w:rsidRPr="00F8174B">
        <w:rPr>
          <w:lang w:val="es-ES_tradnl"/>
        </w:rPr>
        <w:t>e)</w:t>
      </w:r>
      <w:r w:rsidRPr="00F8174B">
        <w:rPr>
          <w:lang w:val="es-ES_tradnl"/>
        </w:rPr>
        <w:tab/>
        <w:t>Los interrogatorios solo podrán llevarse a cabo en la dependencia designada para tal fin de los organismos competentes, a saber: 1) la Unidad de Inteligencia Militar de las provincias fronterizas meridionales; 2) el 43</w:t>
      </w:r>
      <w:r w:rsidR="003569C3" w:rsidRPr="003569C3">
        <w:rPr>
          <w:vertAlign w:val="superscript"/>
          <w:lang w:val="es-ES_tradnl"/>
        </w:rPr>
        <w:t>er</w:t>
      </w:r>
      <w:r w:rsidRPr="00F8174B">
        <w:rPr>
          <w:lang w:val="es-ES_tradnl"/>
        </w:rPr>
        <w:t xml:space="preserve"> Grupo especial de tropas de asalto; 3) el 41</w:t>
      </w:r>
      <w:r w:rsidR="003569C3" w:rsidRPr="003569C3">
        <w:rPr>
          <w:vertAlign w:val="superscript"/>
          <w:lang w:val="es-ES_tradnl"/>
        </w:rPr>
        <w:t>er</w:t>
      </w:r>
      <w:r w:rsidRPr="00F8174B">
        <w:rPr>
          <w:lang w:val="es-ES_tradnl"/>
        </w:rPr>
        <w:t xml:space="preserve"> Grupo especial de tropas de asalto, y 4) los Centros de Paz de la Real Policía de Tailandia.</w:t>
      </w:r>
    </w:p>
    <w:p w14:paraId="62B27ABD" w14:textId="662ADBBC" w:rsidR="00F8174B" w:rsidRPr="00F8174B" w:rsidRDefault="00F8174B" w:rsidP="00F8174B">
      <w:pPr>
        <w:pStyle w:val="SingleTxtG"/>
        <w:rPr>
          <w:lang w:val="es-ES_tradnl"/>
        </w:rPr>
      </w:pPr>
      <w:r w:rsidRPr="00F8174B">
        <w:rPr>
          <w:lang w:val="es-ES_tradnl"/>
        </w:rPr>
        <w:lastRenderedPageBreak/>
        <w:t>29.</w:t>
      </w:r>
      <w:r w:rsidRPr="00F8174B">
        <w:rPr>
          <w:lang w:val="es-ES_tradnl"/>
        </w:rPr>
        <w:tab/>
        <w:t>En las provincias fronterizas meridionales, donde se aplican leyes especiales, hay dos tipos de lugares de reclusión: 1) Los tres centros de interrogatorio de los 41</w:t>
      </w:r>
      <w:r w:rsidR="00C5207E" w:rsidRPr="00C5207E">
        <w:rPr>
          <w:vertAlign w:val="superscript"/>
          <w:lang w:val="es-ES_tradnl"/>
        </w:rPr>
        <w:t>er</w:t>
      </w:r>
      <w:r w:rsidRPr="00F8174B">
        <w:rPr>
          <w:lang w:val="es-ES_tradnl"/>
        </w:rPr>
        <w:t>, 43º y 46º grupos especiales de tropas de asalto, que se utilizan únicamente para reclusiones de corta duración, de conformidad con la Ley Marcial. Los derechos de las personas recluidas están garantizados en la misma medida en que los garantiza el Código de Procedimiento Penal. Además, se aplican varias medidas adicionales, incluida la posibilidad de recibir visitas periódicas de familiares y de representantes de otros organismos gubernamentales y organizaciones de la sociedad civil, para asegurar el respeto de los derechos de las personas recluidas</w:t>
      </w:r>
      <w:r w:rsidR="00C5207E">
        <w:rPr>
          <w:lang w:val="es-ES_tradnl"/>
        </w:rPr>
        <w:t>;</w:t>
      </w:r>
      <w:r w:rsidRPr="00F8174B">
        <w:rPr>
          <w:lang w:val="es-ES_tradnl"/>
        </w:rPr>
        <w:t xml:space="preserve"> 2) </w:t>
      </w:r>
      <w:r w:rsidR="00C5207E">
        <w:rPr>
          <w:lang w:val="es-ES_tradnl"/>
        </w:rPr>
        <w:t>l</w:t>
      </w:r>
      <w:r w:rsidRPr="00F8174B">
        <w:rPr>
          <w:lang w:val="es-ES_tradnl"/>
        </w:rPr>
        <w:t xml:space="preserve">a sala de interrogatorios de la Unidad Nacional de Inteligencia Militar de las provincias fronterizas meridionales y el Centro de Paz del Cuerpo de Policía de las provincias fronterizas meridionales, que son los dos lugares de reclusión establecidos en virtud del Decreto de Emergencia. Con arreglo a este Decreto, para poder recluir a una persona, el funcionario deberá obtener una orden dictada por un tribunal y renovar la orden cada </w:t>
      </w:r>
      <w:r w:rsidR="00C5207E">
        <w:rPr>
          <w:lang w:val="es-ES_tradnl"/>
        </w:rPr>
        <w:t>7</w:t>
      </w:r>
      <w:r w:rsidRPr="00F8174B">
        <w:rPr>
          <w:lang w:val="es-ES_tradnl"/>
        </w:rPr>
        <w:t xml:space="preserve"> días con la autorización del tribunal, si se decide prorrogar el período de reclusión, que no podrá exceder de un total de 30 días. En los casos que se determine que la persona recluida no ha participado en ningún acto constitutivo de delito, se procederá a su puesta en libertad y se le concederá una indemnización de 30.000 bath, además de una compensación por la pérdida de ingresos durante el período de reclusión a razón de 400 bath al día. Las personas recluidas pueden recibir visitas de familiares desde el primer día de reclusión. Asimismo, son sometidas a un examen médico antes y después de la reclusión para comprobar si hay lesiones. Al salir del lugar de reclusión, se les expide un documento de confirmación de su puesta en libertad.</w:t>
      </w:r>
    </w:p>
    <w:p w14:paraId="741B9905" w14:textId="4FC31D17" w:rsidR="00F8174B" w:rsidRPr="00F8174B" w:rsidRDefault="00062B95" w:rsidP="00062B95">
      <w:pPr>
        <w:pStyle w:val="H1G"/>
        <w:rPr>
          <w:lang w:val="es-ES_tradnl"/>
        </w:rPr>
      </w:pPr>
      <w:r>
        <w:rPr>
          <w:lang w:val="es-ES_tradnl"/>
        </w:rPr>
        <w:tab/>
      </w:r>
      <w:r w:rsidR="00F8174B" w:rsidRPr="00F8174B">
        <w:rPr>
          <w:lang w:val="es-ES_tradnl"/>
        </w:rPr>
        <w:tab/>
        <w:t>Respuesta a las cuestiones planteadas en el párrafo 7 de la lista de</w:t>
      </w:r>
      <w:r>
        <w:rPr>
          <w:lang w:val="es-ES_tradnl"/>
        </w:rPr>
        <w:t> </w:t>
      </w:r>
      <w:r w:rsidR="00F8174B" w:rsidRPr="00F8174B">
        <w:rPr>
          <w:lang w:val="es-ES_tradnl"/>
        </w:rPr>
        <w:t>cuestiones</w:t>
      </w:r>
    </w:p>
    <w:p w14:paraId="61CA5864" w14:textId="31933F84" w:rsidR="00F8174B" w:rsidRPr="00F8174B" w:rsidRDefault="00F8174B" w:rsidP="00F8174B">
      <w:pPr>
        <w:pStyle w:val="SingleTxtG"/>
        <w:rPr>
          <w:lang w:val="es-ES_tradnl"/>
        </w:rPr>
      </w:pPr>
      <w:r w:rsidRPr="00F8174B">
        <w:rPr>
          <w:lang w:val="es-ES_tradnl"/>
        </w:rPr>
        <w:t>30.</w:t>
      </w:r>
      <w:r w:rsidRPr="00F8174B">
        <w:rPr>
          <w:lang w:val="es-ES_tradnl"/>
        </w:rPr>
        <w:tab/>
        <w:t>El 9 de enero de 2012, Tailandia firmó la Convención Internacional para la Protección de Todas las Personas contra las Desapariciones Forzadas y el 24 de mayo de 2016 y el 10</w:t>
      </w:r>
      <w:r w:rsidR="00261E94">
        <w:rPr>
          <w:lang w:val="es-ES_tradnl"/>
        </w:rPr>
        <w:t> </w:t>
      </w:r>
      <w:r w:rsidRPr="00F8174B">
        <w:rPr>
          <w:lang w:val="es-ES_tradnl"/>
        </w:rPr>
        <w:t>de</w:t>
      </w:r>
      <w:r w:rsidR="00261E94">
        <w:rPr>
          <w:lang w:val="es-ES_tradnl"/>
        </w:rPr>
        <w:t> </w:t>
      </w:r>
      <w:r w:rsidRPr="00F8174B">
        <w:rPr>
          <w:lang w:val="es-ES_tradnl"/>
        </w:rPr>
        <w:t>marzo de 2017, respectivamente, el Consejo de Ministros y la Asamblea Legislativa Nacional aprobaron, en principio, la ratificación de dicha Convención. Tailandia podrá adherirse a la Convención una vez que se promulgue la Ley de Prevención y Represión de la Tortura y las Desapariciones Forzadas. Remitimos a los párrafos 6 y 7 del presente documento en los que se ofrece información actualizada sobre el delito de desaparición forzada.</w:t>
      </w:r>
    </w:p>
    <w:p w14:paraId="2AADCCAC" w14:textId="77777777" w:rsidR="00F8174B" w:rsidRPr="00F8174B" w:rsidRDefault="00F8174B" w:rsidP="00F8174B">
      <w:pPr>
        <w:pStyle w:val="SingleTxtG"/>
        <w:rPr>
          <w:lang w:val="es-ES_tradnl"/>
        </w:rPr>
      </w:pPr>
      <w:r w:rsidRPr="00F8174B">
        <w:rPr>
          <w:lang w:val="es-ES_tradnl"/>
        </w:rPr>
        <w:t>31.</w:t>
      </w:r>
      <w:r w:rsidRPr="00F8174B">
        <w:rPr>
          <w:lang w:val="es-ES_tradnl"/>
        </w:rPr>
        <w:tab/>
        <w:t>El Comité Nacional para la Gestión de los Casos de Tortura y Desaparición Forzada, cuya composición y mandato se describen en el párrafo 9, ha comenzado a investigar el paradero y la situación de las personas presuntamente desaparecidas que figuran en la lista del Grupo de Trabajo de las Naciones Unidas sobre las Desapariciones Forzadas o Involuntarias. De los 87 casos que figuran en dicha lista, 12 han sido retirados por el Grupo de Trabajo. La información actualizada sobre los casos planteados por el Comité es la siguiente:</w:t>
      </w:r>
    </w:p>
    <w:p w14:paraId="68919BE1" w14:textId="6E567095" w:rsidR="00F8174B" w:rsidRPr="00F8174B" w:rsidRDefault="00F8174B" w:rsidP="00F8174B">
      <w:pPr>
        <w:pStyle w:val="SingleTxtG"/>
        <w:rPr>
          <w:i/>
          <w:iCs/>
          <w:lang w:val="es-ES_tradnl"/>
        </w:rPr>
      </w:pPr>
      <w:r w:rsidRPr="00F8174B">
        <w:rPr>
          <w:iCs/>
          <w:lang w:val="es-ES_tradnl"/>
        </w:rPr>
        <w:tab/>
        <w:t>a)</w:t>
      </w:r>
      <w:r w:rsidRPr="00F8174B">
        <w:rPr>
          <w:iCs/>
          <w:lang w:val="es-ES_tradnl"/>
        </w:rPr>
        <w:tab/>
      </w:r>
      <w:r w:rsidRPr="00F8174B">
        <w:rPr>
          <w:lang w:val="es-ES_tradnl"/>
        </w:rPr>
        <w:t xml:space="preserve">El 18 de febrero de </w:t>
      </w:r>
      <w:r w:rsidRPr="00F8174B">
        <w:rPr>
          <w:cs/>
          <w:lang w:bidi="th-TH"/>
        </w:rPr>
        <w:t>2018</w:t>
      </w:r>
      <w:r w:rsidRPr="00F8174B">
        <w:rPr>
          <w:lang w:val="es-ES_tradnl"/>
        </w:rPr>
        <w:t>, el Departamento de Investigaciones Especiales se hizo cargo del caso del Sr. Pholachi (</w:t>
      </w:r>
      <w:r w:rsidR="006F6842">
        <w:rPr>
          <w:lang w:val="es-ES_tradnl"/>
        </w:rPr>
        <w:t>“</w:t>
      </w:r>
      <w:r w:rsidRPr="00F8174B">
        <w:rPr>
          <w:lang w:val="es-ES_tradnl"/>
        </w:rPr>
        <w:t>Billy</w:t>
      </w:r>
      <w:r w:rsidR="006F6842">
        <w:rPr>
          <w:lang w:val="es-ES_tradnl"/>
        </w:rPr>
        <w:t>”</w:t>
      </w:r>
      <w:r w:rsidRPr="00F8174B">
        <w:rPr>
          <w:lang w:val="es-ES_tradnl"/>
        </w:rPr>
        <w:t>) Rakchongcharoen como caso especial núm.</w:t>
      </w:r>
      <w:r w:rsidR="00261E94">
        <w:rPr>
          <w:lang w:val="es-ES_tradnl"/>
        </w:rPr>
        <w:t> </w:t>
      </w:r>
      <w:r w:rsidRPr="00F8174B">
        <w:rPr>
          <w:cs/>
          <w:lang w:bidi="th-TH"/>
        </w:rPr>
        <w:t>13/2562</w:t>
      </w:r>
      <w:r w:rsidRPr="00F8174B">
        <w:rPr>
          <w:lang w:val="es-ES_tradnl"/>
        </w:rPr>
        <w:t>,</w:t>
      </w:r>
      <w:r w:rsidRPr="00F8174B">
        <w:rPr>
          <w:cs/>
          <w:lang w:bidi="th-TH"/>
        </w:rPr>
        <w:t xml:space="preserve"> de </w:t>
      </w:r>
      <w:r w:rsidRPr="00F8174B">
        <w:rPr>
          <w:lang w:val="es-ES_tradnl"/>
        </w:rPr>
        <w:t>acuerdo con la Ley de Investigación de Casos Especiales, de 2547 de la E.B. (2</w:t>
      </w:r>
      <w:r w:rsidRPr="00F8174B">
        <w:rPr>
          <w:cs/>
          <w:lang w:bidi="th-TH"/>
        </w:rPr>
        <w:t xml:space="preserve">004). </w:t>
      </w:r>
      <w:r w:rsidRPr="00F8174B">
        <w:rPr>
          <w:lang w:val="es-ES_tradnl"/>
        </w:rPr>
        <w:t xml:space="preserve">El Departamento ha proporcionado protección de testigos a la Sra. Pinnapa Prueksapan, esposa del Sr. Pholachi, desde </w:t>
      </w:r>
      <w:r w:rsidRPr="00F8174B">
        <w:rPr>
          <w:cs/>
          <w:lang w:bidi="th-TH"/>
        </w:rPr>
        <w:t>2018</w:t>
      </w:r>
      <w:r w:rsidRPr="00F8174B">
        <w:rPr>
          <w:lang w:val="es-ES_tradnl"/>
        </w:rPr>
        <w:t>. El 23 de enero de 2020, un fiscal inició actuaciones judiciales contra los agentes implicados en un caso de presunta conducta indebida, entre ellos el Sr. Chaiwat Limlikitaksorn, quienes no entregaron al Sr. Pholachi a la policía después de que este fuera acusado de obtener miel silvestre. El fiscal imputó a los agentes el cargo de ejercicio indebido de las funciones públicas en virtud del artículo 157 del Código Penal; el artículo 123, párrafo 1, de la Ley Orgánica de Lucha contra la Corrupción, de 2542 de la E.B. (1999), y el artículo 172 de la Ley Orgánica de Lucha contra la Corrupción, de 2561 de la E.B. (2018), en conjunción con el artículo 83 del Código Penal</w:t>
      </w:r>
      <w:r w:rsidRPr="00F8174B">
        <w:rPr>
          <w:cs/>
          <w:lang w:bidi="th-TH"/>
        </w:rPr>
        <w:t xml:space="preserve">. </w:t>
      </w:r>
      <w:r w:rsidRPr="00F8174B">
        <w:rPr>
          <w:lang w:val="es-ES_tradnl"/>
        </w:rPr>
        <w:t xml:space="preserve">El fiscal tomó la decisión de no procesar al Sr. Limlikitaksorn y a otros tres presuntos infractores por los cargos tipificados en el Código Penal, artículos 83, 147, 148, 289, párrafos 4 y 7, 309, 310, 337, 340, 340 </w:t>
      </w:r>
      <w:r w:rsidRPr="00F8174B">
        <w:rPr>
          <w:i/>
          <w:iCs/>
          <w:lang w:val="es-ES_tradnl"/>
        </w:rPr>
        <w:t>ter</w:t>
      </w:r>
      <w:r w:rsidRPr="00261E94">
        <w:rPr>
          <w:lang w:val="es-ES_tradnl"/>
        </w:rPr>
        <w:t>,</w:t>
      </w:r>
      <w:r w:rsidRPr="00F8174B">
        <w:rPr>
          <w:lang w:val="es-ES_tradnl"/>
        </w:rPr>
        <w:t xml:space="preserve"> y el Código de Procedimiento Penal, artículo 150 </w:t>
      </w:r>
      <w:r w:rsidRPr="00F8174B">
        <w:rPr>
          <w:i/>
          <w:iCs/>
          <w:lang w:val="es-ES_tradnl"/>
        </w:rPr>
        <w:t>bis</w:t>
      </w:r>
      <w:r w:rsidRPr="00F8174B">
        <w:rPr>
          <w:lang w:val="es-ES_tradnl"/>
        </w:rPr>
        <w:t xml:space="preserve">, siguientes: participar en la comisión de un homicidio premeditado con el fin de conseguir el beneficio obtenido a </w:t>
      </w:r>
      <w:r w:rsidRPr="00F8174B">
        <w:rPr>
          <w:lang w:val="es-ES_tradnl"/>
        </w:rPr>
        <w:lastRenderedPageBreak/>
        <w:t xml:space="preserve">través de otros delitos, ocultar otro delito o eludir el castigo por el otro delito cometido; participar en la detención o reclusión de otra persona, o por cualquier otro medio, privar a dicha persona de la libertad causándole la muerte; participar en un acto de coacción a una persona para que dé o acuerde darle a ellos o a terceros un beneficio de tipo patrimonial mediante la comisión de un acto de violencia o mediante la amenaza de cometer un acto de violencia contra la vida, la integridad física, la libertad, el honor o los bienes de la persona víctima de la coacción o de terceros, a fin de someter a la persona víctima de la coacción a dicha amenaza; participar en la comisión de robo en grupo, portando armas y utilizando vehículos, con resultado de muerte de otra persona; participar, por corruptela, en la ocultación de un caso o en la alteración por cualquier medio del cadáver o del lugar donde se haya encontrado el cadáver antes de la finalización de una investigación </w:t>
      </w:r>
      <w:r w:rsidRPr="00F8174B">
        <w:rPr>
          <w:i/>
          <w:iCs/>
          <w:lang w:val="es-ES_tradnl"/>
        </w:rPr>
        <w:t>post mortem</w:t>
      </w:r>
      <w:r w:rsidRPr="00F8174B">
        <w:rPr>
          <w:lang w:val="es-ES_tradnl"/>
        </w:rPr>
        <w:t xml:space="preserve"> con el fin de modificar las conclusiones de esta o el resultado del caso; siendo funcionarios que tienen el deber de adquirir, fabricar, administrar o guardar cosas, participar de forma deshonesta en la apropiación indebida de bienes para sí mismos o para terceros o permitir de forma deshonesta a terceros la apropiación indebida de bienes; y siendo funcionarios, mediante el ejercicio indebido de funciones públicas, coaccionar o inducir a otra persona a entregar o conseguir la propiedad o cualquier otro beneficio para sí mismos o para terceros. Aunque el fiscal estimó que las pruebas incriminatorias contra los presuntos autores eran insuficientes, el Departamento de Investigaciones Especiales sostuvo una opinión contraria y, el 11 de agosto de 2020, tras examinar las pruebas pertinentes, en particular las pruebas forenses y los peritajes de los expertos, concluyó que estaba en desacuerdo con la orden de no enjuiciamiento del fiscal y presentó su opinión discrepante al Fiscal General con el fin de que se volviera a examinar el caso</w:t>
      </w:r>
      <w:r w:rsidR="00812033">
        <w:rPr>
          <w:lang w:val="es-ES_tradnl"/>
        </w:rPr>
        <w:t>;</w:t>
      </w:r>
    </w:p>
    <w:p w14:paraId="3515E5D3" w14:textId="733BB694" w:rsidR="00F8174B" w:rsidRPr="00F8174B" w:rsidRDefault="00F8174B" w:rsidP="00F8174B">
      <w:pPr>
        <w:pStyle w:val="SingleTxtG"/>
        <w:rPr>
          <w:lang w:val="es-ES_tradnl"/>
        </w:rPr>
      </w:pPr>
      <w:r w:rsidRPr="00F8174B">
        <w:rPr>
          <w:lang w:val="es-ES_tradnl"/>
        </w:rPr>
        <w:tab/>
        <w:t>b)</w:t>
      </w:r>
      <w:r w:rsidRPr="00F8174B">
        <w:rPr>
          <w:lang w:val="es-ES_tradnl"/>
        </w:rPr>
        <w:tab/>
        <w:t>Caso del Sr. Somchai Neelaphaijit: el Tribunal Supremo, en virtud de su sentencia núm. 10915/2558 (2015), absolvió a todos los acusados por falta de pruebas. Sin</w:t>
      </w:r>
      <w:r w:rsidR="00261E94">
        <w:rPr>
          <w:lang w:val="es-ES_tradnl"/>
        </w:rPr>
        <w:t> </w:t>
      </w:r>
      <w:r w:rsidRPr="00F8174B">
        <w:rPr>
          <w:lang w:val="es-ES_tradnl"/>
        </w:rPr>
        <w:t>embargo, el Departamento de Investigaciones Especiales prosiguió las pesquisas entre el 12 de enero de 2017 y el 20 de junio de 2017, para encontrar a algún sospechoso. Ante la falta de pruebas que permitieran encontrar a un sospechoso, se suspendió la instrucción del caso. Sin embargo, el Departamento de Investigaciones Especiales sigue buscando al Sr.</w:t>
      </w:r>
      <w:r w:rsidR="00261E94">
        <w:rPr>
          <w:lang w:val="es-ES_tradnl"/>
        </w:rPr>
        <w:t> </w:t>
      </w:r>
      <w:r w:rsidRPr="00F8174B">
        <w:rPr>
          <w:lang w:val="es-ES_tradnl"/>
        </w:rPr>
        <w:t>Neelaphaijit de acuerdo con los principios establecidos por la Convención Internacional para la Protección de Todas las Personas contra las Desapariciones Forzadas. El Departamento ha proporcionado protección a la esposa del Sr. Neelaphaijit durante más de una década</w:t>
      </w:r>
      <w:r w:rsidR="00812033">
        <w:rPr>
          <w:lang w:val="es-ES_tradnl"/>
        </w:rPr>
        <w:t>;</w:t>
      </w:r>
    </w:p>
    <w:p w14:paraId="241E9663" w14:textId="05130705" w:rsidR="00F8174B" w:rsidRPr="00F8174B" w:rsidRDefault="00F8174B" w:rsidP="00F8174B">
      <w:pPr>
        <w:pStyle w:val="SingleTxtG"/>
        <w:rPr>
          <w:lang w:val="es-ES_tradnl"/>
        </w:rPr>
      </w:pPr>
      <w:r w:rsidRPr="00F8174B">
        <w:rPr>
          <w:lang w:val="es-ES_tradnl"/>
        </w:rPr>
        <w:tab/>
        <w:t>c)</w:t>
      </w:r>
      <w:r w:rsidRPr="00F8174B">
        <w:rPr>
          <w:lang w:val="es-ES_tradnl"/>
        </w:rPr>
        <w:tab/>
        <w:t>Caso del Sr. Den Khamlae: el 31 de marzo de 2019, se suspendió la instrucción del caso del Sr. Den Khamlae (caso del Departamento de Investigaciones Especiales núm.</w:t>
      </w:r>
      <w:r w:rsidR="006F6842">
        <w:rPr>
          <w:lang w:val="es-ES_tradnl"/>
        </w:rPr>
        <w:t> </w:t>
      </w:r>
      <w:r w:rsidRPr="00F8174B">
        <w:rPr>
          <w:lang w:val="es-ES_tradnl"/>
        </w:rPr>
        <w:t>71/2561 (2018)) ya que el Subcomité de Supervisión e Investigación de Casos de Tortura y Desaparición Forzada dictó una decisión por la que se declaraba muerto al Sr.</w:t>
      </w:r>
      <w:r w:rsidR="00261E94">
        <w:rPr>
          <w:lang w:val="es-ES_tradnl"/>
        </w:rPr>
        <w:t> </w:t>
      </w:r>
      <w:r w:rsidRPr="00F8174B">
        <w:rPr>
          <w:lang w:val="es-ES_tradnl"/>
        </w:rPr>
        <w:t>Khamlae, según las pruebas forenses disponibles. Sin embargo, no fue posible determinar la causa de la muerte a partir de los restos óseos encontrados.</w:t>
      </w:r>
    </w:p>
    <w:p w14:paraId="447C196C" w14:textId="0A380BEE" w:rsidR="00F8174B" w:rsidRPr="00F8174B" w:rsidRDefault="00062B95" w:rsidP="00062B95">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8 de la lista de</w:t>
      </w:r>
      <w:r>
        <w:rPr>
          <w:lang w:val="es-ES_tradnl"/>
        </w:rPr>
        <w:t> </w:t>
      </w:r>
      <w:r w:rsidR="00F8174B" w:rsidRPr="00F8174B">
        <w:rPr>
          <w:lang w:val="es-ES_tradnl"/>
        </w:rPr>
        <w:t>cuestiones</w:t>
      </w:r>
    </w:p>
    <w:p w14:paraId="67E82CAF" w14:textId="3D681A6E" w:rsidR="00F8174B" w:rsidRPr="00F8174B" w:rsidRDefault="00F8174B" w:rsidP="00F8174B">
      <w:pPr>
        <w:pStyle w:val="SingleTxtG"/>
        <w:rPr>
          <w:lang w:val="es-ES_tradnl"/>
        </w:rPr>
      </w:pPr>
      <w:r w:rsidRPr="00F8174B">
        <w:rPr>
          <w:lang w:val="es-ES_tradnl"/>
        </w:rPr>
        <w:t>32.</w:t>
      </w:r>
      <w:r w:rsidRPr="00F8174B">
        <w:rPr>
          <w:lang w:val="es-ES_tradnl"/>
        </w:rPr>
        <w:tab/>
        <w:t xml:space="preserve">En 2017, Tailandia promulgó la Ley Orgánica relativa a la Comisión Nacional de Derechos Humanos a fin de reforzar la función de la Comisión en materia de vigilancia de las violaciones y la promoción de los derechos humanos en el país, de conformidad con los </w:t>
      </w:r>
      <w:r w:rsidR="00D478FE">
        <w:rPr>
          <w:lang w:val="es-ES_tradnl"/>
        </w:rPr>
        <w:t>p</w:t>
      </w:r>
      <w:r w:rsidRPr="00F8174B">
        <w:rPr>
          <w:lang w:val="es-ES_tradnl"/>
        </w:rPr>
        <w:t>rincipios relativos al estatuto de las instituciones nacionales de promoción y protección de los derechos humanos (Principios de París). La Ley Orgánica remedia una serie de deficiencias de la ley anterior, en particular por lo que respecta a la composición, la independencia y el pluralismo de la Comisión. La Ley otorga a la Comisión la facultad de investigar y de pedir u ordenar a los funcionarios públicos o a cualquier persona que presenten información y aclaraciones y aporten documentación y pruebas (artículos 33 a 38). La Comisión también puede presentar al Consejo de Ministros recomendaciones relacionadas con cuestiones o problemas de derechos humanos para que tome las medidas necesarias. Quienes se nieguen a cooperar pueden ser objeto de sanción penal consistente en una pena de hasta seis meses de prisión, una multa de hasta 10.000 baht (alrededor de 310 dólares de los Estados Unidos), o ambas cosas (artículo 59).</w:t>
      </w:r>
    </w:p>
    <w:p w14:paraId="5107175B" w14:textId="77777777" w:rsidR="00F8174B" w:rsidRPr="00F8174B" w:rsidRDefault="00F8174B" w:rsidP="00F8174B">
      <w:pPr>
        <w:pStyle w:val="SingleTxtG"/>
        <w:rPr>
          <w:lang w:val="es-ES_tradnl"/>
        </w:rPr>
      </w:pPr>
      <w:r w:rsidRPr="00F8174B">
        <w:rPr>
          <w:lang w:val="es-ES_tradnl"/>
        </w:rPr>
        <w:lastRenderedPageBreak/>
        <w:t>33.</w:t>
      </w:r>
      <w:r w:rsidRPr="00F8174B">
        <w:rPr>
          <w:lang w:val="es-ES_tradnl"/>
        </w:rPr>
        <w:tab/>
        <w:t>Para garantizar la independencia de la Comisión Nacional de Derechos Humanos, la Ley Orgánica establece que la Oficina de la Comisión depende directamente de esta y está facultada para dictar reglamentos en materia de administración, personal y finanzas. La Oficina puede presentar solicitudes presupuestarias directamente al Parlamento sin estar sujeta al control de ningún organismo gubernamental.</w:t>
      </w:r>
    </w:p>
    <w:p w14:paraId="1817D979" w14:textId="77777777" w:rsidR="00F8174B" w:rsidRPr="00F8174B" w:rsidRDefault="00F8174B" w:rsidP="00F8174B">
      <w:pPr>
        <w:pStyle w:val="SingleTxtG"/>
        <w:rPr>
          <w:lang w:val="es-ES_tradnl"/>
        </w:rPr>
      </w:pPr>
      <w:r w:rsidRPr="00F8174B">
        <w:rPr>
          <w:lang w:val="es-ES_tradnl"/>
        </w:rPr>
        <w:t>34.</w:t>
      </w:r>
      <w:r w:rsidRPr="00F8174B">
        <w:rPr>
          <w:lang w:val="es-ES_tradnl"/>
        </w:rPr>
        <w:tab/>
        <w:t>En virtud de la Ley Orgánica se autoriza a la Comisión, en la medida necesaria, a entrar en cualquier vivienda o local de propiedad pública, incluidos los lugares de reclusión, para realizar tareas de supervisión o recopilación de pruebas sobre determinados casos. Si se trata de un domicilio privado, la Comisión debe obtener una orden judicial antes de realizar el registro.</w:t>
      </w:r>
    </w:p>
    <w:p w14:paraId="65FEC182" w14:textId="73A185D1" w:rsidR="00F8174B" w:rsidRPr="00F8174B" w:rsidRDefault="00F8174B" w:rsidP="00F8174B">
      <w:pPr>
        <w:pStyle w:val="SingleTxtG"/>
        <w:rPr>
          <w:lang w:val="es-ES_tradnl"/>
        </w:rPr>
      </w:pPr>
      <w:r w:rsidRPr="00F8174B">
        <w:rPr>
          <w:lang w:val="es-ES_tradnl"/>
        </w:rPr>
        <w:t>35.</w:t>
      </w:r>
      <w:r w:rsidRPr="00F8174B">
        <w:rPr>
          <w:lang w:val="es-ES_tradnl"/>
        </w:rPr>
        <w:tab/>
        <w:t xml:space="preserve">En virtud de lo dispuesto en el artículo </w:t>
      </w:r>
      <w:r w:rsidRPr="00F8174B">
        <w:rPr>
          <w:cs/>
          <w:lang w:bidi="th-TH"/>
        </w:rPr>
        <w:t xml:space="preserve">11 </w:t>
      </w:r>
      <w:r w:rsidRPr="00F8174B">
        <w:rPr>
          <w:lang w:val="es-ES_tradnl"/>
        </w:rPr>
        <w:t>de la Ley Orgánica, el proceso de selección de los miembros de la Comisión deberá basarse en el criterio de la diversidad. El Comité de Selección está compuesto por: 1) el Presidente del Tribunal Supremo; 2) el Presidente de la Cámara de Representantes; 3) el líder de la oposición; 4) el Presidente del Tribunal Supremo de lo Contencioso-Administrativo; 5) tres representantes de organizaciones privadas que actúen en el ámbito de los derechos humanos; 6) un representante del Colegio de Abogados; 7) un representante del Colegio Médico o del Consejo de Salud Pública; 8) un representante del Consejo de Medios de Comunicación</w:t>
      </w:r>
      <w:r w:rsidR="00D478FE">
        <w:rPr>
          <w:lang w:val="es-ES_tradnl"/>
        </w:rPr>
        <w:t>;</w:t>
      </w:r>
      <w:r w:rsidRPr="00F8174B">
        <w:rPr>
          <w:lang w:val="es-ES_tradnl"/>
        </w:rPr>
        <w:t xml:space="preserve"> y 9) un académico o exacadémico con un mínimo de diez años de experiencia en el ámbito de la investigación sobre los derechos humanos. En el proceso de selección deberá tenerse en cuenta el equilibro de género y la pluralidad de la sociedad.</w:t>
      </w:r>
    </w:p>
    <w:p w14:paraId="79528E29" w14:textId="52A1342B" w:rsidR="00F8174B" w:rsidRPr="00F8174B" w:rsidRDefault="00062B95" w:rsidP="00062B95">
      <w:pPr>
        <w:pStyle w:val="H1G"/>
        <w:rPr>
          <w:lang w:val="es-ES_tradnl"/>
        </w:rPr>
      </w:pPr>
      <w:r>
        <w:rPr>
          <w:lang w:val="es-ES_tradnl"/>
        </w:rPr>
        <w:tab/>
      </w:r>
      <w:r w:rsidR="00F8174B" w:rsidRPr="00F8174B">
        <w:rPr>
          <w:lang w:val="es-ES_tradnl"/>
        </w:rPr>
        <w:tab/>
        <w:t>Respuesta a las cuestiones planteadas en el párrafo 9 de la lista de</w:t>
      </w:r>
      <w:r>
        <w:rPr>
          <w:lang w:val="es-ES_tradnl"/>
        </w:rPr>
        <w:t> </w:t>
      </w:r>
      <w:r w:rsidR="00F8174B" w:rsidRPr="00F8174B">
        <w:rPr>
          <w:lang w:val="es-ES_tradnl"/>
        </w:rPr>
        <w:t>cuestiones</w:t>
      </w:r>
    </w:p>
    <w:p w14:paraId="6F24B759" w14:textId="77777777" w:rsidR="00F8174B" w:rsidRPr="00F8174B" w:rsidRDefault="00F8174B" w:rsidP="00F8174B">
      <w:pPr>
        <w:pStyle w:val="SingleTxtG"/>
        <w:rPr>
          <w:lang w:val="es-ES_tradnl"/>
        </w:rPr>
      </w:pPr>
      <w:r w:rsidRPr="00F8174B">
        <w:rPr>
          <w:lang w:val="es-ES_tradnl"/>
        </w:rPr>
        <w:t>36.</w:t>
      </w:r>
      <w:r w:rsidRPr="00F8174B">
        <w:rPr>
          <w:lang w:val="es-ES_tradnl"/>
        </w:rPr>
        <w:tab/>
        <w:t>Remitimos al cuadro 2 anexo al presente informe en el que se presentan datos estadísticos sobre las denuncias por violencia doméstica recibidas por el Ministerio de Desarrollo Social y Seguridad Humana durante el período comprendido entre 2014 y 2019.</w:t>
      </w:r>
    </w:p>
    <w:p w14:paraId="6E9AC64B" w14:textId="4DF32D6E" w:rsidR="00F8174B" w:rsidRPr="00F8174B" w:rsidRDefault="00F8174B" w:rsidP="00F8174B">
      <w:pPr>
        <w:pStyle w:val="SingleTxtG"/>
        <w:rPr>
          <w:lang w:val="es-ES_tradnl"/>
        </w:rPr>
      </w:pPr>
      <w:r w:rsidRPr="00F8174B">
        <w:rPr>
          <w:lang w:val="es-ES_tradnl"/>
        </w:rPr>
        <w:t>37.</w:t>
      </w:r>
      <w:r w:rsidRPr="00F8174B">
        <w:rPr>
          <w:lang w:val="es-ES_tradnl"/>
        </w:rPr>
        <w:tab/>
        <w:t>En 2017, 2018 y 2019, la Fiscalía General incoó un total de 151, 150 y 145</w:t>
      </w:r>
      <w:r w:rsidR="00D478FE">
        <w:rPr>
          <w:lang w:val="es-ES_tradnl"/>
        </w:rPr>
        <w:t> </w:t>
      </w:r>
      <w:r w:rsidRPr="00F8174B">
        <w:rPr>
          <w:lang w:val="es-ES_tradnl"/>
        </w:rPr>
        <w:t>procedimientos, respectivamente, por violencia doméstica</w:t>
      </w:r>
      <w:r w:rsidRPr="00F8174B">
        <w:rPr>
          <w:cs/>
          <w:lang w:bidi="th-TH"/>
        </w:rPr>
        <w:t>.</w:t>
      </w:r>
    </w:p>
    <w:p w14:paraId="42B619EA" w14:textId="2033CDA7" w:rsidR="00F8174B" w:rsidRPr="00F8174B" w:rsidRDefault="00F8174B" w:rsidP="00F8174B">
      <w:pPr>
        <w:pStyle w:val="SingleTxtG"/>
        <w:rPr>
          <w:lang w:val="es-ES_tradnl"/>
        </w:rPr>
      </w:pPr>
      <w:r w:rsidRPr="00F8174B">
        <w:rPr>
          <w:lang w:val="es-ES_tradnl"/>
        </w:rPr>
        <w:t>38.</w:t>
      </w:r>
      <w:r w:rsidRPr="00F8174B">
        <w:rPr>
          <w:lang w:val="es-ES_tradnl"/>
        </w:rPr>
        <w:tab/>
        <w:t>La Ley de Promoción del Desarrollo y la Protección de la Institución Familiar, de</w:t>
      </w:r>
      <w:r w:rsidR="00D478FE">
        <w:rPr>
          <w:lang w:val="es-ES_tradnl"/>
        </w:rPr>
        <w:t> </w:t>
      </w:r>
      <w:r w:rsidRPr="00F8174B">
        <w:rPr>
          <w:lang w:val="es-ES_tradnl"/>
        </w:rPr>
        <w:t>2562 de la E.B. (2019), que ha sustituido a la Ley de Protección de las Víctimas de la Violencia Doméstica, de 2550 de la E.B. (2007), comprende algunos cambios fundamentales, entre los que cabe señalar los siguientes:</w:t>
      </w:r>
    </w:p>
    <w:p w14:paraId="5F0D0AC9" w14:textId="0F029A9A" w:rsidR="00F8174B" w:rsidRPr="00F8174B" w:rsidRDefault="00F8174B" w:rsidP="00F8174B">
      <w:pPr>
        <w:pStyle w:val="SingleTxtG"/>
        <w:rPr>
          <w:lang w:val="es-ES_tradnl"/>
        </w:rPr>
      </w:pPr>
      <w:r w:rsidRPr="00F8174B">
        <w:rPr>
          <w:lang w:val="es-ES_tradnl"/>
        </w:rPr>
        <w:tab/>
        <w:t>a)</w:t>
      </w:r>
      <w:r w:rsidRPr="00F8174B">
        <w:rPr>
          <w:lang w:val="es-ES_tradnl"/>
        </w:rPr>
        <w:tab/>
        <w:t>La Ley revoca el artículo 4 de la Ley de Protección de las Víctimas de la Violencia Doméstica. Por consiguiente, los actos de agresión física, con arreglo al artículo</w:t>
      </w:r>
      <w:r w:rsidR="00D478FE">
        <w:rPr>
          <w:lang w:val="es-ES_tradnl"/>
        </w:rPr>
        <w:t> </w:t>
      </w:r>
      <w:r w:rsidRPr="00F8174B">
        <w:rPr>
          <w:lang w:val="es-ES_tradnl"/>
        </w:rPr>
        <w:t>295 del Código Penal, ya no se considerarán automáticamente delito objeto de transacción. El delito solo podrá ser saldado cuando el agresor sea procesado y haya cumplido todas las órdenes impuestas por el tribunal</w:t>
      </w:r>
      <w:r w:rsidR="00812033">
        <w:rPr>
          <w:lang w:val="es-ES_tradnl"/>
        </w:rPr>
        <w:t>;</w:t>
      </w:r>
    </w:p>
    <w:p w14:paraId="1263A6A0" w14:textId="70AD4D60" w:rsidR="00F8174B" w:rsidRPr="00F8174B" w:rsidRDefault="00F8174B" w:rsidP="00F8174B">
      <w:pPr>
        <w:pStyle w:val="SingleTxtG"/>
        <w:rPr>
          <w:lang w:val="es-ES_tradnl"/>
        </w:rPr>
      </w:pPr>
      <w:r w:rsidRPr="00F8174B">
        <w:rPr>
          <w:lang w:val="es-ES_tradnl"/>
        </w:rPr>
        <w:tab/>
        <w:t>b)</w:t>
      </w:r>
      <w:r w:rsidRPr="00F8174B">
        <w:rPr>
          <w:lang w:val="es-ES_tradnl"/>
        </w:rPr>
        <w:tab/>
        <w:t>El ámbito de los delitos penales se ampliará para incluir los delitos contra la vida, la integridad física, la salud mental, el honor y la libertad</w:t>
      </w:r>
      <w:r w:rsidR="00812033">
        <w:rPr>
          <w:lang w:val="es-ES_tradnl"/>
        </w:rPr>
        <w:t>;</w:t>
      </w:r>
    </w:p>
    <w:p w14:paraId="13FC074B" w14:textId="7CFBE3CE" w:rsidR="00F8174B" w:rsidRPr="00F8174B" w:rsidRDefault="00F8174B" w:rsidP="00F8174B">
      <w:pPr>
        <w:pStyle w:val="SingleTxtG"/>
        <w:rPr>
          <w:lang w:val="en-GB"/>
        </w:rPr>
      </w:pPr>
      <w:r w:rsidRPr="00F8174B">
        <w:rPr>
          <w:lang w:val="es-ES_tradnl"/>
        </w:rPr>
        <w:tab/>
        <w:t>c)</w:t>
      </w:r>
      <w:r w:rsidRPr="00F8174B">
        <w:rPr>
          <w:lang w:val="es-ES_tradnl"/>
        </w:rPr>
        <w:tab/>
        <w:t xml:space="preserve">El concepto de </w:t>
      </w:r>
      <w:r w:rsidR="006F6842">
        <w:rPr>
          <w:lang w:val="es-ES_tradnl"/>
        </w:rPr>
        <w:t>“</w:t>
      </w:r>
      <w:r w:rsidRPr="00F8174B">
        <w:rPr>
          <w:lang w:val="es-ES_tradnl"/>
        </w:rPr>
        <w:t>familiar</w:t>
      </w:r>
      <w:r w:rsidR="006F6842">
        <w:rPr>
          <w:lang w:val="es-ES_tradnl"/>
        </w:rPr>
        <w:t>”</w:t>
      </w:r>
      <w:r w:rsidRPr="00F8174B">
        <w:rPr>
          <w:lang w:val="es-ES_tradnl"/>
        </w:rPr>
        <w:t xml:space="preserve"> se amplía e incluye a las personas vinculadas por consanguinidad inmediata, matrimonio y relaciones de hecho, así como a excónyuges, hijos adoptivos y personas dependientes y que conviven en el mismo hogar.</w:t>
      </w:r>
    </w:p>
    <w:p w14:paraId="52970C10" w14:textId="2E4D13C6" w:rsidR="00F8174B" w:rsidRPr="00F8174B" w:rsidRDefault="00062B95" w:rsidP="00062B95">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10 de la lista de</w:t>
      </w:r>
      <w:r>
        <w:rPr>
          <w:lang w:val="es-ES_tradnl"/>
        </w:rPr>
        <w:t> </w:t>
      </w:r>
      <w:r w:rsidR="00F8174B" w:rsidRPr="00F8174B">
        <w:rPr>
          <w:lang w:val="es-ES_tradnl"/>
        </w:rPr>
        <w:t>cuestiones</w:t>
      </w:r>
    </w:p>
    <w:p w14:paraId="07B69DAE" w14:textId="77777777" w:rsidR="00F8174B" w:rsidRPr="00F8174B" w:rsidRDefault="00F8174B" w:rsidP="00F8174B">
      <w:pPr>
        <w:pStyle w:val="SingleTxtG"/>
        <w:rPr>
          <w:lang w:val="es-ES_tradnl"/>
        </w:rPr>
      </w:pPr>
      <w:r w:rsidRPr="00F8174B">
        <w:rPr>
          <w:lang w:val="es-ES_tradnl"/>
        </w:rPr>
        <w:t>39.</w:t>
      </w:r>
      <w:r w:rsidRPr="00F8174B">
        <w:rPr>
          <w:lang w:val="es-ES_tradnl"/>
        </w:rPr>
        <w:tab/>
        <w:t>Para más información sobre los avances en materia de trata de personas, incluida la adopción de nuevas medidas legales y la introducción de modificaciones en diversas leyes, que se han registrado durante el período que abarca el informe, puede consultarse el documento con la signatura CERD/C/THA/4-8 (párrafos 73 a 90).</w:t>
      </w:r>
    </w:p>
    <w:p w14:paraId="03CBC3DA" w14:textId="77777777" w:rsidR="00F8174B" w:rsidRPr="00F8174B" w:rsidRDefault="00F8174B" w:rsidP="00F8174B">
      <w:pPr>
        <w:pStyle w:val="SingleTxtG"/>
        <w:rPr>
          <w:lang w:val="es-ES_tradnl"/>
        </w:rPr>
      </w:pPr>
      <w:r w:rsidRPr="00F8174B">
        <w:rPr>
          <w:lang w:val="es-ES_tradnl"/>
        </w:rPr>
        <w:lastRenderedPageBreak/>
        <w:t>40.</w:t>
      </w:r>
      <w:r w:rsidRPr="00F8174B">
        <w:rPr>
          <w:lang w:val="es-ES_tradnl"/>
        </w:rPr>
        <w:tab/>
        <w:t>En los cuadros 3 a 9 anexos al presente informe se consigna información sobre el número de denuncias, enjuiciamientos, condenas y penas de prisión impuestas en casos de trata de personas en el período comprendido entre 2015 y 2019.</w:t>
      </w:r>
    </w:p>
    <w:p w14:paraId="3B25390B" w14:textId="5A6E1379" w:rsidR="00F8174B" w:rsidRPr="00F8174B" w:rsidRDefault="00F8174B" w:rsidP="00F8174B">
      <w:pPr>
        <w:pStyle w:val="SingleTxtG"/>
        <w:rPr>
          <w:lang w:val="es-ES_tradnl"/>
        </w:rPr>
      </w:pPr>
      <w:r w:rsidRPr="00F8174B">
        <w:rPr>
          <w:lang w:val="es-ES_tradnl"/>
        </w:rPr>
        <w:t>41.</w:t>
      </w:r>
      <w:r w:rsidRPr="00F8174B">
        <w:rPr>
          <w:lang w:val="es-ES_tradnl"/>
        </w:rPr>
        <w:tab/>
        <w:t xml:space="preserve">En </w:t>
      </w:r>
      <w:r w:rsidRPr="00F8174B">
        <w:rPr>
          <w:cs/>
          <w:lang w:bidi="th-TH"/>
        </w:rPr>
        <w:t xml:space="preserve">2017, </w:t>
      </w:r>
      <w:r w:rsidRPr="00F8174B">
        <w:rPr>
          <w:lang w:val="es-ES_tradnl"/>
        </w:rPr>
        <w:t>en el marco de procesos de identificación de víctimas, se identificó a un total de 455 víctimas de la trata, de las cuales 360 pidieron alojarse en centros de acogida del Ministerio de Desarrollo Social y Seguridad Humana. De esas 360 víctimas, 169 eran hombres y 191 mujeres. Entre ellas había 132 personas de Tailandia, 119 de Myanmar, 21</w:t>
      </w:r>
      <w:r w:rsidR="009A264D">
        <w:rPr>
          <w:lang w:val="es-ES_tradnl"/>
        </w:rPr>
        <w:t> </w:t>
      </w:r>
      <w:r w:rsidRPr="00F8174B">
        <w:rPr>
          <w:lang w:val="es-ES_tradnl"/>
        </w:rPr>
        <w:t>de</w:t>
      </w:r>
      <w:r w:rsidR="009A264D">
        <w:rPr>
          <w:lang w:val="es-ES_tradnl"/>
        </w:rPr>
        <w:t xml:space="preserve"> </w:t>
      </w:r>
      <w:r w:rsidRPr="00F8174B">
        <w:rPr>
          <w:lang w:val="es-ES_tradnl"/>
        </w:rPr>
        <w:t>la República Democrática Popular Lao, 22 de Camboya, 9 de Indonesia, 51 de Viet Nam, 3</w:t>
      </w:r>
      <w:r w:rsidR="009A264D">
        <w:rPr>
          <w:lang w:val="es-ES_tradnl"/>
        </w:rPr>
        <w:t> </w:t>
      </w:r>
      <w:r w:rsidRPr="00F8174B">
        <w:rPr>
          <w:lang w:val="es-ES_tradnl"/>
        </w:rPr>
        <w:t>de Malasia y 3 de Uganda.</w:t>
      </w:r>
    </w:p>
    <w:p w14:paraId="1E0A3357" w14:textId="1852073F" w:rsidR="00F8174B" w:rsidRPr="00F8174B" w:rsidRDefault="00F8174B" w:rsidP="00F8174B">
      <w:pPr>
        <w:pStyle w:val="SingleTxtG"/>
        <w:rPr>
          <w:lang w:val="es-ES_tradnl"/>
        </w:rPr>
      </w:pPr>
      <w:r w:rsidRPr="00F8174B">
        <w:rPr>
          <w:lang w:val="es-ES_tradnl"/>
        </w:rPr>
        <w:t>42.</w:t>
      </w:r>
      <w:r w:rsidRPr="00F8174B">
        <w:rPr>
          <w:lang w:val="es-ES_tradnl"/>
        </w:rPr>
        <w:tab/>
        <w:t>En 2018, se rescató a 631 víctimas de la trata, de las cuales 401 optaron por recibir protección en el marco de los centros de acogida del Ministerio de Desarrollo Social y Seguridad Humana. De ese grupo, 198 eran hombres y 203 eran mujeres. Además, un total de 15 víctimas optaron por recibir protección en centros de acogida gestionados por una organización no gubernamental (ONG), lo que está en consonancia con el Reglamento por el que se permite a las ONG establecer albergues para acoger a las víctimas de la trata, de</w:t>
      </w:r>
      <w:r w:rsidR="009A264D">
        <w:rPr>
          <w:lang w:val="es-ES_tradnl"/>
        </w:rPr>
        <w:t> </w:t>
      </w:r>
      <w:r w:rsidRPr="00F8174B">
        <w:rPr>
          <w:lang w:val="es-ES_tradnl"/>
        </w:rPr>
        <w:t>2560</w:t>
      </w:r>
      <w:r w:rsidR="009A264D">
        <w:rPr>
          <w:lang w:val="es-ES_tradnl"/>
        </w:rPr>
        <w:t> </w:t>
      </w:r>
      <w:r w:rsidRPr="00F8174B">
        <w:rPr>
          <w:lang w:val="es-ES_tradnl"/>
        </w:rPr>
        <w:t xml:space="preserve">de la E.B. </w:t>
      </w:r>
      <w:r w:rsidRPr="00F8174B">
        <w:rPr>
          <w:cs/>
          <w:lang w:bidi="th-TH"/>
        </w:rPr>
        <w:t xml:space="preserve">(2017), </w:t>
      </w:r>
      <w:r w:rsidRPr="00F8174B">
        <w:rPr>
          <w:lang w:val="es-ES_tradnl"/>
        </w:rPr>
        <w:t>aplicables a las víctimas que no desean recibir protección en los centros de acogida del Ministerio de Desarrollo Social y Seguridad Humana.</w:t>
      </w:r>
    </w:p>
    <w:p w14:paraId="08604A01" w14:textId="726F1DDC" w:rsidR="00F8174B" w:rsidRPr="00F8174B" w:rsidRDefault="00F8174B" w:rsidP="00F8174B">
      <w:pPr>
        <w:pStyle w:val="SingleTxtG"/>
        <w:rPr>
          <w:lang w:val="es-ES_tradnl"/>
        </w:rPr>
      </w:pPr>
      <w:r w:rsidRPr="00F8174B">
        <w:rPr>
          <w:lang w:val="es-ES_tradnl"/>
        </w:rPr>
        <w:t>43.</w:t>
      </w:r>
      <w:r w:rsidRPr="00F8174B">
        <w:rPr>
          <w:lang w:val="es-ES_tradnl"/>
        </w:rPr>
        <w:tab/>
        <w:t>En 2019, un total de 1.560 víctimas de trata (1.063 hombres y 497 mujeres) recibieron protección en centros de acogida: 1.532 personas se alojaron en albergues gubernamentales y 28 en tres centros privados gestionados por diversas ONG. Por lo que respecta a la edad, 1.101 víctimas (70,6</w:t>
      </w:r>
      <w:r w:rsidR="009A264D">
        <w:rPr>
          <w:lang w:val="es-ES_tradnl"/>
        </w:rPr>
        <w:t xml:space="preserve"> </w:t>
      </w:r>
      <w:r w:rsidRPr="00F8174B">
        <w:rPr>
          <w:lang w:val="es-ES_tradnl"/>
        </w:rPr>
        <w:t>%) eran mayores de 18 años y 459 (29,4</w:t>
      </w:r>
      <w:r w:rsidR="009A264D">
        <w:rPr>
          <w:lang w:val="es-ES_tradnl"/>
        </w:rPr>
        <w:t xml:space="preserve"> </w:t>
      </w:r>
      <w:r w:rsidRPr="00F8174B">
        <w:rPr>
          <w:lang w:val="es-ES_tradnl"/>
        </w:rPr>
        <w:t>%) eran menores de 18 años. La mayoría de las víctimas extranjeras procedían de zonas o países vecinos de Tailandia, entre ellas 1.160 ciudadanos de Myanmar, 148 inmigrantes irregulares rohinyá, 70</w:t>
      </w:r>
      <w:r w:rsidR="009A264D">
        <w:rPr>
          <w:lang w:val="es-ES_tradnl"/>
        </w:rPr>
        <w:t> </w:t>
      </w:r>
      <w:r w:rsidRPr="00F8174B">
        <w:rPr>
          <w:lang w:val="es-ES_tradnl"/>
        </w:rPr>
        <w:t xml:space="preserve">camboyanos y 30 laosianos. También había 6 personas de Uganda, 2 de Tanzanía, 1 de Liberia, 1 de Kenya y 1 de Eritrea; la mayoría de estas víctimas extranjeras se alojó en albergues privados. Además, </w:t>
      </w:r>
      <w:r w:rsidR="009A264D">
        <w:rPr>
          <w:lang w:val="es-ES_tradnl"/>
        </w:rPr>
        <w:t>7</w:t>
      </w:r>
      <w:r w:rsidRPr="00F8174B">
        <w:rPr>
          <w:lang w:val="es-ES_tradnl"/>
        </w:rPr>
        <w:t xml:space="preserve"> víctimas de nacionalidad desconocida se alojaron en centros de acogida gubernamentales. Por último, había también 134 tailandeses, que representaban el 8,6</w:t>
      </w:r>
      <w:r w:rsidR="009A264D">
        <w:rPr>
          <w:lang w:val="es-ES_tradnl"/>
        </w:rPr>
        <w:t xml:space="preserve"> </w:t>
      </w:r>
      <w:r w:rsidRPr="00F8174B">
        <w:rPr>
          <w:lang w:val="es-ES_tradnl"/>
        </w:rPr>
        <w:t>% de las víctimas alojadas en albergues.</w:t>
      </w:r>
    </w:p>
    <w:p w14:paraId="7103C115" w14:textId="77777777" w:rsidR="00F8174B" w:rsidRPr="00F8174B" w:rsidRDefault="00F8174B" w:rsidP="00F8174B">
      <w:pPr>
        <w:pStyle w:val="SingleTxtG"/>
        <w:rPr>
          <w:lang w:val="es-ES_tradnl"/>
        </w:rPr>
      </w:pPr>
      <w:r w:rsidRPr="00F8174B">
        <w:rPr>
          <w:lang w:val="es-ES_tradnl"/>
        </w:rPr>
        <w:t>44.</w:t>
      </w:r>
      <w:r w:rsidRPr="00F8174B">
        <w:rPr>
          <w:lang w:val="es-ES_tradnl"/>
        </w:rPr>
        <w:tab/>
        <w:t xml:space="preserve">En 2017, el Real Gobierno de Tailandia siguió ampliando las oportunidades de empleo para las víctimas de la trata. De las 450 víctimas a las que se prestó asistencia —360 en 2017 y 90 en 2016—, y recibieron protección en los centros de acogida del Ministerio de Desarrollo Social y Seguridad Humana, 149 tuvieron la oportunidad de trabajar fuera de los centros de acogida, mientras que 138 víctimas fueron contratadas dentro de estos centros. Las víctimas de la trata pueden recibir indemnización conforme a cuatro modalidades, a saber, indemnización otorgada con cargo al Fondo de Lucha contra la Trata de Personas, indemnización laboral, indemnización para personas damnificadas e indemnización en virtud del artículo </w:t>
      </w:r>
      <w:r w:rsidRPr="00F8174B">
        <w:rPr>
          <w:cs/>
          <w:lang w:bidi="th-TH"/>
        </w:rPr>
        <w:t xml:space="preserve">35 </w:t>
      </w:r>
      <w:r w:rsidRPr="00F8174B">
        <w:rPr>
          <w:lang w:val="es-ES_tradnl"/>
        </w:rPr>
        <w:t xml:space="preserve">de la Ley contra la Trata de Personas, de </w:t>
      </w:r>
      <w:r w:rsidRPr="00F8174B">
        <w:rPr>
          <w:cs/>
          <w:lang w:bidi="th-TH"/>
        </w:rPr>
        <w:t xml:space="preserve">2551 de la E.B. </w:t>
      </w:r>
      <w:r w:rsidRPr="00F8174B">
        <w:rPr>
          <w:lang w:val="es-ES_tradnl"/>
        </w:rPr>
        <w:t>(2008</w:t>
      </w:r>
      <w:r w:rsidRPr="00F8174B">
        <w:rPr>
          <w:cs/>
          <w:lang w:bidi="th-TH"/>
        </w:rPr>
        <w:t xml:space="preserve">). La indemnización con cargo al Fondo y la indemnización para </w:t>
      </w:r>
      <w:r w:rsidRPr="00F8174B">
        <w:rPr>
          <w:lang w:val="es-ES_tradnl"/>
        </w:rPr>
        <w:t xml:space="preserve">personas damnificadas </w:t>
      </w:r>
      <w:r w:rsidRPr="00F8174B">
        <w:rPr>
          <w:cs/>
          <w:lang w:bidi="th-TH"/>
        </w:rPr>
        <w:t xml:space="preserve">consisten en </w:t>
      </w:r>
      <w:r w:rsidRPr="00F8174B">
        <w:rPr>
          <w:lang w:val="es-ES_tradnl"/>
        </w:rPr>
        <w:t xml:space="preserve">subvenciones financiadas por el Gobierno, mientras que la indemnización laboral y la indemnización en virtud del artículo </w:t>
      </w:r>
      <w:r w:rsidRPr="00F8174B">
        <w:rPr>
          <w:cs/>
          <w:lang w:bidi="th-TH"/>
        </w:rPr>
        <w:t xml:space="preserve">35 de la Ley de Lucha contra la </w:t>
      </w:r>
      <w:r w:rsidRPr="00F8174B">
        <w:rPr>
          <w:lang w:val="es-ES_tradnl"/>
        </w:rPr>
        <w:t>Trata de Personas (de 2551 de la E.B.</w:t>
      </w:r>
      <w:r w:rsidRPr="00F8174B">
        <w:rPr>
          <w:cs/>
          <w:lang w:bidi="th-TH"/>
        </w:rPr>
        <w:t xml:space="preserve">) </w:t>
      </w:r>
      <w:r w:rsidRPr="00F8174B">
        <w:rPr>
          <w:lang w:val="es-ES_tradnl"/>
        </w:rPr>
        <w:t>consisten en reclamaciones de pago a los empleadores o los autores de los delitos.</w:t>
      </w:r>
    </w:p>
    <w:p w14:paraId="38132FBA" w14:textId="3F058317" w:rsidR="00F8174B" w:rsidRPr="00F8174B" w:rsidRDefault="00F8174B" w:rsidP="00F8174B">
      <w:pPr>
        <w:pStyle w:val="SingleTxtG"/>
        <w:rPr>
          <w:lang w:val="es-ES_tradnl"/>
        </w:rPr>
      </w:pPr>
      <w:r w:rsidRPr="00F8174B">
        <w:rPr>
          <w:lang w:val="es-ES_tradnl"/>
        </w:rPr>
        <w:t>45.</w:t>
      </w:r>
      <w:r w:rsidRPr="00F8174B">
        <w:rPr>
          <w:lang w:val="es-ES_tradnl"/>
        </w:rPr>
        <w:tab/>
        <w:t xml:space="preserve">En 2018, 65 víctimas trabajaron fuera de los centros de acogida, en la construcción y en una panadería, entre otros, con un salario mínimo de 300 bath </w:t>
      </w:r>
      <w:r w:rsidRPr="00F8174B">
        <w:rPr>
          <w:cs/>
          <w:lang w:bidi="th-TH"/>
        </w:rPr>
        <w:t>(</w:t>
      </w:r>
      <w:r w:rsidRPr="00F8174B">
        <w:rPr>
          <w:lang w:val="es-ES_tradnl"/>
        </w:rPr>
        <w:t>9,4 dólares de los Estados Unidos</w:t>
      </w:r>
      <w:r w:rsidRPr="00F8174B">
        <w:rPr>
          <w:cs/>
          <w:lang w:bidi="th-TH"/>
        </w:rPr>
        <w:t xml:space="preserve">) al día, y obtuvieron unos ingresos de </w:t>
      </w:r>
      <w:r w:rsidRPr="00F8174B">
        <w:rPr>
          <w:lang w:val="es-ES_tradnl"/>
        </w:rPr>
        <w:t xml:space="preserve">2.125.837 bath </w:t>
      </w:r>
      <w:r w:rsidRPr="00F8174B">
        <w:rPr>
          <w:cs/>
          <w:lang w:bidi="th-TH"/>
        </w:rPr>
        <w:t>(</w:t>
      </w:r>
      <w:r w:rsidRPr="00F8174B">
        <w:rPr>
          <w:lang w:val="es-ES_tradnl"/>
        </w:rPr>
        <w:t>66.640,70 dólares de los Estados Unidos</w:t>
      </w:r>
      <w:r w:rsidRPr="00F8174B">
        <w:rPr>
          <w:cs/>
          <w:lang w:bidi="th-TH"/>
        </w:rPr>
        <w:t>)</w:t>
      </w:r>
      <w:r w:rsidRPr="00F8174B">
        <w:rPr>
          <w:lang w:val="es-ES_tradnl"/>
        </w:rPr>
        <w:t xml:space="preserve">. Doscientas noventa víctimas trabajaron en centros de acogida </w:t>
      </w:r>
      <w:r w:rsidRPr="00F8174B">
        <w:rPr>
          <w:cs/>
          <w:lang w:bidi="th-TH"/>
        </w:rPr>
        <w:t xml:space="preserve">(lo que representa </w:t>
      </w:r>
      <w:r w:rsidRPr="00F8174B">
        <w:rPr>
          <w:lang w:val="es-ES_tradnl"/>
        </w:rPr>
        <w:t>un aumento del 110,14</w:t>
      </w:r>
      <w:r w:rsidR="00330B68">
        <w:rPr>
          <w:lang w:val="es-ES_tradnl"/>
        </w:rPr>
        <w:t xml:space="preserve"> </w:t>
      </w:r>
      <w:r w:rsidRPr="00F8174B">
        <w:rPr>
          <w:lang w:val="es-ES_tradnl"/>
        </w:rPr>
        <w:t>% con respecto a 2017</w:t>
      </w:r>
      <w:r w:rsidRPr="00F8174B">
        <w:rPr>
          <w:cs/>
          <w:lang w:bidi="th-TH"/>
        </w:rPr>
        <w:t xml:space="preserve">) y percibieron ingresos por valor de </w:t>
      </w:r>
      <w:r w:rsidRPr="00F8174B">
        <w:rPr>
          <w:lang w:val="es-ES_tradnl"/>
        </w:rPr>
        <w:t xml:space="preserve">2.697.543 bath </w:t>
      </w:r>
      <w:r w:rsidRPr="00F8174B">
        <w:rPr>
          <w:cs/>
          <w:lang w:bidi="th-TH"/>
        </w:rPr>
        <w:t>(</w:t>
      </w:r>
      <w:r w:rsidRPr="00F8174B">
        <w:rPr>
          <w:lang w:val="es-ES_tradnl"/>
        </w:rPr>
        <w:t>84.562,48 dólares de los Estados Unidos</w:t>
      </w:r>
      <w:r w:rsidRPr="00F8174B">
        <w:rPr>
          <w:cs/>
          <w:lang w:bidi="th-TH"/>
        </w:rPr>
        <w:t>)</w:t>
      </w:r>
      <w:r w:rsidRPr="00F8174B">
        <w:rPr>
          <w:lang w:val="es-ES_tradnl"/>
        </w:rPr>
        <w:t>.</w:t>
      </w:r>
    </w:p>
    <w:p w14:paraId="531AB807" w14:textId="42C145B7" w:rsidR="00F8174B" w:rsidRPr="00F8174B" w:rsidRDefault="00F8174B" w:rsidP="00F8174B">
      <w:pPr>
        <w:pStyle w:val="SingleTxtG"/>
        <w:rPr>
          <w:lang w:val="es-ES_tradnl"/>
        </w:rPr>
      </w:pPr>
      <w:r w:rsidRPr="00F8174B">
        <w:rPr>
          <w:lang w:val="es-ES_tradnl"/>
        </w:rPr>
        <w:t>46.</w:t>
      </w:r>
      <w:r w:rsidRPr="00F8174B">
        <w:rPr>
          <w:lang w:val="es-ES_tradnl"/>
        </w:rPr>
        <w:tab/>
        <w:t xml:space="preserve">En 2019, el Gobierno tailandés realizó esfuerzos para ayudar a las víctimas a trabajar fuera de los centros de acogida. Sin embargo, debido a una serie de obstáculos, como problemas de salud de las víctimas y restricciones en los lugares de trabajo, algunas de ellas no pudieron hacerlo. Por tanto, el Ministerio de Desarrollo Social y Seguridad Humana ha ideado una nueva forma para que las víctimas obtengan ingresos, mediante el establecimiento de una tienda en línea para la venta de sus productos a través de aplicaciones móviles, además de la venta física en la tienda </w:t>
      </w:r>
      <w:r w:rsidR="006F6842">
        <w:rPr>
          <w:lang w:val="es-ES_tradnl"/>
        </w:rPr>
        <w:t>“</w:t>
      </w:r>
      <w:r w:rsidRPr="00F8174B">
        <w:rPr>
          <w:lang w:val="es-ES_tradnl"/>
        </w:rPr>
        <w:t>Tejiendo sueños</w:t>
      </w:r>
      <w:r w:rsidR="006F6842">
        <w:rPr>
          <w:lang w:val="es-ES_tradnl"/>
        </w:rPr>
        <w:t>”</w:t>
      </w:r>
      <w:r w:rsidRPr="00F8174B">
        <w:rPr>
          <w:lang w:val="es-ES_tradnl"/>
        </w:rPr>
        <w:t xml:space="preserve"> que gestiona el propio Ministerio. Este año en curso, las víctimas de la trata empleadas en los centros de acogida también obtuvieron </w:t>
      </w:r>
      <w:r w:rsidRPr="00F8174B">
        <w:rPr>
          <w:lang w:val="es-ES_tradnl"/>
        </w:rPr>
        <w:lastRenderedPageBreak/>
        <w:t>ingresos y recibieron ayudas económicas del Fondo de Lucha contra la Trata de Personas por un monto de 1.061.035 bath (35.250 dólares de los Estados Unidos).</w:t>
      </w:r>
    </w:p>
    <w:p w14:paraId="4312CCFE" w14:textId="77777777" w:rsidR="00F8174B" w:rsidRPr="00F8174B" w:rsidRDefault="00F8174B" w:rsidP="00F8174B">
      <w:pPr>
        <w:pStyle w:val="SingleTxtG"/>
        <w:rPr>
          <w:lang w:val="es-ES_tradnl"/>
        </w:rPr>
      </w:pPr>
      <w:r w:rsidRPr="00F8174B">
        <w:rPr>
          <w:lang w:val="es-ES_tradnl"/>
        </w:rPr>
        <w:t>47.</w:t>
      </w:r>
      <w:r w:rsidRPr="00F8174B">
        <w:rPr>
          <w:lang w:val="es-ES_tradnl"/>
        </w:rPr>
        <w:tab/>
        <w:t xml:space="preserve">En </w:t>
      </w:r>
      <w:r w:rsidRPr="00F8174B">
        <w:rPr>
          <w:cs/>
          <w:lang w:bidi="th-TH"/>
        </w:rPr>
        <w:t>2017</w:t>
      </w:r>
      <w:r w:rsidRPr="00F8174B">
        <w:rPr>
          <w:lang w:val="es-ES_tradnl"/>
        </w:rPr>
        <w:t xml:space="preserve">, un total de </w:t>
      </w:r>
      <w:r w:rsidRPr="00F8174B">
        <w:rPr>
          <w:cs/>
          <w:lang w:bidi="th-TH"/>
        </w:rPr>
        <w:t xml:space="preserve">20 víctimas </w:t>
      </w:r>
      <w:r w:rsidRPr="00F8174B">
        <w:rPr>
          <w:lang w:val="es-ES_tradnl"/>
        </w:rPr>
        <w:t xml:space="preserve">de la trata recibieron ayuda del Departamento de Protección de Derechos y Libertades en concepto de indemnización a personas damnificadas, por un valor de </w:t>
      </w:r>
      <w:r w:rsidRPr="00F8174B">
        <w:rPr>
          <w:cs/>
          <w:lang w:bidi="th-TH"/>
        </w:rPr>
        <w:t>340</w:t>
      </w:r>
      <w:r w:rsidRPr="00F8174B">
        <w:rPr>
          <w:lang w:val="es-ES_tradnl"/>
        </w:rPr>
        <w:t>.</w:t>
      </w:r>
      <w:r w:rsidRPr="00F8174B">
        <w:rPr>
          <w:cs/>
          <w:lang w:bidi="th-TH"/>
        </w:rPr>
        <w:t xml:space="preserve">000 bath </w:t>
      </w:r>
      <w:r w:rsidRPr="00F8174B">
        <w:rPr>
          <w:lang w:val="es-ES_tradnl"/>
        </w:rPr>
        <w:t>(</w:t>
      </w:r>
      <w:r w:rsidRPr="00F8174B">
        <w:rPr>
          <w:cs/>
          <w:lang w:bidi="th-TH"/>
        </w:rPr>
        <w:t>10</w:t>
      </w:r>
      <w:r w:rsidRPr="00F8174B">
        <w:rPr>
          <w:lang w:val="es-ES_tradnl"/>
        </w:rPr>
        <w:t>.</w:t>
      </w:r>
      <w:r w:rsidRPr="00F8174B">
        <w:rPr>
          <w:cs/>
          <w:lang w:bidi="th-TH"/>
        </w:rPr>
        <w:t xml:space="preserve">811 dólares de los Estados Unidos). </w:t>
      </w:r>
      <w:r w:rsidRPr="00F8174B">
        <w:rPr>
          <w:lang w:val="es-ES_tradnl"/>
        </w:rPr>
        <w:t xml:space="preserve">En el mismo periodo, el Fondo de Lucha contra la Trata de Personas otorgó indemnizaciones a </w:t>
      </w:r>
      <w:r w:rsidRPr="00F8174B">
        <w:rPr>
          <w:cs/>
          <w:lang w:bidi="th-TH"/>
        </w:rPr>
        <w:t xml:space="preserve">760 </w:t>
      </w:r>
      <w:r w:rsidRPr="00F8174B">
        <w:rPr>
          <w:lang w:val="es-ES_tradnl"/>
        </w:rPr>
        <w:t xml:space="preserve">víctimas, por un monto de </w:t>
      </w:r>
      <w:r w:rsidRPr="00F8174B">
        <w:rPr>
          <w:cs/>
          <w:lang w:bidi="th-TH"/>
        </w:rPr>
        <w:t>5</w:t>
      </w:r>
      <w:r w:rsidRPr="00F8174B">
        <w:rPr>
          <w:lang w:val="es-ES_tradnl"/>
        </w:rPr>
        <w:t>.</w:t>
      </w:r>
      <w:r w:rsidRPr="00F8174B">
        <w:rPr>
          <w:cs/>
          <w:lang w:bidi="th-TH"/>
        </w:rPr>
        <w:t>641</w:t>
      </w:r>
      <w:r w:rsidRPr="00F8174B">
        <w:rPr>
          <w:lang w:val="es-ES_tradnl"/>
        </w:rPr>
        <w:t>.</w:t>
      </w:r>
      <w:r w:rsidRPr="00F8174B">
        <w:rPr>
          <w:cs/>
          <w:lang w:bidi="th-TH"/>
        </w:rPr>
        <w:t xml:space="preserve">579 bath </w:t>
      </w:r>
      <w:r w:rsidRPr="00F8174B">
        <w:rPr>
          <w:lang w:val="es-ES_tradnl"/>
        </w:rPr>
        <w:t>(</w:t>
      </w:r>
      <w:r w:rsidRPr="00F8174B">
        <w:rPr>
          <w:cs/>
          <w:lang w:bidi="th-TH"/>
        </w:rPr>
        <w:t>179</w:t>
      </w:r>
      <w:r w:rsidRPr="00F8174B">
        <w:rPr>
          <w:lang w:val="es-ES_tradnl"/>
        </w:rPr>
        <w:t>.</w:t>
      </w:r>
      <w:r w:rsidRPr="00F8174B">
        <w:rPr>
          <w:cs/>
          <w:lang w:bidi="th-TH"/>
        </w:rPr>
        <w:t>382 dólares de los Estados Unidos).</w:t>
      </w:r>
    </w:p>
    <w:p w14:paraId="434F0E0E" w14:textId="4420E8CD" w:rsidR="00F8174B" w:rsidRPr="00F8174B" w:rsidRDefault="00F8174B" w:rsidP="00F8174B">
      <w:pPr>
        <w:pStyle w:val="SingleTxtG"/>
        <w:rPr>
          <w:lang w:val="es-ES_tradnl"/>
        </w:rPr>
      </w:pPr>
      <w:r w:rsidRPr="00F8174B">
        <w:rPr>
          <w:lang w:val="es-ES_tradnl"/>
        </w:rPr>
        <w:t>48.</w:t>
      </w:r>
      <w:r w:rsidRPr="00F8174B">
        <w:rPr>
          <w:lang w:val="es-ES_tradnl"/>
        </w:rPr>
        <w:tab/>
        <w:t>En 2018, se lograron avances en la provisión de reparación e indemnizaciones a las víctimas. Dicho año se promulgaron las directrices para la reclamación de indemnizaciones</w:t>
      </w:r>
      <w:r w:rsidR="005F5046">
        <w:rPr>
          <w:lang w:val="es-ES_tradnl"/>
        </w:rPr>
        <w:t xml:space="preserve"> </w:t>
      </w:r>
      <w:r w:rsidRPr="00F8174B">
        <w:rPr>
          <w:lang w:val="es-ES_tradnl"/>
        </w:rPr>
        <w:t>en virtud de las cuales el Gobierno ha podido exigir a los autores el pago de indemnizaciones</w:t>
      </w:r>
      <w:r w:rsidR="005F5046">
        <w:rPr>
          <w:lang w:val="es-ES_tradnl"/>
        </w:rPr>
        <w:t> </w:t>
      </w:r>
      <w:r w:rsidRPr="00F8174B">
        <w:rPr>
          <w:lang w:val="es-ES_tradnl"/>
        </w:rPr>
        <w:t>a las víctimas de manera con resultados más eficaces. Prueba de ello es el aumento del monto de las indemnizaciones hasta un total de 77,56 millones de bath (2,43</w:t>
      </w:r>
      <w:r w:rsidR="005F5046">
        <w:rPr>
          <w:lang w:val="es-ES_tradnl"/>
        </w:rPr>
        <w:t> </w:t>
      </w:r>
      <w:r w:rsidRPr="00F8174B">
        <w:rPr>
          <w:lang w:val="es-ES_tradnl"/>
        </w:rPr>
        <w:t>millones de dólares de los Estados Unidos) para 116 víctimas, en comparación con los 18,44 millones de bath (0,58</w:t>
      </w:r>
      <w:r w:rsidR="005F5046">
        <w:rPr>
          <w:lang w:val="es-ES_tradnl"/>
        </w:rPr>
        <w:t> </w:t>
      </w:r>
      <w:r w:rsidRPr="00F8174B">
        <w:rPr>
          <w:lang w:val="es-ES_tradnl"/>
        </w:rPr>
        <w:t>millones de dólares de los Estados Unidos) registrados en 2017, lo que representa un incremento del 76</w:t>
      </w:r>
      <w:r w:rsidR="005F5046">
        <w:rPr>
          <w:lang w:val="es-ES_tradnl"/>
        </w:rPr>
        <w:t xml:space="preserve"> </w:t>
      </w:r>
      <w:r w:rsidRPr="00F8174B">
        <w:rPr>
          <w:lang w:val="es-ES_tradnl"/>
        </w:rPr>
        <w:t>%. En el marco de las actividades de atención especializada para el tratamiento de los traumas, se han desembolsado 24,99 millones de bath (0,78 millones de dólares de los Estados Unidos), es decir, alrededor del 48,45</w:t>
      </w:r>
      <w:r w:rsidR="005F5046">
        <w:rPr>
          <w:lang w:val="es-ES_tradnl"/>
        </w:rPr>
        <w:t xml:space="preserve"> </w:t>
      </w:r>
      <w:r w:rsidRPr="00F8174B">
        <w:rPr>
          <w:lang w:val="es-ES_tradnl"/>
        </w:rPr>
        <w:t>% del importe total de las indemnizaciones por los daños a la salud física y mental infligidos a las víctimas. En 2018, también se incrementaron las medidas de reparación a las víctimas con cargo al Fondo de</w:t>
      </w:r>
      <w:r w:rsidR="005F5046">
        <w:rPr>
          <w:lang w:val="es-ES_tradnl"/>
        </w:rPr>
        <w:t xml:space="preserve"> </w:t>
      </w:r>
      <w:r w:rsidRPr="00F8174B">
        <w:rPr>
          <w:lang w:val="es-ES_tradnl"/>
        </w:rPr>
        <w:t>Lucha contra la Trata de Personas, que ascendieron a 6,15 millones de bath (192.789,97</w:t>
      </w:r>
      <w:r w:rsidR="005F5046">
        <w:rPr>
          <w:lang w:val="es-ES_tradnl"/>
        </w:rPr>
        <w:t xml:space="preserve"> </w:t>
      </w:r>
      <w:r w:rsidRPr="00F8174B">
        <w:rPr>
          <w:lang w:val="es-ES_tradnl"/>
        </w:rPr>
        <w:t>dólares de los Estados Unidos), frente a los 5,64 millones de bath (176.802,5</w:t>
      </w:r>
      <w:r w:rsidR="005F5046">
        <w:rPr>
          <w:lang w:val="es-ES_tradnl"/>
        </w:rPr>
        <w:t> </w:t>
      </w:r>
      <w:r w:rsidRPr="00F8174B">
        <w:rPr>
          <w:lang w:val="es-ES_tradnl"/>
        </w:rPr>
        <w:t>dólares de los Estados Unidos) abonados en 2017.</w:t>
      </w:r>
    </w:p>
    <w:p w14:paraId="4ADB0A80" w14:textId="51978DAB" w:rsidR="00F8174B" w:rsidRPr="00F8174B" w:rsidRDefault="00F8174B" w:rsidP="00F8174B">
      <w:pPr>
        <w:pStyle w:val="SingleTxtG"/>
        <w:rPr>
          <w:cs/>
          <w:lang w:bidi="th-TH"/>
        </w:rPr>
      </w:pPr>
      <w:r w:rsidRPr="00F8174B">
        <w:rPr>
          <w:cs/>
        </w:rPr>
        <w:t>49.</w:t>
      </w:r>
      <w:r w:rsidRPr="00F8174B">
        <w:rPr>
          <w:cs/>
        </w:rPr>
        <w:tab/>
      </w:r>
      <w:r w:rsidRPr="00F8174B">
        <w:rPr>
          <w:lang w:val="es-ES_tradnl"/>
        </w:rPr>
        <w:t>En 2019, el Gobierno tailandés desembolsó 11,87 millones de bath (394.352,16</w:t>
      </w:r>
      <w:r w:rsidR="005F5046">
        <w:rPr>
          <w:lang w:val="es-ES_tradnl"/>
        </w:rPr>
        <w:t> </w:t>
      </w:r>
      <w:r w:rsidRPr="00F8174B">
        <w:rPr>
          <w:lang w:val="es-ES_tradnl"/>
        </w:rPr>
        <w:t>dólares de los Estados Unidos) en concepto de reparación económica para las víctimas a través de dicho Fondo. Una parte importante de esa suma se destinó a proporcionar capital a las víctimas que estaban preparadas para reintegrarse en la sociedad y comenzar una nueva vida.</w:t>
      </w:r>
    </w:p>
    <w:p w14:paraId="502E9B0E" w14:textId="5DFC4F3F" w:rsidR="00F8174B" w:rsidRPr="00F8174B" w:rsidRDefault="00062B95" w:rsidP="00062B95">
      <w:pPr>
        <w:pStyle w:val="HChG"/>
        <w:rPr>
          <w:lang w:val="es-ES_tradnl"/>
        </w:rPr>
      </w:pPr>
      <w:r>
        <w:rPr>
          <w:lang w:val="es-ES_tradnl"/>
        </w:rPr>
        <w:tab/>
      </w:r>
      <w:r w:rsidR="00F8174B" w:rsidRPr="00F8174B">
        <w:rPr>
          <w:lang w:val="es-ES_tradnl"/>
        </w:rPr>
        <w:tab/>
        <w:t>Artículo 3</w:t>
      </w:r>
    </w:p>
    <w:p w14:paraId="26FF37A9" w14:textId="3000D38F" w:rsidR="00F8174B" w:rsidRPr="00F8174B" w:rsidRDefault="00062B95" w:rsidP="00062B95">
      <w:pPr>
        <w:pStyle w:val="H1G"/>
        <w:rPr>
          <w:lang w:val="es-ES_tradnl"/>
        </w:rPr>
      </w:pPr>
      <w:r>
        <w:rPr>
          <w:lang w:val="es-ES_tradnl"/>
        </w:rPr>
        <w:tab/>
      </w:r>
      <w:r w:rsidR="00F8174B" w:rsidRPr="00F8174B">
        <w:rPr>
          <w:lang w:val="es-ES_tradnl"/>
        </w:rPr>
        <w:tab/>
        <w:t>Respuesta a las cuestiones planteadas en el párrafo 11 de la lista de</w:t>
      </w:r>
      <w:r>
        <w:rPr>
          <w:lang w:val="es-ES_tradnl"/>
        </w:rPr>
        <w:t> </w:t>
      </w:r>
      <w:r w:rsidR="00F8174B" w:rsidRPr="00F8174B">
        <w:rPr>
          <w:lang w:val="es-ES_tradnl"/>
        </w:rPr>
        <w:t>cuestiones</w:t>
      </w:r>
    </w:p>
    <w:p w14:paraId="2807247D" w14:textId="77777777" w:rsidR="00F8174B" w:rsidRPr="00F8174B" w:rsidRDefault="00F8174B" w:rsidP="00F8174B">
      <w:pPr>
        <w:pStyle w:val="SingleTxtG"/>
        <w:rPr>
          <w:lang w:val="es-ES_tradnl"/>
        </w:rPr>
      </w:pPr>
      <w:r w:rsidRPr="00F8174B">
        <w:rPr>
          <w:lang w:val="es-ES_tradnl"/>
        </w:rPr>
        <w:t>50.</w:t>
      </w:r>
      <w:r w:rsidRPr="00F8174B">
        <w:rPr>
          <w:lang w:val="es-ES_tradnl"/>
        </w:rPr>
        <w:tab/>
        <w:t xml:space="preserve">Como se indica en el párrafo 8, Tailandia, aunque no es parte en la Convención sobre el Estatuto de los Refugiados de 1951, respeta el principio de </w:t>
      </w:r>
      <w:r w:rsidRPr="00F8174B">
        <w:rPr>
          <w:cs/>
          <w:lang w:bidi="th-TH"/>
        </w:rPr>
        <w:t xml:space="preserve">no devolución </w:t>
      </w:r>
      <w:r w:rsidRPr="00F8174B">
        <w:rPr>
          <w:lang w:val="es-ES_tradnl"/>
        </w:rPr>
        <w:t>y ha trabajado sistemáticamente con todos los sectores del país para proteger a las personas que huyen de los conflictos y a las que solicitan asilo, de conformidad con las normas internacionales aplicables</w:t>
      </w:r>
      <w:r w:rsidRPr="00F8174B">
        <w:rPr>
          <w:cs/>
          <w:lang w:bidi="th-TH"/>
        </w:rPr>
        <w:t xml:space="preserve">. </w:t>
      </w:r>
      <w:r w:rsidRPr="00F8174B">
        <w:rPr>
          <w:lang w:val="es-ES_tradnl"/>
        </w:rPr>
        <w:t>En diciembre de 2018, Tailandia, junto con muchos otros países, adoptó el Pacto Mundial sobre los Refugiados</w:t>
      </w:r>
      <w:r w:rsidRPr="00F8174B">
        <w:rPr>
          <w:cs/>
          <w:lang w:bidi="th-TH"/>
        </w:rPr>
        <w:t xml:space="preserve"> </w:t>
      </w:r>
      <w:r w:rsidRPr="00F8174B">
        <w:rPr>
          <w:lang w:val="es-ES_tradnl"/>
        </w:rPr>
        <w:t>y el Pacto Mundial para la Migración Segura, Ordenada y Regular</w:t>
      </w:r>
      <w:r w:rsidRPr="00F8174B">
        <w:rPr>
          <w:cs/>
          <w:lang w:bidi="th-TH"/>
        </w:rPr>
        <w:t>.</w:t>
      </w:r>
    </w:p>
    <w:p w14:paraId="350F9DF0" w14:textId="77777777" w:rsidR="00F8174B" w:rsidRPr="00F8174B" w:rsidRDefault="00F8174B" w:rsidP="00F8174B">
      <w:pPr>
        <w:pStyle w:val="SingleTxtG"/>
        <w:rPr>
          <w:lang w:val="es-ES_tradnl"/>
        </w:rPr>
      </w:pPr>
      <w:r w:rsidRPr="00F8174B">
        <w:rPr>
          <w:lang w:val="es-ES_tradnl"/>
        </w:rPr>
        <w:t>51.</w:t>
      </w:r>
      <w:r w:rsidRPr="00F8174B">
        <w:rPr>
          <w:lang w:val="es-ES_tradnl"/>
        </w:rPr>
        <w:tab/>
        <w:t>Los migrantes ilegales que se consideran víctimas de la trata reciben la asistencia del Ministerio de Desarrollo Social y Seguridad Humana, que les proporciona atención física y psicológica hasta que concluyen los procedimientos judiciales</w:t>
      </w:r>
      <w:r w:rsidRPr="00F8174B">
        <w:rPr>
          <w:cs/>
          <w:lang w:bidi="th-TH"/>
        </w:rPr>
        <w:t>.</w:t>
      </w:r>
    </w:p>
    <w:p w14:paraId="332AC173" w14:textId="77777777" w:rsidR="00F8174B" w:rsidRPr="00F8174B" w:rsidRDefault="00F8174B" w:rsidP="00F8174B">
      <w:pPr>
        <w:pStyle w:val="SingleTxtG"/>
        <w:rPr>
          <w:lang w:val="es-ES_tradnl"/>
        </w:rPr>
      </w:pPr>
      <w:r w:rsidRPr="00F8174B">
        <w:rPr>
          <w:lang w:val="es-ES_tradnl"/>
        </w:rPr>
        <w:t>52.</w:t>
      </w:r>
      <w:r w:rsidRPr="00F8174B">
        <w:rPr>
          <w:lang w:val="es-ES_tradnl"/>
        </w:rPr>
        <w:tab/>
        <w:t>El 21 de enero de 2019, la Real Policía Tailandesa y los Ministerios de Desarrollo Social y Seguridad Humana, Relaciones Exteriores, Interior, Salud, Educación y Trabajo firmaron un memorando de entendimiento para la adopción de medidas y enfoques alternativos a la reclusión de niños en centros de inmigración</w:t>
      </w:r>
      <w:r w:rsidRPr="00F8174B">
        <w:rPr>
          <w:cs/>
          <w:lang w:bidi="th-TH"/>
        </w:rPr>
        <w:t xml:space="preserve">. </w:t>
      </w:r>
      <w:r w:rsidRPr="00F8174B">
        <w:rPr>
          <w:lang w:val="es-ES_tradnl"/>
        </w:rPr>
        <w:t>En virtud de dicho documento, se considera niños a los menores de 18 años que están recluidos en los centros de detención a la espera de ser repatriados por la Oficina de Inmigración de acuerdo con la legislación, sobre la base de los principios siguientes</w:t>
      </w:r>
      <w:r w:rsidRPr="00F8174B">
        <w:rPr>
          <w:cs/>
          <w:lang w:bidi="th-TH"/>
        </w:rPr>
        <w:t>:</w:t>
      </w:r>
    </w:p>
    <w:p w14:paraId="0A4C3AA3" w14:textId="5D9D0B41" w:rsidR="00F8174B" w:rsidRPr="00F8174B" w:rsidRDefault="00F8174B" w:rsidP="00F8174B">
      <w:pPr>
        <w:pStyle w:val="SingleTxtG"/>
        <w:rPr>
          <w:lang w:val="es-ES_tradnl"/>
        </w:rPr>
      </w:pPr>
      <w:r w:rsidRPr="00F8174B">
        <w:rPr>
          <w:lang w:val="es-ES_tradnl"/>
        </w:rPr>
        <w:tab/>
        <w:t>a)</w:t>
      </w:r>
      <w:r w:rsidRPr="00F8174B">
        <w:rPr>
          <w:lang w:val="es-ES_tradnl"/>
        </w:rPr>
        <w:tab/>
        <w:t>No se recluirá a niños, salvo en circunstancias excepcionales; la reclusión podrá realizarse en centros gubernamentales, como medida de último recurso y durante el menor período de tiempo posible</w:t>
      </w:r>
      <w:r w:rsidR="00812033">
        <w:rPr>
          <w:lang w:val="es-ES_tradnl"/>
        </w:rPr>
        <w:t>;</w:t>
      </w:r>
    </w:p>
    <w:p w14:paraId="29723B3C" w14:textId="7731A362" w:rsidR="00F8174B" w:rsidRPr="00F8174B" w:rsidRDefault="00F8174B" w:rsidP="00F8174B">
      <w:pPr>
        <w:pStyle w:val="SingleTxtG"/>
        <w:rPr>
          <w:lang w:val="es-ES_tradnl"/>
        </w:rPr>
      </w:pPr>
      <w:r w:rsidRPr="00F8174B">
        <w:rPr>
          <w:lang w:val="es-ES_tradnl"/>
        </w:rPr>
        <w:lastRenderedPageBreak/>
        <w:tab/>
        <w:t>b)</w:t>
      </w:r>
      <w:r w:rsidRPr="00F8174B">
        <w:rPr>
          <w:lang w:val="es-ES_tradnl"/>
        </w:rPr>
        <w:tab/>
        <w:t>La decisión de recluir a un niño deberá tomarse en función del interés superior del niño, y consultando debidamente con este</w:t>
      </w:r>
      <w:r w:rsidR="00812033">
        <w:rPr>
          <w:lang w:val="es-ES_tradnl"/>
        </w:rPr>
        <w:t>;</w:t>
      </w:r>
    </w:p>
    <w:p w14:paraId="1E57333B" w14:textId="6537249A" w:rsidR="00F8174B" w:rsidRPr="00F8174B" w:rsidRDefault="00F8174B" w:rsidP="00F8174B">
      <w:pPr>
        <w:pStyle w:val="SingleTxtG"/>
        <w:rPr>
          <w:lang w:val="es-ES_tradnl"/>
        </w:rPr>
      </w:pPr>
      <w:r w:rsidRPr="00F8174B">
        <w:rPr>
          <w:lang w:val="es-ES_tradnl"/>
        </w:rPr>
        <w:tab/>
        <w:t>c)</w:t>
      </w:r>
      <w:r w:rsidRPr="00F8174B">
        <w:rPr>
          <w:lang w:val="es-ES_tradnl"/>
        </w:rPr>
        <w:tab/>
        <w:t>Los niños tienen derecho a un nivel de vida adecuado y esencial para sus necesidades y desarrollo, que les ayude a crecer, desarrollarse y perfeccionar sus capacidades</w:t>
      </w:r>
      <w:r w:rsidR="00812033">
        <w:rPr>
          <w:lang w:val="es-ES_tradnl"/>
        </w:rPr>
        <w:t>;</w:t>
      </w:r>
    </w:p>
    <w:p w14:paraId="12552E63" w14:textId="5A97FBE6" w:rsidR="00F8174B" w:rsidRPr="00F8174B" w:rsidRDefault="00F8174B" w:rsidP="00F8174B">
      <w:pPr>
        <w:pStyle w:val="SingleTxtG"/>
        <w:rPr>
          <w:lang w:val="es-ES_tradnl"/>
        </w:rPr>
      </w:pPr>
      <w:r w:rsidRPr="00F8174B">
        <w:rPr>
          <w:lang w:val="es-ES_tradnl"/>
        </w:rPr>
        <w:tab/>
        <w:t>d)</w:t>
      </w:r>
      <w:r w:rsidRPr="00F8174B">
        <w:rPr>
          <w:lang w:val="es-ES_tradnl"/>
        </w:rPr>
        <w:tab/>
        <w:t>Cuando se adopten modalidades de cuidado alternativo, se deberá tener en cuenta el bienestar físico y psicológico de los niños, con el objetivo de brindar soluciones sostenibles y a largo plazo</w:t>
      </w:r>
      <w:r w:rsidR="00812033">
        <w:rPr>
          <w:lang w:val="es-ES_tradnl"/>
        </w:rPr>
        <w:t>;</w:t>
      </w:r>
    </w:p>
    <w:p w14:paraId="68E1382C" w14:textId="77777777" w:rsidR="00F8174B" w:rsidRPr="00F8174B" w:rsidRDefault="00F8174B" w:rsidP="00F8174B">
      <w:pPr>
        <w:pStyle w:val="SingleTxtG"/>
        <w:rPr>
          <w:lang w:val="es-ES_tradnl"/>
        </w:rPr>
      </w:pPr>
      <w:r w:rsidRPr="00F8174B">
        <w:rPr>
          <w:lang w:val="es-ES_tradnl"/>
        </w:rPr>
        <w:tab/>
        <w:t>e)</w:t>
      </w:r>
      <w:r w:rsidRPr="00F8174B">
        <w:rPr>
          <w:lang w:val="es-ES_tradnl"/>
        </w:rPr>
        <w:tab/>
        <w:t>Los organismos gubernamentales pertinentes velarán por adoptar medidas adecuadas de protección y asistencia a los niños.</w:t>
      </w:r>
    </w:p>
    <w:p w14:paraId="2334D045" w14:textId="0242FAA2" w:rsidR="00F8174B" w:rsidRPr="00F8174B" w:rsidRDefault="00062B95" w:rsidP="00062B95">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12 de la lista de</w:t>
      </w:r>
      <w:r>
        <w:rPr>
          <w:lang w:val="es-ES_tradnl"/>
        </w:rPr>
        <w:t> </w:t>
      </w:r>
      <w:r w:rsidR="00F8174B" w:rsidRPr="00F8174B">
        <w:rPr>
          <w:lang w:val="es-ES_tradnl"/>
        </w:rPr>
        <w:t>cuestiones</w:t>
      </w:r>
    </w:p>
    <w:p w14:paraId="3C26AA34" w14:textId="77777777" w:rsidR="00F8174B" w:rsidRPr="00F8174B" w:rsidRDefault="00F8174B" w:rsidP="00F8174B">
      <w:pPr>
        <w:pStyle w:val="SingleTxtG"/>
        <w:rPr>
          <w:lang w:val="es-ES_tradnl"/>
        </w:rPr>
      </w:pPr>
      <w:r w:rsidRPr="00F8174B">
        <w:rPr>
          <w:lang w:val="es-ES_tradnl"/>
        </w:rPr>
        <w:t>53.</w:t>
      </w:r>
      <w:r w:rsidRPr="00F8174B">
        <w:rPr>
          <w:lang w:val="es-ES_tradnl"/>
        </w:rPr>
        <w:tab/>
        <w:t>Tailandia está estableciendo un sistema de evaluación para poder determinar quiénes de entre los migrantes económicos necesitan protección internacional en aplicación del Reglamento de la Oficina del Primer Ministro sobre el control de los extranjeros que entran en el Reino de Tailandia y no pueden regresar al país de origen, que entró en vigor el 22 de junio de 2020, como se indica en el párrafo 8. Por lo tanto, aún no se ha establecido un sistema nacional de registro de solicitudes de asilo, y las autoridades competentes no llevan estadísticas al respecto.</w:t>
      </w:r>
    </w:p>
    <w:p w14:paraId="325C5D24" w14:textId="5FE2CC8F" w:rsidR="00F8174B" w:rsidRPr="00F8174B" w:rsidRDefault="00062B95" w:rsidP="00062B95">
      <w:pPr>
        <w:pStyle w:val="H1G"/>
        <w:rPr>
          <w:lang w:val="es-ES_tradnl"/>
        </w:rPr>
      </w:pPr>
      <w:r>
        <w:rPr>
          <w:lang w:val="es-ES_tradnl"/>
        </w:rPr>
        <w:tab/>
      </w:r>
      <w:r w:rsidR="00F8174B" w:rsidRPr="00F8174B">
        <w:rPr>
          <w:lang w:val="es-ES_tradnl"/>
        </w:rPr>
        <w:tab/>
        <w:t>Respuesta a las cuestiones planteadas en el párrafo 13 de la lista de</w:t>
      </w:r>
      <w:r>
        <w:rPr>
          <w:lang w:val="es-ES_tradnl"/>
        </w:rPr>
        <w:t> </w:t>
      </w:r>
      <w:r w:rsidR="00F8174B" w:rsidRPr="00F8174B">
        <w:rPr>
          <w:lang w:val="es-ES_tradnl"/>
        </w:rPr>
        <w:t>cuestiones</w:t>
      </w:r>
    </w:p>
    <w:p w14:paraId="1C6DF629" w14:textId="77777777" w:rsidR="00F8174B" w:rsidRPr="00F8174B" w:rsidRDefault="00F8174B" w:rsidP="00F8174B">
      <w:pPr>
        <w:pStyle w:val="SingleTxtG"/>
        <w:rPr>
          <w:lang w:val="es-ES_tradnl"/>
        </w:rPr>
      </w:pPr>
      <w:r w:rsidRPr="00F8174B">
        <w:rPr>
          <w:lang w:val="es-ES_tradnl"/>
        </w:rPr>
        <w:t>54.</w:t>
      </w:r>
      <w:r w:rsidRPr="00F8174B">
        <w:rPr>
          <w:lang w:val="es-ES_tradnl"/>
        </w:rPr>
        <w:tab/>
        <w:t>El Sr. Muhammet Furkan Sökmen se encontraba en una zona de tránsito del aeropuerto de Suvarnabhumi y no pasó por el control de inmigración</w:t>
      </w:r>
      <w:r w:rsidRPr="00F8174B">
        <w:rPr>
          <w:cs/>
          <w:lang w:bidi="th-TH"/>
        </w:rPr>
        <w:t xml:space="preserve">. </w:t>
      </w:r>
      <w:r w:rsidRPr="00F8174B">
        <w:rPr>
          <w:lang w:val="es-ES_tradnl"/>
        </w:rPr>
        <w:t>Por lo tanto, Tailandia no puede facilitar información sobre su expulsión desde Myanmar a Turquía, país de origen</w:t>
      </w:r>
      <w:r w:rsidRPr="00F8174B">
        <w:rPr>
          <w:cs/>
          <w:lang w:bidi="th-TH"/>
        </w:rPr>
        <w:t>.</w:t>
      </w:r>
    </w:p>
    <w:p w14:paraId="418952B2" w14:textId="1ACE6284" w:rsidR="00F8174B" w:rsidRPr="00F8174B" w:rsidRDefault="00062B95" w:rsidP="00062B95">
      <w:pPr>
        <w:pStyle w:val="HChG"/>
        <w:rPr>
          <w:lang w:val="es-ES_tradnl"/>
        </w:rPr>
      </w:pPr>
      <w:r>
        <w:rPr>
          <w:lang w:val="es-ES_tradnl"/>
        </w:rPr>
        <w:tab/>
      </w:r>
      <w:r w:rsidR="00F8174B" w:rsidRPr="00F8174B">
        <w:rPr>
          <w:lang w:val="es-ES_tradnl"/>
        </w:rPr>
        <w:tab/>
        <w:t>Artículo 10</w:t>
      </w:r>
    </w:p>
    <w:p w14:paraId="4C363B4C" w14:textId="1997AB1A" w:rsidR="00F8174B" w:rsidRPr="00F8174B" w:rsidRDefault="00062B95" w:rsidP="00062B95">
      <w:pPr>
        <w:pStyle w:val="H1G"/>
        <w:rPr>
          <w:bCs/>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14 de la lista de</w:t>
      </w:r>
      <w:r>
        <w:rPr>
          <w:lang w:val="es-ES_tradnl"/>
        </w:rPr>
        <w:t> </w:t>
      </w:r>
      <w:r w:rsidR="00F8174B" w:rsidRPr="00F8174B">
        <w:rPr>
          <w:lang w:val="es-ES_tradnl"/>
        </w:rPr>
        <w:t>cuestiones</w:t>
      </w:r>
    </w:p>
    <w:p w14:paraId="578DBB22" w14:textId="77777777" w:rsidR="00F8174B" w:rsidRPr="00F8174B" w:rsidRDefault="00F8174B" w:rsidP="00F8174B">
      <w:pPr>
        <w:pStyle w:val="SingleTxtG"/>
        <w:rPr>
          <w:lang w:val="es-ES_tradnl"/>
        </w:rPr>
      </w:pPr>
      <w:r w:rsidRPr="00F8174B">
        <w:rPr>
          <w:lang w:val="es-ES_tradnl"/>
        </w:rPr>
        <w:t>55.</w:t>
      </w:r>
      <w:r w:rsidRPr="00F8174B">
        <w:rPr>
          <w:lang w:val="es-ES_tradnl"/>
        </w:rPr>
        <w:tab/>
        <w:t>Durante el período que se examina, se impartieron regularmente cursos de formación sobre la prevención de la tortura y las desapariciones forzadas para funcionarios del Estado que son miembros de las fuerzas armadas, la policía, los servicios penitenciarios y otros organismos conexos</w:t>
      </w:r>
      <w:r w:rsidRPr="00F8174B">
        <w:rPr>
          <w:cs/>
          <w:lang w:bidi="th-TH"/>
        </w:rPr>
        <w:t xml:space="preserve">. </w:t>
      </w:r>
      <w:r w:rsidRPr="00F8174B">
        <w:rPr>
          <w:lang w:val="es-ES_tradnl"/>
        </w:rPr>
        <w:t>Esta formación se organizó tanto en el contexto de los programas habituales como de programas especiales</w:t>
      </w:r>
      <w:r w:rsidRPr="00F8174B">
        <w:rPr>
          <w:cs/>
          <w:lang w:bidi="th-TH"/>
        </w:rPr>
        <w:t xml:space="preserve">. Entre los cursos de formación impartidos </w:t>
      </w:r>
      <w:r w:rsidRPr="00F8174B">
        <w:rPr>
          <w:lang w:val="es-ES_tradnl"/>
        </w:rPr>
        <w:t>por los organismos competentes cabe mencionar los siguientes:</w:t>
      </w:r>
    </w:p>
    <w:p w14:paraId="7350F019" w14:textId="1F95EA98" w:rsidR="00F8174B" w:rsidRPr="00F8174B" w:rsidRDefault="00F8174B" w:rsidP="00F8174B">
      <w:pPr>
        <w:pStyle w:val="SingleTxtG"/>
        <w:rPr>
          <w:lang w:val="es-ES_tradnl"/>
        </w:rPr>
      </w:pPr>
      <w:r w:rsidRPr="00F8174B">
        <w:rPr>
          <w:lang w:val="es-ES_tradnl"/>
        </w:rPr>
        <w:tab/>
        <w:t>a)</w:t>
      </w:r>
      <w:r w:rsidRPr="00F8174B">
        <w:rPr>
          <w:lang w:val="es-ES_tradnl"/>
        </w:rPr>
        <w:tab/>
        <w:t>El curso GE 21102 sobre Derechos Humanos para Agentes de Policía es un módulo obligatorio que se imparte a los alumnos de la Escuela de Sargentos en el que se ofrece información sobre la Declaración Universal de Derechos Humanos, el Pacto Internacional de Derechos Civiles y Políticos, y la Convención contra la Tortura y Otros Tratos o Penas Crueles, Inhumanos o Degradantes</w:t>
      </w:r>
      <w:r w:rsidR="00812033">
        <w:rPr>
          <w:lang w:val="es-ES_tradnl"/>
        </w:rPr>
        <w:t>;</w:t>
      </w:r>
    </w:p>
    <w:p w14:paraId="0317ECBE" w14:textId="4D49D711" w:rsidR="00F8174B" w:rsidRPr="00F8174B" w:rsidRDefault="00F8174B" w:rsidP="00F8174B">
      <w:pPr>
        <w:pStyle w:val="SingleTxtG"/>
        <w:rPr>
          <w:lang w:val="es-ES_tradnl"/>
        </w:rPr>
      </w:pPr>
      <w:r w:rsidRPr="00F8174B">
        <w:rPr>
          <w:lang w:val="es-ES_tradnl"/>
        </w:rPr>
        <w:tab/>
        <w:t>b)</w:t>
      </w:r>
      <w:r w:rsidRPr="00F8174B">
        <w:rPr>
          <w:lang w:val="es-ES_tradnl"/>
        </w:rPr>
        <w:tab/>
        <w:t>El Departamento de Protección de Derechos y Libertades organizó conferencias e impartió cursos de capacitación sobre las disposiciones de la Convención contra la Tortura y Otros Tratos o Penas Crueles, Inhumanos o Degradantes dirigidas a los funcionarios que trabajan en las provincias fronterizas meridionales de Tailandia con el</w:t>
      </w:r>
      <w:r w:rsidRPr="00F8174B">
        <w:rPr>
          <w:cs/>
        </w:rPr>
        <w:t xml:space="preserve"> </w:t>
      </w:r>
      <w:r w:rsidRPr="00F8174B">
        <w:rPr>
          <w:lang w:val="es-ES_tradnl"/>
        </w:rPr>
        <w:t>objetivo de que todos ellos conocieran los principios y conceptos de la Convención basados en los derechos</w:t>
      </w:r>
      <w:r w:rsidRPr="00F8174B">
        <w:rPr>
          <w:cs/>
        </w:rPr>
        <w:t xml:space="preserve">. Los </w:t>
      </w:r>
      <w:r w:rsidRPr="00F8174B">
        <w:rPr>
          <w:lang w:val="es-ES_tradnl"/>
        </w:rPr>
        <w:t>participantes en los cursos eran militares, agentes de policía, funcionarios administrativos y funcionarios de justicia del Ministerio de Justicia de las provincias de Songkhla, Pattani, Yala y Narathiwat</w:t>
      </w:r>
      <w:r w:rsidRPr="00F8174B">
        <w:rPr>
          <w:cs/>
        </w:rPr>
        <w:t>. Los cursos versaron no solo sobre la Convención contra la Tortura sino también sobre</w:t>
      </w:r>
      <w:r w:rsidRPr="00F8174B">
        <w:rPr>
          <w:lang w:val="es-ES_tradnl"/>
        </w:rPr>
        <w:t xml:space="preserve"> la aplicación de leyes especiales en cumplimiento de las obligaciones en materia de derechos humanos, como los Principios </w:t>
      </w:r>
      <w:r w:rsidRPr="00F8174B">
        <w:rPr>
          <w:lang w:val="es-ES_tradnl"/>
        </w:rPr>
        <w:lastRenderedPageBreak/>
        <w:t>Básicos de las Naciones Unidas sobre el Empleo de la Fuerza y de Armas de Fuego por los Funcionarios encargados de Hacer Cumplir la Ley</w:t>
      </w:r>
      <w:r w:rsidRPr="00F8174B">
        <w:rPr>
          <w:cs/>
        </w:rPr>
        <w:t xml:space="preserve">. En </w:t>
      </w:r>
      <w:r w:rsidRPr="00F8174B">
        <w:rPr>
          <w:lang w:val="es-ES_tradnl"/>
        </w:rPr>
        <w:t xml:space="preserve">2016, 2017, 2018 y 2019 participaron en dichos cursos un total de 3.400, 1.923, 1.920 y </w:t>
      </w:r>
      <w:r w:rsidRPr="00F8174B">
        <w:rPr>
          <w:cs/>
        </w:rPr>
        <w:t>2</w:t>
      </w:r>
      <w:r w:rsidRPr="00F8174B">
        <w:rPr>
          <w:lang w:val="es-ES_tradnl"/>
        </w:rPr>
        <w:t>.440 funcionarios, respectivamente</w:t>
      </w:r>
      <w:r w:rsidR="00812033">
        <w:rPr>
          <w:rFonts w:hint="cs"/>
          <w:cs/>
        </w:rPr>
        <w:t>;</w:t>
      </w:r>
    </w:p>
    <w:p w14:paraId="47E1D9AA" w14:textId="5464694A" w:rsidR="00F8174B" w:rsidRPr="00F8174B" w:rsidRDefault="00F8174B" w:rsidP="00F8174B">
      <w:pPr>
        <w:pStyle w:val="SingleTxtG"/>
        <w:rPr>
          <w:lang w:val="es-ES_tradnl"/>
        </w:rPr>
      </w:pPr>
      <w:r w:rsidRPr="00F8174B">
        <w:rPr>
          <w:lang w:val="es-ES_tradnl"/>
        </w:rPr>
        <w:tab/>
        <w:t>c)</w:t>
      </w:r>
      <w:r w:rsidRPr="00F8174B">
        <w:rPr>
          <w:lang w:val="es-ES_tradnl"/>
        </w:rPr>
        <w:tab/>
        <w:t xml:space="preserve">La Comisión Nacional de Derechos Humanos ha organizado cursos de formación sobre el tema titulado </w:t>
      </w:r>
      <w:r w:rsidR="006F6842">
        <w:t>“</w:t>
      </w:r>
      <w:r w:rsidRPr="00F8174B">
        <w:rPr>
          <w:lang w:val="es-ES_tradnl"/>
        </w:rPr>
        <w:t>La prevención de la tortura y otros tratos o penas crueles, inhumanos o degradantes en Tailandia</w:t>
      </w:r>
      <w:r w:rsidR="006F6842">
        <w:t>”</w:t>
      </w:r>
      <w:r w:rsidRPr="00F8174B">
        <w:rPr>
          <w:cs/>
        </w:rPr>
        <w:t xml:space="preserve"> </w:t>
      </w:r>
      <w:r w:rsidRPr="00F8174B">
        <w:rPr>
          <w:lang w:val="es-ES_tradnl"/>
        </w:rPr>
        <w:t>para militares, policías, funcionarios administrativos y funcionarios de prisiones de forma sistemática y regular a lo largo del año, en los que se han inscrito más de 1.000 participantes</w:t>
      </w:r>
      <w:r w:rsidR="00812033">
        <w:rPr>
          <w:rFonts w:hint="cs"/>
          <w:cs/>
        </w:rPr>
        <w:t>;</w:t>
      </w:r>
    </w:p>
    <w:p w14:paraId="3E6821C8" w14:textId="3B940EDB" w:rsidR="00F8174B" w:rsidRPr="00F8174B" w:rsidRDefault="00F8174B" w:rsidP="00F8174B">
      <w:pPr>
        <w:pStyle w:val="SingleTxtG"/>
        <w:rPr>
          <w:lang w:val="es-ES_tradnl"/>
        </w:rPr>
      </w:pPr>
      <w:r w:rsidRPr="00F8174B">
        <w:rPr>
          <w:lang w:val="es-ES_tradnl"/>
        </w:rPr>
        <w:tab/>
        <w:t>d)</w:t>
      </w:r>
      <w:r w:rsidRPr="00F8174B">
        <w:rPr>
          <w:lang w:val="es-ES_tradnl"/>
        </w:rPr>
        <w:tab/>
        <w:t>Los cursos de formación impartidos por el Departamento de Instituciones Penitenciarias abarcan cuestiones como los derechos humanos en general y la prevención de la tortura y las desapariciones forzadas. Los cursos han sido obligatorios para los funcionarios recién nombrados y los funcionarios de nivel directivo</w:t>
      </w:r>
      <w:r w:rsidR="00812033">
        <w:rPr>
          <w:rFonts w:hint="cs"/>
          <w:cs/>
        </w:rPr>
        <w:t>;</w:t>
      </w:r>
    </w:p>
    <w:p w14:paraId="3BE4CA07" w14:textId="468DFB8D" w:rsidR="00F8174B" w:rsidRPr="00F8174B" w:rsidRDefault="00F8174B" w:rsidP="00F8174B">
      <w:pPr>
        <w:pStyle w:val="SingleTxtG"/>
        <w:rPr>
          <w:lang w:val="es-ES_tradnl"/>
        </w:rPr>
      </w:pPr>
      <w:r w:rsidRPr="00F8174B">
        <w:rPr>
          <w:lang w:val="es-ES_tradnl"/>
        </w:rPr>
        <w:tab/>
        <w:t>e)</w:t>
      </w:r>
      <w:r w:rsidRPr="00F8174B">
        <w:rPr>
          <w:lang w:val="es-ES_tradnl"/>
        </w:rPr>
        <w:tab/>
        <w:t>La Unidad de Operaciones de Seguridad Interior de la Región 4 impartió cursos sobre derechos humanos a militares y otros funcionarios pertinentes durante todo el año. Los cursos se centran en dos cuestiones importantes: 1) los facilitadores de los derechos humanos y 2) la aplicación efectiva de la ley para los funcionarios de las provincias fronterizas meridionales. En 2019, un total de 1.546 funcionarios participaron en estos cursos</w:t>
      </w:r>
      <w:r w:rsidR="00812033">
        <w:rPr>
          <w:lang w:val="es-ES_tradnl"/>
        </w:rPr>
        <w:t>;</w:t>
      </w:r>
    </w:p>
    <w:p w14:paraId="53273640" w14:textId="128F8E46" w:rsidR="00F8174B" w:rsidRPr="00F8174B" w:rsidRDefault="00F8174B" w:rsidP="00F8174B">
      <w:pPr>
        <w:pStyle w:val="SingleTxtG"/>
        <w:rPr>
          <w:lang w:val="es-ES_tradnl"/>
        </w:rPr>
      </w:pPr>
      <w:r w:rsidRPr="00F8174B">
        <w:rPr>
          <w:lang w:val="es-ES_tradnl"/>
        </w:rPr>
        <w:tab/>
        <w:t>f)</w:t>
      </w:r>
      <w:r w:rsidRPr="00F8174B">
        <w:rPr>
          <w:lang w:val="es-ES_tradnl"/>
        </w:rPr>
        <w:tab/>
        <w:t>La Escuela de Policía impartió un curso sobre prevención de la tortura y las desapariciones forzadas en los que participaron 960 inspectores en 2018-2019 y 2.080</w:t>
      </w:r>
      <w:r w:rsidR="00B470FB">
        <w:rPr>
          <w:lang w:val="es-ES_tradnl"/>
        </w:rPr>
        <w:t> </w:t>
      </w:r>
      <w:r w:rsidRPr="00F8174B">
        <w:rPr>
          <w:lang w:val="es-ES_tradnl"/>
        </w:rPr>
        <w:t>comisarios en 2017-2019</w:t>
      </w:r>
      <w:r w:rsidR="00812033">
        <w:rPr>
          <w:lang w:val="es-ES_tradnl"/>
        </w:rPr>
        <w:t>;</w:t>
      </w:r>
    </w:p>
    <w:p w14:paraId="22590893" w14:textId="77777777" w:rsidR="00F8174B" w:rsidRPr="00F8174B" w:rsidRDefault="00F8174B" w:rsidP="00F8174B">
      <w:pPr>
        <w:pStyle w:val="SingleTxtG"/>
        <w:rPr>
          <w:lang w:val="es-ES_tradnl"/>
        </w:rPr>
      </w:pPr>
      <w:r w:rsidRPr="00F8174B">
        <w:rPr>
          <w:lang w:val="es-ES_tradnl"/>
        </w:rPr>
        <w:tab/>
        <w:t>g)</w:t>
      </w:r>
      <w:r w:rsidRPr="00F8174B">
        <w:rPr>
          <w:lang w:val="es-ES_tradnl"/>
        </w:rPr>
        <w:tab/>
        <w:t>Durante el período que se examina, el Departamento de Protección de Derechos y Libertades realizó visitas sobre el terreno para impartir capacitación a agentes del orden en 12 provincias</w:t>
      </w:r>
      <w:r w:rsidRPr="00F8174B">
        <w:rPr>
          <w:cs/>
        </w:rPr>
        <w:t xml:space="preserve">. Estas </w:t>
      </w:r>
      <w:r w:rsidRPr="00F8174B">
        <w:rPr>
          <w:lang w:val="es-ES_tradnl"/>
        </w:rPr>
        <w:t>sesiones de formación han surtido efecto, como ponen de manifiesto las estadísticas relativas a las denuncias recibidas por el Comité Nacional para la Gestión de los Casos de Tortura y Desaparición Forzada, que indican una disminución continua de los incidentes de tortura y desaparición forzada en los últimos años.</w:t>
      </w:r>
    </w:p>
    <w:p w14:paraId="4CAAA247" w14:textId="1EA02459" w:rsidR="00F8174B" w:rsidRPr="00F8174B" w:rsidRDefault="00062B95" w:rsidP="00062B95">
      <w:pPr>
        <w:pStyle w:val="H1G"/>
        <w:rPr>
          <w:bCs/>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15 de la lista de</w:t>
      </w:r>
      <w:r>
        <w:rPr>
          <w:lang w:val="es-ES_tradnl"/>
        </w:rPr>
        <w:t> </w:t>
      </w:r>
      <w:r w:rsidR="00F8174B" w:rsidRPr="00F8174B">
        <w:rPr>
          <w:lang w:val="es-ES_tradnl"/>
        </w:rPr>
        <w:t>cuestiones</w:t>
      </w:r>
    </w:p>
    <w:p w14:paraId="49206472" w14:textId="77777777" w:rsidR="00F8174B" w:rsidRPr="00F8174B" w:rsidRDefault="00F8174B" w:rsidP="00F8174B">
      <w:pPr>
        <w:pStyle w:val="SingleTxtG"/>
        <w:rPr>
          <w:lang w:val="es-ES_tradnl"/>
        </w:rPr>
      </w:pPr>
      <w:bookmarkStart w:id="2" w:name="_Hlk41057163"/>
      <w:r w:rsidRPr="00F8174B">
        <w:rPr>
          <w:lang w:val="es-ES_tradnl"/>
        </w:rPr>
        <w:t>56.</w:t>
      </w:r>
      <w:r w:rsidRPr="00F8174B">
        <w:rPr>
          <w:lang w:val="es-ES_tradnl"/>
        </w:rPr>
        <w:tab/>
        <w:t>La Oficina del Fiscal General ofrece cursos dirigidos a los fiscales en los que se imparten nociones fundamentales sobre medicina legal, como las relativas a las pruebas y la química forenses, así como a las autopsias</w:t>
      </w:r>
      <w:r w:rsidRPr="00F8174B">
        <w:rPr>
          <w:cs/>
          <w:lang w:bidi="th-TH"/>
        </w:rPr>
        <w:t>. Gracias a esa formación centrada en el desarrollo de competencias</w:t>
      </w:r>
      <w:r w:rsidRPr="00F8174B">
        <w:rPr>
          <w:lang w:val="es-ES_tradnl"/>
        </w:rPr>
        <w:t>, los fiscales podrán distinguir los diferentes tipos de heridas o lesiones que resultan esenciales para documentar los casos de tortura</w:t>
      </w:r>
      <w:r w:rsidRPr="00F8174B">
        <w:rPr>
          <w:cs/>
          <w:lang w:bidi="th-TH"/>
        </w:rPr>
        <w:t>.</w:t>
      </w:r>
    </w:p>
    <w:p w14:paraId="7ABA3D68" w14:textId="77777777" w:rsidR="00F8174B" w:rsidRPr="00F8174B" w:rsidRDefault="00F8174B" w:rsidP="00F8174B">
      <w:pPr>
        <w:pStyle w:val="SingleTxtG"/>
        <w:rPr>
          <w:lang w:val="es-ES_tradnl"/>
        </w:rPr>
      </w:pPr>
      <w:r w:rsidRPr="00F8174B">
        <w:rPr>
          <w:lang w:val="es-ES_tradnl"/>
        </w:rPr>
        <w:t>57.</w:t>
      </w:r>
      <w:r w:rsidRPr="00F8174B">
        <w:rPr>
          <w:lang w:val="es-ES_tradnl"/>
        </w:rPr>
        <w:tab/>
        <w:t>El Departamento de Protección de Derechos y Libertades, junto con la Comisión Internacional de Juristas y la Oficina del Alto Comisionado de las Naciones Unidas para los Derechos Humanos (ACNUDH), diseñó un curso de capacitación para el personal médico y otros funcionarios que trabajan en la esfera de los derechos humanos, la investigación y la medicina legal en casos de tortura y desaparición forzada, incluida la cuestión de las muertes ilícitas, a la que se refieren el Protocolo de Estambul y el Protocolo de Minnesota. El curso se organiza regularmente desde 2017.</w:t>
      </w:r>
    </w:p>
    <w:p w14:paraId="55D2B05F" w14:textId="77777777" w:rsidR="00F8174B" w:rsidRPr="00F8174B" w:rsidRDefault="00F8174B" w:rsidP="00F8174B">
      <w:pPr>
        <w:pStyle w:val="SingleTxtG"/>
        <w:rPr>
          <w:b/>
          <w:bCs/>
          <w:lang w:val="es-ES_tradnl"/>
        </w:rPr>
      </w:pPr>
      <w:r w:rsidRPr="00F8174B">
        <w:rPr>
          <w:bCs/>
          <w:lang w:val="es-ES_tradnl"/>
        </w:rPr>
        <w:t>58.</w:t>
      </w:r>
      <w:r w:rsidRPr="00F8174B">
        <w:rPr>
          <w:bCs/>
          <w:lang w:val="es-ES_tradnl"/>
        </w:rPr>
        <w:tab/>
        <w:t>Desde 2015, e</w:t>
      </w:r>
      <w:r w:rsidRPr="00F8174B">
        <w:rPr>
          <w:lang w:val="es-ES_tradnl"/>
        </w:rPr>
        <w:t>l Instituto Central de Medicina Legal organiza cursos de capacitación sobre los principios de derechos humanos, las normas internacionales y la investigación de presuntos casos de ejecuciones extrajudiciales y desapariciones forzadas dirigidos a los funcionarios interesados.</w:t>
      </w:r>
      <w:bookmarkEnd w:id="2"/>
    </w:p>
    <w:p w14:paraId="0EC51471" w14:textId="009F374A" w:rsidR="00F8174B" w:rsidRPr="00F8174B" w:rsidRDefault="00062B95" w:rsidP="00062B95">
      <w:pPr>
        <w:pStyle w:val="HChG"/>
        <w:rPr>
          <w:cs/>
          <w:lang w:bidi="th-TH"/>
        </w:rPr>
      </w:pPr>
      <w:r>
        <w:rPr>
          <w:lang w:val="es-ES_tradnl"/>
        </w:rPr>
        <w:lastRenderedPageBreak/>
        <w:tab/>
      </w:r>
      <w:r w:rsidR="00F8174B" w:rsidRPr="00F8174B">
        <w:rPr>
          <w:lang w:val="es-ES_tradnl"/>
        </w:rPr>
        <w:tab/>
        <w:t>Artículo 11</w:t>
      </w:r>
    </w:p>
    <w:p w14:paraId="39ADE40E" w14:textId="4F8A1932" w:rsidR="00F8174B" w:rsidRPr="00F8174B" w:rsidRDefault="00062B95" w:rsidP="00062B95">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16 de la lista de</w:t>
      </w:r>
      <w:r>
        <w:rPr>
          <w:lang w:val="es-ES_tradnl"/>
        </w:rPr>
        <w:t> </w:t>
      </w:r>
      <w:r w:rsidR="00F8174B" w:rsidRPr="00F8174B">
        <w:rPr>
          <w:lang w:val="es-ES_tradnl"/>
        </w:rPr>
        <w:t>cuestiones</w:t>
      </w:r>
    </w:p>
    <w:p w14:paraId="5F12BEFB" w14:textId="77777777" w:rsidR="00F8174B" w:rsidRPr="00F8174B" w:rsidRDefault="00F8174B" w:rsidP="00F8174B">
      <w:pPr>
        <w:pStyle w:val="SingleTxtG"/>
        <w:rPr>
          <w:lang w:val="es-ES_tradnl"/>
        </w:rPr>
      </w:pPr>
      <w:r w:rsidRPr="00F8174B">
        <w:rPr>
          <w:lang w:val="es-ES_tradnl"/>
        </w:rPr>
        <w:t>59.</w:t>
      </w:r>
      <w:r w:rsidRPr="00F8174B">
        <w:rPr>
          <w:lang w:val="es-ES_tradnl"/>
        </w:rPr>
        <w:tab/>
        <w:t xml:space="preserve">La introducción de la Ley Penitenciaria </w:t>
      </w:r>
      <w:r w:rsidRPr="00F8174B">
        <w:rPr>
          <w:cs/>
          <w:lang w:bidi="th-TH"/>
        </w:rPr>
        <w:t>de 2017</w:t>
      </w:r>
      <w:r w:rsidRPr="00F8174B">
        <w:rPr>
          <w:lang w:val="es-ES_tradnl"/>
        </w:rPr>
        <w:t>, que deroga la anterior ley sobre la cuestión de 1943, es una de las medidas adoptadas por Tailandia para modificar la legislación nacional a fin de que sea más acorde con las normas internacionales pertinentes, en particular las Reglas Nelson Mandela y las Reglas de Bangkok. El Departamento de Instituciones Penitenciarias también ha distribuido instrucciones para que todos los funcionarios de prisiones y otros funcionarios pertinentes traten a los detenidos de acuerdo con las normas internacionales de derechos humanos y conozcan mejor las obligaciones que impone la Convención.</w:t>
      </w:r>
    </w:p>
    <w:p w14:paraId="6D35917A" w14:textId="77777777" w:rsidR="00F8174B" w:rsidRPr="00F8174B" w:rsidRDefault="00F8174B" w:rsidP="00F8174B">
      <w:pPr>
        <w:pStyle w:val="SingleTxtG"/>
        <w:rPr>
          <w:lang w:val="es-ES_tradnl"/>
        </w:rPr>
      </w:pPr>
      <w:r w:rsidRPr="00F8174B">
        <w:rPr>
          <w:lang w:val="es-ES_tradnl"/>
        </w:rPr>
        <w:t>60.</w:t>
      </w:r>
      <w:r w:rsidRPr="00F8174B">
        <w:rPr>
          <w:lang w:val="es-ES_tradnl"/>
        </w:rPr>
        <w:tab/>
        <w:t xml:space="preserve">Por lo que respecta a los medios de coerción, el espíritu de la Ley Penitenciaria es restringir su uso en la medida de lo posible. El Departamento de Instituciones Penitenciarias se rige actualmente por el artículo </w:t>
      </w:r>
      <w:r w:rsidRPr="00F8174B">
        <w:rPr>
          <w:cs/>
          <w:lang w:bidi="th-TH"/>
        </w:rPr>
        <w:t xml:space="preserve">21 </w:t>
      </w:r>
      <w:r w:rsidRPr="00F8174B">
        <w:rPr>
          <w:lang w:val="es-ES_tradnl"/>
        </w:rPr>
        <w:t xml:space="preserve">de la Ley Penitenciaria </w:t>
      </w:r>
      <w:r w:rsidRPr="00F8174B">
        <w:rPr>
          <w:cs/>
          <w:lang w:bidi="th-TH"/>
        </w:rPr>
        <w:t>de 2017</w:t>
      </w:r>
      <w:r w:rsidRPr="00F8174B">
        <w:rPr>
          <w:lang w:val="es-ES_tradnl"/>
        </w:rPr>
        <w:t xml:space="preserve">, que aplica normas más estrictas que las exigidas por las Reglas Nelson Mandela. No se permite la aplicación de medios de coerción a los reclusos salvo que sea absolutamente necesario, por ejemplo, para prevenir lesiones autoinfligidas o fugas o en caso de salidas fuera de la prisión. La Ley Penitenciaria impone requisitos aún más estrictos si se trata de detenidos menores de </w:t>
      </w:r>
      <w:r w:rsidRPr="00F8174B">
        <w:rPr>
          <w:cs/>
          <w:lang w:bidi="th-TH"/>
        </w:rPr>
        <w:t>18 años o</w:t>
      </w:r>
      <w:r w:rsidRPr="00F8174B">
        <w:rPr>
          <w:lang w:val="es-ES_tradnl"/>
        </w:rPr>
        <w:t xml:space="preserve"> mayores de </w:t>
      </w:r>
      <w:r w:rsidRPr="00F8174B">
        <w:rPr>
          <w:cs/>
          <w:lang w:bidi="th-TH"/>
        </w:rPr>
        <w:t>60 años</w:t>
      </w:r>
      <w:r w:rsidRPr="00F8174B">
        <w:rPr>
          <w:lang w:val="es-ES_tradnl"/>
        </w:rPr>
        <w:t xml:space="preserve">, de mujeres o de personas con necesidades médicas especiales. En los casos en que se apliquen medios de coerción, la decisión respecto a su aplicación se revisa cada </w:t>
      </w:r>
      <w:r w:rsidRPr="00F8174B">
        <w:rPr>
          <w:cs/>
          <w:lang w:bidi="th-TH"/>
        </w:rPr>
        <w:t xml:space="preserve">15 </w:t>
      </w:r>
      <w:r w:rsidRPr="00F8174B">
        <w:rPr>
          <w:lang w:val="es-ES_tradnl"/>
        </w:rPr>
        <w:t>días, y podría revocarse una vez establecido que ya no son necesarios.</w:t>
      </w:r>
    </w:p>
    <w:p w14:paraId="3B1ADD8C" w14:textId="77777777" w:rsidR="00F8174B" w:rsidRPr="00F8174B" w:rsidRDefault="00F8174B" w:rsidP="00F8174B">
      <w:pPr>
        <w:pStyle w:val="SingleTxtG"/>
        <w:rPr>
          <w:lang w:val="es-ES_tradnl"/>
        </w:rPr>
      </w:pPr>
      <w:r w:rsidRPr="00F8174B">
        <w:rPr>
          <w:lang w:val="es-ES_tradnl"/>
        </w:rPr>
        <w:t>61.</w:t>
      </w:r>
      <w:r w:rsidRPr="00F8174B">
        <w:rPr>
          <w:lang w:val="es-ES_tradnl"/>
        </w:rPr>
        <w:tab/>
        <w:t>La reclusión en régimen de aislamiento es una forma de sanción disciplinaria en virtud del artículo 69 de la Ley Penitenciaria. Esta Ley autoriza la reclusión en régimen de aislamiento por un período de hasta 30 días consecutivos, pero el Ministerio de Justicia es consciente de la discrepancia con respecto a las Reglas Nelson Mandela, que contemplan un máximo de 15 días. Por lo tanto, el Ministerio de Justicia está elaborando actualmente un reglamento ministerial por el que se dispone que la reclusión en régimen de aislamiento no podrá imponerse durante más de 15 días consecutivos, además de diversos proyectos de reglamento ministerial para dar aplicación a la Ley Penitenciaria.</w:t>
      </w:r>
    </w:p>
    <w:p w14:paraId="10B210D0" w14:textId="77777777" w:rsidR="00F8174B" w:rsidRPr="00F8174B" w:rsidRDefault="00F8174B" w:rsidP="00F8174B">
      <w:pPr>
        <w:pStyle w:val="SingleTxtG"/>
        <w:rPr>
          <w:lang w:val="es-ES_tradnl"/>
        </w:rPr>
      </w:pPr>
      <w:r w:rsidRPr="00F8174B">
        <w:rPr>
          <w:lang w:val="es-ES_tradnl"/>
        </w:rPr>
        <w:t>62.</w:t>
      </w:r>
      <w:r w:rsidRPr="00F8174B">
        <w:rPr>
          <w:lang w:val="es-ES_tradnl"/>
        </w:rPr>
        <w:tab/>
        <w:t>El artículo 33 de la Ley Penitenciaria de 2017 establece que el Departamento de Instituciones Penitenciarias puede recluir a los presos en un lugar que no sea una prisión para proporcionarles formación profesional, tratamiento médico y capacitación antes de su reinserción en la sociedad. Por consiguiente, la reclusión en lugares distintos de las prisiones no tiene por finalidad la imposición de un castigo, sino proporcionar un entorno más propicio para el aprendizaje, el tratamiento y la rehabilitación. Sin embargo, esta medida todavía no se ha aplicado en la práctica.</w:t>
      </w:r>
    </w:p>
    <w:p w14:paraId="1A3BC3F2" w14:textId="77777777" w:rsidR="00F8174B" w:rsidRPr="00F8174B" w:rsidRDefault="00F8174B" w:rsidP="00F8174B">
      <w:pPr>
        <w:pStyle w:val="SingleTxtG"/>
        <w:rPr>
          <w:lang w:val="es-ES_tradnl"/>
        </w:rPr>
      </w:pPr>
      <w:r w:rsidRPr="00F8174B">
        <w:rPr>
          <w:lang w:val="es-ES_tradnl"/>
        </w:rPr>
        <w:t>63.</w:t>
      </w:r>
      <w:r w:rsidRPr="00F8174B">
        <w:rPr>
          <w:lang w:val="es-ES_tradnl"/>
        </w:rPr>
        <w:tab/>
        <w:t>Tailandia se ha comprometido a intensificar sus esfuerzos para mejorar las condiciones de reclusión. A este respecto, remitimos al párrafo 22 del presente informe en el que se informa sobre un acto conmemorativo celebrado el 18 de julio de 2017 con motivo del Día Internacional de Nelson Mandela, así como sobre proyectos experimentales llevados a cabo por el Departamento de Instituciones Penitenciarias para aplicar las Reglas Nelson Mandela</w:t>
      </w:r>
      <w:r w:rsidRPr="00F8174B">
        <w:rPr>
          <w:cs/>
          <w:lang w:bidi="th-TH"/>
        </w:rPr>
        <w:t>.</w:t>
      </w:r>
    </w:p>
    <w:p w14:paraId="01D8E03A" w14:textId="77777777" w:rsidR="00F8174B" w:rsidRPr="00F8174B" w:rsidRDefault="00F8174B" w:rsidP="00F8174B">
      <w:pPr>
        <w:pStyle w:val="SingleTxtG"/>
        <w:rPr>
          <w:lang w:val="es-ES_tradnl"/>
        </w:rPr>
      </w:pPr>
      <w:r w:rsidRPr="00F8174B">
        <w:rPr>
          <w:lang w:val="es-ES_tradnl"/>
        </w:rPr>
        <w:t>64.</w:t>
      </w:r>
      <w:r w:rsidRPr="00F8174B">
        <w:rPr>
          <w:lang w:val="es-ES_tradnl"/>
        </w:rPr>
        <w:tab/>
        <w:t xml:space="preserve">A fin de preparar a los reclusos para que, tras su puesta en libertad, puedan obtener los medios de subsistencia necesarios y de brindarles apoyo en esa tarea, el Departamento de Instituciones Penitenciarias ha elaborado un programa de capacitación para que estas personas, una vez que abandonen los centros de reclusión, puedan reintegrarse en la sociedad y reanudar su vida normal. El Departamento también ofrece servicios de consulta sobre cuestiones de índole personal, económica y social y sobre las relaciones con los familiares y las comunidades. Uno de los avances más recientes ha sido la creación de oficinas del Centro de Asistencia para la Reintegración y el Empleo (CARE) en cada una de las </w:t>
      </w:r>
      <w:r w:rsidRPr="00F8174B">
        <w:rPr>
          <w:cs/>
          <w:lang w:bidi="th-TH"/>
        </w:rPr>
        <w:t xml:space="preserve">143 </w:t>
      </w:r>
      <w:r w:rsidRPr="00F8174B">
        <w:rPr>
          <w:lang w:val="es-ES_tradnl"/>
        </w:rPr>
        <w:t xml:space="preserve">prisiones del país. El Centro entró en funcionamiento el </w:t>
      </w:r>
      <w:r w:rsidRPr="00F8174B">
        <w:rPr>
          <w:cs/>
          <w:lang w:bidi="th-TH"/>
        </w:rPr>
        <w:t xml:space="preserve">15 </w:t>
      </w:r>
      <w:r w:rsidRPr="00F8174B">
        <w:rPr>
          <w:lang w:val="es-ES_tradnl"/>
        </w:rPr>
        <w:t xml:space="preserve">de febrero </w:t>
      </w:r>
      <w:r w:rsidRPr="00F8174B">
        <w:rPr>
          <w:cs/>
          <w:lang w:bidi="th-TH"/>
        </w:rPr>
        <w:t xml:space="preserve">de 2018 </w:t>
      </w:r>
      <w:r w:rsidRPr="00F8174B">
        <w:rPr>
          <w:lang w:val="es-ES_tradnl"/>
        </w:rPr>
        <w:t xml:space="preserve">con el objetivo principal de promover el empleo de los reclusos tras su puesta en libertad. El </w:t>
      </w:r>
      <w:r w:rsidRPr="00F8174B">
        <w:rPr>
          <w:cs/>
          <w:lang w:bidi="th-TH"/>
        </w:rPr>
        <w:t xml:space="preserve">26 </w:t>
      </w:r>
      <w:r w:rsidRPr="00F8174B">
        <w:rPr>
          <w:lang w:val="es-ES_tradnl"/>
        </w:rPr>
        <w:t xml:space="preserve">de marzo </w:t>
      </w:r>
      <w:r w:rsidRPr="00F8174B">
        <w:rPr>
          <w:cs/>
          <w:lang w:bidi="th-TH"/>
        </w:rPr>
        <w:t>de 2018</w:t>
      </w:r>
      <w:r w:rsidRPr="00F8174B">
        <w:rPr>
          <w:lang w:val="es-ES_tradnl"/>
        </w:rPr>
        <w:t xml:space="preserve">, el Departamento de Empleo, dependiente del Ministerio de Trabajo, firmó memorandos de entendimiento sobre proyectos de colaboración entre el sector público y el privado con el </w:t>
      </w:r>
      <w:r w:rsidRPr="00F8174B">
        <w:rPr>
          <w:lang w:val="es-ES_tradnl"/>
        </w:rPr>
        <w:lastRenderedPageBreak/>
        <w:t>Departamento de Desarrollo de Competencias, el Departamento de Instituciones Penitenciarias, la Federación de Industrias Tailandesas y la Cámara de Comercio de Tailandia, con el fin de crear oportunidades de trabajo para los reclusos mediante el desarrollo de sus competencias profesionales una vez puestos en libertad.</w:t>
      </w:r>
    </w:p>
    <w:p w14:paraId="781EC538" w14:textId="7E8E5C49" w:rsidR="00F8174B" w:rsidRPr="00F8174B" w:rsidRDefault="00F8174B" w:rsidP="00F8174B">
      <w:pPr>
        <w:pStyle w:val="SingleTxtG"/>
        <w:rPr>
          <w:lang w:val="es-ES_tradnl"/>
        </w:rPr>
      </w:pPr>
      <w:r w:rsidRPr="00F8174B">
        <w:rPr>
          <w:lang w:val="es-ES_tradnl"/>
        </w:rPr>
        <w:t>65.</w:t>
      </w:r>
      <w:r w:rsidRPr="00F8174B">
        <w:rPr>
          <w:lang w:val="es-ES_tradnl"/>
        </w:rPr>
        <w:tab/>
      </w:r>
      <w:r w:rsidRPr="00143F48">
        <w:t xml:space="preserve">Desde </w:t>
      </w:r>
      <w:r w:rsidRPr="00143F48">
        <w:rPr>
          <w:cs/>
        </w:rPr>
        <w:t>1993</w:t>
      </w:r>
      <w:r w:rsidRPr="00143F48">
        <w:t xml:space="preserve">, el Departamento de Instituciones Penitenciarias aplica las disposiciones de la Guía de buenas prácticas para el tratamiento de las detenidas transgénero, que prevé medidas específicas, como la detención de las mujeres transgénero en instalaciones separadas de las de los hombres, y garantiza que los procedimientos de exámenes físicos no menoscaben sus derechos y dignidad. Asimismo, el artículo </w:t>
      </w:r>
      <w:r w:rsidRPr="00143F48">
        <w:rPr>
          <w:cs/>
        </w:rPr>
        <w:t xml:space="preserve">31 </w:t>
      </w:r>
      <w:r w:rsidRPr="00143F48">
        <w:t xml:space="preserve">de la Ley Penitenciaria </w:t>
      </w:r>
      <w:r w:rsidRPr="00143F48">
        <w:rPr>
          <w:cs/>
        </w:rPr>
        <w:t>d</w:t>
      </w:r>
      <w:r w:rsidR="00143F48" w:rsidRPr="00143F48">
        <w:rPr>
          <w:rFonts w:hint="cs"/>
          <w:cs/>
        </w:rPr>
        <w:t>e</w:t>
      </w:r>
      <w:r w:rsidR="00143F48">
        <w:rPr>
          <w:rFonts w:hint="eastAsia"/>
          <w:cs/>
        </w:rPr>
        <w:t> </w:t>
      </w:r>
      <w:r w:rsidRPr="00143F48">
        <w:rPr>
          <w:cs/>
        </w:rPr>
        <w:t xml:space="preserve">2017 </w:t>
      </w:r>
      <w:r w:rsidR="00143F48">
        <w:rPr>
          <w:rFonts w:hint="cs"/>
          <w:cs/>
        </w:rPr>
        <w:t>dispone</w:t>
      </w:r>
      <w:r w:rsidRPr="00143F48">
        <w:t xml:space="preserve"> que deben proporcionarse instalaciones adecuadas para los reclusos en función del género. Para dar cumplimiento a esta disposición, el Departamento de Instituciones Penitenciarias ha previsto zonas separadas para los reclusos LGBTI, especialmente en las prisiones en las que estos representan un porcentaje significativo de los internos, como la prisión preventiva de Min Buri, la prisión central de Klong Prem y la prisión preventiva de Pattaya</w:t>
      </w:r>
      <w:r w:rsidRPr="00F8174B">
        <w:rPr>
          <w:lang w:val="es-ES_tradnl"/>
        </w:rPr>
        <w:t>.</w:t>
      </w:r>
    </w:p>
    <w:p w14:paraId="4F80DF5E" w14:textId="6AE3E57A" w:rsidR="00F8174B" w:rsidRPr="00F8174B" w:rsidRDefault="00062B95" w:rsidP="00062B95">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17 de la lista de</w:t>
      </w:r>
      <w:r>
        <w:rPr>
          <w:lang w:val="es-ES_tradnl"/>
        </w:rPr>
        <w:t> </w:t>
      </w:r>
      <w:r w:rsidR="00F8174B" w:rsidRPr="00F8174B">
        <w:rPr>
          <w:lang w:val="es-ES_tradnl"/>
        </w:rPr>
        <w:t>cuestiones</w:t>
      </w:r>
    </w:p>
    <w:p w14:paraId="1E060AD1" w14:textId="77777777" w:rsidR="00F8174B" w:rsidRPr="00F8174B" w:rsidRDefault="00F8174B" w:rsidP="008C71D6">
      <w:pPr>
        <w:pStyle w:val="SingleTxtG"/>
        <w:spacing w:after="130"/>
        <w:rPr>
          <w:lang w:val="es-ES_tradnl"/>
        </w:rPr>
      </w:pPr>
      <w:r w:rsidRPr="00F8174B">
        <w:rPr>
          <w:lang w:val="es-ES_tradnl"/>
        </w:rPr>
        <w:t>66.</w:t>
      </w:r>
      <w:r w:rsidRPr="00F8174B">
        <w:rPr>
          <w:lang w:val="es-ES_tradnl"/>
        </w:rPr>
        <w:tab/>
        <w:t>En el cuadro 10 anexo al presente informe se proporcionan datos estadísticos, desglosados por género, sobre el número de presos preventivos y condenados en todos los lugares de detención.</w:t>
      </w:r>
    </w:p>
    <w:p w14:paraId="68D9BC74" w14:textId="77777777" w:rsidR="00F8174B" w:rsidRPr="00F8174B" w:rsidRDefault="00F8174B" w:rsidP="008C71D6">
      <w:pPr>
        <w:pStyle w:val="SingleTxtG"/>
        <w:spacing w:after="130"/>
        <w:rPr>
          <w:lang w:val="es-ES_tradnl"/>
        </w:rPr>
      </w:pPr>
      <w:r w:rsidRPr="00F8174B">
        <w:rPr>
          <w:lang w:val="es-ES_tradnl"/>
        </w:rPr>
        <w:t>67.</w:t>
      </w:r>
      <w:r w:rsidRPr="00F8174B">
        <w:rPr>
          <w:lang w:val="es-ES_tradnl"/>
        </w:rPr>
        <w:tab/>
        <w:t xml:space="preserve">El hacinamiento en las prisiones es uno de los principales problemas del sistema penitenciario de Tailandia. Mediante la aplicación del Plan de Reforma del Sistema de Justicia, de </w:t>
      </w:r>
      <w:r w:rsidRPr="00F8174B">
        <w:rPr>
          <w:cs/>
          <w:lang w:bidi="th-TH"/>
        </w:rPr>
        <w:t xml:space="preserve">6 de </w:t>
      </w:r>
      <w:r w:rsidRPr="00F8174B">
        <w:rPr>
          <w:lang w:val="es-ES_tradnl"/>
        </w:rPr>
        <w:t xml:space="preserve">abril </w:t>
      </w:r>
      <w:r w:rsidRPr="00F8174B">
        <w:rPr>
          <w:cs/>
          <w:lang w:bidi="th-TH"/>
        </w:rPr>
        <w:t xml:space="preserve">de 2018, se trata de </w:t>
      </w:r>
      <w:r w:rsidRPr="00F8174B">
        <w:rPr>
          <w:lang w:val="es-ES_tradnl"/>
        </w:rPr>
        <w:t xml:space="preserve">mejorar diversos aspectos del sistema judicial, entre ellos las condiciones de las prisiones y los centros de reclusión de todo el país. La Ley Penitenciaria </w:t>
      </w:r>
      <w:r w:rsidRPr="00F8174B">
        <w:rPr>
          <w:cs/>
          <w:lang w:bidi="th-TH"/>
        </w:rPr>
        <w:t xml:space="preserve">de 2017 </w:t>
      </w:r>
      <w:r w:rsidRPr="00F8174B">
        <w:rPr>
          <w:lang w:val="es-ES_tradnl"/>
        </w:rPr>
        <w:t>también proporciona al Departamento de Instituciones Penitenciarias instrumentos para resolver el problema del hacinamiento de una manera eficaz y práctica, al disponer la aplicación de medidas alternativas a la reclusión, incluida la posibilidad de designar como lugares de reclusión lugares distintos de las prisiones. Del mismo modo, la Oficina de la Junta de Fiscalización de Estupefacientes ha conseguido aplicar con éxito su política de permitir a los delincuentes toxicómanos someterse voluntariamente a un programa de rehabilitación en lugar de a una pena de prisión.</w:t>
      </w:r>
    </w:p>
    <w:p w14:paraId="041FA7C1" w14:textId="77777777" w:rsidR="00F8174B" w:rsidRPr="00F8174B" w:rsidRDefault="00F8174B" w:rsidP="008C71D6">
      <w:pPr>
        <w:pStyle w:val="SingleTxtG"/>
        <w:spacing w:after="130"/>
        <w:rPr>
          <w:lang w:val="es-ES_tradnl"/>
        </w:rPr>
      </w:pPr>
      <w:r w:rsidRPr="00F8174B">
        <w:rPr>
          <w:lang w:val="es-ES_tradnl"/>
        </w:rPr>
        <w:t>68.</w:t>
      </w:r>
      <w:r w:rsidRPr="00F8174B">
        <w:rPr>
          <w:lang w:val="es-ES_tradnl"/>
        </w:rPr>
        <w:tab/>
        <w:t>Durante el período que abarca el informe, Tailandia ha aplicado las siguientes medidas para reducir el hacinamiento en las prisiones:</w:t>
      </w:r>
    </w:p>
    <w:p w14:paraId="4D734305" w14:textId="02058381" w:rsidR="00F8174B" w:rsidRPr="00F8174B" w:rsidRDefault="00F8174B" w:rsidP="008C71D6">
      <w:pPr>
        <w:pStyle w:val="SingleTxtG"/>
        <w:spacing w:after="130"/>
        <w:rPr>
          <w:lang w:val="es-ES_tradnl"/>
        </w:rPr>
      </w:pPr>
      <w:r w:rsidRPr="00F8174B">
        <w:rPr>
          <w:lang w:val="es-ES_tradnl"/>
        </w:rPr>
        <w:tab/>
        <w:t>a)</w:t>
      </w:r>
      <w:r w:rsidRPr="00F8174B">
        <w:rPr>
          <w:lang w:val="es-ES_tradnl"/>
        </w:rPr>
        <w:tab/>
        <w:t>Ampliación de las prisiones existentes y construcción de nuevos establecimientos para aumentar la capacidad carcelaria</w:t>
      </w:r>
      <w:r w:rsidR="00812033">
        <w:rPr>
          <w:lang w:val="es-ES_tradnl"/>
        </w:rPr>
        <w:t>;</w:t>
      </w:r>
    </w:p>
    <w:p w14:paraId="59DF0197" w14:textId="1C173CDC" w:rsidR="00F8174B" w:rsidRPr="00F8174B" w:rsidRDefault="00F8174B" w:rsidP="008C71D6">
      <w:pPr>
        <w:pStyle w:val="SingleTxtG"/>
        <w:spacing w:after="130"/>
        <w:rPr>
          <w:lang w:val="es-ES_tradnl"/>
        </w:rPr>
      </w:pPr>
      <w:r w:rsidRPr="00F8174B">
        <w:rPr>
          <w:lang w:val="es-ES_tradnl"/>
        </w:rPr>
        <w:tab/>
        <w:t>b)</w:t>
      </w:r>
      <w:r w:rsidRPr="00F8174B">
        <w:rPr>
          <w:lang w:val="es-ES_tradnl"/>
        </w:rPr>
        <w:tab/>
        <w:t>Construcción de prisiones de mínima seguridad para los reclusos que están a punto de cumplir las condenas impuestas, en las que puedan prepararse para su reinserción en la sociedad</w:t>
      </w:r>
      <w:r w:rsidR="00812033">
        <w:rPr>
          <w:lang w:val="es-ES_tradnl"/>
        </w:rPr>
        <w:t>;</w:t>
      </w:r>
    </w:p>
    <w:p w14:paraId="5B4CD179" w14:textId="3DF53AD4" w:rsidR="00F8174B" w:rsidRPr="00F8174B" w:rsidRDefault="00F8174B" w:rsidP="008C71D6">
      <w:pPr>
        <w:pStyle w:val="SingleTxtG"/>
        <w:spacing w:after="130"/>
        <w:rPr>
          <w:lang w:val="es-ES_tradnl"/>
        </w:rPr>
      </w:pPr>
      <w:r w:rsidRPr="00F8174B">
        <w:rPr>
          <w:lang w:val="es-ES_tradnl"/>
        </w:rPr>
        <w:tab/>
        <w:t>c)</w:t>
      </w:r>
      <w:r w:rsidRPr="00F8174B">
        <w:rPr>
          <w:lang w:val="es-ES_tradnl"/>
        </w:rPr>
        <w:tab/>
        <w:t xml:space="preserve">Concesión de libertad condicional y reducción del tiempo de condena para algunos reclusos con buena conducta. Además, se han flexibilizado las condiciones para obtener la libertad condicional, por lo que un mayor número de reclusos pueden solicitarla. El </w:t>
      </w:r>
      <w:r w:rsidRPr="00F8174B">
        <w:rPr>
          <w:cs/>
        </w:rPr>
        <w:t xml:space="preserve">25 </w:t>
      </w:r>
      <w:r w:rsidRPr="00F8174B">
        <w:rPr>
          <w:lang w:val="es-ES_tradnl"/>
        </w:rPr>
        <w:t xml:space="preserve">de enero </w:t>
      </w:r>
      <w:r w:rsidRPr="00F8174B">
        <w:rPr>
          <w:cs/>
        </w:rPr>
        <w:t>de 2017</w:t>
      </w:r>
      <w:r w:rsidRPr="00F8174B">
        <w:rPr>
          <w:lang w:val="es-ES_tradnl"/>
        </w:rPr>
        <w:t xml:space="preserve">, el Departamento de Instituciones Penitenciarias puso en marcha un proyecto con objeto de suspender las penas en casos especiales en los que el condenado padezca una enfermedad grave, sea una persona con discapacidad o tenga más de </w:t>
      </w:r>
      <w:r w:rsidRPr="00F8174B">
        <w:rPr>
          <w:cs/>
        </w:rPr>
        <w:t>70 años</w:t>
      </w:r>
      <w:r w:rsidR="00812033">
        <w:rPr>
          <w:rFonts w:hint="cs"/>
          <w:cs/>
        </w:rPr>
        <w:t>;</w:t>
      </w:r>
    </w:p>
    <w:p w14:paraId="2D0D0412" w14:textId="0F286AC5" w:rsidR="00F8174B" w:rsidRPr="00F8174B" w:rsidRDefault="00F8174B" w:rsidP="008C71D6">
      <w:pPr>
        <w:pStyle w:val="SingleTxtG"/>
        <w:spacing w:after="130"/>
        <w:rPr>
          <w:lang w:val="es-ES_tradnl"/>
        </w:rPr>
      </w:pPr>
      <w:r w:rsidRPr="00F8174B">
        <w:rPr>
          <w:lang w:val="es-ES_tradnl"/>
        </w:rPr>
        <w:tab/>
        <w:t>d)</w:t>
      </w:r>
      <w:r w:rsidRPr="00F8174B">
        <w:rPr>
          <w:lang w:val="es-ES_tradnl"/>
        </w:rPr>
        <w:tab/>
        <w:t>Traslado de reclusos extranjeros a sus respectivos países de residencia</w:t>
      </w:r>
      <w:r w:rsidR="00812033">
        <w:rPr>
          <w:lang w:val="es-ES_tradnl"/>
        </w:rPr>
        <w:t>;</w:t>
      </w:r>
    </w:p>
    <w:p w14:paraId="6761FCB4" w14:textId="13F1C2FA" w:rsidR="00F8174B" w:rsidRPr="00F8174B" w:rsidRDefault="00F8174B" w:rsidP="008C71D6">
      <w:pPr>
        <w:pStyle w:val="SingleTxtG"/>
        <w:spacing w:after="130"/>
        <w:rPr>
          <w:lang w:val="es-ES_tradnl"/>
        </w:rPr>
      </w:pPr>
      <w:r w:rsidRPr="00F8174B">
        <w:rPr>
          <w:lang w:val="es-ES_tradnl"/>
        </w:rPr>
        <w:tab/>
        <w:t>e)</w:t>
      </w:r>
      <w:r w:rsidRPr="00F8174B">
        <w:rPr>
          <w:lang w:val="es-ES_tradnl"/>
        </w:rPr>
        <w:tab/>
        <w:t>Revisión de la legislación penal para derogar los aspectos obsoletos de las leyes o para disminuir la pena a un nivel razonable que sea proporcional a la gravedad de los delitos, incluidos los delitos relacionados con las drogas</w:t>
      </w:r>
      <w:r w:rsidR="00812033">
        <w:rPr>
          <w:lang w:val="es-ES_tradnl"/>
        </w:rPr>
        <w:t>;</w:t>
      </w:r>
      <w:r w:rsidRPr="00F8174B">
        <w:rPr>
          <w:lang w:val="es-ES_tradnl"/>
        </w:rPr>
        <w:t xml:space="preserve"> y</w:t>
      </w:r>
    </w:p>
    <w:p w14:paraId="35288140" w14:textId="77777777" w:rsidR="00F8174B" w:rsidRPr="00F8174B" w:rsidRDefault="00F8174B" w:rsidP="008C71D6">
      <w:pPr>
        <w:pStyle w:val="SingleTxtG"/>
        <w:spacing w:after="130"/>
        <w:rPr>
          <w:lang w:val="es-ES_tradnl"/>
        </w:rPr>
      </w:pPr>
      <w:r w:rsidRPr="00F8174B">
        <w:rPr>
          <w:lang w:val="es-ES_tradnl"/>
        </w:rPr>
        <w:tab/>
        <w:t>f)</w:t>
      </w:r>
      <w:r w:rsidRPr="00F8174B">
        <w:rPr>
          <w:lang w:val="es-ES_tradnl"/>
        </w:rPr>
        <w:tab/>
        <w:t>Solicitud de indulto real.</w:t>
      </w:r>
    </w:p>
    <w:p w14:paraId="6DF33164" w14:textId="77777777" w:rsidR="00F8174B" w:rsidRPr="00F8174B" w:rsidRDefault="00F8174B" w:rsidP="008C71D6">
      <w:pPr>
        <w:pStyle w:val="SingleTxtG"/>
        <w:keepNext/>
        <w:keepLines/>
        <w:rPr>
          <w:lang w:val="es-ES_tradnl"/>
        </w:rPr>
      </w:pPr>
      <w:r w:rsidRPr="00F8174B">
        <w:rPr>
          <w:lang w:val="es-ES_tradnl"/>
        </w:rPr>
        <w:lastRenderedPageBreak/>
        <w:t>69.</w:t>
      </w:r>
      <w:r w:rsidRPr="00F8174B">
        <w:rPr>
          <w:lang w:val="es-ES_tradnl"/>
        </w:rPr>
        <w:tab/>
        <w:t>En 2014 y 2015, el Departamento de Libertad Condicional y el Tribunal de Justicia, respectivamente, introdujeron un sistema de vigilancia electrónica. Este sistema ha funcionado como alternativa a la detención provisional en el caso de los sospechosos a los que se ha otorgado la libertad temporal. Si un acusado o un imputado acepta someterse al sistema de vigilancia electrónica o utilizar otros dispositivos que permiten seguir o restringir sus desplazamientos, el tribunal puede ejercer sus facultades discrecionales para reducir la cuantía de la fianza de acuerdo con el Reglamento del Presidente del Tribunal Supremo y, si el acusado o imputado carece de medios, el tribunal puede ejercer sus facultades discrecionales para reducir la fianza de modo que su cuantía sea inferior a la tasa mínima prescrita en el Reglamento. En la actualidad se utilizan 9.522 sistemas de vigilancia electrónica en todo el sistema judicial (a fecha de 26 de enero de 2020).</w:t>
      </w:r>
    </w:p>
    <w:p w14:paraId="25BAAB90" w14:textId="1B05EB0D" w:rsidR="00F8174B" w:rsidRPr="00F8174B" w:rsidRDefault="00F8174B" w:rsidP="00F8174B">
      <w:pPr>
        <w:pStyle w:val="SingleTxtG"/>
        <w:rPr>
          <w:lang w:val="es-ES_tradnl"/>
        </w:rPr>
      </w:pPr>
      <w:r w:rsidRPr="00F8174B">
        <w:rPr>
          <w:lang w:val="es-ES_tradnl"/>
        </w:rPr>
        <w:t>70.</w:t>
      </w:r>
      <w:r w:rsidRPr="00F8174B">
        <w:rPr>
          <w:lang w:val="es-ES_tradnl"/>
        </w:rPr>
        <w:tab/>
        <w:t>Además, en virtud del artículo 6 de la Ley Penitenciaria de 2017, el Ministerio de Justicia está elaborando un reglamento ministerial para establecer sanciones penales sustitutivas del encarcelamiento. En el proyecto de Reglamento Ministerial se proponen seis sanciones sustitutivas, a saber: 1) las penas discontinuas; 2) la detención durante un número de horas determinadas; 3) la detención dentro de un lugar concreto; 4) la prestación de servicios a la comunidad; 5) las restricciones a los viajes con arreglo al artículo 89, párrafo</w:t>
      </w:r>
      <w:r w:rsidR="00724672">
        <w:rPr>
          <w:lang w:val="es-ES_tradnl"/>
        </w:rPr>
        <w:t> </w:t>
      </w:r>
      <w:r w:rsidRPr="00F8174B">
        <w:rPr>
          <w:lang w:val="es-ES_tradnl"/>
        </w:rPr>
        <w:t>2, del Código de Procedimiento Penal; y 6) cualquier otra sanción que especifique el Departamento de Instituciones Penitenciarias.</w:t>
      </w:r>
    </w:p>
    <w:p w14:paraId="05546BE3" w14:textId="58700488" w:rsidR="00F8174B" w:rsidRPr="00F8174B" w:rsidRDefault="00062B95" w:rsidP="00062B95">
      <w:pPr>
        <w:pStyle w:val="H1G"/>
        <w:rPr>
          <w:lang w:val="es-ES_tradnl"/>
        </w:rPr>
      </w:pPr>
      <w:r>
        <w:rPr>
          <w:lang w:val="es-ES_tradnl"/>
        </w:rPr>
        <w:tab/>
      </w:r>
      <w:r w:rsidR="00F8174B" w:rsidRPr="00F8174B">
        <w:rPr>
          <w:lang w:val="es-ES_tradnl"/>
        </w:rPr>
        <w:tab/>
        <w:t>Respuesta a las cuestiones planteadas en el párrafo 18 de la lista de</w:t>
      </w:r>
      <w:r>
        <w:rPr>
          <w:lang w:val="es-ES_tradnl"/>
        </w:rPr>
        <w:t> </w:t>
      </w:r>
      <w:r w:rsidR="00F8174B" w:rsidRPr="00F8174B">
        <w:rPr>
          <w:lang w:val="es-ES_tradnl"/>
        </w:rPr>
        <w:t>cuestiones</w:t>
      </w:r>
    </w:p>
    <w:p w14:paraId="12BB9C43" w14:textId="77777777" w:rsidR="00F8174B" w:rsidRPr="00F8174B" w:rsidRDefault="00F8174B" w:rsidP="00F8174B">
      <w:pPr>
        <w:pStyle w:val="SingleTxtG"/>
        <w:rPr>
          <w:lang w:val="es-ES_tradnl"/>
        </w:rPr>
      </w:pPr>
      <w:r w:rsidRPr="00F8174B">
        <w:rPr>
          <w:lang w:val="es-ES_tradnl"/>
        </w:rPr>
        <w:t>71.</w:t>
      </w:r>
      <w:r w:rsidRPr="00F8174B">
        <w:rPr>
          <w:lang w:val="es-ES_tradnl"/>
        </w:rPr>
        <w:tab/>
        <w:t>Tailandia, que reconoce los problemas de derechos humanos que afectan específicamente a las reclusas, emprendió iniciativas para sensibilizar sobre esta cuestión que dieron lugar a la adopción de las Reglas de Bangkok por parte de la Asamblea General de las Naciones Unidas. Tailandia ha colaborado estrechamente con la Oficina de las Naciones Unidas contra la Droga y el Delito (UNODC) y otras partes interesadas en la aplicación de las Reglas de Bangkok. Un ejemplo destacado es la elaboración del Documento de Orientación e Índice sobre la Aplicación de las Reglas de Bangkok, que contiene información práctica para que los organismos pertinentes consideren la posibilidad de aplicar dichas Reglas en el marco de sus políticas sobre el tratamiento de las reclusas.</w:t>
      </w:r>
    </w:p>
    <w:p w14:paraId="71E45B55" w14:textId="5C6AC247" w:rsidR="00F8174B" w:rsidRPr="00F8174B" w:rsidRDefault="00F8174B" w:rsidP="00062B95">
      <w:pPr>
        <w:pStyle w:val="SingleTxtG"/>
        <w:rPr>
          <w:cs/>
          <w:lang w:val="es-ES_tradnl"/>
        </w:rPr>
      </w:pPr>
      <w:r w:rsidRPr="00F8174B">
        <w:rPr>
          <w:lang w:val="es-ES_tradnl"/>
        </w:rPr>
        <w:t>72.</w:t>
      </w:r>
      <w:r w:rsidRPr="00F8174B">
        <w:rPr>
          <w:lang w:val="es-ES_tradnl"/>
        </w:rPr>
        <w:tab/>
        <w:t>De conformidad con el Reglamento del Departamento de Instituciones Penitenciarias relativo a los registros corporales de las nuevas reclusas y de las reclusas que entran y salen del centro penitenciario, de 2561 de la E.B. (2018), el registro corporal de una mujer, incluidas las mujeres transgénero, debe ser realizado en un lugar específico por personal médico o de enfermería o por personal penitenciario que haya recibido formación médica. Desde 2013, el Departamento de Instituciones Penitenciarias ha venido instalando escáneres de tomografía computarizada (TC) en 25 centros penitenciarios femeninos de todo el país con objeto de mejorar el método de registro corporal de acuerdo con las normas internacionales. El Departamento tiene previsto instalar este tipo de escáneres en todas las prisiones de Tailandia.</w:t>
      </w:r>
    </w:p>
    <w:p w14:paraId="6090B4B4" w14:textId="77777777" w:rsidR="00F8174B" w:rsidRPr="00F8174B" w:rsidRDefault="00F8174B" w:rsidP="00F8174B">
      <w:pPr>
        <w:pStyle w:val="SingleTxtG"/>
        <w:rPr>
          <w:lang w:val="es-ES_tradnl"/>
        </w:rPr>
      </w:pPr>
      <w:r w:rsidRPr="00F8174B">
        <w:rPr>
          <w:lang w:val="es-ES_tradnl"/>
        </w:rPr>
        <w:t>73.</w:t>
      </w:r>
      <w:r w:rsidRPr="00F8174B">
        <w:rPr>
          <w:lang w:val="es-ES_tradnl"/>
        </w:rPr>
        <w:tab/>
        <w:t>Las reclusas embarazadas reciben atención y cuidados especiales por sus necesidades específicas. En los artículos 57 a 59 de la Ley Penitenciaria de 2017 se prevén medidas concretas para las reclusas embarazadas y lactantes, como la prestación de asesoramiento sanitario y nutricional adecuado por parte del personal médico, el suministro de alimentos suficientes, la atención del parto en un hospital fuera de la prisión y la realización de controles sanitarios a los lactantes que residen con sus madres en las prisiones. Asimismo, se prevé la disposición de dormitorios y baños para uso específico de las reclusas embarazadas, la incorporación de enfermeras u obstetras para que realicen exámenes de salud y control del embarazo, el traslado de las reclusas embarazadas para que reciban atención prenatal en hospitales externos (cuando sea posible) o la organización de la prestación de dicho servicio en la prisión.</w:t>
      </w:r>
    </w:p>
    <w:p w14:paraId="2A713BBA" w14:textId="27D07356" w:rsidR="00F8174B" w:rsidRPr="00F8174B" w:rsidRDefault="00062B95" w:rsidP="00062B95">
      <w:pPr>
        <w:pStyle w:val="H1G"/>
        <w:rPr>
          <w:bCs/>
          <w:lang w:val="es-ES_tradnl"/>
        </w:rPr>
      </w:pPr>
      <w:r>
        <w:rPr>
          <w:bCs/>
          <w:lang w:val="es-ES_tradnl"/>
        </w:rPr>
        <w:lastRenderedPageBreak/>
        <w:tab/>
      </w:r>
      <w:r w:rsidR="00F8174B" w:rsidRPr="00F8174B">
        <w:rPr>
          <w:bCs/>
          <w:lang w:val="es-ES_tradnl"/>
        </w:rPr>
        <w:tab/>
      </w:r>
      <w:r w:rsidR="00F8174B" w:rsidRPr="00F8174B">
        <w:rPr>
          <w:lang w:val="es-ES_tradnl"/>
        </w:rPr>
        <w:t>Respuesta a las cuestiones planteadas en el párrafo 19 de la lista de</w:t>
      </w:r>
      <w:r>
        <w:rPr>
          <w:lang w:val="es-ES_tradnl"/>
        </w:rPr>
        <w:t> </w:t>
      </w:r>
      <w:r w:rsidR="00F8174B" w:rsidRPr="00F8174B">
        <w:rPr>
          <w:lang w:val="es-ES_tradnl"/>
        </w:rPr>
        <w:t>cuestiones</w:t>
      </w:r>
    </w:p>
    <w:p w14:paraId="550D1C58" w14:textId="6287191F" w:rsidR="00F8174B" w:rsidRPr="00F8174B" w:rsidRDefault="00F8174B" w:rsidP="00F8174B">
      <w:pPr>
        <w:pStyle w:val="SingleTxtG"/>
        <w:rPr>
          <w:lang w:val="es-ES_tradnl"/>
        </w:rPr>
      </w:pPr>
      <w:r w:rsidRPr="00F8174B">
        <w:rPr>
          <w:lang w:val="es-ES_tradnl"/>
        </w:rPr>
        <w:t>74.</w:t>
      </w:r>
      <w:r w:rsidRPr="00F8174B">
        <w:rPr>
          <w:lang w:val="es-ES_tradnl"/>
        </w:rPr>
        <w:tab/>
      </w:r>
      <w:r w:rsidRPr="00870652">
        <w:t xml:space="preserve">Entre 2017 y 2020, el Departamento de Instituciones Penitenciarias recibió </w:t>
      </w:r>
      <w:r w:rsidRPr="00870652">
        <w:rPr>
          <w:cs/>
        </w:rPr>
        <w:t>28</w:t>
      </w:r>
      <w:r w:rsidR="00870652">
        <w:rPr>
          <w:rFonts w:hint="eastAsia"/>
          <w:cs/>
        </w:rPr>
        <w:t> </w:t>
      </w:r>
      <w:r w:rsidRPr="00870652">
        <w:t>denuncias de incidentes de violencia entre reclusos. Si se constata la comisión de una infracción disciplinaria, el recluso que haya provocado el incidente será objeto de medidas disciplinarias en virtud de los artículos 68 y 69 de la Ley Penitenciaria de 2017. Las medidas disciplinarias incluyen la libertad vigilada, la suspensión de la reclasificación penitenciaria durante un período de tiempo, el descenso a un grado inferior de la clasificación penitenciaria, y la retirada de los derechos de visita y contacto durante un periodo no superior a tres meses, excepto el contacto con los abogados.</w:t>
      </w:r>
    </w:p>
    <w:p w14:paraId="73054AA3" w14:textId="0AD2A80C" w:rsidR="00F8174B" w:rsidRPr="00F8174B" w:rsidRDefault="00062B95" w:rsidP="00062B95">
      <w:pPr>
        <w:pStyle w:val="H1G"/>
        <w:rPr>
          <w:bCs/>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20 de la lista de</w:t>
      </w:r>
      <w:r>
        <w:rPr>
          <w:lang w:val="es-ES_tradnl"/>
        </w:rPr>
        <w:t> </w:t>
      </w:r>
      <w:r w:rsidR="00F8174B" w:rsidRPr="00F8174B">
        <w:rPr>
          <w:lang w:val="es-ES_tradnl"/>
        </w:rPr>
        <w:t>cuestiones</w:t>
      </w:r>
    </w:p>
    <w:p w14:paraId="2D0D33EC" w14:textId="383D8BB9" w:rsidR="00F8174B" w:rsidRPr="00F8174B" w:rsidRDefault="00F8174B" w:rsidP="00F8174B">
      <w:pPr>
        <w:pStyle w:val="SingleTxtG"/>
        <w:rPr>
          <w:lang w:val="es-ES_tradnl"/>
        </w:rPr>
      </w:pPr>
      <w:r w:rsidRPr="00F8174B">
        <w:rPr>
          <w:lang w:val="es-ES_tradnl"/>
        </w:rPr>
        <w:t>75.</w:t>
      </w:r>
      <w:r w:rsidRPr="00F8174B">
        <w:rPr>
          <w:lang w:val="es-ES_tradnl"/>
        </w:rPr>
        <w:tab/>
        <w:t>Véase el cuadro 11 anexo al presente informe, en el que figuran datos estadísticos</w:t>
      </w:r>
      <w:r w:rsidR="00870652">
        <w:rPr>
          <w:lang w:val="es-ES_tradnl"/>
        </w:rPr>
        <w:t xml:space="preserve"> </w:t>
      </w:r>
      <w:r w:rsidRPr="00F8174B">
        <w:rPr>
          <w:lang w:val="es-ES_tradnl"/>
        </w:rPr>
        <w:t>sobre el número de muertes de personas privadas de libertad ocurridas en los lugares de reclusión.</w:t>
      </w:r>
    </w:p>
    <w:p w14:paraId="6E8D9D01" w14:textId="76BE2B9F" w:rsidR="00F8174B" w:rsidRPr="00F8174B" w:rsidRDefault="00062B95" w:rsidP="00062B95">
      <w:pPr>
        <w:pStyle w:val="H1G"/>
        <w:rPr>
          <w:bCs/>
          <w:cs/>
          <w:lang w:bidi="th-TH"/>
        </w:rPr>
      </w:pPr>
      <w:r>
        <w:rPr>
          <w:lang w:val="es-ES_tradnl"/>
        </w:rPr>
        <w:tab/>
      </w:r>
      <w:r w:rsidR="00F8174B" w:rsidRPr="00F8174B">
        <w:rPr>
          <w:lang w:val="es-ES_tradnl"/>
        </w:rPr>
        <w:tab/>
        <w:t>Respuesta a las cuestiones planteadas en el párrafo 21 de la lista de</w:t>
      </w:r>
      <w:r>
        <w:rPr>
          <w:lang w:val="es-ES_tradnl"/>
        </w:rPr>
        <w:t> </w:t>
      </w:r>
      <w:r w:rsidR="00F8174B" w:rsidRPr="00F8174B">
        <w:rPr>
          <w:lang w:val="es-ES_tradnl"/>
        </w:rPr>
        <w:t>cuestiones</w:t>
      </w:r>
    </w:p>
    <w:p w14:paraId="49CD1903" w14:textId="77777777" w:rsidR="00F8174B" w:rsidRPr="00F8174B" w:rsidRDefault="00F8174B" w:rsidP="00F8174B">
      <w:pPr>
        <w:pStyle w:val="SingleTxtG"/>
        <w:rPr>
          <w:lang w:val="es-ES_tradnl"/>
        </w:rPr>
      </w:pPr>
      <w:r w:rsidRPr="00F8174B">
        <w:rPr>
          <w:lang w:val="es-ES_tradnl"/>
        </w:rPr>
        <w:t>76.</w:t>
      </w:r>
      <w:r w:rsidRPr="00F8174B">
        <w:rPr>
          <w:lang w:val="es-ES_tradnl"/>
        </w:rPr>
        <w:tab/>
        <w:t>A 29 de febrero de 2020, en Tailandia había 4.272 refugiados y 813 solicitantes de asilo, de los cuales 226 y 41, respectivamente, se encontraban recluidos en centros de detención de migrantes.</w:t>
      </w:r>
    </w:p>
    <w:p w14:paraId="5C45666C" w14:textId="2C260469" w:rsidR="00F8174B" w:rsidRPr="00F8174B" w:rsidRDefault="00F8174B" w:rsidP="00F8174B">
      <w:pPr>
        <w:pStyle w:val="SingleTxtG"/>
        <w:rPr>
          <w:b/>
          <w:bCs/>
          <w:lang w:val="es-ES_tradnl"/>
        </w:rPr>
      </w:pPr>
      <w:r w:rsidRPr="00F8174B">
        <w:rPr>
          <w:bCs/>
          <w:lang w:val="es-ES_tradnl"/>
        </w:rPr>
        <w:t>77.</w:t>
      </w:r>
      <w:r w:rsidRPr="00F8174B">
        <w:rPr>
          <w:bCs/>
          <w:lang w:val="es-ES_tradnl"/>
        </w:rPr>
        <w:tab/>
      </w:r>
      <w:r w:rsidRPr="00F8174B">
        <w:rPr>
          <w:lang w:val="es-ES_tradnl"/>
        </w:rPr>
        <w:t>El Gobierno reconoce los retos que plantea la mejora de las condiciones de los centros de detención y la introducción de soluciones alternativas a la reclusión. Como iniciativa de mejora de las condiciones de reclusión cabe citar el Memorando de entendimiento sobre la determinación de medidas y soluciones alternativas a la reclusión de niños en los centros de inmigración. Además, se han concebido varios proyectos destinados a la construcción de nuevos centros y la mejora de los ya existentes, que contemplan: 1) la construcción en algunos centros de internamiento de un nuevo edificio que tenga instalaciones para mujeres con hijos, incluida una guardería; 2) la renovación del centro de detención de migrantes de Suan Phlu, que concluyó en 2019; y 3) la construcción de un nuevo centro de detención en la provincia de Pathum Thani, que se espera que esté terminado en 2022.</w:t>
      </w:r>
    </w:p>
    <w:p w14:paraId="6D77315F" w14:textId="61C75C7C" w:rsidR="00F8174B" w:rsidRPr="00F8174B" w:rsidRDefault="00062B95" w:rsidP="00062B95">
      <w:pPr>
        <w:pStyle w:val="H1G"/>
        <w:rPr>
          <w:bCs/>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22 de la lista de</w:t>
      </w:r>
      <w:r>
        <w:rPr>
          <w:lang w:val="es-ES_tradnl"/>
        </w:rPr>
        <w:t> </w:t>
      </w:r>
      <w:r w:rsidR="00F8174B" w:rsidRPr="00F8174B">
        <w:rPr>
          <w:lang w:val="es-ES_tradnl"/>
        </w:rPr>
        <w:t>cuestiones</w:t>
      </w:r>
    </w:p>
    <w:p w14:paraId="10ADF82F" w14:textId="77777777" w:rsidR="00F8174B" w:rsidRPr="00F8174B" w:rsidRDefault="00F8174B" w:rsidP="00F8174B">
      <w:pPr>
        <w:pStyle w:val="SingleTxtG"/>
        <w:rPr>
          <w:lang w:val="es-ES_tradnl"/>
        </w:rPr>
      </w:pPr>
      <w:r w:rsidRPr="00F8174B">
        <w:rPr>
          <w:lang w:val="es-ES_tradnl"/>
        </w:rPr>
        <w:t>78.</w:t>
      </w:r>
      <w:r w:rsidRPr="00F8174B">
        <w:rPr>
          <w:lang w:val="es-ES_tradnl"/>
        </w:rPr>
        <w:tab/>
        <w:t>El Departamento de Instituciones Penitenciarias permite las visitas y el contacto con los reclusos a particulares y a miembros de organizaciones, así como las visitas del personal diplomático y consular en el caso de los reclusos extranjeros, previa presentación de una petición al respecto por motivos de seguridad. Las organizaciones independientes, como el Defensor del Pueblo y la Comisión Nacional de Derechos Humanos, no necesitan informar al Departamento con antelación a las visitas. En caso de denuncia contra funcionarios públicos, las organizaciones independientes pueden hacer una visita y mantener una entrevista con el denunciante, cuya identidad se mantendrá en secreto. En esa entrevista no se permite la presencia de los funcionarios de prisiones. En general, la Comisión Nacional de Derechos Humanos y el Defensor del Pueblo señalan que no suele haber restricciones significativas que dificulten su acceso a los lugares de reclusión.</w:t>
      </w:r>
    </w:p>
    <w:p w14:paraId="7D16E17C" w14:textId="3833DF9B" w:rsidR="00F8174B" w:rsidRPr="00F8174B" w:rsidRDefault="00062B95" w:rsidP="00062B95">
      <w:pPr>
        <w:pStyle w:val="HChG"/>
        <w:rPr>
          <w:lang w:val="es-ES_tradnl"/>
        </w:rPr>
      </w:pPr>
      <w:r>
        <w:rPr>
          <w:lang w:val="es-ES_tradnl"/>
        </w:rPr>
        <w:lastRenderedPageBreak/>
        <w:tab/>
      </w:r>
      <w:r w:rsidR="00F8174B" w:rsidRPr="00F8174B">
        <w:rPr>
          <w:lang w:val="es-ES_tradnl"/>
        </w:rPr>
        <w:tab/>
        <w:t>Artículos 12 y 13</w:t>
      </w:r>
    </w:p>
    <w:p w14:paraId="71D55E03" w14:textId="4F1296CF" w:rsidR="00F8174B" w:rsidRPr="00F8174B" w:rsidRDefault="00062B95" w:rsidP="00062B95">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23 de la lista de</w:t>
      </w:r>
      <w:r>
        <w:rPr>
          <w:lang w:val="es-ES_tradnl"/>
        </w:rPr>
        <w:t> </w:t>
      </w:r>
      <w:r w:rsidR="00F8174B" w:rsidRPr="00F8174B">
        <w:rPr>
          <w:lang w:val="es-ES_tradnl"/>
        </w:rPr>
        <w:t>cuestiones</w:t>
      </w:r>
    </w:p>
    <w:p w14:paraId="21847E9F" w14:textId="0800CEA5" w:rsidR="00F8174B" w:rsidRPr="00F8174B" w:rsidRDefault="00F8174B" w:rsidP="00F8174B">
      <w:pPr>
        <w:pStyle w:val="SingleTxtG"/>
        <w:rPr>
          <w:lang w:val="es-ES_tradnl"/>
        </w:rPr>
      </w:pPr>
      <w:r w:rsidRPr="00F8174B">
        <w:rPr>
          <w:lang w:val="es-ES_tradnl"/>
        </w:rPr>
        <w:t>79.</w:t>
      </w:r>
      <w:r w:rsidRPr="00F8174B">
        <w:rPr>
          <w:lang w:val="es-ES_tradnl"/>
        </w:rPr>
        <w:tab/>
        <w:t>Como se indica en el párrafo 10, en el período comprendido entre 2017 y 2020, los Subcomités para la Detección de Casos de Tortura y Desaparición Forzada recibieron 258</w:t>
      </w:r>
      <w:r w:rsidR="00A72DD2">
        <w:rPr>
          <w:lang w:val="es-ES_tradnl"/>
        </w:rPr>
        <w:t> </w:t>
      </w:r>
      <w:r w:rsidRPr="00F8174B">
        <w:rPr>
          <w:lang w:val="es-ES_tradnl"/>
        </w:rPr>
        <w:t xml:space="preserve">denuncias de tortura y </w:t>
      </w:r>
      <w:r w:rsidR="00A72DD2">
        <w:rPr>
          <w:lang w:val="es-ES_tradnl"/>
        </w:rPr>
        <w:t>5</w:t>
      </w:r>
      <w:r w:rsidRPr="00F8174B">
        <w:rPr>
          <w:lang w:val="es-ES_tradnl"/>
        </w:rPr>
        <w:t xml:space="preserve"> denuncias de desaparición forzada, y 188 casos de tortura fueron sobreseídos por no ajustarse a la definición y los criterios establecidos en las Convenciones. De todas las denuncias recibidas, en dos casos de tortura y un caso de desaparición forzada existen indicios racionales de delito. Actualmente siguen pendientes de resolución 68 casos de tortura y </w:t>
      </w:r>
      <w:r w:rsidR="00A72DD2">
        <w:rPr>
          <w:lang w:val="es-ES_tradnl"/>
        </w:rPr>
        <w:t>4</w:t>
      </w:r>
      <w:r w:rsidRPr="00F8174B">
        <w:rPr>
          <w:lang w:val="es-ES_tradnl"/>
        </w:rPr>
        <w:t xml:space="preserve"> casos de desaparición forzada.</w:t>
      </w:r>
    </w:p>
    <w:p w14:paraId="72FA5208" w14:textId="77777777" w:rsidR="00F8174B" w:rsidRPr="00F8174B" w:rsidRDefault="00F8174B" w:rsidP="00F8174B">
      <w:pPr>
        <w:pStyle w:val="SingleTxtG"/>
        <w:rPr>
          <w:lang w:val="es-ES_tradnl"/>
        </w:rPr>
      </w:pPr>
      <w:r w:rsidRPr="00F8174B">
        <w:rPr>
          <w:lang w:val="es-ES_tradnl"/>
        </w:rPr>
        <w:t>80.</w:t>
      </w:r>
      <w:r w:rsidRPr="00F8174B">
        <w:rPr>
          <w:lang w:val="es-ES_tradnl"/>
        </w:rPr>
        <w:tab/>
        <w:t>La Sra. Kritsuda Khunasen fue puesta en libertad y abandonó el centro militar en el que se encontraba recluida el 24 de junio de 2014. No presentó ninguna denuncia oficial contra el Gobierno y, por tanto, aún no se ha iniciado ninguna investigación. Las acusaciones provienen de varias entrevistas públicas que la Sra. Khunasen concedió a la prensa, en las cuales formuló declaraciones incoherentes. El 23 de junio de 2014, un día antes de su puesta en libertad, concedió una entrevista a la prensa en la que indicó que no había sido torturada como se rumoreaba, sino que había sido atendida por funcionarias, y había podido estar al tanto de las noticias a través de la televisión y de internet. No obstante, el Gobierno aún no ha recibido información confirmada al respecto.</w:t>
      </w:r>
    </w:p>
    <w:p w14:paraId="0829E68F" w14:textId="77777777" w:rsidR="00F8174B" w:rsidRPr="00F8174B" w:rsidRDefault="00F8174B" w:rsidP="00F8174B">
      <w:pPr>
        <w:pStyle w:val="SingleTxtG"/>
        <w:rPr>
          <w:lang w:val="es-ES_tradnl"/>
        </w:rPr>
      </w:pPr>
      <w:r w:rsidRPr="00F8174B">
        <w:rPr>
          <w:lang w:val="es-ES_tradnl"/>
        </w:rPr>
        <w:t>81.</w:t>
      </w:r>
      <w:r w:rsidRPr="00F8174B">
        <w:rPr>
          <w:lang w:val="es-ES_tradnl"/>
        </w:rPr>
        <w:tab/>
        <w:t>El Sr. Bilal Mohammad se encuentra actualmente detenido en la comisaría de Tung Song Hong de la prisión preventiva de Bangkok, en el marco del caso núm. 217/2015. Inicialmente fue declarado culpable de posesión ilegal de explosivos no autorizados, de utilizar explosivos no autorizados, de portar armas de fuego dentro de los límites de una ciudad o una localidad y en la vía pública sin razón justificada, así como culpable de intentar provocar explosiones, intentar cometer homicidio con premeditación, provocar explosiones con resultado de muerte y lesiones graves a otras personas y daños a la propiedad, cometer un homicidio premeditado, causar daños a la propiedad de otras personas, estar en posesión de explosivos sin permiso, estar en posesión armas sin permiso y ser extranjero y entrar en Tailandia sin autorización. El 25 de noviembre de 2019, el caso fue transferido del Tribunal Militar al Tribunal Civil y actualmente está siendo enjuiciado por el tribunal.</w:t>
      </w:r>
    </w:p>
    <w:p w14:paraId="4A7EB3EC" w14:textId="46AFAEC3" w:rsidR="00F8174B" w:rsidRPr="00F8174B" w:rsidRDefault="00F8174B" w:rsidP="00F8174B">
      <w:pPr>
        <w:pStyle w:val="SingleTxtG"/>
        <w:rPr>
          <w:lang w:val="es-ES_tradnl"/>
        </w:rPr>
      </w:pPr>
      <w:r w:rsidRPr="00F8174B">
        <w:rPr>
          <w:lang w:val="es-ES_tradnl"/>
        </w:rPr>
        <w:t>82.</w:t>
      </w:r>
      <w:r w:rsidRPr="00F8174B">
        <w:rPr>
          <w:lang w:val="es-ES_tradnl"/>
        </w:rPr>
        <w:tab/>
        <w:t xml:space="preserve">El 18 de marzo de 2015, el Sr. Sarayut Tangprasert presentó una denuncia a la Comisión Nacional de Derechos Humanos por la presunta tortura del Sr. Sansern Sriounreun. Posteriormente, el 16 de noviembre de 2015, la Comisión emitió una decisión en la que concluyó que las alegaciones del Sr. Sriounreun, quien había afirmado que miembros del </w:t>
      </w:r>
      <w:r w:rsidR="00FE345B">
        <w:rPr>
          <w:lang w:val="es-ES_tradnl"/>
        </w:rPr>
        <w:t>e</w:t>
      </w:r>
      <w:r w:rsidRPr="00F8174B">
        <w:rPr>
          <w:lang w:val="es-ES_tradnl"/>
        </w:rPr>
        <w:t>jército le vendaron los ojos, lo esposaron, golpearon y sometieron a descargas eléctricas, se contradicen con las conclusiones del informe del Instituto Central de Medicina Legal. Por lo tanto, la Comisión Nacional de Derechos Humanos estimó que no podía confirmarse que las heridas del Sr. Sriounreun hubieran sido resultado de un acto de tortura o malos tratos cometido por militares.</w:t>
      </w:r>
    </w:p>
    <w:p w14:paraId="79C93282" w14:textId="3224B028" w:rsidR="00F8174B" w:rsidRPr="00F8174B" w:rsidRDefault="00F8174B" w:rsidP="00F8174B">
      <w:pPr>
        <w:pStyle w:val="SingleTxtG"/>
        <w:rPr>
          <w:u w:val="single"/>
          <w:lang w:val="es-ES_tradnl"/>
        </w:rPr>
      </w:pPr>
      <w:r w:rsidRPr="00F8174B">
        <w:rPr>
          <w:lang w:val="es-ES_tradnl"/>
        </w:rPr>
        <w:t>83.</w:t>
      </w:r>
      <w:r w:rsidRPr="00F8174B">
        <w:rPr>
          <w:lang w:val="es-ES_tradnl"/>
        </w:rPr>
        <w:tab/>
        <w:t>El Centro Administrativo de las Provincias Fronterizas Meridionales asignó presupuesto a la Universidad Príncipe de Songkla (Campus de Songkhla) para la adquisición de un escáner de tomografía computarizada (TC) que pudiera servir de apoyo en labores forenses en los casos de denuncia de tortura o malos tratos en las provincias fronterizas meridionales, ya que, según las creencias islámicas, la realización de autopsias no está en consonancia con los principios religiosos. El escáner está en funcionamiento desde julio de</w:t>
      </w:r>
      <w:r w:rsidR="008166D2">
        <w:rPr>
          <w:lang w:val="es-ES_tradnl"/>
        </w:rPr>
        <w:t> </w:t>
      </w:r>
      <w:r w:rsidRPr="00F8174B">
        <w:rPr>
          <w:lang w:val="es-ES_tradnl"/>
        </w:rPr>
        <w:t>2019.</w:t>
      </w:r>
    </w:p>
    <w:p w14:paraId="36A393E6" w14:textId="1C1E8274" w:rsidR="00F8174B" w:rsidRPr="00F8174B" w:rsidRDefault="00303490" w:rsidP="00303490">
      <w:pPr>
        <w:pStyle w:val="H1G"/>
        <w:rPr>
          <w:u w:val="single"/>
          <w:lang w:val="es-ES_tradnl"/>
        </w:rPr>
      </w:pPr>
      <w:r>
        <w:rPr>
          <w:lang w:val="es-ES_tradnl"/>
        </w:rPr>
        <w:tab/>
      </w:r>
      <w:r w:rsidR="00F8174B" w:rsidRPr="00F8174B">
        <w:rPr>
          <w:lang w:val="es-ES_tradnl"/>
        </w:rPr>
        <w:tab/>
        <w:t>Respuesta a las cuestiones planteadas en el párrafo 24 de la lista de</w:t>
      </w:r>
      <w:r>
        <w:rPr>
          <w:lang w:val="es-ES_tradnl"/>
        </w:rPr>
        <w:t> </w:t>
      </w:r>
      <w:r w:rsidR="00F8174B" w:rsidRPr="00F8174B">
        <w:rPr>
          <w:lang w:val="es-ES_tradnl"/>
        </w:rPr>
        <w:t>cuestiones</w:t>
      </w:r>
    </w:p>
    <w:p w14:paraId="3C6D9CF8" w14:textId="77777777" w:rsidR="00F8174B" w:rsidRPr="00F8174B" w:rsidRDefault="00F8174B" w:rsidP="00F8174B">
      <w:pPr>
        <w:pStyle w:val="SingleTxtG"/>
        <w:rPr>
          <w:lang w:val="es-ES_tradnl"/>
        </w:rPr>
      </w:pPr>
      <w:r w:rsidRPr="00F8174B">
        <w:rPr>
          <w:lang w:val="es-ES_tradnl"/>
        </w:rPr>
        <w:t>84.</w:t>
      </w:r>
      <w:r w:rsidRPr="00F8174B">
        <w:rPr>
          <w:lang w:val="es-ES_tradnl"/>
        </w:rPr>
        <w:tab/>
        <w:t xml:space="preserve">El Subcomité de Supervisión e Investigación de Casos de Tortura y Desaparición Forzada, dependiente del Comité Nacional para la Gestión de los Casos de Tortura y Desaparición Forzada (véase más información al respecto en el párrafo 9), tiene el mandato </w:t>
      </w:r>
      <w:r w:rsidRPr="00F8174B">
        <w:rPr>
          <w:lang w:val="es-ES_tradnl"/>
        </w:rPr>
        <w:lastRenderedPageBreak/>
        <w:t>de recibir denuncias sobre actos de tortura y malos tratos cometidos por funcionarios del Estado y de investigar esas denuncias. De los 87 casos que figuran en la lista del Grupo de Trabajo de las Naciones Unidas sobre las Desapariciones Forzadas o Involuntarias, 12 han sido retirados, 67 están siendo tramitados por el Comité Nacional y 8 están siendo verificados por el Departamento de Investigaciones Especiales y el Departamento de Protección de Derechos y Libertades.</w:t>
      </w:r>
    </w:p>
    <w:p w14:paraId="542BBBB2" w14:textId="1FDDB9DF" w:rsidR="00F8174B" w:rsidRPr="00F8174B" w:rsidRDefault="00F8174B" w:rsidP="00F8174B">
      <w:pPr>
        <w:pStyle w:val="SingleTxtG"/>
        <w:rPr>
          <w:cs/>
          <w:lang w:bidi="th-TH"/>
        </w:rPr>
      </w:pPr>
      <w:r w:rsidRPr="00F8174B">
        <w:rPr>
          <w:cs/>
        </w:rPr>
        <w:t>85.</w:t>
      </w:r>
      <w:r w:rsidRPr="00F8174B">
        <w:rPr>
          <w:cs/>
        </w:rPr>
        <w:tab/>
      </w:r>
      <w:r w:rsidRPr="00F8174B">
        <w:rPr>
          <w:lang w:val="es-ES_tradnl"/>
        </w:rPr>
        <w:t>Como ejemplo de la labor que realiza el Subcomité, cabe señalar que, en 2017, este recibió denuncias de la Comisión Nacional de Derechos Humanos en relación con los casos del Sr. Kietipoom Wassana y el Sr. Ratchanon Thechitchanon, quienes, el 14 de julio de</w:t>
      </w:r>
      <w:r w:rsidR="00717737">
        <w:rPr>
          <w:lang w:val="es-ES_tradnl"/>
        </w:rPr>
        <w:t> </w:t>
      </w:r>
      <w:r w:rsidRPr="00F8174B">
        <w:rPr>
          <w:lang w:val="es-ES_tradnl"/>
        </w:rPr>
        <w:t>2015, fueron presuntamente golpeados por agentes de policía para obtener información relativa a una investigación. A partir de las primeras pesquisas al respecto, el Subcomité determinó que los actos cometidos por los agentes de policía pueden ser constitutivos de delito en virtud del artículo 157 del Código Penal (mala praxis). Los casos se han remitido a la Oficina de la Comisión de Lucha contra la Corrupción del Sector Público, que ha concluido el proceso de investigación preliminar y ha decidido recientemente crear un subcomité encargado de investigar el caso.</w:t>
      </w:r>
    </w:p>
    <w:p w14:paraId="2CCC8132" w14:textId="38E6E226" w:rsidR="00F8174B" w:rsidRPr="00F8174B" w:rsidRDefault="00303490" w:rsidP="00303490">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25 de la lista de</w:t>
      </w:r>
      <w:r>
        <w:rPr>
          <w:lang w:val="es-ES_tradnl"/>
        </w:rPr>
        <w:t> </w:t>
      </w:r>
      <w:r w:rsidR="00F8174B" w:rsidRPr="00F8174B">
        <w:rPr>
          <w:lang w:val="es-ES_tradnl"/>
        </w:rPr>
        <w:t>cuestiones</w:t>
      </w:r>
    </w:p>
    <w:p w14:paraId="3C85135C" w14:textId="77777777" w:rsidR="00F8174B" w:rsidRPr="00F8174B" w:rsidRDefault="00F8174B" w:rsidP="00F8174B">
      <w:pPr>
        <w:pStyle w:val="SingleTxtG"/>
        <w:rPr>
          <w:lang w:val="es-ES_tradnl"/>
        </w:rPr>
      </w:pPr>
      <w:r w:rsidRPr="00F8174B">
        <w:rPr>
          <w:lang w:val="es-ES_tradnl"/>
        </w:rPr>
        <w:t>86.</w:t>
      </w:r>
      <w:r w:rsidRPr="00F8174B">
        <w:rPr>
          <w:lang w:val="es-ES_tradnl"/>
        </w:rPr>
        <w:tab/>
        <w:t xml:space="preserve">La Ley de Protección de Testigos, de 2546 de la E.B. (2003) prevé la protección de los testigos en las causas penales a fin de velar por su seguridad, así como por la seguridad de las personas estrechamente vinculadas a estos y que corren el riesgo de ser amenazadas y hostigadas por testificar u ofrecerse a testificar. Entre las medidas previstas para proteger a los testigos y a sus familiares cabe señalar la facilitación de una vivienda segura, la asignación de guardaespaldas y el cambio de nombres. El Gobierno, a través del Departamento de Protección de Derechos y Libertades, ha iniciado el proceso de modificación de la Ley con objeto de reforzar el marco legal y las medidas de salvaguarda y protección de los testigos, incluyendo la protección de las personas que son intimidadas o amenazadas antes del inicio del proceso penal. El proyecto de ley para modificar la Ley de Protección de Testigos fue aprobado por el Consejo de Ministros el 29 de enero de 2019 y por el Consejo de Estado el </w:t>
      </w:r>
      <w:r w:rsidRPr="00F8174B">
        <w:rPr>
          <w:cs/>
          <w:lang w:bidi="th-TH"/>
        </w:rPr>
        <w:t xml:space="preserve">13 </w:t>
      </w:r>
      <w:r w:rsidRPr="00F8174B">
        <w:rPr>
          <w:lang w:val="es-ES_tradnl"/>
        </w:rPr>
        <w:t xml:space="preserve">de junio </w:t>
      </w:r>
      <w:r w:rsidRPr="00F8174B">
        <w:rPr>
          <w:cs/>
          <w:lang w:bidi="th-TH"/>
        </w:rPr>
        <w:t>de 2019</w:t>
      </w:r>
      <w:r w:rsidRPr="00F8174B">
        <w:rPr>
          <w:lang w:val="es-ES_tradnl"/>
        </w:rPr>
        <w:t>. Volverá a remitirse nuevamente al Consejo de Ministros. Algunas de las principales enmiendas previstas son las siguientes:</w:t>
      </w:r>
    </w:p>
    <w:p w14:paraId="5844931A" w14:textId="538CF2C7" w:rsidR="00F8174B" w:rsidRPr="00F8174B" w:rsidRDefault="00F8174B" w:rsidP="00F8174B">
      <w:pPr>
        <w:pStyle w:val="SingleTxtG"/>
        <w:rPr>
          <w:lang w:val="es-ES_tradnl"/>
        </w:rPr>
      </w:pPr>
      <w:r w:rsidRPr="00F8174B">
        <w:rPr>
          <w:lang w:val="es-ES_tradnl"/>
        </w:rPr>
        <w:tab/>
        <w:t>a)</w:t>
      </w:r>
      <w:r w:rsidRPr="00F8174B">
        <w:rPr>
          <w:lang w:val="es-ES_tradnl"/>
        </w:rPr>
        <w:tab/>
        <w:t xml:space="preserve">Modificación de las definiciones de </w:t>
      </w:r>
      <w:r w:rsidR="006F6842">
        <w:rPr>
          <w:lang w:val="es-ES_tradnl"/>
        </w:rPr>
        <w:t>“</w:t>
      </w:r>
      <w:r w:rsidRPr="00F8174B">
        <w:rPr>
          <w:lang w:val="es-ES_tradnl"/>
        </w:rPr>
        <w:t>testigo</w:t>
      </w:r>
      <w:r w:rsidR="006F6842">
        <w:rPr>
          <w:lang w:val="es-ES_tradnl"/>
        </w:rPr>
        <w:t>”</w:t>
      </w:r>
      <w:r w:rsidRPr="00F8174B">
        <w:rPr>
          <w:lang w:val="es-ES_tradnl"/>
        </w:rPr>
        <w:t xml:space="preserve"> y de </w:t>
      </w:r>
      <w:r w:rsidR="006F6842">
        <w:rPr>
          <w:lang w:val="es-ES_tradnl"/>
        </w:rPr>
        <w:t>“</w:t>
      </w:r>
      <w:r w:rsidRPr="00F8174B">
        <w:rPr>
          <w:lang w:val="es-ES_tradnl"/>
        </w:rPr>
        <w:t>funcionario</w:t>
      </w:r>
      <w:r w:rsidR="006F6842">
        <w:rPr>
          <w:lang w:val="es-ES_tradnl"/>
        </w:rPr>
        <w:t>”</w:t>
      </w:r>
      <w:r w:rsidRPr="00F8174B">
        <w:rPr>
          <w:lang w:val="es-ES_tradnl"/>
        </w:rPr>
        <w:t xml:space="preserve"> para incluir a los informantes, los denunciantes y los proveedores de información</w:t>
      </w:r>
      <w:r w:rsidR="00812033">
        <w:rPr>
          <w:lang w:val="es-ES_tradnl"/>
        </w:rPr>
        <w:t>;</w:t>
      </w:r>
    </w:p>
    <w:p w14:paraId="59CC2EC0" w14:textId="0723545F" w:rsidR="00F8174B" w:rsidRPr="00F8174B" w:rsidRDefault="00F8174B" w:rsidP="00F8174B">
      <w:pPr>
        <w:pStyle w:val="SingleTxtG"/>
        <w:rPr>
          <w:lang w:val="es-ES_tradnl"/>
        </w:rPr>
      </w:pPr>
      <w:r w:rsidRPr="00F8174B">
        <w:rPr>
          <w:lang w:val="es-ES_tradnl"/>
        </w:rPr>
        <w:tab/>
        <w:t>b)</w:t>
      </w:r>
      <w:r w:rsidRPr="00F8174B">
        <w:rPr>
          <w:lang w:val="es-ES_tradnl"/>
        </w:rPr>
        <w:tab/>
        <w:t>Mejora de las medidas generales de protección para que los funcionarios competentes puedan evaluar la seguridad de los testigos con el fin de ampliar o poner fin a la protección que se brinda a los testigos de conformidad con lo solicitado por estos</w:t>
      </w:r>
      <w:r w:rsidR="00812033">
        <w:rPr>
          <w:lang w:val="es-ES_tradnl"/>
        </w:rPr>
        <w:t>;</w:t>
      </w:r>
    </w:p>
    <w:p w14:paraId="092A6195" w14:textId="4D425916" w:rsidR="00F8174B" w:rsidRPr="00F8174B" w:rsidRDefault="00F8174B" w:rsidP="00F8174B">
      <w:pPr>
        <w:pStyle w:val="SingleTxtG"/>
        <w:rPr>
          <w:lang w:val="es-ES_tradnl"/>
        </w:rPr>
      </w:pPr>
      <w:r w:rsidRPr="00F8174B">
        <w:rPr>
          <w:lang w:val="es-ES_tradnl"/>
        </w:rPr>
        <w:tab/>
        <w:t>c)</w:t>
      </w:r>
      <w:r w:rsidRPr="00F8174B">
        <w:rPr>
          <w:lang w:val="es-ES_tradnl"/>
        </w:rPr>
        <w:tab/>
        <w:t>Modificación de las medidas especiales de protección para que sean acordes con la situación actual, especialmente habida cuenta de los nuevos delitos previstos. Se introducirán algunas medidas nuevas, como métodos para cambiar la información registrada</w:t>
      </w:r>
      <w:r w:rsidR="00812033">
        <w:rPr>
          <w:lang w:val="es-ES_tradnl"/>
        </w:rPr>
        <w:t>;</w:t>
      </w:r>
    </w:p>
    <w:p w14:paraId="39EE3ED6" w14:textId="5F7DA442" w:rsidR="00F8174B" w:rsidRPr="00F8174B" w:rsidRDefault="00F8174B" w:rsidP="00F8174B">
      <w:pPr>
        <w:pStyle w:val="SingleTxtG"/>
        <w:rPr>
          <w:lang w:val="es-ES_tradnl"/>
        </w:rPr>
      </w:pPr>
      <w:r w:rsidRPr="00F8174B">
        <w:rPr>
          <w:lang w:val="es-ES_tradnl"/>
        </w:rPr>
        <w:tab/>
        <w:t>d)</w:t>
      </w:r>
      <w:r w:rsidRPr="00F8174B">
        <w:rPr>
          <w:lang w:val="es-ES_tradnl"/>
        </w:rPr>
        <w:tab/>
        <w:t>Modificación del mandato y las atribuciones de la Oficina de Protección de Testigos y mayores atribuciones a los funcionarios que ejecutan la Ley de Protección de Testigos, lo que implica que la Oficina pasa a ser un organismo de coordinación que brinda ayuda a los testigos para que arrojen luz sobre los casos y, asimismo, puedan reanudar su vida normal. Esta medida tendrá un efecto positivo ya que infundirá confianza a los testigos para que se presten a declarar durante todo el proceso penal</w:t>
      </w:r>
      <w:r w:rsidR="00812033">
        <w:rPr>
          <w:lang w:val="es-ES_tradnl"/>
        </w:rPr>
        <w:t>;</w:t>
      </w:r>
      <w:r w:rsidRPr="00F8174B">
        <w:rPr>
          <w:lang w:val="es-ES_tradnl"/>
        </w:rPr>
        <w:t xml:space="preserve"> y</w:t>
      </w:r>
    </w:p>
    <w:p w14:paraId="03ED69F1" w14:textId="77777777" w:rsidR="00F8174B" w:rsidRPr="00F8174B" w:rsidRDefault="00F8174B" w:rsidP="00F8174B">
      <w:pPr>
        <w:pStyle w:val="SingleTxtG"/>
        <w:rPr>
          <w:lang w:val="es-ES_tradnl"/>
        </w:rPr>
      </w:pPr>
      <w:r w:rsidRPr="00F8174B">
        <w:rPr>
          <w:lang w:val="es-ES_tradnl"/>
        </w:rPr>
        <w:tab/>
        <w:t>e)</w:t>
      </w:r>
      <w:r w:rsidRPr="00F8174B">
        <w:rPr>
          <w:lang w:val="es-ES_tradnl"/>
        </w:rPr>
        <w:tab/>
        <w:t>Modificación de las disposiciones relativas a la indemnización y al pago de dietas a los testigos de forma que sean más razonables y prácticas, en particular en los casos en que los testigos hayan prestado declaración pero no comparezcan en las audiencias ante el tribunal.</w:t>
      </w:r>
    </w:p>
    <w:p w14:paraId="4605FFFE" w14:textId="7F29531A" w:rsidR="00F8174B" w:rsidRPr="00F8174B" w:rsidRDefault="00F8174B" w:rsidP="00F8174B">
      <w:pPr>
        <w:pStyle w:val="SingleTxtG"/>
        <w:rPr>
          <w:lang w:val="es-ES_tradnl"/>
        </w:rPr>
      </w:pPr>
      <w:r w:rsidRPr="00F8174B">
        <w:rPr>
          <w:lang w:val="es-ES_tradnl"/>
        </w:rPr>
        <w:t>87.</w:t>
      </w:r>
      <w:r w:rsidRPr="00F8174B">
        <w:rPr>
          <w:lang w:val="es-ES_tradnl"/>
        </w:rPr>
        <w:tab/>
        <w:t>Por lo que respecta al caso del Sr. Anuphong Phanthachayangkun, el 22 de noviembre</w:t>
      </w:r>
      <w:r w:rsidR="001D38BC">
        <w:rPr>
          <w:lang w:val="es-ES_tradnl"/>
        </w:rPr>
        <w:t> </w:t>
      </w:r>
      <w:r w:rsidRPr="00F8174B">
        <w:rPr>
          <w:lang w:val="es-ES_tradnl"/>
        </w:rPr>
        <w:t xml:space="preserve">de 2017, el Tribunal Supremo confirmó las sentencias del Tribunal de Primera Instancia y del Tribunal Regional de Apelación que declararon al Sr. Phanthachayangkun culpable de presentar falsas denuncias de tortura. El Tribunal Supremo condenó al </w:t>
      </w:r>
      <w:r w:rsidRPr="00F8174B">
        <w:rPr>
          <w:lang w:val="es-ES_tradnl"/>
        </w:rPr>
        <w:lastRenderedPageBreak/>
        <w:t>Sr.</w:t>
      </w:r>
      <w:r w:rsidR="001D38BC">
        <w:rPr>
          <w:lang w:val="es-ES_tradnl"/>
        </w:rPr>
        <w:t> </w:t>
      </w:r>
      <w:r w:rsidRPr="00F8174B">
        <w:rPr>
          <w:lang w:val="es-ES_tradnl"/>
        </w:rPr>
        <w:t>Phanthachayangkun a un año de prisión. No se trata de un caso de represalias. El Tribunal de Justicia es un órgano independiente y su decisión se basa en pruebas en las que el Gobierno no puede interferir. Se ha respectado el derecho del Sr. Phanthachayangkun a un juicio justo y a las debidas garantías procesales, de conformidad con las normas internacionales.</w:t>
      </w:r>
    </w:p>
    <w:p w14:paraId="6F3A8B03" w14:textId="77777777" w:rsidR="00F8174B" w:rsidRPr="00F8174B" w:rsidRDefault="00F8174B" w:rsidP="00F8174B">
      <w:pPr>
        <w:pStyle w:val="SingleTxtG"/>
        <w:rPr>
          <w:lang w:val="es-ES_tradnl"/>
        </w:rPr>
      </w:pPr>
      <w:r w:rsidRPr="00F8174B">
        <w:rPr>
          <w:lang w:val="es-ES_tradnl"/>
        </w:rPr>
        <w:t>88.</w:t>
      </w:r>
      <w:r w:rsidRPr="00F8174B">
        <w:rPr>
          <w:lang w:val="es-ES_tradnl"/>
        </w:rPr>
        <w:tab/>
        <w:t>En el marco de los esfuerzos desplegados por el Gobierno para proteger a los defensores de los derechos humanos contra las represalias, cabe mencionar el Cuarto Plan Nacional de Derechos Humanos (2019-2022), que incluye a los defensores de los derechos humanos y a los profesionales de los medios de comunicación en el grupo de las personas a las que va dirigida su labor de promoción y protección de los derechos. Además, el Gobierno ha adoptado diversas medidas jurídicas pertinentes, entre las que cabe destacar las siguientes:</w:t>
      </w:r>
    </w:p>
    <w:p w14:paraId="33F3E6D4" w14:textId="6DB1A881" w:rsidR="00F8174B" w:rsidRPr="00F8174B" w:rsidRDefault="00F8174B" w:rsidP="00F8174B">
      <w:pPr>
        <w:pStyle w:val="SingleTxtG"/>
        <w:rPr>
          <w:lang w:val="es-ES_tradnl"/>
        </w:rPr>
      </w:pPr>
      <w:r w:rsidRPr="00F8174B">
        <w:rPr>
          <w:lang w:val="es-ES_tradnl"/>
        </w:rPr>
        <w:tab/>
        <w:t>a)</w:t>
      </w:r>
      <w:r w:rsidRPr="00F8174B">
        <w:rPr>
          <w:lang w:val="es-ES_tradnl"/>
        </w:rPr>
        <w:tab/>
        <w:t>La Constitución de 2017, los planes nacionales de reforma y la Estrategia Nacional a 20 años (2018-2037) establecen los principios y el marco que orientan las políticas y medidas del Gobierno para proteger y promover los derechos humanos, incluidos los derechos a la libertad de expresión y de opinión, y que garantizan la actuación imparcial y transparente de los funcionarios en el ejercicio de sus funciones, la rendición de cuentas en caso de actuación ilícita o dolosa de estos y la concesión de medidas de reparación adecuadas</w:t>
      </w:r>
      <w:r w:rsidR="00812033">
        <w:rPr>
          <w:lang w:val="es-ES_tradnl"/>
        </w:rPr>
        <w:t>;</w:t>
      </w:r>
    </w:p>
    <w:p w14:paraId="2EEB2CDB" w14:textId="62253B9D" w:rsidR="00F8174B" w:rsidRPr="00F8174B" w:rsidRDefault="00F8174B" w:rsidP="00F8174B">
      <w:pPr>
        <w:pStyle w:val="SingleTxtG"/>
        <w:rPr>
          <w:lang w:val="es-ES_tradnl"/>
        </w:rPr>
      </w:pPr>
      <w:r w:rsidRPr="00F8174B">
        <w:rPr>
          <w:lang w:val="es-ES_tradnl"/>
        </w:rPr>
        <w:tab/>
        <w:t>b)</w:t>
      </w:r>
      <w:r w:rsidRPr="00F8174B">
        <w:rPr>
          <w:lang w:val="es-ES_tradnl"/>
        </w:rPr>
        <w:tab/>
        <w:t>El artículo 157 del Código Penal tipifica como delito el ejercicio indebido de las atribuciones de los funcionarios del Estado y prevé amplios efectos preventivos y punitivos con respecto al ejercicio indebido y doloso por un funcionario de sus competencias oficiales, como la formulación de acusaciones o la celebración de juicios con intenciones ilícitas. Las investigaciones sobre este tipo de delito pueden ser llevadas a cabo por la Comisión Nacional de Lucha contra la Corrupción y, si se determina la existencia de una falta disciplinaria o un acto delictivo, el caso se remite a los superiores jerárquicos o a un fiscal para que considere si procede la imposición de sanción disciplinaria</w:t>
      </w:r>
      <w:r w:rsidR="00812033">
        <w:rPr>
          <w:lang w:val="es-ES_tradnl"/>
        </w:rPr>
        <w:t>;</w:t>
      </w:r>
    </w:p>
    <w:p w14:paraId="0F249F3C" w14:textId="707D9E61" w:rsidR="00F8174B" w:rsidRPr="00F8174B" w:rsidRDefault="00F8174B" w:rsidP="00F8174B">
      <w:pPr>
        <w:pStyle w:val="SingleTxtG"/>
        <w:rPr>
          <w:lang w:val="es-ES_tradnl"/>
        </w:rPr>
      </w:pPr>
      <w:r w:rsidRPr="00F8174B">
        <w:rPr>
          <w:lang w:val="es-ES_tradnl"/>
        </w:rPr>
        <w:tab/>
        <w:t>c)</w:t>
      </w:r>
      <w:r w:rsidRPr="00F8174B">
        <w:rPr>
          <w:lang w:val="es-ES_tradnl"/>
        </w:rPr>
        <w:tab/>
        <w:t>Una persona cuyos derechos se vean afectados por una orden administrativa ilegal que disponga, por ejemplo, la prohibición de viajar, el registro punitivo o restricciones para recibir financiación, puede solicitar una revisión completa de las decisiones pertinentes y una reparación mediante la interposición de un recurso contencioso-administrativo de conformidad con la Ley de Procedimiento Administrativo, de 2539 de la E.B. (1996). Una vez agotado el ejercicio del derecho de revisión judicial, la persona damnificada puede recurrir al Tribunal Administrativo en virtud de la Ley sobre el Establecimiento y el Procedimiento del Tribunal Administrativo, de 2542 de la E.B. (1999)</w:t>
      </w:r>
      <w:r w:rsidR="00812033">
        <w:rPr>
          <w:lang w:val="es-ES_tradnl"/>
        </w:rPr>
        <w:t>;</w:t>
      </w:r>
    </w:p>
    <w:p w14:paraId="0AFD73D4" w14:textId="78E1A014" w:rsidR="00F8174B" w:rsidRPr="00F8174B" w:rsidRDefault="00F8174B" w:rsidP="00F8174B">
      <w:pPr>
        <w:pStyle w:val="SingleTxtG"/>
        <w:rPr>
          <w:lang w:val="es-ES_tradnl"/>
        </w:rPr>
      </w:pPr>
      <w:r w:rsidRPr="00F8174B">
        <w:rPr>
          <w:lang w:val="es-ES_tradnl"/>
        </w:rPr>
        <w:tab/>
        <w:t>d)</w:t>
      </w:r>
      <w:r w:rsidRPr="00F8174B">
        <w:rPr>
          <w:lang w:val="es-ES_tradnl"/>
        </w:rPr>
        <w:tab/>
        <w:t>El artículo 21 de la Ley del Órgano del Ministerio Público y de los Fiscales, de 2553 de la E.B. (2010) estipula que un fiscal debe incoar acciones de forma independiente y actuar honesta e imparcialmente de acuerdo con la Constitución y las leyes pertinentes. También otorga a los fiscales la facultad de remitir el dictamen al Fiscal General para que este emita una orden de no enjuiciamiento si considera que un proceso penal no tiene utilidad para el público en general, no afecta a la seguridad de la nación ni perjudica significativamente el interés nacional. Además, el Reglamento de la Fiscalía, de 2547 de la E.B. (2004) dispone que los fiscales han de desempeñar sus funciones sin demora, de manera justa y equitativa, y teniendo en cuenta la dignidad humana y los derechos y la libertad de las personas en su proceso de toma de decisiones</w:t>
      </w:r>
      <w:r w:rsidR="00812033">
        <w:rPr>
          <w:lang w:val="es-ES_tradnl"/>
        </w:rPr>
        <w:t>;</w:t>
      </w:r>
    </w:p>
    <w:p w14:paraId="385133E1" w14:textId="77777777" w:rsidR="00F8174B" w:rsidRPr="00F8174B" w:rsidRDefault="00F8174B" w:rsidP="00F8174B">
      <w:pPr>
        <w:pStyle w:val="SingleTxtG"/>
        <w:rPr>
          <w:lang w:val="es-ES_tradnl"/>
        </w:rPr>
      </w:pPr>
      <w:r w:rsidRPr="00F8174B">
        <w:rPr>
          <w:lang w:val="es-ES_tradnl"/>
        </w:rPr>
        <w:tab/>
        <w:t>e)</w:t>
      </w:r>
      <w:r w:rsidRPr="00F8174B">
        <w:rPr>
          <w:lang w:val="es-ES_tradnl"/>
        </w:rPr>
        <w:tab/>
        <w:t>Se han modificado los artículos 161, párrafo 1, y 165, párrafo 2, del Código de Procedimiento Penal para proteger el derecho a la libertad de expresión en el marco de los litigios estratégicos contra demandas públicas. Véase más información al respecto en el párrafo 96.</w:t>
      </w:r>
    </w:p>
    <w:p w14:paraId="1E400A7E" w14:textId="77777777" w:rsidR="00F8174B" w:rsidRPr="00F8174B" w:rsidRDefault="00F8174B" w:rsidP="00F8174B">
      <w:pPr>
        <w:pStyle w:val="SingleTxtG"/>
        <w:rPr>
          <w:lang w:val="es-ES_tradnl"/>
        </w:rPr>
      </w:pPr>
      <w:r w:rsidRPr="00F8174B">
        <w:rPr>
          <w:lang w:val="es-ES_tradnl"/>
        </w:rPr>
        <w:t>89.</w:t>
      </w:r>
      <w:r w:rsidRPr="00F8174B">
        <w:rPr>
          <w:lang w:val="es-ES_tradnl"/>
        </w:rPr>
        <w:tab/>
        <w:t>Además de aplicar las leyes pertinentes en vigor, Tailandia lleva a cabo diversas actividades e iniciativas para proteger a los defensores de los derechos humanos, como las siguientes:</w:t>
      </w:r>
    </w:p>
    <w:p w14:paraId="19DF4FC1" w14:textId="2B1ABB69" w:rsidR="00F8174B" w:rsidRPr="00F8174B" w:rsidRDefault="00F8174B" w:rsidP="00B23104">
      <w:pPr>
        <w:pStyle w:val="SingleTxtG"/>
        <w:spacing w:after="130"/>
        <w:rPr>
          <w:lang w:val="es-ES_tradnl"/>
        </w:rPr>
      </w:pPr>
      <w:r w:rsidRPr="00F8174B">
        <w:rPr>
          <w:lang w:val="es-ES_tradnl"/>
        </w:rPr>
        <w:tab/>
        <w:t>a)</w:t>
      </w:r>
      <w:r w:rsidRPr="00F8174B">
        <w:rPr>
          <w:lang w:val="es-ES_tradnl"/>
        </w:rPr>
        <w:tab/>
        <w:t xml:space="preserve">El Cuarto Plan Nacional de Derechos Humanos (2019-2022) se aplica también a los defensores de los derechos humanos y garantiza su protección contra la intimidación, las represalias o cualquier otro acto ilícito. Asimismo, el Primer Plan de Acción Nacional </w:t>
      </w:r>
      <w:r w:rsidRPr="00F8174B">
        <w:rPr>
          <w:lang w:val="es-ES_tradnl"/>
        </w:rPr>
        <w:lastRenderedPageBreak/>
        <w:t>sobre Empresas y Derechos Humanos incluye a los defensores de los derechos humanos como una de las cuatro esferas de acción prioritarias</w:t>
      </w:r>
      <w:r w:rsidRPr="00763251">
        <w:rPr>
          <w:sz w:val="18"/>
          <w:szCs w:val="18"/>
          <w:vertAlign w:val="superscript"/>
          <w:lang w:val="es-ES_tradnl"/>
        </w:rPr>
        <w:footnoteReference w:id="17"/>
      </w:r>
      <w:r w:rsidR="00812033">
        <w:rPr>
          <w:lang w:val="es-ES_tradnl"/>
        </w:rPr>
        <w:t>;</w:t>
      </w:r>
    </w:p>
    <w:p w14:paraId="270359A2" w14:textId="77777777" w:rsidR="00F8174B" w:rsidRPr="00F8174B" w:rsidRDefault="00F8174B" w:rsidP="00B23104">
      <w:pPr>
        <w:pStyle w:val="SingleTxtG"/>
        <w:spacing w:after="130"/>
        <w:rPr>
          <w:lang w:val="es-ES_tradnl"/>
        </w:rPr>
      </w:pPr>
      <w:r w:rsidRPr="00F8174B">
        <w:rPr>
          <w:lang w:val="es-ES_tradnl"/>
        </w:rPr>
        <w:tab/>
        <w:t>b)</w:t>
      </w:r>
      <w:r w:rsidRPr="00F8174B">
        <w:rPr>
          <w:lang w:val="es-ES_tradnl"/>
        </w:rPr>
        <w:tab/>
        <w:t>En 2016, el Departamento de Protección de Derechos y Libertades —en colaboración con las organizaciones de la sociedad civil y la Oficina Regional del ACNUDH en Bangkok— publicó un Manual para la protección de los defensores de los derechos humanos. El Manual se ha distribuido entre el público en general, en particular entre los defensores de los derechos humanos que trabajan sobre el terreno. El Gobierno también ha cooperado con todos los asociados y las partes interesadas para desarrollar algunas de las cuestiones que se abordan en manual con el fin de garantizar su aplicabilidad en la práctica;</w:t>
      </w:r>
    </w:p>
    <w:p w14:paraId="4692705F" w14:textId="77777777" w:rsidR="00F8174B" w:rsidRPr="00F8174B" w:rsidRDefault="00F8174B" w:rsidP="00B23104">
      <w:pPr>
        <w:pStyle w:val="SingleTxtG"/>
        <w:spacing w:after="130"/>
        <w:rPr>
          <w:lang w:val="es-ES_tradnl"/>
        </w:rPr>
      </w:pPr>
      <w:r w:rsidRPr="00F8174B">
        <w:rPr>
          <w:lang w:val="es-ES_tradnl"/>
        </w:rPr>
        <w:tab/>
        <w:t>c)</w:t>
      </w:r>
      <w:r w:rsidRPr="00F8174B">
        <w:rPr>
          <w:lang w:val="es-ES_tradnl"/>
        </w:rPr>
        <w:tab/>
        <w:t>El Departamento de Protección de Derechos y Libertades organizó un taller que versó sobre el marco de protección de los defensores de los derechos humanos, con el fin de realizar una clasificación de la situación de los defensores de los derechos humanos en función del nivel de seguridad y proponer niveles de protección adecuados para cada grupo;</w:t>
      </w:r>
    </w:p>
    <w:p w14:paraId="7AEDC227" w14:textId="77777777" w:rsidR="00F8174B" w:rsidRPr="00F8174B" w:rsidRDefault="00F8174B" w:rsidP="00B23104">
      <w:pPr>
        <w:pStyle w:val="SingleTxtG"/>
        <w:spacing w:after="130"/>
        <w:rPr>
          <w:lang w:val="es-ES_tradnl"/>
        </w:rPr>
      </w:pPr>
      <w:r w:rsidRPr="00F8174B">
        <w:rPr>
          <w:lang w:val="es-ES_tradnl"/>
        </w:rPr>
        <w:tab/>
        <w:t>d)</w:t>
      </w:r>
      <w:r w:rsidRPr="00F8174B">
        <w:rPr>
          <w:lang w:val="es-ES_tradnl"/>
        </w:rPr>
        <w:tab/>
        <w:t>El Departamento de Protección de Derechos y Libertades ha realizado viajes sobre el terreno para supervisar la situación de los defensores de los derechos humanos en varias provincias en colaboración con las organizaciones pertinentes, en particular con el ACNUDH;</w:t>
      </w:r>
    </w:p>
    <w:p w14:paraId="0E3E439D" w14:textId="77777777" w:rsidR="00F8174B" w:rsidRPr="00F8174B" w:rsidRDefault="00F8174B" w:rsidP="00B23104">
      <w:pPr>
        <w:pStyle w:val="SingleTxtG"/>
        <w:spacing w:after="130"/>
        <w:rPr>
          <w:lang w:val="es-ES_tradnl"/>
        </w:rPr>
      </w:pPr>
      <w:r w:rsidRPr="00F8174B">
        <w:rPr>
          <w:lang w:val="es-ES_tradnl"/>
        </w:rPr>
        <w:tab/>
        <w:t>e)</w:t>
      </w:r>
      <w:r w:rsidRPr="00F8174B">
        <w:rPr>
          <w:lang w:val="es-ES_tradnl"/>
        </w:rPr>
        <w:tab/>
        <w:t>Durante el período que abarca el informe, la Departamento de Protección de Derechos y Libertades ha llevado a cabo una labor continua de capacitación en materia de derechos humanos y aplicación de la ley para los agentes del orden que trabajan en las provincias fronterizas meridionales.</w:t>
      </w:r>
    </w:p>
    <w:p w14:paraId="05B491D1" w14:textId="0C7E9949" w:rsidR="00F8174B" w:rsidRPr="00F8174B" w:rsidRDefault="00303490" w:rsidP="00303490">
      <w:pPr>
        <w:pStyle w:val="HChG"/>
        <w:rPr>
          <w:lang w:val="es-ES_tradnl"/>
        </w:rPr>
      </w:pPr>
      <w:r>
        <w:rPr>
          <w:lang w:val="es-ES_tradnl"/>
        </w:rPr>
        <w:tab/>
      </w:r>
      <w:r w:rsidR="00F8174B" w:rsidRPr="00F8174B">
        <w:rPr>
          <w:lang w:val="es-ES_tradnl"/>
        </w:rPr>
        <w:tab/>
        <w:t>Artículo 14</w:t>
      </w:r>
    </w:p>
    <w:p w14:paraId="7B4A9FBE" w14:textId="28DEAE5E" w:rsidR="00F8174B" w:rsidRPr="00F8174B" w:rsidRDefault="00303490" w:rsidP="00303490">
      <w:pPr>
        <w:pStyle w:val="H1G"/>
        <w:rPr>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26 de la lista de</w:t>
      </w:r>
      <w:r>
        <w:rPr>
          <w:lang w:val="es-ES_tradnl"/>
        </w:rPr>
        <w:t> </w:t>
      </w:r>
      <w:r w:rsidR="00F8174B" w:rsidRPr="00F8174B">
        <w:rPr>
          <w:lang w:val="es-ES_tradnl"/>
        </w:rPr>
        <w:t>cuestiones</w:t>
      </w:r>
    </w:p>
    <w:p w14:paraId="78DF2B4A" w14:textId="77777777" w:rsidR="00F8174B" w:rsidRPr="00F8174B" w:rsidRDefault="00F8174B" w:rsidP="00B23104">
      <w:pPr>
        <w:pStyle w:val="SingleTxtG"/>
        <w:spacing w:after="130"/>
        <w:rPr>
          <w:lang w:val="es-ES_tradnl"/>
        </w:rPr>
      </w:pPr>
      <w:r w:rsidRPr="00F8174B">
        <w:rPr>
          <w:lang w:val="es-ES_tradnl"/>
        </w:rPr>
        <w:t>90.</w:t>
      </w:r>
      <w:r w:rsidRPr="00F8174B">
        <w:rPr>
          <w:lang w:val="es-ES_tradnl"/>
        </w:rPr>
        <w:tab/>
        <w:t>Como se informa en el párrafo 10, se ha establecido el Subcomité de Reparación en los Casos de Tortura y Desaparición Forzada con objeto de ofrecer medidas de reparación a las personas damnificadas, y a sus familias, que se hayan visto afectadas por actos cometidos por funcionarios del Gobierno. El Subcomité examina e investiga las denuncias. Si se determina la vulneración de derechos, el Subcomité paga una indemnización a la persona afectada. En 61 de los 87 casos que figuran en la lista del Grupo de Trabajo de las Naciones Unidas sobre las Desapariciones Forzadas o Involuntarias</w:t>
      </w:r>
      <w:r w:rsidRPr="00F8174B">
        <w:rPr>
          <w:cs/>
          <w:lang w:bidi="th-TH"/>
        </w:rPr>
        <w:t xml:space="preserve"> se han otorgado medidas de </w:t>
      </w:r>
      <w:r w:rsidRPr="00F8174B">
        <w:rPr>
          <w:lang w:val="es-ES_tradnl"/>
        </w:rPr>
        <w:t>reparación, en función de cada caso, por parte del Centro Administrativo de las Provincias Fronterizas Meridionales, el Departamento de Prevención y Mitigación de Desastres, el Departamento de Protección de Derechos y Libertades y el Consejo de Ministros, en virtud de las resoluciones pertinentes.</w:t>
      </w:r>
    </w:p>
    <w:p w14:paraId="248CAC0C" w14:textId="77777777" w:rsidR="00F8174B" w:rsidRPr="00F8174B" w:rsidRDefault="00F8174B" w:rsidP="00B23104">
      <w:pPr>
        <w:pStyle w:val="SingleTxtG"/>
        <w:spacing w:after="130"/>
        <w:rPr>
          <w:lang w:val="es-ES_tradnl"/>
        </w:rPr>
      </w:pPr>
      <w:bookmarkStart w:id="3" w:name="_Hlk37754278"/>
      <w:r w:rsidRPr="00F8174B">
        <w:rPr>
          <w:lang w:val="es-ES_tradnl"/>
        </w:rPr>
        <w:t>91.</w:t>
      </w:r>
      <w:r w:rsidRPr="00F8174B">
        <w:rPr>
          <w:lang w:val="es-ES_tradnl"/>
        </w:rPr>
        <w:tab/>
        <w:t>En relación con el proceso de recepción de denuncias y de adopción de medidas de reparación, tanto de carácter monetario como no monetario, el Centro Administrativo de las Provincias Fronterizas Meridionales aplica las siguientes directrices:</w:t>
      </w:r>
    </w:p>
    <w:p w14:paraId="43B10D12" w14:textId="48C4E27E" w:rsidR="00F8174B" w:rsidRPr="00F8174B" w:rsidRDefault="00F8174B" w:rsidP="00B23104">
      <w:pPr>
        <w:pStyle w:val="SingleTxtG"/>
        <w:spacing w:after="130"/>
        <w:rPr>
          <w:lang w:val="es-ES_tradnl"/>
        </w:rPr>
      </w:pPr>
      <w:r w:rsidRPr="00F8174B">
        <w:rPr>
          <w:lang w:val="es-ES_tradnl"/>
        </w:rPr>
        <w:tab/>
        <w:t>a)</w:t>
      </w:r>
      <w:r w:rsidRPr="00F8174B">
        <w:rPr>
          <w:lang w:val="es-ES_tradnl"/>
        </w:rPr>
        <w:tab/>
        <w:t xml:space="preserve">Se han establecido </w:t>
      </w:r>
      <w:r w:rsidR="006F6842">
        <w:rPr>
          <w:lang w:val="es-ES_tradnl"/>
        </w:rPr>
        <w:t>“</w:t>
      </w:r>
      <w:r w:rsidRPr="00F8174B">
        <w:rPr>
          <w:lang w:val="es-ES_tradnl"/>
        </w:rPr>
        <w:t>Centros Damrongtham</w:t>
      </w:r>
      <w:r w:rsidR="006F6842">
        <w:rPr>
          <w:lang w:val="es-ES_tradnl"/>
        </w:rPr>
        <w:t>”</w:t>
      </w:r>
      <w:r w:rsidRPr="00F8174B">
        <w:rPr>
          <w:lang w:val="es-ES_tradnl"/>
        </w:rPr>
        <w:t xml:space="preserve"> en las tres provincias fronterizas meridionales que se encargan de recibir denuncias relativas a actos de violación de los derechos humanos perpetrados por funcionarios que hayan causado discapacidad o la muerte de la víctima. Los funcionarios del Centro Administrativo de las Provincias Fronterizas Meridionales investigan las denuncias. Si se constata que una persona ha resultado agredida al ser registrada, detenida o encarcelada por un agente, el Centro sanciona al autor y ofrece una reparación a la persona damnificada y a las demás personas perjudicadas</w:t>
      </w:r>
      <w:r w:rsidR="00812033">
        <w:rPr>
          <w:lang w:val="es-ES_tradnl"/>
        </w:rPr>
        <w:t>;</w:t>
      </w:r>
    </w:p>
    <w:p w14:paraId="7A4F34AA" w14:textId="5DDDD735" w:rsidR="00F8174B" w:rsidRPr="00F8174B" w:rsidRDefault="00F8174B" w:rsidP="00B23104">
      <w:pPr>
        <w:pStyle w:val="SingleTxtG"/>
        <w:keepNext/>
        <w:keepLines/>
        <w:rPr>
          <w:lang w:val="es-ES_tradnl"/>
        </w:rPr>
      </w:pPr>
      <w:r w:rsidRPr="00F8174B">
        <w:rPr>
          <w:lang w:val="es-ES_tradnl"/>
        </w:rPr>
        <w:lastRenderedPageBreak/>
        <w:tab/>
        <w:t>b)</w:t>
      </w:r>
      <w:r w:rsidRPr="00F8174B">
        <w:rPr>
          <w:lang w:val="es-ES_tradnl"/>
        </w:rPr>
        <w:tab/>
        <w:t>Por lo que respecta a las personas afectadas por la situación existente en el sur del país, el Centro Administrativo de las Provincias Fronterizas Meridionales aplica, desde</w:t>
      </w:r>
      <w:r w:rsidR="00B23104">
        <w:rPr>
          <w:lang w:val="es-ES_tradnl"/>
        </w:rPr>
        <w:t> </w:t>
      </w:r>
      <w:r w:rsidRPr="00F8174B">
        <w:rPr>
          <w:lang w:val="es-ES_tradnl"/>
        </w:rPr>
        <w:t>2012, un completo manual de recursos que prevé la prestación de asistencia y la concesión de medidas de reparación a las víctimas o a sus familiares por fallecimiento, lesiones o discapacidad (física o mental) y por pérdida de bienes (viviendas, efectos personales y vehículos, entre otros) debido a las vulneraciones cometidas por los autores en las provincias fronterizas meridionales, así como la concesión de indemnizaciones a las personas damnificadas y a sus familiares que se hayan visto afectados por actos cometidos por funcionarios del Gobierno. El manual ofrece directrices claras y detalladas, en particular para la realización de evaluaciones individualizadas del tipo de daños (como la gravedad de las lesiones, la intensidad del dolor y el sufrimiento, las repercusiones en la vida cotidiana, el nivel de dependencia con respecto a terceros, los efectos secundarios, la limitación de la capacidad para trabajar, y el valor de mercado de los bienes perdidos o dañados), y establece también los plazos y baremos relativos a las medidas de reparación o a las indemnizaciones, o una combinación de ambos, que aplican los organismos competentes (como el Centro Administrativo de las Provincias Fronterizas Meridionales, el Ministerio de Desarrollo Social y Seguridad Humana, el Departamento de Protección de Derechos y Libertades, el Ministerio de Educación y el Departamento de Prevención y Mitigación de Desastres del Ministerio del Interior). Asimismo, prevé el acceso a medidas de reparación o indemnización y a la documentación y los formularios necesarios. Además, el Centro Administrativo de las Provincias Fronterizas Meridionales ha creado una línea de asistencia telefónica y una aplicación en línea de ayuda y asistencia</w:t>
      </w:r>
      <w:r w:rsidR="00812033">
        <w:rPr>
          <w:lang w:val="es-ES_tradnl"/>
        </w:rPr>
        <w:t>;</w:t>
      </w:r>
    </w:p>
    <w:p w14:paraId="4BA468C0" w14:textId="77777777" w:rsidR="00F8174B" w:rsidRPr="00F8174B" w:rsidRDefault="00F8174B" w:rsidP="00F8174B">
      <w:pPr>
        <w:pStyle w:val="SingleTxtG"/>
        <w:rPr>
          <w:lang w:val="es-ES_tradnl"/>
        </w:rPr>
      </w:pPr>
      <w:r w:rsidRPr="00F8174B">
        <w:rPr>
          <w:lang w:val="es-ES_tradnl"/>
        </w:rPr>
        <w:tab/>
        <w:t>c)</w:t>
      </w:r>
      <w:r w:rsidRPr="00F8174B">
        <w:rPr>
          <w:lang w:val="es-ES_tradnl"/>
        </w:rPr>
        <w:tab/>
        <w:t>Según el manual de 2012, las personas damnificadas y sus familiares que se hayan visto afectados por actos cometidos por funcionarios públicos serán indemnizados por los conceptos y las cuantías siguientes:</w:t>
      </w:r>
    </w:p>
    <w:p w14:paraId="7D53657D" w14:textId="77D32660" w:rsidR="00F8174B" w:rsidRPr="00F8174B" w:rsidRDefault="00F8174B" w:rsidP="00303490">
      <w:pPr>
        <w:pStyle w:val="SingleTxtG"/>
        <w:ind w:left="1701"/>
        <w:rPr>
          <w:lang w:val="es-ES_tradnl"/>
        </w:rPr>
      </w:pPr>
      <w:r w:rsidRPr="00F8174B">
        <w:rPr>
          <w:lang w:val="es-ES_tradnl"/>
        </w:rPr>
        <w:t>i)</w:t>
      </w:r>
      <w:r w:rsidRPr="00F8174B">
        <w:rPr>
          <w:lang w:val="es-ES_tradnl"/>
        </w:rPr>
        <w:tab/>
      </w:r>
      <w:r w:rsidR="00812033" w:rsidRPr="00F8174B">
        <w:rPr>
          <w:lang w:val="es-ES_tradnl"/>
        </w:rPr>
        <w:t xml:space="preserve">Indemnización </w:t>
      </w:r>
      <w:r w:rsidRPr="00F8174B">
        <w:rPr>
          <w:lang w:val="es-ES_tradnl"/>
        </w:rPr>
        <w:t>en caso de discapacidad o muerte (500.000 bath);</w:t>
      </w:r>
    </w:p>
    <w:p w14:paraId="03696127" w14:textId="2424EA34" w:rsidR="00F8174B" w:rsidRPr="00F8174B" w:rsidRDefault="00F8174B" w:rsidP="00303490">
      <w:pPr>
        <w:pStyle w:val="SingleTxtG"/>
        <w:ind w:left="1701"/>
        <w:rPr>
          <w:lang w:val="es-ES_tradnl"/>
        </w:rPr>
      </w:pPr>
      <w:r w:rsidRPr="00F8174B">
        <w:rPr>
          <w:lang w:val="es-ES_tradnl"/>
        </w:rPr>
        <w:t>ii)</w:t>
      </w:r>
      <w:r w:rsidRPr="00F8174B">
        <w:rPr>
          <w:lang w:val="es-ES_tradnl"/>
        </w:rPr>
        <w:tab/>
      </w:r>
      <w:r w:rsidR="00812033" w:rsidRPr="00F8174B">
        <w:rPr>
          <w:lang w:val="es-ES_tradnl"/>
        </w:rPr>
        <w:t xml:space="preserve">Pago </w:t>
      </w:r>
      <w:r w:rsidRPr="00F8174B">
        <w:rPr>
          <w:lang w:val="es-ES_tradnl"/>
        </w:rPr>
        <w:t>de las facturas de la atención hospitalaria, incluidos los gastos de rehabilitación, tanto física como mental;</w:t>
      </w:r>
    </w:p>
    <w:p w14:paraId="7CC0C8A4" w14:textId="3662AC46" w:rsidR="00F8174B" w:rsidRPr="00F8174B" w:rsidRDefault="00F8174B" w:rsidP="00303490">
      <w:pPr>
        <w:pStyle w:val="SingleTxtG"/>
        <w:ind w:left="1701"/>
        <w:rPr>
          <w:lang w:val="es-ES_tradnl"/>
        </w:rPr>
      </w:pPr>
      <w:r w:rsidRPr="00F8174B">
        <w:rPr>
          <w:lang w:val="es-ES_tradnl"/>
        </w:rPr>
        <w:t>iii)</w:t>
      </w:r>
      <w:r w:rsidRPr="00F8174B">
        <w:rPr>
          <w:lang w:val="es-ES_tradnl"/>
        </w:rPr>
        <w:tab/>
      </w:r>
      <w:r w:rsidR="00812033" w:rsidRPr="00F8174B">
        <w:rPr>
          <w:lang w:val="es-ES_tradnl"/>
        </w:rPr>
        <w:t xml:space="preserve">Indemnización </w:t>
      </w:r>
      <w:r w:rsidRPr="00F8174B">
        <w:rPr>
          <w:lang w:val="es-ES_tradnl"/>
        </w:rPr>
        <w:t>por incapacitación para trabajar;</w:t>
      </w:r>
    </w:p>
    <w:p w14:paraId="0ADE339E" w14:textId="4A8EE8A0" w:rsidR="00F8174B" w:rsidRPr="00F8174B" w:rsidRDefault="00F8174B" w:rsidP="00303490">
      <w:pPr>
        <w:pStyle w:val="SingleTxtG"/>
        <w:ind w:left="1701"/>
        <w:rPr>
          <w:lang w:val="es-ES_tradnl"/>
        </w:rPr>
      </w:pPr>
      <w:r w:rsidRPr="00F8174B">
        <w:rPr>
          <w:lang w:val="es-ES_tradnl"/>
        </w:rPr>
        <w:t>iv)</w:t>
      </w:r>
      <w:r w:rsidRPr="00F8174B">
        <w:rPr>
          <w:lang w:val="es-ES_tradnl"/>
        </w:rPr>
        <w:tab/>
      </w:r>
      <w:r w:rsidR="00812033" w:rsidRPr="00F8174B">
        <w:rPr>
          <w:lang w:val="es-ES_tradnl"/>
        </w:rPr>
        <w:t xml:space="preserve">Indemnización </w:t>
      </w:r>
      <w:r w:rsidRPr="00F8174B">
        <w:rPr>
          <w:lang w:val="es-ES_tradnl"/>
        </w:rPr>
        <w:t xml:space="preserve">en caso de desaparición forzada (500.000 bath). A este respecto, el Centro Administrativo de las Provincias Fronterizas Meridionales ha proporcionado ayudas en relación con </w:t>
      </w:r>
      <w:r w:rsidRPr="00F8174B">
        <w:rPr>
          <w:cs/>
        </w:rPr>
        <w:t xml:space="preserve">32 </w:t>
      </w:r>
      <w:r w:rsidRPr="00F8174B">
        <w:rPr>
          <w:lang w:val="es-ES_tradnl"/>
        </w:rPr>
        <w:t xml:space="preserve">casos que figuran en la lista del Grupo de Trabajo de las Naciones Unidas sobre las Desapariciones Forzadas o Involuntarias por un monto de </w:t>
      </w:r>
      <w:r w:rsidRPr="00F8174B">
        <w:rPr>
          <w:cs/>
        </w:rPr>
        <w:t>34</w:t>
      </w:r>
      <w:r w:rsidRPr="00F8174B">
        <w:rPr>
          <w:lang w:val="es-ES_tradnl"/>
        </w:rPr>
        <w:t>.800.000 bath, además de otras ayudas solicitadas por las personas damnificadas.</w:t>
      </w:r>
    </w:p>
    <w:p w14:paraId="096EE794" w14:textId="77777777" w:rsidR="00F8174B" w:rsidRPr="00F8174B" w:rsidRDefault="00F8174B" w:rsidP="00F8174B">
      <w:pPr>
        <w:pStyle w:val="SingleTxtG"/>
        <w:rPr>
          <w:lang w:val="es-ES_tradnl"/>
        </w:rPr>
      </w:pPr>
      <w:bookmarkStart w:id="4" w:name="_Hlk37841891"/>
      <w:bookmarkEnd w:id="3"/>
      <w:r w:rsidRPr="00F8174B">
        <w:rPr>
          <w:lang w:val="es-ES_tradnl"/>
        </w:rPr>
        <w:t>92.</w:t>
      </w:r>
      <w:r w:rsidRPr="00F8174B">
        <w:rPr>
          <w:lang w:val="es-ES_tradnl"/>
        </w:rPr>
        <w:tab/>
        <w:t>Asimismo, para contribuir a mejorar la calidad de vida de las personas afectadas por la situación, el Gobierno pagará las tasas de matrícula de los hijos de las víctimas de actos cometidos por funcionarios públicos desde el nivel de enseñanza preescolar hasta la finalización de estudios universitarios (hasta que cumplan 25 años). Los hijos de esas víctimas también recibirán una asignación mensual.</w:t>
      </w:r>
    </w:p>
    <w:bookmarkEnd w:id="4"/>
    <w:p w14:paraId="7EB6CE90" w14:textId="01D41D86" w:rsidR="00F8174B" w:rsidRPr="00F8174B" w:rsidRDefault="00303490" w:rsidP="00303490">
      <w:pPr>
        <w:pStyle w:val="HChG"/>
        <w:rPr>
          <w:lang w:val="es-ES_tradnl"/>
        </w:rPr>
      </w:pPr>
      <w:r>
        <w:rPr>
          <w:lang w:val="es-ES_tradnl"/>
        </w:rPr>
        <w:tab/>
      </w:r>
      <w:r w:rsidR="00F8174B" w:rsidRPr="00F8174B">
        <w:rPr>
          <w:lang w:val="es-ES_tradnl"/>
        </w:rPr>
        <w:tab/>
        <w:t>Artículo 15</w:t>
      </w:r>
    </w:p>
    <w:p w14:paraId="461F5430" w14:textId="53D751A2" w:rsidR="00F8174B" w:rsidRPr="00F8174B" w:rsidRDefault="00303490" w:rsidP="00303490">
      <w:pPr>
        <w:pStyle w:val="H1G"/>
        <w:rPr>
          <w:bCs/>
          <w:lang w:val="es-ES_tradnl"/>
        </w:rPr>
      </w:pPr>
      <w:r>
        <w:rPr>
          <w:bCs/>
          <w:lang w:val="es-ES_tradnl"/>
        </w:rPr>
        <w:tab/>
      </w:r>
      <w:r w:rsidR="00F8174B" w:rsidRPr="00F8174B">
        <w:rPr>
          <w:bCs/>
          <w:lang w:val="es-ES_tradnl"/>
        </w:rPr>
        <w:tab/>
      </w:r>
      <w:r w:rsidR="00F8174B" w:rsidRPr="00F8174B">
        <w:rPr>
          <w:lang w:val="es-ES_tradnl"/>
        </w:rPr>
        <w:t>Respuesta a las cuestiones planteadas en el párrafo 27 de la lista de</w:t>
      </w:r>
      <w:r>
        <w:rPr>
          <w:lang w:val="es-ES_tradnl"/>
        </w:rPr>
        <w:t> </w:t>
      </w:r>
      <w:r w:rsidR="00F8174B" w:rsidRPr="00F8174B">
        <w:rPr>
          <w:lang w:val="es-ES_tradnl"/>
        </w:rPr>
        <w:t>cuestiones</w:t>
      </w:r>
    </w:p>
    <w:p w14:paraId="3AED823D" w14:textId="77777777" w:rsidR="00F8174B" w:rsidRPr="00F8174B" w:rsidRDefault="00F8174B" w:rsidP="00F8174B">
      <w:pPr>
        <w:pStyle w:val="SingleTxtG"/>
        <w:rPr>
          <w:cs/>
          <w:lang w:bidi="th-TH"/>
        </w:rPr>
      </w:pPr>
      <w:r w:rsidRPr="00F8174B">
        <w:rPr>
          <w:cs/>
          <w:lang w:bidi="th-TH"/>
        </w:rPr>
        <w:t>93.</w:t>
      </w:r>
      <w:r w:rsidRPr="00F8174B">
        <w:rPr>
          <w:cs/>
          <w:lang w:bidi="th-TH"/>
        </w:rPr>
        <w:tab/>
      </w:r>
      <w:r w:rsidRPr="00F8174B">
        <w:rPr>
          <w:lang w:val="es-ES_tradnl"/>
        </w:rPr>
        <w:t xml:space="preserve">Las pruebas obtenidas mediante tortura son inadmisibles en los procedimientos judiciales ante los tribunales tailandeses. El Real Gobierno de Tailandia aplica una política clara y divulgada públicamente de no utilizar las informaciones obtenidas mediante tortura en los procedimientos judiciales. La inadmisibilidad de las pruebas obtenidas mediante tortura está confirmada por el artículo 226 del Código de Procedimiento Penal, en conjunción con el artículo 135. El artículo 226, párrafo 1, es una excepción al artículo 226 y otorga al tribunal la facultad discrecional de admitir pruebas que puedan ser obtenidas de forma ilegal, pero no permite expresamente la admisibilidad de pruebas obtenidas mediante tortura o malos tratos. Al hacer uso de dicha discrecionalidad, el juez deberá sopesar el beneficio que se </w:t>
      </w:r>
      <w:r w:rsidRPr="00F8174B">
        <w:rPr>
          <w:lang w:val="es-ES_tradnl"/>
        </w:rPr>
        <w:lastRenderedPageBreak/>
        <w:t>deriva para la administración de justicia en su conjunto y el efecto que pueda tener sobre el sistema de justicia penal y las libertades fundamentales de las personas. Además, en el artículo 226, párrafo 1, se establecen cuatro criterios, entre ellos, el criterio de que, con respecto a la admisibilidad, el juez debe tener en cuenta si el agente que obtuvo ilegalmente una prueba ha sido sancionado. Véase a este respecto el párrafo 19, en el que se menciona la sentencia del Tribunal Supremo núm. 1029/2548 (2005) como ejemplo de decisión del tribunal sobre la inadmisibilidad de las pruebas obtenidas mediante tortura o malos tratos.</w:t>
      </w:r>
    </w:p>
    <w:p w14:paraId="44AA3EF8" w14:textId="066384DB" w:rsidR="00F8174B" w:rsidRPr="00F8174B" w:rsidRDefault="00303490" w:rsidP="00303490">
      <w:pPr>
        <w:pStyle w:val="HChG"/>
        <w:rPr>
          <w:lang w:val="es-ES_tradnl"/>
        </w:rPr>
      </w:pPr>
      <w:r>
        <w:rPr>
          <w:lang w:val="es-ES_tradnl"/>
        </w:rPr>
        <w:tab/>
      </w:r>
      <w:r w:rsidR="00F8174B" w:rsidRPr="00F8174B">
        <w:rPr>
          <w:lang w:val="es-ES_tradnl"/>
        </w:rPr>
        <w:tab/>
        <w:t>Artículo 16</w:t>
      </w:r>
    </w:p>
    <w:p w14:paraId="523E7DA5" w14:textId="32EC76F6" w:rsidR="00F8174B" w:rsidRPr="00F8174B" w:rsidRDefault="00F8174B" w:rsidP="00303490">
      <w:pPr>
        <w:pStyle w:val="H1G"/>
        <w:rPr>
          <w:bCs/>
          <w:lang w:val="es-ES_tradnl"/>
        </w:rPr>
      </w:pPr>
      <w:r w:rsidRPr="00F8174B">
        <w:rPr>
          <w:bCs/>
          <w:lang w:val="es-ES_tradnl"/>
        </w:rPr>
        <w:tab/>
      </w:r>
      <w:r w:rsidRPr="00F8174B">
        <w:rPr>
          <w:bCs/>
          <w:lang w:val="es-ES_tradnl"/>
        </w:rPr>
        <w:tab/>
      </w:r>
      <w:r w:rsidRPr="00F8174B">
        <w:rPr>
          <w:lang w:val="es-ES_tradnl"/>
        </w:rPr>
        <w:t>Respuesta a las cuestiones planteadas en el párrafo 28 de la lista de</w:t>
      </w:r>
      <w:r w:rsidR="00303490">
        <w:rPr>
          <w:lang w:val="es-ES_tradnl"/>
        </w:rPr>
        <w:t> </w:t>
      </w:r>
      <w:r w:rsidRPr="00F8174B">
        <w:rPr>
          <w:lang w:val="es-ES_tradnl"/>
        </w:rPr>
        <w:t>cuestiones</w:t>
      </w:r>
    </w:p>
    <w:p w14:paraId="4266FCB5" w14:textId="77777777" w:rsidR="00F8174B" w:rsidRPr="00F8174B" w:rsidRDefault="00F8174B" w:rsidP="00F8174B">
      <w:pPr>
        <w:pStyle w:val="SingleTxtG"/>
        <w:rPr>
          <w:lang w:val="es-ES_tradnl"/>
        </w:rPr>
      </w:pPr>
      <w:r w:rsidRPr="00F8174B">
        <w:rPr>
          <w:lang w:val="es-ES_tradnl"/>
        </w:rPr>
        <w:t>94.</w:t>
      </w:r>
      <w:r w:rsidRPr="00F8174B">
        <w:rPr>
          <w:lang w:val="es-ES_tradnl"/>
        </w:rPr>
        <w:tab/>
        <w:t>Véanse los párrafos 88 y 89.</w:t>
      </w:r>
    </w:p>
    <w:p w14:paraId="03F97676" w14:textId="76B5DCAE" w:rsidR="00F8174B" w:rsidRPr="00F8174B" w:rsidRDefault="00F8174B" w:rsidP="00303490">
      <w:pPr>
        <w:pStyle w:val="H1G"/>
        <w:rPr>
          <w:lang w:val="es-ES_tradnl"/>
        </w:rPr>
      </w:pPr>
      <w:r w:rsidRPr="00F8174B">
        <w:rPr>
          <w:lang w:val="es-ES_tradnl"/>
        </w:rPr>
        <w:tab/>
      </w:r>
      <w:r w:rsidRPr="00F8174B">
        <w:rPr>
          <w:lang w:val="es-ES_tradnl"/>
        </w:rPr>
        <w:tab/>
        <w:t>Respuesta a las cuestiones planteadas en el párrafo 29 de la lista de</w:t>
      </w:r>
      <w:r w:rsidR="00303490">
        <w:rPr>
          <w:lang w:val="es-ES_tradnl"/>
        </w:rPr>
        <w:t> </w:t>
      </w:r>
      <w:r w:rsidRPr="00F8174B">
        <w:rPr>
          <w:lang w:val="es-ES_tradnl"/>
        </w:rPr>
        <w:t>cuestiones</w:t>
      </w:r>
    </w:p>
    <w:p w14:paraId="14424404" w14:textId="0CD005D9" w:rsidR="00F8174B" w:rsidRPr="00F8174B" w:rsidRDefault="00F8174B" w:rsidP="00F8174B">
      <w:pPr>
        <w:pStyle w:val="SingleTxtG"/>
        <w:rPr>
          <w:lang w:val="es-ES_tradnl"/>
        </w:rPr>
      </w:pPr>
      <w:r w:rsidRPr="00F8174B">
        <w:rPr>
          <w:lang w:val="es-ES_tradnl"/>
        </w:rPr>
        <w:t>95.</w:t>
      </w:r>
      <w:r w:rsidRPr="00F8174B">
        <w:rPr>
          <w:lang w:val="es-ES_tradnl"/>
        </w:rPr>
        <w:tab/>
        <w:t xml:space="preserve">El 26 de marzo de 2019, los demandantes retiraron la denuncia por difamación contra el Director del sitio web </w:t>
      </w:r>
      <w:r w:rsidR="006F6842">
        <w:rPr>
          <w:lang w:val="es-ES_tradnl"/>
        </w:rPr>
        <w:t>“</w:t>
      </w:r>
      <w:r w:rsidRPr="00F8174B">
        <w:rPr>
          <w:lang w:val="es-ES_tradnl"/>
        </w:rPr>
        <w:t>Manager Online</w:t>
      </w:r>
      <w:r w:rsidR="006F6842">
        <w:rPr>
          <w:lang w:val="es-ES_tradnl"/>
        </w:rPr>
        <w:t>”</w:t>
      </w:r>
      <w:r w:rsidRPr="00F8174B">
        <w:rPr>
          <w:lang w:val="es-ES_tradnl"/>
        </w:rPr>
        <w:t>. Dado que este ha presentado una disculpa pública por la distribución de información falsa en relación con los presuntos actos de tortura o malos tratos en campamentos militares, los demandantes no deseaban proseguir con el caso.</w:t>
      </w:r>
    </w:p>
    <w:p w14:paraId="4D381B4E" w14:textId="13F94FEE" w:rsidR="00F8174B" w:rsidRPr="00F8174B" w:rsidRDefault="00F8174B" w:rsidP="00F8174B">
      <w:pPr>
        <w:pStyle w:val="SingleTxtG"/>
        <w:rPr>
          <w:lang w:val="es-ES_tradnl"/>
        </w:rPr>
      </w:pPr>
      <w:r w:rsidRPr="00F8174B">
        <w:rPr>
          <w:lang w:val="es-ES_tradnl"/>
        </w:rPr>
        <w:t>96.</w:t>
      </w:r>
      <w:r w:rsidRPr="00F8174B">
        <w:rPr>
          <w:lang w:val="es-ES_tradnl"/>
        </w:rPr>
        <w:tab/>
        <w:t>En 2018, el Tribunal de Justicia inició los trámites para modificar el Código de Procedimiento Penal como instrumento para proteger el derecho a la libertad de expresión en el marco de los litigios estratégicos contra demandas públicas. Se propuso que el artículo</w:t>
      </w:r>
      <w:r w:rsidR="002A4C9D">
        <w:rPr>
          <w:lang w:val="es-ES_tradnl"/>
        </w:rPr>
        <w:t> </w:t>
      </w:r>
      <w:r w:rsidRPr="00F8174B">
        <w:rPr>
          <w:lang w:val="es-ES_tradnl"/>
        </w:rPr>
        <w:t>161, párrafo 1, del Código de Procedimiento Penal, confiera al tribunal la facultad de desestimar cualquier causa penal en la fase de presentación de la demanda si estima que la acción judicial está motivada por una intención dolosa de acosar a otra persona o aprovecharse de ella, obtener beneficios indebidos o lograr objetivos deshonestos. En virtud del artículo 165, párrafo 2, se permitiría a los acusados presentar argumentos jurídicos y probatorios durante el examen preliminar del tribunal, algo que anteriormente no podían hacer. Dicho artículo también permite al tribunal desempeñar un papel más activo al conferirle la facultad de citar como testigos del tribunal a los testigos propuestos por el acusado y examinar los elementos de prueba propuestos por este. Dichas modificaciones del Código de Procedimiento Penal fueron promulgadas en el Boletín Oficial el 20 de marzo de 2019 y el 19 de febrero de 2019, respectivamente.</w:t>
      </w:r>
    </w:p>
    <w:p w14:paraId="7C7C4E9B" w14:textId="77777777" w:rsidR="00F8174B" w:rsidRPr="00F8174B" w:rsidRDefault="00F8174B" w:rsidP="00F8174B">
      <w:pPr>
        <w:pStyle w:val="SingleTxtG"/>
        <w:rPr>
          <w:lang w:val="es-ES_tradnl"/>
        </w:rPr>
      </w:pPr>
      <w:r w:rsidRPr="00F8174B">
        <w:rPr>
          <w:lang w:val="es-ES_tradnl"/>
        </w:rPr>
        <w:t>97.</w:t>
      </w:r>
      <w:r w:rsidRPr="00F8174B">
        <w:rPr>
          <w:lang w:val="es-ES_tradnl"/>
        </w:rPr>
        <w:tab/>
        <w:t>El Gobierno reconoce la valiosa contribución de los medios de comunicación en favor de la promoción, el respeto y la protección de los derechos humanos y las libertades fundamentales. Asimismo, es plenamente consciente del deber que le corresponde de velar por que los medios de comunicación puedan realizar su trabajo en un entorno seguro y propicio. Los derechos a la libertad de expresión y a la libertad de prensa están garantizados por la Constitución tailandesa, en consonancia con las leyes internacionales, en particular el artículo 19 del Pacto Internacional de Derechos Civiles y Políticos. Se reconoce que estos derechos son un elemento facilitador del ejercicio de todos los demás derechos humanos. El artículo 35 de la Constitución de 2017 establece específicamente que los profesionales de los medios de comunicación gozarán de libertad de transmitir noticias o expresar opiniones de conformidad con la ética profesional.</w:t>
      </w:r>
    </w:p>
    <w:p w14:paraId="47E09741" w14:textId="39DFFE5D" w:rsidR="00F8174B" w:rsidRPr="00F8174B" w:rsidRDefault="00303490" w:rsidP="00303490">
      <w:pPr>
        <w:pStyle w:val="HChG"/>
        <w:rPr>
          <w:lang w:val="es-ES_tradnl"/>
        </w:rPr>
      </w:pPr>
      <w:r>
        <w:rPr>
          <w:lang w:val="es-ES_tradnl"/>
        </w:rPr>
        <w:lastRenderedPageBreak/>
        <w:tab/>
      </w:r>
      <w:r w:rsidR="00F8174B" w:rsidRPr="00F8174B">
        <w:rPr>
          <w:lang w:val="es-ES_tradnl"/>
        </w:rPr>
        <w:tab/>
        <w:t>Otras cuestiones</w:t>
      </w:r>
    </w:p>
    <w:p w14:paraId="0E1777B3" w14:textId="33900FB9" w:rsidR="00F8174B" w:rsidRPr="00F8174B" w:rsidRDefault="00303490" w:rsidP="00303490">
      <w:pPr>
        <w:pStyle w:val="H1G"/>
        <w:rPr>
          <w:lang w:val="es-ES_tradnl"/>
        </w:rPr>
      </w:pPr>
      <w:r>
        <w:rPr>
          <w:lang w:val="es-ES_tradnl"/>
        </w:rPr>
        <w:tab/>
      </w:r>
      <w:r w:rsidR="00F8174B" w:rsidRPr="00F8174B">
        <w:rPr>
          <w:lang w:val="es-ES_tradnl"/>
        </w:rPr>
        <w:tab/>
        <w:t>Respuesta a las cuestiones planteadas en el párrafo 30 de la lista de</w:t>
      </w:r>
      <w:r>
        <w:rPr>
          <w:lang w:val="es-ES_tradnl"/>
        </w:rPr>
        <w:t> </w:t>
      </w:r>
      <w:r w:rsidR="00F8174B" w:rsidRPr="00F8174B">
        <w:rPr>
          <w:lang w:val="es-ES_tradnl"/>
        </w:rPr>
        <w:t>cuestiones</w:t>
      </w:r>
    </w:p>
    <w:p w14:paraId="3557D4C3" w14:textId="77777777" w:rsidR="00F8174B" w:rsidRPr="00F8174B" w:rsidRDefault="00F8174B" w:rsidP="00F8174B">
      <w:pPr>
        <w:pStyle w:val="SingleTxtG"/>
        <w:rPr>
          <w:lang w:val="es-ES_tradnl"/>
        </w:rPr>
      </w:pPr>
      <w:r w:rsidRPr="00F8174B">
        <w:rPr>
          <w:lang w:val="es-ES_tradnl"/>
        </w:rPr>
        <w:t>98.</w:t>
      </w:r>
      <w:r w:rsidRPr="00F8174B">
        <w:rPr>
          <w:lang w:val="es-ES_tradnl"/>
        </w:rPr>
        <w:tab/>
        <w:t>Una vez que se apruebe el proyecto de ley de prevención y represión de la tortura y las desapariciones forzadas, como se señala en el párrafo 6, podrá revisarse la declaración interpretativa de la Convención.</w:t>
      </w:r>
    </w:p>
    <w:p w14:paraId="058A024D" w14:textId="098EDA58" w:rsidR="00F8174B" w:rsidRPr="00F8174B" w:rsidRDefault="00303490" w:rsidP="00303490">
      <w:pPr>
        <w:pStyle w:val="H1G"/>
        <w:rPr>
          <w:lang w:val="es-ES_tradnl"/>
        </w:rPr>
      </w:pPr>
      <w:r>
        <w:rPr>
          <w:lang w:val="es-ES_tradnl"/>
        </w:rPr>
        <w:tab/>
      </w:r>
      <w:r w:rsidR="00F8174B" w:rsidRPr="00F8174B">
        <w:rPr>
          <w:lang w:val="es-ES_tradnl"/>
        </w:rPr>
        <w:tab/>
        <w:t>Respuesta a las cuestiones planteadas en el párrafo 31 de la lista de</w:t>
      </w:r>
      <w:r>
        <w:rPr>
          <w:lang w:val="es-ES_tradnl"/>
        </w:rPr>
        <w:t> </w:t>
      </w:r>
      <w:r w:rsidR="00F8174B" w:rsidRPr="00F8174B">
        <w:rPr>
          <w:lang w:val="es-ES_tradnl"/>
        </w:rPr>
        <w:t>cuestiones</w:t>
      </w:r>
    </w:p>
    <w:p w14:paraId="1A870610" w14:textId="4489CFD5" w:rsidR="00F8174B" w:rsidRDefault="00F8174B" w:rsidP="00F8174B">
      <w:pPr>
        <w:pStyle w:val="SingleTxtG"/>
        <w:rPr>
          <w:lang w:val="es-ES_tradnl"/>
        </w:rPr>
      </w:pPr>
      <w:r w:rsidRPr="00F8174B">
        <w:rPr>
          <w:lang w:val="es-ES_tradnl"/>
        </w:rPr>
        <w:t>99.</w:t>
      </w:r>
      <w:r w:rsidRPr="00F8174B">
        <w:rPr>
          <w:lang w:val="es-ES_tradnl"/>
        </w:rPr>
        <w:tab/>
        <w:t>El Departamento de Protección de Derechos y Libertades ha mantenido consultas periódicas con los organismos pertinentes para estudiar la posibilidad de ratificar el Protocolo Facultativo de la Convención y ha formulado una declaración en la que se acepta la competencia del Comité para recibir y examinar comunicaciones en virtud de los artículos</w:t>
      </w:r>
      <w:r w:rsidR="00745D95">
        <w:rPr>
          <w:lang w:val="es-ES_tradnl"/>
        </w:rPr>
        <w:t> </w:t>
      </w:r>
      <w:r w:rsidRPr="00F8174B">
        <w:rPr>
          <w:lang w:val="es-ES_tradnl"/>
        </w:rPr>
        <w:t>21 y 22 de la Convención, incluidos los preparativos necesarios. El 19 de junio de 2020 se celebró una consulta organizada por el Departamento y la Asociación para la Prevención de la Tortura. No hay aún ninguna conclusión definitiva al respecto.</w:t>
      </w:r>
    </w:p>
    <w:p w14:paraId="75F6EAF4" w14:textId="55179245" w:rsidR="008F4C0D" w:rsidRDefault="008F4C0D" w:rsidP="00F8174B">
      <w:pPr>
        <w:pStyle w:val="SingleTxtG"/>
        <w:rPr>
          <w:lang w:val="es-ES_tradnl"/>
        </w:rPr>
      </w:pPr>
      <w:r>
        <w:rPr>
          <w:lang w:val="es-ES_tradnl"/>
        </w:rPr>
        <w:br w:type="page"/>
      </w:r>
    </w:p>
    <w:p w14:paraId="6B196774" w14:textId="77777777" w:rsidR="00062B95" w:rsidRPr="00062B95" w:rsidRDefault="00062B95" w:rsidP="00303490">
      <w:pPr>
        <w:pStyle w:val="H23G"/>
        <w:rPr>
          <w:cs/>
          <w:lang w:bidi="th-TH"/>
        </w:rPr>
      </w:pPr>
      <w:r w:rsidRPr="00303490">
        <w:rPr>
          <w:b w:val="0"/>
          <w:lang w:val="es-ES_tradnl"/>
        </w:rPr>
        <w:lastRenderedPageBreak/>
        <w:tab/>
      </w:r>
      <w:r w:rsidRPr="00303490">
        <w:rPr>
          <w:b w:val="0"/>
          <w:lang w:val="es-ES_tradnl"/>
        </w:rPr>
        <w:tab/>
        <w:t>Cuadro 1</w:t>
      </w:r>
      <w:r w:rsidRPr="00303490">
        <w:rPr>
          <w:b w:val="0"/>
          <w:lang w:val="es-ES_tradnl"/>
        </w:rPr>
        <w:br/>
      </w:r>
      <w:r w:rsidRPr="00062B95">
        <w:rPr>
          <w:lang w:val="es-ES_tradnl"/>
        </w:rPr>
        <w:t xml:space="preserve">Estadísticas sobre el número de reclusos </w:t>
      </w:r>
      <w:r w:rsidRPr="00062B95">
        <w:rPr>
          <w:lang w:val="es-ES_tradnl"/>
        </w:rPr>
        <w:br/>
        <w:t>Un total de 378.562 personas a fecha de 20 de mayo de 2020</w:t>
      </w:r>
      <w:r w:rsidRPr="00062B95">
        <w:rPr>
          <w:cs/>
          <w:lang w:bidi="th-TH"/>
        </w:rPr>
        <w:br/>
      </w:r>
      <w:r w:rsidRPr="00062B95">
        <w:rPr>
          <w:lang w:val="es-ES_tradnl"/>
        </w:rPr>
        <w:t>Datos desglosados por nacionalidad</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843"/>
        <w:gridCol w:w="851"/>
        <w:gridCol w:w="1417"/>
        <w:gridCol w:w="851"/>
        <w:gridCol w:w="850"/>
        <w:gridCol w:w="851"/>
        <w:gridCol w:w="707"/>
      </w:tblGrid>
      <w:tr w:rsidR="00303490" w:rsidRPr="00062B95" w14:paraId="1906629C" w14:textId="77777777" w:rsidTr="00812033">
        <w:trPr>
          <w:trHeight w:val="240"/>
          <w:tblHeader/>
        </w:trPr>
        <w:tc>
          <w:tcPr>
            <w:tcW w:w="1843" w:type="dxa"/>
            <w:tcBorders>
              <w:top w:val="single" w:sz="4" w:space="0" w:color="auto"/>
              <w:bottom w:val="single" w:sz="12" w:space="0" w:color="auto"/>
            </w:tcBorders>
            <w:shd w:val="clear" w:color="auto" w:fill="auto"/>
            <w:vAlign w:val="bottom"/>
          </w:tcPr>
          <w:p w14:paraId="48A2C8ED"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bCs/>
                <w:i/>
                <w:sz w:val="16"/>
                <w:lang w:val="es-ES_tradnl"/>
              </w:rPr>
            </w:pPr>
            <w:r w:rsidRPr="00062B95">
              <w:rPr>
                <w:bCs/>
                <w:i/>
                <w:sz w:val="16"/>
                <w:lang w:val="es-ES_tradnl"/>
              </w:rPr>
              <w:t>País de nacionalidad</w:t>
            </w:r>
          </w:p>
        </w:tc>
        <w:tc>
          <w:tcPr>
            <w:tcW w:w="851" w:type="dxa"/>
            <w:tcBorders>
              <w:top w:val="single" w:sz="4" w:space="0" w:color="auto"/>
              <w:bottom w:val="single" w:sz="12" w:space="0" w:color="auto"/>
            </w:tcBorders>
            <w:shd w:val="clear" w:color="auto" w:fill="auto"/>
            <w:vAlign w:val="bottom"/>
          </w:tcPr>
          <w:p w14:paraId="2802F95A" w14:textId="77777777" w:rsidR="00062B95" w:rsidRPr="00062B95" w:rsidRDefault="00062B95" w:rsidP="00303490">
            <w:pPr>
              <w:pStyle w:val="SingleTxtG"/>
              <w:tabs>
                <w:tab w:val="clear" w:pos="1701"/>
                <w:tab w:val="clear" w:pos="2268"/>
                <w:tab w:val="clear" w:pos="2835"/>
              </w:tabs>
              <w:spacing w:before="80" w:after="80" w:line="200" w:lineRule="exact"/>
              <w:ind w:left="28" w:right="28"/>
              <w:jc w:val="right"/>
              <w:rPr>
                <w:bCs/>
                <w:i/>
                <w:sz w:val="16"/>
                <w:lang w:val="es-ES_tradnl"/>
              </w:rPr>
            </w:pPr>
            <w:r w:rsidRPr="00062B95">
              <w:rPr>
                <w:bCs/>
                <w:i/>
                <w:sz w:val="16"/>
                <w:lang w:val="es-ES_tradnl"/>
              </w:rPr>
              <w:t>Reclusos condenados</w:t>
            </w:r>
          </w:p>
        </w:tc>
        <w:tc>
          <w:tcPr>
            <w:tcW w:w="1417" w:type="dxa"/>
            <w:tcBorders>
              <w:top w:val="single" w:sz="4" w:space="0" w:color="auto"/>
              <w:bottom w:val="single" w:sz="12" w:space="0" w:color="auto"/>
            </w:tcBorders>
            <w:shd w:val="clear" w:color="auto" w:fill="auto"/>
            <w:vAlign w:val="bottom"/>
          </w:tcPr>
          <w:p w14:paraId="1524AF97" w14:textId="77777777" w:rsidR="00062B95" w:rsidRPr="00062B95" w:rsidRDefault="00062B95" w:rsidP="00303490">
            <w:pPr>
              <w:pStyle w:val="SingleTxtG"/>
              <w:tabs>
                <w:tab w:val="clear" w:pos="1701"/>
                <w:tab w:val="clear" w:pos="2268"/>
                <w:tab w:val="clear" w:pos="2835"/>
              </w:tabs>
              <w:spacing w:before="80" w:after="80" w:line="200" w:lineRule="exact"/>
              <w:ind w:left="28" w:right="28"/>
              <w:jc w:val="right"/>
              <w:rPr>
                <w:bCs/>
                <w:i/>
                <w:sz w:val="16"/>
                <w:lang w:val="es-ES_tradnl"/>
              </w:rPr>
            </w:pPr>
            <w:r w:rsidRPr="00062B95">
              <w:rPr>
                <w:bCs/>
                <w:i/>
                <w:sz w:val="16"/>
                <w:lang w:val="es-ES_tradnl"/>
              </w:rPr>
              <w:t>Reclusos en prisión preventiva</w:t>
            </w:r>
          </w:p>
        </w:tc>
        <w:tc>
          <w:tcPr>
            <w:tcW w:w="851" w:type="dxa"/>
            <w:tcBorders>
              <w:top w:val="single" w:sz="4" w:space="0" w:color="auto"/>
              <w:bottom w:val="single" w:sz="12" w:space="0" w:color="auto"/>
            </w:tcBorders>
            <w:shd w:val="clear" w:color="auto" w:fill="auto"/>
            <w:vAlign w:val="bottom"/>
          </w:tcPr>
          <w:p w14:paraId="3B70E8AE" w14:textId="77777777" w:rsidR="00062B95" w:rsidRPr="00062B95" w:rsidRDefault="00062B95" w:rsidP="00303490">
            <w:pPr>
              <w:pStyle w:val="SingleTxtG"/>
              <w:tabs>
                <w:tab w:val="clear" w:pos="1701"/>
                <w:tab w:val="clear" w:pos="2268"/>
                <w:tab w:val="clear" w:pos="2835"/>
              </w:tabs>
              <w:spacing w:before="80" w:after="80" w:line="200" w:lineRule="exact"/>
              <w:ind w:left="28" w:right="28"/>
              <w:jc w:val="right"/>
              <w:rPr>
                <w:bCs/>
                <w:i/>
                <w:sz w:val="16"/>
                <w:lang w:val="es-ES_tradnl"/>
              </w:rPr>
            </w:pPr>
            <w:r w:rsidRPr="00062B95">
              <w:rPr>
                <w:bCs/>
                <w:i/>
                <w:sz w:val="16"/>
                <w:lang w:val="es-ES_tradnl"/>
              </w:rPr>
              <w:t>Jóvenes infractores</w:t>
            </w:r>
          </w:p>
        </w:tc>
        <w:tc>
          <w:tcPr>
            <w:tcW w:w="850" w:type="dxa"/>
            <w:tcBorders>
              <w:top w:val="single" w:sz="4" w:space="0" w:color="auto"/>
              <w:bottom w:val="single" w:sz="12" w:space="0" w:color="auto"/>
            </w:tcBorders>
            <w:shd w:val="clear" w:color="auto" w:fill="auto"/>
            <w:vAlign w:val="bottom"/>
          </w:tcPr>
          <w:p w14:paraId="759B3738" w14:textId="77777777" w:rsidR="00062B95" w:rsidRPr="00062B95" w:rsidRDefault="00062B95" w:rsidP="00303490">
            <w:pPr>
              <w:pStyle w:val="SingleTxtG"/>
              <w:tabs>
                <w:tab w:val="clear" w:pos="1701"/>
                <w:tab w:val="clear" w:pos="2268"/>
                <w:tab w:val="clear" w:pos="2835"/>
              </w:tabs>
              <w:spacing w:before="80" w:after="80" w:line="200" w:lineRule="exact"/>
              <w:ind w:left="28" w:right="28"/>
              <w:jc w:val="right"/>
              <w:rPr>
                <w:bCs/>
                <w:i/>
                <w:sz w:val="16"/>
                <w:lang w:val="es-ES_tradnl"/>
              </w:rPr>
            </w:pPr>
            <w:r w:rsidRPr="00062B95">
              <w:rPr>
                <w:bCs/>
                <w:i/>
                <w:sz w:val="16"/>
                <w:lang w:val="es-ES_tradnl"/>
              </w:rPr>
              <w:t>Detenidos</w:t>
            </w:r>
          </w:p>
        </w:tc>
        <w:tc>
          <w:tcPr>
            <w:tcW w:w="851" w:type="dxa"/>
            <w:tcBorders>
              <w:top w:val="single" w:sz="4" w:space="0" w:color="auto"/>
              <w:bottom w:val="single" w:sz="12" w:space="0" w:color="auto"/>
            </w:tcBorders>
            <w:shd w:val="clear" w:color="auto" w:fill="auto"/>
            <w:vAlign w:val="bottom"/>
          </w:tcPr>
          <w:p w14:paraId="5EA261A4" w14:textId="77777777" w:rsidR="00062B95" w:rsidRPr="00062B95" w:rsidRDefault="00062B95" w:rsidP="00303490">
            <w:pPr>
              <w:pStyle w:val="SingleTxtG"/>
              <w:tabs>
                <w:tab w:val="clear" w:pos="1701"/>
                <w:tab w:val="clear" w:pos="2268"/>
                <w:tab w:val="clear" w:pos="2835"/>
              </w:tabs>
              <w:spacing w:before="80" w:after="80" w:line="200" w:lineRule="exact"/>
              <w:ind w:left="28" w:right="28"/>
              <w:jc w:val="right"/>
              <w:rPr>
                <w:bCs/>
                <w:i/>
                <w:sz w:val="16"/>
                <w:lang w:val="es-ES_tradnl"/>
              </w:rPr>
            </w:pPr>
            <w:r w:rsidRPr="00062B95">
              <w:rPr>
                <w:bCs/>
                <w:i/>
                <w:sz w:val="16"/>
                <w:lang w:val="es-ES_tradnl"/>
              </w:rPr>
              <w:t>Reclusos confinados</w:t>
            </w:r>
          </w:p>
        </w:tc>
        <w:tc>
          <w:tcPr>
            <w:tcW w:w="707" w:type="dxa"/>
            <w:tcBorders>
              <w:top w:val="single" w:sz="4" w:space="0" w:color="auto"/>
              <w:bottom w:val="single" w:sz="12" w:space="0" w:color="auto"/>
            </w:tcBorders>
            <w:shd w:val="clear" w:color="auto" w:fill="auto"/>
            <w:vAlign w:val="bottom"/>
          </w:tcPr>
          <w:p w14:paraId="1688CBFD" w14:textId="77777777" w:rsidR="00062B95" w:rsidRPr="00062B95" w:rsidRDefault="00062B95" w:rsidP="00303490">
            <w:pPr>
              <w:pStyle w:val="SingleTxtG"/>
              <w:tabs>
                <w:tab w:val="clear" w:pos="1701"/>
                <w:tab w:val="clear" w:pos="2268"/>
                <w:tab w:val="clear" w:pos="2835"/>
              </w:tabs>
              <w:spacing w:before="80" w:after="80" w:line="200" w:lineRule="exact"/>
              <w:ind w:left="28" w:right="28"/>
              <w:jc w:val="right"/>
              <w:rPr>
                <w:bCs/>
                <w:i/>
                <w:sz w:val="16"/>
                <w:lang w:val="es-ES_tradnl"/>
              </w:rPr>
            </w:pPr>
            <w:r w:rsidRPr="00062B95">
              <w:rPr>
                <w:bCs/>
                <w:i/>
                <w:sz w:val="16"/>
                <w:lang w:val="es-ES_tradnl"/>
              </w:rPr>
              <w:t>Otros</w:t>
            </w:r>
          </w:p>
        </w:tc>
      </w:tr>
      <w:tr w:rsidR="00062B95" w:rsidRPr="00062B95" w14:paraId="0A87E7E9" w14:textId="77777777" w:rsidTr="00812033">
        <w:trPr>
          <w:trHeight w:val="240"/>
        </w:trPr>
        <w:tc>
          <w:tcPr>
            <w:tcW w:w="1843" w:type="dxa"/>
            <w:tcBorders>
              <w:top w:val="single" w:sz="12" w:space="0" w:color="auto"/>
            </w:tcBorders>
            <w:shd w:val="clear" w:color="auto" w:fill="auto"/>
          </w:tcPr>
          <w:p w14:paraId="2501A8E8" w14:textId="77777777" w:rsidR="00062B95" w:rsidRPr="00062B95" w:rsidRDefault="00062B95" w:rsidP="00812033">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Ningún país de nacionalidad registrado en el sistema</w:t>
            </w:r>
          </w:p>
        </w:tc>
        <w:tc>
          <w:tcPr>
            <w:tcW w:w="851" w:type="dxa"/>
            <w:tcBorders>
              <w:top w:val="single" w:sz="12" w:space="0" w:color="auto"/>
            </w:tcBorders>
            <w:shd w:val="clear" w:color="auto" w:fill="auto"/>
            <w:vAlign w:val="bottom"/>
          </w:tcPr>
          <w:p w14:paraId="4BB98287" w14:textId="77777777" w:rsidR="00062B95" w:rsidRPr="00062B95" w:rsidRDefault="00062B95"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179</w:t>
            </w:r>
          </w:p>
        </w:tc>
        <w:tc>
          <w:tcPr>
            <w:tcW w:w="1417" w:type="dxa"/>
            <w:tcBorders>
              <w:top w:val="single" w:sz="12" w:space="0" w:color="auto"/>
            </w:tcBorders>
            <w:shd w:val="clear" w:color="auto" w:fill="auto"/>
            <w:vAlign w:val="bottom"/>
          </w:tcPr>
          <w:p w14:paraId="26D1625D" w14:textId="77777777" w:rsidR="00062B95" w:rsidRPr="00062B95" w:rsidRDefault="00062B95"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19</w:t>
            </w:r>
          </w:p>
        </w:tc>
        <w:tc>
          <w:tcPr>
            <w:tcW w:w="851" w:type="dxa"/>
            <w:tcBorders>
              <w:top w:val="single" w:sz="12" w:space="0" w:color="auto"/>
            </w:tcBorders>
            <w:shd w:val="clear" w:color="auto" w:fill="auto"/>
            <w:vAlign w:val="bottom"/>
          </w:tcPr>
          <w:p w14:paraId="49B76426" w14:textId="77777777" w:rsidR="00062B95" w:rsidRPr="00062B95" w:rsidRDefault="00062B95"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tcBorders>
              <w:top w:val="single" w:sz="12" w:space="0" w:color="auto"/>
            </w:tcBorders>
            <w:shd w:val="clear" w:color="auto" w:fill="auto"/>
            <w:vAlign w:val="bottom"/>
          </w:tcPr>
          <w:p w14:paraId="1B89E1E5" w14:textId="77777777" w:rsidR="00062B95" w:rsidRPr="00062B95" w:rsidRDefault="00062B95"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16</w:t>
            </w:r>
          </w:p>
        </w:tc>
        <w:tc>
          <w:tcPr>
            <w:tcW w:w="851" w:type="dxa"/>
            <w:tcBorders>
              <w:top w:val="single" w:sz="12" w:space="0" w:color="auto"/>
            </w:tcBorders>
            <w:shd w:val="clear" w:color="auto" w:fill="auto"/>
            <w:vAlign w:val="bottom"/>
          </w:tcPr>
          <w:p w14:paraId="13ABCABD" w14:textId="77777777" w:rsidR="00062B95" w:rsidRPr="00062B95" w:rsidRDefault="00062B95"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tcBorders>
              <w:top w:val="single" w:sz="12" w:space="0" w:color="auto"/>
            </w:tcBorders>
            <w:shd w:val="clear" w:color="auto" w:fill="auto"/>
            <w:vAlign w:val="bottom"/>
          </w:tcPr>
          <w:p w14:paraId="408D5F25" w14:textId="77777777" w:rsidR="00062B95" w:rsidRPr="00062B95" w:rsidRDefault="00062B95"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346</w:t>
            </w:r>
          </w:p>
        </w:tc>
      </w:tr>
      <w:tr w:rsidR="00860A87" w:rsidRPr="00062B95" w14:paraId="593C7C41" w14:textId="77777777" w:rsidTr="00812033">
        <w:trPr>
          <w:trHeight w:val="240"/>
        </w:trPr>
        <w:tc>
          <w:tcPr>
            <w:tcW w:w="1843" w:type="dxa"/>
            <w:shd w:val="clear" w:color="auto" w:fill="auto"/>
          </w:tcPr>
          <w:p w14:paraId="04D9E899"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Alemania</w:t>
            </w:r>
          </w:p>
        </w:tc>
        <w:tc>
          <w:tcPr>
            <w:tcW w:w="851" w:type="dxa"/>
            <w:shd w:val="clear" w:color="auto" w:fill="auto"/>
            <w:vAlign w:val="bottom"/>
          </w:tcPr>
          <w:p w14:paraId="36BCE9C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12</w:t>
            </w:r>
          </w:p>
        </w:tc>
        <w:tc>
          <w:tcPr>
            <w:tcW w:w="1417" w:type="dxa"/>
            <w:shd w:val="clear" w:color="auto" w:fill="auto"/>
            <w:vAlign w:val="bottom"/>
          </w:tcPr>
          <w:p w14:paraId="086274D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428BF8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A49A2E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5FC06A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09758F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r>
      <w:tr w:rsidR="00860A87" w:rsidRPr="00062B95" w14:paraId="2102346E" w14:textId="77777777" w:rsidTr="00812033">
        <w:trPr>
          <w:trHeight w:val="240"/>
        </w:trPr>
        <w:tc>
          <w:tcPr>
            <w:tcW w:w="1843" w:type="dxa"/>
            <w:shd w:val="clear" w:color="auto" w:fill="auto"/>
          </w:tcPr>
          <w:p w14:paraId="0077ADD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Angola</w:t>
            </w:r>
          </w:p>
        </w:tc>
        <w:tc>
          <w:tcPr>
            <w:tcW w:w="851" w:type="dxa"/>
            <w:shd w:val="clear" w:color="auto" w:fill="auto"/>
            <w:vAlign w:val="bottom"/>
          </w:tcPr>
          <w:p w14:paraId="0A55F8D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1F3805C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341A48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85298D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3BE499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6193B3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EF4BE48" w14:textId="77777777" w:rsidTr="00812033">
        <w:trPr>
          <w:trHeight w:val="240"/>
        </w:trPr>
        <w:tc>
          <w:tcPr>
            <w:tcW w:w="1843" w:type="dxa"/>
            <w:shd w:val="clear" w:color="auto" w:fill="auto"/>
          </w:tcPr>
          <w:p w14:paraId="6CA22C4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Argelia</w:t>
            </w:r>
          </w:p>
        </w:tc>
        <w:tc>
          <w:tcPr>
            <w:tcW w:w="851" w:type="dxa"/>
            <w:shd w:val="clear" w:color="auto" w:fill="auto"/>
            <w:vAlign w:val="bottom"/>
          </w:tcPr>
          <w:p w14:paraId="248AD66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1417" w:type="dxa"/>
            <w:shd w:val="clear" w:color="auto" w:fill="auto"/>
            <w:vAlign w:val="bottom"/>
          </w:tcPr>
          <w:p w14:paraId="7D50D3A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20D4DFD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19C5F9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70B58C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959A3F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1064D62" w14:textId="77777777" w:rsidTr="00812033">
        <w:trPr>
          <w:trHeight w:val="240"/>
        </w:trPr>
        <w:tc>
          <w:tcPr>
            <w:tcW w:w="1843" w:type="dxa"/>
            <w:shd w:val="clear" w:color="auto" w:fill="auto"/>
          </w:tcPr>
          <w:p w14:paraId="6E34B1C9"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Argentina</w:t>
            </w:r>
          </w:p>
        </w:tc>
        <w:tc>
          <w:tcPr>
            <w:tcW w:w="851" w:type="dxa"/>
            <w:shd w:val="clear" w:color="auto" w:fill="auto"/>
            <w:vAlign w:val="bottom"/>
          </w:tcPr>
          <w:p w14:paraId="76955FD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5B8B4DD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0A371A7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EFFE2E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9B0D2A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F8DE13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FCCD485" w14:textId="77777777" w:rsidTr="00812033">
        <w:trPr>
          <w:trHeight w:val="240"/>
        </w:trPr>
        <w:tc>
          <w:tcPr>
            <w:tcW w:w="1843" w:type="dxa"/>
            <w:shd w:val="clear" w:color="auto" w:fill="auto"/>
          </w:tcPr>
          <w:p w14:paraId="39D35DE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Australia</w:t>
            </w:r>
          </w:p>
        </w:tc>
        <w:tc>
          <w:tcPr>
            <w:tcW w:w="851" w:type="dxa"/>
            <w:shd w:val="clear" w:color="auto" w:fill="auto"/>
            <w:vAlign w:val="bottom"/>
          </w:tcPr>
          <w:p w14:paraId="7CC539D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1417" w:type="dxa"/>
            <w:shd w:val="clear" w:color="auto" w:fill="auto"/>
            <w:vAlign w:val="bottom"/>
          </w:tcPr>
          <w:p w14:paraId="354889F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851" w:type="dxa"/>
            <w:shd w:val="clear" w:color="auto" w:fill="auto"/>
            <w:vAlign w:val="bottom"/>
          </w:tcPr>
          <w:p w14:paraId="3AE12CE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B8597C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F1B932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FE99A2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17D77FE" w14:textId="77777777" w:rsidTr="00812033">
        <w:trPr>
          <w:trHeight w:val="240"/>
        </w:trPr>
        <w:tc>
          <w:tcPr>
            <w:tcW w:w="1843" w:type="dxa"/>
            <w:shd w:val="clear" w:color="auto" w:fill="auto"/>
          </w:tcPr>
          <w:p w14:paraId="1001A4D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Austria</w:t>
            </w:r>
          </w:p>
        </w:tc>
        <w:tc>
          <w:tcPr>
            <w:tcW w:w="851" w:type="dxa"/>
            <w:shd w:val="clear" w:color="auto" w:fill="auto"/>
            <w:vAlign w:val="bottom"/>
          </w:tcPr>
          <w:p w14:paraId="2A1CD01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1417" w:type="dxa"/>
            <w:shd w:val="clear" w:color="auto" w:fill="auto"/>
            <w:vAlign w:val="bottom"/>
          </w:tcPr>
          <w:p w14:paraId="2E6837A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1" w:type="dxa"/>
            <w:shd w:val="clear" w:color="auto" w:fill="auto"/>
            <w:vAlign w:val="bottom"/>
          </w:tcPr>
          <w:p w14:paraId="6F2CFDE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C1666A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26C204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392026C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r>
      <w:tr w:rsidR="00860A87" w:rsidRPr="00062B95" w14:paraId="05A37EDB" w14:textId="77777777" w:rsidTr="00812033">
        <w:trPr>
          <w:trHeight w:val="240"/>
        </w:trPr>
        <w:tc>
          <w:tcPr>
            <w:tcW w:w="1843" w:type="dxa"/>
            <w:shd w:val="clear" w:color="auto" w:fill="auto"/>
          </w:tcPr>
          <w:p w14:paraId="657105D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Bangladesh</w:t>
            </w:r>
          </w:p>
        </w:tc>
        <w:tc>
          <w:tcPr>
            <w:tcW w:w="851" w:type="dxa"/>
            <w:shd w:val="clear" w:color="auto" w:fill="auto"/>
            <w:vAlign w:val="bottom"/>
          </w:tcPr>
          <w:p w14:paraId="3BFAF12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w:t>
            </w:r>
          </w:p>
        </w:tc>
        <w:tc>
          <w:tcPr>
            <w:tcW w:w="1417" w:type="dxa"/>
            <w:shd w:val="clear" w:color="auto" w:fill="auto"/>
            <w:vAlign w:val="bottom"/>
          </w:tcPr>
          <w:p w14:paraId="25019D3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851" w:type="dxa"/>
            <w:shd w:val="clear" w:color="auto" w:fill="auto"/>
            <w:vAlign w:val="bottom"/>
          </w:tcPr>
          <w:p w14:paraId="49F9F89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5C3758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67FA0D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94B37A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059A35B" w14:textId="77777777" w:rsidTr="00812033">
        <w:trPr>
          <w:trHeight w:val="240"/>
        </w:trPr>
        <w:tc>
          <w:tcPr>
            <w:tcW w:w="1843" w:type="dxa"/>
            <w:shd w:val="clear" w:color="auto" w:fill="auto"/>
          </w:tcPr>
          <w:p w14:paraId="6C4641F7"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Belarús</w:t>
            </w:r>
          </w:p>
        </w:tc>
        <w:tc>
          <w:tcPr>
            <w:tcW w:w="851" w:type="dxa"/>
            <w:shd w:val="clear" w:color="auto" w:fill="auto"/>
            <w:vAlign w:val="bottom"/>
          </w:tcPr>
          <w:p w14:paraId="5E5D999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1417" w:type="dxa"/>
            <w:shd w:val="clear" w:color="auto" w:fill="auto"/>
            <w:vAlign w:val="bottom"/>
          </w:tcPr>
          <w:p w14:paraId="47DA0F3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387B21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7C8CE4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D9EB8D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D26B0C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1340548" w14:textId="77777777" w:rsidTr="00812033">
        <w:trPr>
          <w:trHeight w:val="240"/>
        </w:trPr>
        <w:tc>
          <w:tcPr>
            <w:tcW w:w="1843" w:type="dxa"/>
            <w:shd w:val="clear" w:color="auto" w:fill="auto"/>
          </w:tcPr>
          <w:p w14:paraId="79DCAFB3"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Bélgica</w:t>
            </w:r>
          </w:p>
        </w:tc>
        <w:tc>
          <w:tcPr>
            <w:tcW w:w="851" w:type="dxa"/>
            <w:shd w:val="clear" w:color="auto" w:fill="auto"/>
            <w:vAlign w:val="bottom"/>
          </w:tcPr>
          <w:p w14:paraId="224D577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0C2170B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79EEA37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3026E9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1F5966A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3C3FFA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4673339" w14:textId="77777777" w:rsidTr="00812033">
        <w:trPr>
          <w:trHeight w:val="240"/>
        </w:trPr>
        <w:tc>
          <w:tcPr>
            <w:tcW w:w="1843" w:type="dxa"/>
            <w:shd w:val="clear" w:color="auto" w:fill="auto"/>
          </w:tcPr>
          <w:p w14:paraId="53BB83E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Benin</w:t>
            </w:r>
          </w:p>
        </w:tc>
        <w:tc>
          <w:tcPr>
            <w:tcW w:w="851" w:type="dxa"/>
            <w:shd w:val="clear" w:color="auto" w:fill="auto"/>
            <w:vAlign w:val="bottom"/>
          </w:tcPr>
          <w:p w14:paraId="5BC0329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7760FC5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EBD14E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6D8D66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7A56B5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0136DC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D69651F" w14:textId="77777777" w:rsidTr="00812033">
        <w:trPr>
          <w:trHeight w:val="240"/>
        </w:trPr>
        <w:tc>
          <w:tcPr>
            <w:tcW w:w="1843" w:type="dxa"/>
            <w:shd w:val="clear" w:color="auto" w:fill="auto"/>
          </w:tcPr>
          <w:p w14:paraId="4624F9E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Bhután</w:t>
            </w:r>
          </w:p>
        </w:tc>
        <w:tc>
          <w:tcPr>
            <w:tcW w:w="851" w:type="dxa"/>
            <w:shd w:val="clear" w:color="auto" w:fill="auto"/>
            <w:vAlign w:val="bottom"/>
          </w:tcPr>
          <w:p w14:paraId="139512B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58FB44C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A8B5C4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F5F76D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C5F03A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41BE69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24C984C" w14:textId="77777777" w:rsidTr="00812033">
        <w:trPr>
          <w:trHeight w:val="240"/>
        </w:trPr>
        <w:tc>
          <w:tcPr>
            <w:tcW w:w="1843" w:type="dxa"/>
            <w:shd w:val="clear" w:color="auto" w:fill="auto"/>
          </w:tcPr>
          <w:p w14:paraId="4F5960A7"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Bolivia</w:t>
            </w:r>
          </w:p>
        </w:tc>
        <w:tc>
          <w:tcPr>
            <w:tcW w:w="851" w:type="dxa"/>
            <w:shd w:val="clear" w:color="auto" w:fill="auto"/>
            <w:vAlign w:val="bottom"/>
          </w:tcPr>
          <w:p w14:paraId="32DDD36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1417" w:type="dxa"/>
            <w:shd w:val="clear" w:color="auto" w:fill="auto"/>
            <w:vAlign w:val="bottom"/>
          </w:tcPr>
          <w:p w14:paraId="03036C5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55EE96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52C813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766DED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07EFA1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EEED926" w14:textId="77777777" w:rsidTr="00812033">
        <w:trPr>
          <w:trHeight w:val="240"/>
        </w:trPr>
        <w:tc>
          <w:tcPr>
            <w:tcW w:w="1843" w:type="dxa"/>
            <w:shd w:val="clear" w:color="auto" w:fill="auto"/>
          </w:tcPr>
          <w:p w14:paraId="5F7B7CF1"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Brasil</w:t>
            </w:r>
          </w:p>
        </w:tc>
        <w:tc>
          <w:tcPr>
            <w:tcW w:w="851" w:type="dxa"/>
            <w:shd w:val="clear" w:color="auto" w:fill="auto"/>
            <w:vAlign w:val="bottom"/>
          </w:tcPr>
          <w:p w14:paraId="1F75018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1417" w:type="dxa"/>
            <w:shd w:val="clear" w:color="auto" w:fill="auto"/>
            <w:vAlign w:val="bottom"/>
          </w:tcPr>
          <w:p w14:paraId="66C8083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2F0B32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714977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C04471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B28FFE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F01274C" w14:textId="77777777" w:rsidTr="00812033">
        <w:trPr>
          <w:trHeight w:val="240"/>
        </w:trPr>
        <w:tc>
          <w:tcPr>
            <w:tcW w:w="1843" w:type="dxa"/>
            <w:shd w:val="clear" w:color="auto" w:fill="auto"/>
          </w:tcPr>
          <w:p w14:paraId="6C0D6D87"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Bulgaria</w:t>
            </w:r>
          </w:p>
        </w:tc>
        <w:tc>
          <w:tcPr>
            <w:tcW w:w="851" w:type="dxa"/>
            <w:shd w:val="clear" w:color="auto" w:fill="auto"/>
            <w:vAlign w:val="bottom"/>
          </w:tcPr>
          <w:p w14:paraId="5A2FD55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781964C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13BA97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8E01FC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930EDD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52030E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55369FD" w14:textId="77777777" w:rsidTr="00812033">
        <w:trPr>
          <w:trHeight w:val="240"/>
        </w:trPr>
        <w:tc>
          <w:tcPr>
            <w:tcW w:w="1843" w:type="dxa"/>
            <w:shd w:val="clear" w:color="auto" w:fill="auto"/>
          </w:tcPr>
          <w:p w14:paraId="0A4D617C"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Cabo Verde</w:t>
            </w:r>
          </w:p>
        </w:tc>
        <w:tc>
          <w:tcPr>
            <w:tcW w:w="851" w:type="dxa"/>
            <w:shd w:val="clear" w:color="auto" w:fill="auto"/>
            <w:vAlign w:val="bottom"/>
          </w:tcPr>
          <w:p w14:paraId="55A1817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2FF0FE5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4B59FAF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5FE9C4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3BDCD2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374DD1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E007AE3" w14:textId="77777777" w:rsidTr="00812033">
        <w:trPr>
          <w:trHeight w:val="240"/>
        </w:trPr>
        <w:tc>
          <w:tcPr>
            <w:tcW w:w="1843" w:type="dxa"/>
            <w:shd w:val="clear" w:color="auto" w:fill="auto"/>
          </w:tcPr>
          <w:p w14:paraId="1C16018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Camboya</w:t>
            </w:r>
          </w:p>
        </w:tc>
        <w:tc>
          <w:tcPr>
            <w:tcW w:w="851" w:type="dxa"/>
            <w:shd w:val="clear" w:color="auto" w:fill="auto"/>
            <w:vAlign w:val="bottom"/>
          </w:tcPr>
          <w:p w14:paraId="134654C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1 593</w:t>
            </w:r>
          </w:p>
        </w:tc>
        <w:tc>
          <w:tcPr>
            <w:tcW w:w="1417" w:type="dxa"/>
            <w:shd w:val="clear" w:color="auto" w:fill="auto"/>
            <w:vAlign w:val="bottom"/>
          </w:tcPr>
          <w:p w14:paraId="0C2EB52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362</w:t>
            </w:r>
          </w:p>
        </w:tc>
        <w:tc>
          <w:tcPr>
            <w:tcW w:w="851" w:type="dxa"/>
            <w:shd w:val="clear" w:color="auto" w:fill="auto"/>
            <w:vAlign w:val="bottom"/>
          </w:tcPr>
          <w:p w14:paraId="76E94E3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0" w:type="dxa"/>
            <w:shd w:val="clear" w:color="auto" w:fill="auto"/>
            <w:vAlign w:val="bottom"/>
          </w:tcPr>
          <w:p w14:paraId="6F6BAAF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50</w:t>
            </w:r>
          </w:p>
        </w:tc>
        <w:tc>
          <w:tcPr>
            <w:tcW w:w="851" w:type="dxa"/>
            <w:shd w:val="clear" w:color="auto" w:fill="auto"/>
            <w:vAlign w:val="bottom"/>
          </w:tcPr>
          <w:p w14:paraId="108B9F8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773BC0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r>
      <w:tr w:rsidR="00860A87" w:rsidRPr="00062B95" w14:paraId="10ADCD2E" w14:textId="77777777" w:rsidTr="00812033">
        <w:trPr>
          <w:trHeight w:val="240"/>
        </w:trPr>
        <w:tc>
          <w:tcPr>
            <w:tcW w:w="1843" w:type="dxa"/>
            <w:shd w:val="clear" w:color="auto" w:fill="auto"/>
          </w:tcPr>
          <w:p w14:paraId="437707F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Camerún</w:t>
            </w:r>
          </w:p>
        </w:tc>
        <w:tc>
          <w:tcPr>
            <w:tcW w:w="851" w:type="dxa"/>
            <w:shd w:val="clear" w:color="auto" w:fill="auto"/>
            <w:vAlign w:val="bottom"/>
          </w:tcPr>
          <w:p w14:paraId="487A779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1417" w:type="dxa"/>
            <w:shd w:val="clear" w:color="auto" w:fill="auto"/>
            <w:vAlign w:val="bottom"/>
          </w:tcPr>
          <w:p w14:paraId="1D4A86F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4F27900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BCD83D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648598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30A04CC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ED7C791" w14:textId="77777777" w:rsidTr="00812033">
        <w:trPr>
          <w:trHeight w:val="240"/>
        </w:trPr>
        <w:tc>
          <w:tcPr>
            <w:tcW w:w="1843" w:type="dxa"/>
            <w:shd w:val="clear" w:color="auto" w:fill="auto"/>
          </w:tcPr>
          <w:p w14:paraId="76A5063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Canadá</w:t>
            </w:r>
          </w:p>
        </w:tc>
        <w:tc>
          <w:tcPr>
            <w:tcW w:w="851" w:type="dxa"/>
            <w:shd w:val="clear" w:color="auto" w:fill="auto"/>
            <w:vAlign w:val="bottom"/>
          </w:tcPr>
          <w:p w14:paraId="33ED82F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w:t>
            </w:r>
          </w:p>
        </w:tc>
        <w:tc>
          <w:tcPr>
            <w:tcW w:w="1417" w:type="dxa"/>
            <w:shd w:val="clear" w:color="auto" w:fill="auto"/>
            <w:vAlign w:val="bottom"/>
          </w:tcPr>
          <w:p w14:paraId="39C7178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851" w:type="dxa"/>
            <w:shd w:val="clear" w:color="auto" w:fill="auto"/>
            <w:vAlign w:val="bottom"/>
          </w:tcPr>
          <w:p w14:paraId="25DE53F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D46D30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119F61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C031F6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ABDDEEA" w14:textId="77777777" w:rsidTr="00812033">
        <w:trPr>
          <w:trHeight w:val="240"/>
        </w:trPr>
        <w:tc>
          <w:tcPr>
            <w:tcW w:w="1843" w:type="dxa"/>
            <w:shd w:val="clear" w:color="auto" w:fill="auto"/>
          </w:tcPr>
          <w:p w14:paraId="3710109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Colombia</w:t>
            </w:r>
          </w:p>
        </w:tc>
        <w:tc>
          <w:tcPr>
            <w:tcW w:w="851" w:type="dxa"/>
            <w:shd w:val="clear" w:color="auto" w:fill="auto"/>
            <w:vAlign w:val="bottom"/>
          </w:tcPr>
          <w:p w14:paraId="7E59681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13</w:t>
            </w:r>
          </w:p>
        </w:tc>
        <w:tc>
          <w:tcPr>
            <w:tcW w:w="1417" w:type="dxa"/>
            <w:shd w:val="clear" w:color="auto" w:fill="auto"/>
            <w:vAlign w:val="bottom"/>
          </w:tcPr>
          <w:p w14:paraId="46FA2DA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851" w:type="dxa"/>
            <w:shd w:val="clear" w:color="auto" w:fill="auto"/>
            <w:vAlign w:val="bottom"/>
          </w:tcPr>
          <w:p w14:paraId="06B5C1E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5DD504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65E847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30BE78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3566A84" w14:textId="77777777" w:rsidTr="00812033">
        <w:trPr>
          <w:trHeight w:val="240"/>
        </w:trPr>
        <w:tc>
          <w:tcPr>
            <w:tcW w:w="1843" w:type="dxa"/>
            <w:shd w:val="clear" w:color="auto" w:fill="auto"/>
          </w:tcPr>
          <w:p w14:paraId="211D8BA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Congo</w:t>
            </w:r>
          </w:p>
        </w:tc>
        <w:tc>
          <w:tcPr>
            <w:tcW w:w="851" w:type="dxa"/>
            <w:shd w:val="clear" w:color="auto" w:fill="auto"/>
            <w:vAlign w:val="bottom"/>
          </w:tcPr>
          <w:p w14:paraId="05844F6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1417" w:type="dxa"/>
            <w:shd w:val="clear" w:color="auto" w:fill="auto"/>
            <w:vAlign w:val="bottom"/>
          </w:tcPr>
          <w:p w14:paraId="3FE7F1C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033F9D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504D26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508615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D8BB2C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D9975BD" w14:textId="77777777" w:rsidTr="00812033">
        <w:trPr>
          <w:trHeight w:val="240"/>
        </w:trPr>
        <w:tc>
          <w:tcPr>
            <w:tcW w:w="1843" w:type="dxa"/>
            <w:shd w:val="clear" w:color="auto" w:fill="auto"/>
          </w:tcPr>
          <w:p w14:paraId="454104EC"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Côte d</w:t>
            </w:r>
            <w:r>
              <w:rPr>
                <w:sz w:val="18"/>
                <w:lang w:val="es-ES_tradnl"/>
              </w:rPr>
              <w:t>’</w:t>
            </w:r>
            <w:r w:rsidRPr="00062B95">
              <w:rPr>
                <w:sz w:val="18"/>
                <w:lang w:val="es-ES_tradnl"/>
              </w:rPr>
              <w:t>Ivoire</w:t>
            </w:r>
          </w:p>
        </w:tc>
        <w:tc>
          <w:tcPr>
            <w:tcW w:w="851" w:type="dxa"/>
            <w:shd w:val="clear" w:color="auto" w:fill="auto"/>
            <w:vAlign w:val="bottom"/>
          </w:tcPr>
          <w:p w14:paraId="6A66A9B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1417" w:type="dxa"/>
            <w:shd w:val="clear" w:color="auto" w:fill="auto"/>
            <w:vAlign w:val="bottom"/>
          </w:tcPr>
          <w:p w14:paraId="7F891B4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9E9730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BEE986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B597E7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356376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CCF17AE" w14:textId="77777777" w:rsidTr="00812033">
        <w:trPr>
          <w:trHeight w:val="240"/>
        </w:trPr>
        <w:tc>
          <w:tcPr>
            <w:tcW w:w="1843" w:type="dxa"/>
            <w:shd w:val="clear" w:color="auto" w:fill="auto"/>
          </w:tcPr>
          <w:p w14:paraId="4346BA63" w14:textId="77777777" w:rsidR="00860A87" w:rsidRPr="00062B95" w:rsidRDefault="00860A87" w:rsidP="00860A87">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Chile</w:t>
            </w:r>
          </w:p>
        </w:tc>
        <w:tc>
          <w:tcPr>
            <w:tcW w:w="851" w:type="dxa"/>
            <w:shd w:val="clear" w:color="auto" w:fill="auto"/>
            <w:vAlign w:val="bottom"/>
          </w:tcPr>
          <w:p w14:paraId="0B6942EE" w14:textId="77777777" w:rsidR="00860A87" w:rsidRPr="00062B95" w:rsidRDefault="00860A87" w:rsidP="00860A87">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60396B91" w14:textId="77777777" w:rsidR="00860A87" w:rsidRPr="00062B95" w:rsidRDefault="00860A87" w:rsidP="00860A87">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5E081FB" w14:textId="77777777" w:rsidR="00860A87" w:rsidRPr="00062B95" w:rsidRDefault="00860A87" w:rsidP="00860A87">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0E727AA" w14:textId="77777777" w:rsidR="00860A87" w:rsidRPr="00062B95" w:rsidRDefault="00860A87" w:rsidP="00860A87">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EE9886A" w14:textId="77777777" w:rsidR="00860A87" w:rsidRPr="00062B95" w:rsidRDefault="00860A87" w:rsidP="00860A87">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0231451" w14:textId="77777777" w:rsidR="00860A87" w:rsidRPr="00062B95" w:rsidRDefault="00860A87" w:rsidP="00860A87">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6421C0E" w14:textId="77777777" w:rsidTr="00812033">
        <w:trPr>
          <w:trHeight w:val="240"/>
        </w:trPr>
        <w:tc>
          <w:tcPr>
            <w:tcW w:w="1843" w:type="dxa"/>
            <w:shd w:val="clear" w:color="auto" w:fill="auto"/>
          </w:tcPr>
          <w:p w14:paraId="0FCC472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China</w:t>
            </w:r>
          </w:p>
        </w:tc>
        <w:tc>
          <w:tcPr>
            <w:tcW w:w="851" w:type="dxa"/>
            <w:shd w:val="clear" w:color="auto" w:fill="auto"/>
            <w:vAlign w:val="bottom"/>
          </w:tcPr>
          <w:p w14:paraId="2AD27C5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233</w:t>
            </w:r>
          </w:p>
        </w:tc>
        <w:tc>
          <w:tcPr>
            <w:tcW w:w="1417" w:type="dxa"/>
            <w:shd w:val="clear" w:color="auto" w:fill="auto"/>
            <w:vAlign w:val="bottom"/>
          </w:tcPr>
          <w:p w14:paraId="67F8A88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70</w:t>
            </w:r>
          </w:p>
        </w:tc>
        <w:tc>
          <w:tcPr>
            <w:tcW w:w="851" w:type="dxa"/>
            <w:shd w:val="clear" w:color="auto" w:fill="auto"/>
            <w:vAlign w:val="bottom"/>
          </w:tcPr>
          <w:p w14:paraId="4967746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0EA6AD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C10990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3CACDB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r>
      <w:tr w:rsidR="00860A87" w:rsidRPr="00062B95" w14:paraId="4A6F5D1F" w14:textId="77777777" w:rsidTr="00812033">
        <w:trPr>
          <w:trHeight w:val="240"/>
        </w:trPr>
        <w:tc>
          <w:tcPr>
            <w:tcW w:w="1843" w:type="dxa"/>
            <w:shd w:val="clear" w:color="auto" w:fill="auto"/>
          </w:tcPr>
          <w:p w14:paraId="013AF844"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Chipre</w:t>
            </w:r>
          </w:p>
        </w:tc>
        <w:tc>
          <w:tcPr>
            <w:tcW w:w="851" w:type="dxa"/>
            <w:shd w:val="clear" w:color="auto" w:fill="auto"/>
            <w:vAlign w:val="bottom"/>
          </w:tcPr>
          <w:p w14:paraId="4E52FE8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60FA5E6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003611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CAF9B0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7DA0FF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3A34A8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965EFC6" w14:textId="77777777" w:rsidTr="00812033">
        <w:trPr>
          <w:trHeight w:val="240"/>
        </w:trPr>
        <w:tc>
          <w:tcPr>
            <w:tcW w:w="1843" w:type="dxa"/>
            <w:shd w:val="clear" w:color="auto" w:fill="auto"/>
          </w:tcPr>
          <w:p w14:paraId="2D544D4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Dinamarca</w:t>
            </w:r>
          </w:p>
        </w:tc>
        <w:tc>
          <w:tcPr>
            <w:tcW w:w="851" w:type="dxa"/>
            <w:shd w:val="clear" w:color="auto" w:fill="auto"/>
            <w:vAlign w:val="bottom"/>
          </w:tcPr>
          <w:p w14:paraId="1626A62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63C18A9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2EFEF2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9B6422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01562C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F7A7EF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r>
      <w:tr w:rsidR="00860A87" w:rsidRPr="00062B95" w14:paraId="6AEDABA4" w14:textId="77777777" w:rsidTr="00812033">
        <w:trPr>
          <w:trHeight w:val="240"/>
        </w:trPr>
        <w:tc>
          <w:tcPr>
            <w:tcW w:w="1843" w:type="dxa"/>
            <w:shd w:val="clear" w:color="auto" w:fill="auto"/>
          </w:tcPr>
          <w:p w14:paraId="46AC53D3"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Ecuador</w:t>
            </w:r>
          </w:p>
        </w:tc>
        <w:tc>
          <w:tcPr>
            <w:tcW w:w="851" w:type="dxa"/>
            <w:shd w:val="clear" w:color="auto" w:fill="auto"/>
            <w:vAlign w:val="bottom"/>
          </w:tcPr>
          <w:p w14:paraId="5C1897C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368363C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997321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868842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CA38F9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9C7394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B8419CD" w14:textId="77777777" w:rsidTr="00812033">
        <w:trPr>
          <w:trHeight w:val="240"/>
        </w:trPr>
        <w:tc>
          <w:tcPr>
            <w:tcW w:w="1843" w:type="dxa"/>
            <w:shd w:val="clear" w:color="auto" w:fill="auto"/>
          </w:tcPr>
          <w:p w14:paraId="3ADE91D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Egipto</w:t>
            </w:r>
          </w:p>
        </w:tc>
        <w:tc>
          <w:tcPr>
            <w:tcW w:w="851" w:type="dxa"/>
            <w:shd w:val="clear" w:color="auto" w:fill="auto"/>
            <w:vAlign w:val="bottom"/>
          </w:tcPr>
          <w:p w14:paraId="078CAD4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3AE173E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76278A2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5ECE1D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BA030B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B78FCB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C199545" w14:textId="77777777" w:rsidTr="00812033">
        <w:trPr>
          <w:trHeight w:val="240"/>
        </w:trPr>
        <w:tc>
          <w:tcPr>
            <w:tcW w:w="1843" w:type="dxa"/>
            <w:shd w:val="clear" w:color="auto" w:fill="auto"/>
          </w:tcPr>
          <w:p w14:paraId="25DEAA16"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Eslovaquia</w:t>
            </w:r>
          </w:p>
        </w:tc>
        <w:tc>
          <w:tcPr>
            <w:tcW w:w="851" w:type="dxa"/>
            <w:shd w:val="clear" w:color="auto" w:fill="auto"/>
            <w:vAlign w:val="bottom"/>
          </w:tcPr>
          <w:p w14:paraId="6A2FD4F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480948A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273497A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7AB37A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E83459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3D1224C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3C23911" w14:textId="77777777" w:rsidTr="00812033">
        <w:trPr>
          <w:trHeight w:val="240"/>
        </w:trPr>
        <w:tc>
          <w:tcPr>
            <w:tcW w:w="1843" w:type="dxa"/>
            <w:shd w:val="clear" w:color="auto" w:fill="auto"/>
          </w:tcPr>
          <w:p w14:paraId="7C8073F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España</w:t>
            </w:r>
          </w:p>
        </w:tc>
        <w:tc>
          <w:tcPr>
            <w:tcW w:w="851" w:type="dxa"/>
            <w:shd w:val="clear" w:color="auto" w:fill="auto"/>
            <w:vAlign w:val="bottom"/>
          </w:tcPr>
          <w:p w14:paraId="66EEE84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7651181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2016550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3C9587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E52D1E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3A4B3F2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30FC3CE" w14:textId="77777777" w:rsidTr="00812033">
        <w:trPr>
          <w:trHeight w:val="240"/>
        </w:trPr>
        <w:tc>
          <w:tcPr>
            <w:tcW w:w="1843" w:type="dxa"/>
            <w:shd w:val="clear" w:color="auto" w:fill="auto"/>
          </w:tcPr>
          <w:p w14:paraId="7D143E14"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Estados Unidos</w:t>
            </w:r>
          </w:p>
        </w:tc>
        <w:tc>
          <w:tcPr>
            <w:tcW w:w="851" w:type="dxa"/>
            <w:shd w:val="clear" w:color="auto" w:fill="auto"/>
            <w:vAlign w:val="bottom"/>
          </w:tcPr>
          <w:p w14:paraId="0C9E7DA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16</w:t>
            </w:r>
          </w:p>
        </w:tc>
        <w:tc>
          <w:tcPr>
            <w:tcW w:w="1417" w:type="dxa"/>
            <w:shd w:val="clear" w:color="auto" w:fill="auto"/>
            <w:vAlign w:val="bottom"/>
          </w:tcPr>
          <w:p w14:paraId="37482BC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w:t>
            </w:r>
          </w:p>
        </w:tc>
        <w:tc>
          <w:tcPr>
            <w:tcW w:w="851" w:type="dxa"/>
            <w:shd w:val="clear" w:color="auto" w:fill="auto"/>
            <w:vAlign w:val="bottom"/>
          </w:tcPr>
          <w:p w14:paraId="66C4CB5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6B96BC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2675F7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2C74E3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FBF0260" w14:textId="77777777" w:rsidTr="00812033">
        <w:trPr>
          <w:trHeight w:val="240"/>
        </w:trPr>
        <w:tc>
          <w:tcPr>
            <w:tcW w:w="1843" w:type="dxa"/>
            <w:shd w:val="clear" w:color="auto" w:fill="auto"/>
          </w:tcPr>
          <w:p w14:paraId="3ED7A867"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Estonia</w:t>
            </w:r>
          </w:p>
        </w:tc>
        <w:tc>
          <w:tcPr>
            <w:tcW w:w="851" w:type="dxa"/>
            <w:shd w:val="clear" w:color="auto" w:fill="auto"/>
            <w:vAlign w:val="bottom"/>
          </w:tcPr>
          <w:p w14:paraId="726446E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0C01748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2EDEFEC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BE125E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7781AA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5A3960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3EDB968" w14:textId="77777777" w:rsidTr="00812033">
        <w:trPr>
          <w:trHeight w:val="240"/>
        </w:trPr>
        <w:tc>
          <w:tcPr>
            <w:tcW w:w="1843" w:type="dxa"/>
            <w:shd w:val="clear" w:color="auto" w:fill="auto"/>
          </w:tcPr>
          <w:p w14:paraId="6DCAFE6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Etiopía</w:t>
            </w:r>
          </w:p>
        </w:tc>
        <w:tc>
          <w:tcPr>
            <w:tcW w:w="851" w:type="dxa"/>
            <w:shd w:val="clear" w:color="auto" w:fill="auto"/>
            <w:vAlign w:val="bottom"/>
          </w:tcPr>
          <w:p w14:paraId="1F8FAED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1417" w:type="dxa"/>
            <w:shd w:val="clear" w:color="auto" w:fill="auto"/>
            <w:vAlign w:val="bottom"/>
          </w:tcPr>
          <w:p w14:paraId="6632F85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C6F29E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FA86BF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B43FBF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A26F76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18CE7B7" w14:textId="77777777" w:rsidTr="00812033">
        <w:trPr>
          <w:trHeight w:val="240"/>
        </w:trPr>
        <w:tc>
          <w:tcPr>
            <w:tcW w:w="1843" w:type="dxa"/>
            <w:shd w:val="clear" w:color="auto" w:fill="auto"/>
          </w:tcPr>
          <w:p w14:paraId="71EE8AD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Federación de Rusia</w:t>
            </w:r>
          </w:p>
        </w:tc>
        <w:tc>
          <w:tcPr>
            <w:tcW w:w="851" w:type="dxa"/>
            <w:shd w:val="clear" w:color="auto" w:fill="auto"/>
            <w:vAlign w:val="bottom"/>
          </w:tcPr>
          <w:p w14:paraId="675165E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27</w:t>
            </w:r>
          </w:p>
        </w:tc>
        <w:tc>
          <w:tcPr>
            <w:tcW w:w="1417" w:type="dxa"/>
            <w:shd w:val="clear" w:color="auto" w:fill="auto"/>
            <w:vAlign w:val="bottom"/>
          </w:tcPr>
          <w:p w14:paraId="38BFE67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851" w:type="dxa"/>
            <w:shd w:val="clear" w:color="auto" w:fill="auto"/>
            <w:vAlign w:val="bottom"/>
          </w:tcPr>
          <w:p w14:paraId="34F9A4B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8301A5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851" w:type="dxa"/>
            <w:shd w:val="clear" w:color="auto" w:fill="auto"/>
            <w:vAlign w:val="bottom"/>
          </w:tcPr>
          <w:p w14:paraId="186FD8C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5DCC56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r>
      <w:tr w:rsidR="00860A87" w:rsidRPr="00062B95" w14:paraId="38B5085D" w14:textId="77777777" w:rsidTr="00812033">
        <w:trPr>
          <w:trHeight w:val="240"/>
        </w:trPr>
        <w:tc>
          <w:tcPr>
            <w:tcW w:w="1843" w:type="dxa"/>
            <w:shd w:val="clear" w:color="auto" w:fill="auto"/>
          </w:tcPr>
          <w:p w14:paraId="25A22A47"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Filipinas</w:t>
            </w:r>
          </w:p>
        </w:tc>
        <w:tc>
          <w:tcPr>
            <w:tcW w:w="851" w:type="dxa"/>
            <w:shd w:val="clear" w:color="auto" w:fill="auto"/>
            <w:vAlign w:val="bottom"/>
          </w:tcPr>
          <w:p w14:paraId="593CB49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43</w:t>
            </w:r>
          </w:p>
        </w:tc>
        <w:tc>
          <w:tcPr>
            <w:tcW w:w="1417" w:type="dxa"/>
            <w:shd w:val="clear" w:color="auto" w:fill="auto"/>
            <w:vAlign w:val="bottom"/>
          </w:tcPr>
          <w:p w14:paraId="08E9EE8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1" w:type="dxa"/>
            <w:shd w:val="clear" w:color="auto" w:fill="auto"/>
            <w:vAlign w:val="bottom"/>
          </w:tcPr>
          <w:p w14:paraId="1170CF2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FC77BF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2EB44B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6B7EAB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r>
      <w:tr w:rsidR="00860A87" w:rsidRPr="00062B95" w14:paraId="31041BD5" w14:textId="77777777" w:rsidTr="00812033">
        <w:trPr>
          <w:trHeight w:val="240"/>
        </w:trPr>
        <w:tc>
          <w:tcPr>
            <w:tcW w:w="1843" w:type="dxa"/>
            <w:shd w:val="clear" w:color="auto" w:fill="auto"/>
          </w:tcPr>
          <w:p w14:paraId="140E980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Finlandia</w:t>
            </w:r>
          </w:p>
        </w:tc>
        <w:tc>
          <w:tcPr>
            <w:tcW w:w="851" w:type="dxa"/>
            <w:shd w:val="clear" w:color="auto" w:fill="auto"/>
            <w:vAlign w:val="bottom"/>
          </w:tcPr>
          <w:p w14:paraId="0EEA050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42CFACE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4288E6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2EAFA2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B8A842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BFBAC0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E871B58" w14:textId="77777777" w:rsidTr="00812033">
        <w:trPr>
          <w:trHeight w:val="240"/>
        </w:trPr>
        <w:tc>
          <w:tcPr>
            <w:tcW w:w="1843" w:type="dxa"/>
            <w:shd w:val="clear" w:color="auto" w:fill="auto"/>
          </w:tcPr>
          <w:p w14:paraId="05AC7B5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Francia</w:t>
            </w:r>
          </w:p>
        </w:tc>
        <w:tc>
          <w:tcPr>
            <w:tcW w:w="851" w:type="dxa"/>
            <w:shd w:val="clear" w:color="auto" w:fill="auto"/>
            <w:vAlign w:val="bottom"/>
          </w:tcPr>
          <w:p w14:paraId="4504A4F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13</w:t>
            </w:r>
          </w:p>
        </w:tc>
        <w:tc>
          <w:tcPr>
            <w:tcW w:w="1417" w:type="dxa"/>
            <w:shd w:val="clear" w:color="auto" w:fill="auto"/>
            <w:vAlign w:val="bottom"/>
          </w:tcPr>
          <w:p w14:paraId="5E38F12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w:t>
            </w:r>
          </w:p>
        </w:tc>
        <w:tc>
          <w:tcPr>
            <w:tcW w:w="851" w:type="dxa"/>
            <w:shd w:val="clear" w:color="auto" w:fill="auto"/>
            <w:vAlign w:val="bottom"/>
          </w:tcPr>
          <w:p w14:paraId="4987DD6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C4489E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C6B87E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449CE9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r>
      <w:tr w:rsidR="00860A87" w:rsidRPr="00062B95" w14:paraId="21CD413E" w14:textId="77777777" w:rsidTr="00812033">
        <w:trPr>
          <w:trHeight w:val="240"/>
        </w:trPr>
        <w:tc>
          <w:tcPr>
            <w:tcW w:w="1843" w:type="dxa"/>
            <w:shd w:val="clear" w:color="auto" w:fill="auto"/>
          </w:tcPr>
          <w:p w14:paraId="3030EA7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Gambia</w:t>
            </w:r>
          </w:p>
        </w:tc>
        <w:tc>
          <w:tcPr>
            <w:tcW w:w="851" w:type="dxa"/>
            <w:shd w:val="clear" w:color="auto" w:fill="auto"/>
            <w:vAlign w:val="bottom"/>
          </w:tcPr>
          <w:p w14:paraId="5FA0B05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1417" w:type="dxa"/>
            <w:shd w:val="clear" w:color="auto" w:fill="auto"/>
            <w:vAlign w:val="bottom"/>
          </w:tcPr>
          <w:p w14:paraId="329A389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17A1F7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51723C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3C45E9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F6C88E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53D0469" w14:textId="77777777" w:rsidTr="00812033">
        <w:trPr>
          <w:trHeight w:val="240"/>
        </w:trPr>
        <w:tc>
          <w:tcPr>
            <w:tcW w:w="1843" w:type="dxa"/>
            <w:shd w:val="clear" w:color="auto" w:fill="auto"/>
          </w:tcPr>
          <w:p w14:paraId="5A4C9EE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Ghana</w:t>
            </w:r>
          </w:p>
        </w:tc>
        <w:tc>
          <w:tcPr>
            <w:tcW w:w="851" w:type="dxa"/>
            <w:shd w:val="clear" w:color="auto" w:fill="auto"/>
            <w:vAlign w:val="bottom"/>
          </w:tcPr>
          <w:p w14:paraId="487899F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18</w:t>
            </w:r>
          </w:p>
        </w:tc>
        <w:tc>
          <w:tcPr>
            <w:tcW w:w="1417" w:type="dxa"/>
            <w:shd w:val="clear" w:color="auto" w:fill="auto"/>
            <w:vAlign w:val="bottom"/>
          </w:tcPr>
          <w:p w14:paraId="55B6C23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5F448D2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3E798E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6E10B2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275334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D2F8448" w14:textId="77777777" w:rsidTr="00812033">
        <w:trPr>
          <w:trHeight w:val="240"/>
        </w:trPr>
        <w:tc>
          <w:tcPr>
            <w:tcW w:w="1843" w:type="dxa"/>
            <w:shd w:val="clear" w:color="auto" w:fill="auto"/>
          </w:tcPr>
          <w:p w14:paraId="30DEECE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Guatemala</w:t>
            </w:r>
          </w:p>
        </w:tc>
        <w:tc>
          <w:tcPr>
            <w:tcW w:w="851" w:type="dxa"/>
            <w:shd w:val="clear" w:color="auto" w:fill="auto"/>
            <w:vAlign w:val="bottom"/>
          </w:tcPr>
          <w:p w14:paraId="73338C6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1B9DF22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55FBEE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52C4E2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FBE457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17CD62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114E5B7" w14:textId="77777777" w:rsidTr="00812033">
        <w:trPr>
          <w:trHeight w:val="240"/>
        </w:trPr>
        <w:tc>
          <w:tcPr>
            <w:tcW w:w="1843" w:type="dxa"/>
            <w:shd w:val="clear" w:color="auto" w:fill="auto"/>
          </w:tcPr>
          <w:p w14:paraId="32F2A54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lastRenderedPageBreak/>
              <w:t>Guinea</w:t>
            </w:r>
          </w:p>
        </w:tc>
        <w:tc>
          <w:tcPr>
            <w:tcW w:w="851" w:type="dxa"/>
            <w:shd w:val="clear" w:color="auto" w:fill="auto"/>
            <w:vAlign w:val="bottom"/>
          </w:tcPr>
          <w:p w14:paraId="21BAAC6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16</w:t>
            </w:r>
          </w:p>
        </w:tc>
        <w:tc>
          <w:tcPr>
            <w:tcW w:w="1417" w:type="dxa"/>
            <w:shd w:val="clear" w:color="auto" w:fill="auto"/>
            <w:vAlign w:val="bottom"/>
          </w:tcPr>
          <w:p w14:paraId="11755DB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5E99DF7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01EE73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C98328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5D6EB7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E283BE6" w14:textId="77777777" w:rsidTr="00812033">
        <w:trPr>
          <w:trHeight w:val="240"/>
        </w:trPr>
        <w:tc>
          <w:tcPr>
            <w:tcW w:w="1843" w:type="dxa"/>
            <w:shd w:val="clear" w:color="auto" w:fill="auto"/>
          </w:tcPr>
          <w:p w14:paraId="39BD6603"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Guinea-Bissau</w:t>
            </w:r>
          </w:p>
        </w:tc>
        <w:tc>
          <w:tcPr>
            <w:tcW w:w="851" w:type="dxa"/>
            <w:shd w:val="clear" w:color="auto" w:fill="auto"/>
            <w:vAlign w:val="bottom"/>
          </w:tcPr>
          <w:p w14:paraId="31FF545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2B53398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2D2415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722606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CD9448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626EB9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15DBB59" w14:textId="77777777" w:rsidTr="00812033">
        <w:trPr>
          <w:trHeight w:val="240"/>
        </w:trPr>
        <w:tc>
          <w:tcPr>
            <w:tcW w:w="1843" w:type="dxa"/>
            <w:shd w:val="clear" w:color="auto" w:fill="auto"/>
          </w:tcPr>
          <w:p w14:paraId="088EA3B3"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Hungría</w:t>
            </w:r>
          </w:p>
        </w:tc>
        <w:tc>
          <w:tcPr>
            <w:tcW w:w="851" w:type="dxa"/>
            <w:shd w:val="clear" w:color="auto" w:fill="auto"/>
            <w:vAlign w:val="bottom"/>
          </w:tcPr>
          <w:p w14:paraId="632AC5E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7AF6C10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6758E7E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8C5CDE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779053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38C9D0D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8B81B15" w14:textId="77777777" w:rsidTr="00812033">
        <w:trPr>
          <w:trHeight w:val="240"/>
        </w:trPr>
        <w:tc>
          <w:tcPr>
            <w:tcW w:w="1843" w:type="dxa"/>
            <w:shd w:val="clear" w:color="auto" w:fill="auto"/>
          </w:tcPr>
          <w:p w14:paraId="73E906B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India</w:t>
            </w:r>
          </w:p>
        </w:tc>
        <w:tc>
          <w:tcPr>
            <w:tcW w:w="851" w:type="dxa"/>
            <w:shd w:val="clear" w:color="auto" w:fill="auto"/>
            <w:vAlign w:val="bottom"/>
          </w:tcPr>
          <w:p w14:paraId="4DB496D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41</w:t>
            </w:r>
          </w:p>
        </w:tc>
        <w:tc>
          <w:tcPr>
            <w:tcW w:w="1417" w:type="dxa"/>
            <w:shd w:val="clear" w:color="auto" w:fill="auto"/>
            <w:vAlign w:val="bottom"/>
          </w:tcPr>
          <w:p w14:paraId="240AAA1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18</w:t>
            </w:r>
          </w:p>
        </w:tc>
        <w:tc>
          <w:tcPr>
            <w:tcW w:w="851" w:type="dxa"/>
            <w:shd w:val="clear" w:color="auto" w:fill="auto"/>
            <w:vAlign w:val="bottom"/>
          </w:tcPr>
          <w:p w14:paraId="482B155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7DF335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1" w:type="dxa"/>
            <w:shd w:val="clear" w:color="auto" w:fill="auto"/>
            <w:vAlign w:val="bottom"/>
          </w:tcPr>
          <w:p w14:paraId="08C0ED3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C5A213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r>
      <w:tr w:rsidR="00860A87" w:rsidRPr="00062B95" w14:paraId="61EDF437" w14:textId="77777777" w:rsidTr="00812033">
        <w:trPr>
          <w:trHeight w:val="240"/>
        </w:trPr>
        <w:tc>
          <w:tcPr>
            <w:tcW w:w="1843" w:type="dxa"/>
            <w:shd w:val="clear" w:color="auto" w:fill="auto"/>
          </w:tcPr>
          <w:p w14:paraId="29F3DD2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Indonesia</w:t>
            </w:r>
          </w:p>
        </w:tc>
        <w:tc>
          <w:tcPr>
            <w:tcW w:w="851" w:type="dxa"/>
            <w:shd w:val="clear" w:color="auto" w:fill="auto"/>
            <w:vAlign w:val="bottom"/>
          </w:tcPr>
          <w:p w14:paraId="0B7809E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19</w:t>
            </w:r>
          </w:p>
        </w:tc>
        <w:tc>
          <w:tcPr>
            <w:tcW w:w="1417" w:type="dxa"/>
            <w:shd w:val="clear" w:color="auto" w:fill="auto"/>
            <w:vAlign w:val="bottom"/>
          </w:tcPr>
          <w:p w14:paraId="172153A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74936BA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6970AF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51</w:t>
            </w:r>
          </w:p>
        </w:tc>
        <w:tc>
          <w:tcPr>
            <w:tcW w:w="851" w:type="dxa"/>
            <w:shd w:val="clear" w:color="auto" w:fill="auto"/>
            <w:vAlign w:val="bottom"/>
          </w:tcPr>
          <w:p w14:paraId="7B8D73D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CA1B01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6D9B397" w14:textId="77777777" w:rsidTr="00812033">
        <w:trPr>
          <w:trHeight w:val="240"/>
        </w:trPr>
        <w:tc>
          <w:tcPr>
            <w:tcW w:w="1843" w:type="dxa"/>
            <w:shd w:val="clear" w:color="auto" w:fill="auto"/>
          </w:tcPr>
          <w:p w14:paraId="00BEDE4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Irán</w:t>
            </w:r>
          </w:p>
        </w:tc>
        <w:tc>
          <w:tcPr>
            <w:tcW w:w="851" w:type="dxa"/>
            <w:shd w:val="clear" w:color="auto" w:fill="auto"/>
            <w:vAlign w:val="bottom"/>
          </w:tcPr>
          <w:p w14:paraId="35627D7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45</w:t>
            </w:r>
          </w:p>
        </w:tc>
        <w:tc>
          <w:tcPr>
            <w:tcW w:w="1417" w:type="dxa"/>
            <w:shd w:val="clear" w:color="auto" w:fill="auto"/>
            <w:vAlign w:val="bottom"/>
          </w:tcPr>
          <w:p w14:paraId="1E74547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w:t>
            </w:r>
          </w:p>
        </w:tc>
        <w:tc>
          <w:tcPr>
            <w:tcW w:w="851" w:type="dxa"/>
            <w:shd w:val="clear" w:color="auto" w:fill="auto"/>
            <w:vAlign w:val="bottom"/>
          </w:tcPr>
          <w:p w14:paraId="6FD91F7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797ED1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1A6F90A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50D35E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r>
      <w:tr w:rsidR="00860A87" w:rsidRPr="00062B95" w14:paraId="3FE48DC0" w14:textId="77777777" w:rsidTr="00812033">
        <w:trPr>
          <w:trHeight w:val="240"/>
        </w:trPr>
        <w:tc>
          <w:tcPr>
            <w:tcW w:w="1843" w:type="dxa"/>
            <w:shd w:val="clear" w:color="auto" w:fill="auto"/>
          </w:tcPr>
          <w:p w14:paraId="08CB6513"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Islandia</w:t>
            </w:r>
          </w:p>
        </w:tc>
        <w:tc>
          <w:tcPr>
            <w:tcW w:w="851" w:type="dxa"/>
            <w:shd w:val="clear" w:color="auto" w:fill="auto"/>
            <w:vAlign w:val="bottom"/>
          </w:tcPr>
          <w:p w14:paraId="7DF14CB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2D19C96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515026B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AE94FF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3AC526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4E2E7D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1279991" w14:textId="77777777" w:rsidTr="00812033">
        <w:trPr>
          <w:trHeight w:val="240"/>
        </w:trPr>
        <w:tc>
          <w:tcPr>
            <w:tcW w:w="1843" w:type="dxa"/>
            <w:shd w:val="clear" w:color="auto" w:fill="auto"/>
          </w:tcPr>
          <w:p w14:paraId="3E1EE19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Israel</w:t>
            </w:r>
          </w:p>
        </w:tc>
        <w:tc>
          <w:tcPr>
            <w:tcW w:w="851" w:type="dxa"/>
            <w:shd w:val="clear" w:color="auto" w:fill="auto"/>
            <w:vAlign w:val="bottom"/>
          </w:tcPr>
          <w:p w14:paraId="41C0DB0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w:t>
            </w:r>
          </w:p>
        </w:tc>
        <w:tc>
          <w:tcPr>
            <w:tcW w:w="1417" w:type="dxa"/>
            <w:shd w:val="clear" w:color="auto" w:fill="auto"/>
            <w:vAlign w:val="bottom"/>
          </w:tcPr>
          <w:p w14:paraId="1E9EB95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A3806E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26CD74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48AB99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8FDF18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81AB73D" w14:textId="77777777" w:rsidTr="00812033">
        <w:trPr>
          <w:trHeight w:val="240"/>
        </w:trPr>
        <w:tc>
          <w:tcPr>
            <w:tcW w:w="1843" w:type="dxa"/>
            <w:shd w:val="clear" w:color="auto" w:fill="auto"/>
          </w:tcPr>
          <w:p w14:paraId="073B1B2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Italia</w:t>
            </w:r>
          </w:p>
        </w:tc>
        <w:tc>
          <w:tcPr>
            <w:tcW w:w="851" w:type="dxa"/>
            <w:shd w:val="clear" w:color="auto" w:fill="auto"/>
            <w:vAlign w:val="bottom"/>
          </w:tcPr>
          <w:p w14:paraId="018C977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1417" w:type="dxa"/>
            <w:shd w:val="clear" w:color="auto" w:fill="auto"/>
            <w:vAlign w:val="bottom"/>
          </w:tcPr>
          <w:p w14:paraId="099B2E8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154044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F33D41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25D625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391B6B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C2A7B03" w14:textId="77777777" w:rsidTr="00812033">
        <w:trPr>
          <w:trHeight w:val="240"/>
        </w:trPr>
        <w:tc>
          <w:tcPr>
            <w:tcW w:w="1843" w:type="dxa"/>
            <w:shd w:val="clear" w:color="auto" w:fill="auto"/>
          </w:tcPr>
          <w:p w14:paraId="03F45A3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Japón</w:t>
            </w:r>
          </w:p>
        </w:tc>
        <w:tc>
          <w:tcPr>
            <w:tcW w:w="851" w:type="dxa"/>
            <w:shd w:val="clear" w:color="auto" w:fill="auto"/>
            <w:vAlign w:val="bottom"/>
          </w:tcPr>
          <w:p w14:paraId="50355BD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17</w:t>
            </w:r>
          </w:p>
        </w:tc>
        <w:tc>
          <w:tcPr>
            <w:tcW w:w="1417" w:type="dxa"/>
            <w:shd w:val="clear" w:color="auto" w:fill="auto"/>
            <w:vAlign w:val="bottom"/>
          </w:tcPr>
          <w:p w14:paraId="2A108CD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851" w:type="dxa"/>
            <w:shd w:val="clear" w:color="auto" w:fill="auto"/>
            <w:vAlign w:val="bottom"/>
          </w:tcPr>
          <w:p w14:paraId="57F6D54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360530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15E8F7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3B259C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0A47782" w14:textId="77777777" w:rsidTr="00812033">
        <w:trPr>
          <w:trHeight w:val="240"/>
        </w:trPr>
        <w:tc>
          <w:tcPr>
            <w:tcW w:w="1843" w:type="dxa"/>
            <w:shd w:val="clear" w:color="auto" w:fill="auto"/>
          </w:tcPr>
          <w:p w14:paraId="24BDEE9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Jordania</w:t>
            </w:r>
          </w:p>
        </w:tc>
        <w:tc>
          <w:tcPr>
            <w:tcW w:w="851" w:type="dxa"/>
            <w:shd w:val="clear" w:color="auto" w:fill="auto"/>
            <w:vAlign w:val="bottom"/>
          </w:tcPr>
          <w:p w14:paraId="2577022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619A703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7CCF532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8B5FE5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8EA731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54D46D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DA1A5F7" w14:textId="77777777" w:rsidTr="00812033">
        <w:trPr>
          <w:trHeight w:val="240"/>
        </w:trPr>
        <w:tc>
          <w:tcPr>
            <w:tcW w:w="1843" w:type="dxa"/>
            <w:shd w:val="clear" w:color="auto" w:fill="auto"/>
          </w:tcPr>
          <w:p w14:paraId="50898D4B"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Kazajstán</w:t>
            </w:r>
          </w:p>
        </w:tc>
        <w:tc>
          <w:tcPr>
            <w:tcW w:w="851" w:type="dxa"/>
            <w:shd w:val="clear" w:color="auto" w:fill="auto"/>
            <w:vAlign w:val="bottom"/>
          </w:tcPr>
          <w:p w14:paraId="47FE52A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02B4E94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165BC6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6FAA2E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8493C4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C9A7C5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E8D2244" w14:textId="77777777" w:rsidTr="00812033">
        <w:trPr>
          <w:trHeight w:val="240"/>
        </w:trPr>
        <w:tc>
          <w:tcPr>
            <w:tcW w:w="1843" w:type="dxa"/>
            <w:shd w:val="clear" w:color="auto" w:fill="auto"/>
          </w:tcPr>
          <w:p w14:paraId="3D68FF2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Kenya</w:t>
            </w:r>
          </w:p>
        </w:tc>
        <w:tc>
          <w:tcPr>
            <w:tcW w:w="851" w:type="dxa"/>
            <w:shd w:val="clear" w:color="auto" w:fill="auto"/>
            <w:vAlign w:val="bottom"/>
          </w:tcPr>
          <w:p w14:paraId="001034F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17</w:t>
            </w:r>
          </w:p>
        </w:tc>
        <w:tc>
          <w:tcPr>
            <w:tcW w:w="1417" w:type="dxa"/>
            <w:shd w:val="clear" w:color="auto" w:fill="auto"/>
            <w:vAlign w:val="bottom"/>
          </w:tcPr>
          <w:p w14:paraId="08CD708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4C62C1B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3AF36D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3D87D5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34CA61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62F20EBA" w14:textId="77777777" w:rsidTr="00812033">
        <w:trPr>
          <w:trHeight w:val="240"/>
        </w:trPr>
        <w:tc>
          <w:tcPr>
            <w:tcW w:w="1843" w:type="dxa"/>
            <w:shd w:val="clear" w:color="auto" w:fill="auto"/>
          </w:tcPr>
          <w:p w14:paraId="476856FB"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Kuwait</w:t>
            </w:r>
          </w:p>
        </w:tc>
        <w:tc>
          <w:tcPr>
            <w:tcW w:w="851" w:type="dxa"/>
            <w:shd w:val="clear" w:color="auto" w:fill="auto"/>
            <w:vAlign w:val="bottom"/>
          </w:tcPr>
          <w:p w14:paraId="08DDB19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3BF23EC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5760159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C2A0B6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403CFA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140EDD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B1A02C2" w14:textId="77777777" w:rsidTr="00812033">
        <w:trPr>
          <w:trHeight w:val="240"/>
        </w:trPr>
        <w:tc>
          <w:tcPr>
            <w:tcW w:w="1843" w:type="dxa"/>
            <w:shd w:val="clear" w:color="auto" w:fill="auto"/>
          </w:tcPr>
          <w:p w14:paraId="7B2BCE8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Lesotho</w:t>
            </w:r>
          </w:p>
        </w:tc>
        <w:tc>
          <w:tcPr>
            <w:tcW w:w="851" w:type="dxa"/>
            <w:shd w:val="clear" w:color="auto" w:fill="auto"/>
            <w:vAlign w:val="bottom"/>
          </w:tcPr>
          <w:p w14:paraId="5A9E425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1417" w:type="dxa"/>
            <w:shd w:val="clear" w:color="auto" w:fill="auto"/>
            <w:vAlign w:val="bottom"/>
          </w:tcPr>
          <w:p w14:paraId="0464F4C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00F4DF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62E9DC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56792B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175466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75F9F20" w14:textId="77777777" w:rsidTr="00812033">
        <w:trPr>
          <w:trHeight w:val="240"/>
        </w:trPr>
        <w:tc>
          <w:tcPr>
            <w:tcW w:w="1843" w:type="dxa"/>
            <w:shd w:val="clear" w:color="auto" w:fill="auto"/>
          </w:tcPr>
          <w:p w14:paraId="7FE88831"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Liberia</w:t>
            </w:r>
          </w:p>
        </w:tc>
        <w:tc>
          <w:tcPr>
            <w:tcW w:w="851" w:type="dxa"/>
            <w:shd w:val="clear" w:color="auto" w:fill="auto"/>
            <w:vAlign w:val="bottom"/>
          </w:tcPr>
          <w:p w14:paraId="16BDC29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08DEE39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69CEBFD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BA1C79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871A4D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ACDE1E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6D5082B" w14:textId="77777777" w:rsidTr="00812033">
        <w:trPr>
          <w:trHeight w:val="240"/>
        </w:trPr>
        <w:tc>
          <w:tcPr>
            <w:tcW w:w="1843" w:type="dxa"/>
            <w:shd w:val="clear" w:color="auto" w:fill="auto"/>
          </w:tcPr>
          <w:p w14:paraId="0A686A6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Luxemburgo</w:t>
            </w:r>
          </w:p>
        </w:tc>
        <w:tc>
          <w:tcPr>
            <w:tcW w:w="851" w:type="dxa"/>
            <w:shd w:val="clear" w:color="auto" w:fill="auto"/>
            <w:vAlign w:val="bottom"/>
          </w:tcPr>
          <w:p w14:paraId="62C72B8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0DDE2E7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FA9633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04F587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F00DAB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ED46FE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29DC779" w14:textId="77777777" w:rsidTr="00812033">
        <w:trPr>
          <w:trHeight w:val="240"/>
        </w:trPr>
        <w:tc>
          <w:tcPr>
            <w:tcW w:w="1843" w:type="dxa"/>
            <w:shd w:val="clear" w:color="auto" w:fill="auto"/>
          </w:tcPr>
          <w:p w14:paraId="45A7360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Malasia</w:t>
            </w:r>
          </w:p>
        </w:tc>
        <w:tc>
          <w:tcPr>
            <w:tcW w:w="851" w:type="dxa"/>
            <w:shd w:val="clear" w:color="auto" w:fill="auto"/>
            <w:vAlign w:val="bottom"/>
          </w:tcPr>
          <w:p w14:paraId="3ACFC32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335</w:t>
            </w:r>
          </w:p>
        </w:tc>
        <w:tc>
          <w:tcPr>
            <w:tcW w:w="1417" w:type="dxa"/>
            <w:shd w:val="clear" w:color="auto" w:fill="auto"/>
            <w:vAlign w:val="bottom"/>
          </w:tcPr>
          <w:p w14:paraId="4F7E22C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37</w:t>
            </w:r>
          </w:p>
        </w:tc>
        <w:tc>
          <w:tcPr>
            <w:tcW w:w="851" w:type="dxa"/>
            <w:shd w:val="clear" w:color="auto" w:fill="auto"/>
            <w:vAlign w:val="bottom"/>
          </w:tcPr>
          <w:p w14:paraId="350A13C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EA6669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851" w:type="dxa"/>
            <w:shd w:val="clear" w:color="auto" w:fill="auto"/>
            <w:vAlign w:val="bottom"/>
          </w:tcPr>
          <w:p w14:paraId="30BA241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006740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055BC71" w14:textId="77777777" w:rsidTr="00812033">
        <w:trPr>
          <w:trHeight w:val="240"/>
        </w:trPr>
        <w:tc>
          <w:tcPr>
            <w:tcW w:w="1843" w:type="dxa"/>
            <w:shd w:val="clear" w:color="auto" w:fill="auto"/>
          </w:tcPr>
          <w:p w14:paraId="39FA36E9"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Maldivas</w:t>
            </w:r>
          </w:p>
        </w:tc>
        <w:tc>
          <w:tcPr>
            <w:tcW w:w="851" w:type="dxa"/>
            <w:shd w:val="clear" w:color="auto" w:fill="auto"/>
            <w:vAlign w:val="bottom"/>
          </w:tcPr>
          <w:p w14:paraId="4F196D3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1D7F0E3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2E51929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A71D50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C05E7B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996916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6CA9526D" w14:textId="77777777" w:rsidTr="00812033">
        <w:trPr>
          <w:trHeight w:val="240"/>
        </w:trPr>
        <w:tc>
          <w:tcPr>
            <w:tcW w:w="1843" w:type="dxa"/>
            <w:shd w:val="clear" w:color="auto" w:fill="auto"/>
          </w:tcPr>
          <w:p w14:paraId="342B1D9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Marruecos</w:t>
            </w:r>
          </w:p>
        </w:tc>
        <w:tc>
          <w:tcPr>
            <w:tcW w:w="851" w:type="dxa"/>
            <w:shd w:val="clear" w:color="auto" w:fill="auto"/>
            <w:vAlign w:val="bottom"/>
          </w:tcPr>
          <w:p w14:paraId="751AB17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1C18433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69D71BA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C4C8F8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02A771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828B4B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6A64C12A" w14:textId="77777777" w:rsidTr="00812033">
        <w:trPr>
          <w:trHeight w:val="240"/>
        </w:trPr>
        <w:tc>
          <w:tcPr>
            <w:tcW w:w="1843" w:type="dxa"/>
            <w:shd w:val="clear" w:color="auto" w:fill="auto"/>
          </w:tcPr>
          <w:p w14:paraId="36CC1529"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Moldavia</w:t>
            </w:r>
          </w:p>
        </w:tc>
        <w:tc>
          <w:tcPr>
            <w:tcW w:w="851" w:type="dxa"/>
            <w:shd w:val="clear" w:color="auto" w:fill="auto"/>
            <w:vAlign w:val="bottom"/>
          </w:tcPr>
          <w:p w14:paraId="4E549F9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1F7B013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CEAEFB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BFA99D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7EDAC7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3FD605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r>
      <w:tr w:rsidR="00860A87" w:rsidRPr="00062B95" w14:paraId="6ABAAE00" w14:textId="77777777" w:rsidTr="00812033">
        <w:trPr>
          <w:trHeight w:val="240"/>
        </w:trPr>
        <w:tc>
          <w:tcPr>
            <w:tcW w:w="1843" w:type="dxa"/>
            <w:shd w:val="clear" w:color="auto" w:fill="auto"/>
          </w:tcPr>
          <w:p w14:paraId="36535BE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Mongolia</w:t>
            </w:r>
          </w:p>
        </w:tc>
        <w:tc>
          <w:tcPr>
            <w:tcW w:w="851" w:type="dxa"/>
            <w:shd w:val="clear" w:color="auto" w:fill="auto"/>
            <w:vAlign w:val="bottom"/>
          </w:tcPr>
          <w:p w14:paraId="36F85E4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w:t>
            </w:r>
          </w:p>
        </w:tc>
        <w:tc>
          <w:tcPr>
            <w:tcW w:w="1417" w:type="dxa"/>
            <w:shd w:val="clear" w:color="auto" w:fill="auto"/>
            <w:vAlign w:val="bottom"/>
          </w:tcPr>
          <w:p w14:paraId="714531E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0697D3D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9A6BB0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C6269F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68801D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54408F5" w14:textId="77777777" w:rsidTr="00812033">
        <w:trPr>
          <w:trHeight w:val="240"/>
        </w:trPr>
        <w:tc>
          <w:tcPr>
            <w:tcW w:w="1843" w:type="dxa"/>
            <w:shd w:val="clear" w:color="auto" w:fill="auto"/>
          </w:tcPr>
          <w:p w14:paraId="16B2389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Montenegro</w:t>
            </w:r>
          </w:p>
        </w:tc>
        <w:tc>
          <w:tcPr>
            <w:tcW w:w="851" w:type="dxa"/>
            <w:shd w:val="clear" w:color="auto" w:fill="auto"/>
            <w:vAlign w:val="bottom"/>
          </w:tcPr>
          <w:p w14:paraId="4E32366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775EBC3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0866F11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03C66F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846B02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AE0986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67F4CCB0" w14:textId="77777777" w:rsidTr="00812033">
        <w:trPr>
          <w:trHeight w:val="240"/>
        </w:trPr>
        <w:tc>
          <w:tcPr>
            <w:tcW w:w="1843" w:type="dxa"/>
            <w:shd w:val="clear" w:color="auto" w:fill="auto"/>
          </w:tcPr>
          <w:p w14:paraId="1E184871"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Mozambique</w:t>
            </w:r>
          </w:p>
        </w:tc>
        <w:tc>
          <w:tcPr>
            <w:tcW w:w="851" w:type="dxa"/>
            <w:shd w:val="clear" w:color="auto" w:fill="auto"/>
            <w:vAlign w:val="bottom"/>
          </w:tcPr>
          <w:p w14:paraId="249FDBB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1417" w:type="dxa"/>
            <w:shd w:val="clear" w:color="auto" w:fill="auto"/>
            <w:vAlign w:val="bottom"/>
          </w:tcPr>
          <w:p w14:paraId="23BBB11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7285F4D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80E66A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B859F7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044516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2CE0CDD" w14:textId="77777777" w:rsidTr="00812033">
        <w:trPr>
          <w:trHeight w:val="240"/>
        </w:trPr>
        <w:tc>
          <w:tcPr>
            <w:tcW w:w="1843" w:type="dxa"/>
            <w:shd w:val="clear" w:color="auto" w:fill="auto"/>
          </w:tcPr>
          <w:p w14:paraId="355D7313"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Myanmar</w:t>
            </w:r>
          </w:p>
        </w:tc>
        <w:tc>
          <w:tcPr>
            <w:tcW w:w="851" w:type="dxa"/>
            <w:shd w:val="clear" w:color="auto" w:fill="auto"/>
            <w:vAlign w:val="bottom"/>
          </w:tcPr>
          <w:p w14:paraId="5D14726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4 231</w:t>
            </w:r>
          </w:p>
        </w:tc>
        <w:tc>
          <w:tcPr>
            <w:tcW w:w="1417" w:type="dxa"/>
            <w:shd w:val="clear" w:color="auto" w:fill="auto"/>
            <w:vAlign w:val="bottom"/>
          </w:tcPr>
          <w:p w14:paraId="74758C5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cs/>
                <w:lang w:bidi="th-TH"/>
              </w:rPr>
            </w:pPr>
            <w:r w:rsidRPr="00062B95">
              <w:rPr>
                <w:sz w:val="18"/>
                <w:lang w:val="es-ES_tradnl"/>
              </w:rPr>
              <w:t>1 201</w:t>
            </w:r>
          </w:p>
        </w:tc>
        <w:tc>
          <w:tcPr>
            <w:tcW w:w="851" w:type="dxa"/>
            <w:shd w:val="clear" w:color="auto" w:fill="auto"/>
            <w:vAlign w:val="bottom"/>
          </w:tcPr>
          <w:p w14:paraId="5C96DFC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0" w:type="dxa"/>
            <w:shd w:val="clear" w:color="auto" w:fill="auto"/>
            <w:vAlign w:val="bottom"/>
          </w:tcPr>
          <w:p w14:paraId="2313588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123</w:t>
            </w:r>
          </w:p>
        </w:tc>
        <w:tc>
          <w:tcPr>
            <w:tcW w:w="851" w:type="dxa"/>
            <w:shd w:val="clear" w:color="auto" w:fill="auto"/>
            <w:vAlign w:val="bottom"/>
          </w:tcPr>
          <w:p w14:paraId="3837928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707" w:type="dxa"/>
            <w:shd w:val="clear" w:color="auto" w:fill="auto"/>
            <w:vAlign w:val="bottom"/>
          </w:tcPr>
          <w:p w14:paraId="46FCFEF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74</w:t>
            </w:r>
          </w:p>
        </w:tc>
      </w:tr>
      <w:tr w:rsidR="00860A87" w:rsidRPr="00062B95" w14:paraId="409516A8" w14:textId="77777777" w:rsidTr="00812033">
        <w:trPr>
          <w:trHeight w:val="240"/>
        </w:trPr>
        <w:tc>
          <w:tcPr>
            <w:tcW w:w="1843" w:type="dxa"/>
            <w:shd w:val="clear" w:color="auto" w:fill="auto"/>
          </w:tcPr>
          <w:p w14:paraId="65D070E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Nacionalidad desconocida</w:t>
            </w:r>
          </w:p>
        </w:tc>
        <w:tc>
          <w:tcPr>
            <w:tcW w:w="851" w:type="dxa"/>
            <w:shd w:val="clear" w:color="auto" w:fill="auto"/>
            <w:vAlign w:val="bottom"/>
          </w:tcPr>
          <w:p w14:paraId="0887EFB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965</w:t>
            </w:r>
          </w:p>
        </w:tc>
        <w:tc>
          <w:tcPr>
            <w:tcW w:w="1417" w:type="dxa"/>
            <w:shd w:val="clear" w:color="auto" w:fill="auto"/>
            <w:vAlign w:val="bottom"/>
          </w:tcPr>
          <w:p w14:paraId="6203EFE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133</w:t>
            </w:r>
          </w:p>
        </w:tc>
        <w:tc>
          <w:tcPr>
            <w:tcW w:w="851" w:type="dxa"/>
            <w:shd w:val="clear" w:color="auto" w:fill="auto"/>
            <w:vAlign w:val="bottom"/>
          </w:tcPr>
          <w:p w14:paraId="4C1697F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9D13AB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851" w:type="dxa"/>
            <w:shd w:val="clear" w:color="auto" w:fill="auto"/>
            <w:vAlign w:val="bottom"/>
          </w:tcPr>
          <w:p w14:paraId="0AC68A1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DABBD9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4C1E379" w14:textId="77777777" w:rsidTr="00812033">
        <w:trPr>
          <w:trHeight w:val="240"/>
        </w:trPr>
        <w:tc>
          <w:tcPr>
            <w:tcW w:w="1843" w:type="dxa"/>
            <w:shd w:val="clear" w:color="auto" w:fill="auto"/>
          </w:tcPr>
          <w:p w14:paraId="32930BE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Namibia</w:t>
            </w:r>
          </w:p>
        </w:tc>
        <w:tc>
          <w:tcPr>
            <w:tcW w:w="851" w:type="dxa"/>
            <w:shd w:val="clear" w:color="auto" w:fill="auto"/>
            <w:vAlign w:val="bottom"/>
          </w:tcPr>
          <w:p w14:paraId="4E3CE48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1117E4B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CACFF0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3C0167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B29CCA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D9D408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D4DEF8F" w14:textId="77777777" w:rsidTr="00812033">
        <w:trPr>
          <w:trHeight w:val="240"/>
        </w:trPr>
        <w:tc>
          <w:tcPr>
            <w:tcW w:w="1843" w:type="dxa"/>
            <w:shd w:val="clear" w:color="auto" w:fill="auto"/>
          </w:tcPr>
          <w:p w14:paraId="6D405DD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cs/>
                <w:lang w:bidi="th-TH"/>
              </w:rPr>
            </w:pPr>
            <w:r w:rsidRPr="00062B95">
              <w:rPr>
                <w:sz w:val="18"/>
                <w:lang w:val="es-ES_tradnl"/>
              </w:rPr>
              <w:t>Nepal</w:t>
            </w:r>
          </w:p>
        </w:tc>
        <w:tc>
          <w:tcPr>
            <w:tcW w:w="851" w:type="dxa"/>
            <w:shd w:val="clear" w:color="auto" w:fill="auto"/>
            <w:vAlign w:val="bottom"/>
          </w:tcPr>
          <w:p w14:paraId="595BF1F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35</w:t>
            </w:r>
          </w:p>
        </w:tc>
        <w:tc>
          <w:tcPr>
            <w:tcW w:w="1417" w:type="dxa"/>
            <w:shd w:val="clear" w:color="auto" w:fill="auto"/>
            <w:vAlign w:val="bottom"/>
          </w:tcPr>
          <w:p w14:paraId="375F79D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1" w:type="dxa"/>
            <w:shd w:val="clear" w:color="auto" w:fill="auto"/>
            <w:vAlign w:val="bottom"/>
          </w:tcPr>
          <w:p w14:paraId="64D0E08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C435FB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FBB7E7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6EF81A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ED4870B" w14:textId="77777777" w:rsidTr="00812033">
        <w:trPr>
          <w:trHeight w:val="240"/>
        </w:trPr>
        <w:tc>
          <w:tcPr>
            <w:tcW w:w="1843" w:type="dxa"/>
            <w:shd w:val="clear" w:color="auto" w:fill="auto"/>
          </w:tcPr>
          <w:p w14:paraId="71EC1F8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Níger</w:t>
            </w:r>
          </w:p>
        </w:tc>
        <w:tc>
          <w:tcPr>
            <w:tcW w:w="851" w:type="dxa"/>
            <w:shd w:val="clear" w:color="auto" w:fill="auto"/>
            <w:vAlign w:val="bottom"/>
          </w:tcPr>
          <w:p w14:paraId="0A81A0E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2A06C6A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1002E3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EF8DDB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C5FE15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553E71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9F45A8E" w14:textId="77777777" w:rsidTr="00812033">
        <w:trPr>
          <w:trHeight w:val="240"/>
        </w:trPr>
        <w:tc>
          <w:tcPr>
            <w:tcW w:w="1843" w:type="dxa"/>
            <w:shd w:val="clear" w:color="auto" w:fill="auto"/>
          </w:tcPr>
          <w:p w14:paraId="0A4D5AE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Nigeria</w:t>
            </w:r>
          </w:p>
        </w:tc>
        <w:tc>
          <w:tcPr>
            <w:tcW w:w="851" w:type="dxa"/>
            <w:shd w:val="clear" w:color="auto" w:fill="auto"/>
            <w:vAlign w:val="bottom"/>
          </w:tcPr>
          <w:p w14:paraId="54A4582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347</w:t>
            </w:r>
          </w:p>
        </w:tc>
        <w:tc>
          <w:tcPr>
            <w:tcW w:w="1417" w:type="dxa"/>
            <w:shd w:val="clear" w:color="auto" w:fill="auto"/>
            <w:vAlign w:val="bottom"/>
          </w:tcPr>
          <w:p w14:paraId="3FD7D2E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40</w:t>
            </w:r>
          </w:p>
        </w:tc>
        <w:tc>
          <w:tcPr>
            <w:tcW w:w="851" w:type="dxa"/>
            <w:shd w:val="clear" w:color="auto" w:fill="auto"/>
            <w:vAlign w:val="bottom"/>
          </w:tcPr>
          <w:p w14:paraId="55C1A00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024554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CE7610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381144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r>
      <w:tr w:rsidR="00860A87" w:rsidRPr="00062B95" w14:paraId="5DE1ED08" w14:textId="77777777" w:rsidTr="00812033">
        <w:trPr>
          <w:trHeight w:val="240"/>
        </w:trPr>
        <w:tc>
          <w:tcPr>
            <w:tcW w:w="1843" w:type="dxa"/>
            <w:shd w:val="clear" w:color="auto" w:fill="auto"/>
          </w:tcPr>
          <w:p w14:paraId="1E42B199"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Noruega</w:t>
            </w:r>
          </w:p>
        </w:tc>
        <w:tc>
          <w:tcPr>
            <w:tcW w:w="851" w:type="dxa"/>
            <w:shd w:val="clear" w:color="auto" w:fill="auto"/>
            <w:vAlign w:val="bottom"/>
          </w:tcPr>
          <w:p w14:paraId="7FA3F8A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1417" w:type="dxa"/>
            <w:shd w:val="clear" w:color="auto" w:fill="auto"/>
            <w:vAlign w:val="bottom"/>
          </w:tcPr>
          <w:p w14:paraId="508744D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068113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3695E8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C5BF1C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E563FF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E14F1BD" w14:textId="77777777" w:rsidTr="00812033">
        <w:trPr>
          <w:trHeight w:val="240"/>
        </w:trPr>
        <w:tc>
          <w:tcPr>
            <w:tcW w:w="1843" w:type="dxa"/>
            <w:shd w:val="clear" w:color="auto" w:fill="auto"/>
          </w:tcPr>
          <w:p w14:paraId="3F4F2C1D"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Nueva Zelandia</w:t>
            </w:r>
          </w:p>
        </w:tc>
        <w:tc>
          <w:tcPr>
            <w:tcW w:w="851" w:type="dxa"/>
            <w:shd w:val="clear" w:color="auto" w:fill="auto"/>
            <w:vAlign w:val="bottom"/>
          </w:tcPr>
          <w:p w14:paraId="5B5C371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1417" w:type="dxa"/>
            <w:shd w:val="clear" w:color="auto" w:fill="auto"/>
            <w:vAlign w:val="bottom"/>
          </w:tcPr>
          <w:p w14:paraId="7BB95B8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10F9D19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AE97B1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A2341B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59E1EE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3184625" w14:textId="77777777" w:rsidTr="00812033">
        <w:trPr>
          <w:trHeight w:val="240"/>
        </w:trPr>
        <w:tc>
          <w:tcPr>
            <w:tcW w:w="1843" w:type="dxa"/>
            <w:shd w:val="clear" w:color="auto" w:fill="auto"/>
          </w:tcPr>
          <w:p w14:paraId="648ACDB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Omán</w:t>
            </w:r>
          </w:p>
        </w:tc>
        <w:tc>
          <w:tcPr>
            <w:tcW w:w="851" w:type="dxa"/>
            <w:shd w:val="clear" w:color="auto" w:fill="auto"/>
            <w:vAlign w:val="bottom"/>
          </w:tcPr>
          <w:p w14:paraId="3C03524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667760D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CCB71D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3DB65D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2DE413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379CF7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6A8A2076" w14:textId="77777777" w:rsidTr="00812033">
        <w:trPr>
          <w:trHeight w:val="240"/>
        </w:trPr>
        <w:tc>
          <w:tcPr>
            <w:tcW w:w="1843" w:type="dxa"/>
            <w:shd w:val="clear" w:color="auto" w:fill="auto"/>
          </w:tcPr>
          <w:p w14:paraId="6547CB56"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Países Bajos</w:t>
            </w:r>
          </w:p>
        </w:tc>
        <w:tc>
          <w:tcPr>
            <w:tcW w:w="851" w:type="dxa"/>
            <w:shd w:val="clear" w:color="auto" w:fill="auto"/>
            <w:vAlign w:val="bottom"/>
          </w:tcPr>
          <w:p w14:paraId="0E50908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w:t>
            </w:r>
          </w:p>
        </w:tc>
        <w:tc>
          <w:tcPr>
            <w:tcW w:w="1417" w:type="dxa"/>
            <w:shd w:val="clear" w:color="auto" w:fill="auto"/>
            <w:vAlign w:val="bottom"/>
          </w:tcPr>
          <w:p w14:paraId="43C5BFF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1" w:type="dxa"/>
            <w:shd w:val="clear" w:color="auto" w:fill="auto"/>
            <w:vAlign w:val="bottom"/>
          </w:tcPr>
          <w:p w14:paraId="1463668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460975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89BBA9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95199E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71E7E49" w14:textId="77777777" w:rsidTr="00812033">
        <w:trPr>
          <w:trHeight w:val="240"/>
        </w:trPr>
        <w:tc>
          <w:tcPr>
            <w:tcW w:w="1843" w:type="dxa"/>
            <w:shd w:val="clear" w:color="auto" w:fill="auto"/>
          </w:tcPr>
          <w:p w14:paraId="500C3E23"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Pakistán</w:t>
            </w:r>
          </w:p>
        </w:tc>
        <w:tc>
          <w:tcPr>
            <w:tcW w:w="851" w:type="dxa"/>
            <w:shd w:val="clear" w:color="auto" w:fill="auto"/>
            <w:vAlign w:val="bottom"/>
          </w:tcPr>
          <w:p w14:paraId="00B8947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53</w:t>
            </w:r>
          </w:p>
        </w:tc>
        <w:tc>
          <w:tcPr>
            <w:tcW w:w="1417" w:type="dxa"/>
            <w:shd w:val="clear" w:color="auto" w:fill="auto"/>
            <w:vAlign w:val="bottom"/>
          </w:tcPr>
          <w:p w14:paraId="442370B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w:t>
            </w:r>
          </w:p>
        </w:tc>
        <w:tc>
          <w:tcPr>
            <w:tcW w:w="851" w:type="dxa"/>
            <w:shd w:val="clear" w:color="auto" w:fill="auto"/>
            <w:vAlign w:val="bottom"/>
          </w:tcPr>
          <w:p w14:paraId="1EA8092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F73047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A7F1C0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963075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4E814A5" w14:textId="77777777" w:rsidTr="00812033">
        <w:trPr>
          <w:trHeight w:val="240"/>
        </w:trPr>
        <w:tc>
          <w:tcPr>
            <w:tcW w:w="1843" w:type="dxa"/>
            <w:shd w:val="clear" w:color="auto" w:fill="auto"/>
          </w:tcPr>
          <w:p w14:paraId="47DF87E4"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Paraguay</w:t>
            </w:r>
          </w:p>
        </w:tc>
        <w:tc>
          <w:tcPr>
            <w:tcW w:w="851" w:type="dxa"/>
            <w:shd w:val="clear" w:color="auto" w:fill="auto"/>
            <w:vAlign w:val="bottom"/>
          </w:tcPr>
          <w:p w14:paraId="656D19B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2580137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D77867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D6F1D1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ABCA1C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1960FC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C4F5D1C" w14:textId="77777777" w:rsidTr="00812033">
        <w:trPr>
          <w:trHeight w:val="240"/>
        </w:trPr>
        <w:tc>
          <w:tcPr>
            <w:tcW w:w="1843" w:type="dxa"/>
            <w:shd w:val="clear" w:color="auto" w:fill="auto"/>
          </w:tcPr>
          <w:p w14:paraId="566CBF21"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Perú</w:t>
            </w:r>
          </w:p>
        </w:tc>
        <w:tc>
          <w:tcPr>
            <w:tcW w:w="851" w:type="dxa"/>
            <w:shd w:val="clear" w:color="auto" w:fill="auto"/>
            <w:vAlign w:val="bottom"/>
          </w:tcPr>
          <w:p w14:paraId="24ED2FE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1417" w:type="dxa"/>
            <w:shd w:val="clear" w:color="auto" w:fill="auto"/>
            <w:vAlign w:val="bottom"/>
          </w:tcPr>
          <w:p w14:paraId="3A528AE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BA69FC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24D289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51A9CF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903A7F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575821A" w14:textId="77777777" w:rsidTr="00812033">
        <w:trPr>
          <w:trHeight w:val="240"/>
        </w:trPr>
        <w:tc>
          <w:tcPr>
            <w:tcW w:w="1843" w:type="dxa"/>
            <w:shd w:val="clear" w:color="auto" w:fill="auto"/>
          </w:tcPr>
          <w:p w14:paraId="0BB3E5B9"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Polonia</w:t>
            </w:r>
          </w:p>
        </w:tc>
        <w:tc>
          <w:tcPr>
            <w:tcW w:w="851" w:type="dxa"/>
            <w:shd w:val="clear" w:color="auto" w:fill="auto"/>
            <w:vAlign w:val="bottom"/>
          </w:tcPr>
          <w:p w14:paraId="0F80A91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1417" w:type="dxa"/>
            <w:shd w:val="clear" w:color="auto" w:fill="auto"/>
            <w:vAlign w:val="bottom"/>
          </w:tcPr>
          <w:p w14:paraId="55E3009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009A6DA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F6DA6D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6CA653A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3E4394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r>
      <w:tr w:rsidR="00860A87" w:rsidRPr="00062B95" w14:paraId="397870A0" w14:textId="77777777" w:rsidTr="00812033">
        <w:trPr>
          <w:trHeight w:val="240"/>
        </w:trPr>
        <w:tc>
          <w:tcPr>
            <w:tcW w:w="1843" w:type="dxa"/>
            <w:shd w:val="clear" w:color="auto" w:fill="auto"/>
          </w:tcPr>
          <w:p w14:paraId="280CF33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Portugal</w:t>
            </w:r>
          </w:p>
        </w:tc>
        <w:tc>
          <w:tcPr>
            <w:tcW w:w="851" w:type="dxa"/>
            <w:shd w:val="clear" w:color="auto" w:fill="auto"/>
            <w:vAlign w:val="bottom"/>
          </w:tcPr>
          <w:p w14:paraId="13DB61A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1417" w:type="dxa"/>
            <w:shd w:val="clear" w:color="auto" w:fill="auto"/>
            <w:vAlign w:val="bottom"/>
          </w:tcPr>
          <w:p w14:paraId="623EAB0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1934C19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7F40D6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8B32E2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CFEE3D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67A6F6F" w14:textId="77777777" w:rsidTr="00812033">
        <w:trPr>
          <w:trHeight w:val="240"/>
        </w:trPr>
        <w:tc>
          <w:tcPr>
            <w:tcW w:w="1843" w:type="dxa"/>
            <w:shd w:val="clear" w:color="auto" w:fill="auto"/>
          </w:tcPr>
          <w:p w14:paraId="5C856DB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Qatar</w:t>
            </w:r>
          </w:p>
        </w:tc>
        <w:tc>
          <w:tcPr>
            <w:tcW w:w="851" w:type="dxa"/>
            <w:shd w:val="clear" w:color="auto" w:fill="auto"/>
            <w:vAlign w:val="bottom"/>
          </w:tcPr>
          <w:p w14:paraId="05CEB2D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65AEAB4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8EDBB3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3338FC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C1EE59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485B6D3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61B46A2" w14:textId="77777777" w:rsidTr="00812033">
        <w:trPr>
          <w:trHeight w:val="240"/>
        </w:trPr>
        <w:tc>
          <w:tcPr>
            <w:tcW w:w="1843" w:type="dxa"/>
            <w:shd w:val="clear" w:color="auto" w:fill="auto"/>
          </w:tcPr>
          <w:p w14:paraId="5211F0F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Reino Unido</w:t>
            </w:r>
          </w:p>
        </w:tc>
        <w:tc>
          <w:tcPr>
            <w:tcW w:w="851" w:type="dxa"/>
            <w:shd w:val="clear" w:color="auto" w:fill="auto"/>
            <w:vAlign w:val="bottom"/>
          </w:tcPr>
          <w:p w14:paraId="1555B5C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22</w:t>
            </w:r>
          </w:p>
        </w:tc>
        <w:tc>
          <w:tcPr>
            <w:tcW w:w="1417" w:type="dxa"/>
            <w:shd w:val="clear" w:color="auto" w:fill="auto"/>
            <w:vAlign w:val="bottom"/>
          </w:tcPr>
          <w:p w14:paraId="142A834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851" w:type="dxa"/>
            <w:shd w:val="clear" w:color="auto" w:fill="auto"/>
            <w:vAlign w:val="bottom"/>
          </w:tcPr>
          <w:p w14:paraId="3DFB36A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96C61C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1" w:type="dxa"/>
            <w:shd w:val="clear" w:color="auto" w:fill="auto"/>
            <w:vAlign w:val="bottom"/>
          </w:tcPr>
          <w:p w14:paraId="7DF1246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70F6ED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r>
      <w:tr w:rsidR="00860A87" w:rsidRPr="00062B95" w14:paraId="0546053A" w14:textId="77777777" w:rsidTr="00812033">
        <w:trPr>
          <w:trHeight w:val="240"/>
        </w:trPr>
        <w:tc>
          <w:tcPr>
            <w:tcW w:w="1843" w:type="dxa"/>
            <w:shd w:val="clear" w:color="auto" w:fill="auto"/>
          </w:tcPr>
          <w:p w14:paraId="2F716E3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 xml:space="preserve">República de Corea </w:t>
            </w:r>
          </w:p>
        </w:tc>
        <w:tc>
          <w:tcPr>
            <w:tcW w:w="851" w:type="dxa"/>
            <w:shd w:val="clear" w:color="auto" w:fill="auto"/>
            <w:vAlign w:val="bottom"/>
          </w:tcPr>
          <w:p w14:paraId="2D9F45F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20</w:t>
            </w:r>
          </w:p>
        </w:tc>
        <w:tc>
          <w:tcPr>
            <w:tcW w:w="1417" w:type="dxa"/>
            <w:shd w:val="clear" w:color="auto" w:fill="auto"/>
            <w:vAlign w:val="bottom"/>
          </w:tcPr>
          <w:p w14:paraId="524C283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w:t>
            </w:r>
          </w:p>
        </w:tc>
        <w:tc>
          <w:tcPr>
            <w:tcW w:w="851" w:type="dxa"/>
            <w:shd w:val="clear" w:color="auto" w:fill="auto"/>
            <w:vAlign w:val="bottom"/>
          </w:tcPr>
          <w:p w14:paraId="4EAEA54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D06BD6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69DE06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11B5C4A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5991B4B" w14:textId="77777777" w:rsidTr="00812033">
        <w:trPr>
          <w:trHeight w:val="240"/>
        </w:trPr>
        <w:tc>
          <w:tcPr>
            <w:tcW w:w="1843" w:type="dxa"/>
            <w:shd w:val="clear" w:color="auto" w:fill="auto"/>
          </w:tcPr>
          <w:p w14:paraId="6A432B47"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República Democrática Popular Lao</w:t>
            </w:r>
          </w:p>
        </w:tc>
        <w:tc>
          <w:tcPr>
            <w:tcW w:w="851" w:type="dxa"/>
            <w:shd w:val="clear" w:color="auto" w:fill="auto"/>
            <w:vAlign w:val="bottom"/>
          </w:tcPr>
          <w:p w14:paraId="2DE03F4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2 850</w:t>
            </w:r>
          </w:p>
        </w:tc>
        <w:tc>
          <w:tcPr>
            <w:tcW w:w="1417" w:type="dxa"/>
            <w:shd w:val="clear" w:color="auto" w:fill="auto"/>
            <w:vAlign w:val="bottom"/>
          </w:tcPr>
          <w:p w14:paraId="0EE748C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309</w:t>
            </w:r>
          </w:p>
        </w:tc>
        <w:tc>
          <w:tcPr>
            <w:tcW w:w="851" w:type="dxa"/>
            <w:shd w:val="clear" w:color="auto" w:fill="auto"/>
            <w:vAlign w:val="bottom"/>
          </w:tcPr>
          <w:p w14:paraId="59DFBB8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72B187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18</w:t>
            </w:r>
          </w:p>
        </w:tc>
        <w:tc>
          <w:tcPr>
            <w:tcW w:w="851" w:type="dxa"/>
            <w:shd w:val="clear" w:color="auto" w:fill="auto"/>
            <w:vAlign w:val="bottom"/>
          </w:tcPr>
          <w:p w14:paraId="4B55896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B862DD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r>
      <w:tr w:rsidR="00860A87" w:rsidRPr="00062B95" w14:paraId="1F9460B6" w14:textId="77777777" w:rsidTr="00812033">
        <w:trPr>
          <w:trHeight w:val="240"/>
        </w:trPr>
        <w:tc>
          <w:tcPr>
            <w:tcW w:w="1843" w:type="dxa"/>
            <w:shd w:val="clear" w:color="auto" w:fill="auto"/>
          </w:tcPr>
          <w:p w14:paraId="6DB9010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Rwanda</w:t>
            </w:r>
          </w:p>
        </w:tc>
        <w:tc>
          <w:tcPr>
            <w:tcW w:w="851" w:type="dxa"/>
            <w:shd w:val="clear" w:color="auto" w:fill="auto"/>
            <w:vAlign w:val="bottom"/>
          </w:tcPr>
          <w:p w14:paraId="6D6A7D1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294E5AF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E0372D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559912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8223FF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4FD96F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511381D" w14:textId="77777777" w:rsidTr="00812033">
        <w:trPr>
          <w:trHeight w:val="240"/>
        </w:trPr>
        <w:tc>
          <w:tcPr>
            <w:tcW w:w="1843" w:type="dxa"/>
            <w:shd w:val="clear" w:color="auto" w:fill="auto"/>
          </w:tcPr>
          <w:p w14:paraId="1A4EF2B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lastRenderedPageBreak/>
              <w:t>Senegal</w:t>
            </w:r>
          </w:p>
        </w:tc>
        <w:tc>
          <w:tcPr>
            <w:tcW w:w="851" w:type="dxa"/>
            <w:shd w:val="clear" w:color="auto" w:fill="auto"/>
            <w:vAlign w:val="bottom"/>
          </w:tcPr>
          <w:p w14:paraId="61C1629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1417" w:type="dxa"/>
            <w:shd w:val="clear" w:color="auto" w:fill="auto"/>
            <w:vAlign w:val="bottom"/>
          </w:tcPr>
          <w:p w14:paraId="52EF2E9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CDB2F7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0" w:type="dxa"/>
            <w:shd w:val="clear" w:color="auto" w:fill="auto"/>
            <w:vAlign w:val="bottom"/>
          </w:tcPr>
          <w:p w14:paraId="3FB9F06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B48946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A713BD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7CAE8BC6" w14:textId="77777777" w:rsidTr="00812033">
        <w:trPr>
          <w:trHeight w:val="240"/>
        </w:trPr>
        <w:tc>
          <w:tcPr>
            <w:tcW w:w="1843" w:type="dxa"/>
            <w:shd w:val="clear" w:color="auto" w:fill="auto"/>
          </w:tcPr>
          <w:p w14:paraId="70A2934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Serbia</w:t>
            </w:r>
          </w:p>
        </w:tc>
        <w:tc>
          <w:tcPr>
            <w:tcW w:w="851" w:type="dxa"/>
            <w:shd w:val="clear" w:color="auto" w:fill="auto"/>
            <w:vAlign w:val="bottom"/>
          </w:tcPr>
          <w:p w14:paraId="27F9672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25F74B5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B11177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79BE6DD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989F9F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D46B58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7085CAB" w14:textId="77777777" w:rsidTr="00812033">
        <w:trPr>
          <w:trHeight w:val="240"/>
        </w:trPr>
        <w:tc>
          <w:tcPr>
            <w:tcW w:w="1843" w:type="dxa"/>
            <w:shd w:val="clear" w:color="auto" w:fill="auto"/>
          </w:tcPr>
          <w:p w14:paraId="4F3530AD"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Sierra Leona</w:t>
            </w:r>
          </w:p>
        </w:tc>
        <w:tc>
          <w:tcPr>
            <w:tcW w:w="851" w:type="dxa"/>
            <w:shd w:val="clear" w:color="auto" w:fill="auto"/>
            <w:vAlign w:val="bottom"/>
          </w:tcPr>
          <w:p w14:paraId="46993F8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w:t>
            </w:r>
          </w:p>
        </w:tc>
        <w:tc>
          <w:tcPr>
            <w:tcW w:w="1417" w:type="dxa"/>
            <w:shd w:val="clear" w:color="auto" w:fill="auto"/>
            <w:vAlign w:val="bottom"/>
          </w:tcPr>
          <w:p w14:paraId="0027005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73453C2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221C4F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48E185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A47941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3A9773D" w14:textId="77777777" w:rsidTr="00812033">
        <w:trPr>
          <w:trHeight w:val="240"/>
        </w:trPr>
        <w:tc>
          <w:tcPr>
            <w:tcW w:w="1843" w:type="dxa"/>
            <w:shd w:val="clear" w:color="auto" w:fill="auto"/>
          </w:tcPr>
          <w:p w14:paraId="06D7D5C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Singapur</w:t>
            </w:r>
          </w:p>
        </w:tc>
        <w:tc>
          <w:tcPr>
            <w:tcW w:w="851" w:type="dxa"/>
            <w:shd w:val="clear" w:color="auto" w:fill="auto"/>
            <w:vAlign w:val="bottom"/>
          </w:tcPr>
          <w:p w14:paraId="2130FBF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31</w:t>
            </w:r>
          </w:p>
        </w:tc>
        <w:tc>
          <w:tcPr>
            <w:tcW w:w="1417" w:type="dxa"/>
            <w:shd w:val="clear" w:color="auto" w:fill="auto"/>
            <w:vAlign w:val="bottom"/>
          </w:tcPr>
          <w:p w14:paraId="6F3F60A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w:t>
            </w:r>
          </w:p>
        </w:tc>
        <w:tc>
          <w:tcPr>
            <w:tcW w:w="851" w:type="dxa"/>
            <w:shd w:val="clear" w:color="auto" w:fill="auto"/>
            <w:vAlign w:val="bottom"/>
          </w:tcPr>
          <w:p w14:paraId="6D6B3D9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6274ED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D080E0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90F1BC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35793752" w14:textId="77777777" w:rsidTr="00812033">
        <w:trPr>
          <w:trHeight w:val="240"/>
        </w:trPr>
        <w:tc>
          <w:tcPr>
            <w:tcW w:w="1843" w:type="dxa"/>
            <w:shd w:val="clear" w:color="auto" w:fill="auto"/>
          </w:tcPr>
          <w:p w14:paraId="17501FC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Siria</w:t>
            </w:r>
          </w:p>
        </w:tc>
        <w:tc>
          <w:tcPr>
            <w:tcW w:w="851" w:type="dxa"/>
            <w:shd w:val="clear" w:color="auto" w:fill="auto"/>
            <w:vAlign w:val="bottom"/>
          </w:tcPr>
          <w:p w14:paraId="77DED24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1417" w:type="dxa"/>
            <w:shd w:val="clear" w:color="auto" w:fill="auto"/>
            <w:vAlign w:val="bottom"/>
          </w:tcPr>
          <w:p w14:paraId="3A34E8B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1AD0C44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606545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4BDEA68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37A7A53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6F9FADC3" w14:textId="77777777" w:rsidTr="00812033">
        <w:trPr>
          <w:trHeight w:val="240"/>
        </w:trPr>
        <w:tc>
          <w:tcPr>
            <w:tcW w:w="1843" w:type="dxa"/>
            <w:shd w:val="clear" w:color="auto" w:fill="auto"/>
          </w:tcPr>
          <w:p w14:paraId="064C1B8F"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Sri Lanka</w:t>
            </w:r>
          </w:p>
        </w:tc>
        <w:tc>
          <w:tcPr>
            <w:tcW w:w="851" w:type="dxa"/>
            <w:shd w:val="clear" w:color="auto" w:fill="auto"/>
            <w:vAlign w:val="bottom"/>
          </w:tcPr>
          <w:p w14:paraId="30C9FD7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1417" w:type="dxa"/>
            <w:shd w:val="clear" w:color="auto" w:fill="auto"/>
            <w:vAlign w:val="bottom"/>
          </w:tcPr>
          <w:p w14:paraId="500D80C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3111C46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1A9990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25FD4E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1770FA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1FEE0B2" w14:textId="77777777" w:rsidTr="00812033">
        <w:trPr>
          <w:trHeight w:val="240"/>
        </w:trPr>
        <w:tc>
          <w:tcPr>
            <w:tcW w:w="1843" w:type="dxa"/>
            <w:shd w:val="clear" w:color="auto" w:fill="auto"/>
          </w:tcPr>
          <w:p w14:paraId="5BDA11F7"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Sudáfrica</w:t>
            </w:r>
          </w:p>
        </w:tc>
        <w:tc>
          <w:tcPr>
            <w:tcW w:w="851" w:type="dxa"/>
            <w:shd w:val="clear" w:color="auto" w:fill="auto"/>
            <w:vAlign w:val="bottom"/>
          </w:tcPr>
          <w:p w14:paraId="57F021F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22</w:t>
            </w:r>
          </w:p>
        </w:tc>
        <w:tc>
          <w:tcPr>
            <w:tcW w:w="1417" w:type="dxa"/>
            <w:shd w:val="clear" w:color="auto" w:fill="auto"/>
            <w:vAlign w:val="bottom"/>
          </w:tcPr>
          <w:p w14:paraId="32532C5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BD9B16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9773FB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5ED4290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0C3680F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2EC3AF99" w14:textId="77777777" w:rsidTr="00812033">
        <w:trPr>
          <w:trHeight w:val="240"/>
        </w:trPr>
        <w:tc>
          <w:tcPr>
            <w:tcW w:w="1843" w:type="dxa"/>
            <w:shd w:val="clear" w:color="auto" w:fill="auto"/>
          </w:tcPr>
          <w:p w14:paraId="49FED964"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Suecia</w:t>
            </w:r>
          </w:p>
        </w:tc>
        <w:tc>
          <w:tcPr>
            <w:tcW w:w="851" w:type="dxa"/>
            <w:shd w:val="clear" w:color="auto" w:fill="auto"/>
            <w:vAlign w:val="bottom"/>
          </w:tcPr>
          <w:p w14:paraId="50E6AB2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1417" w:type="dxa"/>
            <w:shd w:val="clear" w:color="auto" w:fill="auto"/>
            <w:vAlign w:val="bottom"/>
          </w:tcPr>
          <w:p w14:paraId="3C41624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3364B0A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38D92B7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7E6459CD"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AD5FFD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r>
      <w:tr w:rsidR="00860A87" w:rsidRPr="00062B95" w14:paraId="30F470C0" w14:textId="77777777" w:rsidTr="00812033">
        <w:trPr>
          <w:trHeight w:val="240"/>
        </w:trPr>
        <w:tc>
          <w:tcPr>
            <w:tcW w:w="1843" w:type="dxa"/>
            <w:shd w:val="clear" w:color="auto" w:fill="auto"/>
          </w:tcPr>
          <w:p w14:paraId="24343CC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Suiza</w:t>
            </w:r>
          </w:p>
        </w:tc>
        <w:tc>
          <w:tcPr>
            <w:tcW w:w="851" w:type="dxa"/>
            <w:shd w:val="clear" w:color="auto" w:fill="auto"/>
            <w:vAlign w:val="bottom"/>
          </w:tcPr>
          <w:p w14:paraId="030B662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67597AF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6ECF4F6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22685C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3AE5F47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2E11BC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9686218" w14:textId="77777777" w:rsidTr="00812033">
        <w:trPr>
          <w:trHeight w:val="240"/>
        </w:trPr>
        <w:tc>
          <w:tcPr>
            <w:tcW w:w="1843" w:type="dxa"/>
            <w:shd w:val="clear" w:color="auto" w:fill="auto"/>
          </w:tcPr>
          <w:p w14:paraId="2C963118"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Tailandia</w:t>
            </w:r>
          </w:p>
        </w:tc>
        <w:tc>
          <w:tcPr>
            <w:tcW w:w="851" w:type="dxa"/>
            <w:shd w:val="clear" w:color="auto" w:fill="auto"/>
            <w:vAlign w:val="bottom"/>
          </w:tcPr>
          <w:p w14:paraId="18E63A2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299 914</w:t>
            </w:r>
          </w:p>
        </w:tc>
        <w:tc>
          <w:tcPr>
            <w:tcW w:w="1417" w:type="dxa"/>
            <w:shd w:val="clear" w:color="auto" w:fill="auto"/>
            <w:vAlign w:val="bottom"/>
          </w:tcPr>
          <w:p w14:paraId="53522BE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60 867</w:t>
            </w:r>
          </w:p>
        </w:tc>
        <w:tc>
          <w:tcPr>
            <w:tcW w:w="851" w:type="dxa"/>
            <w:shd w:val="clear" w:color="auto" w:fill="auto"/>
            <w:vAlign w:val="bottom"/>
          </w:tcPr>
          <w:p w14:paraId="126C3F0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38</w:t>
            </w:r>
          </w:p>
        </w:tc>
        <w:tc>
          <w:tcPr>
            <w:tcW w:w="850" w:type="dxa"/>
            <w:shd w:val="clear" w:color="auto" w:fill="auto"/>
            <w:vAlign w:val="bottom"/>
          </w:tcPr>
          <w:p w14:paraId="5DBAA2C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1 402</w:t>
            </w:r>
          </w:p>
        </w:tc>
        <w:tc>
          <w:tcPr>
            <w:tcW w:w="851" w:type="dxa"/>
            <w:shd w:val="clear" w:color="auto" w:fill="auto"/>
            <w:vAlign w:val="bottom"/>
          </w:tcPr>
          <w:p w14:paraId="5C0428E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38</w:t>
            </w:r>
          </w:p>
        </w:tc>
        <w:tc>
          <w:tcPr>
            <w:tcW w:w="707" w:type="dxa"/>
            <w:shd w:val="clear" w:color="auto" w:fill="auto"/>
            <w:vAlign w:val="bottom"/>
          </w:tcPr>
          <w:p w14:paraId="26A0FF2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1 333</w:t>
            </w:r>
          </w:p>
        </w:tc>
      </w:tr>
      <w:tr w:rsidR="00860A87" w:rsidRPr="00062B95" w14:paraId="09806CDD" w14:textId="77777777" w:rsidTr="00812033">
        <w:trPr>
          <w:trHeight w:val="240"/>
        </w:trPr>
        <w:tc>
          <w:tcPr>
            <w:tcW w:w="1843" w:type="dxa"/>
            <w:shd w:val="clear" w:color="auto" w:fill="auto"/>
          </w:tcPr>
          <w:p w14:paraId="0487E2AD"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Taiwán</w:t>
            </w:r>
          </w:p>
        </w:tc>
        <w:tc>
          <w:tcPr>
            <w:tcW w:w="851" w:type="dxa"/>
            <w:shd w:val="clear" w:color="auto" w:fill="auto"/>
            <w:vAlign w:val="bottom"/>
          </w:tcPr>
          <w:p w14:paraId="6C0FC3E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69</w:t>
            </w:r>
          </w:p>
        </w:tc>
        <w:tc>
          <w:tcPr>
            <w:tcW w:w="1417" w:type="dxa"/>
            <w:shd w:val="clear" w:color="auto" w:fill="auto"/>
            <w:vAlign w:val="bottom"/>
          </w:tcPr>
          <w:p w14:paraId="33DBC34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33</w:t>
            </w:r>
          </w:p>
        </w:tc>
        <w:tc>
          <w:tcPr>
            <w:tcW w:w="851" w:type="dxa"/>
            <w:shd w:val="clear" w:color="auto" w:fill="auto"/>
            <w:vAlign w:val="bottom"/>
          </w:tcPr>
          <w:p w14:paraId="10DF113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8A390E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5FB547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5E47C4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47FB50F1" w14:textId="77777777" w:rsidTr="00812033">
        <w:trPr>
          <w:trHeight w:val="240"/>
        </w:trPr>
        <w:tc>
          <w:tcPr>
            <w:tcW w:w="1843" w:type="dxa"/>
            <w:shd w:val="clear" w:color="auto" w:fill="auto"/>
          </w:tcPr>
          <w:p w14:paraId="1EDD0F3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Tanzanía</w:t>
            </w:r>
          </w:p>
        </w:tc>
        <w:tc>
          <w:tcPr>
            <w:tcW w:w="851" w:type="dxa"/>
            <w:shd w:val="clear" w:color="auto" w:fill="auto"/>
            <w:vAlign w:val="bottom"/>
          </w:tcPr>
          <w:p w14:paraId="219C610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1417" w:type="dxa"/>
            <w:shd w:val="clear" w:color="auto" w:fill="auto"/>
            <w:vAlign w:val="bottom"/>
          </w:tcPr>
          <w:p w14:paraId="07442DE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1" w:type="dxa"/>
            <w:shd w:val="clear" w:color="auto" w:fill="auto"/>
            <w:vAlign w:val="bottom"/>
          </w:tcPr>
          <w:p w14:paraId="5DA1CC4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325FBE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33DDDC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771133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0AAD0F80" w14:textId="77777777" w:rsidTr="00812033">
        <w:trPr>
          <w:trHeight w:val="240"/>
        </w:trPr>
        <w:tc>
          <w:tcPr>
            <w:tcW w:w="1843" w:type="dxa"/>
            <w:shd w:val="clear" w:color="auto" w:fill="auto"/>
          </w:tcPr>
          <w:p w14:paraId="0F5D193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Togo</w:t>
            </w:r>
          </w:p>
        </w:tc>
        <w:tc>
          <w:tcPr>
            <w:tcW w:w="851" w:type="dxa"/>
            <w:shd w:val="clear" w:color="auto" w:fill="auto"/>
            <w:vAlign w:val="bottom"/>
          </w:tcPr>
          <w:p w14:paraId="019D7A3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1166A05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92310D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148D8A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22ACAC7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56123F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6AD836C3" w14:textId="77777777" w:rsidTr="00812033">
        <w:trPr>
          <w:trHeight w:val="240"/>
        </w:trPr>
        <w:tc>
          <w:tcPr>
            <w:tcW w:w="1843" w:type="dxa"/>
            <w:shd w:val="clear" w:color="auto" w:fill="auto"/>
          </w:tcPr>
          <w:p w14:paraId="2C385C65"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Turquía</w:t>
            </w:r>
          </w:p>
        </w:tc>
        <w:tc>
          <w:tcPr>
            <w:tcW w:w="851" w:type="dxa"/>
            <w:shd w:val="clear" w:color="auto" w:fill="auto"/>
            <w:vAlign w:val="bottom"/>
          </w:tcPr>
          <w:p w14:paraId="093D5FB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w:t>
            </w:r>
          </w:p>
        </w:tc>
        <w:tc>
          <w:tcPr>
            <w:tcW w:w="1417" w:type="dxa"/>
            <w:shd w:val="clear" w:color="auto" w:fill="auto"/>
            <w:vAlign w:val="bottom"/>
          </w:tcPr>
          <w:p w14:paraId="128CCA57"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13</w:t>
            </w:r>
          </w:p>
        </w:tc>
        <w:tc>
          <w:tcPr>
            <w:tcW w:w="851" w:type="dxa"/>
            <w:shd w:val="clear" w:color="auto" w:fill="auto"/>
            <w:vAlign w:val="bottom"/>
          </w:tcPr>
          <w:p w14:paraId="3E3B388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00F58E5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762182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3946C3F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F3F1DD9" w14:textId="77777777" w:rsidTr="00812033">
        <w:trPr>
          <w:trHeight w:val="240"/>
        </w:trPr>
        <w:tc>
          <w:tcPr>
            <w:tcW w:w="1843" w:type="dxa"/>
            <w:shd w:val="clear" w:color="auto" w:fill="auto"/>
          </w:tcPr>
          <w:p w14:paraId="03B9CFDA"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Ucrania</w:t>
            </w:r>
          </w:p>
        </w:tc>
        <w:tc>
          <w:tcPr>
            <w:tcW w:w="851" w:type="dxa"/>
            <w:shd w:val="clear" w:color="auto" w:fill="auto"/>
            <w:vAlign w:val="bottom"/>
          </w:tcPr>
          <w:p w14:paraId="0A679F2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18</w:t>
            </w:r>
          </w:p>
        </w:tc>
        <w:tc>
          <w:tcPr>
            <w:tcW w:w="1417" w:type="dxa"/>
            <w:shd w:val="clear" w:color="auto" w:fill="auto"/>
            <w:vAlign w:val="bottom"/>
          </w:tcPr>
          <w:p w14:paraId="4451ADE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0C885D3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666DD87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1F15DE8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25072C6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r>
      <w:tr w:rsidR="00860A87" w:rsidRPr="00062B95" w14:paraId="64255BCB" w14:textId="77777777" w:rsidTr="00812033">
        <w:trPr>
          <w:trHeight w:val="240"/>
        </w:trPr>
        <w:tc>
          <w:tcPr>
            <w:tcW w:w="1843" w:type="dxa"/>
            <w:shd w:val="clear" w:color="auto" w:fill="auto"/>
          </w:tcPr>
          <w:p w14:paraId="5368CAAC"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Uganda</w:t>
            </w:r>
          </w:p>
        </w:tc>
        <w:tc>
          <w:tcPr>
            <w:tcW w:w="851" w:type="dxa"/>
            <w:shd w:val="clear" w:color="auto" w:fill="auto"/>
            <w:vAlign w:val="bottom"/>
          </w:tcPr>
          <w:p w14:paraId="7634153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w:t>
            </w:r>
          </w:p>
        </w:tc>
        <w:tc>
          <w:tcPr>
            <w:tcW w:w="1417" w:type="dxa"/>
            <w:shd w:val="clear" w:color="auto" w:fill="auto"/>
            <w:vAlign w:val="bottom"/>
          </w:tcPr>
          <w:p w14:paraId="471E5B3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729EE3A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548FD20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51" w:type="dxa"/>
            <w:shd w:val="clear" w:color="auto" w:fill="auto"/>
            <w:vAlign w:val="bottom"/>
          </w:tcPr>
          <w:p w14:paraId="2C7A6E6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6FE94C6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1ACA340" w14:textId="77777777" w:rsidTr="00812033">
        <w:trPr>
          <w:trHeight w:val="240"/>
        </w:trPr>
        <w:tc>
          <w:tcPr>
            <w:tcW w:w="1843" w:type="dxa"/>
            <w:shd w:val="clear" w:color="auto" w:fill="auto"/>
          </w:tcPr>
          <w:p w14:paraId="083F5A22"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Uzbekistán</w:t>
            </w:r>
          </w:p>
        </w:tc>
        <w:tc>
          <w:tcPr>
            <w:tcW w:w="851" w:type="dxa"/>
            <w:shd w:val="clear" w:color="auto" w:fill="auto"/>
            <w:vAlign w:val="bottom"/>
          </w:tcPr>
          <w:p w14:paraId="0171869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1417" w:type="dxa"/>
            <w:shd w:val="clear" w:color="auto" w:fill="auto"/>
            <w:vAlign w:val="bottom"/>
          </w:tcPr>
          <w:p w14:paraId="7B45508E"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51" w:type="dxa"/>
            <w:shd w:val="clear" w:color="auto" w:fill="auto"/>
            <w:vAlign w:val="bottom"/>
          </w:tcPr>
          <w:p w14:paraId="2D30418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2F4F040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5596F09"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5305697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151CCB0A" w14:textId="77777777" w:rsidTr="00812033">
        <w:trPr>
          <w:trHeight w:val="240"/>
        </w:trPr>
        <w:tc>
          <w:tcPr>
            <w:tcW w:w="1843" w:type="dxa"/>
            <w:shd w:val="clear" w:color="auto" w:fill="auto"/>
          </w:tcPr>
          <w:p w14:paraId="26FF82A0"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cs/>
                <w:lang w:bidi="th-TH"/>
              </w:rPr>
            </w:pPr>
            <w:r w:rsidRPr="00062B95">
              <w:rPr>
                <w:sz w:val="18"/>
                <w:lang w:val="es-ES_tradnl"/>
              </w:rPr>
              <w:t>Venezuela</w:t>
            </w:r>
          </w:p>
        </w:tc>
        <w:tc>
          <w:tcPr>
            <w:tcW w:w="851" w:type="dxa"/>
            <w:shd w:val="clear" w:color="auto" w:fill="auto"/>
            <w:vAlign w:val="bottom"/>
          </w:tcPr>
          <w:p w14:paraId="33430CB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1417" w:type="dxa"/>
            <w:shd w:val="clear" w:color="auto" w:fill="auto"/>
            <w:vAlign w:val="bottom"/>
          </w:tcPr>
          <w:p w14:paraId="2E4AB09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0265D6A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17E925FB"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shd w:val="clear" w:color="auto" w:fill="auto"/>
            <w:vAlign w:val="bottom"/>
          </w:tcPr>
          <w:p w14:paraId="6662C914"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shd w:val="clear" w:color="auto" w:fill="auto"/>
            <w:vAlign w:val="bottom"/>
          </w:tcPr>
          <w:p w14:paraId="76C8EC43"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860A87" w:rsidRPr="00062B95" w14:paraId="58D172A2" w14:textId="77777777" w:rsidTr="00812033">
        <w:trPr>
          <w:trHeight w:val="240"/>
        </w:trPr>
        <w:tc>
          <w:tcPr>
            <w:tcW w:w="1843" w:type="dxa"/>
            <w:shd w:val="clear" w:color="auto" w:fill="auto"/>
          </w:tcPr>
          <w:p w14:paraId="0CA60C7D"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cs/>
                <w:lang w:bidi="th-TH"/>
              </w:rPr>
            </w:pPr>
            <w:r w:rsidRPr="00062B95">
              <w:rPr>
                <w:sz w:val="18"/>
                <w:lang w:val="es-ES_tradnl"/>
              </w:rPr>
              <w:t>Viet Nam</w:t>
            </w:r>
          </w:p>
        </w:tc>
        <w:tc>
          <w:tcPr>
            <w:tcW w:w="851" w:type="dxa"/>
            <w:shd w:val="clear" w:color="auto" w:fill="auto"/>
            <w:vAlign w:val="bottom"/>
          </w:tcPr>
          <w:p w14:paraId="5939C05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78</w:t>
            </w:r>
          </w:p>
        </w:tc>
        <w:tc>
          <w:tcPr>
            <w:tcW w:w="1417" w:type="dxa"/>
            <w:shd w:val="clear" w:color="auto" w:fill="auto"/>
            <w:vAlign w:val="bottom"/>
          </w:tcPr>
          <w:p w14:paraId="1793EA6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103</w:t>
            </w:r>
          </w:p>
        </w:tc>
        <w:tc>
          <w:tcPr>
            <w:tcW w:w="851" w:type="dxa"/>
            <w:shd w:val="clear" w:color="auto" w:fill="auto"/>
            <w:vAlign w:val="bottom"/>
          </w:tcPr>
          <w:p w14:paraId="20931D86"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shd w:val="clear" w:color="auto" w:fill="auto"/>
            <w:vAlign w:val="bottom"/>
          </w:tcPr>
          <w:p w14:paraId="46E05D7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98</w:t>
            </w:r>
          </w:p>
        </w:tc>
        <w:tc>
          <w:tcPr>
            <w:tcW w:w="851" w:type="dxa"/>
            <w:shd w:val="clear" w:color="auto" w:fill="auto"/>
            <w:vAlign w:val="bottom"/>
          </w:tcPr>
          <w:p w14:paraId="286DA7FF"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707" w:type="dxa"/>
            <w:shd w:val="clear" w:color="auto" w:fill="auto"/>
            <w:vAlign w:val="bottom"/>
          </w:tcPr>
          <w:p w14:paraId="11D2A35A"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r>
      <w:tr w:rsidR="00860A87" w:rsidRPr="00062B95" w14:paraId="39AE0DDE" w14:textId="77777777" w:rsidTr="00812033">
        <w:trPr>
          <w:trHeight w:val="240"/>
        </w:trPr>
        <w:tc>
          <w:tcPr>
            <w:tcW w:w="1843" w:type="dxa"/>
            <w:tcBorders>
              <w:bottom w:val="single" w:sz="4" w:space="0" w:color="auto"/>
            </w:tcBorders>
            <w:shd w:val="clear" w:color="auto" w:fill="auto"/>
          </w:tcPr>
          <w:p w14:paraId="7627A0DE" w14:textId="77777777" w:rsidR="00860A87" w:rsidRPr="00062B95" w:rsidRDefault="00860A87"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Zambia</w:t>
            </w:r>
          </w:p>
        </w:tc>
        <w:tc>
          <w:tcPr>
            <w:tcW w:w="851" w:type="dxa"/>
            <w:tcBorders>
              <w:bottom w:val="single" w:sz="4" w:space="0" w:color="auto"/>
            </w:tcBorders>
            <w:shd w:val="clear" w:color="auto" w:fill="auto"/>
            <w:vAlign w:val="bottom"/>
          </w:tcPr>
          <w:p w14:paraId="695353B1"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1417" w:type="dxa"/>
            <w:tcBorders>
              <w:bottom w:val="single" w:sz="4" w:space="0" w:color="auto"/>
            </w:tcBorders>
            <w:shd w:val="clear" w:color="auto" w:fill="auto"/>
            <w:vAlign w:val="bottom"/>
          </w:tcPr>
          <w:p w14:paraId="3CBE8EA2"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tcBorders>
              <w:bottom w:val="single" w:sz="4" w:space="0" w:color="auto"/>
            </w:tcBorders>
            <w:shd w:val="clear" w:color="auto" w:fill="auto"/>
            <w:vAlign w:val="bottom"/>
          </w:tcPr>
          <w:p w14:paraId="7572B4D0"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0" w:type="dxa"/>
            <w:tcBorders>
              <w:bottom w:val="single" w:sz="4" w:space="0" w:color="auto"/>
            </w:tcBorders>
            <w:shd w:val="clear" w:color="auto" w:fill="auto"/>
            <w:vAlign w:val="bottom"/>
          </w:tcPr>
          <w:p w14:paraId="4C8F9935"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851" w:type="dxa"/>
            <w:tcBorders>
              <w:bottom w:val="single" w:sz="4" w:space="0" w:color="auto"/>
            </w:tcBorders>
            <w:shd w:val="clear" w:color="auto" w:fill="auto"/>
            <w:vAlign w:val="bottom"/>
          </w:tcPr>
          <w:p w14:paraId="3BF553A8"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c>
          <w:tcPr>
            <w:tcW w:w="707" w:type="dxa"/>
            <w:tcBorders>
              <w:bottom w:val="single" w:sz="4" w:space="0" w:color="auto"/>
            </w:tcBorders>
            <w:shd w:val="clear" w:color="auto" w:fill="auto"/>
            <w:vAlign w:val="bottom"/>
          </w:tcPr>
          <w:p w14:paraId="4D971FDC" w14:textId="77777777" w:rsidR="00860A87" w:rsidRPr="00062B95" w:rsidRDefault="00860A87" w:rsidP="00303490">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0</w:t>
            </w:r>
          </w:p>
        </w:tc>
      </w:tr>
      <w:tr w:rsidR="00062B95" w:rsidRPr="00303490" w14:paraId="5309BD41" w14:textId="77777777" w:rsidTr="00812033">
        <w:trPr>
          <w:trHeight w:val="240"/>
        </w:trPr>
        <w:tc>
          <w:tcPr>
            <w:tcW w:w="1843" w:type="dxa"/>
            <w:tcBorders>
              <w:top w:val="single" w:sz="4" w:space="0" w:color="auto"/>
              <w:bottom w:val="single" w:sz="12" w:space="0" w:color="auto"/>
            </w:tcBorders>
            <w:shd w:val="clear" w:color="auto" w:fill="auto"/>
          </w:tcPr>
          <w:p w14:paraId="5CA0A37F" w14:textId="77777777" w:rsidR="00062B95" w:rsidRPr="00062B95" w:rsidRDefault="00062B95" w:rsidP="00303490">
            <w:pPr>
              <w:pStyle w:val="SingleTxtG"/>
              <w:tabs>
                <w:tab w:val="clear" w:pos="1701"/>
                <w:tab w:val="clear" w:pos="2268"/>
                <w:tab w:val="clear" w:pos="2835"/>
              </w:tabs>
              <w:spacing w:before="80" w:after="80" w:line="220" w:lineRule="exact"/>
              <w:ind w:left="283" w:right="0"/>
              <w:jc w:val="left"/>
              <w:rPr>
                <w:b/>
                <w:sz w:val="18"/>
                <w:cs/>
                <w:lang w:bidi="th-TH"/>
              </w:rPr>
            </w:pPr>
            <w:r w:rsidRPr="00062B95">
              <w:rPr>
                <w:b/>
                <w:sz w:val="18"/>
                <w:lang w:val="es-ES_tradnl"/>
              </w:rPr>
              <w:t>Total</w:t>
            </w:r>
          </w:p>
        </w:tc>
        <w:tc>
          <w:tcPr>
            <w:tcW w:w="851" w:type="dxa"/>
            <w:tcBorders>
              <w:top w:val="single" w:sz="4" w:space="0" w:color="auto"/>
              <w:bottom w:val="single" w:sz="12" w:space="0" w:color="auto"/>
            </w:tcBorders>
            <w:shd w:val="clear" w:color="auto" w:fill="auto"/>
            <w:vAlign w:val="bottom"/>
          </w:tcPr>
          <w:p w14:paraId="19AD1F92" w14:textId="77777777" w:rsidR="00062B95" w:rsidRPr="00062B95" w:rsidRDefault="00062B95" w:rsidP="00303490">
            <w:pPr>
              <w:pStyle w:val="SingleTxtG"/>
              <w:tabs>
                <w:tab w:val="clear" w:pos="1701"/>
                <w:tab w:val="clear" w:pos="2268"/>
                <w:tab w:val="clear" w:pos="2835"/>
              </w:tabs>
              <w:spacing w:before="80" w:after="80" w:line="220" w:lineRule="exact"/>
              <w:ind w:left="28" w:right="28"/>
              <w:jc w:val="right"/>
              <w:rPr>
                <w:b/>
                <w:bCs/>
                <w:sz w:val="18"/>
                <w:lang w:val="es-ES_tradnl"/>
              </w:rPr>
            </w:pPr>
            <w:r w:rsidRPr="00062B95">
              <w:rPr>
                <w:b/>
                <w:bCs/>
                <w:sz w:val="18"/>
                <w:lang w:val="es-ES_tradnl"/>
              </w:rPr>
              <w:t>311 525</w:t>
            </w:r>
          </w:p>
        </w:tc>
        <w:tc>
          <w:tcPr>
            <w:tcW w:w="1417" w:type="dxa"/>
            <w:tcBorders>
              <w:top w:val="single" w:sz="4" w:space="0" w:color="auto"/>
              <w:bottom w:val="single" w:sz="12" w:space="0" w:color="auto"/>
            </w:tcBorders>
            <w:shd w:val="clear" w:color="auto" w:fill="auto"/>
            <w:vAlign w:val="bottom"/>
          </w:tcPr>
          <w:p w14:paraId="21A0F51D" w14:textId="77777777" w:rsidR="00062B95" w:rsidRPr="00062B95" w:rsidRDefault="00062B95" w:rsidP="00303490">
            <w:pPr>
              <w:pStyle w:val="SingleTxtG"/>
              <w:tabs>
                <w:tab w:val="clear" w:pos="1701"/>
                <w:tab w:val="clear" w:pos="2268"/>
                <w:tab w:val="clear" w:pos="2835"/>
              </w:tabs>
              <w:spacing w:before="80" w:after="80" w:line="220" w:lineRule="exact"/>
              <w:ind w:left="28" w:right="28"/>
              <w:jc w:val="right"/>
              <w:rPr>
                <w:b/>
                <w:bCs/>
                <w:sz w:val="18"/>
                <w:lang w:val="es-ES_tradnl"/>
              </w:rPr>
            </w:pPr>
            <w:r w:rsidRPr="00062B95">
              <w:rPr>
                <w:b/>
                <w:bCs/>
                <w:sz w:val="18"/>
                <w:lang w:val="es-ES_tradnl"/>
              </w:rPr>
              <w:t>63 372</w:t>
            </w:r>
          </w:p>
        </w:tc>
        <w:tc>
          <w:tcPr>
            <w:tcW w:w="851" w:type="dxa"/>
            <w:tcBorders>
              <w:top w:val="single" w:sz="4" w:space="0" w:color="auto"/>
              <w:bottom w:val="single" w:sz="12" w:space="0" w:color="auto"/>
            </w:tcBorders>
            <w:shd w:val="clear" w:color="auto" w:fill="auto"/>
            <w:vAlign w:val="bottom"/>
          </w:tcPr>
          <w:p w14:paraId="36E8218B" w14:textId="77777777" w:rsidR="00062B95" w:rsidRPr="00062B95" w:rsidRDefault="00062B95" w:rsidP="00303490">
            <w:pPr>
              <w:pStyle w:val="SingleTxtG"/>
              <w:tabs>
                <w:tab w:val="clear" w:pos="1701"/>
                <w:tab w:val="clear" w:pos="2268"/>
                <w:tab w:val="clear" w:pos="2835"/>
              </w:tabs>
              <w:spacing w:before="80" w:after="80" w:line="220" w:lineRule="exact"/>
              <w:ind w:left="28" w:right="28"/>
              <w:jc w:val="right"/>
              <w:rPr>
                <w:b/>
                <w:bCs/>
                <w:sz w:val="18"/>
                <w:lang w:val="es-ES_tradnl"/>
              </w:rPr>
            </w:pPr>
            <w:r w:rsidRPr="00062B95">
              <w:rPr>
                <w:b/>
                <w:bCs/>
                <w:sz w:val="18"/>
                <w:lang w:val="es-ES_tradnl"/>
              </w:rPr>
              <w:t>43</w:t>
            </w:r>
          </w:p>
        </w:tc>
        <w:tc>
          <w:tcPr>
            <w:tcW w:w="850" w:type="dxa"/>
            <w:tcBorders>
              <w:top w:val="single" w:sz="4" w:space="0" w:color="auto"/>
              <w:bottom w:val="single" w:sz="12" w:space="0" w:color="auto"/>
            </w:tcBorders>
            <w:shd w:val="clear" w:color="auto" w:fill="auto"/>
            <w:vAlign w:val="bottom"/>
          </w:tcPr>
          <w:p w14:paraId="025B9A55" w14:textId="77777777" w:rsidR="00062B95" w:rsidRPr="00062B95" w:rsidRDefault="00062B95" w:rsidP="00303490">
            <w:pPr>
              <w:pStyle w:val="SingleTxtG"/>
              <w:tabs>
                <w:tab w:val="clear" w:pos="1701"/>
                <w:tab w:val="clear" w:pos="2268"/>
                <w:tab w:val="clear" w:pos="2835"/>
              </w:tabs>
              <w:spacing w:before="80" w:after="80" w:line="220" w:lineRule="exact"/>
              <w:ind w:left="28" w:right="28"/>
              <w:jc w:val="right"/>
              <w:rPr>
                <w:b/>
                <w:bCs/>
                <w:sz w:val="18"/>
                <w:lang w:val="es-ES_tradnl"/>
              </w:rPr>
            </w:pPr>
            <w:r w:rsidRPr="00062B95">
              <w:rPr>
                <w:b/>
                <w:bCs/>
                <w:sz w:val="18"/>
                <w:lang w:val="es-ES_tradnl"/>
              </w:rPr>
              <w:t>1 786</w:t>
            </w:r>
          </w:p>
        </w:tc>
        <w:tc>
          <w:tcPr>
            <w:tcW w:w="851" w:type="dxa"/>
            <w:tcBorders>
              <w:top w:val="single" w:sz="4" w:space="0" w:color="auto"/>
              <w:bottom w:val="single" w:sz="12" w:space="0" w:color="auto"/>
            </w:tcBorders>
            <w:shd w:val="clear" w:color="auto" w:fill="auto"/>
            <w:vAlign w:val="bottom"/>
          </w:tcPr>
          <w:p w14:paraId="0F3C5146" w14:textId="77777777" w:rsidR="00062B95" w:rsidRPr="00062B95" w:rsidRDefault="00062B95" w:rsidP="00303490">
            <w:pPr>
              <w:pStyle w:val="SingleTxtG"/>
              <w:tabs>
                <w:tab w:val="clear" w:pos="1701"/>
                <w:tab w:val="clear" w:pos="2268"/>
                <w:tab w:val="clear" w:pos="2835"/>
              </w:tabs>
              <w:spacing w:before="80" w:after="80" w:line="220" w:lineRule="exact"/>
              <w:ind w:left="28" w:right="28"/>
              <w:jc w:val="right"/>
              <w:rPr>
                <w:b/>
                <w:bCs/>
                <w:sz w:val="18"/>
                <w:lang w:val="es-ES_tradnl"/>
              </w:rPr>
            </w:pPr>
            <w:r w:rsidRPr="00062B95">
              <w:rPr>
                <w:b/>
                <w:bCs/>
                <w:sz w:val="18"/>
                <w:lang w:val="es-ES_tradnl"/>
              </w:rPr>
              <w:t>40</w:t>
            </w:r>
          </w:p>
        </w:tc>
        <w:tc>
          <w:tcPr>
            <w:tcW w:w="707" w:type="dxa"/>
            <w:tcBorders>
              <w:top w:val="single" w:sz="4" w:space="0" w:color="auto"/>
              <w:bottom w:val="single" w:sz="12" w:space="0" w:color="auto"/>
            </w:tcBorders>
            <w:shd w:val="clear" w:color="auto" w:fill="auto"/>
            <w:vAlign w:val="bottom"/>
          </w:tcPr>
          <w:p w14:paraId="1806AC39" w14:textId="77777777" w:rsidR="00062B95" w:rsidRPr="00062B95" w:rsidRDefault="00062B95" w:rsidP="00303490">
            <w:pPr>
              <w:pStyle w:val="SingleTxtG"/>
              <w:tabs>
                <w:tab w:val="clear" w:pos="1701"/>
                <w:tab w:val="clear" w:pos="2268"/>
                <w:tab w:val="clear" w:pos="2835"/>
              </w:tabs>
              <w:spacing w:before="80" w:after="80" w:line="220" w:lineRule="exact"/>
              <w:ind w:left="28" w:right="28"/>
              <w:jc w:val="right"/>
              <w:rPr>
                <w:b/>
                <w:bCs/>
                <w:sz w:val="18"/>
                <w:lang w:val="es-ES_tradnl"/>
              </w:rPr>
            </w:pPr>
            <w:r w:rsidRPr="00062B95">
              <w:rPr>
                <w:b/>
                <w:bCs/>
                <w:sz w:val="18"/>
                <w:lang w:val="es-ES_tradnl"/>
              </w:rPr>
              <w:t>1 796</w:t>
            </w:r>
          </w:p>
        </w:tc>
      </w:tr>
    </w:tbl>
    <w:p w14:paraId="37AE4972" w14:textId="77777777" w:rsidR="00062B95" w:rsidRPr="00062B95" w:rsidRDefault="00062B95" w:rsidP="00303490">
      <w:pPr>
        <w:pStyle w:val="H23G"/>
        <w:rPr>
          <w:lang w:val="es-ES_tradnl"/>
        </w:rPr>
      </w:pPr>
      <w:r w:rsidRPr="00062B95">
        <w:rPr>
          <w:lang w:val="es-ES_tradnl"/>
        </w:rPr>
        <w:tab/>
      </w:r>
      <w:r w:rsidRPr="00062B95">
        <w:rPr>
          <w:lang w:val="es-ES_tradnl"/>
        </w:rPr>
        <w:tab/>
        <w:t>Datos desglosados por edad</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701"/>
        <w:gridCol w:w="851"/>
        <w:gridCol w:w="1417"/>
        <w:gridCol w:w="851"/>
        <w:gridCol w:w="850"/>
        <w:gridCol w:w="993"/>
        <w:gridCol w:w="707"/>
      </w:tblGrid>
      <w:tr w:rsidR="00303490" w:rsidRPr="00062B95" w14:paraId="356FB8E6" w14:textId="77777777" w:rsidTr="00303490">
        <w:trPr>
          <w:trHeight w:val="240"/>
          <w:tblHeader/>
        </w:trPr>
        <w:tc>
          <w:tcPr>
            <w:tcW w:w="1701" w:type="dxa"/>
            <w:tcBorders>
              <w:top w:val="single" w:sz="4" w:space="0" w:color="auto"/>
              <w:bottom w:val="single" w:sz="12" w:space="0" w:color="auto"/>
            </w:tcBorders>
            <w:shd w:val="clear" w:color="auto" w:fill="auto"/>
            <w:vAlign w:val="bottom"/>
          </w:tcPr>
          <w:p w14:paraId="3444644B"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bCs/>
                <w:i/>
                <w:sz w:val="16"/>
                <w:lang w:val="es-ES_tradnl"/>
              </w:rPr>
            </w:pPr>
            <w:r w:rsidRPr="00062B95">
              <w:rPr>
                <w:bCs/>
                <w:i/>
                <w:sz w:val="16"/>
                <w:lang w:val="es-ES_tradnl"/>
              </w:rPr>
              <w:t>Edad</w:t>
            </w:r>
          </w:p>
        </w:tc>
        <w:tc>
          <w:tcPr>
            <w:tcW w:w="851" w:type="dxa"/>
            <w:tcBorders>
              <w:top w:val="single" w:sz="4" w:space="0" w:color="auto"/>
              <w:bottom w:val="single" w:sz="12" w:space="0" w:color="auto"/>
            </w:tcBorders>
            <w:shd w:val="clear" w:color="auto" w:fill="auto"/>
            <w:vAlign w:val="bottom"/>
          </w:tcPr>
          <w:p w14:paraId="3EC86ED5"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Reclusos condenados</w:t>
            </w:r>
          </w:p>
        </w:tc>
        <w:tc>
          <w:tcPr>
            <w:tcW w:w="1417" w:type="dxa"/>
            <w:tcBorders>
              <w:top w:val="single" w:sz="4" w:space="0" w:color="auto"/>
              <w:bottom w:val="single" w:sz="12" w:space="0" w:color="auto"/>
            </w:tcBorders>
            <w:shd w:val="clear" w:color="auto" w:fill="auto"/>
            <w:vAlign w:val="bottom"/>
          </w:tcPr>
          <w:p w14:paraId="2A50B633"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Reclusos en prisión preventiva</w:t>
            </w:r>
          </w:p>
        </w:tc>
        <w:tc>
          <w:tcPr>
            <w:tcW w:w="851" w:type="dxa"/>
            <w:tcBorders>
              <w:top w:val="single" w:sz="4" w:space="0" w:color="auto"/>
              <w:bottom w:val="single" w:sz="12" w:space="0" w:color="auto"/>
            </w:tcBorders>
            <w:shd w:val="clear" w:color="auto" w:fill="auto"/>
            <w:vAlign w:val="bottom"/>
          </w:tcPr>
          <w:p w14:paraId="756A8DAD"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Jóvenes infractores</w:t>
            </w:r>
          </w:p>
        </w:tc>
        <w:tc>
          <w:tcPr>
            <w:tcW w:w="850" w:type="dxa"/>
            <w:tcBorders>
              <w:top w:val="single" w:sz="4" w:space="0" w:color="auto"/>
              <w:bottom w:val="single" w:sz="12" w:space="0" w:color="auto"/>
            </w:tcBorders>
            <w:shd w:val="clear" w:color="auto" w:fill="auto"/>
            <w:vAlign w:val="bottom"/>
          </w:tcPr>
          <w:p w14:paraId="13CA2D2C"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Detenidos</w:t>
            </w:r>
          </w:p>
        </w:tc>
        <w:tc>
          <w:tcPr>
            <w:tcW w:w="993" w:type="dxa"/>
            <w:tcBorders>
              <w:top w:val="single" w:sz="4" w:space="0" w:color="auto"/>
              <w:bottom w:val="single" w:sz="12" w:space="0" w:color="auto"/>
            </w:tcBorders>
            <w:shd w:val="clear" w:color="auto" w:fill="auto"/>
            <w:vAlign w:val="bottom"/>
          </w:tcPr>
          <w:p w14:paraId="4E33A642"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Reclusos confinados</w:t>
            </w:r>
          </w:p>
        </w:tc>
        <w:tc>
          <w:tcPr>
            <w:tcW w:w="707" w:type="dxa"/>
            <w:tcBorders>
              <w:top w:val="single" w:sz="4" w:space="0" w:color="auto"/>
              <w:bottom w:val="single" w:sz="12" w:space="0" w:color="auto"/>
            </w:tcBorders>
            <w:shd w:val="clear" w:color="auto" w:fill="auto"/>
            <w:vAlign w:val="bottom"/>
          </w:tcPr>
          <w:p w14:paraId="2E7E1170"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Otros</w:t>
            </w:r>
          </w:p>
        </w:tc>
      </w:tr>
      <w:tr w:rsidR="00062B95" w:rsidRPr="00062B95" w14:paraId="21CE1989" w14:textId="77777777" w:rsidTr="00303490">
        <w:trPr>
          <w:trHeight w:val="240"/>
        </w:trPr>
        <w:tc>
          <w:tcPr>
            <w:tcW w:w="1701" w:type="dxa"/>
            <w:tcBorders>
              <w:top w:val="single" w:sz="12" w:space="0" w:color="auto"/>
            </w:tcBorders>
            <w:shd w:val="clear" w:color="auto" w:fill="auto"/>
          </w:tcPr>
          <w:p w14:paraId="1A1526C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Fecha de nacimiento desconocida</w:t>
            </w:r>
          </w:p>
        </w:tc>
        <w:tc>
          <w:tcPr>
            <w:tcW w:w="851" w:type="dxa"/>
            <w:tcBorders>
              <w:top w:val="single" w:sz="12" w:space="0" w:color="auto"/>
            </w:tcBorders>
            <w:shd w:val="clear" w:color="auto" w:fill="auto"/>
            <w:vAlign w:val="bottom"/>
          </w:tcPr>
          <w:p w14:paraId="387D3DE4"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189</w:t>
            </w:r>
          </w:p>
        </w:tc>
        <w:tc>
          <w:tcPr>
            <w:tcW w:w="1417" w:type="dxa"/>
            <w:tcBorders>
              <w:top w:val="single" w:sz="12" w:space="0" w:color="auto"/>
            </w:tcBorders>
            <w:shd w:val="clear" w:color="auto" w:fill="auto"/>
            <w:vAlign w:val="bottom"/>
          </w:tcPr>
          <w:p w14:paraId="37BC2401"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432</w:t>
            </w:r>
          </w:p>
        </w:tc>
        <w:tc>
          <w:tcPr>
            <w:tcW w:w="851" w:type="dxa"/>
            <w:tcBorders>
              <w:top w:val="single" w:sz="12" w:space="0" w:color="auto"/>
            </w:tcBorders>
            <w:shd w:val="clear" w:color="auto" w:fill="auto"/>
            <w:vAlign w:val="bottom"/>
          </w:tcPr>
          <w:p w14:paraId="47BDFB7A"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0</w:t>
            </w:r>
          </w:p>
        </w:tc>
        <w:tc>
          <w:tcPr>
            <w:tcW w:w="850" w:type="dxa"/>
            <w:tcBorders>
              <w:top w:val="single" w:sz="12" w:space="0" w:color="auto"/>
            </w:tcBorders>
            <w:shd w:val="clear" w:color="auto" w:fill="auto"/>
            <w:vAlign w:val="bottom"/>
          </w:tcPr>
          <w:p w14:paraId="5E654B3D"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83</w:t>
            </w:r>
          </w:p>
        </w:tc>
        <w:tc>
          <w:tcPr>
            <w:tcW w:w="993" w:type="dxa"/>
            <w:tcBorders>
              <w:top w:val="single" w:sz="12" w:space="0" w:color="auto"/>
            </w:tcBorders>
            <w:shd w:val="clear" w:color="auto" w:fill="auto"/>
            <w:vAlign w:val="bottom"/>
          </w:tcPr>
          <w:p w14:paraId="6F044DC8"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0</w:t>
            </w:r>
          </w:p>
        </w:tc>
        <w:tc>
          <w:tcPr>
            <w:tcW w:w="707" w:type="dxa"/>
            <w:tcBorders>
              <w:top w:val="single" w:sz="12" w:space="0" w:color="auto"/>
            </w:tcBorders>
            <w:shd w:val="clear" w:color="auto" w:fill="auto"/>
            <w:vAlign w:val="bottom"/>
          </w:tcPr>
          <w:p w14:paraId="1328DDB5"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1 075</w:t>
            </w:r>
          </w:p>
        </w:tc>
      </w:tr>
      <w:tr w:rsidR="00062B95" w:rsidRPr="00062B95" w14:paraId="695AFF74" w14:textId="77777777" w:rsidTr="00303490">
        <w:trPr>
          <w:trHeight w:val="240"/>
        </w:trPr>
        <w:tc>
          <w:tcPr>
            <w:tcW w:w="1701" w:type="dxa"/>
            <w:shd w:val="clear" w:color="auto" w:fill="auto"/>
          </w:tcPr>
          <w:p w14:paraId="7AB659C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Menos de 25 años</w:t>
            </w:r>
          </w:p>
        </w:tc>
        <w:tc>
          <w:tcPr>
            <w:tcW w:w="851" w:type="dxa"/>
            <w:shd w:val="clear" w:color="auto" w:fill="auto"/>
            <w:vAlign w:val="bottom"/>
          </w:tcPr>
          <w:p w14:paraId="409E6222"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44 216</w:t>
            </w:r>
          </w:p>
        </w:tc>
        <w:tc>
          <w:tcPr>
            <w:tcW w:w="1417" w:type="dxa"/>
            <w:shd w:val="clear" w:color="auto" w:fill="auto"/>
            <w:vAlign w:val="bottom"/>
          </w:tcPr>
          <w:p w14:paraId="17279988"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14 013</w:t>
            </w:r>
          </w:p>
        </w:tc>
        <w:tc>
          <w:tcPr>
            <w:tcW w:w="851" w:type="dxa"/>
            <w:shd w:val="clear" w:color="auto" w:fill="auto"/>
            <w:vAlign w:val="bottom"/>
          </w:tcPr>
          <w:p w14:paraId="6539AE73"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27</w:t>
            </w:r>
          </w:p>
        </w:tc>
        <w:tc>
          <w:tcPr>
            <w:tcW w:w="850" w:type="dxa"/>
            <w:shd w:val="clear" w:color="auto" w:fill="auto"/>
            <w:vAlign w:val="bottom"/>
          </w:tcPr>
          <w:p w14:paraId="70E66CE2"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441</w:t>
            </w:r>
          </w:p>
        </w:tc>
        <w:tc>
          <w:tcPr>
            <w:tcW w:w="993" w:type="dxa"/>
            <w:shd w:val="clear" w:color="auto" w:fill="auto"/>
            <w:vAlign w:val="bottom"/>
          </w:tcPr>
          <w:p w14:paraId="52EC04A6"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w:t>
            </w:r>
          </w:p>
        </w:tc>
        <w:tc>
          <w:tcPr>
            <w:tcW w:w="707" w:type="dxa"/>
            <w:shd w:val="clear" w:color="auto" w:fill="auto"/>
            <w:vAlign w:val="bottom"/>
          </w:tcPr>
          <w:p w14:paraId="437B3988"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152</w:t>
            </w:r>
          </w:p>
        </w:tc>
      </w:tr>
      <w:tr w:rsidR="00062B95" w:rsidRPr="00062B95" w14:paraId="63823D14" w14:textId="77777777" w:rsidTr="00303490">
        <w:trPr>
          <w:trHeight w:val="240"/>
        </w:trPr>
        <w:tc>
          <w:tcPr>
            <w:tcW w:w="1701" w:type="dxa"/>
            <w:shd w:val="clear" w:color="auto" w:fill="auto"/>
          </w:tcPr>
          <w:p w14:paraId="6306F84E" w14:textId="4339DE8A" w:rsidR="00062B95" w:rsidRPr="00062B95" w:rsidRDefault="00303490" w:rsidP="00062B95">
            <w:pPr>
              <w:pStyle w:val="SingleTxtG"/>
              <w:tabs>
                <w:tab w:val="clear" w:pos="1701"/>
                <w:tab w:val="clear" w:pos="2268"/>
                <w:tab w:val="clear" w:pos="2835"/>
              </w:tabs>
              <w:spacing w:before="40" w:after="40" w:line="220" w:lineRule="exact"/>
              <w:ind w:left="0" w:right="0"/>
              <w:jc w:val="left"/>
              <w:rPr>
                <w:sz w:val="18"/>
                <w:lang w:val="es-ES_tradnl"/>
              </w:rPr>
            </w:pPr>
            <w:r>
              <w:rPr>
                <w:sz w:val="18"/>
                <w:lang w:val="es-ES_tradnl"/>
              </w:rPr>
              <w:t xml:space="preserve">De </w:t>
            </w:r>
            <w:r w:rsidR="00062B95" w:rsidRPr="00062B95">
              <w:rPr>
                <w:sz w:val="18"/>
                <w:lang w:val="es-ES_tradnl"/>
              </w:rPr>
              <w:t xml:space="preserve">25 </w:t>
            </w:r>
            <w:r>
              <w:rPr>
                <w:sz w:val="18"/>
                <w:lang w:val="es-ES_tradnl"/>
              </w:rPr>
              <w:t>a</w:t>
            </w:r>
            <w:r w:rsidR="00062B95" w:rsidRPr="00062B95">
              <w:rPr>
                <w:sz w:val="18"/>
                <w:lang w:val="es-ES_tradnl"/>
              </w:rPr>
              <w:t xml:space="preserve"> 30 años</w:t>
            </w:r>
          </w:p>
        </w:tc>
        <w:tc>
          <w:tcPr>
            <w:tcW w:w="851" w:type="dxa"/>
            <w:shd w:val="clear" w:color="auto" w:fill="auto"/>
            <w:vAlign w:val="bottom"/>
          </w:tcPr>
          <w:p w14:paraId="1D70A925"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73 967</w:t>
            </w:r>
          </w:p>
        </w:tc>
        <w:tc>
          <w:tcPr>
            <w:tcW w:w="1417" w:type="dxa"/>
            <w:shd w:val="clear" w:color="auto" w:fill="auto"/>
            <w:vAlign w:val="bottom"/>
          </w:tcPr>
          <w:p w14:paraId="0615BDFF"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15 015</w:t>
            </w:r>
          </w:p>
        </w:tc>
        <w:tc>
          <w:tcPr>
            <w:tcW w:w="851" w:type="dxa"/>
            <w:shd w:val="clear" w:color="auto" w:fill="auto"/>
            <w:vAlign w:val="bottom"/>
          </w:tcPr>
          <w:p w14:paraId="0B26930B"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11</w:t>
            </w:r>
          </w:p>
        </w:tc>
        <w:tc>
          <w:tcPr>
            <w:tcW w:w="850" w:type="dxa"/>
            <w:shd w:val="clear" w:color="auto" w:fill="auto"/>
            <w:vAlign w:val="bottom"/>
          </w:tcPr>
          <w:p w14:paraId="61E3B156"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369</w:t>
            </w:r>
          </w:p>
        </w:tc>
        <w:tc>
          <w:tcPr>
            <w:tcW w:w="993" w:type="dxa"/>
            <w:shd w:val="clear" w:color="auto" w:fill="auto"/>
            <w:vAlign w:val="bottom"/>
          </w:tcPr>
          <w:p w14:paraId="77170DC0"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5</w:t>
            </w:r>
          </w:p>
        </w:tc>
        <w:tc>
          <w:tcPr>
            <w:tcW w:w="707" w:type="dxa"/>
            <w:shd w:val="clear" w:color="auto" w:fill="auto"/>
            <w:vAlign w:val="bottom"/>
          </w:tcPr>
          <w:p w14:paraId="4A7772F7"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166</w:t>
            </w:r>
          </w:p>
        </w:tc>
      </w:tr>
      <w:tr w:rsidR="00062B95" w:rsidRPr="00062B95" w14:paraId="2C514B8D" w14:textId="77777777" w:rsidTr="00303490">
        <w:trPr>
          <w:trHeight w:val="240"/>
        </w:trPr>
        <w:tc>
          <w:tcPr>
            <w:tcW w:w="1701" w:type="dxa"/>
            <w:shd w:val="clear" w:color="auto" w:fill="auto"/>
          </w:tcPr>
          <w:p w14:paraId="166E0FD2" w14:textId="15DBE2D2" w:rsidR="00062B95" w:rsidRPr="00062B95" w:rsidRDefault="00303490" w:rsidP="00062B95">
            <w:pPr>
              <w:pStyle w:val="SingleTxtG"/>
              <w:tabs>
                <w:tab w:val="clear" w:pos="1701"/>
                <w:tab w:val="clear" w:pos="2268"/>
                <w:tab w:val="clear" w:pos="2835"/>
              </w:tabs>
              <w:spacing w:before="40" w:after="40" w:line="220" w:lineRule="exact"/>
              <w:ind w:left="0" w:right="0"/>
              <w:jc w:val="left"/>
              <w:rPr>
                <w:sz w:val="18"/>
                <w:lang w:val="es-ES_tradnl"/>
              </w:rPr>
            </w:pPr>
            <w:r>
              <w:rPr>
                <w:sz w:val="18"/>
                <w:lang w:val="es-ES_tradnl"/>
              </w:rPr>
              <w:t xml:space="preserve">De </w:t>
            </w:r>
            <w:r w:rsidR="00062B95" w:rsidRPr="00062B95">
              <w:rPr>
                <w:sz w:val="18"/>
                <w:lang w:val="es-ES_tradnl"/>
              </w:rPr>
              <w:t xml:space="preserve">31 </w:t>
            </w:r>
            <w:r>
              <w:rPr>
                <w:sz w:val="18"/>
                <w:lang w:val="es-ES_tradnl"/>
              </w:rPr>
              <w:t>a</w:t>
            </w:r>
            <w:r w:rsidR="00062B95" w:rsidRPr="00062B95">
              <w:rPr>
                <w:sz w:val="18"/>
                <w:lang w:val="es-ES_tradnl"/>
              </w:rPr>
              <w:t xml:space="preserve"> 40 años</w:t>
            </w:r>
          </w:p>
        </w:tc>
        <w:tc>
          <w:tcPr>
            <w:tcW w:w="851" w:type="dxa"/>
            <w:shd w:val="clear" w:color="auto" w:fill="auto"/>
            <w:vAlign w:val="bottom"/>
          </w:tcPr>
          <w:p w14:paraId="17619FD1"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115 900</w:t>
            </w:r>
          </w:p>
        </w:tc>
        <w:tc>
          <w:tcPr>
            <w:tcW w:w="1417" w:type="dxa"/>
            <w:shd w:val="clear" w:color="auto" w:fill="auto"/>
            <w:vAlign w:val="bottom"/>
          </w:tcPr>
          <w:p w14:paraId="173CD511"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20 773</w:t>
            </w:r>
          </w:p>
        </w:tc>
        <w:tc>
          <w:tcPr>
            <w:tcW w:w="851" w:type="dxa"/>
            <w:shd w:val="clear" w:color="auto" w:fill="auto"/>
            <w:vAlign w:val="bottom"/>
          </w:tcPr>
          <w:p w14:paraId="13C6B33D"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5</w:t>
            </w:r>
          </w:p>
        </w:tc>
        <w:tc>
          <w:tcPr>
            <w:tcW w:w="850" w:type="dxa"/>
            <w:shd w:val="clear" w:color="auto" w:fill="auto"/>
            <w:vAlign w:val="bottom"/>
          </w:tcPr>
          <w:p w14:paraId="48D6D844"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508</w:t>
            </w:r>
          </w:p>
        </w:tc>
        <w:tc>
          <w:tcPr>
            <w:tcW w:w="993" w:type="dxa"/>
            <w:shd w:val="clear" w:color="auto" w:fill="auto"/>
            <w:vAlign w:val="bottom"/>
          </w:tcPr>
          <w:p w14:paraId="75338FE0"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20</w:t>
            </w:r>
          </w:p>
        </w:tc>
        <w:tc>
          <w:tcPr>
            <w:tcW w:w="707" w:type="dxa"/>
            <w:shd w:val="clear" w:color="auto" w:fill="auto"/>
            <w:vAlign w:val="bottom"/>
          </w:tcPr>
          <w:p w14:paraId="56238926"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261</w:t>
            </w:r>
          </w:p>
        </w:tc>
      </w:tr>
      <w:tr w:rsidR="00062B95" w:rsidRPr="00062B95" w14:paraId="74E9A9F0" w14:textId="77777777" w:rsidTr="00303490">
        <w:trPr>
          <w:trHeight w:val="240"/>
        </w:trPr>
        <w:tc>
          <w:tcPr>
            <w:tcW w:w="1701" w:type="dxa"/>
            <w:shd w:val="clear" w:color="auto" w:fill="auto"/>
          </w:tcPr>
          <w:p w14:paraId="45CC2468" w14:textId="24E58F96" w:rsidR="00062B95" w:rsidRPr="00062B95" w:rsidRDefault="00303490" w:rsidP="00062B95">
            <w:pPr>
              <w:pStyle w:val="SingleTxtG"/>
              <w:tabs>
                <w:tab w:val="clear" w:pos="1701"/>
                <w:tab w:val="clear" w:pos="2268"/>
                <w:tab w:val="clear" w:pos="2835"/>
              </w:tabs>
              <w:spacing w:before="40" w:after="40" w:line="220" w:lineRule="exact"/>
              <w:ind w:left="0" w:right="0"/>
              <w:jc w:val="left"/>
              <w:rPr>
                <w:sz w:val="18"/>
                <w:lang w:val="es-ES_tradnl"/>
              </w:rPr>
            </w:pPr>
            <w:r>
              <w:rPr>
                <w:sz w:val="18"/>
                <w:lang w:val="es-ES_tradnl"/>
              </w:rPr>
              <w:t xml:space="preserve">De </w:t>
            </w:r>
            <w:r w:rsidR="00062B95" w:rsidRPr="00062B95">
              <w:rPr>
                <w:sz w:val="18"/>
                <w:lang w:val="es-ES_tradnl"/>
              </w:rPr>
              <w:t xml:space="preserve">41 </w:t>
            </w:r>
            <w:r>
              <w:rPr>
                <w:sz w:val="18"/>
                <w:lang w:val="es-ES_tradnl"/>
              </w:rPr>
              <w:t>a</w:t>
            </w:r>
            <w:r w:rsidR="00062B95" w:rsidRPr="00062B95">
              <w:rPr>
                <w:sz w:val="18"/>
                <w:lang w:val="es-ES_tradnl"/>
              </w:rPr>
              <w:t xml:space="preserve"> 50 años</w:t>
            </w:r>
          </w:p>
        </w:tc>
        <w:tc>
          <w:tcPr>
            <w:tcW w:w="851" w:type="dxa"/>
            <w:shd w:val="clear" w:color="auto" w:fill="auto"/>
            <w:vAlign w:val="bottom"/>
          </w:tcPr>
          <w:p w14:paraId="439D8EDC"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52 728</w:t>
            </w:r>
          </w:p>
        </w:tc>
        <w:tc>
          <w:tcPr>
            <w:tcW w:w="1417" w:type="dxa"/>
            <w:shd w:val="clear" w:color="auto" w:fill="auto"/>
            <w:vAlign w:val="bottom"/>
          </w:tcPr>
          <w:p w14:paraId="0E7E690A"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9 080</w:t>
            </w:r>
          </w:p>
        </w:tc>
        <w:tc>
          <w:tcPr>
            <w:tcW w:w="851" w:type="dxa"/>
            <w:shd w:val="clear" w:color="auto" w:fill="auto"/>
            <w:vAlign w:val="bottom"/>
          </w:tcPr>
          <w:p w14:paraId="22905351"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0</w:t>
            </w:r>
          </w:p>
        </w:tc>
        <w:tc>
          <w:tcPr>
            <w:tcW w:w="850" w:type="dxa"/>
            <w:shd w:val="clear" w:color="auto" w:fill="auto"/>
            <w:vAlign w:val="bottom"/>
          </w:tcPr>
          <w:p w14:paraId="15D90420"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267</w:t>
            </w:r>
          </w:p>
        </w:tc>
        <w:tc>
          <w:tcPr>
            <w:tcW w:w="993" w:type="dxa"/>
            <w:shd w:val="clear" w:color="auto" w:fill="auto"/>
            <w:vAlign w:val="bottom"/>
          </w:tcPr>
          <w:p w14:paraId="417FEDDB"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10</w:t>
            </w:r>
          </w:p>
        </w:tc>
        <w:tc>
          <w:tcPr>
            <w:tcW w:w="707" w:type="dxa"/>
            <w:shd w:val="clear" w:color="auto" w:fill="auto"/>
            <w:vAlign w:val="bottom"/>
          </w:tcPr>
          <w:p w14:paraId="63D4C72B"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93</w:t>
            </w:r>
          </w:p>
        </w:tc>
      </w:tr>
      <w:tr w:rsidR="00062B95" w:rsidRPr="00062B95" w14:paraId="418421A7" w14:textId="77777777" w:rsidTr="00303490">
        <w:trPr>
          <w:trHeight w:val="240"/>
        </w:trPr>
        <w:tc>
          <w:tcPr>
            <w:tcW w:w="1701" w:type="dxa"/>
            <w:shd w:val="clear" w:color="auto" w:fill="auto"/>
          </w:tcPr>
          <w:p w14:paraId="43295CEA" w14:textId="636EF299" w:rsidR="00062B95" w:rsidRPr="00062B95" w:rsidRDefault="00303490" w:rsidP="00062B95">
            <w:pPr>
              <w:pStyle w:val="SingleTxtG"/>
              <w:tabs>
                <w:tab w:val="clear" w:pos="1701"/>
                <w:tab w:val="clear" w:pos="2268"/>
                <w:tab w:val="clear" w:pos="2835"/>
              </w:tabs>
              <w:spacing w:before="40" w:after="40" w:line="220" w:lineRule="exact"/>
              <w:ind w:left="0" w:right="0"/>
              <w:jc w:val="left"/>
              <w:rPr>
                <w:sz w:val="18"/>
                <w:lang w:val="es-ES_tradnl"/>
              </w:rPr>
            </w:pPr>
            <w:r>
              <w:rPr>
                <w:sz w:val="18"/>
                <w:lang w:val="es-ES_tradnl"/>
              </w:rPr>
              <w:t xml:space="preserve">De </w:t>
            </w:r>
            <w:r w:rsidR="00062B95" w:rsidRPr="00062B95">
              <w:rPr>
                <w:sz w:val="18"/>
                <w:lang w:val="es-ES_tradnl"/>
              </w:rPr>
              <w:t xml:space="preserve">51 </w:t>
            </w:r>
            <w:r>
              <w:rPr>
                <w:sz w:val="18"/>
                <w:lang w:val="es-ES_tradnl"/>
              </w:rPr>
              <w:t xml:space="preserve">a </w:t>
            </w:r>
            <w:r w:rsidR="00062B95" w:rsidRPr="00062B95">
              <w:rPr>
                <w:sz w:val="18"/>
                <w:lang w:val="es-ES_tradnl"/>
              </w:rPr>
              <w:t>60 años</w:t>
            </w:r>
          </w:p>
        </w:tc>
        <w:tc>
          <w:tcPr>
            <w:tcW w:w="851" w:type="dxa"/>
            <w:shd w:val="clear" w:color="auto" w:fill="auto"/>
            <w:vAlign w:val="bottom"/>
          </w:tcPr>
          <w:p w14:paraId="24DE593F"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18 554</w:t>
            </w:r>
          </w:p>
        </w:tc>
        <w:tc>
          <w:tcPr>
            <w:tcW w:w="1417" w:type="dxa"/>
            <w:shd w:val="clear" w:color="auto" w:fill="auto"/>
            <w:vAlign w:val="bottom"/>
          </w:tcPr>
          <w:p w14:paraId="0112905F"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3 134</w:t>
            </w:r>
          </w:p>
        </w:tc>
        <w:tc>
          <w:tcPr>
            <w:tcW w:w="851" w:type="dxa"/>
            <w:shd w:val="clear" w:color="auto" w:fill="auto"/>
            <w:vAlign w:val="bottom"/>
          </w:tcPr>
          <w:p w14:paraId="40392EC1"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0</w:t>
            </w:r>
          </w:p>
        </w:tc>
        <w:tc>
          <w:tcPr>
            <w:tcW w:w="850" w:type="dxa"/>
            <w:shd w:val="clear" w:color="auto" w:fill="auto"/>
            <w:vAlign w:val="bottom"/>
          </w:tcPr>
          <w:p w14:paraId="6CC37C53"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94</w:t>
            </w:r>
          </w:p>
        </w:tc>
        <w:tc>
          <w:tcPr>
            <w:tcW w:w="993" w:type="dxa"/>
            <w:shd w:val="clear" w:color="auto" w:fill="auto"/>
            <w:vAlign w:val="bottom"/>
          </w:tcPr>
          <w:p w14:paraId="22857C22"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4</w:t>
            </w:r>
          </w:p>
        </w:tc>
        <w:tc>
          <w:tcPr>
            <w:tcW w:w="707" w:type="dxa"/>
            <w:shd w:val="clear" w:color="auto" w:fill="auto"/>
            <w:vAlign w:val="bottom"/>
          </w:tcPr>
          <w:p w14:paraId="75F7E11E"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38</w:t>
            </w:r>
          </w:p>
        </w:tc>
      </w:tr>
      <w:tr w:rsidR="00303490" w:rsidRPr="00062B95" w14:paraId="3DFAFBFD" w14:textId="77777777" w:rsidTr="00303490">
        <w:trPr>
          <w:trHeight w:val="240"/>
        </w:trPr>
        <w:tc>
          <w:tcPr>
            <w:tcW w:w="1701" w:type="dxa"/>
            <w:tcBorders>
              <w:bottom w:val="single" w:sz="4" w:space="0" w:color="auto"/>
            </w:tcBorders>
            <w:shd w:val="clear" w:color="auto" w:fill="auto"/>
          </w:tcPr>
          <w:p w14:paraId="050BD0E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Más de 60 años</w:t>
            </w:r>
          </w:p>
        </w:tc>
        <w:tc>
          <w:tcPr>
            <w:tcW w:w="851" w:type="dxa"/>
            <w:tcBorders>
              <w:bottom w:val="single" w:sz="4" w:space="0" w:color="auto"/>
            </w:tcBorders>
            <w:shd w:val="clear" w:color="auto" w:fill="auto"/>
            <w:vAlign w:val="bottom"/>
          </w:tcPr>
          <w:p w14:paraId="315AABA0"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5 971</w:t>
            </w:r>
          </w:p>
        </w:tc>
        <w:tc>
          <w:tcPr>
            <w:tcW w:w="1417" w:type="dxa"/>
            <w:tcBorders>
              <w:bottom w:val="single" w:sz="4" w:space="0" w:color="auto"/>
            </w:tcBorders>
            <w:shd w:val="clear" w:color="auto" w:fill="auto"/>
            <w:vAlign w:val="bottom"/>
          </w:tcPr>
          <w:p w14:paraId="7E76F44F"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925</w:t>
            </w:r>
          </w:p>
        </w:tc>
        <w:tc>
          <w:tcPr>
            <w:tcW w:w="851" w:type="dxa"/>
            <w:tcBorders>
              <w:bottom w:val="single" w:sz="4" w:space="0" w:color="auto"/>
            </w:tcBorders>
            <w:shd w:val="clear" w:color="auto" w:fill="auto"/>
            <w:vAlign w:val="bottom"/>
          </w:tcPr>
          <w:p w14:paraId="34877D13"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0</w:t>
            </w:r>
          </w:p>
        </w:tc>
        <w:tc>
          <w:tcPr>
            <w:tcW w:w="850" w:type="dxa"/>
            <w:tcBorders>
              <w:bottom w:val="single" w:sz="4" w:space="0" w:color="auto"/>
            </w:tcBorders>
            <w:shd w:val="clear" w:color="auto" w:fill="auto"/>
            <w:vAlign w:val="bottom"/>
          </w:tcPr>
          <w:p w14:paraId="4CD61DD7"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24</w:t>
            </w:r>
          </w:p>
        </w:tc>
        <w:tc>
          <w:tcPr>
            <w:tcW w:w="993" w:type="dxa"/>
            <w:tcBorders>
              <w:bottom w:val="single" w:sz="4" w:space="0" w:color="auto"/>
            </w:tcBorders>
            <w:shd w:val="clear" w:color="auto" w:fill="auto"/>
            <w:vAlign w:val="bottom"/>
          </w:tcPr>
          <w:p w14:paraId="4D439613"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0</w:t>
            </w:r>
          </w:p>
        </w:tc>
        <w:tc>
          <w:tcPr>
            <w:tcW w:w="707" w:type="dxa"/>
            <w:tcBorders>
              <w:bottom w:val="single" w:sz="4" w:space="0" w:color="auto"/>
            </w:tcBorders>
            <w:shd w:val="clear" w:color="auto" w:fill="auto"/>
            <w:vAlign w:val="bottom"/>
          </w:tcPr>
          <w:p w14:paraId="34E12FFE"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11</w:t>
            </w:r>
          </w:p>
        </w:tc>
      </w:tr>
      <w:tr w:rsidR="00062B95" w:rsidRPr="00303490" w14:paraId="4317F4B2" w14:textId="77777777" w:rsidTr="00303490">
        <w:trPr>
          <w:trHeight w:val="240"/>
        </w:trPr>
        <w:tc>
          <w:tcPr>
            <w:tcW w:w="1701" w:type="dxa"/>
            <w:tcBorders>
              <w:top w:val="single" w:sz="4" w:space="0" w:color="auto"/>
              <w:bottom w:val="single" w:sz="12" w:space="0" w:color="auto"/>
            </w:tcBorders>
            <w:shd w:val="clear" w:color="auto" w:fill="auto"/>
          </w:tcPr>
          <w:p w14:paraId="60A1F525" w14:textId="77777777" w:rsidR="00062B95" w:rsidRPr="00062B95" w:rsidRDefault="00062B95" w:rsidP="00303490">
            <w:pPr>
              <w:pStyle w:val="SingleTxtG"/>
              <w:tabs>
                <w:tab w:val="clear" w:pos="1701"/>
                <w:tab w:val="clear" w:pos="2268"/>
                <w:tab w:val="clear" w:pos="2835"/>
              </w:tabs>
              <w:spacing w:before="80" w:after="80" w:line="220" w:lineRule="exact"/>
              <w:ind w:left="283" w:right="0"/>
              <w:jc w:val="left"/>
              <w:rPr>
                <w:b/>
                <w:bCs/>
                <w:sz w:val="18"/>
                <w:lang w:val="es-ES_tradnl"/>
              </w:rPr>
            </w:pPr>
            <w:r w:rsidRPr="00062B95">
              <w:rPr>
                <w:b/>
                <w:bCs/>
                <w:sz w:val="18"/>
                <w:lang w:val="es-ES_tradnl"/>
              </w:rPr>
              <w:t>Total</w:t>
            </w:r>
          </w:p>
        </w:tc>
        <w:tc>
          <w:tcPr>
            <w:tcW w:w="851" w:type="dxa"/>
            <w:tcBorders>
              <w:top w:val="single" w:sz="4" w:space="0" w:color="auto"/>
              <w:bottom w:val="single" w:sz="12" w:space="0" w:color="auto"/>
            </w:tcBorders>
            <w:shd w:val="clear" w:color="auto" w:fill="auto"/>
            <w:vAlign w:val="bottom"/>
          </w:tcPr>
          <w:p w14:paraId="40467D49"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sz w:val="18"/>
                <w:lang w:val="es-ES_tradnl"/>
              </w:rPr>
            </w:pPr>
            <w:r w:rsidRPr="00062B95">
              <w:rPr>
                <w:b/>
                <w:sz w:val="18"/>
                <w:lang w:val="es-ES_tradnl"/>
              </w:rPr>
              <w:t>311 525</w:t>
            </w:r>
          </w:p>
        </w:tc>
        <w:tc>
          <w:tcPr>
            <w:tcW w:w="1417" w:type="dxa"/>
            <w:tcBorders>
              <w:top w:val="single" w:sz="4" w:space="0" w:color="auto"/>
              <w:bottom w:val="single" w:sz="12" w:space="0" w:color="auto"/>
            </w:tcBorders>
            <w:shd w:val="clear" w:color="auto" w:fill="auto"/>
            <w:vAlign w:val="bottom"/>
          </w:tcPr>
          <w:p w14:paraId="6B41221F"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sz w:val="18"/>
                <w:lang w:val="es-ES_tradnl"/>
              </w:rPr>
            </w:pPr>
            <w:r w:rsidRPr="00062B95">
              <w:rPr>
                <w:b/>
                <w:sz w:val="18"/>
                <w:lang w:val="es-ES_tradnl"/>
              </w:rPr>
              <w:t>63 372</w:t>
            </w:r>
          </w:p>
        </w:tc>
        <w:tc>
          <w:tcPr>
            <w:tcW w:w="851" w:type="dxa"/>
            <w:tcBorders>
              <w:top w:val="single" w:sz="4" w:space="0" w:color="auto"/>
              <w:bottom w:val="single" w:sz="12" w:space="0" w:color="auto"/>
            </w:tcBorders>
            <w:shd w:val="clear" w:color="auto" w:fill="auto"/>
            <w:vAlign w:val="bottom"/>
          </w:tcPr>
          <w:p w14:paraId="3CC6FFD7"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sz w:val="18"/>
                <w:lang w:val="es-ES_tradnl"/>
              </w:rPr>
            </w:pPr>
            <w:r w:rsidRPr="00062B95">
              <w:rPr>
                <w:b/>
                <w:sz w:val="18"/>
                <w:lang w:val="es-ES_tradnl"/>
              </w:rPr>
              <w:t>43</w:t>
            </w:r>
          </w:p>
        </w:tc>
        <w:tc>
          <w:tcPr>
            <w:tcW w:w="850" w:type="dxa"/>
            <w:tcBorders>
              <w:top w:val="single" w:sz="4" w:space="0" w:color="auto"/>
              <w:bottom w:val="single" w:sz="12" w:space="0" w:color="auto"/>
            </w:tcBorders>
            <w:shd w:val="clear" w:color="auto" w:fill="auto"/>
            <w:vAlign w:val="bottom"/>
          </w:tcPr>
          <w:p w14:paraId="3951A942"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sz w:val="18"/>
                <w:lang w:val="es-ES_tradnl"/>
              </w:rPr>
            </w:pPr>
            <w:r w:rsidRPr="00062B95">
              <w:rPr>
                <w:b/>
                <w:sz w:val="18"/>
                <w:lang w:val="es-ES_tradnl"/>
              </w:rPr>
              <w:t>1 786</w:t>
            </w:r>
          </w:p>
        </w:tc>
        <w:tc>
          <w:tcPr>
            <w:tcW w:w="993" w:type="dxa"/>
            <w:tcBorders>
              <w:top w:val="single" w:sz="4" w:space="0" w:color="auto"/>
              <w:bottom w:val="single" w:sz="12" w:space="0" w:color="auto"/>
            </w:tcBorders>
            <w:shd w:val="clear" w:color="auto" w:fill="auto"/>
            <w:vAlign w:val="bottom"/>
          </w:tcPr>
          <w:p w14:paraId="0CD70DC4"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sz w:val="18"/>
                <w:lang w:val="es-ES_tradnl"/>
              </w:rPr>
            </w:pPr>
            <w:r w:rsidRPr="00062B95">
              <w:rPr>
                <w:b/>
                <w:sz w:val="18"/>
                <w:lang w:val="es-ES_tradnl"/>
              </w:rPr>
              <w:t>40</w:t>
            </w:r>
          </w:p>
        </w:tc>
        <w:tc>
          <w:tcPr>
            <w:tcW w:w="707" w:type="dxa"/>
            <w:tcBorders>
              <w:top w:val="single" w:sz="4" w:space="0" w:color="auto"/>
              <w:bottom w:val="single" w:sz="12" w:space="0" w:color="auto"/>
            </w:tcBorders>
            <w:shd w:val="clear" w:color="auto" w:fill="auto"/>
            <w:vAlign w:val="bottom"/>
          </w:tcPr>
          <w:p w14:paraId="3137C1F0"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sz w:val="18"/>
                <w:lang w:val="es-ES_tradnl"/>
              </w:rPr>
            </w:pPr>
            <w:r w:rsidRPr="00062B95">
              <w:rPr>
                <w:b/>
                <w:sz w:val="18"/>
                <w:lang w:val="es-ES_tradnl"/>
              </w:rPr>
              <w:t>1 796</w:t>
            </w:r>
          </w:p>
        </w:tc>
      </w:tr>
    </w:tbl>
    <w:p w14:paraId="091328B5" w14:textId="77777777" w:rsidR="00062B95" w:rsidRPr="00062B95" w:rsidRDefault="00062B95" w:rsidP="00303490">
      <w:pPr>
        <w:pStyle w:val="H23G"/>
        <w:rPr>
          <w:lang w:val="es-ES_tradnl"/>
        </w:rPr>
      </w:pPr>
      <w:r w:rsidRPr="00062B95">
        <w:rPr>
          <w:lang w:val="es-ES_tradnl"/>
        </w:rPr>
        <w:tab/>
      </w:r>
      <w:r w:rsidRPr="00062B95">
        <w:rPr>
          <w:lang w:val="es-ES_tradnl"/>
        </w:rPr>
        <w:tab/>
        <w:t>Datos desglosados por género</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560"/>
        <w:gridCol w:w="992"/>
        <w:gridCol w:w="1417"/>
        <w:gridCol w:w="851"/>
        <w:gridCol w:w="850"/>
        <w:gridCol w:w="993"/>
        <w:gridCol w:w="707"/>
      </w:tblGrid>
      <w:tr w:rsidR="00062B95" w:rsidRPr="00062B95" w14:paraId="64B4BB80" w14:textId="77777777" w:rsidTr="00303490">
        <w:trPr>
          <w:trHeight w:val="240"/>
          <w:tblHeader/>
        </w:trPr>
        <w:tc>
          <w:tcPr>
            <w:tcW w:w="1560" w:type="dxa"/>
            <w:tcBorders>
              <w:top w:val="single" w:sz="4" w:space="0" w:color="auto"/>
              <w:bottom w:val="single" w:sz="12" w:space="0" w:color="auto"/>
            </w:tcBorders>
            <w:shd w:val="clear" w:color="auto" w:fill="auto"/>
            <w:vAlign w:val="bottom"/>
          </w:tcPr>
          <w:p w14:paraId="3F0D6BA4"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bCs/>
                <w:i/>
                <w:sz w:val="16"/>
                <w:lang w:val="es-ES_tradnl"/>
              </w:rPr>
            </w:pPr>
            <w:r w:rsidRPr="00062B95">
              <w:rPr>
                <w:bCs/>
                <w:i/>
                <w:sz w:val="16"/>
                <w:lang w:val="es-ES_tradnl"/>
              </w:rPr>
              <w:t>Género</w:t>
            </w:r>
          </w:p>
        </w:tc>
        <w:tc>
          <w:tcPr>
            <w:tcW w:w="992" w:type="dxa"/>
            <w:tcBorders>
              <w:top w:val="single" w:sz="4" w:space="0" w:color="auto"/>
              <w:bottom w:val="single" w:sz="12" w:space="0" w:color="auto"/>
            </w:tcBorders>
            <w:shd w:val="clear" w:color="auto" w:fill="auto"/>
            <w:vAlign w:val="bottom"/>
          </w:tcPr>
          <w:p w14:paraId="00E73BCA"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Reclusos condenados</w:t>
            </w:r>
          </w:p>
        </w:tc>
        <w:tc>
          <w:tcPr>
            <w:tcW w:w="1417" w:type="dxa"/>
            <w:tcBorders>
              <w:top w:val="single" w:sz="4" w:space="0" w:color="auto"/>
              <w:bottom w:val="single" w:sz="12" w:space="0" w:color="auto"/>
            </w:tcBorders>
            <w:shd w:val="clear" w:color="auto" w:fill="auto"/>
            <w:vAlign w:val="bottom"/>
          </w:tcPr>
          <w:p w14:paraId="41ED5341"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Reclusos en prisión preventiva</w:t>
            </w:r>
          </w:p>
        </w:tc>
        <w:tc>
          <w:tcPr>
            <w:tcW w:w="851" w:type="dxa"/>
            <w:tcBorders>
              <w:top w:val="single" w:sz="4" w:space="0" w:color="auto"/>
              <w:bottom w:val="single" w:sz="12" w:space="0" w:color="auto"/>
            </w:tcBorders>
            <w:shd w:val="clear" w:color="auto" w:fill="auto"/>
            <w:vAlign w:val="bottom"/>
          </w:tcPr>
          <w:p w14:paraId="489FB829"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Jóvenes infractores</w:t>
            </w:r>
          </w:p>
        </w:tc>
        <w:tc>
          <w:tcPr>
            <w:tcW w:w="850" w:type="dxa"/>
            <w:tcBorders>
              <w:top w:val="single" w:sz="4" w:space="0" w:color="auto"/>
              <w:bottom w:val="single" w:sz="12" w:space="0" w:color="auto"/>
            </w:tcBorders>
            <w:shd w:val="clear" w:color="auto" w:fill="auto"/>
            <w:vAlign w:val="bottom"/>
          </w:tcPr>
          <w:p w14:paraId="3268D024"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Detenidos</w:t>
            </w:r>
          </w:p>
        </w:tc>
        <w:tc>
          <w:tcPr>
            <w:tcW w:w="993" w:type="dxa"/>
            <w:tcBorders>
              <w:top w:val="single" w:sz="4" w:space="0" w:color="auto"/>
              <w:bottom w:val="single" w:sz="12" w:space="0" w:color="auto"/>
            </w:tcBorders>
            <w:shd w:val="clear" w:color="auto" w:fill="auto"/>
            <w:vAlign w:val="bottom"/>
          </w:tcPr>
          <w:p w14:paraId="7A05C759"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Reclusos confinados</w:t>
            </w:r>
          </w:p>
        </w:tc>
        <w:tc>
          <w:tcPr>
            <w:tcW w:w="707" w:type="dxa"/>
            <w:tcBorders>
              <w:top w:val="single" w:sz="4" w:space="0" w:color="auto"/>
              <w:bottom w:val="single" w:sz="12" w:space="0" w:color="auto"/>
            </w:tcBorders>
            <w:shd w:val="clear" w:color="auto" w:fill="auto"/>
            <w:vAlign w:val="bottom"/>
          </w:tcPr>
          <w:p w14:paraId="4ABD8C1B" w14:textId="77777777" w:rsidR="00062B95" w:rsidRPr="00062B95" w:rsidRDefault="00062B95" w:rsidP="00303490">
            <w:pPr>
              <w:pStyle w:val="SingleTxtG"/>
              <w:tabs>
                <w:tab w:val="clear" w:pos="1701"/>
                <w:tab w:val="clear" w:pos="2268"/>
                <w:tab w:val="clear" w:pos="2835"/>
              </w:tabs>
              <w:spacing w:before="80" w:after="80" w:line="200" w:lineRule="exact"/>
              <w:ind w:left="57" w:right="28"/>
              <w:jc w:val="right"/>
              <w:rPr>
                <w:bCs/>
                <w:i/>
                <w:sz w:val="16"/>
                <w:lang w:val="es-ES_tradnl"/>
              </w:rPr>
            </w:pPr>
            <w:r w:rsidRPr="00062B95">
              <w:rPr>
                <w:bCs/>
                <w:i/>
                <w:sz w:val="16"/>
                <w:lang w:val="es-ES_tradnl"/>
              </w:rPr>
              <w:t>Otros</w:t>
            </w:r>
          </w:p>
        </w:tc>
      </w:tr>
      <w:tr w:rsidR="00062B95" w:rsidRPr="00062B95" w14:paraId="6613E245" w14:textId="77777777" w:rsidTr="00303490">
        <w:trPr>
          <w:trHeight w:val="240"/>
        </w:trPr>
        <w:tc>
          <w:tcPr>
            <w:tcW w:w="1560" w:type="dxa"/>
            <w:tcBorders>
              <w:top w:val="single" w:sz="12" w:space="0" w:color="auto"/>
            </w:tcBorders>
            <w:shd w:val="clear" w:color="auto" w:fill="auto"/>
          </w:tcPr>
          <w:p w14:paraId="048A199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Hombre</w:t>
            </w:r>
          </w:p>
        </w:tc>
        <w:tc>
          <w:tcPr>
            <w:tcW w:w="992" w:type="dxa"/>
            <w:tcBorders>
              <w:top w:val="single" w:sz="12" w:space="0" w:color="auto"/>
            </w:tcBorders>
            <w:shd w:val="clear" w:color="auto" w:fill="auto"/>
            <w:vAlign w:val="bottom"/>
          </w:tcPr>
          <w:p w14:paraId="41043B2D"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271 384</w:t>
            </w:r>
          </w:p>
        </w:tc>
        <w:tc>
          <w:tcPr>
            <w:tcW w:w="1417" w:type="dxa"/>
            <w:tcBorders>
              <w:top w:val="single" w:sz="12" w:space="0" w:color="auto"/>
            </w:tcBorders>
            <w:shd w:val="clear" w:color="auto" w:fill="auto"/>
            <w:vAlign w:val="bottom"/>
          </w:tcPr>
          <w:p w14:paraId="5A5F0337"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55 822</w:t>
            </w:r>
          </w:p>
        </w:tc>
        <w:tc>
          <w:tcPr>
            <w:tcW w:w="851" w:type="dxa"/>
            <w:tcBorders>
              <w:top w:val="single" w:sz="12" w:space="0" w:color="auto"/>
            </w:tcBorders>
            <w:shd w:val="clear" w:color="auto" w:fill="auto"/>
            <w:vAlign w:val="bottom"/>
          </w:tcPr>
          <w:p w14:paraId="0A0B34F8"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42</w:t>
            </w:r>
          </w:p>
        </w:tc>
        <w:tc>
          <w:tcPr>
            <w:tcW w:w="850" w:type="dxa"/>
            <w:tcBorders>
              <w:top w:val="single" w:sz="12" w:space="0" w:color="auto"/>
            </w:tcBorders>
            <w:shd w:val="clear" w:color="auto" w:fill="auto"/>
            <w:vAlign w:val="bottom"/>
          </w:tcPr>
          <w:p w14:paraId="6AFBB55B"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1 615</w:t>
            </w:r>
          </w:p>
        </w:tc>
        <w:tc>
          <w:tcPr>
            <w:tcW w:w="993" w:type="dxa"/>
            <w:tcBorders>
              <w:top w:val="single" w:sz="12" w:space="0" w:color="auto"/>
            </w:tcBorders>
            <w:shd w:val="clear" w:color="auto" w:fill="auto"/>
            <w:vAlign w:val="bottom"/>
          </w:tcPr>
          <w:p w14:paraId="556944CA"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35</w:t>
            </w:r>
          </w:p>
        </w:tc>
        <w:tc>
          <w:tcPr>
            <w:tcW w:w="707" w:type="dxa"/>
            <w:tcBorders>
              <w:top w:val="single" w:sz="12" w:space="0" w:color="auto"/>
            </w:tcBorders>
            <w:shd w:val="clear" w:color="auto" w:fill="auto"/>
            <w:vAlign w:val="bottom"/>
          </w:tcPr>
          <w:p w14:paraId="4280E667"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1 641</w:t>
            </w:r>
          </w:p>
        </w:tc>
      </w:tr>
      <w:tr w:rsidR="00303490" w:rsidRPr="00062B95" w14:paraId="1DB5331B" w14:textId="77777777" w:rsidTr="00303490">
        <w:trPr>
          <w:trHeight w:val="240"/>
        </w:trPr>
        <w:tc>
          <w:tcPr>
            <w:tcW w:w="1560" w:type="dxa"/>
            <w:tcBorders>
              <w:bottom w:val="single" w:sz="4" w:space="0" w:color="auto"/>
            </w:tcBorders>
            <w:shd w:val="clear" w:color="auto" w:fill="auto"/>
          </w:tcPr>
          <w:p w14:paraId="23DC5DA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Mujer</w:t>
            </w:r>
          </w:p>
        </w:tc>
        <w:tc>
          <w:tcPr>
            <w:tcW w:w="992" w:type="dxa"/>
            <w:tcBorders>
              <w:bottom w:val="single" w:sz="4" w:space="0" w:color="auto"/>
            </w:tcBorders>
            <w:shd w:val="clear" w:color="auto" w:fill="auto"/>
            <w:vAlign w:val="bottom"/>
          </w:tcPr>
          <w:p w14:paraId="5801179F"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40 141</w:t>
            </w:r>
          </w:p>
        </w:tc>
        <w:tc>
          <w:tcPr>
            <w:tcW w:w="1417" w:type="dxa"/>
            <w:tcBorders>
              <w:bottom w:val="single" w:sz="4" w:space="0" w:color="auto"/>
            </w:tcBorders>
            <w:shd w:val="clear" w:color="auto" w:fill="auto"/>
            <w:vAlign w:val="bottom"/>
          </w:tcPr>
          <w:p w14:paraId="3CF40DB2"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7 550</w:t>
            </w:r>
          </w:p>
        </w:tc>
        <w:tc>
          <w:tcPr>
            <w:tcW w:w="851" w:type="dxa"/>
            <w:tcBorders>
              <w:bottom w:val="single" w:sz="4" w:space="0" w:color="auto"/>
            </w:tcBorders>
            <w:shd w:val="clear" w:color="auto" w:fill="auto"/>
            <w:vAlign w:val="bottom"/>
          </w:tcPr>
          <w:p w14:paraId="79BE44D2"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w:t>
            </w:r>
          </w:p>
        </w:tc>
        <w:tc>
          <w:tcPr>
            <w:tcW w:w="850" w:type="dxa"/>
            <w:tcBorders>
              <w:bottom w:val="single" w:sz="4" w:space="0" w:color="auto"/>
            </w:tcBorders>
            <w:shd w:val="clear" w:color="auto" w:fill="auto"/>
            <w:vAlign w:val="bottom"/>
          </w:tcPr>
          <w:p w14:paraId="1363205B"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171</w:t>
            </w:r>
          </w:p>
        </w:tc>
        <w:tc>
          <w:tcPr>
            <w:tcW w:w="993" w:type="dxa"/>
            <w:tcBorders>
              <w:bottom w:val="single" w:sz="4" w:space="0" w:color="auto"/>
            </w:tcBorders>
            <w:shd w:val="clear" w:color="auto" w:fill="auto"/>
            <w:vAlign w:val="bottom"/>
          </w:tcPr>
          <w:p w14:paraId="5CDD0478"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5</w:t>
            </w:r>
          </w:p>
        </w:tc>
        <w:tc>
          <w:tcPr>
            <w:tcW w:w="707" w:type="dxa"/>
            <w:tcBorders>
              <w:bottom w:val="single" w:sz="4" w:space="0" w:color="auto"/>
            </w:tcBorders>
            <w:shd w:val="clear" w:color="auto" w:fill="auto"/>
            <w:vAlign w:val="bottom"/>
          </w:tcPr>
          <w:p w14:paraId="26015F63" w14:textId="77777777" w:rsidR="00062B95" w:rsidRPr="00062B95" w:rsidRDefault="00062B95" w:rsidP="00303490">
            <w:pPr>
              <w:pStyle w:val="SingleTxtG"/>
              <w:tabs>
                <w:tab w:val="clear" w:pos="1701"/>
                <w:tab w:val="clear" w:pos="2268"/>
                <w:tab w:val="clear" w:pos="2835"/>
              </w:tabs>
              <w:spacing w:before="40" w:after="40" w:line="220" w:lineRule="exact"/>
              <w:ind w:left="57" w:right="28"/>
              <w:jc w:val="right"/>
              <w:rPr>
                <w:sz w:val="18"/>
                <w:lang w:val="es-ES_tradnl"/>
              </w:rPr>
            </w:pPr>
            <w:r w:rsidRPr="00062B95">
              <w:rPr>
                <w:sz w:val="18"/>
                <w:lang w:val="es-ES_tradnl"/>
              </w:rPr>
              <w:t>155</w:t>
            </w:r>
          </w:p>
        </w:tc>
      </w:tr>
      <w:tr w:rsidR="00062B95" w:rsidRPr="00303490" w14:paraId="597BF2F3" w14:textId="77777777" w:rsidTr="00303490">
        <w:trPr>
          <w:trHeight w:val="240"/>
        </w:trPr>
        <w:tc>
          <w:tcPr>
            <w:tcW w:w="1560" w:type="dxa"/>
            <w:tcBorders>
              <w:top w:val="single" w:sz="4" w:space="0" w:color="auto"/>
              <w:bottom w:val="single" w:sz="12" w:space="0" w:color="auto"/>
            </w:tcBorders>
            <w:shd w:val="clear" w:color="auto" w:fill="auto"/>
          </w:tcPr>
          <w:p w14:paraId="4B7659FD" w14:textId="77777777" w:rsidR="00062B95" w:rsidRPr="00062B95" w:rsidRDefault="00062B95" w:rsidP="00303490">
            <w:pPr>
              <w:pStyle w:val="SingleTxtG"/>
              <w:tabs>
                <w:tab w:val="clear" w:pos="1701"/>
                <w:tab w:val="clear" w:pos="2268"/>
                <w:tab w:val="clear" w:pos="2835"/>
              </w:tabs>
              <w:spacing w:before="80" w:after="80" w:line="220" w:lineRule="exact"/>
              <w:ind w:left="283" w:right="0"/>
              <w:jc w:val="left"/>
              <w:rPr>
                <w:b/>
                <w:bCs/>
                <w:sz w:val="18"/>
                <w:lang w:val="es-ES_tradnl"/>
              </w:rPr>
            </w:pPr>
            <w:r w:rsidRPr="00062B95">
              <w:rPr>
                <w:b/>
                <w:bCs/>
                <w:sz w:val="18"/>
                <w:lang w:val="es-ES_tradnl"/>
              </w:rPr>
              <w:t>Total</w:t>
            </w:r>
          </w:p>
        </w:tc>
        <w:tc>
          <w:tcPr>
            <w:tcW w:w="992" w:type="dxa"/>
            <w:tcBorders>
              <w:top w:val="single" w:sz="4" w:space="0" w:color="auto"/>
              <w:bottom w:val="single" w:sz="12" w:space="0" w:color="auto"/>
            </w:tcBorders>
            <w:shd w:val="clear" w:color="auto" w:fill="auto"/>
            <w:vAlign w:val="bottom"/>
          </w:tcPr>
          <w:p w14:paraId="16672E2E"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bCs/>
                <w:sz w:val="18"/>
                <w:lang w:val="es-ES_tradnl"/>
              </w:rPr>
            </w:pPr>
            <w:r w:rsidRPr="00062B95">
              <w:rPr>
                <w:b/>
                <w:bCs/>
                <w:sz w:val="18"/>
                <w:lang w:val="es-ES_tradnl"/>
              </w:rPr>
              <w:t>311 525</w:t>
            </w:r>
          </w:p>
        </w:tc>
        <w:tc>
          <w:tcPr>
            <w:tcW w:w="1417" w:type="dxa"/>
            <w:tcBorders>
              <w:top w:val="single" w:sz="4" w:space="0" w:color="auto"/>
              <w:bottom w:val="single" w:sz="12" w:space="0" w:color="auto"/>
            </w:tcBorders>
            <w:shd w:val="clear" w:color="auto" w:fill="auto"/>
            <w:vAlign w:val="bottom"/>
          </w:tcPr>
          <w:p w14:paraId="0F636A70"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bCs/>
                <w:sz w:val="18"/>
                <w:lang w:val="es-ES_tradnl"/>
              </w:rPr>
            </w:pPr>
            <w:r w:rsidRPr="00062B95">
              <w:rPr>
                <w:b/>
                <w:bCs/>
                <w:sz w:val="18"/>
                <w:lang w:val="es-ES_tradnl"/>
              </w:rPr>
              <w:t>63 372</w:t>
            </w:r>
          </w:p>
        </w:tc>
        <w:tc>
          <w:tcPr>
            <w:tcW w:w="851" w:type="dxa"/>
            <w:tcBorders>
              <w:top w:val="single" w:sz="4" w:space="0" w:color="auto"/>
              <w:bottom w:val="single" w:sz="12" w:space="0" w:color="auto"/>
            </w:tcBorders>
            <w:shd w:val="clear" w:color="auto" w:fill="auto"/>
            <w:vAlign w:val="bottom"/>
          </w:tcPr>
          <w:p w14:paraId="73F7085A"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bCs/>
                <w:sz w:val="18"/>
                <w:lang w:val="es-ES_tradnl"/>
              </w:rPr>
            </w:pPr>
            <w:r w:rsidRPr="00062B95">
              <w:rPr>
                <w:b/>
                <w:bCs/>
                <w:sz w:val="18"/>
                <w:lang w:val="es-ES_tradnl"/>
              </w:rPr>
              <w:t>43</w:t>
            </w:r>
          </w:p>
        </w:tc>
        <w:tc>
          <w:tcPr>
            <w:tcW w:w="850" w:type="dxa"/>
            <w:tcBorders>
              <w:top w:val="single" w:sz="4" w:space="0" w:color="auto"/>
              <w:bottom w:val="single" w:sz="12" w:space="0" w:color="auto"/>
            </w:tcBorders>
            <w:shd w:val="clear" w:color="auto" w:fill="auto"/>
            <w:vAlign w:val="bottom"/>
          </w:tcPr>
          <w:p w14:paraId="67085157"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bCs/>
                <w:sz w:val="18"/>
                <w:lang w:val="es-ES_tradnl"/>
              </w:rPr>
            </w:pPr>
            <w:r w:rsidRPr="00062B95">
              <w:rPr>
                <w:b/>
                <w:bCs/>
                <w:sz w:val="18"/>
                <w:lang w:val="es-ES_tradnl"/>
              </w:rPr>
              <w:t>1 786</w:t>
            </w:r>
          </w:p>
        </w:tc>
        <w:tc>
          <w:tcPr>
            <w:tcW w:w="993" w:type="dxa"/>
            <w:tcBorders>
              <w:top w:val="single" w:sz="4" w:space="0" w:color="auto"/>
              <w:bottom w:val="single" w:sz="12" w:space="0" w:color="auto"/>
            </w:tcBorders>
            <w:shd w:val="clear" w:color="auto" w:fill="auto"/>
            <w:vAlign w:val="bottom"/>
          </w:tcPr>
          <w:p w14:paraId="45255F21"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bCs/>
                <w:sz w:val="18"/>
                <w:lang w:val="es-ES_tradnl"/>
              </w:rPr>
            </w:pPr>
            <w:r w:rsidRPr="00062B95">
              <w:rPr>
                <w:b/>
                <w:bCs/>
                <w:sz w:val="18"/>
                <w:lang w:val="es-ES_tradnl"/>
              </w:rPr>
              <w:t>40</w:t>
            </w:r>
          </w:p>
        </w:tc>
        <w:tc>
          <w:tcPr>
            <w:tcW w:w="707" w:type="dxa"/>
            <w:tcBorders>
              <w:top w:val="single" w:sz="4" w:space="0" w:color="auto"/>
              <w:bottom w:val="single" w:sz="12" w:space="0" w:color="auto"/>
            </w:tcBorders>
            <w:shd w:val="clear" w:color="auto" w:fill="auto"/>
            <w:vAlign w:val="bottom"/>
          </w:tcPr>
          <w:p w14:paraId="45BF5DBD" w14:textId="77777777" w:rsidR="00062B95" w:rsidRPr="00062B95" w:rsidRDefault="00062B95" w:rsidP="00303490">
            <w:pPr>
              <w:pStyle w:val="SingleTxtG"/>
              <w:tabs>
                <w:tab w:val="clear" w:pos="1701"/>
                <w:tab w:val="clear" w:pos="2268"/>
                <w:tab w:val="clear" w:pos="2835"/>
              </w:tabs>
              <w:spacing w:before="80" w:after="80" w:line="220" w:lineRule="exact"/>
              <w:ind w:left="57" w:right="28"/>
              <w:jc w:val="right"/>
              <w:rPr>
                <w:b/>
                <w:bCs/>
                <w:sz w:val="18"/>
                <w:lang w:val="es-ES_tradnl"/>
              </w:rPr>
            </w:pPr>
            <w:r w:rsidRPr="00062B95">
              <w:rPr>
                <w:b/>
                <w:bCs/>
                <w:sz w:val="18"/>
                <w:lang w:val="es-ES_tradnl"/>
              </w:rPr>
              <w:t>1 796</w:t>
            </w:r>
          </w:p>
        </w:tc>
      </w:tr>
    </w:tbl>
    <w:p w14:paraId="218DBE18" w14:textId="77777777" w:rsidR="00062B95" w:rsidRPr="00062B95" w:rsidRDefault="00062B95" w:rsidP="007043C3">
      <w:pPr>
        <w:pStyle w:val="H23G"/>
        <w:rPr>
          <w:cs/>
        </w:rPr>
      </w:pPr>
      <w:r w:rsidRPr="007043C3">
        <w:rPr>
          <w:b w:val="0"/>
          <w:lang w:val="es-ES_tradnl"/>
        </w:rPr>
        <w:lastRenderedPageBreak/>
        <w:tab/>
      </w:r>
      <w:r w:rsidRPr="007043C3">
        <w:rPr>
          <w:b w:val="0"/>
          <w:lang w:val="es-ES_tradnl"/>
        </w:rPr>
        <w:tab/>
        <w:t>Cuadro 2</w:t>
      </w:r>
      <w:r w:rsidRPr="007043C3">
        <w:rPr>
          <w:b w:val="0"/>
          <w:lang w:val="es-ES_tradnl"/>
        </w:rPr>
        <w:br/>
      </w:r>
      <w:r w:rsidRPr="00062B95">
        <w:rPr>
          <w:lang w:val="es-ES_tradnl"/>
        </w:rPr>
        <w:t>Datos estadísticos sobre las denuncias de violencia doméstica recibidas por el Ministerio de Desarrollo Social y Seguridad Humana en el período 2010-2019</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43"/>
        <w:gridCol w:w="794"/>
        <w:gridCol w:w="818"/>
        <w:gridCol w:w="717"/>
        <w:gridCol w:w="716"/>
        <w:gridCol w:w="717"/>
        <w:gridCol w:w="716"/>
        <w:gridCol w:w="817"/>
        <w:gridCol w:w="615"/>
        <w:gridCol w:w="717"/>
      </w:tblGrid>
      <w:tr w:rsidR="00062B95" w:rsidRPr="00062B95" w14:paraId="2E4D07C6" w14:textId="77777777" w:rsidTr="007043C3">
        <w:trPr>
          <w:trHeight w:val="240"/>
          <w:tblHeader/>
        </w:trPr>
        <w:tc>
          <w:tcPr>
            <w:tcW w:w="743" w:type="dxa"/>
            <w:vMerge w:val="restart"/>
            <w:tcBorders>
              <w:top w:val="single" w:sz="4" w:space="0" w:color="auto"/>
              <w:bottom w:val="single" w:sz="4" w:space="0" w:color="auto"/>
            </w:tcBorders>
            <w:shd w:val="clear" w:color="auto" w:fill="auto"/>
            <w:vAlign w:val="bottom"/>
            <w:hideMark/>
          </w:tcPr>
          <w:p w14:paraId="55C26035"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794" w:type="dxa"/>
            <w:vMerge w:val="restart"/>
            <w:tcBorders>
              <w:top w:val="single" w:sz="4" w:space="0" w:color="auto"/>
              <w:bottom w:val="single" w:sz="4" w:space="0" w:color="auto"/>
            </w:tcBorders>
            <w:shd w:val="clear" w:color="auto" w:fill="auto"/>
            <w:vAlign w:val="bottom"/>
            <w:hideMark/>
          </w:tcPr>
          <w:p w14:paraId="1CF1B8A8" w14:textId="77777777" w:rsidR="00062B95" w:rsidRPr="00062B95"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062B95">
              <w:rPr>
                <w:i/>
                <w:sz w:val="16"/>
                <w:lang w:val="es-ES_tradnl"/>
              </w:rPr>
              <w:t>Número de incidentes</w:t>
            </w:r>
          </w:p>
        </w:tc>
        <w:tc>
          <w:tcPr>
            <w:tcW w:w="2968" w:type="dxa"/>
            <w:gridSpan w:val="4"/>
            <w:tcBorders>
              <w:top w:val="single" w:sz="4" w:space="0" w:color="auto"/>
              <w:bottom w:val="single" w:sz="4" w:space="0" w:color="auto"/>
              <w:right w:val="single" w:sz="24" w:space="0" w:color="FFFFFF" w:themeColor="background1"/>
            </w:tcBorders>
            <w:shd w:val="clear" w:color="auto" w:fill="auto"/>
            <w:vAlign w:val="bottom"/>
            <w:hideMark/>
          </w:tcPr>
          <w:p w14:paraId="0045D1FD" w14:textId="77777777" w:rsidR="00062B95" w:rsidRPr="00062B95" w:rsidRDefault="00062B95" w:rsidP="007043C3">
            <w:pPr>
              <w:pStyle w:val="SingleTxtG"/>
              <w:tabs>
                <w:tab w:val="clear" w:pos="1701"/>
                <w:tab w:val="clear" w:pos="2268"/>
                <w:tab w:val="clear" w:pos="2835"/>
              </w:tabs>
              <w:spacing w:before="80" w:after="80" w:line="200" w:lineRule="exact"/>
              <w:ind w:left="0" w:right="0"/>
              <w:jc w:val="center"/>
              <w:rPr>
                <w:i/>
                <w:sz w:val="16"/>
                <w:cs/>
              </w:rPr>
            </w:pPr>
            <w:r w:rsidRPr="00062B95">
              <w:rPr>
                <w:i/>
                <w:sz w:val="16"/>
                <w:lang w:val="es-ES_tradnl"/>
              </w:rPr>
              <w:t>Número de infractores</w:t>
            </w:r>
          </w:p>
        </w:tc>
        <w:tc>
          <w:tcPr>
            <w:tcW w:w="2865" w:type="dxa"/>
            <w:gridSpan w:val="4"/>
            <w:tcBorders>
              <w:top w:val="single" w:sz="4" w:space="0" w:color="auto"/>
              <w:left w:val="single" w:sz="24" w:space="0" w:color="FFFFFF" w:themeColor="background1"/>
              <w:bottom w:val="single" w:sz="4" w:space="0" w:color="auto"/>
            </w:tcBorders>
            <w:shd w:val="clear" w:color="auto" w:fill="auto"/>
            <w:vAlign w:val="bottom"/>
          </w:tcPr>
          <w:p w14:paraId="119578EE" w14:textId="77777777" w:rsidR="00062B95" w:rsidRPr="00062B95" w:rsidRDefault="00062B95" w:rsidP="007043C3">
            <w:pPr>
              <w:pStyle w:val="SingleTxtG"/>
              <w:tabs>
                <w:tab w:val="clear" w:pos="1701"/>
                <w:tab w:val="clear" w:pos="2268"/>
                <w:tab w:val="clear" w:pos="2835"/>
              </w:tabs>
              <w:spacing w:before="80" w:after="80" w:line="200" w:lineRule="exact"/>
              <w:ind w:left="0" w:right="0"/>
              <w:jc w:val="center"/>
              <w:rPr>
                <w:i/>
                <w:sz w:val="16"/>
                <w:cs/>
              </w:rPr>
            </w:pPr>
            <w:r w:rsidRPr="00062B95">
              <w:rPr>
                <w:i/>
                <w:sz w:val="16"/>
                <w:lang w:val="es-ES_tradnl"/>
              </w:rPr>
              <w:t>Número de víctimas</w:t>
            </w:r>
          </w:p>
        </w:tc>
      </w:tr>
      <w:tr w:rsidR="00062B95" w:rsidRPr="00062B95" w14:paraId="73FE296C" w14:textId="77777777" w:rsidTr="007043C3">
        <w:trPr>
          <w:trHeight w:val="240"/>
          <w:tblHeader/>
        </w:trPr>
        <w:tc>
          <w:tcPr>
            <w:tcW w:w="743" w:type="dxa"/>
            <w:vMerge/>
            <w:tcBorders>
              <w:top w:val="single" w:sz="4" w:space="0" w:color="auto"/>
              <w:bottom w:val="single" w:sz="12" w:space="0" w:color="auto"/>
            </w:tcBorders>
            <w:shd w:val="clear" w:color="auto" w:fill="auto"/>
            <w:vAlign w:val="bottom"/>
          </w:tcPr>
          <w:p w14:paraId="5C2FF97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cs/>
              </w:rPr>
            </w:pPr>
          </w:p>
        </w:tc>
        <w:tc>
          <w:tcPr>
            <w:tcW w:w="794" w:type="dxa"/>
            <w:vMerge/>
            <w:tcBorders>
              <w:top w:val="single" w:sz="4" w:space="0" w:color="auto"/>
              <w:bottom w:val="single" w:sz="12" w:space="0" w:color="auto"/>
            </w:tcBorders>
            <w:shd w:val="clear" w:color="auto" w:fill="auto"/>
            <w:vAlign w:val="bottom"/>
          </w:tcPr>
          <w:p w14:paraId="37817783" w14:textId="77777777" w:rsidR="00062B95" w:rsidRPr="00062B95" w:rsidRDefault="00062B95" w:rsidP="007043C3">
            <w:pPr>
              <w:pStyle w:val="SingleTxtG"/>
              <w:tabs>
                <w:tab w:val="clear" w:pos="1701"/>
                <w:tab w:val="clear" w:pos="2268"/>
                <w:tab w:val="clear" w:pos="2835"/>
              </w:tabs>
              <w:spacing w:before="40" w:after="40" w:line="220" w:lineRule="exact"/>
              <w:ind w:left="0" w:right="28"/>
              <w:jc w:val="right"/>
              <w:rPr>
                <w:sz w:val="18"/>
                <w:cs/>
              </w:rPr>
            </w:pPr>
          </w:p>
        </w:tc>
        <w:tc>
          <w:tcPr>
            <w:tcW w:w="818" w:type="dxa"/>
            <w:tcBorders>
              <w:top w:val="single" w:sz="4" w:space="0" w:color="auto"/>
              <w:bottom w:val="single" w:sz="12" w:space="0" w:color="auto"/>
            </w:tcBorders>
            <w:shd w:val="clear" w:color="auto" w:fill="auto"/>
            <w:vAlign w:val="bottom"/>
          </w:tcPr>
          <w:p w14:paraId="7CD2A20C"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Hombre</w:t>
            </w:r>
          </w:p>
        </w:tc>
        <w:tc>
          <w:tcPr>
            <w:tcW w:w="717" w:type="dxa"/>
            <w:tcBorders>
              <w:top w:val="single" w:sz="4" w:space="0" w:color="auto"/>
              <w:bottom w:val="single" w:sz="12" w:space="0" w:color="auto"/>
            </w:tcBorders>
            <w:shd w:val="clear" w:color="auto" w:fill="auto"/>
            <w:vAlign w:val="bottom"/>
          </w:tcPr>
          <w:p w14:paraId="379F8ECF"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Mujer</w:t>
            </w:r>
          </w:p>
        </w:tc>
        <w:tc>
          <w:tcPr>
            <w:tcW w:w="716" w:type="dxa"/>
            <w:tcBorders>
              <w:top w:val="single" w:sz="4" w:space="0" w:color="auto"/>
              <w:bottom w:val="single" w:sz="12" w:space="0" w:color="auto"/>
            </w:tcBorders>
            <w:shd w:val="clear" w:color="auto" w:fill="auto"/>
            <w:vAlign w:val="bottom"/>
          </w:tcPr>
          <w:p w14:paraId="7F367D21"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N.d.</w:t>
            </w:r>
          </w:p>
        </w:tc>
        <w:tc>
          <w:tcPr>
            <w:tcW w:w="717" w:type="dxa"/>
            <w:tcBorders>
              <w:top w:val="single" w:sz="4" w:space="0" w:color="auto"/>
              <w:bottom w:val="single" w:sz="12" w:space="0" w:color="auto"/>
              <w:right w:val="single" w:sz="24" w:space="0" w:color="FFFFFF" w:themeColor="background1"/>
            </w:tcBorders>
            <w:shd w:val="clear" w:color="auto" w:fill="auto"/>
            <w:vAlign w:val="bottom"/>
          </w:tcPr>
          <w:p w14:paraId="686B4456"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Total</w:t>
            </w:r>
          </w:p>
        </w:tc>
        <w:tc>
          <w:tcPr>
            <w:tcW w:w="716" w:type="dxa"/>
            <w:tcBorders>
              <w:top w:val="single" w:sz="4" w:space="0" w:color="auto"/>
              <w:left w:val="single" w:sz="24" w:space="0" w:color="FFFFFF" w:themeColor="background1"/>
              <w:bottom w:val="single" w:sz="12" w:space="0" w:color="auto"/>
            </w:tcBorders>
            <w:shd w:val="clear" w:color="auto" w:fill="auto"/>
            <w:vAlign w:val="bottom"/>
          </w:tcPr>
          <w:p w14:paraId="76298010"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Hombre</w:t>
            </w:r>
          </w:p>
        </w:tc>
        <w:tc>
          <w:tcPr>
            <w:tcW w:w="817" w:type="dxa"/>
            <w:tcBorders>
              <w:top w:val="single" w:sz="4" w:space="0" w:color="auto"/>
              <w:bottom w:val="single" w:sz="12" w:space="0" w:color="auto"/>
            </w:tcBorders>
            <w:shd w:val="clear" w:color="auto" w:fill="auto"/>
            <w:vAlign w:val="bottom"/>
          </w:tcPr>
          <w:p w14:paraId="3122EA70"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Mujer</w:t>
            </w:r>
          </w:p>
        </w:tc>
        <w:tc>
          <w:tcPr>
            <w:tcW w:w="615" w:type="dxa"/>
            <w:tcBorders>
              <w:top w:val="single" w:sz="4" w:space="0" w:color="auto"/>
              <w:bottom w:val="single" w:sz="12" w:space="0" w:color="auto"/>
            </w:tcBorders>
            <w:shd w:val="clear" w:color="auto" w:fill="auto"/>
            <w:vAlign w:val="bottom"/>
          </w:tcPr>
          <w:p w14:paraId="238891A6"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N.d.</w:t>
            </w:r>
          </w:p>
        </w:tc>
        <w:tc>
          <w:tcPr>
            <w:tcW w:w="717" w:type="dxa"/>
            <w:tcBorders>
              <w:top w:val="single" w:sz="4" w:space="0" w:color="auto"/>
              <w:bottom w:val="single" w:sz="12" w:space="0" w:color="auto"/>
            </w:tcBorders>
            <w:shd w:val="clear" w:color="auto" w:fill="auto"/>
            <w:vAlign w:val="bottom"/>
          </w:tcPr>
          <w:p w14:paraId="4948414E" w14:textId="77777777" w:rsidR="00062B95" w:rsidRPr="007043C3" w:rsidRDefault="00062B95" w:rsidP="007043C3">
            <w:pPr>
              <w:pStyle w:val="SingleTxtG"/>
              <w:tabs>
                <w:tab w:val="clear" w:pos="1701"/>
                <w:tab w:val="clear" w:pos="2268"/>
                <w:tab w:val="clear" w:pos="2835"/>
              </w:tabs>
              <w:spacing w:before="80" w:after="80" w:line="200" w:lineRule="exact"/>
              <w:ind w:left="0" w:right="28"/>
              <w:jc w:val="right"/>
              <w:rPr>
                <w:i/>
                <w:sz w:val="16"/>
                <w:lang w:val="es-ES_tradnl"/>
              </w:rPr>
            </w:pPr>
            <w:r w:rsidRPr="007043C3">
              <w:rPr>
                <w:i/>
                <w:sz w:val="16"/>
                <w:lang w:val="es-ES_tradnl"/>
              </w:rPr>
              <w:t>Total</w:t>
            </w:r>
          </w:p>
        </w:tc>
      </w:tr>
      <w:tr w:rsidR="00062B95" w:rsidRPr="00062B95" w14:paraId="5973717A" w14:textId="77777777" w:rsidTr="007043C3">
        <w:trPr>
          <w:trHeight w:val="240"/>
        </w:trPr>
        <w:tc>
          <w:tcPr>
            <w:tcW w:w="743" w:type="dxa"/>
            <w:tcBorders>
              <w:top w:val="single" w:sz="12" w:space="0" w:color="auto"/>
            </w:tcBorders>
            <w:shd w:val="clear" w:color="auto" w:fill="auto"/>
            <w:hideMark/>
          </w:tcPr>
          <w:p w14:paraId="7887F72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2010</w:t>
            </w:r>
          </w:p>
        </w:tc>
        <w:tc>
          <w:tcPr>
            <w:tcW w:w="794" w:type="dxa"/>
            <w:tcBorders>
              <w:top w:val="single" w:sz="12" w:space="0" w:color="auto"/>
            </w:tcBorders>
            <w:shd w:val="clear" w:color="auto" w:fill="auto"/>
            <w:vAlign w:val="bottom"/>
            <w:hideMark/>
          </w:tcPr>
          <w:p w14:paraId="1320F0E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724</w:t>
            </w:r>
          </w:p>
        </w:tc>
        <w:tc>
          <w:tcPr>
            <w:tcW w:w="818" w:type="dxa"/>
            <w:tcBorders>
              <w:top w:val="single" w:sz="12" w:space="0" w:color="auto"/>
            </w:tcBorders>
            <w:shd w:val="clear" w:color="auto" w:fill="auto"/>
            <w:vAlign w:val="bottom"/>
            <w:hideMark/>
          </w:tcPr>
          <w:p w14:paraId="71C78DA2"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620</w:t>
            </w:r>
          </w:p>
        </w:tc>
        <w:tc>
          <w:tcPr>
            <w:tcW w:w="717" w:type="dxa"/>
            <w:tcBorders>
              <w:top w:val="single" w:sz="12" w:space="0" w:color="auto"/>
            </w:tcBorders>
            <w:shd w:val="clear" w:color="auto" w:fill="auto"/>
            <w:vAlign w:val="bottom"/>
            <w:hideMark/>
          </w:tcPr>
          <w:p w14:paraId="0F91826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66</w:t>
            </w:r>
          </w:p>
        </w:tc>
        <w:tc>
          <w:tcPr>
            <w:tcW w:w="716" w:type="dxa"/>
            <w:tcBorders>
              <w:top w:val="single" w:sz="12" w:space="0" w:color="auto"/>
            </w:tcBorders>
            <w:shd w:val="clear" w:color="auto" w:fill="auto"/>
            <w:vAlign w:val="bottom"/>
          </w:tcPr>
          <w:p w14:paraId="5C4386E6"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w:t>
            </w:r>
          </w:p>
        </w:tc>
        <w:tc>
          <w:tcPr>
            <w:tcW w:w="717" w:type="dxa"/>
            <w:tcBorders>
              <w:top w:val="single" w:sz="12" w:space="0" w:color="auto"/>
            </w:tcBorders>
            <w:shd w:val="clear" w:color="auto" w:fill="auto"/>
            <w:vAlign w:val="bottom"/>
          </w:tcPr>
          <w:p w14:paraId="259B003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695</w:t>
            </w:r>
          </w:p>
        </w:tc>
        <w:tc>
          <w:tcPr>
            <w:tcW w:w="716" w:type="dxa"/>
            <w:tcBorders>
              <w:top w:val="single" w:sz="12" w:space="0" w:color="auto"/>
            </w:tcBorders>
            <w:shd w:val="clear" w:color="auto" w:fill="auto"/>
            <w:vAlign w:val="bottom"/>
          </w:tcPr>
          <w:p w14:paraId="466435F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68</w:t>
            </w:r>
          </w:p>
        </w:tc>
        <w:tc>
          <w:tcPr>
            <w:tcW w:w="817" w:type="dxa"/>
            <w:tcBorders>
              <w:top w:val="single" w:sz="12" w:space="0" w:color="auto"/>
            </w:tcBorders>
            <w:shd w:val="clear" w:color="auto" w:fill="auto"/>
            <w:vAlign w:val="bottom"/>
          </w:tcPr>
          <w:p w14:paraId="0D7630F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627</w:t>
            </w:r>
          </w:p>
        </w:tc>
        <w:tc>
          <w:tcPr>
            <w:tcW w:w="615" w:type="dxa"/>
            <w:tcBorders>
              <w:top w:val="single" w:sz="12" w:space="0" w:color="auto"/>
            </w:tcBorders>
            <w:shd w:val="clear" w:color="auto" w:fill="auto"/>
            <w:vAlign w:val="bottom"/>
          </w:tcPr>
          <w:p w14:paraId="0A4192CF"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10</w:t>
            </w:r>
          </w:p>
        </w:tc>
        <w:tc>
          <w:tcPr>
            <w:tcW w:w="717" w:type="dxa"/>
            <w:tcBorders>
              <w:top w:val="single" w:sz="12" w:space="0" w:color="auto"/>
            </w:tcBorders>
            <w:shd w:val="clear" w:color="auto" w:fill="auto"/>
            <w:vAlign w:val="bottom"/>
          </w:tcPr>
          <w:p w14:paraId="10A9B43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705</w:t>
            </w:r>
          </w:p>
        </w:tc>
      </w:tr>
      <w:tr w:rsidR="00062B95" w:rsidRPr="00062B95" w14:paraId="774A78F1" w14:textId="77777777" w:rsidTr="007043C3">
        <w:trPr>
          <w:trHeight w:val="240"/>
        </w:trPr>
        <w:tc>
          <w:tcPr>
            <w:tcW w:w="743" w:type="dxa"/>
            <w:shd w:val="clear" w:color="auto" w:fill="auto"/>
            <w:hideMark/>
          </w:tcPr>
          <w:p w14:paraId="3CD54AC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2011</w:t>
            </w:r>
          </w:p>
        </w:tc>
        <w:tc>
          <w:tcPr>
            <w:tcW w:w="794" w:type="dxa"/>
            <w:shd w:val="clear" w:color="auto" w:fill="auto"/>
            <w:vAlign w:val="bottom"/>
            <w:hideMark/>
          </w:tcPr>
          <w:p w14:paraId="5DA3B9D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829</w:t>
            </w:r>
          </w:p>
        </w:tc>
        <w:tc>
          <w:tcPr>
            <w:tcW w:w="818" w:type="dxa"/>
            <w:shd w:val="clear" w:color="auto" w:fill="auto"/>
            <w:vAlign w:val="bottom"/>
            <w:hideMark/>
          </w:tcPr>
          <w:p w14:paraId="6D1D7AB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687</w:t>
            </w:r>
          </w:p>
        </w:tc>
        <w:tc>
          <w:tcPr>
            <w:tcW w:w="717" w:type="dxa"/>
            <w:shd w:val="clear" w:color="auto" w:fill="auto"/>
            <w:vAlign w:val="bottom"/>
            <w:hideMark/>
          </w:tcPr>
          <w:p w14:paraId="1EF9CA39"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59</w:t>
            </w:r>
          </w:p>
        </w:tc>
        <w:tc>
          <w:tcPr>
            <w:tcW w:w="716" w:type="dxa"/>
            <w:shd w:val="clear" w:color="auto" w:fill="auto"/>
            <w:vAlign w:val="bottom"/>
          </w:tcPr>
          <w:p w14:paraId="6FCFBD67"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13</w:t>
            </w:r>
          </w:p>
        </w:tc>
        <w:tc>
          <w:tcPr>
            <w:tcW w:w="717" w:type="dxa"/>
            <w:shd w:val="clear" w:color="auto" w:fill="auto"/>
            <w:vAlign w:val="bottom"/>
          </w:tcPr>
          <w:p w14:paraId="0FA20A50"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759</w:t>
            </w:r>
          </w:p>
        </w:tc>
        <w:tc>
          <w:tcPr>
            <w:tcW w:w="716" w:type="dxa"/>
            <w:shd w:val="clear" w:color="auto" w:fill="auto"/>
            <w:vAlign w:val="bottom"/>
          </w:tcPr>
          <w:p w14:paraId="56725622"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87</w:t>
            </w:r>
          </w:p>
        </w:tc>
        <w:tc>
          <w:tcPr>
            <w:tcW w:w="817" w:type="dxa"/>
            <w:shd w:val="clear" w:color="auto" w:fill="auto"/>
            <w:vAlign w:val="bottom"/>
          </w:tcPr>
          <w:p w14:paraId="7B5F439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696</w:t>
            </w:r>
          </w:p>
        </w:tc>
        <w:tc>
          <w:tcPr>
            <w:tcW w:w="615" w:type="dxa"/>
            <w:shd w:val="clear" w:color="auto" w:fill="auto"/>
            <w:vAlign w:val="bottom"/>
          </w:tcPr>
          <w:p w14:paraId="10B117F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w:t>
            </w:r>
          </w:p>
        </w:tc>
        <w:tc>
          <w:tcPr>
            <w:tcW w:w="717" w:type="dxa"/>
            <w:shd w:val="clear" w:color="auto" w:fill="auto"/>
            <w:vAlign w:val="bottom"/>
          </w:tcPr>
          <w:p w14:paraId="74F1B21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790</w:t>
            </w:r>
          </w:p>
        </w:tc>
      </w:tr>
      <w:tr w:rsidR="00062B95" w:rsidRPr="00062B95" w14:paraId="50326E38" w14:textId="77777777" w:rsidTr="007043C3">
        <w:trPr>
          <w:trHeight w:val="240"/>
        </w:trPr>
        <w:tc>
          <w:tcPr>
            <w:tcW w:w="743" w:type="dxa"/>
            <w:shd w:val="clear" w:color="auto" w:fill="auto"/>
            <w:hideMark/>
          </w:tcPr>
          <w:p w14:paraId="7F0EAC2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2012</w:t>
            </w:r>
          </w:p>
        </w:tc>
        <w:tc>
          <w:tcPr>
            <w:tcW w:w="794" w:type="dxa"/>
            <w:shd w:val="clear" w:color="auto" w:fill="auto"/>
            <w:vAlign w:val="bottom"/>
            <w:hideMark/>
          </w:tcPr>
          <w:p w14:paraId="70EF8F69"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969</w:t>
            </w:r>
          </w:p>
        </w:tc>
        <w:tc>
          <w:tcPr>
            <w:tcW w:w="818" w:type="dxa"/>
            <w:shd w:val="clear" w:color="auto" w:fill="auto"/>
            <w:vAlign w:val="bottom"/>
            <w:hideMark/>
          </w:tcPr>
          <w:p w14:paraId="315DAC5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730</w:t>
            </w:r>
          </w:p>
        </w:tc>
        <w:tc>
          <w:tcPr>
            <w:tcW w:w="717" w:type="dxa"/>
            <w:shd w:val="clear" w:color="auto" w:fill="auto"/>
            <w:vAlign w:val="bottom"/>
            <w:hideMark/>
          </w:tcPr>
          <w:p w14:paraId="71A9C040"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63</w:t>
            </w:r>
          </w:p>
        </w:tc>
        <w:tc>
          <w:tcPr>
            <w:tcW w:w="716" w:type="dxa"/>
            <w:shd w:val="clear" w:color="auto" w:fill="auto"/>
            <w:vAlign w:val="bottom"/>
          </w:tcPr>
          <w:p w14:paraId="18414300"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11</w:t>
            </w:r>
          </w:p>
        </w:tc>
        <w:tc>
          <w:tcPr>
            <w:tcW w:w="717" w:type="dxa"/>
            <w:shd w:val="clear" w:color="auto" w:fill="auto"/>
            <w:vAlign w:val="bottom"/>
          </w:tcPr>
          <w:p w14:paraId="1AB41245"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804</w:t>
            </w:r>
          </w:p>
        </w:tc>
        <w:tc>
          <w:tcPr>
            <w:tcW w:w="716" w:type="dxa"/>
            <w:shd w:val="clear" w:color="auto" w:fill="auto"/>
            <w:vAlign w:val="bottom"/>
          </w:tcPr>
          <w:p w14:paraId="092DAE8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70</w:t>
            </w:r>
          </w:p>
        </w:tc>
        <w:tc>
          <w:tcPr>
            <w:tcW w:w="817" w:type="dxa"/>
            <w:shd w:val="clear" w:color="auto" w:fill="auto"/>
            <w:vAlign w:val="bottom"/>
          </w:tcPr>
          <w:p w14:paraId="388DDD4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755</w:t>
            </w:r>
          </w:p>
        </w:tc>
        <w:tc>
          <w:tcPr>
            <w:tcW w:w="615" w:type="dxa"/>
            <w:shd w:val="clear" w:color="auto" w:fill="auto"/>
            <w:vAlign w:val="bottom"/>
          </w:tcPr>
          <w:p w14:paraId="356F5512"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14</w:t>
            </w:r>
          </w:p>
        </w:tc>
        <w:tc>
          <w:tcPr>
            <w:tcW w:w="717" w:type="dxa"/>
            <w:shd w:val="clear" w:color="auto" w:fill="auto"/>
            <w:vAlign w:val="bottom"/>
          </w:tcPr>
          <w:p w14:paraId="0B1F70A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839</w:t>
            </w:r>
          </w:p>
        </w:tc>
      </w:tr>
      <w:tr w:rsidR="00062B95" w:rsidRPr="00062B95" w14:paraId="4CE6663F" w14:textId="77777777" w:rsidTr="007043C3">
        <w:trPr>
          <w:trHeight w:val="240"/>
        </w:trPr>
        <w:tc>
          <w:tcPr>
            <w:tcW w:w="743" w:type="dxa"/>
            <w:shd w:val="clear" w:color="auto" w:fill="auto"/>
            <w:hideMark/>
          </w:tcPr>
          <w:p w14:paraId="39BB3E3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2013</w:t>
            </w:r>
          </w:p>
        </w:tc>
        <w:tc>
          <w:tcPr>
            <w:tcW w:w="794" w:type="dxa"/>
            <w:shd w:val="clear" w:color="auto" w:fill="auto"/>
            <w:vAlign w:val="bottom"/>
            <w:hideMark/>
          </w:tcPr>
          <w:p w14:paraId="5F4EEF6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973</w:t>
            </w:r>
          </w:p>
        </w:tc>
        <w:tc>
          <w:tcPr>
            <w:tcW w:w="818" w:type="dxa"/>
            <w:shd w:val="clear" w:color="auto" w:fill="auto"/>
            <w:vAlign w:val="bottom"/>
            <w:hideMark/>
          </w:tcPr>
          <w:p w14:paraId="7243A61F"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746</w:t>
            </w:r>
          </w:p>
        </w:tc>
        <w:tc>
          <w:tcPr>
            <w:tcW w:w="717" w:type="dxa"/>
            <w:shd w:val="clear" w:color="auto" w:fill="auto"/>
            <w:vAlign w:val="bottom"/>
            <w:hideMark/>
          </w:tcPr>
          <w:p w14:paraId="2848F3B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91</w:t>
            </w:r>
          </w:p>
        </w:tc>
        <w:tc>
          <w:tcPr>
            <w:tcW w:w="716" w:type="dxa"/>
            <w:shd w:val="clear" w:color="auto" w:fill="auto"/>
            <w:vAlign w:val="bottom"/>
          </w:tcPr>
          <w:p w14:paraId="11B98DA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19</w:t>
            </w:r>
          </w:p>
        </w:tc>
        <w:tc>
          <w:tcPr>
            <w:tcW w:w="717" w:type="dxa"/>
            <w:shd w:val="clear" w:color="auto" w:fill="auto"/>
            <w:vAlign w:val="bottom"/>
          </w:tcPr>
          <w:p w14:paraId="167C8DB9"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856</w:t>
            </w:r>
          </w:p>
        </w:tc>
        <w:tc>
          <w:tcPr>
            <w:tcW w:w="716" w:type="dxa"/>
            <w:shd w:val="clear" w:color="auto" w:fill="auto"/>
            <w:vAlign w:val="bottom"/>
          </w:tcPr>
          <w:p w14:paraId="4355B950"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80</w:t>
            </w:r>
          </w:p>
        </w:tc>
        <w:tc>
          <w:tcPr>
            <w:tcW w:w="817" w:type="dxa"/>
            <w:shd w:val="clear" w:color="auto" w:fill="auto"/>
            <w:vAlign w:val="bottom"/>
          </w:tcPr>
          <w:p w14:paraId="4AB31A5D"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777</w:t>
            </w:r>
          </w:p>
        </w:tc>
        <w:tc>
          <w:tcPr>
            <w:tcW w:w="615" w:type="dxa"/>
            <w:shd w:val="clear" w:color="auto" w:fill="auto"/>
            <w:vAlign w:val="bottom"/>
          </w:tcPr>
          <w:p w14:paraId="540735A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w:t>
            </w:r>
          </w:p>
        </w:tc>
        <w:tc>
          <w:tcPr>
            <w:tcW w:w="717" w:type="dxa"/>
            <w:shd w:val="clear" w:color="auto" w:fill="auto"/>
            <w:vAlign w:val="bottom"/>
          </w:tcPr>
          <w:p w14:paraId="33A14525"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866</w:t>
            </w:r>
          </w:p>
        </w:tc>
      </w:tr>
      <w:tr w:rsidR="00062B95" w:rsidRPr="00062B95" w14:paraId="181A0A05" w14:textId="77777777" w:rsidTr="007043C3">
        <w:trPr>
          <w:trHeight w:val="240"/>
        </w:trPr>
        <w:tc>
          <w:tcPr>
            <w:tcW w:w="743" w:type="dxa"/>
            <w:shd w:val="clear" w:color="auto" w:fill="auto"/>
            <w:hideMark/>
          </w:tcPr>
          <w:p w14:paraId="3DED558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2014</w:t>
            </w:r>
          </w:p>
        </w:tc>
        <w:tc>
          <w:tcPr>
            <w:tcW w:w="794" w:type="dxa"/>
            <w:shd w:val="clear" w:color="auto" w:fill="auto"/>
            <w:vAlign w:val="bottom"/>
            <w:hideMark/>
          </w:tcPr>
          <w:p w14:paraId="54F60ECD"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928</w:t>
            </w:r>
          </w:p>
        </w:tc>
        <w:tc>
          <w:tcPr>
            <w:tcW w:w="818" w:type="dxa"/>
            <w:shd w:val="clear" w:color="auto" w:fill="auto"/>
            <w:vAlign w:val="bottom"/>
            <w:hideMark/>
          </w:tcPr>
          <w:p w14:paraId="7EA2BF9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702</w:t>
            </w:r>
          </w:p>
        </w:tc>
        <w:tc>
          <w:tcPr>
            <w:tcW w:w="717" w:type="dxa"/>
            <w:shd w:val="clear" w:color="auto" w:fill="auto"/>
            <w:vAlign w:val="bottom"/>
            <w:hideMark/>
          </w:tcPr>
          <w:p w14:paraId="449DCE84"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65</w:t>
            </w:r>
          </w:p>
        </w:tc>
        <w:tc>
          <w:tcPr>
            <w:tcW w:w="716" w:type="dxa"/>
            <w:shd w:val="clear" w:color="auto" w:fill="auto"/>
            <w:vAlign w:val="bottom"/>
          </w:tcPr>
          <w:p w14:paraId="750867C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18</w:t>
            </w:r>
          </w:p>
        </w:tc>
        <w:tc>
          <w:tcPr>
            <w:tcW w:w="717" w:type="dxa"/>
            <w:shd w:val="clear" w:color="auto" w:fill="auto"/>
            <w:vAlign w:val="bottom"/>
          </w:tcPr>
          <w:p w14:paraId="5E81541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785</w:t>
            </w:r>
          </w:p>
        </w:tc>
        <w:tc>
          <w:tcPr>
            <w:tcW w:w="716" w:type="dxa"/>
            <w:shd w:val="clear" w:color="auto" w:fill="auto"/>
            <w:vAlign w:val="bottom"/>
          </w:tcPr>
          <w:p w14:paraId="2283F5A9"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72</w:t>
            </w:r>
          </w:p>
        </w:tc>
        <w:tc>
          <w:tcPr>
            <w:tcW w:w="817" w:type="dxa"/>
            <w:shd w:val="clear" w:color="auto" w:fill="auto"/>
            <w:vAlign w:val="bottom"/>
          </w:tcPr>
          <w:p w14:paraId="3B741F2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729</w:t>
            </w:r>
          </w:p>
        </w:tc>
        <w:tc>
          <w:tcPr>
            <w:tcW w:w="615" w:type="dxa"/>
            <w:shd w:val="clear" w:color="auto" w:fill="auto"/>
            <w:vAlign w:val="bottom"/>
          </w:tcPr>
          <w:p w14:paraId="70DCBF76"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5</w:t>
            </w:r>
          </w:p>
        </w:tc>
        <w:tc>
          <w:tcPr>
            <w:tcW w:w="717" w:type="dxa"/>
            <w:shd w:val="clear" w:color="auto" w:fill="auto"/>
            <w:vAlign w:val="bottom"/>
          </w:tcPr>
          <w:p w14:paraId="5FAA01F5"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806</w:t>
            </w:r>
          </w:p>
        </w:tc>
      </w:tr>
      <w:tr w:rsidR="00062B95" w:rsidRPr="00062B95" w14:paraId="1EA12ADD" w14:textId="77777777" w:rsidTr="007043C3">
        <w:trPr>
          <w:trHeight w:val="240"/>
        </w:trPr>
        <w:tc>
          <w:tcPr>
            <w:tcW w:w="743" w:type="dxa"/>
            <w:shd w:val="clear" w:color="auto" w:fill="auto"/>
            <w:hideMark/>
          </w:tcPr>
          <w:p w14:paraId="39FF188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794" w:type="dxa"/>
            <w:shd w:val="clear" w:color="auto" w:fill="auto"/>
            <w:vAlign w:val="bottom"/>
            <w:hideMark/>
          </w:tcPr>
          <w:p w14:paraId="0A5C4A5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969</w:t>
            </w:r>
          </w:p>
        </w:tc>
        <w:tc>
          <w:tcPr>
            <w:tcW w:w="818" w:type="dxa"/>
            <w:shd w:val="clear" w:color="auto" w:fill="auto"/>
            <w:vAlign w:val="bottom"/>
            <w:hideMark/>
          </w:tcPr>
          <w:p w14:paraId="119D6D10"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721</w:t>
            </w:r>
          </w:p>
        </w:tc>
        <w:tc>
          <w:tcPr>
            <w:tcW w:w="717" w:type="dxa"/>
            <w:shd w:val="clear" w:color="auto" w:fill="auto"/>
            <w:vAlign w:val="bottom"/>
            <w:hideMark/>
          </w:tcPr>
          <w:p w14:paraId="5F6DB6C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122</w:t>
            </w:r>
          </w:p>
        </w:tc>
        <w:tc>
          <w:tcPr>
            <w:tcW w:w="716" w:type="dxa"/>
            <w:shd w:val="clear" w:color="auto" w:fill="auto"/>
            <w:vAlign w:val="bottom"/>
          </w:tcPr>
          <w:p w14:paraId="0F0A0AC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11</w:t>
            </w:r>
          </w:p>
        </w:tc>
        <w:tc>
          <w:tcPr>
            <w:tcW w:w="717" w:type="dxa"/>
            <w:shd w:val="clear" w:color="auto" w:fill="auto"/>
            <w:vAlign w:val="bottom"/>
          </w:tcPr>
          <w:p w14:paraId="0F4CFC6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854</w:t>
            </w:r>
          </w:p>
        </w:tc>
        <w:tc>
          <w:tcPr>
            <w:tcW w:w="716" w:type="dxa"/>
            <w:shd w:val="clear" w:color="auto" w:fill="auto"/>
            <w:vAlign w:val="bottom"/>
          </w:tcPr>
          <w:p w14:paraId="177C5337"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105</w:t>
            </w:r>
          </w:p>
        </w:tc>
        <w:tc>
          <w:tcPr>
            <w:tcW w:w="817" w:type="dxa"/>
            <w:shd w:val="clear" w:color="auto" w:fill="auto"/>
            <w:vAlign w:val="bottom"/>
          </w:tcPr>
          <w:p w14:paraId="17911D4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739</w:t>
            </w:r>
          </w:p>
        </w:tc>
        <w:tc>
          <w:tcPr>
            <w:tcW w:w="615" w:type="dxa"/>
            <w:shd w:val="clear" w:color="auto" w:fill="auto"/>
            <w:vAlign w:val="bottom"/>
          </w:tcPr>
          <w:p w14:paraId="351C09E6"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w:t>
            </w:r>
          </w:p>
        </w:tc>
        <w:tc>
          <w:tcPr>
            <w:tcW w:w="717" w:type="dxa"/>
            <w:shd w:val="clear" w:color="auto" w:fill="auto"/>
            <w:vAlign w:val="bottom"/>
          </w:tcPr>
          <w:p w14:paraId="0FB49AB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853</w:t>
            </w:r>
          </w:p>
        </w:tc>
      </w:tr>
      <w:tr w:rsidR="00062B95" w:rsidRPr="00062B95" w14:paraId="6D32F3E2" w14:textId="77777777" w:rsidTr="007043C3">
        <w:trPr>
          <w:trHeight w:val="240"/>
        </w:trPr>
        <w:tc>
          <w:tcPr>
            <w:tcW w:w="743" w:type="dxa"/>
            <w:shd w:val="clear" w:color="auto" w:fill="auto"/>
          </w:tcPr>
          <w:p w14:paraId="27F630D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794" w:type="dxa"/>
            <w:shd w:val="clear" w:color="auto" w:fill="auto"/>
            <w:vAlign w:val="bottom"/>
          </w:tcPr>
          <w:p w14:paraId="2ABC3F56"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801</w:t>
            </w:r>
          </w:p>
        </w:tc>
        <w:tc>
          <w:tcPr>
            <w:tcW w:w="818" w:type="dxa"/>
            <w:shd w:val="clear" w:color="auto" w:fill="auto"/>
            <w:vAlign w:val="bottom"/>
          </w:tcPr>
          <w:p w14:paraId="12D6858F"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598</w:t>
            </w:r>
          </w:p>
        </w:tc>
        <w:tc>
          <w:tcPr>
            <w:tcW w:w="717" w:type="dxa"/>
            <w:shd w:val="clear" w:color="auto" w:fill="auto"/>
            <w:vAlign w:val="bottom"/>
          </w:tcPr>
          <w:p w14:paraId="4ACE8515"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96</w:t>
            </w:r>
          </w:p>
        </w:tc>
        <w:tc>
          <w:tcPr>
            <w:tcW w:w="716" w:type="dxa"/>
            <w:shd w:val="clear" w:color="auto" w:fill="auto"/>
            <w:vAlign w:val="bottom"/>
          </w:tcPr>
          <w:p w14:paraId="6FD4511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13</w:t>
            </w:r>
          </w:p>
        </w:tc>
        <w:tc>
          <w:tcPr>
            <w:tcW w:w="717" w:type="dxa"/>
            <w:shd w:val="clear" w:color="auto" w:fill="auto"/>
            <w:vAlign w:val="bottom"/>
          </w:tcPr>
          <w:p w14:paraId="3F36DC3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707</w:t>
            </w:r>
          </w:p>
        </w:tc>
        <w:tc>
          <w:tcPr>
            <w:tcW w:w="716" w:type="dxa"/>
            <w:shd w:val="clear" w:color="auto" w:fill="auto"/>
            <w:vAlign w:val="bottom"/>
          </w:tcPr>
          <w:p w14:paraId="36ABA25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94</w:t>
            </w:r>
          </w:p>
        </w:tc>
        <w:tc>
          <w:tcPr>
            <w:tcW w:w="817" w:type="dxa"/>
            <w:shd w:val="clear" w:color="auto" w:fill="auto"/>
            <w:vAlign w:val="bottom"/>
          </w:tcPr>
          <w:p w14:paraId="7180CF4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610</w:t>
            </w:r>
          </w:p>
        </w:tc>
        <w:tc>
          <w:tcPr>
            <w:tcW w:w="615" w:type="dxa"/>
            <w:shd w:val="clear" w:color="auto" w:fill="auto"/>
            <w:vAlign w:val="bottom"/>
          </w:tcPr>
          <w:p w14:paraId="759DD766"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15</w:t>
            </w:r>
          </w:p>
        </w:tc>
        <w:tc>
          <w:tcPr>
            <w:tcW w:w="717" w:type="dxa"/>
            <w:shd w:val="clear" w:color="auto" w:fill="auto"/>
            <w:vAlign w:val="bottom"/>
          </w:tcPr>
          <w:p w14:paraId="435D4BD5"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719</w:t>
            </w:r>
          </w:p>
        </w:tc>
      </w:tr>
      <w:tr w:rsidR="00062B95" w:rsidRPr="00062B95" w14:paraId="0B295849" w14:textId="77777777" w:rsidTr="007043C3">
        <w:trPr>
          <w:trHeight w:val="240"/>
        </w:trPr>
        <w:tc>
          <w:tcPr>
            <w:tcW w:w="743" w:type="dxa"/>
            <w:shd w:val="clear" w:color="auto" w:fill="auto"/>
          </w:tcPr>
          <w:p w14:paraId="56C3063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2017</w:t>
            </w:r>
          </w:p>
        </w:tc>
        <w:tc>
          <w:tcPr>
            <w:tcW w:w="794" w:type="dxa"/>
            <w:shd w:val="clear" w:color="auto" w:fill="auto"/>
            <w:vAlign w:val="bottom"/>
          </w:tcPr>
          <w:p w14:paraId="12D208A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1 200</w:t>
            </w:r>
          </w:p>
        </w:tc>
        <w:tc>
          <w:tcPr>
            <w:tcW w:w="818" w:type="dxa"/>
            <w:shd w:val="clear" w:color="auto" w:fill="auto"/>
            <w:vAlign w:val="bottom"/>
          </w:tcPr>
          <w:p w14:paraId="1EA3C47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936</w:t>
            </w:r>
          </w:p>
        </w:tc>
        <w:tc>
          <w:tcPr>
            <w:tcW w:w="717" w:type="dxa"/>
            <w:shd w:val="clear" w:color="auto" w:fill="auto"/>
            <w:vAlign w:val="bottom"/>
          </w:tcPr>
          <w:p w14:paraId="0BB5E1F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150</w:t>
            </w:r>
          </w:p>
        </w:tc>
        <w:tc>
          <w:tcPr>
            <w:tcW w:w="716" w:type="dxa"/>
            <w:shd w:val="clear" w:color="auto" w:fill="auto"/>
            <w:vAlign w:val="bottom"/>
          </w:tcPr>
          <w:p w14:paraId="5BAB033E"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10</w:t>
            </w:r>
          </w:p>
        </w:tc>
        <w:tc>
          <w:tcPr>
            <w:tcW w:w="717" w:type="dxa"/>
            <w:shd w:val="clear" w:color="auto" w:fill="auto"/>
            <w:vAlign w:val="bottom"/>
          </w:tcPr>
          <w:p w14:paraId="4AA8500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1 096</w:t>
            </w:r>
          </w:p>
        </w:tc>
        <w:tc>
          <w:tcPr>
            <w:tcW w:w="716" w:type="dxa"/>
            <w:shd w:val="clear" w:color="auto" w:fill="auto"/>
            <w:vAlign w:val="bottom"/>
          </w:tcPr>
          <w:p w14:paraId="36138CC4"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179</w:t>
            </w:r>
          </w:p>
        </w:tc>
        <w:tc>
          <w:tcPr>
            <w:tcW w:w="817" w:type="dxa"/>
            <w:shd w:val="clear" w:color="auto" w:fill="auto"/>
            <w:vAlign w:val="bottom"/>
          </w:tcPr>
          <w:p w14:paraId="270BFBB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914</w:t>
            </w:r>
          </w:p>
        </w:tc>
        <w:tc>
          <w:tcPr>
            <w:tcW w:w="615" w:type="dxa"/>
            <w:shd w:val="clear" w:color="auto" w:fill="auto"/>
            <w:vAlign w:val="bottom"/>
          </w:tcPr>
          <w:p w14:paraId="11C48462"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11</w:t>
            </w:r>
          </w:p>
        </w:tc>
        <w:tc>
          <w:tcPr>
            <w:tcW w:w="717" w:type="dxa"/>
            <w:shd w:val="clear" w:color="auto" w:fill="auto"/>
            <w:vAlign w:val="bottom"/>
          </w:tcPr>
          <w:p w14:paraId="3B176278"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1 104</w:t>
            </w:r>
          </w:p>
        </w:tc>
      </w:tr>
      <w:tr w:rsidR="00062B95" w:rsidRPr="00062B95" w14:paraId="75139792" w14:textId="77777777" w:rsidTr="007043C3">
        <w:trPr>
          <w:trHeight w:val="240"/>
        </w:trPr>
        <w:tc>
          <w:tcPr>
            <w:tcW w:w="743" w:type="dxa"/>
            <w:shd w:val="clear" w:color="auto" w:fill="auto"/>
          </w:tcPr>
          <w:p w14:paraId="4C2C8EF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794" w:type="dxa"/>
            <w:shd w:val="clear" w:color="auto" w:fill="auto"/>
            <w:vAlign w:val="bottom"/>
          </w:tcPr>
          <w:p w14:paraId="64752DCF"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1 299</w:t>
            </w:r>
          </w:p>
        </w:tc>
        <w:tc>
          <w:tcPr>
            <w:tcW w:w="818" w:type="dxa"/>
            <w:shd w:val="clear" w:color="auto" w:fill="auto"/>
            <w:vAlign w:val="bottom"/>
          </w:tcPr>
          <w:p w14:paraId="7E6B521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1 028</w:t>
            </w:r>
          </w:p>
        </w:tc>
        <w:tc>
          <w:tcPr>
            <w:tcW w:w="717" w:type="dxa"/>
            <w:shd w:val="clear" w:color="auto" w:fill="auto"/>
            <w:vAlign w:val="bottom"/>
          </w:tcPr>
          <w:p w14:paraId="7639FC4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138</w:t>
            </w:r>
          </w:p>
        </w:tc>
        <w:tc>
          <w:tcPr>
            <w:tcW w:w="716" w:type="dxa"/>
            <w:shd w:val="clear" w:color="auto" w:fill="auto"/>
            <w:vAlign w:val="bottom"/>
          </w:tcPr>
          <w:p w14:paraId="2990E0D4"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20</w:t>
            </w:r>
          </w:p>
        </w:tc>
        <w:tc>
          <w:tcPr>
            <w:tcW w:w="717" w:type="dxa"/>
            <w:shd w:val="clear" w:color="auto" w:fill="auto"/>
            <w:vAlign w:val="bottom"/>
          </w:tcPr>
          <w:p w14:paraId="360DEA2D"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1 186</w:t>
            </w:r>
          </w:p>
        </w:tc>
        <w:tc>
          <w:tcPr>
            <w:tcW w:w="716" w:type="dxa"/>
            <w:shd w:val="clear" w:color="auto" w:fill="auto"/>
            <w:vAlign w:val="bottom"/>
          </w:tcPr>
          <w:p w14:paraId="4EDD8CE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183</w:t>
            </w:r>
          </w:p>
        </w:tc>
        <w:tc>
          <w:tcPr>
            <w:tcW w:w="817" w:type="dxa"/>
            <w:shd w:val="clear" w:color="auto" w:fill="auto"/>
            <w:vAlign w:val="bottom"/>
          </w:tcPr>
          <w:p w14:paraId="24742C01"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1 007</w:t>
            </w:r>
          </w:p>
        </w:tc>
        <w:tc>
          <w:tcPr>
            <w:tcW w:w="615" w:type="dxa"/>
            <w:shd w:val="clear" w:color="auto" w:fill="auto"/>
            <w:vAlign w:val="bottom"/>
          </w:tcPr>
          <w:p w14:paraId="17C8D5E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21</w:t>
            </w:r>
          </w:p>
        </w:tc>
        <w:tc>
          <w:tcPr>
            <w:tcW w:w="717" w:type="dxa"/>
            <w:shd w:val="clear" w:color="auto" w:fill="auto"/>
            <w:vAlign w:val="bottom"/>
          </w:tcPr>
          <w:p w14:paraId="0EC34AA7"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1 211</w:t>
            </w:r>
          </w:p>
        </w:tc>
      </w:tr>
      <w:tr w:rsidR="00062B95" w:rsidRPr="00062B95" w14:paraId="6BD1461A" w14:textId="77777777" w:rsidTr="007043C3">
        <w:trPr>
          <w:trHeight w:val="240"/>
        </w:trPr>
        <w:tc>
          <w:tcPr>
            <w:tcW w:w="743" w:type="dxa"/>
            <w:tcBorders>
              <w:bottom w:val="single" w:sz="12" w:space="0" w:color="auto"/>
            </w:tcBorders>
            <w:shd w:val="clear" w:color="auto" w:fill="auto"/>
          </w:tcPr>
          <w:p w14:paraId="0BAAB10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cs/>
              </w:rPr>
            </w:pPr>
            <w:r w:rsidRPr="00062B95">
              <w:rPr>
                <w:sz w:val="18"/>
                <w:lang w:val="es-ES_tradnl"/>
              </w:rPr>
              <w:t>2019</w:t>
            </w:r>
          </w:p>
        </w:tc>
        <w:tc>
          <w:tcPr>
            <w:tcW w:w="794" w:type="dxa"/>
            <w:tcBorders>
              <w:bottom w:val="single" w:sz="12" w:space="0" w:color="auto"/>
            </w:tcBorders>
            <w:shd w:val="clear" w:color="auto" w:fill="auto"/>
            <w:vAlign w:val="bottom"/>
          </w:tcPr>
          <w:p w14:paraId="2E553BAC"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1 532</w:t>
            </w:r>
          </w:p>
        </w:tc>
        <w:tc>
          <w:tcPr>
            <w:tcW w:w="818" w:type="dxa"/>
            <w:tcBorders>
              <w:bottom w:val="single" w:sz="12" w:space="0" w:color="auto"/>
            </w:tcBorders>
            <w:shd w:val="clear" w:color="auto" w:fill="auto"/>
            <w:vAlign w:val="bottom"/>
          </w:tcPr>
          <w:p w14:paraId="16DEF3D4"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1 253</w:t>
            </w:r>
          </w:p>
        </w:tc>
        <w:tc>
          <w:tcPr>
            <w:tcW w:w="717" w:type="dxa"/>
            <w:tcBorders>
              <w:bottom w:val="single" w:sz="12" w:space="0" w:color="auto"/>
            </w:tcBorders>
            <w:shd w:val="clear" w:color="auto" w:fill="auto"/>
            <w:vAlign w:val="bottom"/>
          </w:tcPr>
          <w:p w14:paraId="023CC44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205</w:t>
            </w:r>
          </w:p>
        </w:tc>
        <w:tc>
          <w:tcPr>
            <w:tcW w:w="716" w:type="dxa"/>
            <w:tcBorders>
              <w:bottom w:val="single" w:sz="12" w:space="0" w:color="auto"/>
            </w:tcBorders>
            <w:shd w:val="clear" w:color="auto" w:fill="auto"/>
            <w:vAlign w:val="bottom"/>
          </w:tcPr>
          <w:p w14:paraId="70430E2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37</w:t>
            </w:r>
          </w:p>
        </w:tc>
        <w:tc>
          <w:tcPr>
            <w:tcW w:w="717" w:type="dxa"/>
            <w:tcBorders>
              <w:bottom w:val="single" w:sz="12" w:space="0" w:color="auto"/>
            </w:tcBorders>
            <w:shd w:val="clear" w:color="auto" w:fill="auto"/>
            <w:vAlign w:val="bottom"/>
          </w:tcPr>
          <w:p w14:paraId="578365CF"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1 495</w:t>
            </w:r>
          </w:p>
        </w:tc>
        <w:tc>
          <w:tcPr>
            <w:tcW w:w="716" w:type="dxa"/>
            <w:tcBorders>
              <w:bottom w:val="single" w:sz="12" w:space="0" w:color="auto"/>
            </w:tcBorders>
            <w:shd w:val="clear" w:color="auto" w:fill="auto"/>
            <w:vAlign w:val="bottom"/>
          </w:tcPr>
          <w:p w14:paraId="66E58D0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270</w:t>
            </w:r>
          </w:p>
        </w:tc>
        <w:tc>
          <w:tcPr>
            <w:tcW w:w="817" w:type="dxa"/>
            <w:tcBorders>
              <w:bottom w:val="single" w:sz="12" w:space="0" w:color="auto"/>
            </w:tcBorders>
            <w:shd w:val="clear" w:color="auto" w:fill="auto"/>
            <w:vAlign w:val="bottom"/>
          </w:tcPr>
          <w:p w14:paraId="0F60A67B"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1 206</w:t>
            </w:r>
          </w:p>
        </w:tc>
        <w:tc>
          <w:tcPr>
            <w:tcW w:w="615" w:type="dxa"/>
            <w:tcBorders>
              <w:bottom w:val="single" w:sz="12" w:space="0" w:color="auto"/>
            </w:tcBorders>
            <w:shd w:val="clear" w:color="auto" w:fill="auto"/>
            <w:vAlign w:val="bottom"/>
          </w:tcPr>
          <w:p w14:paraId="09DF7B1A"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39</w:t>
            </w:r>
          </w:p>
        </w:tc>
        <w:tc>
          <w:tcPr>
            <w:tcW w:w="717" w:type="dxa"/>
            <w:tcBorders>
              <w:bottom w:val="single" w:sz="12" w:space="0" w:color="auto"/>
            </w:tcBorders>
            <w:shd w:val="clear" w:color="auto" w:fill="auto"/>
            <w:vAlign w:val="bottom"/>
          </w:tcPr>
          <w:p w14:paraId="5D8253AF" w14:textId="77777777" w:rsidR="00062B95" w:rsidRPr="00775B8C" w:rsidRDefault="00062B95" w:rsidP="007043C3">
            <w:pPr>
              <w:pStyle w:val="SingleTxtG"/>
              <w:tabs>
                <w:tab w:val="clear" w:pos="1701"/>
                <w:tab w:val="clear" w:pos="2268"/>
                <w:tab w:val="clear" w:pos="2835"/>
              </w:tabs>
              <w:spacing w:before="40" w:after="40" w:line="220" w:lineRule="exact"/>
              <w:ind w:left="0" w:right="28"/>
              <w:jc w:val="right"/>
              <w:rPr>
                <w:sz w:val="18"/>
                <w:szCs w:val="18"/>
                <w:lang w:val="es-ES_tradnl"/>
              </w:rPr>
            </w:pPr>
            <w:r w:rsidRPr="00775B8C">
              <w:rPr>
                <w:sz w:val="18"/>
                <w:szCs w:val="18"/>
                <w:cs/>
              </w:rPr>
              <w:t>1 515</w:t>
            </w:r>
          </w:p>
        </w:tc>
      </w:tr>
    </w:tbl>
    <w:p w14:paraId="567B3201" w14:textId="77777777" w:rsidR="00062B95" w:rsidRPr="00062B95" w:rsidRDefault="00062B95" w:rsidP="007043C3">
      <w:pPr>
        <w:pStyle w:val="H23G"/>
        <w:rPr>
          <w:lang w:val="es-ES_tradnl"/>
        </w:rPr>
      </w:pPr>
      <w:r w:rsidRPr="007043C3">
        <w:rPr>
          <w:b w:val="0"/>
          <w:lang w:val="es-ES_tradnl"/>
        </w:rPr>
        <w:tab/>
      </w:r>
      <w:r w:rsidRPr="007043C3">
        <w:rPr>
          <w:b w:val="0"/>
          <w:lang w:val="es-ES_tradnl"/>
        </w:rPr>
        <w:tab/>
        <w:t>Cuadro 3</w:t>
      </w:r>
      <w:r w:rsidRPr="007043C3">
        <w:rPr>
          <w:b w:val="0"/>
          <w:lang w:val="es-ES_tradnl"/>
        </w:rPr>
        <w:br/>
      </w:r>
      <w:r w:rsidRPr="00062B95">
        <w:rPr>
          <w:lang w:val="es-ES_tradnl"/>
        </w:rPr>
        <w:t>Causas incoadas por trata de personas (a fecha de 25 de mayo de 2020)</w:t>
      </w:r>
    </w:p>
    <w:tbl>
      <w:tblPr>
        <w:tblW w:w="850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566"/>
        <w:gridCol w:w="624"/>
        <w:gridCol w:w="910"/>
        <w:gridCol w:w="910"/>
        <w:gridCol w:w="1036"/>
        <w:gridCol w:w="853"/>
        <w:gridCol w:w="826"/>
        <w:gridCol w:w="966"/>
        <w:gridCol w:w="1022"/>
        <w:gridCol w:w="792"/>
      </w:tblGrid>
      <w:tr w:rsidR="00062B95" w:rsidRPr="00062B95" w14:paraId="17EA46F3" w14:textId="77777777" w:rsidTr="007043C3">
        <w:trPr>
          <w:trHeight w:val="240"/>
          <w:tblHeader/>
        </w:trPr>
        <w:tc>
          <w:tcPr>
            <w:tcW w:w="566" w:type="dxa"/>
            <w:vMerge w:val="restart"/>
            <w:tcBorders>
              <w:top w:val="single" w:sz="4" w:space="0" w:color="auto"/>
              <w:bottom w:val="single" w:sz="4" w:space="0" w:color="auto"/>
            </w:tcBorders>
            <w:shd w:val="clear" w:color="auto" w:fill="auto"/>
            <w:vAlign w:val="bottom"/>
          </w:tcPr>
          <w:p w14:paraId="4F3A3331"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624" w:type="dxa"/>
            <w:vMerge w:val="restart"/>
            <w:tcBorders>
              <w:top w:val="single" w:sz="4" w:space="0" w:color="auto"/>
              <w:bottom w:val="single" w:sz="4" w:space="0" w:color="auto"/>
            </w:tcBorders>
            <w:shd w:val="clear" w:color="auto" w:fill="auto"/>
            <w:vAlign w:val="bottom"/>
          </w:tcPr>
          <w:p w14:paraId="06CACF0C" w14:textId="77777777" w:rsidR="00062B95" w:rsidRPr="00062B95"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Total de casos</w:t>
            </w:r>
          </w:p>
        </w:tc>
        <w:tc>
          <w:tcPr>
            <w:tcW w:w="7315" w:type="dxa"/>
            <w:gridSpan w:val="8"/>
            <w:tcBorders>
              <w:top w:val="single" w:sz="4" w:space="0" w:color="auto"/>
              <w:bottom w:val="single" w:sz="4" w:space="0" w:color="auto"/>
            </w:tcBorders>
            <w:shd w:val="clear" w:color="auto" w:fill="auto"/>
            <w:vAlign w:val="bottom"/>
          </w:tcPr>
          <w:p w14:paraId="2D75B695" w14:textId="77777777" w:rsidR="00062B95" w:rsidRPr="00062B95" w:rsidRDefault="00062B95" w:rsidP="007043C3">
            <w:pPr>
              <w:pStyle w:val="SingleTxtG"/>
              <w:tabs>
                <w:tab w:val="clear" w:pos="1701"/>
                <w:tab w:val="clear" w:pos="2268"/>
                <w:tab w:val="clear" w:pos="2835"/>
              </w:tabs>
              <w:spacing w:before="80" w:after="80" w:line="200" w:lineRule="exact"/>
              <w:ind w:left="0" w:right="0"/>
              <w:jc w:val="center"/>
              <w:rPr>
                <w:i/>
                <w:sz w:val="16"/>
                <w:lang w:val="es-ES_tradnl"/>
              </w:rPr>
            </w:pPr>
            <w:r w:rsidRPr="00062B95">
              <w:rPr>
                <w:i/>
                <w:sz w:val="16"/>
                <w:lang w:val="es-ES_tradnl"/>
              </w:rPr>
              <w:t>Tipo de actividad de trata de personas</w:t>
            </w:r>
          </w:p>
        </w:tc>
      </w:tr>
      <w:tr w:rsidR="00062B95" w:rsidRPr="00062B95" w14:paraId="07AEADF1" w14:textId="77777777" w:rsidTr="007043C3">
        <w:trPr>
          <w:trHeight w:val="240"/>
          <w:tblHeader/>
        </w:trPr>
        <w:tc>
          <w:tcPr>
            <w:tcW w:w="566" w:type="dxa"/>
            <w:vMerge/>
            <w:tcBorders>
              <w:top w:val="single" w:sz="4" w:space="0" w:color="auto"/>
              <w:bottom w:val="single" w:sz="12" w:space="0" w:color="auto"/>
            </w:tcBorders>
            <w:shd w:val="clear" w:color="auto" w:fill="auto"/>
            <w:vAlign w:val="bottom"/>
          </w:tcPr>
          <w:p w14:paraId="11B0A36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p>
        </w:tc>
        <w:tc>
          <w:tcPr>
            <w:tcW w:w="624" w:type="dxa"/>
            <w:vMerge/>
            <w:tcBorders>
              <w:top w:val="single" w:sz="4" w:space="0" w:color="auto"/>
              <w:bottom w:val="single" w:sz="12" w:space="0" w:color="auto"/>
            </w:tcBorders>
            <w:shd w:val="clear" w:color="auto" w:fill="auto"/>
            <w:vAlign w:val="bottom"/>
          </w:tcPr>
          <w:p w14:paraId="407A93EB"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p>
        </w:tc>
        <w:tc>
          <w:tcPr>
            <w:tcW w:w="910" w:type="dxa"/>
            <w:tcBorders>
              <w:top w:val="single" w:sz="4" w:space="0" w:color="auto"/>
              <w:bottom w:val="single" w:sz="12" w:space="0" w:color="auto"/>
            </w:tcBorders>
            <w:shd w:val="clear" w:color="auto" w:fill="auto"/>
            <w:vAlign w:val="bottom"/>
          </w:tcPr>
          <w:p w14:paraId="398979DC"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 xml:space="preserve">Prostitución </w:t>
            </w:r>
          </w:p>
        </w:tc>
        <w:tc>
          <w:tcPr>
            <w:tcW w:w="910" w:type="dxa"/>
            <w:tcBorders>
              <w:top w:val="single" w:sz="4" w:space="0" w:color="auto"/>
              <w:bottom w:val="single" w:sz="12" w:space="0" w:color="auto"/>
            </w:tcBorders>
            <w:shd w:val="clear" w:color="auto" w:fill="auto"/>
            <w:vAlign w:val="bottom"/>
          </w:tcPr>
          <w:p w14:paraId="6A14BE71"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Pornografía</w:t>
            </w:r>
          </w:p>
        </w:tc>
        <w:tc>
          <w:tcPr>
            <w:tcW w:w="1036" w:type="dxa"/>
            <w:tcBorders>
              <w:top w:val="single" w:sz="4" w:space="0" w:color="auto"/>
              <w:bottom w:val="single" w:sz="12" w:space="0" w:color="auto"/>
            </w:tcBorders>
            <w:shd w:val="clear" w:color="auto" w:fill="auto"/>
            <w:vAlign w:val="bottom"/>
          </w:tcPr>
          <w:p w14:paraId="38DAE6DE"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Otras formas de explotación sexual</w:t>
            </w:r>
          </w:p>
        </w:tc>
        <w:tc>
          <w:tcPr>
            <w:tcW w:w="853" w:type="dxa"/>
            <w:tcBorders>
              <w:top w:val="single" w:sz="4" w:space="0" w:color="auto"/>
              <w:bottom w:val="single" w:sz="12" w:space="0" w:color="auto"/>
            </w:tcBorders>
            <w:shd w:val="clear" w:color="auto" w:fill="auto"/>
            <w:vAlign w:val="bottom"/>
          </w:tcPr>
          <w:p w14:paraId="40D7A91E"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Mendicidad forzada</w:t>
            </w:r>
          </w:p>
        </w:tc>
        <w:tc>
          <w:tcPr>
            <w:tcW w:w="826" w:type="dxa"/>
            <w:tcBorders>
              <w:top w:val="single" w:sz="4" w:space="0" w:color="auto"/>
              <w:bottom w:val="single" w:sz="12" w:space="0" w:color="auto"/>
            </w:tcBorders>
            <w:shd w:val="clear" w:color="auto" w:fill="auto"/>
            <w:vAlign w:val="bottom"/>
          </w:tcPr>
          <w:p w14:paraId="2C7FAEE7"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Esclavitud</w:t>
            </w:r>
          </w:p>
        </w:tc>
        <w:tc>
          <w:tcPr>
            <w:tcW w:w="966" w:type="dxa"/>
            <w:tcBorders>
              <w:top w:val="single" w:sz="4" w:space="0" w:color="auto"/>
              <w:bottom w:val="single" w:sz="12" w:space="0" w:color="auto"/>
            </w:tcBorders>
            <w:shd w:val="clear" w:color="auto" w:fill="auto"/>
            <w:vAlign w:val="bottom"/>
          </w:tcPr>
          <w:p w14:paraId="3965A6F0"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Mano de obra (en general)</w:t>
            </w:r>
          </w:p>
        </w:tc>
        <w:tc>
          <w:tcPr>
            <w:tcW w:w="1022" w:type="dxa"/>
            <w:tcBorders>
              <w:top w:val="single" w:sz="4" w:space="0" w:color="auto"/>
              <w:bottom w:val="single" w:sz="12" w:space="0" w:color="auto"/>
            </w:tcBorders>
            <w:shd w:val="clear" w:color="auto" w:fill="auto"/>
            <w:vAlign w:val="bottom"/>
          </w:tcPr>
          <w:p w14:paraId="0BC228EC"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Mano de obra (en el sector de la pesca)</w:t>
            </w:r>
          </w:p>
        </w:tc>
        <w:tc>
          <w:tcPr>
            <w:tcW w:w="792" w:type="dxa"/>
            <w:tcBorders>
              <w:top w:val="single" w:sz="4" w:space="0" w:color="auto"/>
              <w:bottom w:val="single" w:sz="12" w:space="0" w:color="auto"/>
            </w:tcBorders>
            <w:shd w:val="clear" w:color="auto" w:fill="auto"/>
            <w:vAlign w:val="bottom"/>
          </w:tcPr>
          <w:p w14:paraId="32A89025" w14:textId="77777777" w:rsidR="00062B95" w:rsidRPr="007043C3" w:rsidRDefault="00062B95" w:rsidP="007043C3">
            <w:pPr>
              <w:pStyle w:val="SingleTxtG"/>
              <w:tabs>
                <w:tab w:val="clear" w:pos="1701"/>
                <w:tab w:val="clear" w:pos="2268"/>
                <w:tab w:val="clear" w:pos="2835"/>
              </w:tabs>
              <w:spacing w:before="80" w:after="80" w:line="200" w:lineRule="exact"/>
              <w:ind w:left="28" w:right="28"/>
              <w:jc w:val="right"/>
              <w:rPr>
                <w:i/>
                <w:sz w:val="16"/>
                <w:lang w:val="es-ES_tradnl"/>
              </w:rPr>
            </w:pPr>
            <w:r w:rsidRPr="007043C3">
              <w:rPr>
                <w:i/>
                <w:sz w:val="16"/>
                <w:lang w:val="es-ES_tradnl"/>
              </w:rPr>
              <w:t>Extorsión/ Otros</w:t>
            </w:r>
          </w:p>
        </w:tc>
      </w:tr>
      <w:tr w:rsidR="00062B95" w:rsidRPr="00062B95" w14:paraId="7EC433B3" w14:textId="77777777" w:rsidTr="007043C3">
        <w:trPr>
          <w:trHeight w:val="240"/>
        </w:trPr>
        <w:tc>
          <w:tcPr>
            <w:tcW w:w="566" w:type="dxa"/>
            <w:tcBorders>
              <w:top w:val="single" w:sz="12" w:space="0" w:color="auto"/>
            </w:tcBorders>
            <w:shd w:val="clear" w:color="auto" w:fill="auto"/>
          </w:tcPr>
          <w:p w14:paraId="5353A98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624" w:type="dxa"/>
            <w:tcBorders>
              <w:top w:val="single" w:sz="12" w:space="0" w:color="auto"/>
            </w:tcBorders>
            <w:shd w:val="clear" w:color="auto" w:fill="auto"/>
            <w:vAlign w:val="bottom"/>
          </w:tcPr>
          <w:p w14:paraId="4B9A811F"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317</w:t>
            </w:r>
          </w:p>
        </w:tc>
        <w:tc>
          <w:tcPr>
            <w:tcW w:w="910" w:type="dxa"/>
            <w:tcBorders>
              <w:top w:val="single" w:sz="12" w:space="0" w:color="auto"/>
            </w:tcBorders>
            <w:shd w:val="clear" w:color="auto" w:fill="auto"/>
            <w:vAlign w:val="bottom"/>
          </w:tcPr>
          <w:p w14:paraId="01585224"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245</w:t>
            </w:r>
          </w:p>
        </w:tc>
        <w:tc>
          <w:tcPr>
            <w:tcW w:w="910" w:type="dxa"/>
            <w:tcBorders>
              <w:top w:val="single" w:sz="12" w:space="0" w:color="auto"/>
            </w:tcBorders>
            <w:shd w:val="clear" w:color="auto" w:fill="auto"/>
            <w:vAlign w:val="bottom"/>
          </w:tcPr>
          <w:p w14:paraId="3453D452"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c>
          <w:tcPr>
            <w:tcW w:w="1036" w:type="dxa"/>
            <w:tcBorders>
              <w:top w:val="single" w:sz="12" w:space="0" w:color="auto"/>
            </w:tcBorders>
            <w:shd w:val="clear" w:color="auto" w:fill="auto"/>
            <w:vAlign w:val="bottom"/>
          </w:tcPr>
          <w:p w14:paraId="0F050BD6"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c>
          <w:tcPr>
            <w:tcW w:w="853" w:type="dxa"/>
            <w:tcBorders>
              <w:top w:val="single" w:sz="12" w:space="0" w:color="auto"/>
            </w:tcBorders>
            <w:shd w:val="clear" w:color="auto" w:fill="auto"/>
            <w:vAlign w:val="bottom"/>
          </w:tcPr>
          <w:p w14:paraId="4FA3B8A4"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26" w:type="dxa"/>
            <w:tcBorders>
              <w:top w:val="single" w:sz="12" w:space="0" w:color="auto"/>
            </w:tcBorders>
            <w:shd w:val="clear" w:color="auto" w:fill="auto"/>
            <w:vAlign w:val="bottom"/>
          </w:tcPr>
          <w:p w14:paraId="56EF4DFF"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c>
          <w:tcPr>
            <w:tcW w:w="966" w:type="dxa"/>
            <w:tcBorders>
              <w:top w:val="single" w:sz="12" w:space="0" w:color="auto"/>
            </w:tcBorders>
            <w:shd w:val="clear" w:color="auto" w:fill="auto"/>
            <w:vAlign w:val="bottom"/>
          </w:tcPr>
          <w:p w14:paraId="35900CB3"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30</w:t>
            </w:r>
          </w:p>
        </w:tc>
        <w:tc>
          <w:tcPr>
            <w:tcW w:w="1022" w:type="dxa"/>
            <w:tcBorders>
              <w:top w:val="single" w:sz="12" w:space="0" w:color="auto"/>
            </w:tcBorders>
            <w:shd w:val="clear" w:color="auto" w:fill="auto"/>
            <w:vAlign w:val="bottom"/>
          </w:tcPr>
          <w:p w14:paraId="7243F96E"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39</w:t>
            </w:r>
          </w:p>
        </w:tc>
        <w:tc>
          <w:tcPr>
            <w:tcW w:w="792" w:type="dxa"/>
            <w:tcBorders>
              <w:top w:val="single" w:sz="12" w:space="0" w:color="auto"/>
            </w:tcBorders>
            <w:shd w:val="clear" w:color="auto" w:fill="auto"/>
            <w:vAlign w:val="bottom"/>
          </w:tcPr>
          <w:p w14:paraId="34C4D8F6"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r>
      <w:tr w:rsidR="00062B95" w:rsidRPr="00062B95" w14:paraId="1AE2ED00" w14:textId="77777777" w:rsidTr="007043C3">
        <w:trPr>
          <w:trHeight w:val="240"/>
        </w:trPr>
        <w:tc>
          <w:tcPr>
            <w:tcW w:w="566" w:type="dxa"/>
            <w:shd w:val="clear" w:color="auto" w:fill="auto"/>
          </w:tcPr>
          <w:p w14:paraId="48004E2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624" w:type="dxa"/>
            <w:shd w:val="clear" w:color="auto" w:fill="auto"/>
            <w:vAlign w:val="bottom"/>
          </w:tcPr>
          <w:p w14:paraId="4EC39014"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333</w:t>
            </w:r>
          </w:p>
        </w:tc>
        <w:tc>
          <w:tcPr>
            <w:tcW w:w="910" w:type="dxa"/>
            <w:shd w:val="clear" w:color="auto" w:fill="auto"/>
            <w:vAlign w:val="bottom"/>
          </w:tcPr>
          <w:p w14:paraId="3F7B1B8B"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244</w:t>
            </w:r>
          </w:p>
        </w:tc>
        <w:tc>
          <w:tcPr>
            <w:tcW w:w="910" w:type="dxa"/>
            <w:shd w:val="clear" w:color="auto" w:fill="auto"/>
            <w:vAlign w:val="bottom"/>
          </w:tcPr>
          <w:p w14:paraId="70DC79E3"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1036" w:type="dxa"/>
            <w:shd w:val="clear" w:color="auto" w:fill="auto"/>
            <w:vAlign w:val="bottom"/>
          </w:tcPr>
          <w:p w14:paraId="553CE3DD"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c>
          <w:tcPr>
            <w:tcW w:w="853" w:type="dxa"/>
            <w:shd w:val="clear" w:color="auto" w:fill="auto"/>
            <w:vAlign w:val="bottom"/>
          </w:tcPr>
          <w:p w14:paraId="1BFE6C6E"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w:t>
            </w:r>
          </w:p>
        </w:tc>
        <w:tc>
          <w:tcPr>
            <w:tcW w:w="826" w:type="dxa"/>
            <w:shd w:val="clear" w:color="auto" w:fill="auto"/>
            <w:vAlign w:val="bottom"/>
          </w:tcPr>
          <w:p w14:paraId="0A9274F5"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c>
          <w:tcPr>
            <w:tcW w:w="966" w:type="dxa"/>
            <w:shd w:val="clear" w:color="auto" w:fill="auto"/>
            <w:vAlign w:val="bottom"/>
          </w:tcPr>
          <w:p w14:paraId="2F9D88F0"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32</w:t>
            </w:r>
          </w:p>
        </w:tc>
        <w:tc>
          <w:tcPr>
            <w:tcW w:w="1022" w:type="dxa"/>
            <w:shd w:val="clear" w:color="auto" w:fill="auto"/>
            <w:vAlign w:val="bottom"/>
          </w:tcPr>
          <w:p w14:paraId="499B1FED"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43</w:t>
            </w:r>
          </w:p>
        </w:tc>
        <w:tc>
          <w:tcPr>
            <w:tcW w:w="792" w:type="dxa"/>
            <w:shd w:val="clear" w:color="auto" w:fill="auto"/>
            <w:vAlign w:val="bottom"/>
          </w:tcPr>
          <w:p w14:paraId="5F249E8A"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r>
      <w:tr w:rsidR="00062B95" w:rsidRPr="00062B95" w14:paraId="0444D22A" w14:textId="77777777" w:rsidTr="007043C3">
        <w:trPr>
          <w:trHeight w:val="240"/>
        </w:trPr>
        <w:tc>
          <w:tcPr>
            <w:tcW w:w="566" w:type="dxa"/>
            <w:shd w:val="clear" w:color="auto" w:fill="auto"/>
          </w:tcPr>
          <w:p w14:paraId="0EAADCD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2017</w:t>
            </w:r>
          </w:p>
        </w:tc>
        <w:tc>
          <w:tcPr>
            <w:tcW w:w="624" w:type="dxa"/>
            <w:shd w:val="clear" w:color="auto" w:fill="auto"/>
            <w:vAlign w:val="bottom"/>
          </w:tcPr>
          <w:p w14:paraId="4BE5D9CC"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302</w:t>
            </w:r>
          </w:p>
        </w:tc>
        <w:tc>
          <w:tcPr>
            <w:tcW w:w="910" w:type="dxa"/>
            <w:shd w:val="clear" w:color="auto" w:fill="auto"/>
            <w:vAlign w:val="bottom"/>
          </w:tcPr>
          <w:p w14:paraId="4BE156D4"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246</w:t>
            </w:r>
          </w:p>
        </w:tc>
        <w:tc>
          <w:tcPr>
            <w:tcW w:w="910" w:type="dxa"/>
            <w:shd w:val="clear" w:color="auto" w:fill="auto"/>
            <w:vAlign w:val="bottom"/>
          </w:tcPr>
          <w:p w14:paraId="1ECCD630"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1036" w:type="dxa"/>
            <w:shd w:val="clear" w:color="auto" w:fill="auto"/>
            <w:vAlign w:val="bottom"/>
          </w:tcPr>
          <w:p w14:paraId="3341BABE"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w:t>
            </w:r>
          </w:p>
        </w:tc>
        <w:tc>
          <w:tcPr>
            <w:tcW w:w="853" w:type="dxa"/>
            <w:shd w:val="clear" w:color="auto" w:fill="auto"/>
            <w:vAlign w:val="bottom"/>
          </w:tcPr>
          <w:p w14:paraId="7BA5D38D"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26</w:t>
            </w:r>
          </w:p>
        </w:tc>
        <w:tc>
          <w:tcPr>
            <w:tcW w:w="826" w:type="dxa"/>
            <w:shd w:val="clear" w:color="auto" w:fill="auto"/>
            <w:vAlign w:val="bottom"/>
          </w:tcPr>
          <w:p w14:paraId="23B1C1D5"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c>
          <w:tcPr>
            <w:tcW w:w="966" w:type="dxa"/>
            <w:shd w:val="clear" w:color="auto" w:fill="auto"/>
            <w:vAlign w:val="bottom"/>
          </w:tcPr>
          <w:p w14:paraId="7565DAB9"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14</w:t>
            </w:r>
          </w:p>
        </w:tc>
        <w:tc>
          <w:tcPr>
            <w:tcW w:w="1022" w:type="dxa"/>
            <w:shd w:val="clear" w:color="auto" w:fill="auto"/>
            <w:vAlign w:val="bottom"/>
          </w:tcPr>
          <w:p w14:paraId="5F84DCF2"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792" w:type="dxa"/>
            <w:shd w:val="clear" w:color="auto" w:fill="auto"/>
            <w:vAlign w:val="bottom"/>
          </w:tcPr>
          <w:p w14:paraId="071D25EE"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r>
      <w:tr w:rsidR="00062B95" w:rsidRPr="00062B95" w14:paraId="7983AEC5" w14:textId="77777777" w:rsidTr="007043C3">
        <w:trPr>
          <w:trHeight w:val="240"/>
        </w:trPr>
        <w:tc>
          <w:tcPr>
            <w:tcW w:w="566" w:type="dxa"/>
            <w:shd w:val="clear" w:color="auto" w:fill="auto"/>
          </w:tcPr>
          <w:p w14:paraId="5F3F394C"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624" w:type="dxa"/>
            <w:shd w:val="clear" w:color="auto" w:fill="auto"/>
            <w:vAlign w:val="bottom"/>
          </w:tcPr>
          <w:p w14:paraId="1786009D"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304</w:t>
            </w:r>
          </w:p>
        </w:tc>
        <w:tc>
          <w:tcPr>
            <w:tcW w:w="910" w:type="dxa"/>
            <w:shd w:val="clear" w:color="auto" w:fill="auto"/>
            <w:vAlign w:val="bottom"/>
          </w:tcPr>
          <w:p w14:paraId="0AD23F03"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249</w:t>
            </w:r>
          </w:p>
        </w:tc>
        <w:tc>
          <w:tcPr>
            <w:tcW w:w="910" w:type="dxa"/>
            <w:shd w:val="clear" w:color="auto" w:fill="auto"/>
            <w:vAlign w:val="bottom"/>
          </w:tcPr>
          <w:p w14:paraId="3EC7FD81"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1036" w:type="dxa"/>
            <w:shd w:val="clear" w:color="auto" w:fill="auto"/>
            <w:vAlign w:val="bottom"/>
          </w:tcPr>
          <w:p w14:paraId="1955062C"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w:t>
            </w:r>
          </w:p>
        </w:tc>
        <w:tc>
          <w:tcPr>
            <w:tcW w:w="853" w:type="dxa"/>
            <w:shd w:val="clear" w:color="auto" w:fill="auto"/>
            <w:vAlign w:val="bottom"/>
          </w:tcPr>
          <w:p w14:paraId="6DDA8452"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w:t>
            </w:r>
          </w:p>
        </w:tc>
        <w:tc>
          <w:tcPr>
            <w:tcW w:w="826" w:type="dxa"/>
            <w:shd w:val="clear" w:color="auto" w:fill="auto"/>
            <w:vAlign w:val="bottom"/>
          </w:tcPr>
          <w:p w14:paraId="731342C9"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w:t>
            </w:r>
          </w:p>
        </w:tc>
        <w:tc>
          <w:tcPr>
            <w:tcW w:w="966" w:type="dxa"/>
            <w:shd w:val="clear" w:color="auto" w:fill="auto"/>
            <w:vAlign w:val="bottom"/>
          </w:tcPr>
          <w:p w14:paraId="44F602BE"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29</w:t>
            </w:r>
          </w:p>
        </w:tc>
        <w:tc>
          <w:tcPr>
            <w:tcW w:w="1022" w:type="dxa"/>
            <w:shd w:val="clear" w:color="auto" w:fill="auto"/>
            <w:vAlign w:val="bottom"/>
          </w:tcPr>
          <w:p w14:paraId="2CD41841"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792" w:type="dxa"/>
            <w:shd w:val="clear" w:color="auto" w:fill="auto"/>
            <w:vAlign w:val="bottom"/>
          </w:tcPr>
          <w:p w14:paraId="5FB3384C" w14:textId="77777777" w:rsidR="00062B95" w:rsidRPr="00062B95" w:rsidRDefault="00062B95" w:rsidP="007D2972">
            <w:pPr>
              <w:pStyle w:val="SingleTxtG"/>
              <w:keepNext/>
              <w:keepLines/>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r>
      <w:tr w:rsidR="00062B95" w:rsidRPr="00062B95" w14:paraId="6DD7433B" w14:textId="77777777" w:rsidTr="007043C3">
        <w:trPr>
          <w:trHeight w:val="240"/>
        </w:trPr>
        <w:tc>
          <w:tcPr>
            <w:tcW w:w="566" w:type="dxa"/>
            <w:tcBorders>
              <w:bottom w:val="single" w:sz="12" w:space="0" w:color="auto"/>
            </w:tcBorders>
            <w:shd w:val="clear" w:color="auto" w:fill="auto"/>
          </w:tcPr>
          <w:p w14:paraId="4BD4C2B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2019</w:t>
            </w:r>
          </w:p>
        </w:tc>
        <w:tc>
          <w:tcPr>
            <w:tcW w:w="624" w:type="dxa"/>
            <w:tcBorders>
              <w:bottom w:val="single" w:sz="12" w:space="0" w:color="auto"/>
            </w:tcBorders>
            <w:shd w:val="clear" w:color="auto" w:fill="auto"/>
            <w:vAlign w:val="bottom"/>
          </w:tcPr>
          <w:p w14:paraId="3C3F9A36"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288</w:t>
            </w:r>
          </w:p>
        </w:tc>
        <w:tc>
          <w:tcPr>
            <w:tcW w:w="910" w:type="dxa"/>
            <w:tcBorders>
              <w:bottom w:val="single" w:sz="12" w:space="0" w:color="auto"/>
            </w:tcBorders>
            <w:shd w:val="clear" w:color="auto" w:fill="auto"/>
            <w:vAlign w:val="bottom"/>
          </w:tcPr>
          <w:p w14:paraId="6F0BE361"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158</w:t>
            </w:r>
          </w:p>
        </w:tc>
        <w:tc>
          <w:tcPr>
            <w:tcW w:w="910" w:type="dxa"/>
            <w:tcBorders>
              <w:bottom w:val="single" w:sz="12" w:space="0" w:color="auto"/>
            </w:tcBorders>
            <w:shd w:val="clear" w:color="auto" w:fill="auto"/>
            <w:vAlign w:val="bottom"/>
          </w:tcPr>
          <w:p w14:paraId="361EF14E"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15</w:t>
            </w:r>
          </w:p>
        </w:tc>
        <w:tc>
          <w:tcPr>
            <w:tcW w:w="1036" w:type="dxa"/>
            <w:tcBorders>
              <w:bottom w:val="single" w:sz="12" w:space="0" w:color="auto"/>
            </w:tcBorders>
            <w:shd w:val="clear" w:color="auto" w:fill="auto"/>
            <w:vAlign w:val="bottom"/>
          </w:tcPr>
          <w:p w14:paraId="5C1C1AEC"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12</w:t>
            </w:r>
          </w:p>
        </w:tc>
        <w:tc>
          <w:tcPr>
            <w:tcW w:w="853" w:type="dxa"/>
            <w:tcBorders>
              <w:bottom w:val="single" w:sz="12" w:space="0" w:color="auto"/>
            </w:tcBorders>
            <w:shd w:val="clear" w:color="auto" w:fill="auto"/>
            <w:vAlign w:val="bottom"/>
          </w:tcPr>
          <w:p w14:paraId="3D41A48E"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w:t>
            </w:r>
          </w:p>
        </w:tc>
        <w:tc>
          <w:tcPr>
            <w:tcW w:w="826" w:type="dxa"/>
            <w:tcBorders>
              <w:bottom w:val="single" w:sz="12" w:space="0" w:color="auto"/>
            </w:tcBorders>
            <w:shd w:val="clear" w:color="auto" w:fill="auto"/>
            <w:vAlign w:val="bottom"/>
          </w:tcPr>
          <w:p w14:paraId="1A52A6BE"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33</w:t>
            </w:r>
          </w:p>
        </w:tc>
        <w:tc>
          <w:tcPr>
            <w:tcW w:w="966" w:type="dxa"/>
            <w:tcBorders>
              <w:bottom w:val="single" w:sz="12" w:space="0" w:color="auto"/>
            </w:tcBorders>
            <w:shd w:val="clear" w:color="auto" w:fill="auto"/>
            <w:vAlign w:val="bottom"/>
          </w:tcPr>
          <w:p w14:paraId="6FD3819D"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31</w:t>
            </w:r>
          </w:p>
        </w:tc>
        <w:tc>
          <w:tcPr>
            <w:tcW w:w="1022" w:type="dxa"/>
            <w:tcBorders>
              <w:bottom w:val="single" w:sz="12" w:space="0" w:color="auto"/>
            </w:tcBorders>
            <w:shd w:val="clear" w:color="auto" w:fill="auto"/>
            <w:vAlign w:val="bottom"/>
          </w:tcPr>
          <w:p w14:paraId="202065E3"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792" w:type="dxa"/>
            <w:tcBorders>
              <w:bottom w:val="single" w:sz="12" w:space="0" w:color="auto"/>
            </w:tcBorders>
            <w:shd w:val="clear" w:color="auto" w:fill="auto"/>
            <w:vAlign w:val="bottom"/>
          </w:tcPr>
          <w:p w14:paraId="15F18711" w14:textId="77777777" w:rsidR="00062B95" w:rsidRPr="00062B95" w:rsidRDefault="00062B95" w:rsidP="007043C3">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26</w:t>
            </w:r>
          </w:p>
        </w:tc>
      </w:tr>
    </w:tbl>
    <w:p w14:paraId="763B2724" w14:textId="77777777" w:rsidR="00062B95" w:rsidRPr="00062B95" w:rsidRDefault="00062B95" w:rsidP="001B29B8">
      <w:pPr>
        <w:pStyle w:val="H23G"/>
        <w:rPr>
          <w:lang w:val="es-ES_tradnl"/>
        </w:rPr>
      </w:pPr>
      <w:r w:rsidRPr="001B29B8">
        <w:rPr>
          <w:b w:val="0"/>
          <w:lang w:val="es-ES_tradnl"/>
        </w:rPr>
        <w:tab/>
      </w:r>
      <w:r w:rsidRPr="001B29B8">
        <w:rPr>
          <w:b w:val="0"/>
          <w:lang w:val="es-ES_tradnl"/>
        </w:rPr>
        <w:tab/>
        <w:t>Cuadro 4</w:t>
      </w:r>
      <w:r w:rsidRPr="001B29B8">
        <w:rPr>
          <w:b w:val="0"/>
          <w:lang w:val="es-ES_tradnl"/>
        </w:rPr>
        <w:br/>
      </w:r>
      <w:r w:rsidRPr="00062B95">
        <w:rPr>
          <w:lang w:val="es-ES_tradnl"/>
        </w:rPr>
        <w:t>Número de presuntos autores de trata de personas, desglosado por género y país de nacionalidad (a fecha de 25 de mayo de 2020)</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623"/>
        <w:gridCol w:w="937"/>
        <w:gridCol w:w="850"/>
        <w:gridCol w:w="685"/>
        <w:gridCol w:w="874"/>
        <w:gridCol w:w="851"/>
        <w:gridCol w:w="868"/>
        <w:gridCol w:w="882"/>
        <w:gridCol w:w="800"/>
      </w:tblGrid>
      <w:tr w:rsidR="00062B95" w:rsidRPr="00062B95" w14:paraId="202ADAD6" w14:textId="77777777" w:rsidTr="0085022A">
        <w:trPr>
          <w:trHeight w:val="240"/>
          <w:tblHeader/>
        </w:trPr>
        <w:tc>
          <w:tcPr>
            <w:tcW w:w="623" w:type="dxa"/>
            <w:vMerge w:val="restart"/>
            <w:tcBorders>
              <w:top w:val="single" w:sz="4" w:space="0" w:color="auto"/>
              <w:bottom w:val="single" w:sz="4" w:space="0" w:color="auto"/>
            </w:tcBorders>
            <w:shd w:val="clear" w:color="auto" w:fill="auto"/>
            <w:vAlign w:val="bottom"/>
          </w:tcPr>
          <w:p w14:paraId="565981E5"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937" w:type="dxa"/>
            <w:vMerge w:val="restart"/>
            <w:tcBorders>
              <w:top w:val="single" w:sz="4" w:space="0" w:color="auto"/>
              <w:bottom w:val="single" w:sz="4" w:space="0" w:color="auto"/>
            </w:tcBorders>
            <w:shd w:val="clear" w:color="auto" w:fill="auto"/>
            <w:vAlign w:val="bottom"/>
          </w:tcPr>
          <w:p w14:paraId="42D904BC" w14:textId="77777777" w:rsidR="00062B95" w:rsidRPr="00062B95"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Total</w:t>
            </w:r>
          </w:p>
        </w:tc>
        <w:tc>
          <w:tcPr>
            <w:tcW w:w="1535" w:type="dxa"/>
            <w:gridSpan w:val="2"/>
            <w:tcBorders>
              <w:top w:val="single" w:sz="4" w:space="0" w:color="auto"/>
              <w:bottom w:val="single" w:sz="4" w:space="0" w:color="auto"/>
              <w:right w:val="single" w:sz="24" w:space="0" w:color="FFFFFF" w:themeColor="background1"/>
            </w:tcBorders>
            <w:shd w:val="clear" w:color="auto" w:fill="auto"/>
            <w:vAlign w:val="bottom"/>
          </w:tcPr>
          <w:p w14:paraId="1A977245" w14:textId="77777777" w:rsidR="00062B95" w:rsidRPr="00062B95" w:rsidRDefault="00062B95" w:rsidP="001B29B8">
            <w:pPr>
              <w:pStyle w:val="SingleTxtG"/>
              <w:tabs>
                <w:tab w:val="clear" w:pos="1701"/>
                <w:tab w:val="clear" w:pos="2268"/>
                <w:tab w:val="clear" w:pos="2835"/>
              </w:tabs>
              <w:spacing w:before="80" w:after="80" w:line="200" w:lineRule="exact"/>
              <w:ind w:left="0" w:right="0"/>
              <w:jc w:val="center"/>
              <w:rPr>
                <w:i/>
                <w:sz w:val="16"/>
                <w:lang w:val="es-ES_tradnl"/>
              </w:rPr>
            </w:pPr>
            <w:r w:rsidRPr="00062B95">
              <w:rPr>
                <w:i/>
                <w:sz w:val="16"/>
                <w:lang w:val="es-ES_tradnl"/>
              </w:rPr>
              <w:t>Género</w:t>
            </w:r>
          </w:p>
        </w:tc>
        <w:tc>
          <w:tcPr>
            <w:tcW w:w="4275" w:type="dxa"/>
            <w:gridSpan w:val="5"/>
            <w:tcBorders>
              <w:top w:val="single" w:sz="4" w:space="0" w:color="auto"/>
              <w:left w:val="single" w:sz="24" w:space="0" w:color="FFFFFF" w:themeColor="background1"/>
              <w:bottom w:val="single" w:sz="4" w:space="0" w:color="auto"/>
            </w:tcBorders>
            <w:shd w:val="clear" w:color="auto" w:fill="auto"/>
            <w:vAlign w:val="bottom"/>
          </w:tcPr>
          <w:p w14:paraId="3F078FF7" w14:textId="77777777" w:rsidR="00062B95" w:rsidRPr="00062B95" w:rsidRDefault="00062B95" w:rsidP="001B29B8">
            <w:pPr>
              <w:pStyle w:val="SingleTxtG"/>
              <w:tabs>
                <w:tab w:val="clear" w:pos="1701"/>
                <w:tab w:val="clear" w:pos="2268"/>
                <w:tab w:val="clear" w:pos="2835"/>
              </w:tabs>
              <w:spacing w:before="80" w:after="80" w:line="200" w:lineRule="exact"/>
              <w:ind w:left="0" w:right="0"/>
              <w:jc w:val="center"/>
              <w:rPr>
                <w:i/>
                <w:sz w:val="16"/>
                <w:lang w:val="es-ES_tradnl"/>
              </w:rPr>
            </w:pPr>
            <w:r w:rsidRPr="00062B95">
              <w:rPr>
                <w:i/>
                <w:sz w:val="16"/>
                <w:lang w:val="es-ES_tradnl"/>
              </w:rPr>
              <w:t>País de nacionalidad</w:t>
            </w:r>
          </w:p>
        </w:tc>
      </w:tr>
      <w:tr w:rsidR="00062B95" w:rsidRPr="00062B95" w14:paraId="61580E8F" w14:textId="77777777" w:rsidTr="0085022A">
        <w:trPr>
          <w:trHeight w:val="240"/>
          <w:tblHeader/>
        </w:trPr>
        <w:tc>
          <w:tcPr>
            <w:tcW w:w="623" w:type="dxa"/>
            <w:vMerge/>
            <w:tcBorders>
              <w:top w:val="single" w:sz="4" w:space="0" w:color="auto"/>
              <w:bottom w:val="single" w:sz="12" w:space="0" w:color="auto"/>
            </w:tcBorders>
            <w:shd w:val="clear" w:color="auto" w:fill="auto"/>
            <w:vAlign w:val="bottom"/>
          </w:tcPr>
          <w:p w14:paraId="271A10F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p>
        </w:tc>
        <w:tc>
          <w:tcPr>
            <w:tcW w:w="937" w:type="dxa"/>
            <w:vMerge/>
            <w:tcBorders>
              <w:top w:val="single" w:sz="4" w:space="0" w:color="auto"/>
              <w:bottom w:val="single" w:sz="12" w:space="0" w:color="auto"/>
            </w:tcBorders>
            <w:shd w:val="clear" w:color="auto" w:fill="auto"/>
            <w:vAlign w:val="bottom"/>
          </w:tcPr>
          <w:p w14:paraId="2E0AC487" w14:textId="77777777" w:rsidR="00062B95" w:rsidRPr="00062B95" w:rsidRDefault="00062B95" w:rsidP="00062B95">
            <w:pPr>
              <w:pStyle w:val="SingleTxtG"/>
              <w:tabs>
                <w:tab w:val="clear" w:pos="1701"/>
                <w:tab w:val="clear" w:pos="2268"/>
                <w:tab w:val="clear" w:pos="2835"/>
              </w:tabs>
              <w:spacing w:before="40" w:after="40" w:line="220" w:lineRule="exact"/>
              <w:ind w:left="113" w:right="0"/>
              <w:jc w:val="right"/>
              <w:rPr>
                <w:sz w:val="18"/>
                <w:lang w:val="es-ES_tradnl"/>
              </w:rPr>
            </w:pPr>
          </w:p>
        </w:tc>
        <w:tc>
          <w:tcPr>
            <w:tcW w:w="850" w:type="dxa"/>
            <w:tcBorders>
              <w:top w:val="single" w:sz="4" w:space="0" w:color="auto"/>
              <w:bottom w:val="single" w:sz="12" w:space="0" w:color="auto"/>
            </w:tcBorders>
            <w:shd w:val="clear" w:color="auto" w:fill="auto"/>
            <w:vAlign w:val="bottom"/>
          </w:tcPr>
          <w:p w14:paraId="6E224A3A"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Hombre</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14:paraId="34869572"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Mujer</w:t>
            </w:r>
          </w:p>
        </w:tc>
        <w:tc>
          <w:tcPr>
            <w:tcW w:w="874" w:type="dxa"/>
            <w:tcBorders>
              <w:top w:val="single" w:sz="4" w:space="0" w:color="auto"/>
              <w:left w:val="single" w:sz="24" w:space="0" w:color="FFFFFF" w:themeColor="background1"/>
              <w:bottom w:val="single" w:sz="12" w:space="0" w:color="auto"/>
            </w:tcBorders>
            <w:shd w:val="clear" w:color="auto" w:fill="auto"/>
            <w:vAlign w:val="bottom"/>
          </w:tcPr>
          <w:p w14:paraId="2A20125A"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Tailandia</w:t>
            </w:r>
          </w:p>
        </w:tc>
        <w:tc>
          <w:tcPr>
            <w:tcW w:w="851" w:type="dxa"/>
            <w:tcBorders>
              <w:top w:val="single" w:sz="4" w:space="0" w:color="auto"/>
              <w:bottom w:val="single" w:sz="12" w:space="0" w:color="auto"/>
            </w:tcBorders>
            <w:shd w:val="clear" w:color="auto" w:fill="auto"/>
            <w:vAlign w:val="bottom"/>
          </w:tcPr>
          <w:p w14:paraId="2B6CDBAA"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Myanmar</w:t>
            </w:r>
          </w:p>
        </w:tc>
        <w:tc>
          <w:tcPr>
            <w:tcW w:w="868" w:type="dxa"/>
            <w:tcBorders>
              <w:top w:val="single" w:sz="4" w:space="0" w:color="auto"/>
              <w:bottom w:val="single" w:sz="12" w:space="0" w:color="auto"/>
            </w:tcBorders>
            <w:shd w:val="clear" w:color="auto" w:fill="auto"/>
            <w:vAlign w:val="bottom"/>
          </w:tcPr>
          <w:p w14:paraId="0A33E1DA"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Camboya</w:t>
            </w:r>
          </w:p>
        </w:tc>
        <w:tc>
          <w:tcPr>
            <w:tcW w:w="882" w:type="dxa"/>
            <w:tcBorders>
              <w:top w:val="single" w:sz="4" w:space="0" w:color="auto"/>
              <w:bottom w:val="single" w:sz="12" w:space="0" w:color="auto"/>
            </w:tcBorders>
            <w:shd w:val="clear" w:color="auto" w:fill="auto"/>
            <w:vAlign w:val="bottom"/>
          </w:tcPr>
          <w:p w14:paraId="036C1A8D"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proofErr w:type="spellStart"/>
            <w:r w:rsidRPr="001B29B8">
              <w:rPr>
                <w:i/>
                <w:sz w:val="16"/>
                <w:lang w:val="es-ES_tradnl"/>
              </w:rPr>
              <w:t>RDP</w:t>
            </w:r>
            <w:proofErr w:type="spellEnd"/>
            <w:r w:rsidRPr="001B29B8">
              <w:rPr>
                <w:i/>
                <w:sz w:val="16"/>
                <w:lang w:val="es-ES_tradnl"/>
              </w:rPr>
              <w:t xml:space="preserve"> Lao</w:t>
            </w:r>
          </w:p>
        </w:tc>
        <w:tc>
          <w:tcPr>
            <w:tcW w:w="800" w:type="dxa"/>
            <w:tcBorders>
              <w:top w:val="single" w:sz="4" w:space="0" w:color="auto"/>
              <w:bottom w:val="single" w:sz="12" w:space="0" w:color="auto"/>
            </w:tcBorders>
            <w:shd w:val="clear" w:color="auto" w:fill="auto"/>
            <w:vAlign w:val="bottom"/>
          </w:tcPr>
          <w:p w14:paraId="65434918"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Otros</w:t>
            </w:r>
          </w:p>
        </w:tc>
      </w:tr>
      <w:tr w:rsidR="00062B95" w:rsidRPr="00062B95" w14:paraId="00915ED0" w14:textId="77777777" w:rsidTr="0085022A">
        <w:trPr>
          <w:trHeight w:val="240"/>
        </w:trPr>
        <w:tc>
          <w:tcPr>
            <w:tcW w:w="623" w:type="dxa"/>
            <w:tcBorders>
              <w:top w:val="single" w:sz="12" w:space="0" w:color="auto"/>
            </w:tcBorders>
            <w:shd w:val="clear" w:color="auto" w:fill="auto"/>
          </w:tcPr>
          <w:p w14:paraId="0A3372E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937" w:type="dxa"/>
            <w:tcBorders>
              <w:top w:val="single" w:sz="12" w:space="0" w:color="auto"/>
            </w:tcBorders>
            <w:shd w:val="clear" w:color="auto" w:fill="auto"/>
            <w:vAlign w:val="bottom"/>
          </w:tcPr>
          <w:p w14:paraId="72CC7B9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690</w:t>
            </w:r>
          </w:p>
        </w:tc>
        <w:tc>
          <w:tcPr>
            <w:tcW w:w="850" w:type="dxa"/>
            <w:tcBorders>
              <w:top w:val="single" w:sz="12" w:space="0" w:color="auto"/>
            </w:tcBorders>
            <w:shd w:val="clear" w:color="auto" w:fill="auto"/>
            <w:vAlign w:val="bottom"/>
          </w:tcPr>
          <w:p w14:paraId="29ADF7A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372</w:t>
            </w:r>
          </w:p>
        </w:tc>
        <w:tc>
          <w:tcPr>
            <w:tcW w:w="685" w:type="dxa"/>
            <w:tcBorders>
              <w:top w:val="single" w:sz="12" w:space="0" w:color="auto"/>
            </w:tcBorders>
            <w:shd w:val="clear" w:color="auto" w:fill="auto"/>
            <w:vAlign w:val="bottom"/>
          </w:tcPr>
          <w:p w14:paraId="120239CE"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318</w:t>
            </w:r>
          </w:p>
        </w:tc>
        <w:tc>
          <w:tcPr>
            <w:tcW w:w="874" w:type="dxa"/>
            <w:tcBorders>
              <w:top w:val="single" w:sz="12" w:space="0" w:color="auto"/>
            </w:tcBorders>
            <w:shd w:val="clear" w:color="auto" w:fill="auto"/>
            <w:vAlign w:val="bottom"/>
          </w:tcPr>
          <w:p w14:paraId="7A70448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617</w:t>
            </w:r>
          </w:p>
        </w:tc>
        <w:tc>
          <w:tcPr>
            <w:tcW w:w="851" w:type="dxa"/>
            <w:tcBorders>
              <w:top w:val="single" w:sz="12" w:space="0" w:color="auto"/>
            </w:tcBorders>
            <w:shd w:val="clear" w:color="auto" w:fill="auto"/>
            <w:vAlign w:val="bottom"/>
          </w:tcPr>
          <w:p w14:paraId="40023E8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47</w:t>
            </w:r>
          </w:p>
        </w:tc>
        <w:tc>
          <w:tcPr>
            <w:tcW w:w="868" w:type="dxa"/>
            <w:tcBorders>
              <w:top w:val="single" w:sz="12" w:space="0" w:color="auto"/>
            </w:tcBorders>
            <w:shd w:val="clear" w:color="auto" w:fill="auto"/>
            <w:vAlign w:val="bottom"/>
          </w:tcPr>
          <w:p w14:paraId="31254CC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882" w:type="dxa"/>
            <w:tcBorders>
              <w:top w:val="single" w:sz="12" w:space="0" w:color="auto"/>
            </w:tcBorders>
            <w:shd w:val="clear" w:color="auto" w:fill="auto"/>
            <w:vAlign w:val="bottom"/>
          </w:tcPr>
          <w:p w14:paraId="7F006887"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w:t>
            </w:r>
          </w:p>
        </w:tc>
        <w:tc>
          <w:tcPr>
            <w:tcW w:w="800" w:type="dxa"/>
            <w:tcBorders>
              <w:top w:val="single" w:sz="12" w:space="0" w:color="auto"/>
            </w:tcBorders>
            <w:shd w:val="clear" w:color="auto" w:fill="auto"/>
            <w:vAlign w:val="bottom"/>
          </w:tcPr>
          <w:p w14:paraId="4DB7003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15</w:t>
            </w:r>
          </w:p>
        </w:tc>
      </w:tr>
      <w:tr w:rsidR="00062B95" w:rsidRPr="00062B95" w14:paraId="3CB90602" w14:textId="77777777" w:rsidTr="0085022A">
        <w:trPr>
          <w:trHeight w:val="240"/>
        </w:trPr>
        <w:tc>
          <w:tcPr>
            <w:tcW w:w="623" w:type="dxa"/>
            <w:shd w:val="clear" w:color="auto" w:fill="auto"/>
          </w:tcPr>
          <w:p w14:paraId="63EEF09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937" w:type="dxa"/>
            <w:shd w:val="clear" w:color="auto" w:fill="auto"/>
            <w:vAlign w:val="bottom"/>
          </w:tcPr>
          <w:p w14:paraId="6090659C"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600</w:t>
            </w:r>
          </w:p>
        </w:tc>
        <w:tc>
          <w:tcPr>
            <w:tcW w:w="850" w:type="dxa"/>
            <w:shd w:val="clear" w:color="auto" w:fill="auto"/>
            <w:vAlign w:val="bottom"/>
          </w:tcPr>
          <w:p w14:paraId="1E97030A"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265</w:t>
            </w:r>
          </w:p>
        </w:tc>
        <w:tc>
          <w:tcPr>
            <w:tcW w:w="685" w:type="dxa"/>
            <w:shd w:val="clear" w:color="auto" w:fill="auto"/>
            <w:vAlign w:val="bottom"/>
          </w:tcPr>
          <w:p w14:paraId="225C69A8"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335</w:t>
            </w:r>
          </w:p>
        </w:tc>
        <w:tc>
          <w:tcPr>
            <w:tcW w:w="874" w:type="dxa"/>
            <w:shd w:val="clear" w:color="auto" w:fill="auto"/>
            <w:vAlign w:val="bottom"/>
          </w:tcPr>
          <w:p w14:paraId="4E4E0F66"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462</w:t>
            </w:r>
          </w:p>
        </w:tc>
        <w:tc>
          <w:tcPr>
            <w:tcW w:w="851" w:type="dxa"/>
            <w:shd w:val="clear" w:color="auto" w:fill="auto"/>
            <w:vAlign w:val="bottom"/>
          </w:tcPr>
          <w:p w14:paraId="23B18CD4"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35</w:t>
            </w:r>
          </w:p>
        </w:tc>
        <w:tc>
          <w:tcPr>
            <w:tcW w:w="868" w:type="dxa"/>
            <w:shd w:val="clear" w:color="auto" w:fill="auto"/>
            <w:vAlign w:val="bottom"/>
          </w:tcPr>
          <w:p w14:paraId="6D747382"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26</w:t>
            </w:r>
          </w:p>
        </w:tc>
        <w:tc>
          <w:tcPr>
            <w:tcW w:w="882" w:type="dxa"/>
            <w:shd w:val="clear" w:color="auto" w:fill="auto"/>
            <w:vAlign w:val="bottom"/>
          </w:tcPr>
          <w:p w14:paraId="278041E8"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41</w:t>
            </w:r>
          </w:p>
        </w:tc>
        <w:tc>
          <w:tcPr>
            <w:tcW w:w="800" w:type="dxa"/>
            <w:shd w:val="clear" w:color="auto" w:fill="auto"/>
            <w:vAlign w:val="bottom"/>
          </w:tcPr>
          <w:p w14:paraId="7E6D288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36</w:t>
            </w:r>
          </w:p>
        </w:tc>
      </w:tr>
      <w:tr w:rsidR="00062B95" w:rsidRPr="00062B95" w14:paraId="3BABD75F" w14:textId="77777777" w:rsidTr="0085022A">
        <w:trPr>
          <w:trHeight w:val="240"/>
        </w:trPr>
        <w:tc>
          <w:tcPr>
            <w:tcW w:w="623" w:type="dxa"/>
            <w:shd w:val="clear" w:color="auto" w:fill="auto"/>
          </w:tcPr>
          <w:p w14:paraId="2128467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2017</w:t>
            </w:r>
          </w:p>
        </w:tc>
        <w:tc>
          <w:tcPr>
            <w:tcW w:w="937" w:type="dxa"/>
            <w:shd w:val="clear" w:color="auto" w:fill="auto"/>
            <w:vAlign w:val="bottom"/>
          </w:tcPr>
          <w:p w14:paraId="2124A8AA"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427</w:t>
            </w:r>
          </w:p>
        </w:tc>
        <w:tc>
          <w:tcPr>
            <w:tcW w:w="850" w:type="dxa"/>
            <w:shd w:val="clear" w:color="auto" w:fill="auto"/>
            <w:vAlign w:val="bottom"/>
          </w:tcPr>
          <w:p w14:paraId="16673C48"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145</w:t>
            </w:r>
          </w:p>
        </w:tc>
        <w:tc>
          <w:tcPr>
            <w:tcW w:w="685" w:type="dxa"/>
            <w:shd w:val="clear" w:color="auto" w:fill="auto"/>
            <w:vAlign w:val="bottom"/>
          </w:tcPr>
          <w:p w14:paraId="11804451"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282</w:t>
            </w:r>
          </w:p>
        </w:tc>
        <w:tc>
          <w:tcPr>
            <w:tcW w:w="874" w:type="dxa"/>
            <w:shd w:val="clear" w:color="auto" w:fill="auto"/>
            <w:vAlign w:val="bottom"/>
          </w:tcPr>
          <w:p w14:paraId="00C986B6"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361</w:t>
            </w:r>
          </w:p>
        </w:tc>
        <w:tc>
          <w:tcPr>
            <w:tcW w:w="851" w:type="dxa"/>
            <w:shd w:val="clear" w:color="auto" w:fill="auto"/>
            <w:vAlign w:val="bottom"/>
          </w:tcPr>
          <w:p w14:paraId="4E4198D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w:t>
            </w:r>
          </w:p>
        </w:tc>
        <w:tc>
          <w:tcPr>
            <w:tcW w:w="868" w:type="dxa"/>
            <w:shd w:val="clear" w:color="auto" w:fill="auto"/>
            <w:vAlign w:val="bottom"/>
          </w:tcPr>
          <w:p w14:paraId="4590FD5E"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25</w:t>
            </w:r>
          </w:p>
        </w:tc>
        <w:tc>
          <w:tcPr>
            <w:tcW w:w="882" w:type="dxa"/>
            <w:shd w:val="clear" w:color="auto" w:fill="auto"/>
            <w:vAlign w:val="bottom"/>
          </w:tcPr>
          <w:p w14:paraId="6654EA38"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w:t>
            </w:r>
          </w:p>
        </w:tc>
        <w:tc>
          <w:tcPr>
            <w:tcW w:w="800" w:type="dxa"/>
            <w:shd w:val="clear" w:color="auto" w:fill="auto"/>
            <w:vAlign w:val="bottom"/>
          </w:tcPr>
          <w:p w14:paraId="62AA55D6"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29</w:t>
            </w:r>
          </w:p>
        </w:tc>
      </w:tr>
      <w:tr w:rsidR="00062B95" w:rsidRPr="00062B95" w14:paraId="71A5B3D5" w14:textId="77777777" w:rsidTr="0085022A">
        <w:trPr>
          <w:trHeight w:val="240"/>
        </w:trPr>
        <w:tc>
          <w:tcPr>
            <w:tcW w:w="623" w:type="dxa"/>
            <w:shd w:val="clear" w:color="auto" w:fill="auto"/>
          </w:tcPr>
          <w:p w14:paraId="4A722F2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937" w:type="dxa"/>
            <w:shd w:val="clear" w:color="auto" w:fill="auto"/>
            <w:vAlign w:val="bottom"/>
          </w:tcPr>
          <w:p w14:paraId="1988BF1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532</w:t>
            </w:r>
          </w:p>
        </w:tc>
        <w:tc>
          <w:tcPr>
            <w:tcW w:w="850" w:type="dxa"/>
            <w:shd w:val="clear" w:color="auto" w:fill="auto"/>
            <w:vAlign w:val="bottom"/>
          </w:tcPr>
          <w:p w14:paraId="2E18BFB6"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229</w:t>
            </w:r>
          </w:p>
        </w:tc>
        <w:tc>
          <w:tcPr>
            <w:tcW w:w="685" w:type="dxa"/>
            <w:shd w:val="clear" w:color="auto" w:fill="auto"/>
            <w:vAlign w:val="bottom"/>
          </w:tcPr>
          <w:p w14:paraId="067F6C7B"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303</w:t>
            </w:r>
          </w:p>
        </w:tc>
        <w:tc>
          <w:tcPr>
            <w:tcW w:w="874" w:type="dxa"/>
            <w:shd w:val="clear" w:color="auto" w:fill="auto"/>
            <w:vAlign w:val="bottom"/>
          </w:tcPr>
          <w:p w14:paraId="6171697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424</w:t>
            </w:r>
          </w:p>
        </w:tc>
        <w:tc>
          <w:tcPr>
            <w:tcW w:w="851" w:type="dxa"/>
            <w:shd w:val="clear" w:color="auto" w:fill="auto"/>
            <w:vAlign w:val="bottom"/>
          </w:tcPr>
          <w:p w14:paraId="56E8290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30</w:t>
            </w:r>
          </w:p>
        </w:tc>
        <w:tc>
          <w:tcPr>
            <w:tcW w:w="868" w:type="dxa"/>
            <w:shd w:val="clear" w:color="auto" w:fill="auto"/>
            <w:vAlign w:val="bottom"/>
          </w:tcPr>
          <w:p w14:paraId="237B358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15</w:t>
            </w:r>
          </w:p>
        </w:tc>
        <w:tc>
          <w:tcPr>
            <w:tcW w:w="882" w:type="dxa"/>
            <w:shd w:val="clear" w:color="auto" w:fill="auto"/>
            <w:vAlign w:val="bottom"/>
          </w:tcPr>
          <w:p w14:paraId="48C2690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800" w:type="dxa"/>
            <w:shd w:val="clear" w:color="auto" w:fill="auto"/>
            <w:vAlign w:val="bottom"/>
          </w:tcPr>
          <w:p w14:paraId="6543B5E3"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59</w:t>
            </w:r>
          </w:p>
        </w:tc>
      </w:tr>
      <w:tr w:rsidR="00062B95" w:rsidRPr="00062B95" w14:paraId="5AA35E6F" w14:textId="77777777" w:rsidTr="0085022A">
        <w:trPr>
          <w:trHeight w:val="240"/>
        </w:trPr>
        <w:tc>
          <w:tcPr>
            <w:tcW w:w="623" w:type="dxa"/>
            <w:tcBorders>
              <w:bottom w:val="single" w:sz="12" w:space="0" w:color="auto"/>
            </w:tcBorders>
            <w:shd w:val="clear" w:color="auto" w:fill="auto"/>
          </w:tcPr>
          <w:p w14:paraId="7CF0E19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2019</w:t>
            </w:r>
          </w:p>
        </w:tc>
        <w:tc>
          <w:tcPr>
            <w:tcW w:w="937" w:type="dxa"/>
            <w:tcBorders>
              <w:bottom w:val="single" w:sz="12" w:space="0" w:color="auto"/>
            </w:tcBorders>
            <w:shd w:val="clear" w:color="auto" w:fill="auto"/>
            <w:vAlign w:val="bottom"/>
          </w:tcPr>
          <w:p w14:paraId="400A8D28"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555</w:t>
            </w:r>
          </w:p>
        </w:tc>
        <w:tc>
          <w:tcPr>
            <w:tcW w:w="850" w:type="dxa"/>
            <w:tcBorders>
              <w:bottom w:val="single" w:sz="12" w:space="0" w:color="auto"/>
            </w:tcBorders>
            <w:shd w:val="clear" w:color="auto" w:fill="auto"/>
            <w:vAlign w:val="bottom"/>
          </w:tcPr>
          <w:p w14:paraId="6FD61FC1"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330</w:t>
            </w:r>
          </w:p>
        </w:tc>
        <w:tc>
          <w:tcPr>
            <w:tcW w:w="685" w:type="dxa"/>
            <w:tcBorders>
              <w:bottom w:val="single" w:sz="12" w:space="0" w:color="auto"/>
            </w:tcBorders>
            <w:shd w:val="clear" w:color="auto" w:fill="auto"/>
            <w:vAlign w:val="bottom"/>
          </w:tcPr>
          <w:p w14:paraId="048D225B"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225</w:t>
            </w:r>
          </w:p>
        </w:tc>
        <w:tc>
          <w:tcPr>
            <w:tcW w:w="874" w:type="dxa"/>
            <w:tcBorders>
              <w:bottom w:val="single" w:sz="12" w:space="0" w:color="auto"/>
            </w:tcBorders>
            <w:shd w:val="clear" w:color="auto" w:fill="auto"/>
            <w:vAlign w:val="bottom"/>
          </w:tcPr>
          <w:p w14:paraId="356BBE9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402</w:t>
            </w:r>
          </w:p>
        </w:tc>
        <w:tc>
          <w:tcPr>
            <w:tcW w:w="851" w:type="dxa"/>
            <w:tcBorders>
              <w:bottom w:val="single" w:sz="12" w:space="0" w:color="auto"/>
            </w:tcBorders>
            <w:shd w:val="clear" w:color="auto" w:fill="auto"/>
            <w:vAlign w:val="bottom"/>
          </w:tcPr>
          <w:p w14:paraId="017CB122"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120</w:t>
            </w:r>
          </w:p>
        </w:tc>
        <w:tc>
          <w:tcPr>
            <w:tcW w:w="868" w:type="dxa"/>
            <w:tcBorders>
              <w:bottom w:val="single" w:sz="12" w:space="0" w:color="auto"/>
            </w:tcBorders>
            <w:shd w:val="clear" w:color="auto" w:fill="auto"/>
            <w:vAlign w:val="bottom"/>
          </w:tcPr>
          <w:p w14:paraId="27A410E3"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4</w:t>
            </w:r>
          </w:p>
        </w:tc>
        <w:tc>
          <w:tcPr>
            <w:tcW w:w="882" w:type="dxa"/>
            <w:tcBorders>
              <w:bottom w:val="single" w:sz="12" w:space="0" w:color="auto"/>
            </w:tcBorders>
            <w:shd w:val="clear" w:color="auto" w:fill="auto"/>
            <w:vAlign w:val="bottom"/>
          </w:tcPr>
          <w:p w14:paraId="5C289C6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6</w:t>
            </w:r>
          </w:p>
        </w:tc>
        <w:tc>
          <w:tcPr>
            <w:tcW w:w="800" w:type="dxa"/>
            <w:tcBorders>
              <w:bottom w:val="single" w:sz="12" w:space="0" w:color="auto"/>
            </w:tcBorders>
            <w:shd w:val="clear" w:color="auto" w:fill="auto"/>
            <w:vAlign w:val="bottom"/>
          </w:tcPr>
          <w:p w14:paraId="1D04C26C"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1B29B8">
              <w:rPr>
                <w:sz w:val="18"/>
                <w:cs/>
                <w:lang w:val="es-ES_tradnl" w:bidi="th-TH"/>
              </w:rPr>
              <w:t>23</w:t>
            </w:r>
          </w:p>
        </w:tc>
      </w:tr>
    </w:tbl>
    <w:p w14:paraId="79A96FD1" w14:textId="77777777" w:rsidR="00062B95" w:rsidRPr="00062B95" w:rsidRDefault="00062B95" w:rsidP="001B29B8">
      <w:pPr>
        <w:pStyle w:val="H23G"/>
        <w:rPr>
          <w:lang w:val="es-ES_tradnl"/>
        </w:rPr>
      </w:pPr>
      <w:r w:rsidRPr="001B29B8">
        <w:rPr>
          <w:b w:val="0"/>
          <w:lang w:val="es-ES_tradnl"/>
        </w:rPr>
        <w:tab/>
      </w:r>
      <w:r w:rsidRPr="001B29B8">
        <w:rPr>
          <w:b w:val="0"/>
          <w:lang w:val="es-ES_tradnl"/>
        </w:rPr>
        <w:tab/>
        <w:t>Cuadro 5</w:t>
      </w:r>
      <w:r w:rsidRPr="001B29B8">
        <w:rPr>
          <w:b w:val="0"/>
          <w:lang w:val="es-ES_tradnl"/>
        </w:rPr>
        <w:br/>
      </w:r>
      <w:r w:rsidRPr="00062B95">
        <w:rPr>
          <w:lang w:val="es-ES_tradnl"/>
        </w:rPr>
        <w:t>Número de víctimas de la trata de personas, desglosado por género y país de nacionalidad (a fecha de 25 de mayo de 2020)</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622"/>
        <w:gridCol w:w="938"/>
        <w:gridCol w:w="850"/>
        <w:gridCol w:w="709"/>
        <w:gridCol w:w="850"/>
        <w:gridCol w:w="851"/>
        <w:gridCol w:w="874"/>
        <w:gridCol w:w="879"/>
        <w:gridCol w:w="797"/>
      </w:tblGrid>
      <w:tr w:rsidR="00062B95" w:rsidRPr="00062B95" w14:paraId="2F823268" w14:textId="77777777" w:rsidTr="0085022A">
        <w:trPr>
          <w:trHeight w:val="240"/>
          <w:tblHeader/>
        </w:trPr>
        <w:tc>
          <w:tcPr>
            <w:tcW w:w="622" w:type="dxa"/>
            <w:vMerge w:val="restart"/>
            <w:tcBorders>
              <w:top w:val="single" w:sz="4" w:space="0" w:color="auto"/>
              <w:bottom w:val="single" w:sz="4" w:space="0" w:color="auto"/>
            </w:tcBorders>
            <w:shd w:val="clear" w:color="auto" w:fill="auto"/>
            <w:vAlign w:val="bottom"/>
          </w:tcPr>
          <w:p w14:paraId="743392C5"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938" w:type="dxa"/>
            <w:vMerge w:val="restart"/>
            <w:tcBorders>
              <w:top w:val="single" w:sz="4" w:space="0" w:color="auto"/>
              <w:bottom w:val="single" w:sz="4" w:space="0" w:color="auto"/>
            </w:tcBorders>
            <w:shd w:val="clear" w:color="auto" w:fill="auto"/>
            <w:vAlign w:val="bottom"/>
          </w:tcPr>
          <w:p w14:paraId="7992747E" w14:textId="77777777" w:rsidR="00062B95" w:rsidRPr="00062B95"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Total</w:t>
            </w:r>
          </w:p>
        </w:tc>
        <w:tc>
          <w:tcPr>
            <w:tcW w:w="1559" w:type="dxa"/>
            <w:gridSpan w:val="2"/>
            <w:tcBorders>
              <w:top w:val="single" w:sz="4" w:space="0" w:color="auto"/>
              <w:bottom w:val="single" w:sz="4" w:space="0" w:color="auto"/>
              <w:right w:val="single" w:sz="24" w:space="0" w:color="FFFFFF" w:themeColor="background1"/>
            </w:tcBorders>
            <w:shd w:val="clear" w:color="auto" w:fill="auto"/>
            <w:vAlign w:val="bottom"/>
          </w:tcPr>
          <w:p w14:paraId="028BF964" w14:textId="77777777" w:rsidR="00062B95" w:rsidRPr="00062B95" w:rsidRDefault="00062B95" w:rsidP="001B29B8">
            <w:pPr>
              <w:pStyle w:val="SingleTxtG"/>
              <w:tabs>
                <w:tab w:val="clear" w:pos="1701"/>
                <w:tab w:val="clear" w:pos="2268"/>
                <w:tab w:val="clear" w:pos="2835"/>
              </w:tabs>
              <w:spacing w:before="80" w:after="80" w:line="200" w:lineRule="exact"/>
              <w:ind w:left="0" w:right="0"/>
              <w:jc w:val="center"/>
              <w:rPr>
                <w:i/>
                <w:sz w:val="16"/>
                <w:lang w:val="es-ES_tradnl"/>
              </w:rPr>
            </w:pPr>
            <w:r w:rsidRPr="00062B95">
              <w:rPr>
                <w:i/>
                <w:sz w:val="16"/>
                <w:lang w:val="es-ES_tradnl"/>
              </w:rPr>
              <w:t>Género</w:t>
            </w:r>
          </w:p>
        </w:tc>
        <w:tc>
          <w:tcPr>
            <w:tcW w:w="4251" w:type="dxa"/>
            <w:gridSpan w:val="5"/>
            <w:tcBorders>
              <w:top w:val="single" w:sz="4" w:space="0" w:color="auto"/>
              <w:left w:val="single" w:sz="24" w:space="0" w:color="FFFFFF" w:themeColor="background1"/>
              <w:bottom w:val="single" w:sz="4" w:space="0" w:color="auto"/>
            </w:tcBorders>
            <w:shd w:val="clear" w:color="auto" w:fill="auto"/>
            <w:vAlign w:val="bottom"/>
          </w:tcPr>
          <w:p w14:paraId="4EEB2F4B" w14:textId="77777777" w:rsidR="00062B95" w:rsidRPr="00062B95" w:rsidRDefault="00062B95" w:rsidP="001B29B8">
            <w:pPr>
              <w:pStyle w:val="SingleTxtG"/>
              <w:tabs>
                <w:tab w:val="clear" w:pos="1701"/>
                <w:tab w:val="clear" w:pos="2268"/>
                <w:tab w:val="clear" w:pos="2835"/>
              </w:tabs>
              <w:spacing w:before="80" w:after="80" w:line="200" w:lineRule="exact"/>
              <w:ind w:left="0" w:right="0"/>
              <w:jc w:val="center"/>
              <w:rPr>
                <w:i/>
                <w:sz w:val="16"/>
                <w:lang w:val="es-ES_tradnl"/>
              </w:rPr>
            </w:pPr>
            <w:r w:rsidRPr="00062B95">
              <w:rPr>
                <w:i/>
                <w:sz w:val="16"/>
                <w:lang w:val="es-ES_tradnl"/>
              </w:rPr>
              <w:t>País de nacionalidad</w:t>
            </w:r>
          </w:p>
        </w:tc>
      </w:tr>
      <w:tr w:rsidR="00062B95" w:rsidRPr="00062B95" w14:paraId="212F8DB3" w14:textId="77777777" w:rsidTr="0085022A">
        <w:trPr>
          <w:trHeight w:val="240"/>
          <w:tblHeader/>
        </w:trPr>
        <w:tc>
          <w:tcPr>
            <w:tcW w:w="622" w:type="dxa"/>
            <w:vMerge/>
            <w:tcBorders>
              <w:top w:val="single" w:sz="4" w:space="0" w:color="auto"/>
              <w:bottom w:val="single" w:sz="12" w:space="0" w:color="auto"/>
            </w:tcBorders>
            <w:shd w:val="clear" w:color="auto" w:fill="auto"/>
            <w:vAlign w:val="bottom"/>
          </w:tcPr>
          <w:p w14:paraId="30D4885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p>
        </w:tc>
        <w:tc>
          <w:tcPr>
            <w:tcW w:w="938" w:type="dxa"/>
            <w:vMerge/>
            <w:tcBorders>
              <w:top w:val="single" w:sz="4" w:space="0" w:color="auto"/>
              <w:bottom w:val="single" w:sz="12" w:space="0" w:color="auto"/>
            </w:tcBorders>
            <w:shd w:val="clear" w:color="auto" w:fill="auto"/>
            <w:vAlign w:val="bottom"/>
          </w:tcPr>
          <w:p w14:paraId="647E384E" w14:textId="77777777" w:rsidR="00062B95" w:rsidRPr="00062B95" w:rsidRDefault="00062B95" w:rsidP="00062B95">
            <w:pPr>
              <w:pStyle w:val="SingleTxtG"/>
              <w:tabs>
                <w:tab w:val="clear" w:pos="1701"/>
                <w:tab w:val="clear" w:pos="2268"/>
                <w:tab w:val="clear" w:pos="2835"/>
              </w:tabs>
              <w:spacing w:before="40" w:after="40" w:line="220" w:lineRule="exact"/>
              <w:ind w:left="113" w:right="0"/>
              <w:jc w:val="right"/>
              <w:rPr>
                <w:sz w:val="18"/>
                <w:lang w:val="es-ES_tradnl"/>
              </w:rPr>
            </w:pPr>
          </w:p>
        </w:tc>
        <w:tc>
          <w:tcPr>
            <w:tcW w:w="850" w:type="dxa"/>
            <w:tcBorders>
              <w:top w:val="single" w:sz="4" w:space="0" w:color="auto"/>
              <w:bottom w:val="single" w:sz="12" w:space="0" w:color="auto"/>
            </w:tcBorders>
            <w:shd w:val="clear" w:color="auto" w:fill="auto"/>
            <w:vAlign w:val="bottom"/>
          </w:tcPr>
          <w:p w14:paraId="594300F8"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Hombre</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7A8914DD"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Mujer</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77F25C44"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Tailandia</w:t>
            </w:r>
          </w:p>
        </w:tc>
        <w:tc>
          <w:tcPr>
            <w:tcW w:w="851" w:type="dxa"/>
            <w:tcBorders>
              <w:top w:val="single" w:sz="4" w:space="0" w:color="auto"/>
              <w:bottom w:val="single" w:sz="12" w:space="0" w:color="auto"/>
            </w:tcBorders>
            <w:shd w:val="clear" w:color="auto" w:fill="auto"/>
            <w:vAlign w:val="bottom"/>
          </w:tcPr>
          <w:p w14:paraId="27CA91D1"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Myanmar</w:t>
            </w:r>
          </w:p>
        </w:tc>
        <w:tc>
          <w:tcPr>
            <w:tcW w:w="874" w:type="dxa"/>
            <w:tcBorders>
              <w:top w:val="single" w:sz="4" w:space="0" w:color="auto"/>
              <w:bottom w:val="single" w:sz="12" w:space="0" w:color="auto"/>
            </w:tcBorders>
            <w:shd w:val="clear" w:color="auto" w:fill="auto"/>
            <w:vAlign w:val="bottom"/>
          </w:tcPr>
          <w:p w14:paraId="2148D52C"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Camboya</w:t>
            </w:r>
          </w:p>
        </w:tc>
        <w:tc>
          <w:tcPr>
            <w:tcW w:w="879" w:type="dxa"/>
            <w:tcBorders>
              <w:top w:val="single" w:sz="4" w:space="0" w:color="auto"/>
              <w:bottom w:val="single" w:sz="12" w:space="0" w:color="auto"/>
            </w:tcBorders>
            <w:shd w:val="clear" w:color="auto" w:fill="auto"/>
            <w:vAlign w:val="bottom"/>
          </w:tcPr>
          <w:p w14:paraId="0226AF16"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RDP Lao</w:t>
            </w:r>
          </w:p>
        </w:tc>
        <w:tc>
          <w:tcPr>
            <w:tcW w:w="797" w:type="dxa"/>
            <w:tcBorders>
              <w:top w:val="single" w:sz="4" w:space="0" w:color="auto"/>
              <w:bottom w:val="single" w:sz="12" w:space="0" w:color="auto"/>
            </w:tcBorders>
            <w:shd w:val="clear" w:color="auto" w:fill="auto"/>
            <w:vAlign w:val="bottom"/>
          </w:tcPr>
          <w:p w14:paraId="21179804" w14:textId="77777777" w:rsidR="00062B95" w:rsidRPr="001B29B8" w:rsidRDefault="00062B95" w:rsidP="001B29B8">
            <w:pPr>
              <w:pStyle w:val="SingleTxtG"/>
              <w:tabs>
                <w:tab w:val="clear" w:pos="1701"/>
                <w:tab w:val="clear" w:pos="2268"/>
                <w:tab w:val="clear" w:pos="2835"/>
              </w:tabs>
              <w:spacing w:before="80" w:after="80" w:line="200" w:lineRule="exact"/>
              <w:ind w:left="28" w:right="28"/>
              <w:jc w:val="right"/>
              <w:rPr>
                <w:i/>
                <w:sz w:val="16"/>
                <w:lang w:val="es-ES_tradnl"/>
              </w:rPr>
            </w:pPr>
            <w:r w:rsidRPr="001B29B8">
              <w:rPr>
                <w:i/>
                <w:sz w:val="16"/>
                <w:lang w:val="es-ES_tradnl"/>
              </w:rPr>
              <w:t>Otros</w:t>
            </w:r>
          </w:p>
        </w:tc>
      </w:tr>
      <w:tr w:rsidR="00062B95" w:rsidRPr="00062B95" w14:paraId="0EAC9E20" w14:textId="77777777" w:rsidTr="0085022A">
        <w:trPr>
          <w:trHeight w:val="240"/>
        </w:trPr>
        <w:tc>
          <w:tcPr>
            <w:tcW w:w="622" w:type="dxa"/>
            <w:tcBorders>
              <w:top w:val="single" w:sz="12" w:space="0" w:color="auto"/>
            </w:tcBorders>
            <w:shd w:val="clear" w:color="auto" w:fill="auto"/>
          </w:tcPr>
          <w:p w14:paraId="385BD80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938" w:type="dxa"/>
            <w:tcBorders>
              <w:top w:val="single" w:sz="12" w:space="0" w:color="auto"/>
            </w:tcBorders>
            <w:shd w:val="clear" w:color="auto" w:fill="auto"/>
            <w:vAlign w:val="bottom"/>
          </w:tcPr>
          <w:p w14:paraId="367A7F3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982</w:t>
            </w:r>
          </w:p>
        </w:tc>
        <w:tc>
          <w:tcPr>
            <w:tcW w:w="850" w:type="dxa"/>
            <w:tcBorders>
              <w:top w:val="single" w:sz="12" w:space="0" w:color="auto"/>
            </w:tcBorders>
            <w:shd w:val="clear" w:color="auto" w:fill="auto"/>
            <w:vAlign w:val="bottom"/>
          </w:tcPr>
          <w:p w14:paraId="1470686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451</w:t>
            </w:r>
          </w:p>
        </w:tc>
        <w:tc>
          <w:tcPr>
            <w:tcW w:w="709" w:type="dxa"/>
            <w:tcBorders>
              <w:top w:val="single" w:sz="12" w:space="0" w:color="auto"/>
            </w:tcBorders>
            <w:shd w:val="clear" w:color="auto" w:fill="auto"/>
            <w:vAlign w:val="bottom"/>
          </w:tcPr>
          <w:p w14:paraId="3762336D"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531</w:t>
            </w:r>
          </w:p>
        </w:tc>
        <w:tc>
          <w:tcPr>
            <w:tcW w:w="850" w:type="dxa"/>
            <w:tcBorders>
              <w:top w:val="single" w:sz="12" w:space="0" w:color="auto"/>
            </w:tcBorders>
            <w:shd w:val="clear" w:color="auto" w:fill="auto"/>
            <w:vAlign w:val="bottom"/>
          </w:tcPr>
          <w:p w14:paraId="4D5BA7AD"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360</w:t>
            </w:r>
          </w:p>
        </w:tc>
        <w:tc>
          <w:tcPr>
            <w:tcW w:w="851" w:type="dxa"/>
            <w:tcBorders>
              <w:top w:val="single" w:sz="12" w:space="0" w:color="auto"/>
            </w:tcBorders>
            <w:shd w:val="clear" w:color="auto" w:fill="auto"/>
            <w:vAlign w:val="bottom"/>
          </w:tcPr>
          <w:p w14:paraId="503C71D6"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409</w:t>
            </w:r>
          </w:p>
        </w:tc>
        <w:tc>
          <w:tcPr>
            <w:tcW w:w="874" w:type="dxa"/>
            <w:tcBorders>
              <w:top w:val="single" w:sz="12" w:space="0" w:color="auto"/>
            </w:tcBorders>
            <w:shd w:val="clear" w:color="auto" w:fill="auto"/>
            <w:vAlign w:val="bottom"/>
          </w:tcPr>
          <w:p w14:paraId="39E7FE5A"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w:t>
            </w:r>
          </w:p>
        </w:tc>
        <w:tc>
          <w:tcPr>
            <w:tcW w:w="879" w:type="dxa"/>
            <w:tcBorders>
              <w:top w:val="single" w:sz="12" w:space="0" w:color="auto"/>
            </w:tcBorders>
            <w:shd w:val="clear" w:color="auto" w:fill="auto"/>
            <w:vAlign w:val="bottom"/>
          </w:tcPr>
          <w:p w14:paraId="141593D8"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87</w:t>
            </w:r>
          </w:p>
        </w:tc>
        <w:tc>
          <w:tcPr>
            <w:tcW w:w="797" w:type="dxa"/>
            <w:tcBorders>
              <w:top w:val="single" w:sz="12" w:space="0" w:color="auto"/>
            </w:tcBorders>
            <w:shd w:val="clear" w:color="auto" w:fill="auto"/>
            <w:vAlign w:val="bottom"/>
          </w:tcPr>
          <w:p w14:paraId="1AD59472"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117</w:t>
            </w:r>
          </w:p>
        </w:tc>
      </w:tr>
      <w:tr w:rsidR="00062B95" w:rsidRPr="00062B95" w14:paraId="06A777C5" w14:textId="77777777" w:rsidTr="0085022A">
        <w:trPr>
          <w:trHeight w:val="240"/>
        </w:trPr>
        <w:tc>
          <w:tcPr>
            <w:tcW w:w="622" w:type="dxa"/>
            <w:shd w:val="clear" w:color="auto" w:fill="auto"/>
          </w:tcPr>
          <w:p w14:paraId="0F3AFAC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938" w:type="dxa"/>
            <w:shd w:val="clear" w:color="auto" w:fill="auto"/>
            <w:vAlign w:val="bottom"/>
          </w:tcPr>
          <w:p w14:paraId="64B2A2BD"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824</w:t>
            </w:r>
          </w:p>
        </w:tc>
        <w:tc>
          <w:tcPr>
            <w:tcW w:w="850" w:type="dxa"/>
            <w:shd w:val="clear" w:color="auto" w:fill="auto"/>
            <w:vAlign w:val="bottom"/>
          </w:tcPr>
          <w:p w14:paraId="341A2AB1"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411</w:t>
            </w:r>
          </w:p>
        </w:tc>
        <w:tc>
          <w:tcPr>
            <w:tcW w:w="709" w:type="dxa"/>
            <w:shd w:val="clear" w:color="auto" w:fill="auto"/>
            <w:vAlign w:val="bottom"/>
          </w:tcPr>
          <w:p w14:paraId="6AE48FB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413</w:t>
            </w:r>
          </w:p>
        </w:tc>
        <w:tc>
          <w:tcPr>
            <w:tcW w:w="850" w:type="dxa"/>
            <w:shd w:val="clear" w:color="auto" w:fill="auto"/>
            <w:vAlign w:val="bottom"/>
          </w:tcPr>
          <w:p w14:paraId="5D69F090"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333</w:t>
            </w:r>
          </w:p>
        </w:tc>
        <w:tc>
          <w:tcPr>
            <w:tcW w:w="851" w:type="dxa"/>
            <w:shd w:val="clear" w:color="auto" w:fill="auto"/>
            <w:vAlign w:val="bottom"/>
          </w:tcPr>
          <w:p w14:paraId="443EAE0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238</w:t>
            </w:r>
          </w:p>
        </w:tc>
        <w:tc>
          <w:tcPr>
            <w:tcW w:w="874" w:type="dxa"/>
            <w:shd w:val="clear" w:color="auto" w:fill="auto"/>
            <w:vAlign w:val="bottom"/>
          </w:tcPr>
          <w:p w14:paraId="33A7746C"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52</w:t>
            </w:r>
          </w:p>
        </w:tc>
        <w:tc>
          <w:tcPr>
            <w:tcW w:w="879" w:type="dxa"/>
            <w:shd w:val="clear" w:color="auto" w:fill="auto"/>
            <w:vAlign w:val="bottom"/>
          </w:tcPr>
          <w:p w14:paraId="3A2A3551"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58</w:t>
            </w:r>
          </w:p>
        </w:tc>
        <w:tc>
          <w:tcPr>
            <w:tcW w:w="797" w:type="dxa"/>
            <w:shd w:val="clear" w:color="auto" w:fill="auto"/>
            <w:vAlign w:val="bottom"/>
          </w:tcPr>
          <w:p w14:paraId="004C355A"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143</w:t>
            </w:r>
          </w:p>
        </w:tc>
      </w:tr>
      <w:tr w:rsidR="00062B95" w:rsidRPr="00062B95" w14:paraId="2175DC2D" w14:textId="77777777" w:rsidTr="0085022A">
        <w:trPr>
          <w:trHeight w:val="240"/>
        </w:trPr>
        <w:tc>
          <w:tcPr>
            <w:tcW w:w="622" w:type="dxa"/>
            <w:shd w:val="clear" w:color="auto" w:fill="auto"/>
          </w:tcPr>
          <w:p w14:paraId="61AA6B4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lastRenderedPageBreak/>
              <w:t>2017</w:t>
            </w:r>
          </w:p>
        </w:tc>
        <w:tc>
          <w:tcPr>
            <w:tcW w:w="938" w:type="dxa"/>
            <w:shd w:val="clear" w:color="auto" w:fill="auto"/>
            <w:vAlign w:val="bottom"/>
          </w:tcPr>
          <w:p w14:paraId="61E2592B"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455</w:t>
            </w:r>
          </w:p>
        </w:tc>
        <w:tc>
          <w:tcPr>
            <w:tcW w:w="850" w:type="dxa"/>
            <w:shd w:val="clear" w:color="auto" w:fill="auto"/>
            <w:vAlign w:val="bottom"/>
          </w:tcPr>
          <w:p w14:paraId="4383C088"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88</w:t>
            </w:r>
          </w:p>
        </w:tc>
        <w:tc>
          <w:tcPr>
            <w:tcW w:w="709" w:type="dxa"/>
            <w:shd w:val="clear" w:color="auto" w:fill="auto"/>
            <w:vAlign w:val="bottom"/>
          </w:tcPr>
          <w:p w14:paraId="307DE930"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367</w:t>
            </w:r>
          </w:p>
        </w:tc>
        <w:tc>
          <w:tcPr>
            <w:tcW w:w="850" w:type="dxa"/>
            <w:shd w:val="clear" w:color="auto" w:fill="auto"/>
            <w:vAlign w:val="bottom"/>
          </w:tcPr>
          <w:p w14:paraId="6967B0B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327</w:t>
            </w:r>
          </w:p>
        </w:tc>
        <w:tc>
          <w:tcPr>
            <w:tcW w:w="851" w:type="dxa"/>
            <w:shd w:val="clear" w:color="auto" w:fill="auto"/>
            <w:vAlign w:val="bottom"/>
          </w:tcPr>
          <w:p w14:paraId="49F3A4B0"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53</w:t>
            </w:r>
          </w:p>
        </w:tc>
        <w:tc>
          <w:tcPr>
            <w:tcW w:w="874" w:type="dxa"/>
            <w:shd w:val="clear" w:color="auto" w:fill="auto"/>
            <w:vAlign w:val="bottom"/>
          </w:tcPr>
          <w:p w14:paraId="2301DAF7"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26</w:t>
            </w:r>
          </w:p>
        </w:tc>
        <w:tc>
          <w:tcPr>
            <w:tcW w:w="879" w:type="dxa"/>
            <w:shd w:val="clear" w:color="auto" w:fill="auto"/>
            <w:vAlign w:val="bottom"/>
          </w:tcPr>
          <w:p w14:paraId="193A063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30</w:t>
            </w:r>
          </w:p>
        </w:tc>
        <w:tc>
          <w:tcPr>
            <w:tcW w:w="797" w:type="dxa"/>
            <w:shd w:val="clear" w:color="auto" w:fill="auto"/>
            <w:vAlign w:val="bottom"/>
          </w:tcPr>
          <w:p w14:paraId="620CD5E0"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19</w:t>
            </w:r>
          </w:p>
        </w:tc>
      </w:tr>
      <w:tr w:rsidR="00062B95" w:rsidRPr="00062B95" w14:paraId="0473BA99" w14:textId="77777777" w:rsidTr="0085022A">
        <w:trPr>
          <w:trHeight w:val="240"/>
        </w:trPr>
        <w:tc>
          <w:tcPr>
            <w:tcW w:w="622" w:type="dxa"/>
            <w:shd w:val="clear" w:color="auto" w:fill="auto"/>
          </w:tcPr>
          <w:p w14:paraId="418C701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938" w:type="dxa"/>
            <w:shd w:val="clear" w:color="auto" w:fill="auto"/>
            <w:vAlign w:val="bottom"/>
          </w:tcPr>
          <w:p w14:paraId="43B599C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631</w:t>
            </w:r>
          </w:p>
        </w:tc>
        <w:tc>
          <w:tcPr>
            <w:tcW w:w="850" w:type="dxa"/>
            <w:shd w:val="clear" w:color="auto" w:fill="auto"/>
            <w:vAlign w:val="bottom"/>
          </w:tcPr>
          <w:p w14:paraId="28D8EBDE"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282</w:t>
            </w:r>
          </w:p>
        </w:tc>
        <w:tc>
          <w:tcPr>
            <w:tcW w:w="709" w:type="dxa"/>
            <w:shd w:val="clear" w:color="auto" w:fill="auto"/>
            <w:vAlign w:val="bottom"/>
          </w:tcPr>
          <w:p w14:paraId="24DD5A33"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349</w:t>
            </w:r>
          </w:p>
        </w:tc>
        <w:tc>
          <w:tcPr>
            <w:tcW w:w="850" w:type="dxa"/>
            <w:shd w:val="clear" w:color="auto" w:fill="auto"/>
            <w:vAlign w:val="bottom"/>
          </w:tcPr>
          <w:p w14:paraId="5ADA12FE"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345</w:t>
            </w:r>
          </w:p>
        </w:tc>
        <w:tc>
          <w:tcPr>
            <w:tcW w:w="851" w:type="dxa"/>
            <w:shd w:val="clear" w:color="auto" w:fill="auto"/>
            <w:vAlign w:val="bottom"/>
          </w:tcPr>
          <w:p w14:paraId="7B178A83"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205</w:t>
            </w:r>
          </w:p>
        </w:tc>
        <w:tc>
          <w:tcPr>
            <w:tcW w:w="874" w:type="dxa"/>
            <w:shd w:val="clear" w:color="auto" w:fill="auto"/>
            <w:vAlign w:val="bottom"/>
          </w:tcPr>
          <w:p w14:paraId="5129C78A"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28</w:t>
            </w:r>
          </w:p>
        </w:tc>
        <w:tc>
          <w:tcPr>
            <w:tcW w:w="879" w:type="dxa"/>
            <w:shd w:val="clear" w:color="auto" w:fill="auto"/>
            <w:vAlign w:val="bottom"/>
          </w:tcPr>
          <w:p w14:paraId="4AD8CE07"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14</w:t>
            </w:r>
          </w:p>
        </w:tc>
        <w:tc>
          <w:tcPr>
            <w:tcW w:w="797" w:type="dxa"/>
            <w:shd w:val="clear" w:color="auto" w:fill="auto"/>
            <w:vAlign w:val="bottom"/>
          </w:tcPr>
          <w:p w14:paraId="7A64B4A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39</w:t>
            </w:r>
          </w:p>
        </w:tc>
      </w:tr>
      <w:tr w:rsidR="00062B95" w:rsidRPr="00062B95" w14:paraId="2B805869" w14:textId="77777777" w:rsidTr="0085022A">
        <w:trPr>
          <w:trHeight w:val="240"/>
        </w:trPr>
        <w:tc>
          <w:tcPr>
            <w:tcW w:w="622" w:type="dxa"/>
            <w:tcBorders>
              <w:bottom w:val="single" w:sz="12" w:space="0" w:color="auto"/>
            </w:tcBorders>
            <w:shd w:val="clear" w:color="auto" w:fill="auto"/>
          </w:tcPr>
          <w:p w14:paraId="66CA352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2019</w:t>
            </w:r>
          </w:p>
        </w:tc>
        <w:tc>
          <w:tcPr>
            <w:tcW w:w="938" w:type="dxa"/>
            <w:tcBorders>
              <w:bottom w:val="single" w:sz="12" w:space="0" w:color="auto"/>
            </w:tcBorders>
            <w:shd w:val="clear" w:color="auto" w:fill="auto"/>
            <w:vAlign w:val="bottom"/>
          </w:tcPr>
          <w:p w14:paraId="7666147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1 821</w:t>
            </w:r>
          </w:p>
        </w:tc>
        <w:tc>
          <w:tcPr>
            <w:tcW w:w="850" w:type="dxa"/>
            <w:tcBorders>
              <w:bottom w:val="single" w:sz="12" w:space="0" w:color="auto"/>
            </w:tcBorders>
            <w:shd w:val="clear" w:color="auto" w:fill="auto"/>
            <w:vAlign w:val="bottom"/>
          </w:tcPr>
          <w:p w14:paraId="452D4B97"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1 158</w:t>
            </w:r>
          </w:p>
        </w:tc>
        <w:tc>
          <w:tcPr>
            <w:tcW w:w="709" w:type="dxa"/>
            <w:tcBorders>
              <w:bottom w:val="single" w:sz="12" w:space="0" w:color="auto"/>
            </w:tcBorders>
            <w:shd w:val="clear" w:color="auto" w:fill="auto"/>
            <w:vAlign w:val="bottom"/>
          </w:tcPr>
          <w:p w14:paraId="75B9B8A4"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663</w:t>
            </w:r>
          </w:p>
        </w:tc>
        <w:tc>
          <w:tcPr>
            <w:tcW w:w="850" w:type="dxa"/>
            <w:tcBorders>
              <w:bottom w:val="single" w:sz="12" w:space="0" w:color="auto"/>
            </w:tcBorders>
            <w:shd w:val="clear" w:color="auto" w:fill="auto"/>
            <w:vAlign w:val="bottom"/>
          </w:tcPr>
          <w:p w14:paraId="70ED752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251</w:t>
            </w:r>
          </w:p>
        </w:tc>
        <w:tc>
          <w:tcPr>
            <w:tcW w:w="851" w:type="dxa"/>
            <w:tcBorders>
              <w:bottom w:val="single" w:sz="12" w:space="0" w:color="auto"/>
            </w:tcBorders>
            <w:shd w:val="clear" w:color="auto" w:fill="auto"/>
            <w:vAlign w:val="bottom"/>
          </w:tcPr>
          <w:p w14:paraId="60B3F92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1 306</w:t>
            </w:r>
          </w:p>
        </w:tc>
        <w:tc>
          <w:tcPr>
            <w:tcW w:w="874" w:type="dxa"/>
            <w:tcBorders>
              <w:bottom w:val="single" w:sz="12" w:space="0" w:color="auto"/>
            </w:tcBorders>
            <w:shd w:val="clear" w:color="auto" w:fill="auto"/>
            <w:vAlign w:val="bottom"/>
          </w:tcPr>
          <w:p w14:paraId="736A894F"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96</w:t>
            </w:r>
          </w:p>
        </w:tc>
        <w:tc>
          <w:tcPr>
            <w:tcW w:w="879" w:type="dxa"/>
            <w:tcBorders>
              <w:bottom w:val="single" w:sz="12" w:space="0" w:color="auto"/>
            </w:tcBorders>
            <w:shd w:val="clear" w:color="auto" w:fill="auto"/>
            <w:vAlign w:val="bottom"/>
          </w:tcPr>
          <w:p w14:paraId="59229FB9"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38</w:t>
            </w:r>
          </w:p>
        </w:tc>
        <w:tc>
          <w:tcPr>
            <w:tcW w:w="797" w:type="dxa"/>
            <w:tcBorders>
              <w:bottom w:val="single" w:sz="12" w:space="0" w:color="auto"/>
            </w:tcBorders>
            <w:shd w:val="clear" w:color="auto" w:fill="auto"/>
            <w:vAlign w:val="bottom"/>
          </w:tcPr>
          <w:p w14:paraId="20565825" w14:textId="77777777" w:rsidR="00062B95" w:rsidRPr="00062B95" w:rsidRDefault="00062B95" w:rsidP="001B29B8">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130</w:t>
            </w:r>
          </w:p>
        </w:tc>
      </w:tr>
    </w:tbl>
    <w:p w14:paraId="75CC8D3B" w14:textId="77777777" w:rsidR="00062B95" w:rsidRPr="00062B95" w:rsidRDefault="00062B95" w:rsidP="001B29B8">
      <w:pPr>
        <w:pStyle w:val="H23G"/>
        <w:rPr>
          <w:lang w:val="es-ES_tradnl"/>
        </w:rPr>
      </w:pPr>
      <w:r w:rsidRPr="001B29B8">
        <w:rPr>
          <w:b w:val="0"/>
          <w:lang w:val="es-ES_tradnl"/>
        </w:rPr>
        <w:tab/>
      </w:r>
      <w:r w:rsidRPr="001B29B8">
        <w:rPr>
          <w:b w:val="0"/>
          <w:lang w:val="es-ES_tradnl"/>
        </w:rPr>
        <w:tab/>
        <w:t>Cuadro 6</w:t>
      </w:r>
      <w:r w:rsidRPr="001B29B8">
        <w:rPr>
          <w:b w:val="0"/>
          <w:lang w:val="es-ES_tradnl"/>
        </w:rPr>
        <w:br/>
      </w:r>
      <w:r w:rsidRPr="00062B95">
        <w:rPr>
          <w:lang w:val="es-ES_tradnl"/>
        </w:rPr>
        <w:t>Avances en los casos de trata de personas en fase de investigación (a fecha de 25 de mayo de 2020)</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602"/>
        <w:gridCol w:w="585"/>
        <w:gridCol w:w="1810"/>
        <w:gridCol w:w="1487"/>
        <w:gridCol w:w="1612"/>
        <w:gridCol w:w="1274"/>
      </w:tblGrid>
      <w:tr w:rsidR="00062B95" w:rsidRPr="00062B95" w14:paraId="34AC33BE" w14:textId="77777777" w:rsidTr="0085022A">
        <w:trPr>
          <w:trHeight w:val="240"/>
          <w:tblHeader/>
        </w:trPr>
        <w:tc>
          <w:tcPr>
            <w:tcW w:w="602" w:type="dxa"/>
            <w:vMerge w:val="restart"/>
            <w:tcBorders>
              <w:top w:val="single" w:sz="4" w:space="0" w:color="auto"/>
              <w:bottom w:val="single" w:sz="4" w:space="0" w:color="auto"/>
            </w:tcBorders>
            <w:shd w:val="clear" w:color="auto" w:fill="auto"/>
            <w:vAlign w:val="bottom"/>
          </w:tcPr>
          <w:p w14:paraId="43530F83"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585" w:type="dxa"/>
            <w:vMerge w:val="restart"/>
            <w:tcBorders>
              <w:top w:val="single" w:sz="4" w:space="0" w:color="auto"/>
              <w:bottom w:val="single" w:sz="4" w:space="0" w:color="auto"/>
            </w:tcBorders>
            <w:shd w:val="clear" w:color="auto" w:fill="auto"/>
            <w:vAlign w:val="bottom"/>
          </w:tcPr>
          <w:p w14:paraId="6486F0D3" w14:textId="77777777" w:rsidR="00062B95" w:rsidRPr="001B29B8" w:rsidRDefault="00062B95" w:rsidP="0085022A">
            <w:pPr>
              <w:pStyle w:val="SingleTxtG"/>
              <w:tabs>
                <w:tab w:val="clear" w:pos="1701"/>
                <w:tab w:val="clear" w:pos="2268"/>
                <w:tab w:val="clear" w:pos="2835"/>
              </w:tabs>
              <w:spacing w:before="80" w:after="80" w:line="200" w:lineRule="exact"/>
              <w:ind w:left="28" w:right="28"/>
              <w:jc w:val="right"/>
              <w:rPr>
                <w:sz w:val="18"/>
                <w:lang w:val="es-ES_tradnl"/>
              </w:rPr>
            </w:pPr>
            <w:r w:rsidRPr="0085022A">
              <w:rPr>
                <w:i/>
                <w:sz w:val="16"/>
                <w:lang w:val="es-ES_tradnl"/>
              </w:rPr>
              <w:t>Total</w:t>
            </w:r>
          </w:p>
        </w:tc>
        <w:tc>
          <w:tcPr>
            <w:tcW w:w="6183" w:type="dxa"/>
            <w:gridSpan w:val="4"/>
            <w:tcBorders>
              <w:top w:val="single" w:sz="4" w:space="0" w:color="auto"/>
              <w:bottom w:val="single" w:sz="4" w:space="0" w:color="auto"/>
            </w:tcBorders>
            <w:shd w:val="clear" w:color="auto" w:fill="auto"/>
            <w:vAlign w:val="bottom"/>
          </w:tcPr>
          <w:p w14:paraId="27D1BF7F" w14:textId="77777777" w:rsidR="00062B95" w:rsidRPr="00062B95" w:rsidRDefault="00062B95" w:rsidP="001B29B8">
            <w:pPr>
              <w:pStyle w:val="SingleTxtG"/>
              <w:tabs>
                <w:tab w:val="clear" w:pos="1701"/>
                <w:tab w:val="clear" w:pos="2268"/>
                <w:tab w:val="clear" w:pos="2835"/>
              </w:tabs>
              <w:spacing w:before="80" w:after="80" w:line="200" w:lineRule="exact"/>
              <w:ind w:left="0" w:right="0"/>
              <w:jc w:val="center"/>
              <w:rPr>
                <w:i/>
                <w:sz w:val="16"/>
                <w:lang w:val="es-ES_tradnl"/>
              </w:rPr>
            </w:pPr>
            <w:r w:rsidRPr="00062B95">
              <w:rPr>
                <w:i/>
                <w:sz w:val="16"/>
                <w:lang w:val="es-ES_tradnl"/>
              </w:rPr>
              <w:t xml:space="preserve">Avances </w:t>
            </w:r>
            <w:r w:rsidRPr="001B29B8">
              <w:rPr>
                <w:sz w:val="18"/>
                <w:lang w:val="es-ES_tradnl"/>
              </w:rPr>
              <w:t>en</w:t>
            </w:r>
            <w:r w:rsidRPr="00062B95">
              <w:rPr>
                <w:i/>
                <w:sz w:val="16"/>
                <w:lang w:val="es-ES_tradnl"/>
              </w:rPr>
              <w:t xml:space="preserve"> los casos de trata de personas</w:t>
            </w:r>
          </w:p>
        </w:tc>
      </w:tr>
      <w:tr w:rsidR="00062B95" w:rsidRPr="00062B95" w14:paraId="6C459FAC" w14:textId="77777777" w:rsidTr="0085022A">
        <w:trPr>
          <w:trHeight w:val="240"/>
          <w:tblHeader/>
        </w:trPr>
        <w:tc>
          <w:tcPr>
            <w:tcW w:w="602" w:type="dxa"/>
            <w:vMerge/>
            <w:tcBorders>
              <w:top w:val="single" w:sz="4" w:space="0" w:color="auto"/>
              <w:bottom w:val="single" w:sz="12" w:space="0" w:color="auto"/>
            </w:tcBorders>
            <w:shd w:val="clear" w:color="auto" w:fill="auto"/>
            <w:vAlign w:val="bottom"/>
          </w:tcPr>
          <w:p w14:paraId="4D49DA3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p>
        </w:tc>
        <w:tc>
          <w:tcPr>
            <w:tcW w:w="585" w:type="dxa"/>
            <w:vMerge/>
            <w:tcBorders>
              <w:top w:val="single" w:sz="4" w:space="0" w:color="auto"/>
              <w:bottom w:val="single" w:sz="12" w:space="0" w:color="auto"/>
            </w:tcBorders>
            <w:shd w:val="clear" w:color="auto" w:fill="auto"/>
            <w:vAlign w:val="bottom"/>
          </w:tcPr>
          <w:p w14:paraId="25462450" w14:textId="77777777" w:rsidR="00062B95" w:rsidRPr="00062B95" w:rsidRDefault="00062B95" w:rsidP="00062B95">
            <w:pPr>
              <w:pStyle w:val="SingleTxtG"/>
              <w:tabs>
                <w:tab w:val="clear" w:pos="1701"/>
                <w:tab w:val="clear" w:pos="2268"/>
                <w:tab w:val="clear" w:pos="2835"/>
              </w:tabs>
              <w:spacing w:before="40" w:after="40" w:line="220" w:lineRule="exact"/>
              <w:ind w:left="113" w:right="0"/>
              <w:jc w:val="right"/>
              <w:rPr>
                <w:sz w:val="18"/>
                <w:lang w:val="es-ES_tradnl"/>
              </w:rPr>
            </w:pPr>
          </w:p>
        </w:tc>
        <w:tc>
          <w:tcPr>
            <w:tcW w:w="1810" w:type="dxa"/>
            <w:tcBorders>
              <w:top w:val="single" w:sz="4" w:space="0" w:color="auto"/>
              <w:bottom w:val="single" w:sz="12" w:space="0" w:color="auto"/>
            </w:tcBorders>
            <w:shd w:val="clear" w:color="auto" w:fill="auto"/>
            <w:vAlign w:val="bottom"/>
          </w:tcPr>
          <w:p w14:paraId="0EEBD5DA"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cs/>
                <w:lang w:val="es-ES_tradnl" w:bidi="th-TH"/>
              </w:rPr>
            </w:pPr>
            <w:r w:rsidRPr="0085022A">
              <w:rPr>
                <w:i/>
                <w:sz w:val="16"/>
                <w:lang w:val="es-ES_tradnl"/>
              </w:rPr>
              <w:t xml:space="preserve">Casos en los que se han dictado órdenes de enjuiciamiento por delitos de trata de personas </w:t>
            </w:r>
          </w:p>
        </w:tc>
        <w:tc>
          <w:tcPr>
            <w:tcW w:w="1487" w:type="dxa"/>
            <w:tcBorders>
              <w:top w:val="single" w:sz="4" w:space="0" w:color="auto"/>
              <w:bottom w:val="single" w:sz="12" w:space="0" w:color="auto"/>
            </w:tcBorders>
            <w:shd w:val="clear" w:color="auto" w:fill="auto"/>
            <w:vAlign w:val="bottom"/>
          </w:tcPr>
          <w:p w14:paraId="0877B5EF"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cs/>
                <w:lang w:val="es-ES_tradnl" w:bidi="th-TH"/>
              </w:rPr>
            </w:pPr>
            <w:r w:rsidRPr="0085022A">
              <w:rPr>
                <w:i/>
                <w:sz w:val="16"/>
                <w:lang w:val="es-ES_tradnl"/>
              </w:rPr>
              <w:t xml:space="preserve">Casos en los que se han dictado órdenes de enjuiciamiento por otros delitos penales </w:t>
            </w:r>
          </w:p>
        </w:tc>
        <w:tc>
          <w:tcPr>
            <w:tcW w:w="1612" w:type="dxa"/>
            <w:tcBorders>
              <w:top w:val="single" w:sz="4" w:space="0" w:color="auto"/>
              <w:bottom w:val="single" w:sz="12" w:space="0" w:color="auto"/>
            </w:tcBorders>
            <w:shd w:val="clear" w:color="auto" w:fill="auto"/>
            <w:vAlign w:val="bottom"/>
          </w:tcPr>
          <w:p w14:paraId="738B4BF7"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cs/>
                <w:lang w:val="es-ES_tradnl" w:bidi="th-TH"/>
              </w:rPr>
            </w:pPr>
            <w:r w:rsidRPr="0085022A">
              <w:rPr>
                <w:i/>
                <w:sz w:val="16"/>
                <w:lang w:val="es-ES_tradnl"/>
              </w:rPr>
              <w:t xml:space="preserve">Casos que están siendo examinados por la fiscalía </w:t>
            </w:r>
          </w:p>
        </w:tc>
        <w:tc>
          <w:tcPr>
            <w:tcW w:w="1274" w:type="dxa"/>
            <w:tcBorders>
              <w:top w:val="single" w:sz="4" w:space="0" w:color="auto"/>
              <w:bottom w:val="single" w:sz="12" w:space="0" w:color="auto"/>
            </w:tcBorders>
            <w:shd w:val="clear" w:color="auto" w:fill="auto"/>
            <w:vAlign w:val="bottom"/>
          </w:tcPr>
          <w:p w14:paraId="41EE4122"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cs/>
                <w:lang w:val="es-ES_tradnl" w:bidi="th-TH"/>
              </w:rPr>
            </w:pPr>
            <w:r w:rsidRPr="0085022A">
              <w:rPr>
                <w:i/>
                <w:sz w:val="16"/>
                <w:lang w:val="es-ES_tradnl"/>
              </w:rPr>
              <w:t xml:space="preserve">Casos devueltos a los funcionarios encargados de la investigación </w:t>
            </w:r>
          </w:p>
        </w:tc>
      </w:tr>
      <w:tr w:rsidR="00062B95" w:rsidRPr="00062B95" w14:paraId="24E09637" w14:textId="77777777" w:rsidTr="0085022A">
        <w:trPr>
          <w:trHeight w:val="240"/>
        </w:trPr>
        <w:tc>
          <w:tcPr>
            <w:tcW w:w="602" w:type="dxa"/>
            <w:tcBorders>
              <w:top w:val="single" w:sz="12" w:space="0" w:color="auto"/>
            </w:tcBorders>
            <w:shd w:val="clear" w:color="auto" w:fill="auto"/>
          </w:tcPr>
          <w:p w14:paraId="460B800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585" w:type="dxa"/>
            <w:tcBorders>
              <w:top w:val="single" w:sz="12" w:space="0" w:color="auto"/>
            </w:tcBorders>
            <w:shd w:val="clear" w:color="auto" w:fill="auto"/>
            <w:vAlign w:val="bottom"/>
          </w:tcPr>
          <w:p w14:paraId="423B2771" w14:textId="77777777" w:rsidR="00062B95" w:rsidRPr="00062B95" w:rsidRDefault="00062B95" w:rsidP="00775B8C">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281</w:t>
            </w:r>
          </w:p>
        </w:tc>
        <w:tc>
          <w:tcPr>
            <w:tcW w:w="1810" w:type="dxa"/>
            <w:tcBorders>
              <w:top w:val="single" w:sz="12" w:space="0" w:color="auto"/>
            </w:tcBorders>
            <w:shd w:val="clear" w:color="auto" w:fill="auto"/>
            <w:vAlign w:val="bottom"/>
          </w:tcPr>
          <w:p w14:paraId="7264FBE8"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273</w:t>
            </w:r>
          </w:p>
        </w:tc>
        <w:tc>
          <w:tcPr>
            <w:tcW w:w="1487" w:type="dxa"/>
            <w:tcBorders>
              <w:top w:val="single" w:sz="12" w:space="0" w:color="auto"/>
            </w:tcBorders>
            <w:shd w:val="clear" w:color="auto" w:fill="auto"/>
            <w:vAlign w:val="bottom"/>
          </w:tcPr>
          <w:p w14:paraId="2720D5AA"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8</w:t>
            </w:r>
          </w:p>
        </w:tc>
        <w:tc>
          <w:tcPr>
            <w:tcW w:w="1612" w:type="dxa"/>
            <w:tcBorders>
              <w:top w:val="single" w:sz="12" w:space="0" w:color="auto"/>
            </w:tcBorders>
            <w:shd w:val="clear" w:color="auto" w:fill="auto"/>
            <w:vAlign w:val="bottom"/>
          </w:tcPr>
          <w:p w14:paraId="31B1A144"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c>
          <w:tcPr>
            <w:tcW w:w="1274" w:type="dxa"/>
            <w:tcBorders>
              <w:top w:val="single" w:sz="12" w:space="0" w:color="auto"/>
            </w:tcBorders>
            <w:shd w:val="clear" w:color="auto" w:fill="auto"/>
            <w:vAlign w:val="bottom"/>
          </w:tcPr>
          <w:p w14:paraId="068484A0"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r>
      <w:tr w:rsidR="00062B95" w:rsidRPr="00062B95" w14:paraId="19A684FE" w14:textId="77777777" w:rsidTr="0085022A">
        <w:trPr>
          <w:trHeight w:val="240"/>
        </w:trPr>
        <w:tc>
          <w:tcPr>
            <w:tcW w:w="602" w:type="dxa"/>
            <w:shd w:val="clear" w:color="auto" w:fill="auto"/>
          </w:tcPr>
          <w:p w14:paraId="56EF764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585" w:type="dxa"/>
            <w:shd w:val="clear" w:color="auto" w:fill="auto"/>
            <w:vAlign w:val="bottom"/>
          </w:tcPr>
          <w:p w14:paraId="3B994168" w14:textId="77777777" w:rsidR="00062B95" w:rsidRPr="00062B95" w:rsidRDefault="00062B95" w:rsidP="00775B8C">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446</w:t>
            </w:r>
          </w:p>
        </w:tc>
        <w:tc>
          <w:tcPr>
            <w:tcW w:w="1810" w:type="dxa"/>
            <w:shd w:val="clear" w:color="auto" w:fill="auto"/>
            <w:vAlign w:val="bottom"/>
          </w:tcPr>
          <w:p w14:paraId="016F14CB"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438</w:t>
            </w:r>
          </w:p>
        </w:tc>
        <w:tc>
          <w:tcPr>
            <w:tcW w:w="1487" w:type="dxa"/>
            <w:shd w:val="clear" w:color="auto" w:fill="auto"/>
            <w:vAlign w:val="bottom"/>
          </w:tcPr>
          <w:p w14:paraId="1D7D5357"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7</w:t>
            </w:r>
          </w:p>
        </w:tc>
        <w:tc>
          <w:tcPr>
            <w:tcW w:w="1612" w:type="dxa"/>
            <w:shd w:val="clear" w:color="auto" w:fill="auto"/>
            <w:vAlign w:val="bottom"/>
          </w:tcPr>
          <w:p w14:paraId="6BF2EECB"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c>
          <w:tcPr>
            <w:tcW w:w="1274" w:type="dxa"/>
            <w:shd w:val="clear" w:color="auto" w:fill="auto"/>
            <w:vAlign w:val="bottom"/>
          </w:tcPr>
          <w:p w14:paraId="61BFE44F"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w:t>
            </w:r>
          </w:p>
        </w:tc>
      </w:tr>
      <w:tr w:rsidR="00062B95" w:rsidRPr="00062B95" w14:paraId="78DDB043" w14:textId="77777777" w:rsidTr="0085022A">
        <w:trPr>
          <w:trHeight w:val="240"/>
        </w:trPr>
        <w:tc>
          <w:tcPr>
            <w:tcW w:w="602" w:type="dxa"/>
            <w:shd w:val="clear" w:color="auto" w:fill="auto"/>
          </w:tcPr>
          <w:p w14:paraId="2448B30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2017</w:t>
            </w:r>
          </w:p>
        </w:tc>
        <w:tc>
          <w:tcPr>
            <w:tcW w:w="585" w:type="dxa"/>
            <w:shd w:val="clear" w:color="auto" w:fill="auto"/>
            <w:vAlign w:val="bottom"/>
          </w:tcPr>
          <w:p w14:paraId="1408FA93" w14:textId="77777777" w:rsidR="00062B95" w:rsidRPr="00062B95" w:rsidRDefault="00062B95" w:rsidP="00775B8C">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396</w:t>
            </w:r>
          </w:p>
        </w:tc>
        <w:tc>
          <w:tcPr>
            <w:tcW w:w="1810" w:type="dxa"/>
            <w:shd w:val="clear" w:color="auto" w:fill="auto"/>
            <w:vAlign w:val="bottom"/>
          </w:tcPr>
          <w:p w14:paraId="37818383"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385</w:t>
            </w:r>
          </w:p>
        </w:tc>
        <w:tc>
          <w:tcPr>
            <w:tcW w:w="1487" w:type="dxa"/>
            <w:shd w:val="clear" w:color="auto" w:fill="auto"/>
            <w:vAlign w:val="bottom"/>
          </w:tcPr>
          <w:p w14:paraId="7E9F1593"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11</w:t>
            </w:r>
          </w:p>
        </w:tc>
        <w:tc>
          <w:tcPr>
            <w:tcW w:w="1612" w:type="dxa"/>
            <w:shd w:val="clear" w:color="auto" w:fill="auto"/>
            <w:vAlign w:val="bottom"/>
          </w:tcPr>
          <w:p w14:paraId="380B9234"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c>
          <w:tcPr>
            <w:tcW w:w="1274" w:type="dxa"/>
            <w:shd w:val="clear" w:color="auto" w:fill="auto"/>
            <w:vAlign w:val="bottom"/>
          </w:tcPr>
          <w:p w14:paraId="2EF49AA6"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r>
      <w:tr w:rsidR="00062B95" w:rsidRPr="00062B95" w14:paraId="1B23F8A4" w14:textId="77777777" w:rsidTr="0085022A">
        <w:trPr>
          <w:trHeight w:val="240"/>
        </w:trPr>
        <w:tc>
          <w:tcPr>
            <w:tcW w:w="602" w:type="dxa"/>
            <w:shd w:val="clear" w:color="auto" w:fill="auto"/>
          </w:tcPr>
          <w:p w14:paraId="6BBFF1F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585" w:type="dxa"/>
            <w:shd w:val="clear" w:color="auto" w:fill="auto"/>
            <w:vAlign w:val="bottom"/>
          </w:tcPr>
          <w:p w14:paraId="3DB3C6FD" w14:textId="77777777" w:rsidR="00062B95" w:rsidRPr="00062B95" w:rsidRDefault="00062B95" w:rsidP="00775B8C">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331</w:t>
            </w:r>
          </w:p>
        </w:tc>
        <w:tc>
          <w:tcPr>
            <w:tcW w:w="1810" w:type="dxa"/>
            <w:shd w:val="clear" w:color="auto" w:fill="auto"/>
            <w:vAlign w:val="bottom"/>
          </w:tcPr>
          <w:p w14:paraId="34E59B6C"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294</w:t>
            </w:r>
          </w:p>
        </w:tc>
        <w:tc>
          <w:tcPr>
            <w:tcW w:w="1487" w:type="dxa"/>
            <w:shd w:val="clear" w:color="auto" w:fill="auto"/>
            <w:vAlign w:val="bottom"/>
          </w:tcPr>
          <w:p w14:paraId="67884AF5"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31</w:t>
            </w:r>
          </w:p>
        </w:tc>
        <w:tc>
          <w:tcPr>
            <w:tcW w:w="1612" w:type="dxa"/>
            <w:shd w:val="clear" w:color="auto" w:fill="auto"/>
            <w:vAlign w:val="bottom"/>
          </w:tcPr>
          <w:p w14:paraId="72B09934"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 casos están aún siendo examinados por el Fiscal General</w:t>
            </w:r>
          </w:p>
        </w:tc>
        <w:tc>
          <w:tcPr>
            <w:tcW w:w="1274" w:type="dxa"/>
            <w:shd w:val="clear" w:color="auto" w:fill="auto"/>
            <w:vAlign w:val="bottom"/>
          </w:tcPr>
          <w:p w14:paraId="7BF257EC"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4</w:t>
            </w:r>
          </w:p>
        </w:tc>
      </w:tr>
      <w:tr w:rsidR="00062B95" w:rsidRPr="00062B95" w14:paraId="648BB5B4" w14:textId="77777777" w:rsidTr="0085022A">
        <w:trPr>
          <w:trHeight w:val="240"/>
        </w:trPr>
        <w:tc>
          <w:tcPr>
            <w:tcW w:w="602" w:type="dxa"/>
            <w:tcBorders>
              <w:bottom w:val="single" w:sz="12" w:space="0" w:color="auto"/>
            </w:tcBorders>
            <w:shd w:val="clear" w:color="auto" w:fill="auto"/>
          </w:tcPr>
          <w:p w14:paraId="4E06617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2019</w:t>
            </w:r>
          </w:p>
        </w:tc>
        <w:tc>
          <w:tcPr>
            <w:tcW w:w="585" w:type="dxa"/>
            <w:tcBorders>
              <w:bottom w:val="single" w:sz="12" w:space="0" w:color="auto"/>
            </w:tcBorders>
            <w:shd w:val="clear" w:color="auto" w:fill="auto"/>
            <w:vAlign w:val="bottom"/>
          </w:tcPr>
          <w:p w14:paraId="65D5699E" w14:textId="77777777" w:rsidR="00062B95" w:rsidRPr="00062B95" w:rsidRDefault="00062B95" w:rsidP="00775B8C">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343</w:t>
            </w:r>
          </w:p>
        </w:tc>
        <w:tc>
          <w:tcPr>
            <w:tcW w:w="1810" w:type="dxa"/>
            <w:tcBorders>
              <w:bottom w:val="single" w:sz="12" w:space="0" w:color="auto"/>
            </w:tcBorders>
            <w:shd w:val="clear" w:color="auto" w:fill="auto"/>
            <w:vAlign w:val="bottom"/>
          </w:tcPr>
          <w:p w14:paraId="4741C15E"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268</w:t>
            </w:r>
          </w:p>
        </w:tc>
        <w:tc>
          <w:tcPr>
            <w:tcW w:w="1487" w:type="dxa"/>
            <w:tcBorders>
              <w:bottom w:val="single" w:sz="12" w:space="0" w:color="auto"/>
            </w:tcBorders>
            <w:shd w:val="clear" w:color="auto" w:fill="auto"/>
            <w:vAlign w:val="bottom"/>
          </w:tcPr>
          <w:p w14:paraId="40A40D5D"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62</w:t>
            </w:r>
          </w:p>
        </w:tc>
        <w:tc>
          <w:tcPr>
            <w:tcW w:w="1612" w:type="dxa"/>
            <w:tcBorders>
              <w:bottom w:val="single" w:sz="12" w:space="0" w:color="auto"/>
            </w:tcBorders>
            <w:shd w:val="clear" w:color="auto" w:fill="auto"/>
            <w:vAlign w:val="bottom"/>
          </w:tcPr>
          <w:p w14:paraId="70A176EF"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7</w:t>
            </w:r>
          </w:p>
        </w:tc>
        <w:tc>
          <w:tcPr>
            <w:tcW w:w="1274" w:type="dxa"/>
            <w:tcBorders>
              <w:bottom w:val="single" w:sz="12" w:space="0" w:color="auto"/>
            </w:tcBorders>
            <w:shd w:val="clear" w:color="auto" w:fill="auto"/>
            <w:vAlign w:val="bottom"/>
          </w:tcPr>
          <w:p w14:paraId="7D5C99F8"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6</w:t>
            </w:r>
          </w:p>
        </w:tc>
      </w:tr>
    </w:tbl>
    <w:p w14:paraId="5EC6A8E9" w14:textId="54307FD6" w:rsidR="00062B95" w:rsidRPr="00062B95" w:rsidRDefault="00062B95" w:rsidP="0085022A">
      <w:pPr>
        <w:pStyle w:val="H23G"/>
        <w:rPr>
          <w:lang w:val="es-ES_tradnl"/>
        </w:rPr>
      </w:pPr>
      <w:r w:rsidRPr="0085022A">
        <w:rPr>
          <w:b w:val="0"/>
          <w:lang w:val="es-ES_tradnl"/>
        </w:rPr>
        <w:tab/>
      </w:r>
      <w:r w:rsidRPr="0085022A">
        <w:rPr>
          <w:b w:val="0"/>
          <w:lang w:val="es-ES_tradnl"/>
        </w:rPr>
        <w:tab/>
        <w:t>Cuadro 7</w:t>
      </w:r>
      <w:r w:rsidRPr="0085022A">
        <w:rPr>
          <w:b w:val="0"/>
          <w:lang w:val="es-ES_tradnl"/>
        </w:rPr>
        <w:br/>
      </w:r>
      <w:r w:rsidRPr="00062B95">
        <w:rPr>
          <w:lang w:val="es-ES_tradnl"/>
        </w:rPr>
        <w:t>Avances en los casos de trata de personas en fase de instrucción por la fiscalía (a</w:t>
      </w:r>
      <w:r w:rsidR="002D5D99">
        <w:rPr>
          <w:lang w:val="es-ES_tradnl"/>
        </w:rPr>
        <w:t> </w:t>
      </w:r>
      <w:r w:rsidRPr="00062B95">
        <w:rPr>
          <w:lang w:val="es-ES_tradnl"/>
        </w:rPr>
        <w:t>fecha</w:t>
      </w:r>
      <w:r w:rsidR="002D5D99">
        <w:rPr>
          <w:lang w:val="es-ES_tradnl"/>
        </w:rPr>
        <w:t> </w:t>
      </w:r>
      <w:r w:rsidRPr="00062B95">
        <w:rPr>
          <w:lang w:val="es-ES_tradnl"/>
        </w:rPr>
        <w:t>de 25 de mayo de 2020)</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635"/>
        <w:gridCol w:w="635"/>
        <w:gridCol w:w="2208"/>
        <w:gridCol w:w="2103"/>
        <w:gridCol w:w="1789"/>
      </w:tblGrid>
      <w:tr w:rsidR="00062B95" w:rsidRPr="00062B95" w14:paraId="385F41B6" w14:textId="77777777" w:rsidTr="0085022A">
        <w:trPr>
          <w:trHeight w:val="240"/>
          <w:tblHeader/>
        </w:trPr>
        <w:tc>
          <w:tcPr>
            <w:tcW w:w="851" w:type="dxa"/>
            <w:vMerge w:val="restart"/>
            <w:tcBorders>
              <w:top w:val="single" w:sz="4" w:space="0" w:color="auto"/>
              <w:bottom w:val="single" w:sz="4" w:space="0" w:color="auto"/>
            </w:tcBorders>
            <w:shd w:val="clear" w:color="auto" w:fill="auto"/>
            <w:vAlign w:val="bottom"/>
          </w:tcPr>
          <w:p w14:paraId="064AC96A"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851" w:type="dxa"/>
            <w:vMerge w:val="restart"/>
            <w:tcBorders>
              <w:top w:val="single" w:sz="4" w:space="0" w:color="auto"/>
              <w:bottom w:val="single" w:sz="4" w:space="0" w:color="auto"/>
            </w:tcBorders>
            <w:shd w:val="clear" w:color="auto" w:fill="auto"/>
            <w:vAlign w:val="bottom"/>
          </w:tcPr>
          <w:p w14:paraId="7E1DA805" w14:textId="77777777" w:rsidR="00062B95" w:rsidRPr="00062B95" w:rsidRDefault="00062B95" w:rsidP="0085022A">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Total</w:t>
            </w:r>
          </w:p>
        </w:tc>
        <w:tc>
          <w:tcPr>
            <w:tcW w:w="8223" w:type="dxa"/>
            <w:gridSpan w:val="3"/>
            <w:tcBorders>
              <w:top w:val="single" w:sz="4" w:space="0" w:color="auto"/>
              <w:bottom w:val="single" w:sz="4" w:space="0" w:color="auto"/>
            </w:tcBorders>
            <w:shd w:val="clear" w:color="auto" w:fill="auto"/>
            <w:vAlign w:val="bottom"/>
          </w:tcPr>
          <w:p w14:paraId="52C3B0B7" w14:textId="77777777" w:rsidR="00062B95" w:rsidRPr="00062B95" w:rsidRDefault="00062B95" w:rsidP="0085022A">
            <w:pPr>
              <w:pStyle w:val="SingleTxtG"/>
              <w:tabs>
                <w:tab w:val="clear" w:pos="1701"/>
                <w:tab w:val="clear" w:pos="2268"/>
                <w:tab w:val="clear" w:pos="2835"/>
              </w:tabs>
              <w:spacing w:before="80" w:after="80" w:line="200" w:lineRule="exact"/>
              <w:ind w:left="0" w:right="0"/>
              <w:jc w:val="center"/>
              <w:rPr>
                <w:i/>
                <w:sz w:val="16"/>
                <w:lang w:val="es-ES_tradnl"/>
              </w:rPr>
            </w:pPr>
            <w:r w:rsidRPr="00062B95">
              <w:rPr>
                <w:i/>
                <w:sz w:val="16"/>
                <w:lang w:val="es-ES_tradnl"/>
              </w:rPr>
              <w:t>Avances en los casos de trata de personas</w:t>
            </w:r>
          </w:p>
        </w:tc>
      </w:tr>
      <w:tr w:rsidR="00062B95" w:rsidRPr="00062B95" w14:paraId="2E2E0DBB" w14:textId="77777777" w:rsidTr="0085022A">
        <w:trPr>
          <w:trHeight w:val="240"/>
          <w:tblHeader/>
        </w:trPr>
        <w:tc>
          <w:tcPr>
            <w:tcW w:w="851" w:type="dxa"/>
            <w:vMerge/>
            <w:tcBorders>
              <w:top w:val="single" w:sz="4" w:space="0" w:color="auto"/>
              <w:bottom w:val="single" w:sz="12" w:space="0" w:color="auto"/>
            </w:tcBorders>
            <w:shd w:val="clear" w:color="auto" w:fill="auto"/>
            <w:vAlign w:val="bottom"/>
          </w:tcPr>
          <w:p w14:paraId="3968A5C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p>
        </w:tc>
        <w:tc>
          <w:tcPr>
            <w:tcW w:w="851" w:type="dxa"/>
            <w:vMerge/>
            <w:tcBorders>
              <w:top w:val="single" w:sz="4" w:space="0" w:color="auto"/>
              <w:bottom w:val="single" w:sz="12" w:space="0" w:color="auto"/>
            </w:tcBorders>
            <w:shd w:val="clear" w:color="auto" w:fill="auto"/>
            <w:vAlign w:val="bottom"/>
          </w:tcPr>
          <w:p w14:paraId="7EAD9CA2" w14:textId="77777777" w:rsidR="00062B95" w:rsidRPr="00062B95" w:rsidRDefault="00062B95" w:rsidP="00062B95">
            <w:pPr>
              <w:pStyle w:val="SingleTxtG"/>
              <w:tabs>
                <w:tab w:val="clear" w:pos="1701"/>
                <w:tab w:val="clear" w:pos="2268"/>
                <w:tab w:val="clear" w:pos="2835"/>
              </w:tabs>
              <w:spacing w:before="40" w:after="40" w:line="220" w:lineRule="exact"/>
              <w:ind w:left="113" w:right="0"/>
              <w:jc w:val="right"/>
              <w:rPr>
                <w:sz w:val="18"/>
                <w:lang w:val="es-ES_tradnl"/>
              </w:rPr>
            </w:pPr>
          </w:p>
        </w:tc>
        <w:tc>
          <w:tcPr>
            <w:tcW w:w="2977" w:type="dxa"/>
            <w:tcBorders>
              <w:top w:val="single" w:sz="4" w:space="0" w:color="auto"/>
              <w:bottom w:val="single" w:sz="12" w:space="0" w:color="auto"/>
            </w:tcBorders>
            <w:shd w:val="clear" w:color="auto" w:fill="auto"/>
            <w:vAlign w:val="bottom"/>
          </w:tcPr>
          <w:p w14:paraId="655EFA05"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cs/>
                <w:lang w:val="es-ES_tradnl" w:bidi="th-TH"/>
              </w:rPr>
            </w:pPr>
            <w:r w:rsidRPr="0085022A">
              <w:rPr>
                <w:i/>
                <w:sz w:val="16"/>
                <w:lang w:val="es-ES_tradnl"/>
              </w:rPr>
              <w:t xml:space="preserve">Casos en los que se han dictado órdenes de enjuiciamiento por delitos de trata de personas </w:t>
            </w:r>
          </w:p>
        </w:tc>
        <w:tc>
          <w:tcPr>
            <w:tcW w:w="2835" w:type="dxa"/>
            <w:tcBorders>
              <w:top w:val="single" w:sz="4" w:space="0" w:color="auto"/>
              <w:bottom w:val="single" w:sz="12" w:space="0" w:color="auto"/>
            </w:tcBorders>
            <w:shd w:val="clear" w:color="auto" w:fill="auto"/>
            <w:vAlign w:val="bottom"/>
          </w:tcPr>
          <w:p w14:paraId="07AA85BC"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cs/>
                <w:lang w:val="es-ES_tradnl" w:bidi="th-TH"/>
              </w:rPr>
            </w:pPr>
            <w:r w:rsidRPr="0085022A">
              <w:rPr>
                <w:i/>
                <w:sz w:val="16"/>
                <w:lang w:val="es-ES_tradnl"/>
              </w:rPr>
              <w:t xml:space="preserve">Caso en los que se han dictado órdenes de enjuiciamiento por otros delitos penales </w:t>
            </w:r>
          </w:p>
        </w:tc>
        <w:tc>
          <w:tcPr>
            <w:tcW w:w="2411" w:type="dxa"/>
            <w:tcBorders>
              <w:top w:val="single" w:sz="4" w:space="0" w:color="auto"/>
              <w:bottom w:val="single" w:sz="12" w:space="0" w:color="auto"/>
            </w:tcBorders>
            <w:shd w:val="clear" w:color="auto" w:fill="auto"/>
            <w:vAlign w:val="bottom"/>
          </w:tcPr>
          <w:p w14:paraId="33D930B3"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cs/>
                <w:lang w:val="es-ES_tradnl" w:bidi="th-TH"/>
              </w:rPr>
            </w:pPr>
            <w:r w:rsidRPr="0085022A">
              <w:rPr>
                <w:i/>
                <w:sz w:val="16"/>
                <w:lang w:val="es-ES_tradnl"/>
              </w:rPr>
              <w:t xml:space="preserve">Casos que están siendo examinados por la fiscalía </w:t>
            </w:r>
          </w:p>
        </w:tc>
      </w:tr>
      <w:tr w:rsidR="00062B95" w:rsidRPr="00062B95" w14:paraId="4B4B6E82" w14:textId="77777777" w:rsidTr="0085022A">
        <w:trPr>
          <w:trHeight w:val="240"/>
        </w:trPr>
        <w:tc>
          <w:tcPr>
            <w:tcW w:w="851" w:type="dxa"/>
            <w:tcBorders>
              <w:top w:val="single" w:sz="12" w:space="0" w:color="auto"/>
            </w:tcBorders>
            <w:shd w:val="clear" w:color="auto" w:fill="auto"/>
          </w:tcPr>
          <w:p w14:paraId="37D19C7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851" w:type="dxa"/>
            <w:tcBorders>
              <w:top w:val="single" w:sz="12" w:space="0" w:color="auto"/>
            </w:tcBorders>
            <w:shd w:val="clear" w:color="auto" w:fill="auto"/>
            <w:vAlign w:val="bottom"/>
          </w:tcPr>
          <w:p w14:paraId="7F6B8F43"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5</w:t>
            </w:r>
          </w:p>
        </w:tc>
        <w:tc>
          <w:tcPr>
            <w:tcW w:w="2977" w:type="dxa"/>
            <w:tcBorders>
              <w:top w:val="single" w:sz="12" w:space="0" w:color="auto"/>
            </w:tcBorders>
            <w:shd w:val="clear" w:color="auto" w:fill="auto"/>
            <w:vAlign w:val="bottom"/>
          </w:tcPr>
          <w:p w14:paraId="5C63F2FA"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4</w:t>
            </w:r>
          </w:p>
        </w:tc>
        <w:tc>
          <w:tcPr>
            <w:tcW w:w="2835" w:type="dxa"/>
            <w:tcBorders>
              <w:top w:val="single" w:sz="12" w:space="0" w:color="auto"/>
            </w:tcBorders>
            <w:shd w:val="clear" w:color="auto" w:fill="auto"/>
            <w:vAlign w:val="bottom"/>
          </w:tcPr>
          <w:p w14:paraId="016D418F"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w:t>
            </w:r>
          </w:p>
        </w:tc>
        <w:tc>
          <w:tcPr>
            <w:tcW w:w="2411" w:type="dxa"/>
            <w:tcBorders>
              <w:top w:val="single" w:sz="12" w:space="0" w:color="auto"/>
            </w:tcBorders>
            <w:shd w:val="clear" w:color="auto" w:fill="auto"/>
            <w:vAlign w:val="bottom"/>
          </w:tcPr>
          <w:p w14:paraId="5778AB2B"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r>
      <w:tr w:rsidR="00062B95" w:rsidRPr="00062B95" w14:paraId="5F7CD2CB" w14:textId="77777777" w:rsidTr="0085022A">
        <w:trPr>
          <w:trHeight w:val="240"/>
        </w:trPr>
        <w:tc>
          <w:tcPr>
            <w:tcW w:w="851" w:type="dxa"/>
            <w:shd w:val="clear" w:color="auto" w:fill="auto"/>
          </w:tcPr>
          <w:p w14:paraId="27DB470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851" w:type="dxa"/>
            <w:shd w:val="clear" w:color="auto" w:fill="auto"/>
            <w:vAlign w:val="bottom"/>
          </w:tcPr>
          <w:p w14:paraId="224063D5"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19</w:t>
            </w:r>
          </w:p>
        </w:tc>
        <w:tc>
          <w:tcPr>
            <w:tcW w:w="2977" w:type="dxa"/>
            <w:shd w:val="clear" w:color="auto" w:fill="auto"/>
            <w:vAlign w:val="bottom"/>
          </w:tcPr>
          <w:p w14:paraId="1B42B421"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16</w:t>
            </w:r>
          </w:p>
        </w:tc>
        <w:tc>
          <w:tcPr>
            <w:tcW w:w="2835" w:type="dxa"/>
            <w:shd w:val="clear" w:color="auto" w:fill="auto"/>
            <w:vAlign w:val="bottom"/>
          </w:tcPr>
          <w:p w14:paraId="69050FFB"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w:t>
            </w:r>
          </w:p>
        </w:tc>
        <w:tc>
          <w:tcPr>
            <w:tcW w:w="2411" w:type="dxa"/>
            <w:shd w:val="clear" w:color="auto" w:fill="auto"/>
            <w:vAlign w:val="bottom"/>
          </w:tcPr>
          <w:p w14:paraId="024300A8"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r>
      <w:tr w:rsidR="00062B95" w:rsidRPr="00062B95" w14:paraId="28057EF5" w14:textId="77777777" w:rsidTr="0085022A">
        <w:trPr>
          <w:trHeight w:val="240"/>
        </w:trPr>
        <w:tc>
          <w:tcPr>
            <w:tcW w:w="851" w:type="dxa"/>
            <w:shd w:val="clear" w:color="auto" w:fill="auto"/>
          </w:tcPr>
          <w:p w14:paraId="52AFA49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2017</w:t>
            </w:r>
          </w:p>
        </w:tc>
        <w:tc>
          <w:tcPr>
            <w:tcW w:w="851" w:type="dxa"/>
            <w:shd w:val="clear" w:color="auto" w:fill="auto"/>
            <w:vAlign w:val="bottom"/>
          </w:tcPr>
          <w:p w14:paraId="374931F5"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22</w:t>
            </w:r>
          </w:p>
        </w:tc>
        <w:tc>
          <w:tcPr>
            <w:tcW w:w="2977" w:type="dxa"/>
            <w:shd w:val="clear" w:color="auto" w:fill="auto"/>
            <w:vAlign w:val="bottom"/>
          </w:tcPr>
          <w:p w14:paraId="0E0E5155"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16</w:t>
            </w:r>
          </w:p>
        </w:tc>
        <w:tc>
          <w:tcPr>
            <w:tcW w:w="2835" w:type="dxa"/>
            <w:shd w:val="clear" w:color="auto" w:fill="auto"/>
            <w:vAlign w:val="bottom"/>
          </w:tcPr>
          <w:p w14:paraId="5652EEBD"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4</w:t>
            </w:r>
          </w:p>
        </w:tc>
        <w:tc>
          <w:tcPr>
            <w:tcW w:w="2411" w:type="dxa"/>
            <w:shd w:val="clear" w:color="auto" w:fill="auto"/>
            <w:vAlign w:val="bottom"/>
          </w:tcPr>
          <w:p w14:paraId="469D9FBA"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w:t>
            </w:r>
          </w:p>
        </w:tc>
      </w:tr>
      <w:tr w:rsidR="00062B95" w:rsidRPr="00062B95" w14:paraId="340C5408" w14:textId="77777777" w:rsidTr="0085022A">
        <w:trPr>
          <w:trHeight w:val="240"/>
        </w:trPr>
        <w:tc>
          <w:tcPr>
            <w:tcW w:w="851" w:type="dxa"/>
            <w:shd w:val="clear" w:color="auto" w:fill="auto"/>
          </w:tcPr>
          <w:p w14:paraId="75E4556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851" w:type="dxa"/>
            <w:shd w:val="clear" w:color="auto" w:fill="auto"/>
            <w:vAlign w:val="bottom"/>
          </w:tcPr>
          <w:p w14:paraId="53ADD099"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26</w:t>
            </w:r>
          </w:p>
        </w:tc>
        <w:tc>
          <w:tcPr>
            <w:tcW w:w="2977" w:type="dxa"/>
            <w:shd w:val="clear" w:color="auto" w:fill="auto"/>
            <w:vAlign w:val="bottom"/>
          </w:tcPr>
          <w:p w14:paraId="4E28589F"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23</w:t>
            </w:r>
          </w:p>
        </w:tc>
        <w:tc>
          <w:tcPr>
            <w:tcW w:w="2835" w:type="dxa"/>
            <w:shd w:val="clear" w:color="auto" w:fill="auto"/>
            <w:vAlign w:val="bottom"/>
          </w:tcPr>
          <w:p w14:paraId="7CDC99D5"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w:t>
            </w:r>
          </w:p>
        </w:tc>
        <w:tc>
          <w:tcPr>
            <w:tcW w:w="2411" w:type="dxa"/>
            <w:shd w:val="clear" w:color="auto" w:fill="auto"/>
            <w:vAlign w:val="bottom"/>
          </w:tcPr>
          <w:p w14:paraId="36068AEC"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w:t>
            </w:r>
          </w:p>
        </w:tc>
      </w:tr>
      <w:tr w:rsidR="00062B95" w:rsidRPr="00062B95" w14:paraId="632EAC2B" w14:textId="77777777" w:rsidTr="0085022A">
        <w:trPr>
          <w:trHeight w:val="240"/>
        </w:trPr>
        <w:tc>
          <w:tcPr>
            <w:tcW w:w="851" w:type="dxa"/>
            <w:tcBorders>
              <w:bottom w:val="single" w:sz="12" w:space="0" w:color="auto"/>
            </w:tcBorders>
            <w:shd w:val="clear" w:color="auto" w:fill="auto"/>
          </w:tcPr>
          <w:p w14:paraId="580077A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2019</w:t>
            </w:r>
          </w:p>
        </w:tc>
        <w:tc>
          <w:tcPr>
            <w:tcW w:w="851" w:type="dxa"/>
            <w:tcBorders>
              <w:bottom w:val="single" w:sz="12" w:space="0" w:color="auto"/>
            </w:tcBorders>
            <w:shd w:val="clear" w:color="auto" w:fill="auto"/>
            <w:vAlign w:val="bottom"/>
          </w:tcPr>
          <w:p w14:paraId="24FACC62"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21</w:t>
            </w:r>
          </w:p>
        </w:tc>
        <w:tc>
          <w:tcPr>
            <w:tcW w:w="2977" w:type="dxa"/>
            <w:tcBorders>
              <w:bottom w:val="single" w:sz="12" w:space="0" w:color="auto"/>
            </w:tcBorders>
            <w:shd w:val="clear" w:color="auto" w:fill="auto"/>
            <w:vAlign w:val="bottom"/>
          </w:tcPr>
          <w:p w14:paraId="447FA477"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13</w:t>
            </w:r>
          </w:p>
        </w:tc>
        <w:tc>
          <w:tcPr>
            <w:tcW w:w="2835" w:type="dxa"/>
            <w:tcBorders>
              <w:bottom w:val="single" w:sz="12" w:space="0" w:color="auto"/>
            </w:tcBorders>
            <w:shd w:val="clear" w:color="auto" w:fill="auto"/>
            <w:vAlign w:val="bottom"/>
          </w:tcPr>
          <w:p w14:paraId="6FD55367"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w:t>
            </w:r>
          </w:p>
        </w:tc>
        <w:tc>
          <w:tcPr>
            <w:tcW w:w="2411" w:type="dxa"/>
            <w:tcBorders>
              <w:bottom w:val="single" w:sz="12" w:space="0" w:color="auto"/>
            </w:tcBorders>
            <w:shd w:val="clear" w:color="auto" w:fill="auto"/>
            <w:vAlign w:val="bottom"/>
          </w:tcPr>
          <w:p w14:paraId="65ED7F04"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6</w:t>
            </w:r>
          </w:p>
        </w:tc>
      </w:tr>
    </w:tbl>
    <w:p w14:paraId="108FE728" w14:textId="77777777" w:rsidR="00062B95" w:rsidRPr="00062B95" w:rsidRDefault="00062B95" w:rsidP="0085022A">
      <w:pPr>
        <w:pStyle w:val="H23G"/>
        <w:rPr>
          <w:lang w:val="es-ES_tradnl"/>
        </w:rPr>
      </w:pPr>
      <w:r w:rsidRPr="0085022A">
        <w:rPr>
          <w:b w:val="0"/>
          <w:lang w:val="es-ES_tradnl"/>
        </w:rPr>
        <w:tab/>
      </w:r>
      <w:r w:rsidRPr="0085022A">
        <w:rPr>
          <w:b w:val="0"/>
          <w:lang w:val="es-ES_tradnl"/>
        </w:rPr>
        <w:tab/>
        <w:t>Cuadro 8</w:t>
      </w:r>
      <w:r w:rsidRPr="0085022A">
        <w:rPr>
          <w:b w:val="0"/>
          <w:lang w:val="es-ES_tradnl"/>
        </w:rPr>
        <w:br/>
      </w:r>
      <w:r w:rsidRPr="00062B95">
        <w:rPr>
          <w:lang w:val="es-ES_tradnl"/>
        </w:rPr>
        <w:t>Número de acusados en casos que concluyeron con sentencia judicial de condena, absolución o sobreseimiento (a fecha de 25 de mayo de 2020)</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292"/>
        <w:gridCol w:w="1306"/>
        <w:gridCol w:w="1620"/>
        <w:gridCol w:w="1592"/>
        <w:gridCol w:w="1560"/>
      </w:tblGrid>
      <w:tr w:rsidR="00062B95" w:rsidRPr="00062B95" w14:paraId="2384E41B" w14:textId="77777777" w:rsidTr="0085022A">
        <w:trPr>
          <w:trHeight w:val="240"/>
          <w:tblHeader/>
        </w:trPr>
        <w:tc>
          <w:tcPr>
            <w:tcW w:w="1429" w:type="dxa"/>
            <w:tcBorders>
              <w:top w:val="single" w:sz="4" w:space="0" w:color="auto"/>
              <w:bottom w:val="single" w:sz="12" w:space="0" w:color="auto"/>
            </w:tcBorders>
            <w:shd w:val="clear" w:color="auto" w:fill="auto"/>
            <w:vAlign w:val="bottom"/>
          </w:tcPr>
          <w:p w14:paraId="7BA3B4D5"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1445" w:type="dxa"/>
            <w:tcBorders>
              <w:top w:val="single" w:sz="4" w:space="0" w:color="auto"/>
              <w:bottom w:val="single" w:sz="12" w:space="0" w:color="auto"/>
            </w:tcBorders>
            <w:shd w:val="clear" w:color="auto" w:fill="auto"/>
            <w:vAlign w:val="bottom"/>
          </w:tcPr>
          <w:p w14:paraId="525D3E46" w14:textId="77777777" w:rsidR="00062B95" w:rsidRPr="00062B95" w:rsidRDefault="00062B95" w:rsidP="0085022A">
            <w:pPr>
              <w:pStyle w:val="SingleTxtG"/>
              <w:tabs>
                <w:tab w:val="clear" w:pos="1701"/>
                <w:tab w:val="clear" w:pos="2268"/>
                <w:tab w:val="clear" w:pos="2835"/>
              </w:tabs>
              <w:spacing w:before="80" w:after="80" w:line="200" w:lineRule="exact"/>
              <w:ind w:left="113" w:right="28"/>
              <w:jc w:val="right"/>
              <w:rPr>
                <w:i/>
                <w:sz w:val="16"/>
                <w:lang w:val="es-ES_tradnl"/>
              </w:rPr>
            </w:pPr>
            <w:r w:rsidRPr="00062B95">
              <w:rPr>
                <w:i/>
                <w:sz w:val="16"/>
                <w:lang w:val="es-ES_tradnl"/>
              </w:rPr>
              <w:t>Total</w:t>
            </w:r>
          </w:p>
        </w:tc>
        <w:tc>
          <w:tcPr>
            <w:tcW w:w="1792" w:type="dxa"/>
            <w:tcBorders>
              <w:top w:val="single" w:sz="4" w:space="0" w:color="auto"/>
              <w:bottom w:val="single" w:sz="12" w:space="0" w:color="auto"/>
            </w:tcBorders>
            <w:shd w:val="clear" w:color="auto" w:fill="auto"/>
            <w:vAlign w:val="bottom"/>
          </w:tcPr>
          <w:p w14:paraId="5E2AD6AC" w14:textId="77777777" w:rsidR="00062B95" w:rsidRPr="00062B95" w:rsidRDefault="00062B95" w:rsidP="0085022A">
            <w:pPr>
              <w:pStyle w:val="SingleTxtG"/>
              <w:tabs>
                <w:tab w:val="clear" w:pos="1701"/>
                <w:tab w:val="clear" w:pos="2268"/>
                <w:tab w:val="clear" w:pos="2835"/>
              </w:tabs>
              <w:spacing w:before="80" w:after="80" w:line="200" w:lineRule="exact"/>
              <w:ind w:left="113" w:right="28"/>
              <w:jc w:val="right"/>
              <w:rPr>
                <w:i/>
                <w:sz w:val="16"/>
                <w:lang w:val="es-ES_tradnl"/>
              </w:rPr>
            </w:pPr>
            <w:r w:rsidRPr="00062B95">
              <w:rPr>
                <w:i/>
                <w:sz w:val="16"/>
                <w:lang w:val="es-ES_tradnl"/>
              </w:rPr>
              <w:t>Condena</w:t>
            </w:r>
          </w:p>
        </w:tc>
        <w:tc>
          <w:tcPr>
            <w:tcW w:w="1762" w:type="dxa"/>
            <w:tcBorders>
              <w:top w:val="single" w:sz="4" w:space="0" w:color="auto"/>
              <w:bottom w:val="single" w:sz="12" w:space="0" w:color="auto"/>
            </w:tcBorders>
            <w:shd w:val="clear" w:color="auto" w:fill="auto"/>
            <w:vAlign w:val="bottom"/>
          </w:tcPr>
          <w:p w14:paraId="2C7A7D1F" w14:textId="77777777" w:rsidR="00062B95" w:rsidRPr="00062B95" w:rsidRDefault="00062B95" w:rsidP="0085022A">
            <w:pPr>
              <w:pStyle w:val="SingleTxtG"/>
              <w:tabs>
                <w:tab w:val="clear" w:pos="1701"/>
                <w:tab w:val="clear" w:pos="2268"/>
                <w:tab w:val="clear" w:pos="2835"/>
              </w:tabs>
              <w:spacing w:before="80" w:after="80" w:line="200" w:lineRule="exact"/>
              <w:ind w:left="113" w:right="28"/>
              <w:jc w:val="right"/>
              <w:rPr>
                <w:i/>
                <w:sz w:val="16"/>
                <w:lang w:val="es-ES_tradnl"/>
              </w:rPr>
            </w:pPr>
            <w:r w:rsidRPr="00062B95">
              <w:rPr>
                <w:i/>
                <w:sz w:val="16"/>
                <w:lang w:val="es-ES_tradnl"/>
              </w:rPr>
              <w:t>Absolución</w:t>
            </w:r>
          </w:p>
        </w:tc>
        <w:tc>
          <w:tcPr>
            <w:tcW w:w="1726" w:type="dxa"/>
            <w:tcBorders>
              <w:top w:val="single" w:sz="4" w:space="0" w:color="auto"/>
              <w:bottom w:val="single" w:sz="12" w:space="0" w:color="auto"/>
            </w:tcBorders>
            <w:shd w:val="clear" w:color="auto" w:fill="auto"/>
            <w:vAlign w:val="bottom"/>
          </w:tcPr>
          <w:p w14:paraId="721ED2AB" w14:textId="77777777" w:rsidR="00062B95" w:rsidRPr="00062B95" w:rsidRDefault="00062B95" w:rsidP="0085022A">
            <w:pPr>
              <w:pStyle w:val="SingleTxtG"/>
              <w:tabs>
                <w:tab w:val="clear" w:pos="1701"/>
                <w:tab w:val="clear" w:pos="2268"/>
                <w:tab w:val="clear" w:pos="2835"/>
              </w:tabs>
              <w:spacing w:before="80" w:after="80" w:line="200" w:lineRule="exact"/>
              <w:ind w:left="113" w:right="28"/>
              <w:jc w:val="right"/>
              <w:rPr>
                <w:i/>
                <w:sz w:val="16"/>
                <w:lang w:val="es-ES_tradnl"/>
              </w:rPr>
            </w:pPr>
            <w:r w:rsidRPr="00062B95">
              <w:rPr>
                <w:i/>
                <w:sz w:val="16"/>
                <w:lang w:val="es-ES_tradnl"/>
              </w:rPr>
              <w:t>Sobreseimiento</w:t>
            </w:r>
          </w:p>
        </w:tc>
      </w:tr>
      <w:tr w:rsidR="00062B95" w:rsidRPr="00062B95" w14:paraId="1B960D89" w14:textId="77777777" w:rsidTr="0085022A">
        <w:trPr>
          <w:trHeight w:val="240"/>
        </w:trPr>
        <w:tc>
          <w:tcPr>
            <w:tcW w:w="1429" w:type="dxa"/>
            <w:tcBorders>
              <w:top w:val="single" w:sz="12" w:space="0" w:color="auto"/>
            </w:tcBorders>
            <w:shd w:val="clear" w:color="auto" w:fill="auto"/>
          </w:tcPr>
          <w:p w14:paraId="3C2FAE8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1445" w:type="dxa"/>
            <w:tcBorders>
              <w:top w:val="single" w:sz="12" w:space="0" w:color="auto"/>
            </w:tcBorders>
            <w:shd w:val="clear" w:color="auto" w:fill="auto"/>
            <w:vAlign w:val="bottom"/>
          </w:tcPr>
          <w:p w14:paraId="0C487A1F"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287</w:t>
            </w:r>
          </w:p>
        </w:tc>
        <w:tc>
          <w:tcPr>
            <w:tcW w:w="1792" w:type="dxa"/>
            <w:tcBorders>
              <w:top w:val="single" w:sz="12" w:space="0" w:color="auto"/>
            </w:tcBorders>
            <w:shd w:val="clear" w:color="auto" w:fill="auto"/>
            <w:vAlign w:val="bottom"/>
          </w:tcPr>
          <w:p w14:paraId="5381A664"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254</w:t>
            </w:r>
          </w:p>
        </w:tc>
        <w:tc>
          <w:tcPr>
            <w:tcW w:w="1762" w:type="dxa"/>
            <w:tcBorders>
              <w:top w:val="single" w:sz="12" w:space="0" w:color="auto"/>
            </w:tcBorders>
            <w:shd w:val="clear" w:color="auto" w:fill="auto"/>
            <w:vAlign w:val="bottom"/>
          </w:tcPr>
          <w:p w14:paraId="2FD92DD6"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26</w:t>
            </w:r>
          </w:p>
        </w:tc>
        <w:tc>
          <w:tcPr>
            <w:tcW w:w="1726" w:type="dxa"/>
            <w:tcBorders>
              <w:top w:val="single" w:sz="12" w:space="0" w:color="auto"/>
            </w:tcBorders>
            <w:shd w:val="clear" w:color="auto" w:fill="auto"/>
            <w:vAlign w:val="bottom"/>
          </w:tcPr>
          <w:p w14:paraId="39C0269C"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7</w:t>
            </w:r>
          </w:p>
        </w:tc>
      </w:tr>
      <w:tr w:rsidR="00062B95" w:rsidRPr="00062B95" w14:paraId="4AE19763" w14:textId="77777777" w:rsidTr="0085022A">
        <w:trPr>
          <w:trHeight w:val="240"/>
        </w:trPr>
        <w:tc>
          <w:tcPr>
            <w:tcW w:w="1429" w:type="dxa"/>
            <w:shd w:val="clear" w:color="auto" w:fill="auto"/>
          </w:tcPr>
          <w:p w14:paraId="6691F29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1445" w:type="dxa"/>
            <w:shd w:val="clear" w:color="auto" w:fill="auto"/>
            <w:vAlign w:val="bottom"/>
          </w:tcPr>
          <w:p w14:paraId="0814A968"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493</w:t>
            </w:r>
          </w:p>
        </w:tc>
        <w:tc>
          <w:tcPr>
            <w:tcW w:w="1792" w:type="dxa"/>
            <w:shd w:val="clear" w:color="auto" w:fill="auto"/>
            <w:vAlign w:val="bottom"/>
          </w:tcPr>
          <w:p w14:paraId="1BB3BBBF"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366</w:t>
            </w:r>
          </w:p>
        </w:tc>
        <w:tc>
          <w:tcPr>
            <w:tcW w:w="1762" w:type="dxa"/>
            <w:shd w:val="clear" w:color="auto" w:fill="auto"/>
            <w:vAlign w:val="bottom"/>
          </w:tcPr>
          <w:p w14:paraId="5936545E"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69</w:t>
            </w:r>
          </w:p>
        </w:tc>
        <w:tc>
          <w:tcPr>
            <w:tcW w:w="1726" w:type="dxa"/>
            <w:shd w:val="clear" w:color="auto" w:fill="auto"/>
            <w:vAlign w:val="bottom"/>
          </w:tcPr>
          <w:p w14:paraId="144F8D04"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58</w:t>
            </w:r>
          </w:p>
        </w:tc>
      </w:tr>
      <w:tr w:rsidR="00062B95" w:rsidRPr="00062B95" w14:paraId="7B336079" w14:textId="77777777" w:rsidTr="0085022A">
        <w:trPr>
          <w:trHeight w:val="240"/>
        </w:trPr>
        <w:tc>
          <w:tcPr>
            <w:tcW w:w="1429" w:type="dxa"/>
            <w:shd w:val="clear" w:color="auto" w:fill="auto"/>
          </w:tcPr>
          <w:p w14:paraId="4B798F0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2017</w:t>
            </w:r>
          </w:p>
        </w:tc>
        <w:tc>
          <w:tcPr>
            <w:tcW w:w="1445" w:type="dxa"/>
            <w:shd w:val="clear" w:color="auto" w:fill="auto"/>
            <w:vAlign w:val="bottom"/>
          </w:tcPr>
          <w:p w14:paraId="116FCB45"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638</w:t>
            </w:r>
          </w:p>
        </w:tc>
        <w:tc>
          <w:tcPr>
            <w:tcW w:w="1792" w:type="dxa"/>
            <w:shd w:val="clear" w:color="auto" w:fill="auto"/>
            <w:vAlign w:val="bottom"/>
          </w:tcPr>
          <w:p w14:paraId="08D5C87F"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466</w:t>
            </w:r>
          </w:p>
        </w:tc>
        <w:tc>
          <w:tcPr>
            <w:tcW w:w="1762" w:type="dxa"/>
            <w:shd w:val="clear" w:color="auto" w:fill="auto"/>
            <w:vAlign w:val="bottom"/>
          </w:tcPr>
          <w:p w14:paraId="0C796CFB"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154</w:t>
            </w:r>
          </w:p>
        </w:tc>
        <w:tc>
          <w:tcPr>
            <w:tcW w:w="1726" w:type="dxa"/>
            <w:shd w:val="clear" w:color="auto" w:fill="auto"/>
            <w:vAlign w:val="bottom"/>
          </w:tcPr>
          <w:p w14:paraId="29569F8B"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18</w:t>
            </w:r>
          </w:p>
        </w:tc>
      </w:tr>
      <w:tr w:rsidR="00062B95" w:rsidRPr="00062B95" w14:paraId="464D3E76" w14:textId="77777777" w:rsidTr="0085022A">
        <w:trPr>
          <w:trHeight w:val="240"/>
        </w:trPr>
        <w:tc>
          <w:tcPr>
            <w:tcW w:w="1429" w:type="dxa"/>
            <w:shd w:val="clear" w:color="auto" w:fill="auto"/>
          </w:tcPr>
          <w:p w14:paraId="7D08FF0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1445" w:type="dxa"/>
            <w:shd w:val="clear" w:color="auto" w:fill="auto"/>
            <w:vAlign w:val="bottom"/>
          </w:tcPr>
          <w:p w14:paraId="5D2BF612"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438</w:t>
            </w:r>
          </w:p>
        </w:tc>
        <w:tc>
          <w:tcPr>
            <w:tcW w:w="1792" w:type="dxa"/>
            <w:shd w:val="clear" w:color="auto" w:fill="auto"/>
            <w:vAlign w:val="bottom"/>
          </w:tcPr>
          <w:p w14:paraId="7A8C049A"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316</w:t>
            </w:r>
          </w:p>
        </w:tc>
        <w:tc>
          <w:tcPr>
            <w:tcW w:w="1762" w:type="dxa"/>
            <w:shd w:val="clear" w:color="auto" w:fill="auto"/>
            <w:vAlign w:val="bottom"/>
          </w:tcPr>
          <w:p w14:paraId="68996FA5"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57</w:t>
            </w:r>
          </w:p>
        </w:tc>
        <w:tc>
          <w:tcPr>
            <w:tcW w:w="1726" w:type="dxa"/>
            <w:shd w:val="clear" w:color="auto" w:fill="auto"/>
            <w:vAlign w:val="bottom"/>
          </w:tcPr>
          <w:p w14:paraId="615CF5C4"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65</w:t>
            </w:r>
          </w:p>
        </w:tc>
      </w:tr>
      <w:tr w:rsidR="00062B95" w:rsidRPr="00062B95" w14:paraId="004C567A" w14:textId="77777777" w:rsidTr="0085022A">
        <w:trPr>
          <w:trHeight w:val="240"/>
        </w:trPr>
        <w:tc>
          <w:tcPr>
            <w:tcW w:w="1429" w:type="dxa"/>
            <w:tcBorders>
              <w:bottom w:val="single" w:sz="12" w:space="0" w:color="auto"/>
            </w:tcBorders>
            <w:shd w:val="clear" w:color="auto" w:fill="auto"/>
          </w:tcPr>
          <w:p w14:paraId="1C62220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2019</w:t>
            </w:r>
          </w:p>
        </w:tc>
        <w:tc>
          <w:tcPr>
            <w:tcW w:w="1445" w:type="dxa"/>
            <w:tcBorders>
              <w:bottom w:val="single" w:sz="12" w:space="0" w:color="auto"/>
            </w:tcBorders>
            <w:shd w:val="clear" w:color="auto" w:fill="auto"/>
            <w:vAlign w:val="bottom"/>
          </w:tcPr>
          <w:p w14:paraId="7BC0A60E"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386</w:t>
            </w:r>
          </w:p>
        </w:tc>
        <w:tc>
          <w:tcPr>
            <w:tcW w:w="1792" w:type="dxa"/>
            <w:tcBorders>
              <w:bottom w:val="single" w:sz="12" w:space="0" w:color="auto"/>
            </w:tcBorders>
            <w:shd w:val="clear" w:color="auto" w:fill="auto"/>
            <w:vAlign w:val="bottom"/>
          </w:tcPr>
          <w:p w14:paraId="28AF71C8"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304</w:t>
            </w:r>
          </w:p>
        </w:tc>
        <w:tc>
          <w:tcPr>
            <w:tcW w:w="1762" w:type="dxa"/>
            <w:tcBorders>
              <w:bottom w:val="single" w:sz="12" w:space="0" w:color="auto"/>
            </w:tcBorders>
            <w:shd w:val="clear" w:color="auto" w:fill="auto"/>
            <w:vAlign w:val="bottom"/>
          </w:tcPr>
          <w:p w14:paraId="6DACC186"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27</w:t>
            </w:r>
          </w:p>
        </w:tc>
        <w:tc>
          <w:tcPr>
            <w:tcW w:w="1726" w:type="dxa"/>
            <w:tcBorders>
              <w:bottom w:val="single" w:sz="12" w:space="0" w:color="auto"/>
            </w:tcBorders>
            <w:shd w:val="clear" w:color="auto" w:fill="auto"/>
            <w:vAlign w:val="bottom"/>
          </w:tcPr>
          <w:p w14:paraId="1789108B" w14:textId="77777777" w:rsidR="00062B95" w:rsidRPr="00062B95" w:rsidRDefault="00062B95" w:rsidP="0085022A">
            <w:pPr>
              <w:pStyle w:val="SingleTxtG"/>
              <w:tabs>
                <w:tab w:val="clear" w:pos="1701"/>
                <w:tab w:val="clear" w:pos="2268"/>
                <w:tab w:val="clear" w:pos="2835"/>
              </w:tabs>
              <w:spacing w:before="40" w:after="40" w:line="220" w:lineRule="exact"/>
              <w:ind w:left="113" w:right="28"/>
              <w:jc w:val="right"/>
              <w:rPr>
                <w:sz w:val="18"/>
                <w:lang w:val="es-ES_tradnl"/>
              </w:rPr>
            </w:pPr>
            <w:r w:rsidRPr="00062B95">
              <w:rPr>
                <w:sz w:val="18"/>
                <w:lang w:val="es-ES_tradnl"/>
              </w:rPr>
              <w:t>55</w:t>
            </w:r>
          </w:p>
        </w:tc>
      </w:tr>
    </w:tbl>
    <w:p w14:paraId="0B9E3FB8" w14:textId="4E8657CB" w:rsidR="00062B95" w:rsidRPr="00062B95" w:rsidRDefault="00062B95" w:rsidP="0085022A">
      <w:pPr>
        <w:pStyle w:val="H23G"/>
        <w:rPr>
          <w:lang w:val="es-ES_tradnl"/>
        </w:rPr>
      </w:pPr>
      <w:r w:rsidRPr="0085022A">
        <w:rPr>
          <w:b w:val="0"/>
          <w:lang w:val="es-ES_tradnl"/>
        </w:rPr>
        <w:lastRenderedPageBreak/>
        <w:tab/>
      </w:r>
      <w:r w:rsidRPr="0085022A">
        <w:rPr>
          <w:b w:val="0"/>
          <w:lang w:val="es-ES_tradnl"/>
        </w:rPr>
        <w:tab/>
        <w:t>Cuadro 9</w:t>
      </w:r>
      <w:r w:rsidRPr="0085022A">
        <w:rPr>
          <w:b w:val="0"/>
          <w:lang w:val="es-ES_tradnl"/>
        </w:rPr>
        <w:br/>
      </w:r>
      <w:r w:rsidRPr="00062B95">
        <w:rPr>
          <w:lang w:val="es-ES_tradnl"/>
        </w:rPr>
        <w:t>Duración de las penas de prisión impuestas a los condenados en casos de trata de</w:t>
      </w:r>
      <w:r w:rsidR="002D5D99">
        <w:rPr>
          <w:lang w:val="es-ES_tradnl"/>
        </w:rPr>
        <w:t> </w:t>
      </w:r>
      <w:r w:rsidRPr="00062B95">
        <w:rPr>
          <w:lang w:val="es-ES_tradnl"/>
        </w:rPr>
        <w:t>personas (a fecha de 25 de mayo de 2020)</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013"/>
        <w:gridCol w:w="972"/>
        <w:gridCol w:w="1134"/>
        <w:gridCol w:w="992"/>
        <w:gridCol w:w="992"/>
        <w:gridCol w:w="1134"/>
        <w:gridCol w:w="1133"/>
      </w:tblGrid>
      <w:tr w:rsidR="00062B95" w:rsidRPr="00062B95" w14:paraId="12EF544D" w14:textId="77777777" w:rsidTr="0085022A">
        <w:trPr>
          <w:trHeight w:val="240"/>
          <w:tblHeader/>
        </w:trPr>
        <w:tc>
          <w:tcPr>
            <w:tcW w:w="1013" w:type="dxa"/>
            <w:tcBorders>
              <w:top w:val="single" w:sz="4" w:space="0" w:color="auto"/>
              <w:bottom w:val="single" w:sz="12" w:space="0" w:color="auto"/>
            </w:tcBorders>
            <w:shd w:val="clear" w:color="auto" w:fill="auto"/>
            <w:vAlign w:val="bottom"/>
          </w:tcPr>
          <w:p w14:paraId="50FF2E91"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Año</w:t>
            </w:r>
          </w:p>
        </w:tc>
        <w:tc>
          <w:tcPr>
            <w:tcW w:w="972" w:type="dxa"/>
            <w:tcBorders>
              <w:top w:val="single" w:sz="4" w:space="0" w:color="auto"/>
              <w:bottom w:val="single" w:sz="12" w:space="0" w:color="auto"/>
            </w:tcBorders>
            <w:shd w:val="clear" w:color="auto" w:fill="auto"/>
            <w:vAlign w:val="bottom"/>
          </w:tcPr>
          <w:p w14:paraId="68AA45C8" w14:textId="77777777" w:rsidR="00062B95" w:rsidRPr="00062B95" w:rsidRDefault="00062B95" w:rsidP="0085022A">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 xml:space="preserve">Número de condenados </w:t>
            </w:r>
          </w:p>
        </w:tc>
        <w:tc>
          <w:tcPr>
            <w:tcW w:w="1134" w:type="dxa"/>
            <w:tcBorders>
              <w:top w:val="single" w:sz="4" w:space="0" w:color="auto"/>
              <w:bottom w:val="single" w:sz="12" w:space="0" w:color="auto"/>
            </w:tcBorders>
            <w:shd w:val="clear" w:color="auto" w:fill="auto"/>
            <w:vAlign w:val="bottom"/>
          </w:tcPr>
          <w:p w14:paraId="674407C2" w14:textId="0B51DB5E" w:rsidR="00062B95" w:rsidRPr="00062B95" w:rsidRDefault="0085022A" w:rsidP="0085022A">
            <w:pPr>
              <w:pStyle w:val="SingleTxtG"/>
              <w:tabs>
                <w:tab w:val="clear" w:pos="1701"/>
                <w:tab w:val="clear" w:pos="2268"/>
                <w:tab w:val="clear" w:pos="2835"/>
              </w:tabs>
              <w:spacing w:before="80" w:after="80" w:line="200" w:lineRule="exact"/>
              <w:ind w:left="28" w:right="28"/>
              <w:jc w:val="right"/>
              <w:rPr>
                <w:i/>
                <w:sz w:val="16"/>
                <w:lang w:val="es-ES_tradnl"/>
              </w:rPr>
            </w:pPr>
            <w:r>
              <w:rPr>
                <w:i/>
                <w:sz w:val="16"/>
                <w:lang w:val="es-ES_tradnl"/>
              </w:rPr>
              <w:t>Menos de</w:t>
            </w:r>
            <w:r w:rsidR="00062B95" w:rsidRPr="00062B95">
              <w:rPr>
                <w:i/>
                <w:sz w:val="16"/>
                <w:lang w:val="es-ES_tradnl"/>
              </w:rPr>
              <w:t xml:space="preserve"> 1 año</w:t>
            </w:r>
          </w:p>
        </w:tc>
        <w:tc>
          <w:tcPr>
            <w:tcW w:w="992" w:type="dxa"/>
            <w:tcBorders>
              <w:top w:val="single" w:sz="4" w:space="0" w:color="auto"/>
              <w:bottom w:val="single" w:sz="12" w:space="0" w:color="auto"/>
            </w:tcBorders>
            <w:shd w:val="clear" w:color="auto" w:fill="auto"/>
            <w:vAlign w:val="bottom"/>
          </w:tcPr>
          <w:p w14:paraId="37EA9237" w14:textId="545CF10A" w:rsidR="00062B95" w:rsidRPr="00062B95" w:rsidRDefault="0085022A" w:rsidP="0085022A">
            <w:pPr>
              <w:pStyle w:val="SingleTxtG"/>
              <w:tabs>
                <w:tab w:val="clear" w:pos="1701"/>
                <w:tab w:val="clear" w:pos="2268"/>
                <w:tab w:val="clear" w:pos="2835"/>
              </w:tabs>
              <w:spacing w:before="80" w:after="80" w:line="200" w:lineRule="exact"/>
              <w:ind w:left="28" w:right="28"/>
              <w:jc w:val="right"/>
              <w:rPr>
                <w:i/>
                <w:sz w:val="16"/>
                <w:lang w:val="es-ES_tradnl"/>
              </w:rPr>
            </w:pPr>
            <w:r>
              <w:rPr>
                <w:i/>
                <w:sz w:val="16"/>
                <w:lang w:val="es-ES_tradnl"/>
              </w:rPr>
              <w:t xml:space="preserve">De </w:t>
            </w:r>
            <w:r w:rsidR="00062B95" w:rsidRPr="00062B95">
              <w:rPr>
                <w:i/>
                <w:sz w:val="16"/>
                <w:lang w:val="es-ES_tradnl"/>
              </w:rPr>
              <w:t>1</w:t>
            </w:r>
            <w:r>
              <w:rPr>
                <w:i/>
                <w:sz w:val="16"/>
                <w:lang w:val="es-ES_tradnl"/>
              </w:rPr>
              <w:t xml:space="preserve"> a </w:t>
            </w:r>
            <w:r w:rsidR="00062B95" w:rsidRPr="00062B95">
              <w:rPr>
                <w:i/>
                <w:sz w:val="16"/>
                <w:lang w:val="es-ES_tradnl"/>
              </w:rPr>
              <w:t>2 años</w:t>
            </w:r>
          </w:p>
        </w:tc>
        <w:tc>
          <w:tcPr>
            <w:tcW w:w="992" w:type="dxa"/>
            <w:tcBorders>
              <w:top w:val="single" w:sz="4" w:space="0" w:color="auto"/>
              <w:bottom w:val="single" w:sz="12" w:space="0" w:color="auto"/>
            </w:tcBorders>
            <w:shd w:val="clear" w:color="auto" w:fill="auto"/>
            <w:vAlign w:val="bottom"/>
          </w:tcPr>
          <w:p w14:paraId="3CF821AC" w14:textId="4AE1694F" w:rsidR="00062B95" w:rsidRPr="00062B95" w:rsidRDefault="0085022A" w:rsidP="0085022A">
            <w:pPr>
              <w:pStyle w:val="SingleTxtG"/>
              <w:tabs>
                <w:tab w:val="clear" w:pos="1701"/>
                <w:tab w:val="clear" w:pos="2268"/>
                <w:tab w:val="clear" w:pos="2835"/>
              </w:tabs>
              <w:spacing w:before="80" w:after="80" w:line="200" w:lineRule="exact"/>
              <w:ind w:left="28" w:right="28"/>
              <w:jc w:val="right"/>
              <w:rPr>
                <w:i/>
                <w:sz w:val="16"/>
                <w:lang w:val="es-ES_tradnl"/>
              </w:rPr>
            </w:pPr>
            <w:r>
              <w:rPr>
                <w:i/>
                <w:sz w:val="16"/>
                <w:lang w:val="es-ES_tradnl"/>
              </w:rPr>
              <w:t xml:space="preserve">De </w:t>
            </w:r>
            <w:r w:rsidR="00062B95" w:rsidRPr="00062B95">
              <w:rPr>
                <w:i/>
                <w:sz w:val="16"/>
                <w:lang w:val="es-ES_tradnl"/>
              </w:rPr>
              <w:t>2</w:t>
            </w:r>
            <w:r>
              <w:rPr>
                <w:i/>
                <w:sz w:val="16"/>
                <w:lang w:val="es-ES_tradnl"/>
              </w:rPr>
              <w:t xml:space="preserve"> a </w:t>
            </w:r>
            <w:r w:rsidR="00062B95" w:rsidRPr="00062B95">
              <w:rPr>
                <w:i/>
                <w:sz w:val="16"/>
                <w:lang w:val="es-ES_tradnl"/>
              </w:rPr>
              <w:t>5 años</w:t>
            </w:r>
          </w:p>
        </w:tc>
        <w:tc>
          <w:tcPr>
            <w:tcW w:w="1134" w:type="dxa"/>
            <w:tcBorders>
              <w:top w:val="single" w:sz="4" w:space="0" w:color="auto"/>
              <w:bottom w:val="single" w:sz="12" w:space="0" w:color="auto"/>
            </w:tcBorders>
            <w:shd w:val="clear" w:color="auto" w:fill="auto"/>
            <w:vAlign w:val="bottom"/>
          </w:tcPr>
          <w:p w14:paraId="16308739" w14:textId="0F0BB94F" w:rsidR="00062B95" w:rsidRPr="00062B95" w:rsidRDefault="0085022A" w:rsidP="0085022A">
            <w:pPr>
              <w:pStyle w:val="SingleTxtG"/>
              <w:tabs>
                <w:tab w:val="clear" w:pos="1701"/>
                <w:tab w:val="clear" w:pos="2268"/>
                <w:tab w:val="clear" w:pos="2835"/>
              </w:tabs>
              <w:spacing w:before="80" w:after="80" w:line="200" w:lineRule="exact"/>
              <w:ind w:left="28" w:right="28"/>
              <w:jc w:val="right"/>
              <w:rPr>
                <w:i/>
                <w:sz w:val="16"/>
                <w:lang w:val="es-ES_tradnl"/>
              </w:rPr>
            </w:pPr>
            <w:r>
              <w:rPr>
                <w:i/>
                <w:sz w:val="16"/>
                <w:lang w:val="es-ES_tradnl"/>
              </w:rPr>
              <w:t xml:space="preserve">De </w:t>
            </w:r>
            <w:r w:rsidR="00062B95" w:rsidRPr="00062B95">
              <w:rPr>
                <w:i/>
                <w:sz w:val="16"/>
                <w:lang w:val="es-ES_tradnl"/>
              </w:rPr>
              <w:t>5</w:t>
            </w:r>
            <w:r>
              <w:rPr>
                <w:i/>
                <w:sz w:val="16"/>
                <w:lang w:val="es-ES_tradnl"/>
              </w:rPr>
              <w:t xml:space="preserve"> a </w:t>
            </w:r>
            <w:r w:rsidR="00062B95" w:rsidRPr="00062B95">
              <w:rPr>
                <w:i/>
                <w:sz w:val="16"/>
                <w:lang w:val="es-ES_tradnl"/>
              </w:rPr>
              <w:t>10 años</w:t>
            </w:r>
          </w:p>
        </w:tc>
        <w:tc>
          <w:tcPr>
            <w:tcW w:w="1133" w:type="dxa"/>
            <w:tcBorders>
              <w:top w:val="single" w:sz="4" w:space="0" w:color="auto"/>
              <w:bottom w:val="single" w:sz="12" w:space="0" w:color="auto"/>
            </w:tcBorders>
            <w:shd w:val="clear" w:color="auto" w:fill="auto"/>
            <w:vAlign w:val="bottom"/>
          </w:tcPr>
          <w:p w14:paraId="5EC050F9" w14:textId="3330F643" w:rsidR="00062B95" w:rsidRPr="00062B95" w:rsidRDefault="0085022A" w:rsidP="0085022A">
            <w:pPr>
              <w:pStyle w:val="SingleTxtG"/>
              <w:tabs>
                <w:tab w:val="clear" w:pos="1701"/>
                <w:tab w:val="clear" w:pos="2268"/>
                <w:tab w:val="clear" w:pos="2835"/>
              </w:tabs>
              <w:spacing w:before="80" w:after="80" w:line="200" w:lineRule="exact"/>
              <w:ind w:left="28" w:right="28"/>
              <w:jc w:val="right"/>
              <w:rPr>
                <w:i/>
                <w:sz w:val="16"/>
                <w:lang w:val="es-ES_tradnl"/>
              </w:rPr>
            </w:pPr>
            <w:r>
              <w:rPr>
                <w:i/>
                <w:sz w:val="16"/>
                <w:lang w:val="es-ES_tradnl"/>
              </w:rPr>
              <w:t xml:space="preserve">Más de </w:t>
            </w:r>
            <w:r w:rsidR="00062B95" w:rsidRPr="00062B95">
              <w:rPr>
                <w:i/>
                <w:sz w:val="16"/>
                <w:lang w:val="es-ES_tradnl"/>
              </w:rPr>
              <w:t>10 años</w:t>
            </w:r>
          </w:p>
        </w:tc>
      </w:tr>
      <w:tr w:rsidR="00062B95" w:rsidRPr="00062B95" w14:paraId="20E8505A" w14:textId="77777777" w:rsidTr="0085022A">
        <w:trPr>
          <w:trHeight w:val="240"/>
        </w:trPr>
        <w:tc>
          <w:tcPr>
            <w:tcW w:w="1013" w:type="dxa"/>
            <w:tcBorders>
              <w:top w:val="single" w:sz="12" w:space="0" w:color="auto"/>
            </w:tcBorders>
            <w:shd w:val="clear" w:color="auto" w:fill="auto"/>
          </w:tcPr>
          <w:p w14:paraId="0281BA6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2015</w:t>
            </w:r>
          </w:p>
        </w:tc>
        <w:tc>
          <w:tcPr>
            <w:tcW w:w="972" w:type="dxa"/>
            <w:tcBorders>
              <w:top w:val="single" w:sz="12" w:space="0" w:color="auto"/>
            </w:tcBorders>
            <w:shd w:val="clear" w:color="auto" w:fill="auto"/>
            <w:vAlign w:val="bottom"/>
          </w:tcPr>
          <w:p w14:paraId="45D8F69B"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244</w:t>
            </w:r>
          </w:p>
        </w:tc>
        <w:tc>
          <w:tcPr>
            <w:tcW w:w="1134" w:type="dxa"/>
            <w:tcBorders>
              <w:top w:val="single" w:sz="12" w:space="0" w:color="auto"/>
            </w:tcBorders>
            <w:shd w:val="clear" w:color="auto" w:fill="auto"/>
            <w:vAlign w:val="bottom"/>
          </w:tcPr>
          <w:p w14:paraId="2F797573"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w:t>
            </w:r>
          </w:p>
        </w:tc>
        <w:tc>
          <w:tcPr>
            <w:tcW w:w="992" w:type="dxa"/>
            <w:tcBorders>
              <w:top w:val="single" w:sz="12" w:space="0" w:color="auto"/>
            </w:tcBorders>
            <w:shd w:val="clear" w:color="auto" w:fill="auto"/>
            <w:vAlign w:val="bottom"/>
          </w:tcPr>
          <w:p w14:paraId="619B7ECA"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w:t>
            </w:r>
          </w:p>
        </w:tc>
        <w:tc>
          <w:tcPr>
            <w:tcW w:w="992" w:type="dxa"/>
            <w:tcBorders>
              <w:top w:val="single" w:sz="12" w:space="0" w:color="auto"/>
            </w:tcBorders>
            <w:shd w:val="clear" w:color="auto" w:fill="auto"/>
            <w:vAlign w:val="bottom"/>
          </w:tcPr>
          <w:p w14:paraId="255BE633"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74</w:t>
            </w:r>
          </w:p>
        </w:tc>
        <w:tc>
          <w:tcPr>
            <w:tcW w:w="1134" w:type="dxa"/>
            <w:tcBorders>
              <w:top w:val="single" w:sz="12" w:space="0" w:color="auto"/>
            </w:tcBorders>
            <w:shd w:val="clear" w:color="auto" w:fill="auto"/>
            <w:vAlign w:val="bottom"/>
          </w:tcPr>
          <w:p w14:paraId="519AEBB2"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73</w:t>
            </w:r>
          </w:p>
        </w:tc>
        <w:tc>
          <w:tcPr>
            <w:tcW w:w="1133" w:type="dxa"/>
            <w:tcBorders>
              <w:top w:val="single" w:sz="12" w:space="0" w:color="auto"/>
            </w:tcBorders>
            <w:shd w:val="clear" w:color="auto" w:fill="auto"/>
            <w:vAlign w:val="bottom"/>
          </w:tcPr>
          <w:p w14:paraId="3F50FC35"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80</w:t>
            </w:r>
          </w:p>
        </w:tc>
      </w:tr>
      <w:tr w:rsidR="00062B95" w:rsidRPr="00062B95" w14:paraId="485500B7" w14:textId="77777777" w:rsidTr="0085022A">
        <w:trPr>
          <w:trHeight w:val="240"/>
        </w:trPr>
        <w:tc>
          <w:tcPr>
            <w:tcW w:w="1013" w:type="dxa"/>
            <w:shd w:val="clear" w:color="auto" w:fill="auto"/>
          </w:tcPr>
          <w:p w14:paraId="0B5F510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2016</w:t>
            </w:r>
          </w:p>
        </w:tc>
        <w:tc>
          <w:tcPr>
            <w:tcW w:w="972" w:type="dxa"/>
            <w:shd w:val="clear" w:color="auto" w:fill="auto"/>
            <w:vAlign w:val="bottom"/>
          </w:tcPr>
          <w:p w14:paraId="62B46C8E"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310</w:t>
            </w:r>
          </w:p>
        </w:tc>
        <w:tc>
          <w:tcPr>
            <w:tcW w:w="1134" w:type="dxa"/>
            <w:shd w:val="clear" w:color="auto" w:fill="auto"/>
            <w:vAlign w:val="bottom"/>
          </w:tcPr>
          <w:p w14:paraId="3EB57CD2"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18</w:t>
            </w:r>
          </w:p>
        </w:tc>
        <w:tc>
          <w:tcPr>
            <w:tcW w:w="992" w:type="dxa"/>
            <w:shd w:val="clear" w:color="auto" w:fill="auto"/>
            <w:vAlign w:val="bottom"/>
          </w:tcPr>
          <w:p w14:paraId="53825A15"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w:t>
            </w:r>
          </w:p>
        </w:tc>
        <w:tc>
          <w:tcPr>
            <w:tcW w:w="992" w:type="dxa"/>
            <w:shd w:val="clear" w:color="auto" w:fill="auto"/>
            <w:vAlign w:val="bottom"/>
          </w:tcPr>
          <w:p w14:paraId="4AC6B0A5"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100</w:t>
            </w:r>
          </w:p>
        </w:tc>
        <w:tc>
          <w:tcPr>
            <w:tcW w:w="1134" w:type="dxa"/>
            <w:shd w:val="clear" w:color="auto" w:fill="auto"/>
            <w:vAlign w:val="bottom"/>
          </w:tcPr>
          <w:p w14:paraId="43737BB0"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117</w:t>
            </w:r>
          </w:p>
        </w:tc>
        <w:tc>
          <w:tcPr>
            <w:tcW w:w="1133" w:type="dxa"/>
            <w:shd w:val="clear" w:color="auto" w:fill="auto"/>
            <w:vAlign w:val="bottom"/>
          </w:tcPr>
          <w:p w14:paraId="405CEF4C"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67</w:t>
            </w:r>
          </w:p>
        </w:tc>
      </w:tr>
      <w:tr w:rsidR="00062B95" w:rsidRPr="00062B95" w14:paraId="2118BF4E" w14:textId="77777777" w:rsidTr="0085022A">
        <w:trPr>
          <w:trHeight w:val="240"/>
        </w:trPr>
        <w:tc>
          <w:tcPr>
            <w:tcW w:w="1013" w:type="dxa"/>
            <w:shd w:val="clear" w:color="auto" w:fill="auto"/>
          </w:tcPr>
          <w:p w14:paraId="0009389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2017</w:t>
            </w:r>
          </w:p>
        </w:tc>
        <w:tc>
          <w:tcPr>
            <w:tcW w:w="972" w:type="dxa"/>
            <w:shd w:val="clear" w:color="auto" w:fill="auto"/>
            <w:vAlign w:val="bottom"/>
          </w:tcPr>
          <w:p w14:paraId="7CCD8120"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377</w:t>
            </w:r>
          </w:p>
        </w:tc>
        <w:tc>
          <w:tcPr>
            <w:tcW w:w="1134" w:type="dxa"/>
            <w:shd w:val="clear" w:color="auto" w:fill="auto"/>
            <w:vAlign w:val="bottom"/>
          </w:tcPr>
          <w:p w14:paraId="72DF9B44"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9</w:t>
            </w:r>
          </w:p>
        </w:tc>
        <w:tc>
          <w:tcPr>
            <w:tcW w:w="992" w:type="dxa"/>
            <w:shd w:val="clear" w:color="auto" w:fill="auto"/>
            <w:vAlign w:val="bottom"/>
          </w:tcPr>
          <w:p w14:paraId="075463E3"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w:t>
            </w:r>
          </w:p>
        </w:tc>
        <w:tc>
          <w:tcPr>
            <w:tcW w:w="992" w:type="dxa"/>
            <w:shd w:val="clear" w:color="auto" w:fill="auto"/>
            <w:vAlign w:val="bottom"/>
          </w:tcPr>
          <w:p w14:paraId="4B88A965"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109</w:t>
            </w:r>
          </w:p>
        </w:tc>
        <w:tc>
          <w:tcPr>
            <w:tcW w:w="1134" w:type="dxa"/>
            <w:shd w:val="clear" w:color="auto" w:fill="auto"/>
            <w:vAlign w:val="bottom"/>
          </w:tcPr>
          <w:p w14:paraId="54D76ECB"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118</w:t>
            </w:r>
          </w:p>
        </w:tc>
        <w:tc>
          <w:tcPr>
            <w:tcW w:w="1133" w:type="dxa"/>
            <w:shd w:val="clear" w:color="auto" w:fill="auto"/>
            <w:vAlign w:val="bottom"/>
          </w:tcPr>
          <w:p w14:paraId="67C2392F"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131</w:t>
            </w:r>
          </w:p>
        </w:tc>
      </w:tr>
      <w:tr w:rsidR="00062B95" w:rsidRPr="00062B95" w14:paraId="5C678E1C" w14:textId="77777777" w:rsidTr="0085022A">
        <w:trPr>
          <w:trHeight w:val="240"/>
        </w:trPr>
        <w:tc>
          <w:tcPr>
            <w:tcW w:w="1013" w:type="dxa"/>
            <w:shd w:val="clear" w:color="auto" w:fill="auto"/>
          </w:tcPr>
          <w:p w14:paraId="4D6FD72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2018</w:t>
            </w:r>
          </w:p>
        </w:tc>
        <w:tc>
          <w:tcPr>
            <w:tcW w:w="972" w:type="dxa"/>
            <w:shd w:val="clear" w:color="auto" w:fill="auto"/>
            <w:vAlign w:val="bottom"/>
          </w:tcPr>
          <w:p w14:paraId="569D8F0A"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236</w:t>
            </w:r>
          </w:p>
        </w:tc>
        <w:tc>
          <w:tcPr>
            <w:tcW w:w="1134" w:type="dxa"/>
            <w:shd w:val="clear" w:color="auto" w:fill="auto"/>
            <w:vAlign w:val="bottom"/>
          </w:tcPr>
          <w:p w14:paraId="75856259"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w:t>
            </w:r>
          </w:p>
        </w:tc>
        <w:tc>
          <w:tcPr>
            <w:tcW w:w="992" w:type="dxa"/>
            <w:shd w:val="clear" w:color="auto" w:fill="auto"/>
            <w:vAlign w:val="bottom"/>
          </w:tcPr>
          <w:p w14:paraId="191AE9DE"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w:t>
            </w:r>
          </w:p>
        </w:tc>
        <w:tc>
          <w:tcPr>
            <w:tcW w:w="992" w:type="dxa"/>
            <w:shd w:val="clear" w:color="auto" w:fill="auto"/>
            <w:vAlign w:val="bottom"/>
          </w:tcPr>
          <w:p w14:paraId="388AB51A"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47</w:t>
            </w:r>
          </w:p>
        </w:tc>
        <w:tc>
          <w:tcPr>
            <w:tcW w:w="1134" w:type="dxa"/>
            <w:shd w:val="clear" w:color="auto" w:fill="auto"/>
            <w:vAlign w:val="bottom"/>
          </w:tcPr>
          <w:p w14:paraId="3C527CEA"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60</w:t>
            </w:r>
          </w:p>
        </w:tc>
        <w:tc>
          <w:tcPr>
            <w:tcW w:w="1133" w:type="dxa"/>
            <w:shd w:val="clear" w:color="auto" w:fill="auto"/>
            <w:vAlign w:val="bottom"/>
          </w:tcPr>
          <w:p w14:paraId="438EE803"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124</w:t>
            </w:r>
          </w:p>
        </w:tc>
      </w:tr>
      <w:tr w:rsidR="00062B95" w:rsidRPr="00062B95" w14:paraId="673165DE" w14:textId="77777777" w:rsidTr="0085022A">
        <w:trPr>
          <w:trHeight w:val="240"/>
        </w:trPr>
        <w:tc>
          <w:tcPr>
            <w:tcW w:w="1013" w:type="dxa"/>
            <w:tcBorders>
              <w:bottom w:val="single" w:sz="12" w:space="0" w:color="auto"/>
            </w:tcBorders>
            <w:shd w:val="clear" w:color="auto" w:fill="auto"/>
          </w:tcPr>
          <w:p w14:paraId="0BC3ABE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2019</w:t>
            </w:r>
          </w:p>
        </w:tc>
        <w:tc>
          <w:tcPr>
            <w:tcW w:w="972" w:type="dxa"/>
            <w:tcBorders>
              <w:bottom w:val="single" w:sz="12" w:space="0" w:color="auto"/>
            </w:tcBorders>
            <w:shd w:val="clear" w:color="auto" w:fill="auto"/>
            <w:vAlign w:val="bottom"/>
          </w:tcPr>
          <w:p w14:paraId="6CA68DB0"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276</w:t>
            </w:r>
          </w:p>
        </w:tc>
        <w:tc>
          <w:tcPr>
            <w:tcW w:w="1134" w:type="dxa"/>
            <w:tcBorders>
              <w:bottom w:val="single" w:sz="12" w:space="0" w:color="auto"/>
            </w:tcBorders>
            <w:shd w:val="clear" w:color="auto" w:fill="auto"/>
            <w:vAlign w:val="bottom"/>
          </w:tcPr>
          <w:p w14:paraId="4C9691CC"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6</w:t>
            </w:r>
          </w:p>
        </w:tc>
        <w:tc>
          <w:tcPr>
            <w:tcW w:w="992" w:type="dxa"/>
            <w:tcBorders>
              <w:bottom w:val="single" w:sz="12" w:space="0" w:color="auto"/>
            </w:tcBorders>
            <w:shd w:val="clear" w:color="auto" w:fill="auto"/>
            <w:vAlign w:val="bottom"/>
          </w:tcPr>
          <w:p w14:paraId="47641880"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8</w:t>
            </w:r>
          </w:p>
        </w:tc>
        <w:tc>
          <w:tcPr>
            <w:tcW w:w="992" w:type="dxa"/>
            <w:tcBorders>
              <w:bottom w:val="single" w:sz="12" w:space="0" w:color="auto"/>
            </w:tcBorders>
            <w:shd w:val="clear" w:color="auto" w:fill="auto"/>
            <w:vAlign w:val="bottom"/>
          </w:tcPr>
          <w:p w14:paraId="660CB4B9"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38</w:t>
            </w:r>
          </w:p>
        </w:tc>
        <w:tc>
          <w:tcPr>
            <w:tcW w:w="1134" w:type="dxa"/>
            <w:tcBorders>
              <w:bottom w:val="single" w:sz="12" w:space="0" w:color="auto"/>
            </w:tcBorders>
            <w:shd w:val="clear" w:color="auto" w:fill="auto"/>
            <w:vAlign w:val="bottom"/>
          </w:tcPr>
          <w:p w14:paraId="107E0F53"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124</w:t>
            </w:r>
          </w:p>
        </w:tc>
        <w:tc>
          <w:tcPr>
            <w:tcW w:w="1133" w:type="dxa"/>
            <w:tcBorders>
              <w:bottom w:val="single" w:sz="12" w:space="0" w:color="auto"/>
            </w:tcBorders>
            <w:shd w:val="clear" w:color="auto" w:fill="auto"/>
            <w:vAlign w:val="bottom"/>
          </w:tcPr>
          <w:p w14:paraId="4F1EAF21" w14:textId="77777777" w:rsidR="00062B95" w:rsidRPr="00062B95" w:rsidRDefault="00062B95" w:rsidP="0085022A">
            <w:pPr>
              <w:pStyle w:val="SingleTxtG"/>
              <w:tabs>
                <w:tab w:val="clear" w:pos="1701"/>
                <w:tab w:val="clear" w:pos="2268"/>
                <w:tab w:val="clear" w:pos="2835"/>
              </w:tabs>
              <w:spacing w:before="40" w:after="40" w:line="220" w:lineRule="exact"/>
              <w:ind w:left="28" w:right="28"/>
              <w:jc w:val="right"/>
              <w:rPr>
                <w:sz w:val="18"/>
                <w:lang w:val="es-ES_tradnl"/>
              </w:rPr>
            </w:pPr>
            <w:r w:rsidRPr="00062B95">
              <w:rPr>
                <w:sz w:val="18"/>
                <w:lang w:val="es-ES_tradnl"/>
              </w:rPr>
              <w:t>100</w:t>
            </w:r>
          </w:p>
        </w:tc>
      </w:tr>
    </w:tbl>
    <w:p w14:paraId="6D1DF087" w14:textId="15F326AB" w:rsidR="00062B95" w:rsidRPr="00062B95" w:rsidRDefault="00062B95" w:rsidP="0085022A">
      <w:pPr>
        <w:pStyle w:val="H23G"/>
        <w:rPr>
          <w:lang w:val="es-ES_tradnl"/>
        </w:rPr>
      </w:pPr>
      <w:r w:rsidRPr="0085022A">
        <w:rPr>
          <w:b w:val="0"/>
          <w:lang w:val="es-ES_tradnl"/>
        </w:rPr>
        <w:tab/>
      </w:r>
      <w:r w:rsidRPr="0085022A">
        <w:rPr>
          <w:b w:val="0"/>
          <w:lang w:val="es-ES_tradnl"/>
        </w:rPr>
        <w:tab/>
        <w:t>Cuadro 10</w:t>
      </w:r>
      <w:r w:rsidRPr="0085022A">
        <w:rPr>
          <w:b w:val="0"/>
          <w:lang w:val="es-ES_tradnl"/>
        </w:rPr>
        <w:br/>
      </w:r>
      <w:r w:rsidRPr="00062B95">
        <w:rPr>
          <w:lang w:val="es-ES_tradnl"/>
        </w:rPr>
        <w:t>Datos sobre el número de reclusos en prisión preventiva y de reclusos condenados,</w:t>
      </w:r>
      <w:r w:rsidR="002D5D99">
        <w:rPr>
          <w:lang w:val="es-ES_tradnl"/>
        </w:rPr>
        <w:t> </w:t>
      </w:r>
      <w:r w:rsidRPr="00062B95">
        <w:rPr>
          <w:lang w:val="es-ES_tradnl"/>
        </w:rPr>
        <w:t xml:space="preserve">desglosado por género, en todos los centros penitenciarios </w:t>
      </w:r>
      <w:r w:rsidRPr="00062B95">
        <w:rPr>
          <w:cs/>
          <w:lang w:bidi="th-TH"/>
        </w:rPr>
        <w:t>(</w:t>
      </w:r>
      <w:r w:rsidRPr="00062B95">
        <w:rPr>
          <w:lang w:val="es-ES_tradnl"/>
        </w:rPr>
        <w:t>a</w:t>
      </w:r>
      <w:r w:rsidR="002D5D99">
        <w:rPr>
          <w:lang w:val="es-ES_tradnl"/>
        </w:rPr>
        <w:t> </w:t>
      </w:r>
      <w:r w:rsidRPr="00062B95">
        <w:rPr>
          <w:lang w:val="es-ES_tradnl"/>
        </w:rPr>
        <w:t>fecha</w:t>
      </w:r>
      <w:r w:rsidR="002D5D99">
        <w:rPr>
          <w:lang w:val="es-ES_tradnl"/>
        </w:rPr>
        <w:t> </w:t>
      </w:r>
      <w:r w:rsidRPr="00062B95">
        <w:rPr>
          <w:lang w:val="es-ES_tradnl"/>
        </w:rPr>
        <w:t>de</w:t>
      </w:r>
      <w:r w:rsidR="002D5D99">
        <w:rPr>
          <w:lang w:val="es-ES_tradnl"/>
        </w:rPr>
        <w:t> </w:t>
      </w:r>
      <w:r w:rsidRPr="00062B95">
        <w:rPr>
          <w:lang w:val="es-ES_tradnl"/>
        </w:rPr>
        <w:t>20</w:t>
      </w:r>
      <w:r w:rsidR="002D5D99">
        <w:rPr>
          <w:lang w:val="es-ES_tradnl"/>
        </w:rPr>
        <w:t> </w:t>
      </w:r>
      <w:r w:rsidRPr="00062B95">
        <w:rPr>
          <w:lang w:val="es-ES_tradnl"/>
        </w:rPr>
        <w:t>de mayo de 2020</w:t>
      </w:r>
      <w:r w:rsidRPr="00062B95">
        <w:rPr>
          <w:cs/>
          <w:lang w:bidi="th-TH"/>
        </w:rPr>
        <w:t>)</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690"/>
        <w:gridCol w:w="850"/>
        <w:gridCol w:w="775"/>
        <w:gridCol w:w="850"/>
        <w:gridCol w:w="1205"/>
      </w:tblGrid>
      <w:tr w:rsidR="00062B95" w:rsidRPr="00062B95" w14:paraId="01A2B6F1" w14:textId="77777777" w:rsidTr="0085022A">
        <w:trPr>
          <w:trHeight w:val="240"/>
          <w:tblHeader/>
        </w:trPr>
        <w:tc>
          <w:tcPr>
            <w:tcW w:w="3690" w:type="dxa"/>
            <w:tcBorders>
              <w:top w:val="single" w:sz="4" w:space="0" w:color="auto"/>
              <w:bottom w:val="single" w:sz="12" w:space="0" w:color="auto"/>
            </w:tcBorders>
            <w:shd w:val="clear" w:color="auto" w:fill="auto"/>
            <w:vAlign w:val="bottom"/>
          </w:tcPr>
          <w:p w14:paraId="30A1670D" w14:textId="77777777" w:rsidR="00062B95" w:rsidRPr="00062B95" w:rsidRDefault="00062B95" w:rsidP="00062B95">
            <w:pPr>
              <w:pStyle w:val="SingleTxtG"/>
              <w:tabs>
                <w:tab w:val="clear" w:pos="1701"/>
                <w:tab w:val="clear" w:pos="2268"/>
                <w:tab w:val="clear" w:pos="2835"/>
              </w:tabs>
              <w:spacing w:before="80" w:after="80" w:line="200" w:lineRule="exact"/>
              <w:ind w:left="0" w:right="0"/>
              <w:jc w:val="left"/>
              <w:rPr>
                <w:i/>
                <w:sz w:val="16"/>
                <w:lang w:val="es-ES_tradnl"/>
              </w:rPr>
            </w:pPr>
            <w:r w:rsidRPr="00062B95">
              <w:rPr>
                <w:i/>
                <w:sz w:val="16"/>
                <w:lang w:val="es-ES_tradnl"/>
              </w:rPr>
              <w:t>Categorías</w:t>
            </w:r>
          </w:p>
        </w:tc>
        <w:tc>
          <w:tcPr>
            <w:tcW w:w="850" w:type="dxa"/>
            <w:tcBorders>
              <w:top w:val="single" w:sz="4" w:space="0" w:color="auto"/>
              <w:bottom w:val="single" w:sz="12" w:space="0" w:color="auto"/>
            </w:tcBorders>
            <w:shd w:val="clear" w:color="auto" w:fill="auto"/>
            <w:vAlign w:val="bottom"/>
          </w:tcPr>
          <w:p w14:paraId="3AFB28E0" w14:textId="77777777" w:rsidR="00062B95" w:rsidRPr="00062B95" w:rsidRDefault="00062B95" w:rsidP="0085022A">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 xml:space="preserve">Hombre </w:t>
            </w:r>
          </w:p>
        </w:tc>
        <w:tc>
          <w:tcPr>
            <w:tcW w:w="775" w:type="dxa"/>
            <w:tcBorders>
              <w:top w:val="single" w:sz="4" w:space="0" w:color="auto"/>
              <w:bottom w:val="single" w:sz="12" w:space="0" w:color="auto"/>
            </w:tcBorders>
            <w:shd w:val="clear" w:color="auto" w:fill="auto"/>
            <w:vAlign w:val="bottom"/>
          </w:tcPr>
          <w:p w14:paraId="505BFA55" w14:textId="77777777" w:rsidR="00062B95" w:rsidRPr="00062B95" w:rsidRDefault="00062B95" w:rsidP="0085022A">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Mujer</w:t>
            </w:r>
          </w:p>
        </w:tc>
        <w:tc>
          <w:tcPr>
            <w:tcW w:w="850" w:type="dxa"/>
            <w:tcBorders>
              <w:top w:val="single" w:sz="4" w:space="0" w:color="auto"/>
              <w:bottom w:val="single" w:sz="12" w:space="0" w:color="auto"/>
            </w:tcBorders>
            <w:shd w:val="clear" w:color="auto" w:fill="auto"/>
            <w:vAlign w:val="bottom"/>
          </w:tcPr>
          <w:p w14:paraId="739F6A5D" w14:textId="77777777" w:rsidR="00062B95" w:rsidRPr="00062B95" w:rsidRDefault="00062B95" w:rsidP="0085022A">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Total</w:t>
            </w:r>
          </w:p>
        </w:tc>
        <w:tc>
          <w:tcPr>
            <w:tcW w:w="1205" w:type="dxa"/>
            <w:tcBorders>
              <w:top w:val="single" w:sz="4" w:space="0" w:color="auto"/>
              <w:bottom w:val="single" w:sz="12" w:space="0" w:color="auto"/>
            </w:tcBorders>
            <w:shd w:val="clear" w:color="auto" w:fill="auto"/>
            <w:vAlign w:val="bottom"/>
          </w:tcPr>
          <w:p w14:paraId="45C069AC" w14:textId="0D8D321B" w:rsidR="00062B95" w:rsidRPr="00062B95" w:rsidRDefault="00062B95" w:rsidP="0085022A">
            <w:pPr>
              <w:pStyle w:val="SingleTxtG"/>
              <w:tabs>
                <w:tab w:val="clear" w:pos="1701"/>
                <w:tab w:val="clear" w:pos="2268"/>
                <w:tab w:val="clear" w:pos="2835"/>
              </w:tabs>
              <w:spacing w:before="80" w:after="80" w:line="200" w:lineRule="exact"/>
              <w:ind w:left="28" w:right="28"/>
              <w:jc w:val="right"/>
              <w:rPr>
                <w:i/>
                <w:sz w:val="16"/>
                <w:lang w:val="es-ES_tradnl"/>
              </w:rPr>
            </w:pPr>
            <w:r w:rsidRPr="00062B95">
              <w:rPr>
                <w:i/>
                <w:sz w:val="16"/>
                <w:lang w:val="es-ES_tradnl"/>
              </w:rPr>
              <w:t>Porcentaje</w:t>
            </w:r>
          </w:p>
        </w:tc>
      </w:tr>
      <w:tr w:rsidR="00062B95" w:rsidRPr="00062B95" w14:paraId="547CF89C" w14:textId="77777777" w:rsidTr="0085022A">
        <w:trPr>
          <w:trHeight w:val="240"/>
        </w:trPr>
        <w:tc>
          <w:tcPr>
            <w:tcW w:w="3690" w:type="dxa"/>
            <w:tcBorders>
              <w:top w:val="single" w:sz="12" w:space="0" w:color="auto"/>
            </w:tcBorders>
            <w:shd w:val="clear" w:color="auto" w:fill="auto"/>
          </w:tcPr>
          <w:p w14:paraId="5A50EBA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 Reclusos condenados</w:t>
            </w:r>
          </w:p>
        </w:tc>
        <w:tc>
          <w:tcPr>
            <w:tcW w:w="850" w:type="dxa"/>
            <w:tcBorders>
              <w:top w:val="single" w:sz="12" w:space="0" w:color="auto"/>
            </w:tcBorders>
            <w:shd w:val="clear" w:color="auto" w:fill="auto"/>
            <w:vAlign w:val="bottom"/>
          </w:tcPr>
          <w:p w14:paraId="6D6D570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cs/>
                <w:lang w:val="es-ES_tradnl"/>
              </w:rPr>
            </w:pPr>
            <w:r w:rsidRPr="0085022A">
              <w:rPr>
                <w:sz w:val="18"/>
                <w:szCs w:val="18"/>
                <w:cs/>
                <w:lang w:val="es-ES_tradnl"/>
              </w:rPr>
              <w:t>271 384</w:t>
            </w:r>
          </w:p>
        </w:tc>
        <w:tc>
          <w:tcPr>
            <w:tcW w:w="775" w:type="dxa"/>
            <w:tcBorders>
              <w:top w:val="single" w:sz="12" w:space="0" w:color="auto"/>
            </w:tcBorders>
            <w:shd w:val="clear" w:color="auto" w:fill="auto"/>
            <w:vAlign w:val="bottom"/>
          </w:tcPr>
          <w:p w14:paraId="16B0D2C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cs/>
                <w:lang w:val="es-ES_tradnl"/>
              </w:rPr>
            </w:pPr>
            <w:r w:rsidRPr="0085022A">
              <w:rPr>
                <w:sz w:val="18"/>
                <w:szCs w:val="18"/>
                <w:cs/>
                <w:lang w:val="es-ES_tradnl"/>
              </w:rPr>
              <w:t>40 141</w:t>
            </w:r>
          </w:p>
        </w:tc>
        <w:tc>
          <w:tcPr>
            <w:tcW w:w="850" w:type="dxa"/>
            <w:tcBorders>
              <w:top w:val="single" w:sz="12" w:space="0" w:color="auto"/>
            </w:tcBorders>
            <w:shd w:val="clear" w:color="auto" w:fill="auto"/>
            <w:vAlign w:val="bottom"/>
          </w:tcPr>
          <w:p w14:paraId="189211E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cs/>
                <w:lang w:val="es-ES_tradnl"/>
              </w:rPr>
            </w:pPr>
            <w:r w:rsidRPr="0085022A">
              <w:rPr>
                <w:sz w:val="18"/>
                <w:szCs w:val="18"/>
                <w:cs/>
                <w:lang w:val="es-ES_tradnl"/>
              </w:rPr>
              <w:t>311 525</w:t>
            </w:r>
          </w:p>
        </w:tc>
        <w:tc>
          <w:tcPr>
            <w:tcW w:w="1205" w:type="dxa"/>
            <w:tcBorders>
              <w:top w:val="single" w:sz="12" w:space="0" w:color="auto"/>
            </w:tcBorders>
            <w:shd w:val="clear" w:color="auto" w:fill="auto"/>
            <w:vAlign w:val="bottom"/>
          </w:tcPr>
          <w:p w14:paraId="36C591F3" w14:textId="2A2FFAE2"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82</w:t>
            </w:r>
            <w:r w:rsidR="0085022A">
              <w:rPr>
                <w:sz w:val="18"/>
                <w:szCs w:val="18"/>
                <w:lang w:val="es-ES_tradnl"/>
              </w:rPr>
              <w:t>,</w:t>
            </w:r>
            <w:r w:rsidRPr="0085022A">
              <w:rPr>
                <w:sz w:val="18"/>
                <w:szCs w:val="18"/>
                <w:lang w:val="es-ES_tradnl"/>
              </w:rPr>
              <w:t>2916</w:t>
            </w:r>
          </w:p>
        </w:tc>
      </w:tr>
      <w:tr w:rsidR="00062B95" w:rsidRPr="00062B95" w14:paraId="30A003C6" w14:textId="77777777" w:rsidTr="0085022A">
        <w:trPr>
          <w:trHeight w:val="240"/>
        </w:trPr>
        <w:tc>
          <w:tcPr>
            <w:tcW w:w="3690" w:type="dxa"/>
            <w:shd w:val="clear" w:color="auto" w:fill="auto"/>
          </w:tcPr>
          <w:p w14:paraId="595A50A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 Reclusos en prisión preventiva</w:t>
            </w:r>
          </w:p>
        </w:tc>
        <w:tc>
          <w:tcPr>
            <w:tcW w:w="850" w:type="dxa"/>
            <w:shd w:val="clear" w:color="auto" w:fill="auto"/>
            <w:vAlign w:val="bottom"/>
          </w:tcPr>
          <w:p w14:paraId="78D4607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55 822</w:t>
            </w:r>
          </w:p>
        </w:tc>
        <w:tc>
          <w:tcPr>
            <w:tcW w:w="775" w:type="dxa"/>
            <w:shd w:val="clear" w:color="auto" w:fill="auto"/>
            <w:vAlign w:val="bottom"/>
          </w:tcPr>
          <w:p w14:paraId="0686B57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rPr>
              <w:t xml:space="preserve">7 </w:t>
            </w:r>
            <w:r w:rsidRPr="0085022A">
              <w:rPr>
                <w:sz w:val="18"/>
                <w:szCs w:val="18"/>
                <w:lang w:val="es-ES_tradnl"/>
              </w:rPr>
              <w:t>550</w:t>
            </w:r>
          </w:p>
        </w:tc>
        <w:tc>
          <w:tcPr>
            <w:tcW w:w="850" w:type="dxa"/>
            <w:shd w:val="clear" w:color="auto" w:fill="auto"/>
            <w:vAlign w:val="bottom"/>
          </w:tcPr>
          <w:p w14:paraId="78EC5B1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cs/>
                <w:lang w:val="es-ES_tradnl"/>
              </w:rPr>
            </w:pPr>
            <w:r w:rsidRPr="0085022A">
              <w:rPr>
                <w:sz w:val="18"/>
                <w:szCs w:val="18"/>
                <w:cs/>
                <w:lang w:val="es-ES_tradnl"/>
              </w:rPr>
              <w:t>63 372</w:t>
            </w:r>
          </w:p>
        </w:tc>
        <w:tc>
          <w:tcPr>
            <w:tcW w:w="1205" w:type="dxa"/>
            <w:shd w:val="clear" w:color="auto" w:fill="auto"/>
            <w:vAlign w:val="bottom"/>
          </w:tcPr>
          <w:p w14:paraId="1E6F586D" w14:textId="78D073E8"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16</w:t>
            </w:r>
            <w:r w:rsidR="0085022A">
              <w:rPr>
                <w:sz w:val="18"/>
                <w:szCs w:val="18"/>
                <w:lang w:val="es-ES_tradnl"/>
              </w:rPr>
              <w:t>,</w:t>
            </w:r>
            <w:r w:rsidRPr="0085022A">
              <w:rPr>
                <w:sz w:val="18"/>
                <w:szCs w:val="18"/>
                <w:lang w:val="es-ES_tradnl"/>
              </w:rPr>
              <w:t>7401</w:t>
            </w:r>
          </w:p>
        </w:tc>
      </w:tr>
      <w:tr w:rsidR="00062B95" w:rsidRPr="00062B95" w14:paraId="6E1C98A9" w14:textId="77777777" w:rsidTr="0085022A">
        <w:trPr>
          <w:trHeight w:val="240"/>
        </w:trPr>
        <w:tc>
          <w:tcPr>
            <w:tcW w:w="3690" w:type="dxa"/>
            <w:shd w:val="clear" w:color="auto" w:fill="auto"/>
          </w:tcPr>
          <w:p w14:paraId="05BD82E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2.1 Interposición de recurso – en la fase final</w:t>
            </w:r>
          </w:p>
        </w:tc>
        <w:tc>
          <w:tcPr>
            <w:tcW w:w="850" w:type="dxa"/>
            <w:shd w:val="clear" w:color="auto" w:fill="auto"/>
            <w:vAlign w:val="bottom"/>
          </w:tcPr>
          <w:p w14:paraId="52544FD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27 446</w:t>
            </w:r>
          </w:p>
        </w:tc>
        <w:tc>
          <w:tcPr>
            <w:tcW w:w="775" w:type="dxa"/>
            <w:shd w:val="clear" w:color="auto" w:fill="auto"/>
            <w:vAlign w:val="bottom"/>
          </w:tcPr>
          <w:p w14:paraId="0788604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3 570</w:t>
            </w:r>
          </w:p>
        </w:tc>
        <w:tc>
          <w:tcPr>
            <w:tcW w:w="850" w:type="dxa"/>
            <w:shd w:val="clear" w:color="auto" w:fill="auto"/>
            <w:vAlign w:val="bottom"/>
          </w:tcPr>
          <w:p w14:paraId="15E21D7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31 016</w:t>
            </w:r>
          </w:p>
        </w:tc>
        <w:tc>
          <w:tcPr>
            <w:tcW w:w="1205" w:type="dxa"/>
            <w:shd w:val="clear" w:color="auto" w:fill="auto"/>
            <w:vAlign w:val="bottom"/>
          </w:tcPr>
          <w:p w14:paraId="1E92503B" w14:textId="1C2673A2"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r w:rsidR="0085022A">
              <w:rPr>
                <w:sz w:val="18"/>
                <w:szCs w:val="18"/>
                <w:lang w:val="es-ES_tradnl"/>
              </w:rPr>
              <w:t>,</w:t>
            </w:r>
            <w:r w:rsidRPr="0085022A">
              <w:rPr>
                <w:sz w:val="18"/>
                <w:szCs w:val="18"/>
                <w:cs/>
                <w:lang w:val="es-ES_tradnl"/>
              </w:rPr>
              <w:t>1930</w:t>
            </w:r>
          </w:p>
        </w:tc>
      </w:tr>
      <w:tr w:rsidR="00062B95" w:rsidRPr="00062B95" w14:paraId="6519F45D" w14:textId="77777777" w:rsidTr="0085022A">
        <w:trPr>
          <w:trHeight w:val="240"/>
        </w:trPr>
        <w:tc>
          <w:tcPr>
            <w:tcW w:w="3690" w:type="dxa"/>
            <w:shd w:val="clear" w:color="auto" w:fill="auto"/>
          </w:tcPr>
          <w:p w14:paraId="5A19723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2.2 Instrucción – en espera de juicio</w:t>
            </w:r>
          </w:p>
        </w:tc>
        <w:tc>
          <w:tcPr>
            <w:tcW w:w="850" w:type="dxa"/>
            <w:shd w:val="clear" w:color="auto" w:fill="auto"/>
            <w:vAlign w:val="bottom"/>
          </w:tcPr>
          <w:p w14:paraId="1D3ECA1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7 958</w:t>
            </w:r>
          </w:p>
        </w:tc>
        <w:tc>
          <w:tcPr>
            <w:tcW w:w="775" w:type="dxa"/>
            <w:shd w:val="clear" w:color="auto" w:fill="auto"/>
            <w:vAlign w:val="bottom"/>
          </w:tcPr>
          <w:p w14:paraId="0CDBE41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1 531</w:t>
            </w:r>
          </w:p>
        </w:tc>
        <w:tc>
          <w:tcPr>
            <w:tcW w:w="850" w:type="dxa"/>
            <w:shd w:val="clear" w:color="auto" w:fill="auto"/>
            <w:vAlign w:val="bottom"/>
          </w:tcPr>
          <w:p w14:paraId="6AC948D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9 489</w:t>
            </w:r>
          </w:p>
        </w:tc>
        <w:tc>
          <w:tcPr>
            <w:tcW w:w="1205" w:type="dxa"/>
            <w:shd w:val="clear" w:color="auto" w:fill="auto"/>
            <w:vAlign w:val="bottom"/>
          </w:tcPr>
          <w:p w14:paraId="46FCA385" w14:textId="3F737CE9"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cs/>
                <w:lang w:val="es-ES_tradnl"/>
              </w:rPr>
            </w:pPr>
            <w:r w:rsidRPr="0085022A">
              <w:rPr>
                <w:sz w:val="18"/>
                <w:szCs w:val="18"/>
                <w:cs/>
                <w:lang w:val="es-ES_tradnl"/>
              </w:rPr>
              <w:t>2</w:t>
            </w:r>
            <w:r w:rsidR="0085022A">
              <w:rPr>
                <w:rFonts w:hint="cs"/>
                <w:sz w:val="18"/>
                <w:szCs w:val="18"/>
                <w:cs/>
                <w:lang w:val="es-ES_tradnl"/>
              </w:rPr>
              <w:t>,</w:t>
            </w:r>
            <w:r w:rsidRPr="0085022A">
              <w:rPr>
                <w:sz w:val="18"/>
                <w:szCs w:val="18"/>
                <w:cs/>
                <w:lang w:val="es-ES_tradnl"/>
              </w:rPr>
              <w:t>5066</w:t>
            </w:r>
          </w:p>
        </w:tc>
      </w:tr>
      <w:tr w:rsidR="00062B95" w:rsidRPr="00062B95" w14:paraId="5ECC3CC7" w14:textId="77777777" w:rsidTr="0085022A">
        <w:trPr>
          <w:trHeight w:val="240"/>
        </w:trPr>
        <w:tc>
          <w:tcPr>
            <w:tcW w:w="3690" w:type="dxa"/>
            <w:shd w:val="clear" w:color="auto" w:fill="auto"/>
          </w:tcPr>
          <w:p w14:paraId="2FC085D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2.3 Investigación</w:t>
            </w:r>
          </w:p>
        </w:tc>
        <w:tc>
          <w:tcPr>
            <w:tcW w:w="850" w:type="dxa"/>
            <w:shd w:val="clear" w:color="auto" w:fill="auto"/>
            <w:vAlign w:val="bottom"/>
          </w:tcPr>
          <w:p w14:paraId="07DADB0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20 415</w:t>
            </w:r>
          </w:p>
        </w:tc>
        <w:tc>
          <w:tcPr>
            <w:tcW w:w="775" w:type="dxa"/>
            <w:shd w:val="clear" w:color="auto" w:fill="auto"/>
            <w:vAlign w:val="bottom"/>
          </w:tcPr>
          <w:p w14:paraId="72115A2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2 449</w:t>
            </w:r>
          </w:p>
        </w:tc>
        <w:tc>
          <w:tcPr>
            <w:tcW w:w="850" w:type="dxa"/>
            <w:shd w:val="clear" w:color="auto" w:fill="auto"/>
            <w:vAlign w:val="bottom"/>
          </w:tcPr>
          <w:p w14:paraId="1EBD913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22 864</w:t>
            </w:r>
          </w:p>
        </w:tc>
        <w:tc>
          <w:tcPr>
            <w:tcW w:w="1205" w:type="dxa"/>
            <w:shd w:val="clear" w:color="auto" w:fill="auto"/>
            <w:vAlign w:val="bottom"/>
          </w:tcPr>
          <w:p w14:paraId="6978EA95" w14:textId="2B70AF38"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rPr>
              <w:t>6</w:t>
            </w:r>
            <w:r w:rsidR="0085022A">
              <w:rPr>
                <w:rFonts w:hint="cs"/>
                <w:sz w:val="18"/>
                <w:szCs w:val="18"/>
                <w:cs/>
                <w:lang w:val="es-ES_tradnl"/>
              </w:rPr>
              <w:t>,</w:t>
            </w:r>
            <w:r w:rsidRPr="0085022A">
              <w:rPr>
                <w:sz w:val="18"/>
                <w:szCs w:val="18"/>
                <w:cs/>
                <w:lang w:val="es-ES_tradnl"/>
              </w:rPr>
              <w:t>0397</w:t>
            </w:r>
          </w:p>
        </w:tc>
      </w:tr>
      <w:tr w:rsidR="00062B95" w:rsidRPr="00062B95" w14:paraId="177191E1" w14:textId="77777777" w:rsidTr="0085022A">
        <w:trPr>
          <w:trHeight w:val="240"/>
        </w:trPr>
        <w:tc>
          <w:tcPr>
            <w:tcW w:w="3690" w:type="dxa"/>
            <w:shd w:val="clear" w:color="auto" w:fill="auto"/>
          </w:tcPr>
          <w:p w14:paraId="5C4498A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2.4 A la espera de la orden de reclusión</w:t>
            </w:r>
          </w:p>
        </w:tc>
        <w:tc>
          <w:tcPr>
            <w:tcW w:w="850" w:type="dxa"/>
            <w:shd w:val="clear" w:color="auto" w:fill="auto"/>
            <w:vAlign w:val="bottom"/>
          </w:tcPr>
          <w:p w14:paraId="4EA109E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775" w:type="dxa"/>
            <w:shd w:val="clear" w:color="auto" w:fill="auto"/>
            <w:vAlign w:val="bottom"/>
          </w:tcPr>
          <w:p w14:paraId="13057E1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850" w:type="dxa"/>
            <w:shd w:val="clear" w:color="auto" w:fill="auto"/>
            <w:vAlign w:val="bottom"/>
          </w:tcPr>
          <w:p w14:paraId="54C41C4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205" w:type="dxa"/>
            <w:shd w:val="clear" w:color="auto" w:fill="auto"/>
            <w:vAlign w:val="bottom"/>
          </w:tcPr>
          <w:p w14:paraId="027D2E9B" w14:textId="754759C8"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rPr>
              <w:t>0</w:t>
            </w:r>
            <w:r w:rsidR="0085022A">
              <w:rPr>
                <w:rFonts w:hint="cs"/>
                <w:sz w:val="18"/>
                <w:szCs w:val="18"/>
                <w:cs/>
                <w:lang w:val="es-ES_tradnl"/>
              </w:rPr>
              <w:t>,</w:t>
            </w:r>
            <w:r w:rsidRPr="0085022A">
              <w:rPr>
                <w:sz w:val="18"/>
                <w:szCs w:val="18"/>
                <w:cs/>
                <w:lang w:val="es-ES_tradnl"/>
              </w:rPr>
              <w:t>0005</w:t>
            </w:r>
          </w:p>
        </w:tc>
      </w:tr>
      <w:tr w:rsidR="00062B95" w:rsidRPr="00062B95" w14:paraId="1C3B8872" w14:textId="77777777" w:rsidTr="0085022A">
        <w:trPr>
          <w:trHeight w:val="240"/>
        </w:trPr>
        <w:tc>
          <w:tcPr>
            <w:tcW w:w="3690" w:type="dxa"/>
            <w:shd w:val="clear" w:color="auto" w:fill="auto"/>
          </w:tcPr>
          <w:p w14:paraId="7AF6269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 Jóvenes infractores</w:t>
            </w:r>
          </w:p>
        </w:tc>
        <w:tc>
          <w:tcPr>
            <w:tcW w:w="850" w:type="dxa"/>
            <w:shd w:val="clear" w:color="auto" w:fill="auto"/>
            <w:vAlign w:val="bottom"/>
          </w:tcPr>
          <w:p w14:paraId="5033C5D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42</w:t>
            </w:r>
          </w:p>
        </w:tc>
        <w:tc>
          <w:tcPr>
            <w:tcW w:w="775" w:type="dxa"/>
            <w:shd w:val="clear" w:color="auto" w:fill="auto"/>
            <w:vAlign w:val="bottom"/>
          </w:tcPr>
          <w:p w14:paraId="6D390E6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850" w:type="dxa"/>
            <w:shd w:val="clear" w:color="auto" w:fill="auto"/>
            <w:vAlign w:val="bottom"/>
          </w:tcPr>
          <w:p w14:paraId="40EBAFE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43</w:t>
            </w:r>
          </w:p>
        </w:tc>
        <w:tc>
          <w:tcPr>
            <w:tcW w:w="1205" w:type="dxa"/>
            <w:shd w:val="clear" w:color="auto" w:fill="auto"/>
            <w:vAlign w:val="bottom"/>
          </w:tcPr>
          <w:p w14:paraId="2CC85397" w14:textId="7F5A3072"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rPr>
              <w:t>0</w:t>
            </w:r>
            <w:r w:rsidR="0085022A">
              <w:rPr>
                <w:rFonts w:hint="cs"/>
                <w:sz w:val="18"/>
                <w:szCs w:val="18"/>
                <w:cs/>
                <w:lang w:val="es-ES_tradnl"/>
              </w:rPr>
              <w:t>,</w:t>
            </w:r>
            <w:r w:rsidRPr="0085022A">
              <w:rPr>
                <w:sz w:val="18"/>
                <w:szCs w:val="18"/>
                <w:cs/>
                <w:lang w:val="es-ES_tradnl"/>
              </w:rPr>
              <w:t>0113</w:t>
            </w:r>
          </w:p>
        </w:tc>
      </w:tr>
      <w:tr w:rsidR="00062B95" w:rsidRPr="00062B95" w14:paraId="2275E878" w14:textId="77777777" w:rsidTr="0085022A">
        <w:trPr>
          <w:trHeight w:val="240"/>
        </w:trPr>
        <w:tc>
          <w:tcPr>
            <w:tcW w:w="3690" w:type="dxa"/>
            <w:shd w:val="clear" w:color="auto" w:fill="auto"/>
          </w:tcPr>
          <w:p w14:paraId="32EE46E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 Reclusos confinados</w:t>
            </w:r>
          </w:p>
        </w:tc>
        <w:tc>
          <w:tcPr>
            <w:tcW w:w="850" w:type="dxa"/>
            <w:shd w:val="clear" w:color="auto" w:fill="auto"/>
            <w:vAlign w:val="bottom"/>
          </w:tcPr>
          <w:p w14:paraId="7A23867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35</w:t>
            </w:r>
          </w:p>
        </w:tc>
        <w:tc>
          <w:tcPr>
            <w:tcW w:w="775" w:type="dxa"/>
            <w:shd w:val="clear" w:color="auto" w:fill="auto"/>
            <w:vAlign w:val="bottom"/>
          </w:tcPr>
          <w:p w14:paraId="3FEADFB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850" w:type="dxa"/>
            <w:shd w:val="clear" w:color="auto" w:fill="auto"/>
            <w:vAlign w:val="bottom"/>
          </w:tcPr>
          <w:p w14:paraId="30966BB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40</w:t>
            </w:r>
          </w:p>
        </w:tc>
        <w:tc>
          <w:tcPr>
            <w:tcW w:w="1205" w:type="dxa"/>
            <w:shd w:val="clear" w:color="auto" w:fill="auto"/>
            <w:vAlign w:val="bottom"/>
          </w:tcPr>
          <w:p w14:paraId="15B02B32" w14:textId="50922302"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rPr>
              <w:t>0</w:t>
            </w:r>
            <w:r w:rsidR="0085022A">
              <w:rPr>
                <w:rFonts w:hint="cs"/>
                <w:sz w:val="18"/>
                <w:szCs w:val="18"/>
                <w:cs/>
                <w:lang w:val="es-ES_tradnl"/>
              </w:rPr>
              <w:t>,</w:t>
            </w:r>
            <w:r w:rsidRPr="0085022A">
              <w:rPr>
                <w:sz w:val="18"/>
                <w:szCs w:val="18"/>
                <w:cs/>
                <w:lang w:val="es-ES_tradnl"/>
              </w:rPr>
              <w:t>0105</w:t>
            </w:r>
          </w:p>
        </w:tc>
      </w:tr>
      <w:tr w:rsidR="00062B95" w:rsidRPr="00062B95" w14:paraId="3BD45961" w14:textId="77777777" w:rsidTr="0085022A">
        <w:trPr>
          <w:trHeight w:val="240"/>
        </w:trPr>
        <w:tc>
          <w:tcPr>
            <w:tcW w:w="3690" w:type="dxa"/>
            <w:shd w:val="clear" w:color="auto" w:fill="auto"/>
          </w:tcPr>
          <w:p w14:paraId="20640C2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cs/>
              </w:rPr>
            </w:pPr>
            <w:r w:rsidRPr="00062B95">
              <w:rPr>
                <w:sz w:val="18"/>
                <w:lang w:val="es-ES_tradnl"/>
              </w:rPr>
              <w:t>5. Detenidos</w:t>
            </w:r>
          </w:p>
        </w:tc>
        <w:tc>
          <w:tcPr>
            <w:tcW w:w="850" w:type="dxa"/>
            <w:shd w:val="clear" w:color="auto" w:fill="auto"/>
            <w:vAlign w:val="bottom"/>
          </w:tcPr>
          <w:p w14:paraId="3931FAD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1 615</w:t>
            </w:r>
          </w:p>
        </w:tc>
        <w:tc>
          <w:tcPr>
            <w:tcW w:w="775" w:type="dxa"/>
            <w:shd w:val="clear" w:color="auto" w:fill="auto"/>
            <w:vAlign w:val="bottom"/>
          </w:tcPr>
          <w:p w14:paraId="4D720F4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171</w:t>
            </w:r>
          </w:p>
        </w:tc>
        <w:tc>
          <w:tcPr>
            <w:tcW w:w="850" w:type="dxa"/>
            <w:shd w:val="clear" w:color="auto" w:fill="auto"/>
            <w:vAlign w:val="bottom"/>
          </w:tcPr>
          <w:p w14:paraId="2BC127E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1 786</w:t>
            </w:r>
          </w:p>
        </w:tc>
        <w:tc>
          <w:tcPr>
            <w:tcW w:w="1205" w:type="dxa"/>
            <w:shd w:val="clear" w:color="auto" w:fill="auto"/>
            <w:vAlign w:val="bottom"/>
          </w:tcPr>
          <w:p w14:paraId="2C25A915" w14:textId="26EDEC2B"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rPr>
              <w:t>0</w:t>
            </w:r>
            <w:r w:rsidR="0085022A">
              <w:rPr>
                <w:rFonts w:hint="cs"/>
                <w:sz w:val="18"/>
                <w:szCs w:val="18"/>
                <w:cs/>
                <w:lang w:val="es-ES_tradnl"/>
              </w:rPr>
              <w:t>,</w:t>
            </w:r>
            <w:r w:rsidRPr="0085022A">
              <w:rPr>
                <w:sz w:val="18"/>
                <w:szCs w:val="18"/>
                <w:cs/>
                <w:lang w:val="es-ES_tradnl"/>
              </w:rPr>
              <w:t>4717</w:t>
            </w:r>
          </w:p>
        </w:tc>
      </w:tr>
      <w:tr w:rsidR="00062B95" w:rsidRPr="00062B95" w14:paraId="3F8E20FA" w14:textId="77777777" w:rsidTr="0085022A">
        <w:trPr>
          <w:trHeight w:val="240"/>
        </w:trPr>
        <w:tc>
          <w:tcPr>
            <w:tcW w:w="3690" w:type="dxa"/>
            <w:tcBorders>
              <w:bottom w:val="single" w:sz="4" w:space="0" w:color="auto"/>
            </w:tcBorders>
            <w:shd w:val="clear" w:color="auto" w:fill="auto"/>
          </w:tcPr>
          <w:p w14:paraId="5C75B46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 xml:space="preserve">6. Otras </w:t>
            </w:r>
          </w:p>
        </w:tc>
        <w:tc>
          <w:tcPr>
            <w:tcW w:w="850" w:type="dxa"/>
            <w:tcBorders>
              <w:bottom w:val="single" w:sz="4" w:space="0" w:color="auto"/>
            </w:tcBorders>
            <w:shd w:val="clear" w:color="auto" w:fill="auto"/>
            <w:vAlign w:val="bottom"/>
          </w:tcPr>
          <w:p w14:paraId="2A96CF4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1 641</w:t>
            </w:r>
          </w:p>
        </w:tc>
        <w:tc>
          <w:tcPr>
            <w:tcW w:w="775" w:type="dxa"/>
            <w:tcBorders>
              <w:bottom w:val="single" w:sz="4" w:space="0" w:color="auto"/>
            </w:tcBorders>
            <w:shd w:val="clear" w:color="auto" w:fill="auto"/>
            <w:vAlign w:val="bottom"/>
          </w:tcPr>
          <w:p w14:paraId="769A93E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155</w:t>
            </w:r>
          </w:p>
        </w:tc>
        <w:tc>
          <w:tcPr>
            <w:tcW w:w="850" w:type="dxa"/>
            <w:tcBorders>
              <w:bottom w:val="single" w:sz="4" w:space="0" w:color="auto"/>
            </w:tcBorders>
            <w:shd w:val="clear" w:color="auto" w:fill="auto"/>
            <w:vAlign w:val="bottom"/>
          </w:tcPr>
          <w:p w14:paraId="232A1A0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1 796</w:t>
            </w:r>
          </w:p>
        </w:tc>
        <w:tc>
          <w:tcPr>
            <w:tcW w:w="1205" w:type="dxa"/>
            <w:tcBorders>
              <w:bottom w:val="single" w:sz="4" w:space="0" w:color="auto"/>
            </w:tcBorders>
            <w:shd w:val="clear" w:color="auto" w:fill="auto"/>
            <w:vAlign w:val="bottom"/>
          </w:tcPr>
          <w:p w14:paraId="21366A06" w14:textId="16A115D5"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rPr>
              <w:t>0</w:t>
            </w:r>
            <w:r w:rsidR="0085022A">
              <w:rPr>
                <w:rFonts w:hint="cs"/>
                <w:sz w:val="18"/>
                <w:szCs w:val="18"/>
                <w:cs/>
                <w:lang w:val="es-ES_tradnl"/>
              </w:rPr>
              <w:t>,</w:t>
            </w:r>
            <w:r w:rsidRPr="0085022A">
              <w:rPr>
                <w:sz w:val="18"/>
                <w:szCs w:val="18"/>
                <w:cs/>
                <w:lang w:val="es-ES_tradnl"/>
              </w:rPr>
              <w:t>4743</w:t>
            </w:r>
          </w:p>
        </w:tc>
      </w:tr>
      <w:tr w:rsidR="00062B95" w:rsidRPr="0085022A" w14:paraId="3835869E" w14:textId="77777777" w:rsidTr="0085022A">
        <w:trPr>
          <w:trHeight w:val="240"/>
        </w:trPr>
        <w:tc>
          <w:tcPr>
            <w:tcW w:w="3690" w:type="dxa"/>
            <w:tcBorders>
              <w:top w:val="single" w:sz="4" w:space="0" w:color="auto"/>
              <w:bottom w:val="single" w:sz="12" w:space="0" w:color="auto"/>
            </w:tcBorders>
            <w:shd w:val="clear" w:color="auto" w:fill="auto"/>
          </w:tcPr>
          <w:p w14:paraId="4A93E485" w14:textId="77777777" w:rsidR="00062B95" w:rsidRPr="0085022A" w:rsidRDefault="00062B95" w:rsidP="0085022A">
            <w:pPr>
              <w:pStyle w:val="SingleTxtG"/>
              <w:tabs>
                <w:tab w:val="clear" w:pos="1701"/>
                <w:tab w:val="clear" w:pos="2268"/>
                <w:tab w:val="clear" w:pos="2835"/>
              </w:tabs>
              <w:spacing w:before="80" w:after="80" w:line="220" w:lineRule="exact"/>
              <w:ind w:left="283" w:right="0"/>
              <w:jc w:val="left"/>
              <w:rPr>
                <w:b/>
                <w:sz w:val="18"/>
                <w:lang w:val="es-ES_tradnl"/>
              </w:rPr>
            </w:pPr>
            <w:r w:rsidRPr="0085022A">
              <w:rPr>
                <w:b/>
                <w:sz w:val="18"/>
                <w:lang w:val="es-ES_tradnl"/>
              </w:rPr>
              <w:t>Total</w:t>
            </w:r>
          </w:p>
        </w:tc>
        <w:tc>
          <w:tcPr>
            <w:tcW w:w="850" w:type="dxa"/>
            <w:tcBorders>
              <w:top w:val="single" w:sz="4" w:space="0" w:color="auto"/>
              <w:bottom w:val="single" w:sz="12" w:space="0" w:color="auto"/>
            </w:tcBorders>
            <w:shd w:val="clear" w:color="auto" w:fill="auto"/>
            <w:vAlign w:val="bottom"/>
          </w:tcPr>
          <w:p w14:paraId="26B2AA05" w14:textId="77777777" w:rsidR="00062B95" w:rsidRPr="0085022A" w:rsidRDefault="00062B95" w:rsidP="0085022A">
            <w:pPr>
              <w:pStyle w:val="SingleTxtG"/>
              <w:tabs>
                <w:tab w:val="clear" w:pos="1701"/>
                <w:tab w:val="clear" w:pos="2268"/>
                <w:tab w:val="clear" w:pos="2835"/>
              </w:tabs>
              <w:spacing w:before="80" w:after="80" w:line="220" w:lineRule="exact"/>
              <w:ind w:left="28" w:right="28"/>
              <w:jc w:val="right"/>
              <w:rPr>
                <w:b/>
                <w:sz w:val="18"/>
                <w:lang w:val="es-ES_tradnl"/>
              </w:rPr>
            </w:pPr>
            <w:r w:rsidRPr="0085022A">
              <w:rPr>
                <w:b/>
                <w:sz w:val="18"/>
                <w:lang w:val="es-ES_tradnl"/>
              </w:rPr>
              <w:t>330 539</w:t>
            </w:r>
          </w:p>
        </w:tc>
        <w:tc>
          <w:tcPr>
            <w:tcW w:w="775" w:type="dxa"/>
            <w:tcBorders>
              <w:top w:val="single" w:sz="4" w:space="0" w:color="auto"/>
              <w:bottom w:val="single" w:sz="12" w:space="0" w:color="auto"/>
            </w:tcBorders>
            <w:shd w:val="clear" w:color="auto" w:fill="auto"/>
            <w:vAlign w:val="bottom"/>
          </w:tcPr>
          <w:p w14:paraId="2F314447" w14:textId="77777777" w:rsidR="00062B95" w:rsidRPr="0085022A" w:rsidRDefault="00062B95" w:rsidP="0085022A">
            <w:pPr>
              <w:pStyle w:val="SingleTxtG"/>
              <w:tabs>
                <w:tab w:val="clear" w:pos="1701"/>
                <w:tab w:val="clear" w:pos="2268"/>
                <w:tab w:val="clear" w:pos="2835"/>
              </w:tabs>
              <w:spacing w:before="80" w:after="80" w:line="220" w:lineRule="exact"/>
              <w:ind w:left="28" w:right="28"/>
              <w:jc w:val="right"/>
              <w:rPr>
                <w:b/>
                <w:sz w:val="18"/>
                <w:lang w:val="es-ES_tradnl"/>
              </w:rPr>
            </w:pPr>
            <w:r w:rsidRPr="0085022A">
              <w:rPr>
                <w:b/>
                <w:sz w:val="18"/>
                <w:lang w:val="es-ES_tradnl"/>
              </w:rPr>
              <w:t>48 023</w:t>
            </w:r>
          </w:p>
        </w:tc>
        <w:tc>
          <w:tcPr>
            <w:tcW w:w="850" w:type="dxa"/>
            <w:tcBorders>
              <w:top w:val="single" w:sz="4" w:space="0" w:color="auto"/>
              <w:bottom w:val="single" w:sz="12" w:space="0" w:color="auto"/>
            </w:tcBorders>
            <w:shd w:val="clear" w:color="auto" w:fill="auto"/>
            <w:vAlign w:val="bottom"/>
          </w:tcPr>
          <w:p w14:paraId="1015360E" w14:textId="77777777" w:rsidR="00062B95" w:rsidRPr="0085022A" w:rsidRDefault="00062B95" w:rsidP="0085022A">
            <w:pPr>
              <w:pStyle w:val="SingleTxtG"/>
              <w:tabs>
                <w:tab w:val="clear" w:pos="1701"/>
                <w:tab w:val="clear" w:pos="2268"/>
                <w:tab w:val="clear" w:pos="2835"/>
              </w:tabs>
              <w:spacing w:before="80" w:after="80" w:line="220" w:lineRule="exact"/>
              <w:ind w:left="28" w:right="28"/>
              <w:jc w:val="right"/>
              <w:rPr>
                <w:b/>
                <w:sz w:val="18"/>
                <w:lang w:val="es-ES_tradnl"/>
              </w:rPr>
            </w:pPr>
            <w:r w:rsidRPr="0085022A">
              <w:rPr>
                <w:b/>
                <w:sz w:val="18"/>
                <w:lang w:val="es-ES_tradnl"/>
              </w:rPr>
              <w:t>378 562</w:t>
            </w:r>
          </w:p>
        </w:tc>
        <w:tc>
          <w:tcPr>
            <w:tcW w:w="1205" w:type="dxa"/>
            <w:tcBorders>
              <w:top w:val="single" w:sz="4" w:space="0" w:color="auto"/>
              <w:bottom w:val="single" w:sz="12" w:space="0" w:color="auto"/>
            </w:tcBorders>
            <w:shd w:val="clear" w:color="auto" w:fill="auto"/>
            <w:vAlign w:val="bottom"/>
          </w:tcPr>
          <w:p w14:paraId="18C77DE5" w14:textId="767B1E99" w:rsidR="00062B95" w:rsidRPr="0085022A" w:rsidRDefault="00062B95" w:rsidP="0085022A">
            <w:pPr>
              <w:pStyle w:val="SingleTxtG"/>
              <w:tabs>
                <w:tab w:val="clear" w:pos="1701"/>
                <w:tab w:val="clear" w:pos="2268"/>
                <w:tab w:val="clear" w:pos="2835"/>
              </w:tabs>
              <w:spacing w:before="80" w:after="80" w:line="220" w:lineRule="exact"/>
              <w:ind w:left="28" w:right="28"/>
              <w:jc w:val="right"/>
              <w:rPr>
                <w:b/>
                <w:sz w:val="18"/>
                <w:lang w:val="es-ES_tradnl"/>
              </w:rPr>
            </w:pPr>
            <w:r w:rsidRPr="0085022A">
              <w:rPr>
                <w:b/>
                <w:sz w:val="18"/>
                <w:lang w:val="es-ES_tradnl"/>
              </w:rPr>
              <w:t>100</w:t>
            </w:r>
            <w:r w:rsidR="0085022A">
              <w:rPr>
                <w:b/>
                <w:sz w:val="18"/>
                <w:lang w:val="es-ES_tradnl"/>
              </w:rPr>
              <w:t>,</w:t>
            </w:r>
            <w:r w:rsidRPr="0085022A">
              <w:rPr>
                <w:b/>
                <w:sz w:val="18"/>
                <w:lang w:val="es-ES_tradnl"/>
              </w:rPr>
              <w:t>0000</w:t>
            </w:r>
          </w:p>
        </w:tc>
      </w:tr>
    </w:tbl>
    <w:p w14:paraId="04EBA4BB" w14:textId="61F997CF" w:rsidR="00062B95" w:rsidRPr="00062B95" w:rsidRDefault="00062B95" w:rsidP="0085022A">
      <w:pPr>
        <w:pStyle w:val="H23G"/>
        <w:rPr>
          <w:lang w:val="es-ES_tradnl"/>
        </w:rPr>
      </w:pPr>
      <w:r w:rsidRPr="0085022A">
        <w:rPr>
          <w:b w:val="0"/>
          <w:lang w:val="es-ES_tradnl"/>
        </w:rPr>
        <w:tab/>
      </w:r>
      <w:r w:rsidRPr="0085022A">
        <w:rPr>
          <w:b w:val="0"/>
          <w:lang w:val="es-ES_tradnl"/>
        </w:rPr>
        <w:tab/>
        <w:t>Cuadro 11</w:t>
      </w:r>
      <w:r w:rsidRPr="0085022A">
        <w:rPr>
          <w:b w:val="0"/>
          <w:lang w:val="es-ES_tradnl"/>
        </w:rPr>
        <w:br/>
      </w:r>
      <w:r w:rsidRPr="00062B95">
        <w:rPr>
          <w:lang w:val="es-ES_tradnl"/>
        </w:rPr>
        <w:t>Datos estadísticos sobre el número de muertes (por enfermedad) en centros de</w:t>
      </w:r>
      <w:r w:rsidR="00526E5D">
        <w:rPr>
          <w:lang w:val="es-ES_tradnl"/>
        </w:rPr>
        <w:t> </w:t>
      </w:r>
      <w:r w:rsidRPr="00062B95">
        <w:rPr>
          <w:lang w:val="es-ES_tradnl"/>
        </w:rPr>
        <w:t>detención durante el ejercicio económico 2018-2020 (a fecha de 20 de mayo de</w:t>
      </w:r>
      <w:r w:rsidR="00526E5D">
        <w:rPr>
          <w:lang w:val="es-ES_tradnl"/>
        </w:rPr>
        <w:t> </w:t>
      </w:r>
      <w:r w:rsidRPr="00062B95">
        <w:rPr>
          <w:lang w:val="es-ES_tradnl"/>
        </w:rPr>
        <w:t>2020)</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567"/>
        <w:gridCol w:w="2552"/>
        <w:gridCol w:w="1417"/>
        <w:gridCol w:w="1418"/>
        <w:gridCol w:w="1416"/>
      </w:tblGrid>
      <w:tr w:rsidR="00062B95" w:rsidRPr="0085022A" w14:paraId="73437587" w14:textId="77777777" w:rsidTr="006F6842">
        <w:trPr>
          <w:trHeight w:val="240"/>
          <w:tblHeader/>
        </w:trPr>
        <w:tc>
          <w:tcPr>
            <w:tcW w:w="567" w:type="dxa"/>
            <w:tcBorders>
              <w:top w:val="single" w:sz="4" w:space="0" w:color="auto"/>
              <w:bottom w:val="single" w:sz="12" w:space="0" w:color="auto"/>
            </w:tcBorders>
            <w:shd w:val="clear" w:color="auto" w:fill="auto"/>
            <w:vAlign w:val="bottom"/>
          </w:tcPr>
          <w:p w14:paraId="5F1B4B9C" w14:textId="483D974F" w:rsidR="00062B95" w:rsidRPr="0085022A" w:rsidRDefault="00062B95" w:rsidP="00062B95">
            <w:pPr>
              <w:pStyle w:val="SingleTxtG"/>
              <w:tabs>
                <w:tab w:val="clear" w:pos="1701"/>
                <w:tab w:val="clear" w:pos="2268"/>
                <w:tab w:val="clear" w:pos="2835"/>
              </w:tabs>
              <w:spacing w:before="80" w:after="80" w:line="200" w:lineRule="exact"/>
              <w:ind w:left="0" w:right="0"/>
              <w:jc w:val="left"/>
              <w:rPr>
                <w:i/>
                <w:sz w:val="16"/>
                <w:szCs w:val="16"/>
                <w:lang w:val="es-ES_tradnl"/>
              </w:rPr>
            </w:pPr>
            <w:r w:rsidRPr="0085022A">
              <w:rPr>
                <w:i/>
                <w:sz w:val="16"/>
                <w:szCs w:val="16"/>
                <w:lang w:val="es-ES_tradnl"/>
              </w:rPr>
              <w:t>Núm</w:t>
            </w:r>
            <w:r w:rsidR="0085022A">
              <w:rPr>
                <w:i/>
                <w:sz w:val="16"/>
                <w:szCs w:val="16"/>
                <w:lang w:val="es-ES_tradnl"/>
              </w:rPr>
              <w:t>ero</w:t>
            </w:r>
          </w:p>
        </w:tc>
        <w:tc>
          <w:tcPr>
            <w:tcW w:w="2552" w:type="dxa"/>
            <w:tcBorders>
              <w:top w:val="single" w:sz="4" w:space="0" w:color="auto"/>
              <w:bottom w:val="single" w:sz="12" w:space="0" w:color="auto"/>
            </w:tcBorders>
            <w:shd w:val="clear" w:color="auto" w:fill="auto"/>
            <w:vAlign w:val="bottom"/>
          </w:tcPr>
          <w:p w14:paraId="353089EC" w14:textId="77777777" w:rsidR="00062B95" w:rsidRPr="0085022A" w:rsidRDefault="00062B95" w:rsidP="0085022A">
            <w:pPr>
              <w:pStyle w:val="SingleTxtG"/>
              <w:tabs>
                <w:tab w:val="clear" w:pos="1701"/>
                <w:tab w:val="clear" w:pos="2268"/>
                <w:tab w:val="clear" w:pos="2835"/>
              </w:tabs>
              <w:spacing w:before="80" w:after="80" w:line="200" w:lineRule="exact"/>
              <w:ind w:left="0" w:right="57"/>
              <w:jc w:val="left"/>
              <w:rPr>
                <w:i/>
                <w:sz w:val="16"/>
                <w:szCs w:val="16"/>
                <w:cs/>
                <w:lang w:val="es-ES_tradnl" w:bidi="th-TH"/>
              </w:rPr>
            </w:pPr>
            <w:r w:rsidRPr="0085022A">
              <w:rPr>
                <w:i/>
                <w:sz w:val="16"/>
                <w:szCs w:val="16"/>
                <w:lang w:val="es-ES_tradnl"/>
              </w:rPr>
              <w:t>Lugar de detención</w:t>
            </w:r>
          </w:p>
        </w:tc>
        <w:tc>
          <w:tcPr>
            <w:tcW w:w="1417" w:type="dxa"/>
            <w:tcBorders>
              <w:top w:val="single" w:sz="4" w:space="0" w:color="auto"/>
              <w:bottom w:val="single" w:sz="12" w:space="0" w:color="auto"/>
            </w:tcBorders>
            <w:shd w:val="clear" w:color="auto" w:fill="auto"/>
            <w:vAlign w:val="bottom"/>
          </w:tcPr>
          <w:p w14:paraId="2227EBF1"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szCs w:val="16"/>
                <w:lang w:val="es-ES_tradnl"/>
              </w:rPr>
            </w:pPr>
            <w:r w:rsidRPr="0085022A">
              <w:rPr>
                <w:i/>
                <w:sz w:val="16"/>
                <w:szCs w:val="16"/>
                <w:lang w:val="es-ES_tradnl"/>
              </w:rPr>
              <w:t xml:space="preserve">Ejercicio económico de </w:t>
            </w:r>
            <w:r w:rsidRPr="0085022A">
              <w:rPr>
                <w:iCs/>
                <w:sz w:val="16"/>
                <w:szCs w:val="16"/>
                <w:cs/>
                <w:lang w:val="es-ES_tradnl" w:bidi="th-TH"/>
              </w:rPr>
              <w:t>2018</w:t>
            </w:r>
          </w:p>
        </w:tc>
        <w:tc>
          <w:tcPr>
            <w:tcW w:w="1418" w:type="dxa"/>
            <w:tcBorders>
              <w:top w:val="single" w:sz="4" w:space="0" w:color="auto"/>
              <w:bottom w:val="single" w:sz="12" w:space="0" w:color="auto"/>
            </w:tcBorders>
            <w:shd w:val="clear" w:color="auto" w:fill="auto"/>
            <w:vAlign w:val="bottom"/>
          </w:tcPr>
          <w:p w14:paraId="709341C8"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szCs w:val="16"/>
                <w:lang w:val="es-ES_tradnl"/>
              </w:rPr>
            </w:pPr>
            <w:r w:rsidRPr="0085022A">
              <w:rPr>
                <w:i/>
                <w:sz w:val="16"/>
                <w:szCs w:val="16"/>
                <w:lang w:val="es-ES_tradnl"/>
              </w:rPr>
              <w:t>Ejercicio económico de 2019</w:t>
            </w:r>
          </w:p>
        </w:tc>
        <w:tc>
          <w:tcPr>
            <w:tcW w:w="1416" w:type="dxa"/>
            <w:tcBorders>
              <w:top w:val="single" w:sz="4" w:space="0" w:color="auto"/>
              <w:bottom w:val="single" w:sz="12" w:space="0" w:color="auto"/>
            </w:tcBorders>
            <w:shd w:val="clear" w:color="auto" w:fill="auto"/>
            <w:vAlign w:val="bottom"/>
          </w:tcPr>
          <w:p w14:paraId="5C4F8F90" w14:textId="77777777" w:rsidR="00062B95" w:rsidRPr="0085022A" w:rsidRDefault="00062B95" w:rsidP="0085022A">
            <w:pPr>
              <w:pStyle w:val="SingleTxtG"/>
              <w:tabs>
                <w:tab w:val="clear" w:pos="1701"/>
                <w:tab w:val="clear" w:pos="2268"/>
                <w:tab w:val="clear" w:pos="2835"/>
              </w:tabs>
              <w:spacing w:before="80" w:after="80" w:line="200" w:lineRule="exact"/>
              <w:ind w:left="28" w:right="28"/>
              <w:jc w:val="right"/>
              <w:rPr>
                <w:i/>
                <w:sz w:val="16"/>
                <w:szCs w:val="16"/>
                <w:lang w:val="es-ES_tradnl"/>
              </w:rPr>
            </w:pPr>
            <w:r w:rsidRPr="0085022A">
              <w:rPr>
                <w:i/>
                <w:sz w:val="16"/>
                <w:szCs w:val="16"/>
                <w:lang w:val="es-ES_tradnl"/>
              </w:rPr>
              <w:t>Ejercicio económico de 2020</w:t>
            </w:r>
          </w:p>
        </w:tc>
      </w:tr>
      <w:tr w:rsidR="00062B95" w:rsidRPr="00062B95" w14:paraId="06742FF0" w14:textId="77777777" w:rsidTr="006F6842">
        <w:trPr>
          <w:trHeight w:val="240"/>
        </w:trPr>
        <w:tc>
          <w:tcPr>
            <w:tcW w:w="567" w:type="dxa"/>
            <w:shd w:val="clear" w:color="auto" w:fill="auto"/>
          </w:tcPr>
          <w:p w14:paraId="4753971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w:t>
            </w:r>
          </w:p>
        </w:tc>
        <w:tc>
          <w:tcPr>
            <w:tcW w:w="2552" w:type="dxa"/>
            <w:shd w:val="clear" w:color="auto" w:fill="auto"/>
            <w:vAlign w:val="bottom"/>
          </w:tcPr>
          <w:p w14:paraId="6CD7898B"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preventiva de Bangkok</w:t>
            </w:r>
          </w:p>
        </w:tc>
        <w:tc>
          <w:tcPr>
            <w:tcW w:w="1417" w:type="dxa"/>
            <w:shd w:val="clear" w:color="auto" w:fill="auto"/>
            <w:vAlign w:val="bottom"/>
          </w:tcPr>
          <w:p w14:paraId="23C48AF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4612F35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600DA4B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34E61B05" w14:textId="77777777" w:rsidTr="006F6842">
        <w:trPr>
          <w:trHeight w:val="240"/>
        </w:trPr>
        <w:tc>
          <w:tcPr>
            <w:tcW w:w="567" w:type="dxa"/>
            <w:shd w:val="clear" w:color="auto" w:fill="auto"/>
          </w:tcPr>
          <w:p w14:paraId="325FB38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w:t>
            </w:r>
          </w:p>
        </w:tc>
        <w:tc>
          <w:tcPr>
            <w:tcW w:w="2552" w:type="dxa"/>
            <w:shd w:val="clear" w:color="auto" w:fill="auto"/>
            <w:vAlign w:val="bottom"/>
          </w:tcPr>
          <w:p w14:paraId="1C77E5E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preventiva de Thon Buri</w:t>
            </w:r>
          </w:p>
        </w:tc>
        <w:tc>
          <w:tcPr>
            <w:tcW w:w="1417" w:type="dxa"/>
            <w:shd w:val="clear" w:color="auto" w:fill="auto"/>
            <w:vAlign w:val="bottom"/>
          </w:tcPr>
          <w:p w14:paraId="3EBB221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2C18748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413BF9A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r>
      <w:tr w:rsidR="00062B95" w:rsidRPr="00062B95" w14:paraId="0EEC258F" w14:textId="77777777" w:rsidTr="006F6842">
        <w:trPr>
          <w:trHeight w:val="240"/>
        </w:trPr>
        <w:tc>
          <w:tcPr>
            <w:tcW w:w="567" w:type="dxa"/>
            <w:shd w:val="clear" w:color="auto" w:fill="auto"/>
          </w:tcPr>
          <w:p w14:paraId="7AA758F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w:t>
            </w:r>
          </w:p>
        </w:tc>
        <w:tc>
          <w:tcPr>
            <w:tcW w:w="2552" w:type="dxa"/>
            <w:shd w:val="clear" w:color="auto" w:fill="auto"/>
            <w:vAlign w:val="bottom"/>
          </w:tcPr>
          <w:p w14:paraId="010E01B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preventiva de Pattaya</w:t>
            </w:r>
          </w:p>
        </w:tc>
        <w:tc>
          <w:tcPr>
            <w:tcW w:w="1417" w:type="dxa"/>
            <w:shd w:val="clear" w:color="auto" w:fill="auto"/>
            <w:vAlign w:val="bottom"/>
          </w:tcPr>
          <w:p w14:paraId="11654DB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16</w:t>
            </w:r>
          </w:p>
        </w:tc>
        <w:tc>
          <w:tcPr>
            <w:tcW w:w="1418" w:type="dxa"/>
            <w:shd w:val="clear" w:color="auto" w:fill="auto"/>
            <w:vAlign w:val="bottom"/>
          </w:tcPr>
          <w:p w14:paraId="7662EC5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21</w:t>
            </w:r>
          </w:p>
        </w:tc>
        <w:tc>
          <w:tcPr>
            <w:tcW w:w="1416" w:type="dxa"/>
            <w:shd w:val="clear" w:color="auto" w:fill="auto"/>
            <w:vAlign w:val="bottom"/>
          </w:tcPr>
          <w:p w14:paraId="4C12F92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r>
      <w:tr w:rsidR="00062B95" w:rsidRPr="00062B95" w14:paraId="323464BA" w14:textId="77777777" w:rsidTr="006F6842">
        <w:trPr>
          <w:trHeight w:val="240"/>
        </w:trPr>
        <w:tc>
          <w:tcPr>
            <w:tcW w:w="567" w:type="dxa"/>
            <w:shd w:val="clear" w:color="auto" w:fill="auto"/>
          </w:tcPr>
          <w:p w14:paraId="146985C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w:t>
            </w:r>
          </w:p>
        </w:tc>
        <w:tc>
          <w:tcPr>
            <w:tcW w:w="2552" w:type="dxa"/>
            <w:shd w:val="clear" w:color="auto" w:fill="auto"/>
            <w:vAlign w:val="bottom"/>
          </w:tcPr>
          <w:p w14:paraId="2F3D6720"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preventiva de Min Buri</w:t>
            </w:r>
          </w:p>
        </w:tc>
        <w:tc>
          <w:tcPr>
            <w:tcW w:w="1417" w:type="dxa"/>
            <w:shd w:val="clear" w:color="auto" w:fill="auto"/>
            <w:vAlign w:val="bottom"/>
          </w:tcPr>
          <w:p w14:paraId="61AA15E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55184D7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c>
          <w:tcPr>
            <w:tcW w:w="1416" w:type="dxa"/>
            <w:shd w:val="clear" w:color="auto" w:fill="auto"/>
            <w:vAlign w:val="bottom"/>
          </w:tcPr>
          <w:p w14:paraId="2060875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r>
      <w:tr w:rsidR="00062B95" w:rsidRPr="00062B95" w14:paraId="1EF9557D" w14:textId="77777777" w:rsidTr="006F6842">
        <w:trPr>
          <w:trHeight w:val="240"/>
        </w:trPr>
        <w:tc>
          <w:tcPr>
            <w:tcW w:w="567" w:type="dxa"/>
            <w:shd w:val="clear" w:color="auto" w:fill="auto"/>
          </w:tcPr>
          <w:p w14:paraId="1F090AC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5</w:t>
            </w:r>
          </w:p>
        </w:tc>
        <w:tc>
          <w:tcPr>
            <w:tcW w:w="2552" w:type="dxa"/>
            <w:shd w:val="clear" w:color="auto" w:fill="auto"/>
            <w:vAlign w:val="bottom"/>
          </w:tcPr>
          <w:p w14:paraId="38EFAB58"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Kamphaeng Phet</w:t>
            </w:r>
          </w:p>
        </w:tc>
        <w:tc>
          <w:tcPr>
            <w:tcW w:w="1417" w:type="dxa"/>
            <w:shd w:val="clear" w:color="auto" w:fill="auto"/>
            <w:vAlign w:val="bottom"/>
          </w:tcPr>
          <w:p w14:paraId="5D8D1F2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09F08F8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14</w:t>
            </w:r>
          </w:p>
        </w:tc>
        <w:tc>
          <w:tcPr>
            <w:tcW w:w="1416" w:type="dxa"/>
            <w:shd w:val="clear" w:color="auto" w:fill="auto"/>
            <w:vAlign w:val="bottom"/>
          </w:tcPr>
          <w:p w14:paraId="6CC00E8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r>
      <w:tr w:rsidR="00062B95" w:rsidRPr="00062B95" w14:paraId="4455CD38" w14:textId="77777777" w:rsidTr="006F6842">
        <w:trPr>
          <w:trHeight w:val="240"/>
        </w:trPr>
        <w:tc>
          <w:tcPr>
            <w:tcW w:w="567" w:type="dxa"/>
            <w:shd w:val="clear" w:color="auto" w:fill="auto"/>
          </w:tcPr>
          <w:p w14:paraId="5E51622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w:t>
            </w:r>
          </w:p>
        </w:tc>
        <w:tc>
          <w:tcPr>
            <w:tcW w:w="2552" w:type="dxa"/>
            <w:shd w:val="clear" w:color="auto" w:fill="auto"/>
            <w:vAlign w:val="bottom"/>
          </w:tcPr>
          <w:p w14:paraId="732FE99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Khon Kaen</w:t>
            </w:r>
          </w:p>
        </w:tc>
        <w:tc>
          <w:tcPr>
            <w:tcW w:w="1417" w:type="dxa"/>
            <w:shd w:val="clear" w:color="auto" w:fill="auto"/>
            <w:vAlign w:val="bottom"/>
          </w:tcPr>
          <w:p w14:paraId="1020CA6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22</w:t>
            </w:r>
          </w:p>
        </w:tc>
        <w:tc>
          <w:tcPr>
            <w:tcW w:w="1418" w:type="dxa"/>
            <w:shd w:val="clear" w:color="auto" w:fill="auto"/>
            <w:vAlign w:val="bottom"/>
          </w:tcPr>
          <w:p w14:paraId="5502949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23</w:t>
            </w:r>
          </w:p>
        </w:tc>
        <w:tc>
          <w:tcPr>
            <w:tcW w:w="1416" w:type="dxa"/>
            <w:shd w:val="clear" w:color="auto" w:fill="auto"/>
            <w:vAlign w:val="bottom"/>
          </w:tcPr>
          <w:p w14:paraId="5F0B01E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2E8C6F5F" w14:textId="77777777" w:rsidTr="006F6842">
        <w:trPr>
          <w:trHeight w:val="240"/>
        </w:trPr>
        <w:tc>
          <w:tcPr>
            <w:tcW w:w="567" w:type="dxa"/>
            <w:shd w:val="clear" w:color="auto" w:fill="auto"/>
          </w:tcPr>
          <w:p w14:paraId="2AAEBB4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w:t>
            </w:r>
          </w:p>
        </w:tc>
        <w:tc>
          <w:tcPr>
            <w:tcW w:w="2552" w:type="dxa"/>
            <w:shd w:val="clear" w:color="auto" w:fill="auto"/>
            <w:vAlign w:val="bottom"/>
          </w:tcPr>
          <w:p w14:paraId="0C5470A3"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Khao Bin</w:t>
            </w:r>
          </w:p>
        </w:tc>
        <w:tc>
          <w:tcPr>
            <w:tcW w:w="1417" w:type="dxa"/>
            <w:shd w:val="clear" w:color="auto" w:fill="auto"/>
            <w:vAlign w:val="bottom"/>
          </w:tcPr>
          <w:p w14:paraId="1E71D3C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11</w:t>
            </w:r>
          </w:p>
        </w:tc>
        <w:tc>
          <w:tcPr>
            <w:tcW w:w="1418" w:type="dxa"/>
            <w:shd w:val="clear" w:color="auto" w:fill="auto"/>
            <w:vAlign w:val="bottom"/>
          </w:tcPr>
          <w:p w14:paraId="0FD5C2A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c>
          <w:tcPr>
            <w:tcW w:w="1416" w:type="dxa"/>
            <w:shd w:val="clear" w:color="auto" w:fill="auto"/>
            <w:vAlign w:val="bottom"/>
          </w:tcPr>
          <w:p w14:paraId="169A0A5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43291298" w14:textId="77777777" w:rsidTr="006F6842">
        <w:trPr>
          <w:trHeight w:val="240"/>
        </w:trPr>
        <w:tc>
          <w:tcPr>
            <w:tcW w:w="567" w:type="dxa"/>
            <w:shd w:val="clear" w:color="auto" w:fill="auto"/>
          </w:tcPr>
          <w:p w14:paraId="5C99645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w:t>
            </w:r>
          </w:p>
        </w:tc>
        <w:tc>
          <w:tcPr>
            <w:tcW w:w="2552" w:type="dxa"/>
            <w:shd w:val="clear" w:color="auto" w:fill="auto"/>
            <w:vAlign w:val="bottom"/>
          </w:tcPr>
          <w:p w14:paraId="03AADC0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Klong Prem</w:t>
            </w:r>
          </w:p>
        </w:tc>
        <w:tc>
          <w:tcPr>
            <w:tcW w:w="1417" w:type="dxa"/>
            <w:shd w:val="clear" w:color="auto" w:fill="auto"/>
            <w:vAlign w:val="bottom"/>
          </w:tcPr>
          <w:p w14:paraId="4CC7FFD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2FAF9CC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7F1E297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44E05602" w14:textId="77777777" w:rsidTr="006F6842">
        <w:trPr>
          <w:trHeight w:val="240"/>
        </w:trPr>
        <w:tc>
          <w:tcPr>
            <w:tcW w:w="567" w:type="dxa"/>
            <w:shd w:val="clear" w:color="auto" w:fill="auto"/>
          </w:tcPr>
          <w:p w14:paraId="19BB27C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w:t>
            </w:r>
          </w:p>
        </w:tc>
        <w:tc>
          <w:tcPr>
            <w:tcW w:w="2552" w:type="dxa"/>
            <w:shd w:val="clear" w:color="auto" w:fill="auto"/>
            <w:vAlign w:val="bottom"/>
          </w:tcPr>
          <w:p w14:paraId="3BF135D0"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Klong Phai</w:t>
            </w:r>
          </w:p>
        </w:tc>
        <w:tc>
          <w:tcPr>
            <w:tcW w:w="1417" w:type="dxa"/>
            <w:shd w:val="clear" w:color="auto" w:fill="auto"/>
            <w:vAlign w:val="bottom"/>
          </w:tcPr>
          <w:p w14:paraId="2FAA3B7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12</w:t>
            </w:r>
          </w:p>
        </w:tc>
        <w:tc>
          <w:tcPr>
            <w:tcW w:w="1418" w:type="dxa"/>
            <w:shd w:val="clear" w:color="auto" w:fill="auto"/>
            <w:vAlign w:val="bottom"/>
          </w:tcPr>
          <w:p w14:paraId="30B801F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c>
          <w:tcPr>
            <w:tcW w:w="1416" w:type="dxa"/>
            <w:shd w:val="clear" w:color="auto" w:fill="auto"/>
            <w:vAlign w:val="bottom"/>
          </w:tcPr>
          <w:p w14:paraId="1E307AB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5D623F8F" w14:textId="77777777" w:rsidTr="006F6842">
        <w:trPr>
          <w:trHeight w:val="240"/>
        </w:trPr>
        <w:tc>
          <w:tcPr>
            <w:tcW w:w="567" w:type="dxa"/>
            <w:shd w:val="clear" w:color="auto" w:fill="auto"/>
          </w:tcPr>
          <w:p w14:paraId="6D5065E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w:t>
            </w:r>
          </w:p>
        </w:tc>
        <w:tc>
          <w:tcPr>
            <w:tcW w:w="2552" w:type="dxa"/>
            <w:shd w:val="clear" w:color="auto" w:fill="auto"/>
            <w:vAlign w:val="bottom"/>
          </w:tcPr>
          <w:p w14:paraId="40629E05"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Chachoengsao</w:t>
            </w:r>
          </w:p>
        </w:tc>
        <w:tc>
          <w:tcPr>
            <w:tcW w:w="1417" w:type="dxa"/>
            <w:shd w:val="clear" w:color="auto" w:fill="auto"/>
            <w:vAlign w:val="bottom"/>
          </w:tcPr>
          <w:p w14:paraId="225501C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11</w:t>
            </w:r>
          </w:p>
        </w:tc>
        <w:tc>
          <w:tcPr>
            <w:tcW w:w="1418" w:type="dxa"/>
            <w:shd w:val="clear" w:color="auto" w:fill="auto"/>
            <w:vAlign w:val="bottom"/>
          </w:tcPr>
          <w:p w14:paraId="32311E1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215BE4B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77AD4704" w14:textId="77777777" w:rsidTr="006F6842">
        <w:trPr>
          <w:trHeight w:val="240"/>
        </w:trPr>
        <w:tc>
          <w:tcPr>
            <w:tcW w:w="567" w:type="dxa"/>
            <w:shd w:val="clear" w:color="auto" w:fill="auto"/>
          </w:tcPr>
          <w:p w14:paraId="1D2D2D3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w:t>
            </w:r>
          </w:p>
        </w:tc>
        <w:tc>
          <w:tcPr>
            <w:tcW w:w="2552" w:type="dxa"/>
            <w:shd w:val="clear" w:color="auto" w:fill="auto"/>
            <w:vAlign w:val="bottom"/>
          </w:tcPr>
          <w:p w14:paraId="692B54E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Chonburi</w:t>
            </w:r>
          </w:p>
        </w:tc>
        <w:tc>
          <w:tcPr>
            <w:tcW w:w="1417" w:type="dxa"/>
            <w:shd w:val="clear" w:color="auto" w:fill="auto"/>
            <w:vAlign w:val="bottom"/>
          </w:tcPr>
          <w:p w14:paraId="3E6583F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26</w:t>
            </w:r>
          </w:p>
        </w:tc>
        <w:tc>
          <w:tcPr>
            <w:tcW w:w="1418" w:type="dxa"/>
            <w:shd w:val="clear" w:color="auto" w:fill="auto"/>
            <w:vAlign w:val="bottom"/>
          </w:tcPr>
          <w:p w14:paraId="5784E80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40</w:t>
            </w:r>
          </w:p>
        </w:tc>
        <w:tc>
          <w:tcPr>
            <w:tcW w:w="1416" w:type="dxa"/>
            <w:shd w:val="clear" w:color="auto" w:fill="auto"/>
            <w:vAlign w:val="bottom"/>
          </w:tcPr>
          <w:p w14:paraId="20C66F6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r>
      <w:tr w:rsidR="00062B95" w:rsidRPr="00062B95" w14:paraId="1D496212" w14:textId="77777777" w:rsidTr="006F6842">
        <w:trPr>
          <w:trHeight w:val="240"/>
        </w:trPr>
        <w:tc>
          <w:tcPr>
            <w:tcW w:w="567" w:type="dxa"/>
            <w:shd w:val="clear" w:color="auto" w:fill="auto"/>
          </w:tcPr>
          <w:p w14:paraId="4D8A5AE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w:t>
            </w:r>
          </w:p>
        </w:tc>
        <w:tc>
          <w:tcPr>
            <w:tcW w:w="2552" w:type="dxa"/>
            <w:shd w:val="clear" w:color="auto" w:fill="auto"/>
            <w:vAlign w:val="bottom"/>
          </w:tcPr>
          <w:p w14:paraId="4FCEA39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Chiang Rai</w:t>
            </w:r>
          </w:p>
        </w:tc>
        <w:tc>
          <w:tcPr>
            <w:tcW w:w="1417" w:type="dxa"/>
            <w:shd w:val="clear" w:color="auto" w:fill="auto"/>
            <w:vAlign w:val="bottom"/>
          </w:tcPr>
          <w:p w14:paraId="4566B6D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20</w:t>
            </w:r>
          </w:p>
        </w:tc>
        <w:tc>
          <w:tcPr>
            <w:tcW w:w="1418" w:type="dxa"/>
            <w:shd w:val="clear" w:color="auto" w:fill="auto"/>
            <w:vAlign w:val="bottom"/>
          </w:tcPr>
          <w:p w14:paraId="1082226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32</w:t>
            </w:r>
          </w:p>
        </w:tc>
        <w:tc>
          <w:tcPr>
            <w:tcW w:w="1416" w:type="dxa"/>
            <w:shd w:val="clear" w:color="auto" w:fill="auto"/>
            <w:vAlign w:val="bottom"/>
          </w:tcPr>
          <w:p w14:paraId="6B6F061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22</w:t>
            </w:r>
          </w:p>
        </w:tc>
      </w:tr>
      <w:tr w:rsidR="00062B95" w:rsidRPr="00062B95" w14:paraId="078F284E" w14:textId="77777777" w:rsidTr="006F6842">
        <w:trPr>
          <w:trHeight w:val="240"/>
        </w:trPr>
        <w:tc>
          <w:tcPr>
            <w:tcW w:w="567" w:type="dxa"/>
            <w:shd w:val="clear" w:color="auto" w:fill="auto"/>
          </w:tcPr>
          <w:p w14:paraId="23440B8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w:t>
            </w:r>
          </w:p>
        </w:tc>
        <w:tc>
          <w:tcPr>
            <w:tcW w:w="2552" w:type="dxa"/>
            <w:shd w:val="clear" w:color="auto" w:fill="auto"/>
            <w:vAlign w:val="bottom"/>
          </w:tcPr>
          <w:p w14:paraId="047C173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Chiang Mai</w:t>
            </w:r>
          </w:p>
        </w:tc>
        <w:tc>
          <w:tcPr>
            <w:tcW w:w="1417" w:type="dxa"/>
            <w:shd w:val="clear" w:color="auto" w:fill="auto"/>
            <w:vAlign w:val="bottom"/>
          </w:tcPr>
          <w:p w14:paraId="2793372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52</w:t>
            </w:r>
          </w:p>
        </w:tc>
        <w:tc>
          <w:tcPr>
            <w:tcW w:w="1418" w:type="dxa"/>
            <w:shd w:val="clear" w:color="auto" w:fill="auto"/>
            <w:vAlign w:val="bottom"/>
          </w:tcPr>
          <w:p w14:paraId="55B89AE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43</w:t>
            </w:r>
          </w:p>
        </w:tc>
        <w:tc>
          <w:tcPr>
            <w:tcW w:w="1416" w:type="dxa"/>
            <w:shd w:val="clear" w:color="auto" w:fill="auto"/>
            <w:vAlign w:val="bottom"/>
          </w:tcPr>
          <w:p w14:paraId="261B7CC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27</w:t>
            </w:r>
          </w:p>
        </w:tc>
      </w:tr>
      <w:tr w:rsidR="00062B95" w:rsidRPr="00062B95" w14:paraId="5C604AC9" w14:textId="77777777" w:rsidTr="006F6842">
        <w:trPr>
          <w:trHeight w:val="240"/>
        </w:trPr>
        <w:tc>
          <w:tcPr>
            <w:tcW w:w="567" w:type="dxa"/>
            <w:shd w:val="clear" w:color="auto" w:fill="auto"/>
          </w:tcPr>
          <w:p w14:paraId="1A09E06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lastRenderedPageBreak/>
              <w:t>14</w:t>
            </w:r>
          </w:p>
        </w:tc>
        <w:tc>
          <w:tcPr>
            <w:tcW w:w="2552" w:type="dxa"/>
            <w:shd w:val="clear" w:color="auto" w:fill="auto"/>
            <w:vAlign w:val="bottom"/>
          </w:tcPr>
          <w:p w14:paraId="07F36FE5"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Tak</w:t>
            </w:r>
          </w:p>
        </w:tc>
        <w:tc>
          <w:tcPr>
            <w:tcW w:w="1417" w:type="dxa"/>
            <w:shd w:val="clear" w:color="auto" w:fill="auto"/>
            <w:vAlign w:val="bottom"/>
          </w:tcPr>
          <w:p w14:paraId="211863C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3FB9B7D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52CEA36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13BF1031" w14:textId="77777777" w:rsidTr="006F6842">
        <w:trPr>
          <w:trHeight w:val="240"/>
        </w:trPr>
        <w:tc>
          <w:tcPr>
            <w:tcW w:w="567" w:type="dxa"/>
            <w:shd w:val="clear" w:color="auto" w:fill="auto"/>
          </w:tcPr>
          <w:p w14:paraId="7521F81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15</w:t>
            </w:r>
          </w:p>
        </w:tc>
        <w:tc>
          <w:tcPr>
            <w:tcW w:w="2552" w:type="dxa"/>
            <w:shd w:val="clear" w:color="auto" w:fill="auto"/>
            <w:vAlign w:val="bottom"/>
          </w:tcPr>
          <w:p w14:paraId="33370928"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Nakhon Pathom</w:t>
            </w:r>
          </w:p>
        </w:tc>
        <w:tc>
          <w:tcPr>
            <w:tcW w:w="1417" w:type="dxa"/>
            <w:shd w:val="clear" w:color="auto" w:fill="auto"/>
            <w:vAlign w:val="bottom"/>
          </w:tcPr>
          <w:p w14:paraId="616720F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11</w:t>
            </w:r>
          </w:p>
        </w:tc>
        <w:tc>
          <w:tcPr>
            <w:tcW w:w="1418" w:type="dxa"/>
            <w:shd w:val="clear" w:color="auto" w:fill="auto"/>
            <w:vAlign w:val="bottom"/>
          </w:tcPr>
          <w:p w14:paraId="4C6890F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18</w:t>
            </w:r>
          </w:p>
        </w:tc>
        <w:tc>
          <w:tcPr>
            <w:tcW w:w="1416" w:type="dxa"/>
            <w:shd w:val="clear" w:color="auto" w:fill="auto"/>
            <w:vAlign w:val="bottom"/>
          </w:tcPr>
          <w:p w14:paraId="628E9A3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r>
      <w:tr w:rsidR="00062B95" w:rsidRPr="00062B95" w14:paraId="0FB9E047" w14:textId="77777777" w:rsidTr="006F6842">
        <w:trPr>
          <w:trHeight w:val="240"/>
        </w:trPr>
        <w:tc>
          <w:tcPr>
            <w:tcW w:w="567" w:type="dxa"/>
            <w:shd w:val="clear" w:color="auto" w:fill="auto"/>
          </w:tcPr>
          <w:p w14:paraId="23DCE3F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16</w:t>
            </w:r>
          </w:p>
        </w:tc>
        <w:tc>
          <w:tcPr>
            <w:tcW w:w="2552" w:type="dxa"/>
            <w:shd w:val="clear" w:color="auto" w:fill="auto"/>
            <w:vAlign w:val="bottom"/>
          </w:tcPr>
          <w:p w14:paraId="6C22757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Nakhon Phanom</w:t>
            </w:r>
          </w:p>
        </w:tc>
        <w:tc>
          <w:tcPr>
            <w:tcW w:w="1417" w:type="dxa"/>
            <w:shd w:val="clear" w:color="auto" w:fill="auto"/>
            <w:vAlign w:val="bottom"/>
          </w:tcPr>
          <w:p w14:paraId="01011DF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14</w:t>
            </w:r>
          </w:p>
        </w:tc>
        <w:tc>
          <w:tcPr>
            <w:tcW w:w="1418" w:type="dxa"/>
            <w:shd w:val="clear" w:color="auto" w:fill="auto"/>
            <w:vAlign w:val="bottom"/>
          </w:tcPr>
          <w:p w14:paraId="22E6539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19</w:t>
            </w:r>
          </w:p>
        </w:tc>
        <w:tc>
          <w:tcPr>
            <w:tcW w:w="1416" w:type="dxa"/>
            <w:shd w:val="clear" w:color="auto" w:fill="auto"/>
            <w:vAlign w:val="bottom"/>
          </w:tcPr>
          <w:p w14:paraId="79215B5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r>
      <w:tr w:rsidR="00062B95" w:rsidRPr="00062B95" w14:paraId="6CA3B45B" w14:textId="77777777" w:rsidTr="006F6842">
        <w:trPr>
          <w:trHeight w:val="240"/>
        </w:trPr>
        <w:tc>
          <w:tcPr>
            <w:tcW w:w="567" w:type="dxa"/>
            <w:shd w:val="clear" w:color="auto" w:fill="auto"/>
          </w:tcPr>
          <w:p w14:paraId="68DDC08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17</w:t>
            </w:r>
          </w:p>
        </w:tc>
        <w:tc>
          <w:tcPr>
            <w:tcW w:w="2552" w:type="dxa"/>
            <w:shd w:val="clear" w:color="auto" w:fill="auto"/>
            <w:vAlign w:val="bottom"/>
          </w:tcPr>
          <w:p w14:paraId="1E3113B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Nakhon Ratchasima</w:t>
            </w:r>
          </w:p>
        </w:tc>
        <w:tc>
          <w:tcPr>
            <w:tcW w:w="1417" w:type="dxa"/>
            <w:shd w:val="clear" w:color="auto" w:fill="auto"/>
            <w:vAlign w:val="bottom"/>
          </w:tcPr>
          <w:p w14:paraId="5BCDAD7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8</w:t>
            </w:r>
          </w:p>
        </w:tc>
        <w:tc>
          <w:tcPr>
            <w:tcW w:w="1418" w:type="dxa"/>
            <w:shd w:val="clear" w:color="auto" w:fill="auto"/>
            <w:vAlign w:val="bottom"/>
          </w:tcPr>
          <w:p w14:paraId="7C85911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12</w:t>
            </w:r>
          </w:p>
        </w:tc>
        <w:tc>
          <w:tcPr>
            <w:tcW w:w="1416" w:type="dxa"/>
            <w:shd w:val="clear" w:color="auto" w:fill="auto"/>
            <w:vAlign w:val="bottom"/>
          </w:tcPr>
          <w:p w14:paraId="2B1C02C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304EF18F" w14:textId="77777777" w:rsidTr="006F6842">
        <w:trPr>
          <w:trHeight w:val="240"/>
        </w:trPr>
        <w:tc>
          <w:tcPr>
            <w:tcW w:w="567" w:type="dxa"/>
            <w:shd w:val="clear" w:color="auto" w:fill="auto"/>
          </w:tcPr>
          <w:p w14:paraId="5F4AF10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18</w:t>
            </w:r>
          </w:p>
        </w:tc>
        <w:tc>
          <w:tcPr>
            <w:tcW w:w="2552" w:type="dxa"/>
            <w:shd w:val="clear" w:color="auto" w:fill="auto"/>
            <w:vAlign w:val="bottom"/>
          </w:tcPr>
          <w:p w14:paraId="590CAD9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Nakhon Si Thammarat</w:t>
            </w:r>
          </w:p>
        </w:tc>
        <w:tc>
          <w:tcPr>
            <w:tcW w:w="1417" w:type="dxa"/>
            <w:shd w:val="clear" w:color="auto" w:fill="auto"/>
            <w:vAlign w:val="bottom"/>
          </w:tcPr>
          <w:p w14:paraId="566B9DB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14</w:t>
            </w:r>
          </w:p>
        </w:tc>
        <w:tc>
          <w:tcPr>
            <w:tcW w:w="1418" w:type="dxa"/>
            <w:shd w:val="clear" w:color="auto" w:fill="auto"/>
            <w:vAlign w:val="bottom"/>
          </w:tcPr>
          <w:p w14:paraId="798D7F7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c>
          <w:tcPr>
            <w:tcW w:w="1416" w:type="dxa"/>
            <w:shd w:val="clear" w:color="auto" w:fill="auto"/>
            <w:vAlign w:val="bottom"/>
          </w:tcPr>
          <w:p w14:paraId="445FF53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17</w:t>
            </w:r>
          </w:p>
        </w:tc>
      </w:tr>
      <w:tr w:rsidR="00062B95" w:rsidRPr="00062B95" w14:paraId="7657C3D1" w14:textId="77777777" w:rsidTr="006F6842">
        <w:trPr>
          <w:trHeight w:val="240"/>
        </w:trPr>
        <w:tc>
          <w:tcPr>
            <w:tcW w:w="567" w:type="dxa"/>
            <w:shd w:val="clear" w:color="auto" w:fill="auto"/>
          </w:tcPr>
          <w:p w14:paraId="5F95C5B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19</w:t>
            </w:r>
          </w:p>
        </w:tc>
        <w:tc>
          <w:tcPr>
            <w:tcW w:w="2552" w:type="dxa"/>
            <w:shd w:val="clear" w:color="auto" w:fill="auto"/>
            <w:vAlign w:val="bottom"/>
          </w:tcPr>
          <w:p w14:paraId="0FCF550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Nakhon Sawan</w:t>
            </w:r>
          </w:p>
        </w:tc>
        <w:tc>
          <w:tcPr>
            <w:tcW w:w="1417" w:type="dxa"/>
            <w:shd w:val="clear" w:color="auto" w:fill="auto"/>
            <w:vAlign w:val="bottom"/>
          </w:tcPr>
          <w:p w14:paraId="1FFE9D7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28</w:t>
            </w:r>
          </w:p>
        </w:tc>
        <w:tc>
          <w:tcPr>
            <w:tcW w:w="1418" w:type="dxa"/>
            <w:shd w:val="clear" w:color="auto" w:fill="auto"/>
            <w:vAlign w:val="bottom"/>
          </w:tcPr>
          <w:p w14:paraId="05EB3AC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21</w:t>
            </w:r>
          </w:p>
        </w:tc>
        <w:tc>
          <w:tcPr>
            <w:tcW w:w="1416" w:type="dxa"/>
            <w:shd w:val="clear" w:color="auto" w:fill="auto"/>
            <w:vAlign w:val="bottom"/>
          </w:tcPr>
          <w:p w14:paraId="2C3B347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181DD9C7" w14:textId="77777777" w:rsidTr="006F6842">
        <w:trPr>
          <w:trHeight w:val="240"/>
        </w:trPr>
        <w:tc>
          <w:tcPr>
            <w:tcW w:w="567" w:type="dxa"/>
            <w:shd w:val="clear" w:color="auto" w:fill="auto"/>
          </w:tcPr>
          <w:p w14:paraId="200010E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20</w:t>
            </w:r>
          </w:p>
        </w:tc>
        <w:tc>
          <w:tcPr>
            <w:tcW w:w="2552" w:type="dxa"/>
            <w:shd w:val="clear" w:color="auto" w:fill="auto"/>
            <w:vAlign w:val="bottom"/>
          </w:tcPr>
          <w:p w14:paraId="3D96326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Bang Kwang</w:t>
            </w:r>
          </w:p>
        </w:tc>
        <w:tc>
          <w:tcPr>
            <w:tcW w:w="1417" w:type="dxa"/>
            <w:shd w:val="clear" w:color="auto" w:fill="auto"/>
            <w:vAlign w:val="bottom"/>
          </w:tcPr>
          <w:p w14:paraId="46199A1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11</w:t>
            </w:r>
          </w:p>
        </w:tc>
        <w:tc>
          <w:tcPr>
            <w:tcW w:w="1418" w:type="dxa"/>
            <w:shd w:val="clear" w:color="auto" w:fill="auto"/>
            <w:vAlign w:val="bottom"/>
          </w:tcPr>
          <w:p w14:paraId="5F399FC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14</w:t>
            </w:r>
          </w:p>
        </w:tc>
        <w:tc>
          <w:tcPr>
            <w:tcW w:w="1416" w:type="dxa"/>
            <w:shd w:val="clear" w:color="auto" w:fill="auto"/>
            <w:vAlign w:val="bottom"/>
          </w:tcPr>
          <w:p w14:paraId="40B26D7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r>
      <w:tr w:rsidR="00062B95" w:rsidRPr="00062B95" w14:paraId="335FCEA5" w14:textId="77777777" w:rsidTr="006F6842">
        <w:trPr>
          <w:trHeight w:val="240"/>
        </w:trPr>
        <w:tc>
          <w:tcPr>
            <w:tcW w:w="567" w:type="dxa"/>
            <w:shd w:val="clear" w:color="auto" w:fill="auto"/>
          </w:tcPr>
          <w:p w14:paraId="4C386A9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21</w:t>
            </w:r>
          </w:p>
        </w:tc>
        <w:tc>
          <w:tcPr>
            <w:tcW w:w="2552" w:type="dxa"/>
            <w:shd w:val="clear" w:color="auto" w:fill="auto"/>
            <w:vAlign w:val="bottom"/>
          </w:tcPr>
          <w:p w14:paraId="2B5D8DF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Pattani</w:t>
            </w:r>
          </w:p>
        </w:tc>
        <w:tc>
          <w:tcPr>
            <w:tcW w:w="1417" w:type="dxa"/>
            <w:shd w:val="clear" w:color="auto" w:fill="auto"/>
            <w:vAlign w:val="bottom"/>
          </w:tcPr>
          <w:p w14:paraId="3F1B897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9</w:t>
            </w:r>
          </w:p>
        </w:tc>
        <w:tc>
          <w:tcPr>
            <w:tcW w:w="1418" w:type="dxa"/>
            <w:shd w:val="clear" w:color="auto" w:fill="auto"/>
            <w:vAlign w:val="bottom"/>
          </w:tcPr>
          <w:p w14:paraId="1E76043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c>
          <w:tcPr>
            <w:tcW w:w="1416" w:type="dxa"/>
            <w:shd w:val="clear" w:color="auto" w:fill="auto"/>
            <w:vAlign w:val="bottom"/>
          </w:tcPr>
          <w:p w14:paraId="308D2F6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r>
      <w:tr w:rsidR="00062B95" w:rsidRPr="00062B95" w14:paraId="559556F8" w14:textId="77777777" w:rsidTr="006F6842">
        <w:trPr>
          <w:trHeight w:val="240"/>
        </w:trPr>
        <w:tc>
          <w:tcPr>
            <w:tcW w:w="567" w:type="dxa"/>
            <w:shd w:val="clear" w:color="auto" w:fill="auto"/>
          </w:tcPr>
          <w:p w14:paraId="7D87561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22</w:t>
            </w:r>
          </w:p>
        </w:tc>
        <w:tc>
          <w:tcPr>
            <w:tcW w:w="2552" w:type="dxa"/>
            <w:shd w:val="clear" w:color="auto" w:fill="auto"/>
            <w:vAlign w:val="bottom"/>
          </w:tcPr>
          <w:p w14:paraId="4BFDF15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Phra Nakhon Si Ayutthaya</w:t>
            </w:r>
          </w:p>
        </w:tc>
        <w:tc>
          <w:tcPr>
            <w:tcW w:w="1417" w:type="dxa"/>
            <w:shd w:val="clear" w:color="auto" w:fill="auto"/>
            <w:vAlign w:val="bottom"/>
          </w:tcPr>
          <w:p w14:paraId="682079B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40EB070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137A4AD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3395F74B" w14:textId="77777777" w:rsidTr="006F6842">
        <w:trPr>
          <w:trHeight w:val="240"/>
        </w:trPr>
        <w:tc>
          <w:tcPr>
            <w:tcW w:w="567" w:type="dxa"/>
            <w:shd w:val="clear" w:color="auto" w:fill="auto"/>
          </w:tcPr>
          <w:p w14:paraId="5D364B8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23</w:t>
            </w:r>
          </w:p>
        </w:tc>
        <w:tc>
          <w:tcPr>
            <w:tcW w:w="2552" w:type="dxa"/>
            <w:shd w:val="clear" w:color="auto" w:fill="auto"/>
            <w:vAlign w:val="bottom"/>
          </w:tcPr>
          <w:p w14:paraId="06FC2EF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Phatthalung</w:t>
            </w:r>
          </w:p>
        </w:tc>
        <w:tc>
          <w:tcPr>
            <w:tcW w:w="1417" w:type="dxa"/>
            <w:shd w:val="clear" w:color="auto" w:fill="auto"/>
            <w:vAlign w:val="bottom"/>
          </w:tcPr>
          <w:p w14:paraId="13A1B68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3DE4573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7BF2FB0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2CDB5652" w14:textId="77777777" w:rsidTr="006F6842">
        <w:trPr>
          <w:trHeight w:val="240"/>
        </w:trPr>
        <w:tc>
          <w:tcPr>
            <w:tcW w:w="567" w:type="dxa"/>
            <w:shd w:val="clear" w:color="auto" w:fill="auto"/>
          </w:tcPr>
          <w:p w14:paraId="1B3CBC8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24</w:t>
            </w:r>
          </w:p>
        </w:tc>
        <w:tc>
          <w:tcPr>
            <w:tcW w:w="2552" w:type="dxa"/>
            <w:shd w:val="clear" w:color="auto" w:fill="auto"/>
            <w:vAlign w:val="bottom"/>
          </w:tcPr>
          <w:p w14:paraId="04188CE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Phitsanulok</w:t>
            </w:r>
          </w:p>
        </w:tc>
        <w:tc>
          <w:tcPr>
            <w:tcW w:w="1417" w:type="dxa"/>
            <w:shd w:val="clear" w:color="auto" w:fill="auto"/>
            <w:vAlign w:val="bottom"/>
          </w:tcPr>
          <w:p w14:paraId="3CE29DA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13</w:t>
            </w:r>
          </w:p>
        </w:tc>
        <w:tc>
          <w:tcPr>
            <w:tcW w:w="1418" w:type="dxa"/>
            <w:shd w:val="clear" w:color="auto" w:fill="auto"/>
            <w:vAlign w:val="bottom"/>
          </w:tcPr>
          <w:p w14:paraId="5CC64BA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18</w:t>
            </w:r>
          </w:p>
        </w:tc>
        <w:tc>
          <w:tcPr>
            <w:tcW w:w="1416" w:type="dxa"/>
            <w:shd w:val="clear" w:color="auto" w:fill="auto"/>
            <w:vAlign w:val="bottom"/>
          </w:tcPr>
          <w:p w14:paraId="3E50626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r>
      <w:tr w:rsidR="00062B95" w:rsidRPr="00062B95" w14:paraId="720A610C" w14:textId="77777777" w:rsidTr="006F6842">
        <w:trPr>
          <w:trHeight w:val="240"/>
        </w:trPr>
        <w:tc>
          <w:tcPr>
            <w:tcW w:w="567" w:type="dxa"/>
            <w:shd w:val="clear" w:color="auto" w:fill="auto"/>
          </w:tcPr>
          <w:p w14:paraId="758B3FE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25</w:t>
            </w:r>
          </w:p>
        </w:tc>
        <w:tc>
          <w:tcPr>
            <w:tcW w:w="2552" w:type="dxa"/>
            <w:shd w:val="clear" w:color="auto" w:fill="auto"/>
            <w:vAlign w:val="bottom"/>
          </w:tcPr>
          <w:p w14:paraId="7A1FA95B"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Phetchaburi</w:t>
            </w:r>
          </w:p>
        </w:tc>
        <w:tc>
          <w:tcPr>
            <w:tcW w:w="1417" w:type="dxa"/>
            <w:shd w:val="clear" w:color="auto" w:fill="auto"/>
            <w:vAlign w:val="bottom"/>
          </w:tcPr>
          <w:p w14:paraId="2BB0EE7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15</w:t>
            </w:r>
          </w:p>
        </w:tc>
        <w:tc>
          <w:tcPr>
            <w:tcW w:w="1418" w:type="dxa"/>
            <w:shd w:val="clear" w:color="auto" w:fill="auto"/>
            <w:vAlign w:val="bottom"/>
          </w:tcPr>
          <w:p w14:paraId="3DB9F09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c>
          <w:tcPr>
            <w:tcW w:w="1416" w:type="dxa"/>
            <w:shd w:val="clear" w:color="auto" w:fill="auto"/>
            <w:vAlign w:val="bottom"/>
          </w:tcPr>
          <w:p w14:paraId="214F15F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r>
      <w:tr w:rsidR="00062B95" w:rsidRPr="00062B95" w14:paraId="019A47A7" w14:textId="77777777" w:rsidTr="006F6842">
        <w:trPr>
          <w:trHeight w:val="240"/>
        </w:trPr>
        <w:tc>
          <w:tcPr>
            <w:tcW w:w="567" w:type="dxa"/>
            <w:shd w:val="clear" w:color="auto" w:fill="auto"/>
          </w:tcPr>
          <w:p w14:paraId="1339EBA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26</w:t>
            </w:r>
          </w:p>
        </w:tc>
        <w:tc>
          <w:tcPr>
            <w:tcW w:w="2552" w:type="dxa"/>
            <w:shd w:val="clear" w:color="auto" w:fill="auto"/>
            <w:vAlign w:val="bottom"/>
          </w:tcPr>
          <w:p w14:paraId="3012BE9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Yala</w:t>
            </w:r>
          </w:p>
        </w:tc>
        <w:tc>
          <w:tcPr>
            <w:tcW w:w="1417" w:type="dxa"/>
            <w:shd w:val="clear" w:color="auto" w:fill="auto"/>
            <w:vAlign w:val="bottom"/>
          </w:tcPr>
          <w:p w14:paraId="5A26548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0B86EA8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51DF610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7808EEA1" w14:textId="77777777" w:rsidTr="006F6842">
        <w:trPr>
          <w:trHeight w:val="240"/>
        </w:trPr>
        <w:tc>
          <w:tcPr>
            <w:tcW w:w="567" w:type="dxa"/>
            <w:shd w:val="clear" w:color="auto" w:fill="auto"/>
          </w:tcPr>
          <w:p w14:paraId="16BB79A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27</w:t>
            </w:r>
          </w:p>
        </w:tc>
        <w:tc>
          <w:tcPr>
            <w:tcW w:w="2552" w:type="dxa"/>
            <w:shd w:val="clear" w:color="auto" w:fill="auto"/>
            <w:vAlign w:val="bottom"/>
          </w:tcPr>
          <w:p w14:paraId="3137E1E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Rayong</w:t>
            </w:r>
          </w:p>
        </w:tc>
        <w:tc>
          <w:tcPr>
            <w:tcW w:w="1417" w:type="dxa"/>
            <w:shd w:val="clear" w:color="auto" w:fill="auto"/>
            <w:vAlign w:val="bottom"/>
          </w:tcPr>
          <w:p w14:paraId="47E22A2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23</w:t>
            </w:r>
          </w:p>
        </w:tc>
        <w:tc>
          <w:tcPr>
            <w:tcW w:w="1418" w:type="dxa"/>
            <w:shd w:val="clear" w:color="auto" w:fill="auto"/>
            <w:vAlign w:val="bottom"/>
          </w:tcPr>
          <w:p w14:paraId="4A780A7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19</w:t>
            </w:r>
          </w:p>
        </w:tc>
        <w:tc>
          <w:tcPr>
            <w:tcW w:w="1416" w:type="dxa"/>
            <w:shd w:val="clear" w:color="auto" w:fill="auto"/>
            <w:vAlign w:val="bottom"/>
          </w:tcPr>
          <w:p w14:paraId="7A35ABB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20</w:t>
            </w:r>
          </w:p>
        </w:tc>
      </w:tr>
      <w:tr w:rsidR="00062B95" w:rsidRPr="00062B95" w14:paraId="414CB2DE" w14:textId="77777777" w:rsidTr="006F6842">
        <w:trPr>
          <w:trHeight w:val="240"/>
        </w:trPr>
        <w:tc>
          <w:tcPr>
            <w:tcW w:w="567" w:type="dxa"/>
            <w:shd w:val="clear" w:color="auto" w:fill="auto"/>
          </w:tcPr>
          <w:p w14:paraId="09B7996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28</w:t>
            </w:r>
          </w:p>
        </w:tc>
        <w:tc>
          <w:tcPr>
            <w:tcW w:w="2552" w:type="dxa"/>
            <w:shd w:val="clear" w:color="auto" w:fill="auto"/>
            <w:vAlign w:val="bottom"/>
          </w:tcPr>
          <w:p w14:paraId="6384516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Ratchaburi</w:t>
            </w:r>
          </w:p>
        </w:tc>
        <w:tc>
          <w:tcPr>
            <w:tcW w:w="1417" w:type="dxa"/>
            <w:shd w:val="clear" w:color="auto" w:fill="auto"/>
            <w:vAlign w:val="bottom"/>
          </w:tcPr>
          <w:p w14:paraId="66334EC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24</w:t>
            </w:r>
          </w:p>
        </w:tc>
        <w:tc>
          <w:tcPr>
            <w:tcW w:w="1418" w:type="dxa"/>
            <w:shd w:val="clear" w:color="auto" w:fill="auto"/>
            <w:vAlign w:val="bottom"/>
          </w:tcPr>
          <w:p w14:paraId="5962263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22</w:t>
            </w:r>
          </w:p>
        </w:tc>
        <w:tc>
          <w:tcPr>
            <w:tcW w:w="1416" w:type="dxa"/>
            <w:shd w:val="clear" w:color="auto" w:fill="auto"/>
            <w:vAlign w:val="bottom"/>
          </w:tcPr>
          <w:p w14:paraId="256225B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13</w:t>
            </w:r>
          </w:p>
        </w:tc>
      </w:tr>
      <w:tr w:rsidR="00062B95" w:rsidRPr="00062B95" w14:paraId="1138564F" w14:textId="77777777" w:rsidTr="006F6842">
        <w:trPr>
          <w:trHeight w:val="240"/>
        </w:trPr>
        <w:tc>
          <w:tcPr>
            <w:tcW w:w="567" w:type="dxa"/>
            <w:shd w:val="clear" w:color="auto" w:fill="auto"/>
          </w:tcPr>
          <w:p w14:paraId="3676D80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29</w:t>
            </w:r>
          </w:p>
        </w:tc>
        <w:tc>
          <w:tcPr>
            <w:tcW w:w="2552" w:type="dxa"/>
            <w:shd w:val="clear" w:color="auto" w:fill="auto"/>
            <w:vAlign w:val="bottom"/>
          </w:tcPr>
          <w:p w14:paraId="08493A5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Lop Buri</w:t>
            </w:r>
          </w:p>
        </w:tc>
        <w:tc>
          <w:tcPr>
            <w:tcW w:w="1417" w:type="dxa"/>
            <w:shd w:val="clear" w:color="auto" w:fill="auto"/>
            <w:vAlign w:val="bottom"/>
          </w:tcPr>
          <w:p w14:paraId="7C4EDF6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12</w:t>
            </w:r>
          </w:p>
        </w:tc>
        <w:tc>
          <w:tcPr>
            <w:tcW w:w="1418" w:type="dxa"/>
            <w:shd w:val="clear" w:color="auto" w:fill="auto"/>
            <w:vAlign w:val="bottom"/>
          </w:tcPr>
          <w:p w14:paraId="78DCA80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44266D3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13</w:t>
            </w:r>
          </w:p>
        </w:tc>
      </w:tr>
      <w:tr w:rsidR="00062B95" w:rsidRPr="00062B95" w14:paraId="5539121D" w14:textId="77777777" w:rsidTr="006F6842">
        <w:trPr>
          <w:trHeight w:val="240"/>
        </w:trPr>
        <w:tc>
          <w:tcPr>
            <w:tcW w:w="567" w:type="dxa"/>
            <w:shd w:val="clear" w:color="auto" w:fill="auto"/>
          </w:tcPr>
          <w:p w14:paraId="3953D63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30</w:t>
            </w:r>
          </w:p>
        </w:tc>
        <w:tc>
          <w:tcPr>
            <w:tcW w:w="2552" w:type="dxa"/>
            <w:shd w:val="clear" w:color="auto" w:fill="auto"/>
            <w:vAlign w:val="bottom"/>
          </w:tcPr>
          <w:p w14:paraId="604CBFD5"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Lampang</w:t>
            </w:r>
          </w:p>
        </w:tc>
        <w:tc>
          <w:tcPr>
            <w:tcW w:w="1417" w:type="dxa"/>
            <w:shd w:val="clear" w:color="auto" w:fill="auto"/>
            <w:vAlign w:val="bottom"/>
          </w:tcPr>
          <w:p w14:paraId="7B684AC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16</w:t>
            </w:r>
          </w:p>
        </w:tc>
        <w:tc>
          <w:tcPr>
            <w:tcW w:w="1418" w:type="dxa"/>
            <w:shd w:val="clear" w:color="auto" w:fill="auto"/>
            <w:vAlign w:val="bottom"/>
          </w:tcPr>
          <w:p w14:paraId="6B08E26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19</w:t>
            </w:r>
          </w:p>
        </w:tc>
        <w:tc>
          <w:tcPr>
            <w:tcW w:w="1416" w:type="dxa"/>
            <w:shd w:val="clear" w:color="auto" w:fill="auto"/>
            <w:vAlign w:val="bottom"/>
          </w:tcPr>
          <w:p w14:paraId="4EE2288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11</w:t>
            </w:r>
          </w:p>
        </w:tc>
      </w:tr>
      <w:tr w:rsidR="00062B95" w:rsidRPr="00062B95" w14:paraId="7D36DC42" w14:textId="77777777" w:rsidTr="006F6842">
        <w:trPr>
          <w:trHeight w:val="240"/>
        </w:trPr>
        <w:tc>
          <w:tcPr>
            <w:tcW w:w="567" w:type="dxa"/>
            <w:shd w:val="clear" w:color="auto" w:fill="auto"/>
          </w:tcPr>
          <w:p w14:paraId="0978CB4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31</w:t>
            </w:r>
          </w:p>
        </w:tc>
        <w:tc>
          <w:tcPr>
            <w:tcW w:w="2552" w:type="dxa"/>
            <w:shd w:val="clear" w:color="auto" w:fill="auto"/>
            <w:vAlign w:val="bottom"/>
          </w:tcPr>
          <w:p w14:paraId="7A1B86C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Songkhla</w:t>
            </w:r>
          </w:p>
        </w:tc>
        <w:tc>
          <w:tcPr>
            <w:tcW w:w="1417" w:type="dxa"/>
            <w:shd w:val="clear" w:color="auto" w:fill="auto"/>
            <w:vAlign w:val="bottom"/>
          </w:tcPr>
          <w:p w14:paraId="0D0FA47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2C2641D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52B8238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331F235D" w14:textId="77777777" w:rsidTr="006F6842">
        <w:trPr>
          <w:trHeight w:val="240"/>
        </w:trPr>
        <w:tc>
          <w:tcPr>
            <w:tcW w:w="567" w:type="dxa"/>
            <w:shd w:val="clear" w:color="auto" w:fill="auto"/>
          </w:tcPr>
          <w:p w14:paraId="3CACCC5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32</w:t>
            </w:r>
          </w:p>
        </w:tc>
        <w:tc>
          <w:tcPr>
            <w:tcW w:w="2552" w:type="dxa"/>
            <w:shd w:val="clear" w:color="auto" w:fill="auto"/>
            <w:vAlign w:val="bottom"/>
          </w:tcPr>
          <w:p w14:paraId="4C28ACF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Samut Prakarn</w:t>
            </w:r>
          </w:p>
        </w:tc>
        <w:tc>
          <w:tcPr>
            <w:tcW w:w="1417" w:type="dxa"/>
            <w:shd w:val="clear" w:color="auto" w:fill="auto"/>
            <w:vAlign w:val="bottom"/>
          </w:tcPr>
          <w:p w14:paraId="4F80DE9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36</w:t>
            </w:r>
          </w:p>
        </w:tc>
        <w:tc>
          <w:tcPr>
            <w:tcW w:w="1418" w:type="dxa"/>
            <w:shd w:val="clear" w:color="auto" w:fill="auto"/>
            <w:vAlign w:val="bottom"/>
          </w:tcPr>
          <w:p w14:paraId="1DE7422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33</w:t>
            </w:r>
          </w:p>
        </w:tc>
        <w:tc>
          <w:tcPr>
            <w:tcW w:w="1416" w:type="dxa"/>
            <w:shd w:val="clear" w:color="auto" w:fill="auto"/>
            <w:vAlign w:val="bottom"/>
          </w:tcPr>
          <w:p w14:paraId="4BE1DE6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18</w:t>
            </w:r>
          </w:p>
        </w:tc>
      </w:tr>
      <w:tr w:rsidR="00062B95" w:rsidRPr="00062B95" w14:paraId="5EC060B0" w14:textId="77777777" w:rsidTr="006F6842">
        <w:trPr>
          <w:trHeight w:val="240"/>
        </w:trPr>
        <w:tc>
          <w:tcPr>
            <w:tcW w:w="567" w:type="dxa"/>
            <w:shd w:val="clear" w:color="auto" w:fill="auto"/>
          </w:tcPr>
          <w:p w14:paraId="4C9C74D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33</w:t>
            </w:r>
          </w:p>
        </w:tc>
        <w:tc>
          <w:tcPr>
            <w:tcW w:w="2552" w:type="dxa"/>
            <w:shd w:val="clear" w:color="auto" w:fill="auto"/>
            <w:vAlign w:val="bottom"/>
          </w:tcPr>
          <w:p w14:paraId="293C001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Samut Songkhram</w:t>
            </w:r>
          </w:p>
        </w:tc>
        <w:tc>
          <w:tcPr>
            <w:tcW w:w="1417" w:type="dxa"/>
            <w:shd w:val="clear" w:color="auto" w:fill="auto"/>
            <w:vAlign w:val="bottom"/>
          </w:tcPr>
          <w:p w14:paraId="7DDCB9A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17CB8EE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77359C7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7ED55E79" w14:textId="77777777" w:rsidTr="006F6842">
        <w:trPr>
          <w:trHeight w:val="240"/>
        </w:trPr>
        <w:tc>
          <w:tcPr>
            <w:tcW w:w="567" w:type="dxa"/>
            <w:shd w:val="clear" w:color="auto" w:fill="auto"/>
          </w:tcPr>
          <w:p w14:paraId="154A29A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34</w:t>
            </w:r>
          </w:p>
        </w:tc>
        <w:tc>
          <w:tcPr>
            <w:tcW w:w="2552" w:type="dxa"/>
            <w:shd w:val="clear" w:color="auto" w:fill="auto"/>
            <w:vAlign w:val="bottom"/>
          </w:tcPr>
          <w:p w14:paraId="592D1D8C"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Surat Thani</w:t>
            </w:r>
          </w:p>
        </w:tc>
        <w:tc>
          <w:tcPr>
            <w:tcW w:w="1417" w:type="dxa"/>
            <w:shd w:val="clear" w:color="auto" w:fill="auto"/>
            <w:vAlign w:val="bottom"/>
          </w:tcPr>
          <w:p w14:paraId="32D365F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7</w:t>
            </w:r>
          </w:p>
        </w:tc>
        <w:tc>
          <w:tcPr>
            <w:tcW w:w="1418" w:type="dxa"/>
            <w:shd w:val="clear" w:color="auto" w:fill="auto"/>
            <w:vAlign w:val="bottom"/>
          </w:tcPr>
          <w:p w14:paraId="72FA9F7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13C4C56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17AEA845" w14:textId="77777777" w:rsidTr="006F6842">
        <w:trPr>
          <w:trHeight w:val="240"/>
        </w:trPr>
        <w:tc>
          <w:tcPr>
            <w:tcW w:w="567" w:type="dxa"/>
            <w:shd w:val="clear" w:color="auto" w:fill="auto"/>
          </w:tcPr>
          <w:p w14:paraId="5A963D4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35</w:t>
            </w:r>
          </w:p>
        </w:tc>
        <w:tc>
          <w:tcPr>
            <w:tcW w:w="2552" w:type="dxa"/>
            <w:shd w:val="clear" w:color="auto" w:fill="auto"/>
            <w:vAlign w:val="bottom"/>
          </w:tcPr>
          <w:p w14:paraId="50BA5178"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Surin</w:t>
            </w:r>
          </w:p>
        </w:tc>
        <w:tc>
          <w:tcPr>
            <w:tcW w:w="1417" w:type="dxa"/>
            <w:shd w:val="clear" w:color="auto" w:fill="auto"/>
            <w:vAlign w:val="bottom"/>
          </w:tcPr>
          <w:p w14:paraId="16D43FA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6</w:t>
            </w:r>
          </w:p>
        </w:tc>
        <w:tc>
          <w:tcPr>
            <w:tcW w:w="1418" w:type="dxa"/>
            <w:shd w:val="clear" w:color="auto" w:fill="auto"/>
            <w:vAlign w:val="bottom"/>
          </w:tcPr>
          <w:p w14:paraId="679B12C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432C5B1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11751F4A" w14:textId="77777777" w:rsidTr="006F6842">
        <w:trPr>
          <w:trHeight w:val="240"/>
        </w:trPr>
        <w:tc>
          <w:tcPr>
            <w:tcW w:w="567" w:type="dxa"/>
            <w:shd w:val="clear" w:color="auto" w:fill="auto"/>
          </w:tcPr>
          <w:p w14:paraId="227A13A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36</w:t>
            </w:r>
          </w:p>
        </w:tc>
        <w:tc>
          <w:tcPr>
            <w:tcW w:w="2552" w:type="dxa"/>
            <w:shd w:val="clear" w:color="auto" w:fill="auto"/>
            <w:vAlign w:val="bottom"/>
          </w:tcPr>
          <w:p w14:paraId="40514E3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Udon Thani</w:t>
            </w:r>
          </w:p>
        </w:tc>
        <w:tc>
          <w:tcPr>
            <w:tcW w:w="1417" w:type="dxa"/>
            <w:shd w:val="clear" w:color="auto" w:fill="auto"/>
            <w:vAlign w:val="bottom"/>
          </w:tcPr>
          <w:p w14:paraId="0A32EF6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21</w:t>
            </w:r>
          </w:p>
        </w:tc>
        <w:tc>
          <w:tcPr>
            <w:tcW w:w="1418" w:type="dxa"/>
            <w:shd w:val="clear" w:color="auto" w:fill="auto"/>
            <w:vAlign w:val="bottom"/>
          </w:tcPr>
          <w:p w14:paraId="5F15E35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25</w:t>
            </w:r>
          </w:p>
        </w:tc>
        <w:tc>
          <w:tcPr>
            <w:tcW w:w="1416" w:type="dxa"/>
            <w:shd w:val="clear" w:color="auto" w:fill="auto"/>
            <w:vAlign w:val="bottom"/>
          </w:tcPr>
          <w:p w14:paraId="65BFFDB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14</w:t>
            </w:r>
          </w:p>
        </w:tc>
      </w:tr>
      <w:tr w:rsidR="00062B95" w:rsidRPr="00062B95" w14:paraId="20F8A634" w14:textId="77777777" w:rsidTr="006F6842">
        <w:trPr>
          <w:trHeight w:val="240"/>
        </w:trPr>
        <w:tc>
          <w:tcPr>
            <w:tcW w:w="567" w:type="dxa"/>
            <w:shd w:val="clear" w:color="auto" w:fill="auto"/>
          </w:tcPr>
          <w:p w14:paraId="553E0A2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37</w:t>
            </w:r>
          </w:p>
        </w:tc>
        <w:tc>
          <w:tcPr>
            <w:tcW w:w="2552" w:type="dxa"/>
            <w:shd w:val="clear" w:color="auto" w:fill="auto"/>
            <w:vAlign w:val="bottom"/>
          </w:tcPr>
          <w:p w14:paraId="4817B9A8"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central de Ubon Ratchathani</w:t>
            </w:r>
          </w:p>
        </w:tc>
        <w:tc>
          <w:tcPr>
            <w:tcW w:w="1417" w:type="dxa"/>
            <w:shd w:val="clear" w:color="auto" w:fill="auto"/>
            <w:vAlign w:val="bottom"/>
          </w:tcPr>
          <w:p w14:paraId="513A2CC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16</w:t>
            </w:r>
          </w:p>
        </w:tc>
        <w:tc>
          <w:tcPr>
            <w:tcW w:w="1418" w:type="dxa"/>
            <w:shd w:val="clear" w:color="auto" w:fill="auto"/>
            <w:vAlign w:val="bottom"/>
          </w:tcPr>
          <w:p w14:paraId="3FD5E5A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22</w:t>
            </w:r>
          </w:p>
        </w:tc>
        <w:tc>
          <w:tcPr>
            <w:tcW w:w="1416" w:type="dxa"/>
            <w:shd w:val="clear" w:color="auto" w:fill="auto"/>
            <w:vAlign w:val="bottom"/>
          </w:tcPr>
          <w:p w14:paraId="0BD90DF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67A7BD35" w14:textId="77777777" w:rsidTr="006F6842">
        <w:trPr>
          <w:trHeight w:val="240"/>
        </w:trPr>
        <w:tc>
          <w:tcPr>
            <w:tcW w:w="567" w:type="dxa"/>
            <w:shd w:val="clear" w:color="auto" w:fill="auto"/>
          </w:tcPr>
          <w:p w14:paraId="7E0CCF9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38</w:t>
            </w:r>
          </w:p>
        </w:tc>
        <w:tc>
          <w:tcPr>
            <w:tcW w:w="2552" w:type="dxa"/>
            <w:shd w:val="clear" w:color="auto" w:fill="auto"/>
            <w:vAlign w:val="bottom"/>
          </w:tcPr>
          <w:p w14:paraId="4C849E4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Krabi</w:t>
            </w:r>
          </w:p>
        </w:tc>
        <w:tc>
          <w:tcPr>
            <w:tcW w:w="1417" w:type="dxa"/>
            <w:shd w:val="clear" w:color="auto" w:fill="auto"/>
            <w:vAlign w:val="bottom"/>
          </w:tcPr>
          <w:p w14:paraId="16B8320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3365020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11</w:t>
            </w:r>
          </w:p>
        </w:tc>
        <w:tc>
          <w:tcPr>
            <w:tcW w:w="1416" w:type="dxa"/>
            <w:shd w:val="clear" w:color="auto" w:fill="auto"/>
            <w:vAlign w:val="bottom"/>
          </w:tcPr>
          <w:p w14:paraId="450B903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2828C30F" w14:textId="77777777" w:rsidTr="006F6842">
        <w:trPr>
          <w:trHeight w:val="240"/>
        </w:trPr>
        <w:tc>
          <w:tcPr>
            <w:tcW w:w="567" w:type="dxa"/>
            <w:shd w:val="clear" w:color="auto" w:fill="auto"/>
          </w:tcPr>
          <w:p w14:paraId="29127B7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39</w:t>
            </w:r>
          </w:p>
        </w:tc>
        <w:tc>
          <w:tcPr>
            <w:tcW w:w="2552" w:type="dxa"/>
            <w:shd w:val="clear" w:color="auto" w:fill="auto"/>
            <w:vAlign w:val="bottom"/>
          </w:tcPr>
          <w:p w14:paraId="451641B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Kanchanaburi</w:t>
            </w:r>
          </w:p>
        </w:tc>
        <w:tc>
          <w:tcPr>
            <w:tcW w:w="1417" w:type="dxa"/>
            <w:shd w:val="clear" w:color="auto" w:fill="auto"/>
            <w:vAlign w:val="bottom"/>
          </w:tcPr>
          <w:p w14:paraId="01E3F50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15</w:t>
            </w:r>
          </w:p>
        </w:tc>
        <w:tc>
          <w:tcPr>
            <w:tcW w:w="1418" w:type="dxa"/>
            <w:shd w:val="clear" w:color="auto" w:fill="auto"/>
            <w:vAlign w:val="bottom"/>
          </w:tcPr>
          <w:p w14:paraId="213AF3F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21</w:t>
            </w:r>
          </w:p>
        </w:tc>
        <w:tc>
          <w:tcPr>
            <w:tcW w:w="1416" w:type="dxa"/>
            <w:shd w:val="clear" w:color="auto" w:fill="auto"/>
            <w:vAlign w:val="bottom"/>
          </w:tcPr>
          <w:p w14:paraId="6DAD307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5E4C363C" w14:textId="77777777" w:rsidTr="006F6842">
        <w:trPr>
          <w:trHeight w:val="240"/>
        </w:trPr>
        <w:tc>
          <w:tcPr>
            <w:tcW w:w="567" w:type="dxa"/>
            <w:shd w:val="clear" w:color="auto" w:fill="auto"/>
          </w:tcPr>
          <w:p w14:paraId="3ECFE61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40</w:t>
            </w:r>
          </w:p>
        </w:tc>
        <w:tc>
          <w:tcPr>
            <w:tcW w:w="2552" w:type="dxa"/>
            <w:shd w:val="clear" w:color="auto" w:fill="auto"/>
            <w:vAlign w:val="bottom"/>
          </w:tcPr>
          <w:p w14:paraId="48BB2A25"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Kalasin</w:t>
            </w:r>
          </w:p>
        </w:tc>
        <w:tc>
          <w:tcPr>
            <w:tcW w:w="1417" w:type="dxa"/>
            <w:shd w:val="clear" w:color="auto" w:fill="auto"/>
            <w:vAlign w:val="bottom"/>
          </w:tcPr>
          <w:p w14:paraId="4F4C97D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17</w:t>
            </w:r>
          </w:p>
        </w:tc>
        <w:tc>
          <w:tcPr>
            <w:tcW w:w="1418" w:type="dxa"/>
            <w:shd w:val="clear" w:color="auto" w:fill="auto"/>
            <w:vAlign w:val="bottom"/>
          </w:tcPr>
          <w:p w14:paraId="486A217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24</w:t>
            </w:r>
          </w:p>
        </w:tc>
        <w:tc>
          <w:tcPr>
            <w:tcW w:w="1416" w:type="dxa"/>
            <w:shd w:val="clear" w:color="auto" w:fill="auto"/>
            <w:vAlign w:val="bottom"/>
          </w:tcPr>
          <w:p w14:paraId="2A92D6E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r>
      <w:tr w:rsidR="00062B95" w:rsidRPr="00062B95" w14:paraId="3D1DF8A4" w14:textId="77777777" w:rsidTr="006F6842">
        <w:trPr>
          <w:trHeight w:val="240"/>
        </w:trPr>
        <w:tc>
          <w:tcPr>
            <w:tcW w:w="567" w:type="dxa"/>
            <w:shd w:val="clear" w:color="auto" w:fill="auto"/>
          </w:tcPr>
          <w:p w14:paraId="2CC98A7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41</w:t>
            </w:r>
          </w:p>
        </w:tc>
        <w:tc>
          <w:tcPr>
            <w:tcW w:w="2552" w:type="dxa"/>
            <w:shd w:val="clear" w:color="auto" w:fill="auto"/>
            <w:vAlign w:val="bottom"/>
          </w:tcPr>
          <w:p w14:paraId="4AD1DBE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Chanthaburi</w:t>
            </w:r>
          </w:p>
        </w:tc>
        <w:tc>
          <w:tcPr>
            <w:tcW w:w="1417" w:type="dxa"/>
            <w:shd w:val="clear" w:color="auto" w:fill="auto"/>
            <w:vAlign w:val="bottom"/>
          </w:tcPr>
          <w:p w14:paraId="6FEF3E7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8</w:t>
            </w:r>
          </w:p>
        </w:tc>
        <w:tc>
          <w:tcPr>
            <w:tcW w:w="1418" w:type="dxa"/>
            <w:shd w:val="clear" w:color="auto" w:fill="auto"/>
            <w:vAlign w:val="bottom"/>
          </w:tcPr>
          <w:p w14:paraId="483BF82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12</w:t>
            </w:r>
          </w:p>
        </w:tc>
        <w:tc>
          <w:tcPr>
            <w:tcW w:w="1416" w:type="dxa"/>
            <w:shd w:val="clear" w:color="auto" w:fill="auto"/>
            <w:vAlign w:val="bottom"/>
          </w:tcPr>
          <w:p w14:paraId="3FABCE8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010AE4F6" w14:textId="77777777" w:rsidTr="006F6842">
        <w:trPr>
          <w:trHeight w:val="240"/>
        </w:trPr>
        <w:tc>
          <w:tcPr>
            <w:tcW w:w="567" w:type="dxa"/>
            <w:shd w:val="clear" w:color="auto" w:fill="auto"/>
          </w:tcPr>
          <w:p w14:paraId="41D873E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42</w:t>
            </w:r>
          </w:p>
        </w:tc>
        <w:tc>
          <w:tcPr>
            <w:tcW w:w="2552" w:type="dxa"/>
            <w:shd w:val="clear" w:color="auto" w:fill="auto"/>
            <w:vAlign w:val="bottom"/>
          </w:tcPr>
          <w:p w14:paraId="27E289C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Chai Nat</w:t>
            </w:r>
          </w:p>
        </w:tc>
        <w:tc>
          <w:tcPr>
            <w:tcW w:w="1417" w:type="dxa"/>
            <w:shd w:val="clear" w:color="auto" w:fill="auto"/>
            <w:vAlign w:val="bottom"/>
          </w:tcPr>
          <w:p w14:paraId="38CD827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7</w:t>
            </w:r>
          </w:p>
        </w:tc>
        <w:tc>
          <w:tcPr>
            <w:tcW w:w="1418" w:type="dxa"/>
            <w:shd w:val="clear" w:color="auto" w:fill="auto"/>
            <w:vAlign w:val="bottom"/>
          </w:tcPr>
          <w:p w14:paraId="3F131F3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5BA26BB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r>
      <w:tr w:rsidR="00062B95" w:rsidRPr="00062B95" w14:paraId="029AD4A6" w14:textId="77777777" w:rsidTr="006F6842">
        <w:trPr>
          <w:trHeight w:val="240"/>
        </w:trPr>
        <w:tc>
          <w:tcPr>
            <w:tcW w:w="567" w:type="dxa"/>
            <w:shd w:val="clear" w:color="auto" w:fill="auto"/>
          </w:tcPr>
          <w:p w14:paraId="19FE5B8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43</w:t>
            </w:r>
          </w:p>
        </w:tc>
        <w:tc>
          <w:tcPr>
            <w:tcW w:w="2552" w:type="dxa"/>
            <w:shd w:val="clear" w:color="auto" w:fill="auto"/>
            <w:vAlign w:val="bottom"/>
          </w:tcPr>
          <w:p w14:paraId="4E0B142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Chaiyaphum</w:t>
            </w:r>
          </w:p>
        </w:tc>
        <w:tc>
          <w:tcPr>
            <w:tcW w:w="1417" w:type="dxa"/>
            <w:shd w:val="clear" w:color="auto" w:fill="auto"/>
            <w:vAlign w:val="bottom"/>
          </w:tcPr>
          <w:p w14:paraId="1A11F38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3DB856D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63E9277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6DA71AA0" w14:textId="77777777" w:rsidTr="006F6842">
        <w:trPr>
          <w:trHeight w:val="240"/>
        </w:trPr>
        <w:tc>
          <w:tcPr>
            <w:tcW w:w="567" w:type="dxa"/>
            <w:shd w:val="clear" w:color="auto" w:fill="auto"/>
          </w:tcPr>
          <w:p w14:paraId="08DC996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44</w:t>
            </w:r>
          </w:p>
        </w:tc>
        <w:tc>
          <w:tcPr>
            <w:tcW w:w="2552" w:type="dxa"/>
            <w:shd w:val="clear" w:color="auto" w:fill="auto"/>
            <w:vAlign w:val="bottom"/>
          </w:tcPr>
          <w:p w14:paraId="11F6E27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Chumphon</w:t>
            </w:r>
          </w:p>
        </w:tc>
        <w:tc>
          <w:tcPr>
            <w:tcW w:w="1417" w:type="dxa"/>
            <w:shd w:val="clear" w:color="auto" w:fill="auto"/>
            <w:vAlign w:val="bottom"/>
          </w:tcPr>
          <w:p w14:paraId="475B917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1EE9734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7CF8BE3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29E4352B" w14:textId="77777777" w:rsidTr="006F6842">
        <w:trPr>
          <w:trHeight w:val="240"/>
        </w:trPr>
        <w:tc>
          <w:tcPr>
            <w:tcW w:w="567" w:type="dxa"/>
            <w:shd w:val="clear" w:color="auto" w:fill="auto"/>
          </w:tcPr>
          <w:p w14:paraId="3EB55EB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45</w:t>
            </w:r>
          </w:p>
        </w:tc>
        <w:tc>
          <w:tcPr>
            <w:tcW w:w="2552" w:type="dxa"/>
            <w:shd w:val="clear" w:color="auto" w:fill="auto"/>
            <w:vAlign w:val="bottom"/>
          </w:tcPr>
          <w:p w14:paraId="4EFE7BC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Trang</w:t>
            </w:r>
          </w:p>
        </w:tc>
        <w:tc>
          <w:tcPr>
            <w:tcW w:w="1417" w:type="dxa"/>
            <w:shd w:val="clear" w:color="auto" w:fill="auto"/>
            <w:vAlign w:val="bottom"/>
          </w:tcPr>
          <w:p w14:paraId="13E0369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6</w:t>
            </w:r>
          </w:p>
        </w:tc>
        <w:tc>
          <w:tcPr>
            <w:tcW w:w="1418" w:type="dxa"/>
            <w:shd w:val="clear" w:color="auto" w:fill="auto"/>
            <w:vAlign w:val="bottom"/>
          </w:tcPr>
          <w:p w14:paraId="1B9B5E3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327ABE5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1C0E80C2" w14:textId="77777777" w:rsidTr="006F6842">
        <w:trPr>
          <w:trHeight w:val="240"/>
        </w:trPr>
        <w:tc>
          <w:tcPr>
            <w:tcW w:w="567" w:type="dxa"/>
            <w:shd w:val="clear" w:color="auto" w:fill="auto"/>
          </w:tcPr>
          <w:p w14:paraId="32D8833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46</w:t>
            </w:r>
          </w:p>
        </w:tc>
        <w:tc>
          <w:tcPr>
            <w:tcW w:w="2552" w:type="dxa"/>
            <w:shd w:val="clear" w:color="auto" w:fill="auto"/>
            <w:vAlign w:val="bottom"/>
          </w:tcPr>
          <w:p w14:paraId="372FCC7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Trat</w:t>
            </w:r>
          </w:p>
        </w:tc>
        <w:tc>
          <w:tcPr>
            <w:tcW w:w="1417" w:type="dxa"/>
            <w:shd w:val="clear" w:color="auto" w:fill="auto"/>
            <w:vAlign w:val="bottom"/>
          </w:tcPr>
          <w:p w14:paraId="3FC312F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39BBA0F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6E1AFAA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4108536F" w14:textId="77777777" w:rsidTr="006F6842">
        <w:trPr>
          <w:trHeight w:val="240"/>
        </w:trPr>
        <w:tc>
          <w:tcPr>
            <w:tcW w:w="567" w:type="dxa"/>
            <w:shd w:val="clear" w:color="auto" w:fill="auto"/>
          </w:tcPr>
          <w:p w14:paraId="736E4CD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47</w:t>
            </w:r>
          </w:p>
        </w:tc>
        <w:tc>
          <w:tcPr>
            <w:tcW w:w="2552" w:type="dxa"/>
            <w:shd w:val="clear" w:color="auto" w:fill="auto"/>
            <w:vAlign w:val="bottom"/>
          </w:tcPr>
          <w:p w14:paraId="6986E76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Nakhon Nayok</w:t>
            </w:r>
          </w:p>
        </w:tc>
        <w:tc>
          <w:tcPr>
            <w:tcW w:w="1417" w:type="dxa"/>
            <w:shd w:val="clear" w:color="auto" w:fill="auto"/>
            <w:vAlign w:val="bottom"/>
          </w:tcPr>
          <w:p w14:paraId="7768AB8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0589CBC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125AD0C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00A2617F" w14:textId="77777777" w:rsidTr="006F6842">
        <w:trPr>
          <w:trHeight w:val="240"/>
        </w:trPr>
        <w:tc>
          <w:tcPr>
            <w:tcW w:w="567" w:type="dxa"/>
            <w:shd w:val="clear" w:color="auto" w:fill="auto"/>
          </w:tcPr>
          <w:p w14:paraId="7775ADC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48</w:t>
            </w:r>
          </w:p>
        </w:tc>
        <w:tc>
          <w:tcPr>
            <w:tcW w:w="2552" w:type="dxa"/>
            <w:shd w:val="clear" w:color="auto" w:fill="auto"/>
            <w:vAlign w:val="bottom"/>
          </w:tcPr>
          <w:p w14:paraId="78998190"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Nonthaburi</w:t>
            </w:r>
          </w:p>
        </w:tc>
        <w:tc>
          <w:tcPr>
            <w:tcW w:w="1417" w:type="dxa"/>
            <w:shd w:val="clear" w:color="auto" w:fill="auto"/>
            <w:vAlign w:val="bottom"/>
          </w:tcPr>
          <w:p w14:paraId="340C675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5AE4B84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c>
          <w:tcPr>
            <w:tcW w:w="1416" w:type="dxa"/>
            <w:shd w:val="clear" w:color="auto" w:fill="auto"/>
            <w:vAlign w:val="bottom"/>
          </w:tcPr>
          <w:p w14:paraId="137EC04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5C5A4089" w14:textId="77777777" w:rsidTr="006F6842">
        <w:trPr>
          <w:trHeight w:val="240"/>
        </w:trPr>
        <w:tc>
          <w:tcPr>
            <w:tcW w:w="567" w:type="dxa"/>
            <w:shd w:val="clear" w:color="auto" w:fill="auto"/>
          </w:tcPr>
          <w:p w14:paraId="7082FD7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49</w:t>
            </w:r>
          </w:p>
        </w:tc>
        <w:tc>
          <w:tcPr>
            <w:tcW w:w="2552" w:type="dxa"/>
            <w:shd w:val="clear" w:color="auto" w:fill="auto"/>
            <w:vAlign w:val="bottom"/>
          </w:tcPr>
          <w:p w14:paraId="6C43484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Narathiwat</w:t>
            </w:r>
          </w:p>
        </w:tc>
        <w:tc>
          <w:tcPr>
            <w:tcW w:w="1417" w:type="dxa"/>
            <w:shd w:val="clear" w:color="auto" w:fill="auto"/>
            <w:vAlign w:val="bottom"/>
          </w:tcPr>
          <w:p w14:paraId="6C3997A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11</w:t>
            </w:r>
          </w:p>
        </w:tc>
        <w:tc>
          <w:tcPr>
            <w:tcW w:w="1418" w:type="dxa"/>
            <w:shd w:val="clear" w:color="auto" w:fill="auto"/>
            <w:vAlign w:val="bottom"/>
          </w:tcPr>
          <w:p w14:paraId="787BA7D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12</w:t>
            </w:r>
          </w:p>
        </w:tc>
        <w:tc>
          <w:tcPr>
            <w:tcW w:w="1416" w:type="dxa"/>
            <w:shd w:val="clear" w:color="auto" w:fill="auto"/>
            <w:vAlign w:val="bottom"/>
          </w:tcPr>
          <w:p w14:paraId="3AE41DD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5F549F3A" w14:textId="77777777" w:rsidTr="006F6842">
        <w:trPr>
          <w:trHeight w:val="240"/>
        </w:trPr>
        <w:tc>
          <w:tcPr>
            <w:tcW w:w="567" w:type="dxa"/>
            <w:shd w:val="clear" w:color="auto" w:fill="auto"/>
          </w:tcPr>
          <w:p w14:paraId="0D6AA9C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50</w:t>
            </w:r>
          </w:p>
        </w:tc>
        <w:tc>
          <w:tcPr>
            <w:tcW w:w="2552" w:type="dxa"/>
            <w:shd w:val="clear" w:color="auto" w:fill="auto"/>
            <w:vAlign w:val="bottom"/>
          </w:tcPr>
          <w:p w14:paraId="5000013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Nan</w:t>
            </w:r>
          </w:p>
        </w:tc>
        <w:tc>
          <w:tcPr>
            <w:tcW w:w="1417" w:type="dxa"/>
            <w:shd w:val="clear" w:color="auto" w:fill="auto"/>
            <w:vAlign w:val="bottom"/>
          </w:tcPr>
          <w:p w14:paraId="2B3CB27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529669B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6F63B64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08FE2564" w14:textId="77777777" w:rsidTr="006F6842">
        <w:trPr>
          <w:trHeight w:val="240"/>
        </w:trPr>
        <w:tc>
          <w:tcPr>
            <w:tcW w:w="567" w:type="dxa"/>
            <w:shd w:val="clear" w:color="auto" w:fill="auto"/>
          </w:tcPr>
          <w:p w14:paraId="4C6D616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51</w:t>
            </w:r>
          </w:p>
        </w:tc>
        <w:tc>
          <w:tcPr>
            <w:tcW w:w="2552" w:type="dxa"/>
            <w:shd w:val="clear" w:color="auto" w:fill="auto"/>
            <w:vAlign w:val="bottom"/>
          </w:tcPr>
          <w:p w14:paraId="1B3E13B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Bueng Kan</w:t>
            </w:r>
          </w:p>
        </w:tc>
        <w:tc>
          <w:tcPr>
            <w:tcW w:w="1417" w:type="dxa"/>
            <w:shd w:val="clear" w:color="auto" w:fill="auto"/>
            <w:vAlign w:val="bottom"/>
          </w:tcPr>
          <w:p w14:paraId="3786496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35BA3DD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c>
          <w:tcPr>
            <w:tcW w:w="1416" w:type="dxa"/>
            <w:shd w:val="clear" w:color="auto" w:fill="auto"/>
            <w:vAlign w:val="bottom"/>
          </w:tcPr>
          <w:p w14:paraId="44E464D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263A6798" w14:textId="77777777" w:rsidTr="006F6842">
        <w:trPr>
          <w:trHeight w:val="240"/>
        </w:trPr>
        <w:tc>
          <w:tcPr>
            <w:tcW w:w="567" w:type="dxa"/>
            <w:shd w:val="clear" w:color="auto" w:fill="auto"/>
          </w:tcPr>
          <w:p w14:paraId="18ED1C2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52</w:t>
            </w:r>
          </w:p>
        </w:tc>
        <w:tc>
          <w:tcPr>
            <w:tcW w:w="2552" w:type="dxa"/>
            <w:shd w:val="clear" w:color="auto" w:fill="auto"/>
            <w:vAlign w:val="bottom"/>
          </w:tcPr>
          <w:p w14:paraId="5B5E188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Buri Ram</w:t>
            </w:r>
          </w:p>
        </w:tc>
        <w:tc>
          <w:tcPr>
            <w:tcW w:w="1417" w:type="dxa"/>
            <w:shd w:val="clear" w:color="auto" w:fill="auto"/>
            <w:vAlign w:val="bottom"/>
          </w:tcPr>
          <w:p w14:paraId="43DFBF6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79BE630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17EAD00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41CA899C" w14:textId="77777777" w:rsidTr="006F6842">
        <w:trPr>
          <w:trHeight w:val="240"/>
        </w:trPr>
        <w:tc>
          <w:tcPr>
            <w:tcW w:w="567" w:type="dxa"/>
            <w:shd w:val="clear" w:color="auto" w:fill="auto"/>
          </w:tcPr>
          <w:p w14:paraId="29A4F2A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lastRenderedPageBreak/>
              <w:t>53</w:t>
            </w:r>
          </w:p>
        </w:tc>
        <w:tc>
          <w:tcPr>
            <w:tcW w:w="2552" w:type="dxa"/>
            <w:shd w:val="clear" w:color="auto" w:fill="auto"/>
            <w:vAlign w:val="bottom"/>
          </w:tcPr>
          <w:p w14:paraId="37FDF8F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Pathumthani</w:t>
            </w:r>
          </w:p>
        </w:tc>
        <w:tc>
          <w:tcPr>
            <w:tcW w:w="1417" w:type="dxa"/>
            <w:shd w:val="clear" w:color="auto" w:fill="auto"/>
            <w:vAlign w:val="bottom"/>
          </w:tcPr>
          <w:p w14:paraId="2544DEB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11</w:t>
            </w:r>
          </w:p>
        </w:tc>
        <w:tc>
          <w:tcPr>
            <w:tcW w:w="1418" w:type="dxa"/>
            <w:shd w:val="clear" w:color="auto" w:fill="auto"/>
            <w:vAlign w:val="bottom"/>
          </w:tcPr>
          <w:p w14:paraId="5E20FB2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c>
          <w:tcPr>
            <w:tcW w:w="1416" w:type="dxa"/>
            <w:shd w:val="clear" w:color="auto" w:fill="auto"/>
            <w:vAlign w:val="bottom"/>
          </w:tcPr>
          <w:p w14:paraId="324FFDD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5680501D" w14:textId="77777777" w:rsidTr="006F6842">
        <w:trPr>
          <w:trHeight w:val="240"/>
        </w:trPr>
        <w:tc>
          <w:tcPr>
            <w:tcW w:w="567" w:type="dxa"/>
            <w:shd w:val="clear" w:color="auto" w:fill="auto"/>
          </w:tcPr>
          <w:p w14:paraId="120DF15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54</w:t>
            </w:r>
          </w:p>
        </w:tc>
        <w:tc>
          <w:tcPr>
            <w:tcW w:w="2552" w:type="dxa"/>
            <w:shd w:val="clear" w:color="auto" w:fill="auto"/>
            <w:vAlign w:val="bottom"/>
          </w:tcPr>
          <w:p w14:paraId="3BF0CEB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Prachuap Khiri Khan</w:t>
            </w:r>
          </w:p>
        </w:tc>
        <w:tc>
          <w:tcPr>
            <w:tcW w:w="1417" w:type="dxa"/>
            <w:shd w:val="clear" w:color="auto" w:fill="auto"/>
            <w:vAlign w:val="bottom"/>
          </w:tcPr>
          <w:p w14:paraId="2036B46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6DB35AD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c>
          <w:tcPr>
            <w:tcW w:w="1416" w:type="dxa"/>
            <w:shd w:val="clear" w:color="auto" w:fill="auto"/>
            <w:vAlign w:val="bottom"/>
          </w:tcPr>
          <w:p w14:paraId="14B09CE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072A81A2" w14:textId="77777777" w:rsidTr="006F6842">
        <w:trPr>
          <w:trHeight w:val="240"/>
        </w:trPr>
        <w:tc>
          <w:tcPr>
            <w:tcW w:w="567" w:type="dxa"/>
            <w:shd w:val="clear" w:color="auto" w:fill="auto"/>
          </w:tcPr>
          <w:p w14:paraId="138E4E9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55</w:t>
            </w:r>
          </w:p>
        </w:tc>
        <w:tc>
          <w:tcPr>
            <w:tcW w:w="2552" w:type="dxa"/>
            <w:shd w:val="clear" w:color="auto" w:fill="auto"/>
            <w:vAlign w:val="bottom"/>
          </w:tcPr>
          <w:p w14:paraId="5569B97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Prachin Buri</w:t>
            </w:r>
          </w:p>
        </w:tc>
        <w:tc>
          <w:tcPr>
            <w:tcW w:w="1417" w:type="dxa"/>
            <w:shd w:val="clear" w:color="auto" w:fill="auto"/>
            <w:vAlign w:val="bottom"/>
          </w:tcPr>
          <w:p w14:paraId="53FCF66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2A86988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0896403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05A7F1D1" w14:textId="77777777" w:rsidTr="006F6842">
        <w:trPr>
          <w:trHeight w:val="240"/>
        </w:trPr>
        <w:tc>
          <w:tcPr>
            <w:tcW w:w="567" w:type="dxa"/>
            <w:shd w:val="clear" w:color="auto" w:fill="auto"/>
          </w:tcPr>
          <w:p w14:paraId="04BBDCC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cs/>
                <w:lang w:bidi="th-TH"/>
              </w:rPr>
              <w:t>56</w:t>
            </w:r>
          </w:p>
        </w:tc>
        <w:tc>
          <w:tcPr>
            <w:tcW w:w="2552" w:type="dxa"/>
            <w:shd w:val="clear" w:color="auto" w:fill="auto"/>
            <w:vAlign w:val="bottom"/>
          </w:tcPr>
          <w:p w14:paraId="361259B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Phayao</w:t>
            </w:r>
          </w:p>
        </w:tc>
        <w:tc>
          <w:tcPr>
            <w:tcW w:w="1417" w:type="dxa"/>
            <w:shd w:val="clear" w:color="auto" w:fill="auto"/>
            <w:vAlign w:val="bottom"/>
          </w:tcPr>
          <w:p w14:paraId="7909D3D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7</w:t>
            </w:r>
          </w:p>
        </w:tc>
        <w:tc>
          <w:tcPr>
            <w:tcW w:w="1418" w:type="dxa"/>
            <w:shd w:val="clear" w:color="auto" w:fill="auto"/>
            <w:vAlign w:val="bottom"/>
          </w:tcPr>
          <w:p w14:paraId="0910EF0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69AF504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58CD0BA6" w14:textId="77777777" w:rsidTr="006F6842">
        <w:trPr>
          <w:trHeight w:val="240"/>
        </w:trPr>
        <w:tc>
          <w:tcPr>
            <w:tcW w:w="567" w:type="dxa"/>
            <w:shd w:val="clear" w:color="auto" w:fill="auto"/>
          </w:tcPr>
          <w:p w14:paraId="16F4849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cs/>
                <w:lang w:bidi="th-TH"/>
              </w:rPr>
              <w:t>57</w:t>
            </w:r>
          </w:p>
        </w:tc>
        <w:tc>
          <w:tcPr>
            <w:tcW w:w="2552" w:type="dxa"/>
            <w:shd w:val="clear" w:color="auto" w:fill="auto"/>
            <w:vAlign w:val="bottom"/>
          </w:tcPr>
          <w:p w14:paraId="3D9062E3"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Phang-nga</w:t>
            </w:r>
          </w:p>
        </w:tc>
        <w:tc>
          <w:tcPr>
            <w:tcW w:w="1417" w:type="dxa"/>
            <w:shd w:val="clear" w:color="auto" w:fill="auto"/>
            <w:vAlign w:val="bottom"/>
          </w:tcPr>
          <w:p w14:paraId="672E6ED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7B5FEA4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29AC79E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3FFD7F04" w14:textId="77777777" w:rsidTr="006F6842">
        <w:trPr>
          <w:trHeight w:val="240"/>
        </w:trPr>
        <w:tc>
          <w:tcPr>
            <w:tcW w:w="567" w:type="dxa"/>
            <w:shd w:val="clear" w:color="auto" w:fill="auto"/>
          </w:tcPr>
          <w:p w14:paraId="4D44C7C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cs/>
                <w:lang w:bidi="th-TH"/>
              </w:rPr>
              <w:t>58</w:t>
            </w:r>
          </w:p>
        </w:tc>
        <w:tc>
          <w:tcPr>
            <w:tcW w:w="2552" w:type="dxa"/>
            <w:shd w:val="clear" w:color="auto" w:fill="auto"/>
            <w:vAlign w:val="bottom"/>
          </w:tcPr>
          <w:p w14:paraId="62B018E5"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Phra Nakhon Si Ayutthaya</w:t>
            </w:r>
          </w:p>
        </w:tc>
        <w:tc>
          <w:tcPr>
            <w:tcW w:w="1417" w:type="dxa"/>
            <w:shd w:val="clear" w:color="auto" w:fill="auto"/>
            <w:vAlign w:val="bottom"/>
          </w:tcPr>
          <w:p w14:paraId="18B7E49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22</w:t>
            </w:r>
          </w:p>
        </w:tc>
        <w:tc>
          <w:tcPr>
            <w:tcW w:w="1418" w:type="dxa"/>
            <w:shd w:val="clear" w:color="auto" w:fill="auto"/>
            <w:vAlign w:val="bottom"/>
          </w:tcPr>
          <w:p w14:paraId="61C9D8D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23</w:t>
            </w:r>
          </w:p>
        </w:tc>
        <w:tc>
          <w:tcPr>
            <w:tcW w:w="1416" w:type="dxa"/>
            <w:shd w:val="clear" w:color="auto" w:fill="auto"/>
            <w:vAlign w:val="bottom"/>
          </w:tcPr>
          <w:p w14:paraId="179165D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11</w:t>
            </w:r>
          </w:p>
        </w:tc>
      </w:tr>
      <w:tr w:rsidR="00062B95" w:rsidRPr="00062B95" w14:paraId="326105C5" w14:textId="77777777" w:rsidTr="006F6842">
        <w:trPr>
          <w:trHeight w:val="240"/>
        </w:trPr>
        <w:tc>
          <w:tcPr>
            <w:tcW w:w="567" w:type="dxa"/>
            <w:shd w:val="clear" w:color="auto" w:fill="auto"/>
          </w:tcPr>
          <w:p w14:paraId="7AFE8AF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59</w:t>
            </w:r>
          </w:p>
        </w:tc>
        <w:tc>
          <w:tcPr>
            <w:tcW w:w="2552" w:type="dxa"/>
            <w:shd w:val="clear" w:color="auto" w:fill="auto"/>
            <w:vAlign w:val="bottom"/>
          </w:tcPr>
          <w:p w14:paraId="12268073"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Phichit</w:t>
            </w:r>
          </w:p>
        </w:tc>
        <w:tc>
          <w:tcPr>
            <w:tcW w:w="1417" w:type="dxa"/>
            <w:shd w:val="clear" w:color="auto" w:fill="auto"/>
            <w:vAlign w:val="bottom"/>
          </w:tcPr>
          <w:p w14:paraId="6A1A775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1461545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74EC901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015A82C3" w14:textId="77777777" w:rsidTr="006F6842">
        <w:trPr>
          <w:trHeight w:val="240"/>
        </w:trPr>
        <w:tc>
          <w:tcPr>
            <w:tcW w:w="567" w:type="dxa"/>
            <w:shd w:val="clear" w:color="auto" w:fill="auto"/>
          </w:tcPr>
          <w:p w14:paraId="4F27259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60</w:t>
            </w:r>
          </w:p>
        </w:tc>
        <w:tc>
          <w:tcPr>
            <w:tcW w:w="2552" w:type="dxa"/>
            <w:shd w:val="clear" w:color="auto" w:fill="auto"/>
            <w:vAlign w:val="bottom"/>
          </w:tcPr>
          <w:p w14:paraId="2BDAEA1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Phitsanulok</w:t>
            </w:r>
          </w:p>
        </w:tc>
        <w:tc>
          <w:tcPr>
            <w:tcW w:w="1417" w:type="dxa"/>
            <w:shd w:val="clear" w:color="auto" w:fill="auto"/>
            <w:vAlign w:val="bottom"/>
          </w:tcPr>
          <w:p w14:paraId="0852C64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10</w:t>
            </w:r>
          </w:p>
        </w:tc>
        <w:tc>
          <w:tcPr>
            <w:tcW w:w="1418" w:type="dxa"/>
            <w:shd w:val="clear" w:color="auto" w:fill="auto"/>
            <w:vAlign w:val="bottom"/>
          </w:tcPr>
          <w:p w14:paraId="6A8D506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14</w:t>
            </w:r>
          </w:p>
        </w:tc>
        <w:tc>
          <w:tcPr>
            <w:tcW w:w="1416" w:type="dxa"/>
            <w:shd w:val="clear" w:color="auto" w:fill="auto"/>
            <w:vAlign w:val="bottom"/>
          </w:tcPr>
          <w:p w14:paraId="4A53867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7BA7D3D4" w14:textId="77777777" w:rsidTr="006F6842">
        <w:trPr>
          <w:trHeight w:val="240"/>
        </w:trPr>
        <w:tc>
          <w:tcPr>
            <w:tcW w:w="567" w:type="dxa"/>
            <w:shd w:val="clear" w:color="auto" w:fill="auto"/>
          </w:tcPr>
          <w:p w14:paraId="08572C2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61</w:t>
            </w:r>
          </w:p>
        </w:tc>
        <w:tc>
          <w:tcPr>
            <w:tcW w:w="2552" w:type="dxa"/>
            <w:shd w:val="clear" w:color="auto" w:fill="auto"/>
            <w:vAlign w:val="bottom"/>
          </w:tcPr>
          <w:p w14:paraId="1345F90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Phetchabun</w:t>
            </w:r>
          </w:p>
        </w:tc>
        <w:tc>
          <w:tcPr>
            <w:tcW w:w="1417" w:type="dxa"/>
            <w:shd w:val="clear" w:color="auto" w:fill="auto"/>
            <w:vAlign w:val="bottom"/>
          </w:tcPr>
          <w:p w14:paraId="7E6EBE7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798CEF2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c>
          <w:tcPr>
            <w:tcW w:w="1416" w:type="dxa"/>
            <w:shd w:val="clear" w:color="auto" w:fill="auto"/>
            <w:vAlign w:val="bottom"/>
          </w:tcPr>
          <w:p w14:paraId="2EBF4AD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20D04757" w14:textId="77777777" w:rsidTr="006F6842">
        <w:trPr>
          <w:trHeight w:val="240"/>
        </w:trPr>
        <w:tc>
          <w:tcPr>
            <w:tcW w:w="567" w:type="dxa"/>
            <w:shd w:val="clear" w:color="auto" w:fill="auto"/>
          </w:tcPr>
          <w:p w14:paraId="70765A2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62</w:t>
            </w:r>
          </w:p>
        </w:tc>
        <w:tc>
          <w:tcPr>
            <w:tcW w:w="2552" w:type="dxa"/>
            <w:shd w:val="clear" w:color="auto" w:fill="auto"/>
            <w:vAlign w:val="bottom"/>
          </w:tcPr>
          <w:p w14:paraId="076DB15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Phrae</w:t>
            </w:r>
          </w:p>
        </w:tc>
        <w:tc>
          <w:tcPr>
            <w:tcW w:w="1417" w:type="dxa"/>
            <w:shd w:val="clear" w:color="auto" w:fill="auto"/>
            <w:vAlign w:val="bottom"/>
          </w:tcPr>
          <w:p w14:paraId="1638ED0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6</w:t>
            </w:r>
          </w:p>
        </w:tc>
        <w:tc>
          <w:tcPr>
            <w:tcW w:w="1418" w:type="dxa"/>
            <w:shd w:val="clear" w:color="auto" w:fill="auto"/>
            <w:vAlign w:val="bottom"/>
          </w:tcPr>
          <w:p w14:paraId="20E94B7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31017AC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3F1270E0" w14:textId="77777777" w:rsidTr="006F6842">
        <w:trPr>
          <w:trHeight w:val="240"/>
        </w:trPr>
        <w:tc>
          <w:tcPr>
            <w:tcW w:w="567" w:type="dxa"/>
            <w:shd w:val="clear" w:color="auto" w:fill="auto"/>
          </w:tcPr>
          <w:p w14:paraId="714D91A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63</w:t>
            </w:r>
          </w:p>
        </w:tc>
        <w:tc>
          <w:tcPr>
            <w:tcW w:w="2552" w:type="dxa"/>
            <w:shd w:val="clear" w:color="auto" w:fill="auto"/>
            <w:vAlign w:val="bottom"/>
          </w:tcPr>
          <w:p w14:paraId="47DA4EB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Phuket</w:t>
            </w:r>
          </w:p>
        </w:tc>
        <w:tc>
          <w:tcPr>
            <w:tcW w:w="1417" w:type="dxa"/>
            <w:shd w:val="clear" w:color="auto" w:fill="auto"/>
            <w:vAlign w:val="bottom"/>
          </w:tcPr>
          <w:p w14:paraId="1D0BD88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9</w:t>
            </w:r>
          </w:p>
        </w:tc>
        <w:tc>
          <w:tcPr>
            <w:tcW w:w="1418" w:type="dxa"/>
            <w:shd w:val="clear" w:color="auto" w:fill="auto"/>
            <w:vAlign w:val="bottom"/>
          </w:tcPr>
          <w:p w14:paraId="6A7E25B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04795DD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7B61FEF2" w14:textId="77777777" w:rsidTr="006F6842">
        <w:trPr>
          <w:trHeight w:val="240"/>
        </w:trPr>
        <w:tc>
          <w:tcPr>
            <w:tcW w:w="567" w:type="dxa"/>
            <w:shd w:val="clear" w:color="auto" w:fill="auto"/>
          </w:tcPr>
          <w:p w14:paraId="418124C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64</w:t>
            </w:r>
          </w:p>
        </w:tc>
        <w:tc>
          <w:tcPr>
            <w:tcW w:w="2552" w:type="dxa"/>
            <w:shd w:val="clear" w:color="auto" w:fill="auto"/>
            <w:vAlign w:val="bottom"/>
          </w:tcPr>
          <w:p w14:paraId="126DCE1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Maha Sarakham</w:t>
            </w:r>
          </w:p>
        </w:tc>
        <w:tc>
          <w:tcPr>
            <w:tcW w:w="1417" w:type="dxa"/>
            <w:shd w:val="clear" w:color="auto" w:fill="auto"/>
            <w:vAlign w:val="bottom"/>
          </w:tcPr>
          <w:p w14:paraId="1988781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2372D5A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11</w:t>
            </w:r>
          </w:p>
        </w:tc>
        <w:tc>
          <w:tcPr>
            <w:tcW w:w="1416" w:type="dxa"/>
            <w:shd w:val="clear" w:color="auto" w:fill="auto"/>
            <w:vAlign w:val="bottom"/>
          </w:tcPr>
          <w:p w14:paraId="077A56D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r>
      <w:tr w:rsidR="00062B95" w:rsidRPr="00062B95" w14:paraId="4CDBAFC8" w14:textId="77777777" w:rsidTr="006F6842">
        <w:trPr>
          <w:trHeight w:val="240"/>
        </w:trPr>
        <w:tc>
          <w:tcPr>
            <w:tcW w:w="567" w:type="dxa"/>
            <w:shd w:val="clear" w:color="auto" w:fill="auto"/>
          </w:tcPr>
          <w:p w14:paraId="797E746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65</w:t>
            </w:r>
          </w:p>
        </w:tc>
        <w:tc>
          <w:tcPr>
            <w:tcW w:w="2552" w:type="dxa"/>
            <w:shd w:val="clear" w:color="auto" w:fill="auto"/>
            <w:vAlign w:val="bottom"/>
          </w:tcPr>
          <w:p w14:paraId="0343D82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Mukdahan</w:t>
            </w:r>
          </w:p>
        </w:tc>
        <w:tc>
          <w:tcPr>
            <w:tcW w:w="1417" w:type="dxa"/>
            <w:shd w:val="clear" w:color="auto" w:fill="auto"/>
            <w:vAlign w:val="bottom"/>
          </w:tcPr>
          <w:p w14:paraId="5CC8101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6</w:t>
            </w:r>
          </w:p>
        </w:tc>
        <w:tc>
          <w:tcPr>
            <w:tcW w:w="1418" w:type="dxa"/>
            <w:shd w:val="clear" w:color="auto" w:fill="auto"/>
            <w:vAlign w:val="bottom"/>
          </w:tcPr>
          <w:p w14:paraId="021DCD2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4C53FB4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6404B0B8" w14:textId="77777777" w:rsidTr="006F6842">
        <w:trPr>
          <w:trHeight w:val="240"/>
        </w:trPr>
        <w:tc>
          <w:tcPr>
            <w:tcW w:w="567" w:type="dxa"/>
            <w:shd w:val="clear" w:color="auto" w:fill="auto"/>
          </w:tcPr>
          <w:p w14:paraId="22F3661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66</w:t>
            </w:r>
          </w:p>
        </w:tc>
        <w:tc>
          <w:tcPr>
            <w:tcW w:w="2552" w:type="dxa"/>
            <w:shd w:val="clear" w:color="auto" w:fill="auto"/>
            <w:vAlign w:val="bottom"/>
          </w:tcPr>
          <w:p w14:paraId="6EA089C5"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Mae Hong son</w:t>
            </w:r>
          </w:p>
        </w:tc>
        <w:tc>
          <w:tcPr>
            <w:tcW w:w="1417" w:type="dxa"/>
            <w:shd w:val="clear" w:color="auto" w:fill="auto"/>
            <w:vAlign w:val="bottom"/>
          </w:tcPr>
          <w:p w14:paraId="1FD24FB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6248F0C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2349DF3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12734BEA" w14:textId="77777777" w:rsidTr="006F6842">
        <w:trPr>
          <w:trHeight w:val="240"/>
        </w:trPr>
        <w:tc>
          <w:tcPr>
            <w:tcW w:w="567" w:type="dxa"/>
            <w:shd w:val="clear" w:color="auto" w:fill="auto"/>
          </w:tcPr>
          <w:p w14:paraId="22FC731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67</w:t>
            </w:r>
          </w:p>
        </w:tc>
        <w:tc>
          <w:tcPr>
            <w:tcW w:w="2552" w:type="dxa"/>
            <w:shd w:val="clear" w:color="auto" w:fill="auto"/>
            <w:vAlign w:val="bottom"/>
          </w:tcPr>
          <w:p w14:paraId="49D7F09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Yasothon</w:t>
            </w:r>
          </w:p>
        </w:tc>
        <w:tc>
          <w:tcPr>
            <w:tcW w:w="1417" w:type="dxa"/>
            <w:shd w:val="clear" w:color="auto" w:fill="auto"/>
            <w:vAlign w:val="bottom"/>
          </w:tcPr>
          <w:p w14:paraId="7C35329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1FE26FA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4CE1EDF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r>
      <w:tr w:rsidR="00062B95" w:rsidRPr="00062B95" w14:paraId="7090AC6D" w14:textId="77777777" w:rsidTr="006F6842">
        <w:trPr>
          <w:trHeight w:val="240"/>
        </w:trPr>
        <w:tc>
          <w:tcPr>
            <w:tcW w:w="567" w:type="dxa"/>
            <w:shd w:val="clear" w:color="auto" w:fill="auto"/>
          </w:tcPr>
          <w:p w14:paraId="6C341D6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68</w:t>
            </w:r>
          </w:p>
        </w:tc>
        <w:tc>
          <w:tcPr>
            <w:tcW w:w="2552" w:type="dxa"/>
            <w:shd w:val="clear" w:color="auto" w:fill="auto"/>
            <w:vAlign w:val="bottom"/>
          </w:tcPr>
          <w:p w14:paraId="265910F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Ranong</w:t>
            </w:r>
          </w:p>
        </w:tc>
        <w:tc>
          <w:tcPr>
            <w:tcW w:w="1417" w:type="dxa"/>
            <w:shd w:val="clear" w:color="auto" w:fill="auto"/>
            <w:vAlign w:val="bottom"/>
          </w:tcPr>
          <w:p w14:paraId="41ECF36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3A42932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2715209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20A5579F" w14:textId="77777777" w:rsidTr="006F6842">
        <w:trPr>
          <w:trHeight w:val="240"/>
        </w:trPr>
        <w:tc>
          <w:tcPr>
            <w:tcW w:w="567" w:type="dxa"/>
            <w:shd w:val="clear" w:color="auto" w:fill="auto"/>
          </w:tcPr>
          <w:p w14:paraId="7933D4C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69</w:t>
            </w:r>
          </w:p>
        </w:tc>
        <w:tc>
          <w:tcPr>
            <w:tcW w:w="2552" w:type="dxa"/>
            <w:shd w:val="clear" w:color="auto" w:fill="auto"/>
            <w:vAlign w:val="bottom"/>
          </w:tcPr>
          <w:p w14:paraId="5477720C"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Roi Et</w:t>
            </w:r>
          </w:p>
        </w:tc>
        <w:tc>
          <w:tcPr>
            <w:tcW w:w="1417" w:type="dxa"/>
            <w:shd w:val="clear" w:color="auto" w:fill="auto"/>
            <w:vAlign w:val="bottom"/>
          </w:tcPr>
          <w:p w14:paraId="055F0B6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6</w:t>
            </w:r>
          </w:p>
        </w:tc>
        <w:tc>
          <w:tcPr>
            <w:tcW w:w="1418" w:type="dxa"/>
            <w:shd w:val="clear" w:color="auto" w:fill="auto"/>
            <w:vAlign w:val="bottom"/>
          </w:tcPr>
          <w:p w14:paraId="2A454E7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c>
          <w:tcPr>
            <w:tcW w:w="1416" w:type="dxa"/>
            <w:shd w:val="clear" w:color="auto" w:fill="auto"/>
            <w:vAlign w:val="bottom"/>
          </w:tcPr>
          <w:p w14:paraId="3FE072E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r>
      <w:tr w:rsidR="00062B95" w:rsidRPr="00062B95" w14:paraId="333172FE" w14:textId="77777777" w:rsidTr="006F6842">
        <w:trPr>
          <w:trHeight w:val="240"/>
        </w:trPr>
        <w:tc>
          <w:tcPr>
            <w:tcW w:w="567" w:type="dxa"/>
            <w:shd w:val="clear" w:color="auto" w:fill="auto"/>
          </w:tcPr>
          <w:p w14:paraId="021F35B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70</w:t>
            </w:r>
          </w:p>
        </w:tc>
        <w:tc>
          <w:tcPr>
            <w:tcW w:w="2552" w:type="dxa"/>
            <w:shd w:val="clear" w:color="auto" w:fill="auto"/>
            <w:vAlign w:val="bottom"/>
          </w:tcPr>
          <w:p w14:paraId="025CAE3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Lamphun</w:t>
            </w:r>
          </w:p>
        </w:tc>
        <w:tc>
          <w:tcPr>
            <w:tcW w:w="1417" w:type="dxa"/>
            <w:shd w:val="clear" w:color="auto" w:fill="auto"/>
            <w:vAlign w:val="bottom"/>
          </w:tcPr>
          <w:p w14:paraId="3894035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21511A8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12</w:t>
            </w:r>
          </w:p>
        </w:tc>
        <w:tc>
          <w:tcPr>
            <w:tcW w:w="1416" w:type="dxa"/>
            <w:shd w:val="clear" w:color="auto" w:fill="auto"/>
            <w:vAlign w:val="bottom"/>
          </w:tcPr>
          <w:p w14:paraId="3F72D3B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48A4C8AD" w14:textId="77777777" w:rsidTr="006F6842">
        <w:trPr>
          <w:trHeight w:val="240"/>
        </w:trPr>
        <w:tc>
          <w:tcPr>
            <w:tcW w:w="567" w:type="dxa"/>
            <w:shd w:val="clear" w:color="auto" w:fill="auto"/>
          </w:tcPr>
          <w:p w14:paraId="0B154DB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71</w:t>
            </w:r>
          </w:p>
        </w:tc>
        <w:tc>
          <w:tcPr>
            <w:tcW w:w="2552" w:type="dxa"/>
            <w:shd w:val="clear" w:color="auto" w:fill="auto"/>
            <w:vAlign w:val="bottom"/>
          </w:tcPr>
          <w:p w14:paraId="4B545933"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Loei</w:t>
            </w:r>
          </w:p>
        </w:tc>
        <w:tc>
          <w:tcPr>
            <w:tcW w:w="1417" w:type="dxa"/>
            <w:shd w:val="clear" w:color="auto" w:fill="auto"/>
            <w:vAlign w:val="bottom"/>
          </w:tcPr>
          <w:p w14:paraId="7DEED7E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4EDEE6E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584E231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5934BF7F" w14:textId="77777777" w:rsidTr="006F6842">
        <w:trPr>
          <w:trHeight w:val="240"/>
        </w:trPr>
        <w:tc>
          <w:tcPr>
            <w:tcW w:w="567" w:type="dxa"/>
            <w:shd w:val="clear" w:color="auto" w:fill="auto"/>
          </w:tcPr>
          <w:p w14:paraId="74B36BD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72</w:t>
            </w:r>
          </w:p>
        </w:tc>
        <w:tc>
          <w:tcPr>
            <w:tcW w:w="2552" w:type="dxa"/>
            <w:shd w:val="clear" w:color="auto" w:fill="auto"/>
            <w:vAlign w:val="bottom"/>
          </w:tcPr>
          <w:p w14:paraId="223CEC8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Si Sa Ket</w:t>
            </w:r>
          </w:p>
        </w:tc>
        <w:tc>
          <w:tcPr>
            <w:tcW w:w="1417" w:type="dxa"/>
            <w:shd w:val="clear" w:color="auto" w:fill="auto"/>
            <w:vAlign w:val="bottom"/>
          </w:tcPr>
          <w:p w14:paraId="164AAD3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49E3FD5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4A7A845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453250BB" w14:textId="77777777" w:rsidTr="006F6842">
        <w:trPr>
          <w:trHeight w:val="240"/>
        </w:trPr>
        <w:tc>
          <w:tcPr>
            <w:tcW w:w="567" w:type="dxa"/>
            <w:shd w:val="clear" w:color="auto" w:fill="auto"/>
          </w:tcPr>
          <w:p w14:paraId="57A3519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73</w:t>
            </w:r>
          </w:p>
        </w:tc>
        <w:tc>
          <w:tcPr>
            <w:tcW w:w="2552" w:type="dxa"/>
            <w:shd w:val="clear" w:color="auto" w:fill="auto"/>
            <w:vAlign w:val="bottom"/>
          </w:tcPr>
          <w:p w14:paraId="2F7CE6C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Sakon Nakhon</w:t>
            </w:r>
          </w:p>
        </w:tc>
        <w:tc>
          <w:tcPr>
            <w:tcW w:w="1417" w:type="dxa"/>
            <w:shd w:val="clear" w:color="auto" w:fill="auto"/>
            <w:vAlign w:val="bottom"/>
          </w:tcPr>
          <w:p w14:paraId="65ADC4C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5663868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w:t>
            </w:r>
          </w:p>
        </w:tc>
        <w:tc>
          <w:tcPr>
            <w:tcW w:w="1416" w:type="dxa"/>
            <w:shd w:val="clear" w:color="auto" w:fill="auto"/>
            <w:vAlign w:val="bottom"/>
          </w:tcPr>
          <w:p w14:paraId="432D8AC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r>
      <w:tr w:rsidR="00062B95" w:rsidRPr="00062B95" w14:paraId="171E16CA" w14:textId="77777777" w:rsidTr="006F6842">
        <w:trPr>
          <w:trHeight w:val="240"/>
        </w:trPr>
        <w:tc>
          <w:tcPr>
            <w:tcW w:w="567" w:type="dxa"/>
            <w:shd w:val="clear" w:color="auto" w:fill="auto"/>
          </w:tcPr>
          <w:p w14:paraId="364FFE9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74</w:t>
            </w:r>
          </w:p>
        </w:tc>
        <w:tc>
          <w:tcPr>
            <w:tcW w:w="2552" w:type="dxa"/>
            <w:shd w:val="clear" w:color="auto" w:fill="auto"/>
            <w:vAlign w:val="bottom"/>
          </w:tcPr>
          <w:p w14:paraId="35E776F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Songkhla</w:t>
            </w:r>
          </w:p>
        </w:tc>
        <w:tc>
          <w:tcPr>
            <w:tcW w:w="1417" w:type="dxa"/>
            <w:shd w:val="clear" w:color="auto" w:fill="auto"/>
            <w:vAlign w:val="bottom"/>
          </w:tcPr>
          <w:p w14:paraId="0BCCE3B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13</w:t>
            </w:r>
          </w:p>
        </w:tc>
        <w:tc>
          <w:tcPr>
            <w:tcW w:w="1418" w:type="dxa"/>
            <w:shd w:val="clear" w:color="auto" w:fill="auto"/>
            <w:vAlign w:val="bottom"/>
          </w:tcPr>
          <w:p w14:paraId="4E47A29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11</w:t>
            </w:r>
          </w:p>
        </w:tc>
        <w:tc>
          <w:tcPr>
            <w:tcW w:w="1416" w:type="dxa"/>
            <w:shd w:val="clear" w:color="auto" w:fill="auto"/>
            <w:vAlign w:val="bottom"/>
          </w:tcPr>
          <w:p w14:paraId="2D364C6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3E7AD231" w14:textId="77777777" w:rsidTr="006F6842">
        <w:trPr>
          <w:trHeight w:val="240"/>
        </w:trPr>
        <w:tc>
          <w:tcPr>
            <w:tcW w:w="567" w:type="dxa"/>
            <w:shd w:val="clear" w:color="auto" w:fill="auto"/>
          </w:tcPr>
          <w:p w14:paraId="785CF12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75</w:t>
            </w:r>
          </w:p>
        </w:tc>
        <w:tc>
          <w:tcPr>
            <w:tcW w:w="2552" w:type="dxa"/>
            <w:shd w:val="clear" w:color="auto" w:fill="auto"/>
            <w:vAlign w:val="bottom"/>
          </w:tcPr>
          <w:p w14:paraId="209CB16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Satun</w:t>
            </w:r>
          </w:p>
        </w:tc>
        <w:tc>
          <w:tcPr>
            <w:tcW w:w="1417" w:type="dxa"/>
            <w:shd w:val="clear" w:color="auto" w:fill="auto"/>
            <w:vAlign w:val="bottom"/>
          </w:tcPr>
          <w:p w14:paraId="364F5C1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1D8BDE3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19D9400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7EB789FC" w14:textId="77777777" w:rsidTr="006F6842">
        <w:trPr>
          <w:trHeight w:val="240"/>
        </w:trPr>
        <w:tc>
          <w:tcPr>
            <w:tcW w:w="567" w:type="dxa"/>
            <w:shd w:val="clear" w:color="auto" w:fill="auto"/>
          </w:tcPr>
          <w:p w14:paraId="08DE86B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76</w:t>
            </w:r>
          </w:p>
        </w:tc>
        <w:tc>
          <w:tcPr>
            <w:tcW w:w="2552" w:type="dxa"/>
            <w:shd w:val="clear" w:color="auto" w:fill="auto"/>
            <w:vAlign w:val="bottom"/>
          </w:tcPr>
          <w:p w14:paraId="5BE3811C"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Samut Sakhon</w:t>
            </w:r>
          </w:p>
        </w:tc>
        <w:tc>
          <w:tcPr>
            <w:tcW w:w="1417" w:type="dxa"/>
            <w:shd w:val="clear" w:color="auto" w:fill="auto"/>
            <w:vAlign w:val="bottom"/>
          </w:tcPr>
          <w:p w14:paraId="41DCEC7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536823D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5D32BE3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69D67860" w14:textId="77777777" w:rsidTr="006F6842">
        <w:trPr>
          <w:trHeight w:val="240"/>
        </w:trPr>
        <w:tc>
          <w:tcPr>
            <w:tcW w:w="567" w:type="dxa"/>
            <w:shd w:val="clear" w:color="auto" w:fill="auto"/>
          </w:tcPr>
          <w:p w14:paraId="6235721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77</w:t>
            </w:r>
          </w:p>
        </w:tc>
        <w:tc>
          <w:tcPr>
            <w:tcW w:w="2552" w:type="dxa"/>
            <w:shd w:val="clear" w:color="auto" w:fill="auto"/>
            <w:vAlign w:val="bottom"/>
          </w:tcPr>
          <w:p w14:paraId="3767E68E"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Sa Kaeo</w:t>
            </w:r>
          </w:p>
        </w:tc>
        <w:tc>
          <w:tcPr>
            <w:tcW w:w="1417" w:type="dxa"/>
            <w:shd w:val="clear" w:color="auto" w:fill="auto"/>
            <w:vAlign w:val="bottom"/>
          </w:tcPr>
          <w:p w14:paraId="2804A08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11</w:t>
            </w:r>
          </w:p>
        </w:tc>
        <w:tc>
          <w:tcPr>
            <w:tcW w:w="1418" w:type="dxa"/>
            <w:shd w:val="clear" w:color="auto" w:fill="auto"/>
            <w:vAlign w:val="bottom"/>
          </w:tcPr>
          <w:p w14:paraId="548EB40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019C723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658AE3A3" w14:textId="77777777" w:rsidTr="006F6842">
        <w:trPr>
          <w:trHeight w:val="240"/>
        </w:trPr>
        <w:tc>
          <w:tcPr>
            <w:tcW w:w="567" w:type="dxa"/>
            <w:shd w:val="clear" w:color="auto" w:fill="auto"/>
          </w:tcPr>
          <w:p w14:paraId="63D4F74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78</w:t>
            </w:r>
          </w:p>
        </w:tc>
        <w:tc>
          <w:tcPr>
            <w:tcW w:w="2552" w:type="dxa"/>
            <w:shd w:val="clear" w:color="auto" w:fill="auto"/>
            <w:vAlign w:val="bottom"/>
          </w:tcPr>
          <w:p w14:paraId="7C1E71FE"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Saraburi</w:t>
            </w:r>
          </w:p>
        </w:tc>
        <w:tc>
          <w:tcPr>
            <w:tcW w:w="1417" w:type="dxa"/>
            <w:shd w:val="clear" w:color="auto" w:fill="auto"/>
            <w:vAlign w:val="bottom"/>
          </w:tcPr>
          <w:p w14:paraId="3708275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10</w:t>
            </w:r>
          </w:p>
        </w:tc>
        <w:tc>
          <w:tcPr>
            <w:tcW w:w="1418" w:type="dxa"/>
            <w:shd w:val="clear" w:color="auto" w:fill="auto"/>
            <w:vAlign w:val="bottom"/>
          </w:tcPr>
          <w:p w14:paraId="4EDB11F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18</w:t>
            </w:r>
          </w:p>
        </w:tc>
        <w:tc>
          <w:tcPr>
            <w:tcW w:w="1416" w:type="dxa"/>
            <w:shd w:val="clear" w:color="auto" w:fill="auto"/>
            <w:vAlign w:val="bottom"/>
          </w:tcPr>
          <w:p w14:paraId="454E3D1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7E085DAA" w14:textId="77777777" w:rsidTr="006F6842">
        <w:trPr>
          <w:trHeight w:val="240"/>
        </w:trPr>
        <w:tc>
          <w:tcPr>
            <w:tcW w:w="567" w:type="dxa"/>
            <w:shd w:val="clear" w:color="auto" w:fill="auto"/>
          </w:tcPr>
          <w:p w14:paraId="1C4BD23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79</w:t>
            </w:r>
          </w:p>
        </w:tc>
        <w:tc>
          <w:tcPr>
            <w:tcW w:w="2552" w:type="dxa"/>
            <w:shd w:val="clear" w:color="auto" w:fill="auto"/>
            <w:vAlign w:val="bottom"/>
          </w:tcPr>
          <w:p w14:paraId="23CC2DF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Sing Buri</w:t>
            </w:r>
          </w:p>
        </w:tc>
        <w:tc>
          <w:tcPr>
            <w:tcW w:w="1417" w:type="dxa"/>
            <w:shd w:val="clear" w:color="auto" w:fill="auto"/>
            <w:vAlign w:val="bottom"/>
          </w:tcPr>
          <w:p w14:paraId="6B0C607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54DD286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4364687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19E5AC04" w14:textId="77777777" w:rsidTr="006F6842">
        <w:trPr>
          <w:trHeight w:val="240"/>
        </w:trPr>
        <w:tc>
          <w:tcPr>
            <w:tcW w:w="567" w:type="dxa"/>
            <w:shd w:val="clear" w:color="auto" w:fill="auto"/>
          </w:tcPr>
          <w:p w14:paraId="21FE4B0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80</w:t>
            </w:r>
          </w:p>
        </w:tc>
        <w:tc>
          <w:tcPr>
            <w:tcW w:w="2552" w:type="dxa"/>
            <w:shd w:val="clear" w:color="auto" w:fill="auto"/>
            <w:vAlign w:val="bottom"/>
          </w:tcPr>
          <w:p w14:paraId="33921B2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Sukhothai</w:t>
            </w:r>
          </w:p>
        </w:tc>
        <w:tc>
          <w:tcPr>
            <w:tcW w:w="1417" w:type="dxa"/>
            <w:shd w:val="clear" w:color="auto" w:fill="auto"/>
            <w:vAlign w:val="bottom"/>
          </w:tcPr>
          <w:p w14:paraId="07284A1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2FAEFA3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66C11F9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4BBEEA0C" w14:textId="77777777" w:rsidTr="006F6842">
        <w:trPr>
          <w:trHeight w:val="240"/>
        </w:trPr>
        <w:tc>
          <w:tcPr>
            <w:tcW w:w="567" w:type="dxa"/>
            <w:shd w:val="clear" w:color="auto" w:fill="auto"/>
          </w:tcPr>
          <w:p w14:paraId="1B04C5D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81</w:t>
            </w:r>
          </w:p>
        </w:tc>
        <w:tc>
          <w:tcPr>
            <w:tcW w:w="2552" w:type="dxa"/>
            <w:shd w:val="clear" w:color="auto" w:fill="auto"/>
            <w:vAlign w:val="bottom"/>
          </w:tcPr>
          <w:p w14:paraId="21274970"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Suphan Buri</w:t>
            </w:r>
          </w:p>
        </w:tc>
        <w:tc>
          <w:tcPr>
            <w:tcW w:w="1417" w:type="dxa"/>
            <w:shd w:val="clear" w:color="auto" w:fill="auto"/>
            <w:vAlign w:val="bottom"/>
          </w:tcPr>
          <w:p w14:paraId="7B39103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14</w:t>
            </w:r>
          </w:p>
        </w:tc>
        <w:tc>
          <w:tcPr>
            <w:tcW w:w="1418" w:type="dxa"/>
            <w:shd w:val="clear" w:color="auto" w:fill="auto"/>
            <w:vAlign w:val="bottom"/>
          </w:tcPr>
          <w:p w14:paraId="57303FE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14</w:t>
            </w:r>
          </w:p>
        </w:tc>
        <w:tc>
          <w:tcPr>
            <w:tcW w:w="1416" w:type="dxa"/>
            <w:shd w:val="clear" w:color="auto" w:fill="auto"/>
            <w:vAlign w:val="bottom"/>
          </w:tcPr>
          <w:p w14:paraId="71119CF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r>
      <w:tr w:rsidR="00062B95" w:rsidRPr="00062B95" w14:paraId="01FB34E3" w14:textId="77777777" w:rsidTr="006F6842">
        <w:trPr>
          <w:trHeight w:val="240"/>
        </w:trPr>
        <w:tc>
          <w:tcPr>
            <w:tcW w:w="567" w:type="dxa"/>
            <w:shd w:val="clear" w:color="auto" w:fill="auto"/>
          </w:tcPr>
          <w:p w14:paraId="7625AB3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82</w:t>
            </w:r>
          </w:p>
        </w:tc>
        <w:tc>
          <w:tcPr>
            <w:tcW w:w="2552" w:type="dxa"/>
            <w:shd w:val="clear" w:color="auto" w:fill="auto"/>
            <w:vAlign w:val="bottom"/>
          </w:tcPr>
          <w:p w14:paraId="1E257907"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Nong Khai</w:t>
            </w:r>
          </w:p>
        </w:tc>
        <w:tc>
          <w:tcPr>
            <w:tcW w:w="1417" w:type="dxa"/>
            <w:shd w:val="clear" w:color="auto" w:fill="auto"/>
            <w:vAlign w:val="bottom"/>
          </w:tcPr>
          <w:p w14:paraId="1EA0CFB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8</w:t>
            </w:r>
          </w:p>
        </w:tc>
        <w:tc>
          <w:tcPr>
            <w:tcW w:w="1418" w:type="dxa"/>
            <w:shd w:val="clear" w:color="auto" w:fill="auto"/>
            <w:vAlign w:val="bottom"/>
          </w:tcPr>
          <w:p w14:paraId="1A4CA47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094D9FE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0838177D" w14:textId="77777777" w:rsidTr="006F6842">
        <w:trPr>
          <w:trHeight w:val="240"/>
        </w:trPr>
        <w:tc>
          <w:tcPr>
            <w:tcW w:w="567" w:type="dxa"/>
            <w:shd w:val="clear" w:color="auto" w:fill="auto"/>
          </w:tcPr>
          <w:p w14:paraId="1D289A2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83</w:t>
            </w:r>
          </w:p>
        </w:tc>
        <w:tc>
          <w:tcPr>
            <w:tcW w:w="2552" w:type="dxa"/>
            <w:shd w:val="clear" w:color="auto" w:fill="auto"/>
            <w:vAlign w:val="bottom"/>
          </w:tcPr>
          <w:p w14:paraId="39AE415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Nong Bua Lam Phu</w:t>
            </w:r>
          </w:p>
        </w:tc>
        <w:tc>
          <w:tcPr>
            <w:tcW w:w="1417" w:type="dxa"/>
            <w:shd w:val="clear" w:color="auto" w:fill="auto"/>
            <w:vAlign w:val="bottom"/>
          </w:tcPr>
          <w:p w14:paraId="6D0D13B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29BA82B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11</w:t>
            </w:r>
          </w:p>
        </w:tc>
        <w:tc>
          <w:tcPr>
            <w:tcW w:w="1416" w:type="dxa"/>
            <w:shd w:val="clear" w:color="auto" w:fill="auto"/>
            <w:vAlign w:val="bottom"/>
          </w:tcPr>
          <w:p w14:paraId="7336611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520499A9" w14:textId="77777777" w:rsidTr="006F6842">
        <w:trPr>
          <w:trHeight w:val="240"/>
        </w:trPr>
        <w:tc>
          <w:tcPr>
            <w:tcW w:w="567" w:type="dxa"/>
            <w:shd w:val="clear" w:color="auto" w:fill="auto"/>
          </w:tcPr>
          <w:p w14:paraId="6AE9BF6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84</w:t>
            </w:r>
          </w:p>
        </w:tc>
        <w:tc>
          <w:tcPr>
            <w:tcW w:w="2552" w:type="dxa"/>
            <w:shd w:val="clear" w:color="auto" w:fill="auto"/>
            <w:vAlign w:val="bottom"/>
          </w:tcPr>
          <w:p w14:paraId="24606D3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Ang Thong</w:t>
            </w:r>
          </w:p>
        </w:tc>
        <w:tc>
          <w:tcPr>
            <w:tcW w:w="1417" w:type="dxa"/>
            <w:shd w:val="clear" w:color="auto" w:fill="auto"/>
            <w:vAlign w:val="bottom"/>
          </w:tcPr>
          <w:p w14:paraId="224BBE9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7</w:t>
            </w:r>
          </w:p>
        </w:tc>
        <w:tc>
          <w:tcPr>
            <w:tcW w:w="1418" w:type="dxa"/>
            <w:shd w:val="clear" w:color="auto" w:fill="auto"/>
            <w:vAlign w:val="bottom"/>
          </w:tcPr>
          <w:p w14:paraId="4EDA686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c>
          <w:tcPr>
            <w:tcW w:w="1416" w:type="dxa"/>
            <w:shd w:val="clear" w:color="auto" w:fill="auto"/>
            <w:vAlign w:val="bottom"/>
          </w:tcPr>
          <w:p w14:paraId="2BE3822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0104CAB2" w14:textId="77777777" w:rsidTr="006F6842">
        <w:trPr>
          <w:trHeight w:val="240"/>
        </w:trPr>
        <w:tc>
          <w:tcPr>
            <w:tcW w:w="567" w:type="dxa"/>
            <w:shd w:val="clear" w:color="auto" w:fill="auto"/>
          </w:tcPr>
          <w:p w14:paraId="1587C88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85</w:t>
            </w:r>
          </w:p>
        </w:tc>
        <w:tc>
          <w:tcPr>
            <w:tcW w:w="2552" w:type="dxa"/>
            <w:shd w:val="clear" w:color="auto" w:fill="auto"/>
            <w:vAlign w:val="bottom"/>
          </w:tcPr>
          <w:p w14:paraId="1524BE9C"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Uttaradit</w:t>
            </w:r>
          </w:p>
        </w:tc>
        <w:tc>
          <w:tcPr>
            <w:tcW w:w="1417" w:type="dxa"/>
            <w:shd w:val="clear" w:color="auto" w:fill="auto"/>
            <w:vAlign w:val="bottom"/>
          </w:tcPr>
          <w:p w14:paraId="3DB118C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4E1137C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0596B0A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133194D2" w14:textId="77777777" w:rsidTr="006F6842">
        <w:trPr>
          <w:trHeight w:val="240"/>
        </w:trPr>
        <w:tc>
          <w:tcPr>
            <w:tcW w:w="567" w:type="dxa"/>
            <w:shd w:val="clear" w:color="auto" w:fill="auto"/>
          </w:tcPr>
          <w:p w14:paraId="2FE0CD1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86</w:t>
            </w:r>
          </w:p>
        </w:tc>
        <w:tc>
          <w:tcPr>
            <w:tcW w:w="2552" w:type="dxa"/>
            <w:shd w:val="clear" w:color="auto" w:fill="auto"/>
            <w:vAlign w:val="bottom"/>
          </w:tcPr>
          <w:p w14:paraId="5E285DDE"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Uthai Thani</w:t>
            </w:r>
          </w:p>
        </w:tc>
        <w:tc>
          <w:tcPr>
            <w:tcW w:w="1417" w:type="dxa"/>
            <w:shd w:val="clear" w:color="auto" w:fill="auto"/>
            <w:vAlign w:val="bottom"/>
          </w:tcPr>
          <w:p w14:paraId="4DA5FEA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7428201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42640C1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237CCD2F" w14:textId="77777777" w:rsidTr="006F6842">
        <w:trPr>
          <w:trHeight w:val="240"/>
        </w:trPr>
        <w:tc>
          <w:tcPr>
            <w:tcW w:w="567" w:type="dxa"/>
            <w:shd w:val="clear" w:color="auto" w:fill="auto"/>
          </w:tcPr>
          <w:p w14:paraId="7026FF6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87</w:t>
            </w:r>
          </w:p>
        </w:tc>
        <w:tc>
          <w:tcPr>
            <w:tcW w:w="2552" w:type="dxa"/>
            <w:shd w:val="clear" w:color="auto" w:fill="auto"/>
            <w:vAlign w:val="bottom"/>
          </w:tcPr>
          <w:p w14:paraId="2321C8D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provincial de Amnat Charoen</w:t>
            </w:r>
          </w:p>
        </w:tc>
        <w:tc>
          <w:tcPr>
            <w:tcW w:w="1417" w:type="dxa"/>
            <w:shd w:val="clear" w:color="auto" w:fill="auto"/>
            <w:vAlign w:val="bottom"/>
          </w:tcPr>
          <w:p w14:paraId="6222F4F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721D64A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6CAC27B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306D399A" w14:textId="77777777" w:rsidTr="006F6842">
        <w:trPr>
          <w:trHeight w:val="240"/>
        </w:trPr>
        <w:tc>
          <w:tcPr>
            <w:tcW w:w="567" w:type="dxa"/>
            <w:shd w:val="clear" w:color="auto" w:fill="auto"/>
          </w:tcPr>
          <w:p w14:paraId="05D849F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88</w:t>
            </w:r>
          </w:p>
        </w:tc>
        <w:tc>
          <w:tcPr>
            <w:tcW w:w="2552" w:type="dxa"/>
            <w:shd w:val="clear" w:color="auto" w:fill="auto"/>
            <w:vAlign w:val="bottom"/>
          </w:tcPr>
          <w:p w14:paraId="559B0E1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Kabin Buri</w:t>
            </w:r>
          </w:p>
        </w:tc>
        <w:tc>
          <w:tcPr>
            <w:tcW w:w="1417" w:type="dxa"/>
            <w:shd w:val="clear" w:color="auto" w:fill="auto"/>
            <w:vAlign w:val="bottom"/>
          </w:tcPr>
          <w:p w14:paraId="387804A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6F588B3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c>
          <w:tcPr>
            <w:tcW w:w="1416" w:type="dxa"/>
            <w:shd w:val="clear" w:color="auto" w:fill="auto"/>
            <w:vAlign w:val="bottom"/>
          </w:tcPr>
          <w:p w14:paraId="32E2589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42F6B9B7" w14:textId="77777777" w:rsidTr="006F6842">
        <w:trPr>
          <w:trHeight w:val="240"/>
        </w:trPr>
        <w:tc>
          <w:tcPr>
            <w:tcW w:w="567" w:type="dxa"/>
            <w:shd w:val="clear" w:color="auto" w:fill="auto"/>
          </w:tcPr>
          <w:p w14:paraId="69478AE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89</w:t>
            </w:r>
          </w:p>
        </w:tc>
        <w:tc>
          <w:tcPr>
            <w:tcW w:w="2552" w:type="dxa"/>
            <w:shd w:val="clear" w:color="auto" w:fill="auto"/>
            <w:vAlign w:val="bottom"/>
          </w:tcPr>
          <w:p w14:paraId="78A7D3F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Kantharalak</w:t>
            </w:r>
          </w:p>
        </w:tc>
        <w:tc>
          <w:tcPr>
            <w:tcW w:w="1417" w:type="dxa"/>
            <w:shd w:val="clear" w:color="auto" w:fill="auto"/>
            <w:vAlign w:val="bottom"/>
          </w:tcPr>
          <w:p w14:paraId="597ACE9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575380F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398874D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4C216CCA" w14:textId="77777777" w:rsidTr="006F6842">
        <w:trPr>
          <w:trHeight w:val="240"/>
        </w:trPr>
        <w:tc>
          <w:tcPr>
            <w:tcW w:w="567" w:type="dxa"/>
            <w:shd w:val="clear" w:color="auto" w:fill="auto"/>
          </w:tcPr>
          <w:p w14:paraId="0E3F6D0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90</w:t>
            </w:r>
          </w:p>
        </w:tc>
        <w:tc>
          <w:tcPr>
            <w:tcW w:w="2552" w:type="dxa"/>
            <w:shd w:val="clear" w:color="auto" w:fill="auto"/>
            <w:vAlign w:val="bottom"/>
          </w:tcPr>
          <w:p w14:paraId="3245C32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Koh Samui</w:t>
            </w:r>
          </w:p>
        </w:tc>
        <w:tc>
          <w:tcPr>
            <w:tcW w:w="1417" w:type="dxa"/>
            <w:shd w:val="clear" w:color="auto" w:fill="auto"/>
            <w:vAlign w:val="bottom"/>
          </w:tcPr>
          <w:p w14:paraId="395CE92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3C68DD7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1E054B2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6ECE309A" w14:textId="77777777" w:rsidTr="006F6842">
        <w:trPr>
          <w:trHeight w:val="240"/>
        </w:trPr>
        <w:tc>
          <w:tcPr>
            <w:tcW w:w="567" w:type="dxa"/>
            <w:shd w:val="clear" w:color="auto" w:fill="auto"/>
          </w:tcPr>
          <w:p w14:paraId="395755C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91</w:t>
            </w:r>
          </w:p>
        </w:tc>
        <w:tc>
          <w:tcPr>
            <w:tcW w:w="2552" w:type="dxa"/>
            <w:shd w:val="clear" w:color="auto" w:fill="auto"/>
            <w:vAlign w:val="bottom"/>
          </w:tcPr>
          <w:p w14:paraId="668194D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Chai Badan</w:t>
            </w:r>
          </w:p>
        </w:tc>
        <w:tc>
          <w:tcPr>
            <w:tcW w:w="1417" w:type="dxa"/>
            <w:shd w:val="clear" w:color="auto" w:fill="auto"/>
            <w:vAlign w:val="bottom"/>
          </w:tcPr>
          <w:p w14:paraId="14370F9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1F5EACE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0E1C4D4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7AEC8DA1" w14:textId="77777777" w:rsidTr="006F6842">
        <w:trPr>
          <w:trHeight w:val="240"/>
        </w:trPr>
        <w:tc>
          <w:tcPr>
            <w:tcW w:w="567" w:type="dxa"/>
            <w:shd w:val="clear" w:color="auto" w:fill="auto"/>
          </w:tcPr>
          <w:p w14:paraId="772B758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lastRenderedPageBreak/>
              <w:t>92</w:t>
            </w:r>
          </w:p>
        </w:tc>
        <w:tc>
          <w:tcPr>
            <w:tcW w:w="2552" w:type="dxa"/>
            <w:shd w:val="clear" w:color="auto" w:fill="auto"/>
            <w:vAlign w:val="bottom"/>
          </w:tcPr>
          <w:p w14:paraId="5948F0B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Chaiya</w:t>
            </w:r>
          </w:p>
        </w:tc>
        <w:tc>
          <w:tcPr>
            <w:tcW w:w="1417" w:type="dxa"/>
            <w:shd w:val="clear" w:color="auto" w:fill="auto"/>
            <w:vAlign w:val="bottom"/>
          </w:tcPr>
          <w:p w14:paraId="5E46B41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597848A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7688D8A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2F7451D2" w14:textId="77777777" w:rsidTr="006F6842">
        <w:trPr>
          <w:trHeight w:val="240"/>
        </w:trPr>
        <w:tc>
          <w:tcPr>
            <w:tcW w:w="567" w:type="dxa"/>
            <w:shd w:val="clear" w:color="auto" w:fill="auto"/>
          </w:tcPr>
          <w:p w14:paraId="6002493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93</w:t>
            </w:r>
          </w:p>
        </w:tc>
        <w:tc>
          <w:tcPr>
            <w:tcW w:w="2552" w:type="dxa"/>
            <w:shd w:val="clear" w:color="auto" w:fill="auto"/>
            <w:vAlign w:val="bottom"/>
          </w:tcPr>
          <w:p w14:paraId="52BF4980"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Takua Pa</w:t>
            </w:r>
          </w:p>
        </w:tc>
        <w:tc>
          <w:tcPr>
            <w:tcW w:w="1417" w:type="dxa"/>
            <w:shd w:val="clear" w:color="auto" w:fill="auto"/>
            <w:vAlign w:val="bottom"/>
          </w:tcPr>
          <w:p w14:paraId="0F7385C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5DDFC15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6C08FA3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6B21970B" w14:textId="77777777" w:rsidTr="006F6842">
        <w:trPr>
          <w:trHeight w:val="240"/>
        </w:trPr>
        <w:tc>
          <w:tcPr>
            <w:tcW w:w="567" w:type="dxa"/>
            <w:shd w:val="clear" w:color="auto" w:fill="auto"/>
          </w:tcPr>
          <w:p w14:paraId="1C73BB8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94</w:t>
            </w:r>
          </w:p>
        </w:tc>
        <w:tc>
          <w:tcPr>
            <w:tcW w:w="2552" w:type="dxa"/>
            <w:shd w:val="clear" w:color="auto" w:fill="auto"/>
            <w:vAlign w:val="bottom"/>
          </w:tcPr>
          <w:p w14:paraId="1EEE2CD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Thong Pha Phum</w:t>
            </w:r>
          </w:p>
        </w:tc>
        <w:tc>
          <w:tcPr>
            <w:tcW w:w="1417" w:type="dxa"/>
            <w:shd w:val="clear" w:color="auto" w:fill="auto"/>
            <w:vAlign w:val="bottom"/>
          </w:tcPr>
          <w:p w14:paraId="323C200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47A5B58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3B313DE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5DEB6AB1" w14:textId="77777777" w:rsidTr="006F6842">
        <w:trPr>
          <w:trHeight w:val="240"/>
        </w:trPr>
        <w:tc>
          <w:tcPr>
            <w:tcW w:w="567" w:type="dxa"/>
            <w:shd w:val="clear" w:color="auto" w:fill="auto"/>
          </w:tcPr>
          <w:p w14:paraId="02AC7B0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95</w:t>
            </w:r>
          </w:p>
        </w:tc>
        <w:tc>
          <w:tcPr>
            <w:tcW w:w="2552" w:type="dxa"/>
            <w:shd w:val="clear" w:color="auto" w:fill="auto"/>
            <w:vAlign w:val="bottom"/>
          </w:tcPr>
          <w:p w14:paraId="2DF99DE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Thung Song</w:t>
            </w:r>
          </w:p>
        </w:tc>
        <w:tc>
          <w:tcPr>
            <w:tcW w:w="1417" w:type="dxa"/>
            <w:shd w:val="clear" w:color="auto" w:fill="auto"/>
            <w:vAlign w:val="bottom"/>
          </w:tcPr>
          <w:p w14:paraId="5C2A99C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695969D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c>
          <w:tcPr>
            <w:tcW w:w="1416" w:type="dxa"/>
            <w:shd w:val="clear" w:color="auto" w:fill="auto"/>
            <w:vAlign w:val="bottom"/>
          </w:tcPr>
          <w:p w14:paraId="263F1A9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1D4BE38A" w14:textId="77777777" w:rsidTr="006F6842">
        <w:trPr>
          <w:trHeight w:val="240"/>
        </w:trPr>
        <w:tc>
          <w:tcPr>
            <w:tcW w:w="567" w:type="dxa"/>
            <w:shd w:val="clear" w:color="auto" w:fill="auto"/>
          </w:tcPr>
          <w:p w14:paraId="2B68FAB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96</w:t>
            </w:r>
          </w:p>
        </w:tc>
        <w:tc>
          <w:tcPr>
            <w:tcW w:w="2552" w:type="dxa"/>
            <w:shd w:val="clear" w:color="auto" w:fill="auto"/>
            <w:vAlign w:val="bottom"/>
          </w:tcPr>
          <w:p w14:paraId="7567265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Thoeng</w:t>
            </w:r>
          </w:p>
        </w:tc>
        <w:tc>
          <w:tcPr>
            <w:tcW w:w="1417" w:type="dxa"/>
            <w:shd w:val="clear" w:color="auto" w:fill="auto"/>
            <w:vAlign w:val="bottom"/>
          </w:tcPr>
          <w:p w14:paraId="11365B4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6D5888E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78883AF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71F74765" w14:textId="77777777" w:rsidTr="006F6842">
        <w:trPr>
          <w:trHeight w:val="240"/>
        </w:trPr>
        <w:tc>
          <w:tcPr>
            <w:tcW w:w="567" w:type="dxa"/>
            <w:shd w:val="clear" w:color="auto" w:fill="auto"/>
          </w:tcPr>
          <w:p w14:paraId="0364E0B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97</w:t>
            </w:r>
          </w:p>
        </w:tc>
        <w:tc>
          <w:tcPr>
            <w:tcW w:w="2552" w:type="dxa"/>
            <w:shd w:val="clear" w:color="auto" w:fill="auto"/>
            <w:vAlign w:val="bottom"/>
          </w:tcPr>
          <w:p w14:paraId="500D1C60"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Thanyaburi</w:t>
            </w:r>
          </w:p>
        </w:tc>
        <w:tc>
          <w:tcPr>
            <w:tcW w:w="1417" w:type="dxa"/>
            <w:shd w:val="clear" w:color="auto" w:fill="auto"/>
            <w:vAlign w:val="bottom"/>
          </w:tcPr>
          <w:p w14:paraId="2206778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10</w:t>
            </w:r>
          </w:p>
        </w:tc>
        <w:tc>
          <w:tcPr>
            <w:tcW w:w="1418" w:type="dxa"/>
            <w:shd w:val="clear" w:color="auto" w:fill="auto"/>
            <w:vAlign w:val="bottom"/>
          </w:tcPr>
          <w:p w14:paraId="6D252C8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9</w:t>
            </w:r>
          </w:p>
        </w:tc>
        <w:tc>
          <w:tcPr>
            <w:tcW w:w="1416" w:type="dxa"/>
            <w:shd w:val="clear" w:color="auto" w:fill="auto"/>
            <w:vAlign w:val="bottom"/>
          </w:tcPr>
          <w:p w14:paraId="462AC5E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r>
      <w:tr w:rsidR="00062B95" w:rsidRPr="00062B95" w14:paraId="25DFB30F" w14:textId="77777777" w:rsidTr="006F6842">
        <w:trPr>
          <w:trHeight w:val="240"/>
        </w:trPr>
        <w:tc>
          <w:tcPr>
            <w:tcW w:w="567" w:type="dxa"/>
            <w:shd w:val="clear" w:color="auto" w:fill="auto"/>
          </w:tcPr>
          <w:p w14:paraId="367AE00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98</w:t>
            </w:r>
          </w:p>
        </w:tc>
        <w:tc>
          <w:tcPr>
            <w:tcW w:w="2552" w:type="dxa"/>
            <w:shd w:val="clear" w:color="auto" w:fill="auto"/>
            <w:vAlign w:val="bottom"/>
          </w:tcPr>
          <w:p w14:paraId="22F173F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Nang Rong</w:t>
            </w:r>
          </w:p>
        </w:tc>
        <w:tc>
          <w:tcPr>
            <w:tcW w:w="1417" w:type="dxa"/>
            <w:shd w:val="clear" w:color="auto" w:fill="auto"/>
            <w:vAlign w:val="bottom"/>
          </w:tcPr>
          <w:p w14:paraId="23F9A0A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3A94A75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73E4A6C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71F1D5AB" w14:textId="77777777" w:rsidTr="006F6842">
        <w:trPr>
          <w:trHeight w:val="240"/>
        </w:trPr>
        <w:tc>
          <w:tcPr>
            <w:tcW w:w="567" w:type="dxa"/>
            <w:shd w:val="clear" w:color="auto" w:fill="auto"/>
          </w:tcPr>
          <w:p w14:paraId="11E4FCE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99</w:t>
            </w:r>
          </w:p>
        </w:tc>
        <w:tc>
          <w:tcPr>
            <w:tcW w:w="2552" w:type="dxa"/>
            <w:shd w:val="clear" w:color="auto" w:fill="auto"/>
            <w:vAlign w:val="bottom"/>
          </w:tcPr>
          <w:p w14:paraId="18C7C59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Na Thawi</w:t>
            </w:r>
          </w:p>
        </w:tc>
        <w:tc>
          <w:tcPr>
            <w:tcW w:w="1417" w:type="dxa"/>
            <w:shd w:val="clear" w:color="auto" w:fill="auto"/>
            <w:vAlign w:val="bottom"/>
          </w:tcPr>
          <w:p w14:paraId="42F44C9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8</w:t>
            </w:r>
          </w:p>
        </w:tc>
        <w:tc>
          <w:tcPr>
            <w:tcW w:w="1418" w:type="dxa"/>
            <w:shd w:val="clear" w:color="auto" w:fill="auto"/>
            <w:vAlign w:val="bottom"/>
          </w:tcPr>
          <w:p w14:paraId="312ACD5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14</w:t>
            </w:r>
          </w:p>
        </w:tc>
        <w:tc>
          <w:tcPr>
            <w:tcW w:w="1416" w:type="dxa"/>
            <w:shd w:val="clear" w:color="auto" w:fill="auto"/>
            <w:vAlign w:val="bottom"/>
          </w:tcPr>
          <w:p w14:paraId="52145AF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028A45AB" w14:textId="77777777" w:rsidTr="006F6842">
        <w:trPr>
          <w:trHeight w:val="240"/>
        </w:trPr>
        <w:tc>
          <w:tcPr>
            <w:tcW w:w="567" w:type="dxa"/>
            <w:shd w:val="clear" w:color="auto" w:fill="auto"/>
          </w:tcPr>
          <w:p w14:paraId="659F069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100</w:t>
            </w:r>
          </w:p>
        </w:tc>
        <w:tc>
          <w:tcPr>
            <w:tcW w:w="2552" w:type="dxa"/>
            <w:shd w:val="clear" w:color="auto" w:fill="auto"/>
            <w:vAlign w:val="bottom"/>
          </w:tcPr>
          <w:p w14:paraId="20CBD5D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Bua Yai</w:t>
            </w:r>
          </w:p>
        </w:tc>
        <w:tc>
          <w:tcPr>
            <w:tcW w:w="1417" w:type="dxa"/>
            <w:shd w:val="clear" w:color="auto" w:fill="auto"/>
            <w:vAlign w:val="bottom"/>
          </w:tcPr>
          <w:p w14:paraId="46D7B24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5BDE724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7FD3FC7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52E383B7" w14:textId="77777777" w:rsidTr="006F6842">
        <w:trPr>
          <w:trHeight w:val="240"/>
        </w:trPr>
        <w:tc>
          <w:tcPr>
            <w:tcW w:w="567" w:type="dxa"/>
            <w:shd w:val="clear" w:color="auto" w:fill="auto"/>
          </w:tcPr>
          <w:p w14:paraId="0D9F672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101</w:t>
            </w:r>
          </w:p>
        </w:tc>
        <w:tc>
          <w:tcPr>
            <w:tcW w:w="2552" w:type="dxa"/>
            <w:shd w:val="clear" w:color="auto" w:fill="auto"/>
            <w:vAlign w:val="bottom"/>
          </w:tcPr>
          <w:p w14:paraId="3744CEDC"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Betong</w:t>
            </w:r>
          </w:p>
        </w:tc>
        <w:tc>
          <w:tcPr>
            <w:tcW w:w="1417" w:type="dxa"/>
            <w:shd w:val="clear" w:color="auto" w:fill="auto"/>
            <w:vAlign w:val="bottom"/>
          </w:tcPr>
          <w:p w14:paraId="65C0A54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2A91D9C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385C959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1763FB68" w14:textId="77777777" w:rsidTr="006F6842">
        <w:trPr>
          <w:trHeight w:val="240"/>
        </w:trPr>
        <w:tc>
          <w:tcPr>
            <w:tcW w:w="567" w:type="dxa"/>
            <w:shd w:val="clear" w:color="auto" w:fill="auto"/>
          </w:tcPr>
          <w:p w14:paraId="7D40F6B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102</w:t>
            </w:r>
          </w:p>
        </w:tc>
        <w:tc>
          <w:tcPr>
            <w:tcW w:w="2552" w:type="dxa"/>
            <w:shd w:val="clear" w:color="auto" w:fill="auto"/>
            <w:vAlign w:val="bottom"/>
          </w:tcPr>
          <w:p w14:paraId="4045D89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Pak Phanang</w:t>
            </w:r>
          </w:p>
        </w:tc>
        <w:tc>
          <w:tcPr>
            <w:tcW w:w="1417" w:type="dxa"/>
            <w:shd w:val="clear" w:color="auto" w:fill="auto"/>
            <w:vAlign w:val="bottom"/>
          </w:tcPr>
          <w:p w14:paraId="5294154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1600B2D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33D898A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08BA013C" w14:textId="77777777" w:rsidTr="006F6842">
        <w:trPr>
          <w:trHeight w:val="240"/>
        </w:trPr>
        <w:tc>
          <w:tcPr>
            <w:tcW w:w="567" w:type="dxa"/>
            <w:shd w:val="clear" w:color="auto" w:fill="auto"/>
          </w:tcPr>
          <w:p w14:paraId="71B090F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103</w:t>
            </w:r>
          </w:p>
        </w:tc>
        <w:tc>
          <w:tcPr>
            <w:tcW w:w="2552" w:type="dxa"/>
            <w:shd w:val="clear" w:color="auto" w:fill="auto"/>
            <w:vAlign w:val="bottom"/>
          </w:tcPr>
          <w:p w14:paraId="1DB6E2F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Fang</w:t>
            </w:r>
          </w:p>
        </w:tc>
        <w:tc>
          <w:tcPr>
            <w:tcW w:w="1417" w:type="dxa"/>
            <w:shd w:val="clear" w:color="auto" w:fill="auto"/>
            <w:vAlign w:val="bottom"/>
          </w:tcPr>
          <w:p w14:paraId="0C2E329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635887C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c>
          <w:tcPr>
            <w:tcW w:w="1416" w:type="dxa"/>
            <w:shd w:val="clear" w:color="auto" w:fill="auto"/>
            <w:vAlign w:val="bottom"/>
          </w:tcPr>
          <w:p w14:paraId="565EAA5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1EE64D97" w14:textId="77777777" w:rsidTr="006F6842">
        <w:trPr>
          <w:trHeight w:val="240"/>
        </w:trPr>
        <w:tc>
          <w:tcPr>
            <w:tcW w:w="567" w:type="dxa"/>
            <w:shd w:val="clear" w:color="auto" w:fill="auto"/>
          </w:tcPr>
          <w:p w14:paraId="62CE19A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104</w:t>
            </w:r>
          </w:p>
        </w:tc>
        <w:tc>
          <w:tcPr>
            <w:tcW w:w="2552" w:type="dxa"/>
            <w:shd w:val="clear" w:color="auto" w:fill="auto"/>
            <w:vAlign w:val="bottom"/>
          </w:tcPr>
          <w:p w14:paraId="17BB517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Phon</w:t>
            </w:r>
          </w:p>
        </w:tc>
        <w:tc>
          <w:tcPr>
            <w:tcW w:w="1417" w:type="dxa"/>
            <w:shd w:val="clear" w:color="auto" w:fill="auto"/>
            <w:vAlign w:val="bottom"/>
          </w:tcPr>
          <w:p w14:paraId="08304F3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405BD1C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1D8BFFF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13EE67BC" w14:textId="77777777" w:rsidTr="006F6842">
        <w:trPr>
          <w:trHeight w:val="240"/>
        </w:trPr>
        <w:tc>
          <w:tcPr>
            <w:tcW w:w="567" w:type="dxa"/>
            <w:shd w:val="clear" w:color="auto" w:fill="auto"/>
          </w:tcPr>
          <w:p w14:paraId="043B649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105</w:t>
            </w:r>
          </w:p>
        </w:tc>
        <w:tc>
          <w:tcPr>
            <w:tcW w:w="2552" w:type="dxa"/>
            <w:shd w:val="clear" w:color="auto" w:fill="auto"/>
            <w:vAlign w:val="bottom"/>
          </w:tcPr>
          <w:p w14:paraId="758D9F75"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Phu Khiao</w:t>
            </w:r>
          </w:p>
        </w:tc>
        <w:tc>
          <w:tcPr>
            <w:tcW w:w="1417" w:type="dxa"/>
            <w:shd w:val="clear" w:color="auto" w:fill="auto"/>
            <w:vAlign w:val="bottom"/>
          </w:tcPr>
          <w:p w14:paraId="552B3FB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7738453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44C3505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73E35E18" w14:textId="77777777" w:rsidTr="006F6842">
        <w:trPr>
          <w:trHeight w:val="240"/>
        </w:trPr>
        <w:tc>
          <w:tcPr>
            <w:tcW w:w="567" w:type="dxa"/>
            <w:shd w:val="clear" w:color="auto" w:fill="auto"/>
          </w:tcPr>
          <w:p w14:paraId="3C0E655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106</w:t>
            </w:r>
          </w:p>
        </w:tc>
        <w:tc>
          <w:tcPr>
            <w:tcW w:w="2552" w:type="dxa"/>
            <w:shd w:val="clear" w:color="auto" w:fill="auto"/>
            <w:vAlign w:val="bottom"/>
          </w:tcPr>
          <w:p w14:paraId="0F53D1B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Mae Sod</w:t>
            </w:r>
          </w:p>
        </w:tc>
        <w:tc>
          <w:tcPr>
            <w:tcW w:w="1417" w:type="dxa"/>
            <w:shd w:val="clear" w:color="auto" w:fill="auto"/>
            <w:vAlign w:val="bottom"/>
          </w:tcPr>
          <w:p w14:paraId="1DA0478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7</w:t>
            </w:r>
          </w:p>
        </w:tc>
        <w:tc>
          <w:tcPr>
            <w:tcW w:w="1418" w:type="dxa"/>
            <w:shd w:val="clear" w:color="auto" w:fill="auto"/>
            <w:vAlign w:val="bottom"/>
          </w:tcPr>
          <w:p w14:paraId="28E4997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64DFAC5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04A4C7CE" w14:textId="77777777" w:rsidTr="006F6842">
        <w:trPr>
          <w:trHeight w:val="240"/>
        </w:trPr>
        <w:tc>
          <w:tcPr>
            <w:tcW w:w="567" w:type="dxa"/>
            <w:shd w:val="clear" w:color="auto" w:fill="auto"/>
          </w:tcPr>
          <w:p w14:paraId="749DAC69"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107</w:t>
            </w:r>
          </w:p>
        </w:tc>
        <w:tc>
          <w:tcPr>
            <w:tcW w:w="2552" w:type="dxa"/>
            <w:shd w:val="clear" w:color="auto" w:fill="auto"/>
            <w:vAlign w:val="bottom"/>
          </w:tcPr>
          <w:p w14:paraId="5FEC3559"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Mae Sariang</w:t>
            </w:r>
          </w:p>
        </w:tc>
        <w:tc>
          <w:tcPr>
            <w:tcW w:w="1417" w:type="dxa"/>
            <w:shd w:val="clear" w:color="auto" w:fill="auto"/>
            <w:vAlign w:val="bottom"/>
          </w:tcPr>
          <w:p w14:paraId="03C7854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184FD40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4984BF1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05B0C6A6" w14:textId="77777777" w:rsidTr="006F6842">
        <w:trPr>
          <w:trHeight w:val="240"/>
        </w:trPr>
        <w:tc>
          <w:tcPr>
            <w:tcW w:w="567" w:type="dxa"/>
            <w:shd w:val="clear" w:color="auto" w:fill="auto"/>
          </w:tcPr>
          <w:p w14:paraId="4091DE8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108</w:t>
            </w:r>
          </w:p>
        </w:tc>
        <w:tc>
          <w:tcPr>
            <w:tcW w:w="2552" w:type="dxa"/>
            <w:shd w:val="clear" w:color="auto" w:fill="auto"/>
            <w:vAlign w:val="bottom"/>
          </w:tcPr>
          <w:p w14:paraId="371215A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Rattanaburi</w:t>
            </w:r>
          </w:p>
        </w:tc>
        <w:tc>
          <w:tcPr>
            <w:tcW w:w="1417" w:type="dxa"/>
            <w:shd w:val="clear" w:color="auto" w:fill="auto"/>
            <w:vAlign w:val="bottom"/>
          </w:tcPr>
          <w:p w14:paraId="4BD5FEF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6BA2116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4382A2E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14B59526" w14:textId="77777777" w:rsidTr="006F6842">
        <w:trPr>
          <w:trHeight w:val="240"/>
        </w:trPr>
        <w:tc>
          <w:tcPr>
            <w:tcW w:w="567" w:type="dxa"/>
            <w:shd w:val="clear" w:color="auto" w:fill="auto"/>
          </w:tcPr>
          <w:p w14:paraId="69C18766"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109</w:t>
            </w:r>
          </w:p>
        </w:tc>
        <w:tc>
          <w:tcPr>
            <w:tcW w:w="2552" w:type="dxa"/>
            <w:shd w:val="clear" w:color="auto" w:fill="auto"/>
            <w:vAlign w:val="bottom"/>
          </w:tcPr>
          <w:p w14:paraId="40743DA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Sawankhalok</w:t>
            </w:r>
          </w:p>
        </w:tc>
        <w:tc>
          <w:tcPr>
            <w:tcW w:w="1417" w:type="dxa"/>
            <w:shd w:val="clear" w:color="auto" w:fill="auto"/>
            <w:vAlign w:val="bottom"/>
          </w:tcPr>
          <w:p w14:paraId="466D20B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638C83B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20A5D3A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2EF1800E" w14:textId="77777777" w:rsidTr="006F6842">
        <w:trPr>
          <w:trHeight w:val="240"/>
        </w:trPr>
        <w:tc>
          <w:tcPr>
            <w:tcW w:w="567" w:type="dxa"/>
            <w:shd w:val="clear" w:color="auto" w:fill="auto"/>
          </w:tcPr>
          <w:p w14:paraId="1527805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110</w:t>
            </w:r>
          </w:p>
        </w:tc>
        <w:tc>
          <w:tcPr>
            <w:tcW w:w="2552" w:type="dxa"/>
            <w:shd w:val="clear" w:color="auto" w:fill="auto"/>
            <w:vAlign w:val="bottom"/>
          </w:tcPr>
          <w:p w14:paraId="2774340C"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Sawang Daen Din</w:t>
            </w:r>
          </w:p>
        </w:tc>
        <w:tc>
          <w:tcPr>
            <w:tcW w:w="1417" w:type="dxa"/>
            <w:shd w:val="clear" w:color="auto" w:fill="auto"/>
            <w:vAlign w:val="bottom"/>
          </w:tcPr>
          <w:p w14:paraId="2FFD760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29A65AF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c>
          <w:tcPr>
            <w:tcW w:w="1416" w:type="dxa"/>
            <w:shd w:val="clear" w:color="auto" w:fill="auto"/>
            <w:vAlign w:val="bottom"/>
          </w:tcPr>
          <w:p w14:paraId="6DFD715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r>
      <w:tr w:rsidR="00062B95" w:rsidRPr="00062B95" w14:paraId="714B7B2E" w14:textId="77777777" w:rsidTr="006F6842">
        <w:trPr>
          <w:trHeight w:val="240"/>
        </w:trPr>
        <w:tc>
          <w:tcPr>
            <w:tcW w:w="567" w:type="dxa"/>
            <w:shd w:val="clear" w:color="auto" w:fill="auto"/>
          </w:tcPr>
          <w:p w14:paraId="01CA592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111</w:t>
            </w:r>
          </w:p>
        </w:tc>
        <w:tc>
          <w:tcPr>
            <w:tcW w:w="2552" w:type="dxa"/>
            <w:shd w:val="clear" w:color="auto" w:fill="auto"/>
            <w:vAlign w:val="bottom"/>
          </w:tcPr>
          <w:p w14:paraId="4ACAEC4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Sikhio</w:t>
            </w:r>
          </w:p>
        </w:tc>
        <w:tc>
          <w:tcPr>
            <w:tcW w:w="1417" w:type="dxa"/>
            <w:shd w:val="clear" w:color="auto" w:fill="auto"/>
            <w:vAlign w:val="bottom"/>
          </w:tcPr>
          <w:p w14:paraId="65D6779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6FB5F37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324A8E8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6C4404B8" w14:textId="77777777" w:rsidTr="006F6842">
        <w:trPr>
          <w:trHeight w:val="240"/>
        </w:trPr>
        <w:tc>
          <w:tcPr>
            <w:tcW w:w="567" w:type="dxa"/>
            <w:shd w:val="clear" w:color="auto" w:fill="auto"/>
          </w:tcPr>
          <w:p w14:paraId="77C18A3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112</w:t>
            </w:r>
          </w:p>
        </w:tc>
        <w:tc>
          <w:tcPr>
            <w:tcW w:w="2552" w:type="dxa"/>
            <w:shd w:val="clear" w:color="auto" w:fill="auto"/>
            <w:vAlign w:val="bottom"/>
          </w:tcPr>
          <w:p w14:paraId="56E17A83"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Lom Sak</w:t>
            </w:r>
          </w:p>
        </w:tc>
        <w:tc>
          <w:tcPr>
            <w:tcW w:w="1417" w:type="dxa"/>
            <w:shd w:val="clear" w:color="auto" w:fill="auto"/>
            <w:vAlign w:val="bottom"/>
          </w:tcPr>
          <w:p w14:paraId="2325D58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7D7D38A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47F3BA6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4995F6E3" w14:textId="77777777" w:rsidTr="006F6842">
        <w:trPr>
          <w:trHeight w:val="240"/>
        </w:trPr>
        <w:tc>
          <w:tcPr>
            <w:tcW w:w="567" w:type="dxa"/>
            <w:shd w:val="clear" w:color="auto" w:fill="auto"/>
          </w:tcPr>
          <w:p w14:paraId="0876033A"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113</w:t>
            </w:r>
          </w:p>
        </w:tc>
        <w:tc>
          <w:tcPr>
            <w:tcW w:w="2552" w:type="dxa"/>
            <w:shd w:val="clear" w:color="auto" w:fill="auto"/>
            <w:vAlign w:val="bottom"/>
          </w:tcPr>
          <w:p w14:paraId="32668FA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Prisión del distrito de Lang Suan</w:t>
            </w:r>
          </w:p>
        </w:tc>
        <w:tc>
          <w:tcPr>
            <w:tcW w:w="1417" w:type="dxa"/>
            <w:shd w:val="clear" w:color="auto" w:fill="auto"/>
            <w:vAlign w:val="bottom"/>
          </w:tcPr>
          <w:p w14:paraId="23A0D8E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6CACC47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3AFAFBA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r>
      <w:tr w:rsidR="00062B95" w:rsidRPr="00062B95" w14:paraId="48D308E8" w14:textId="77777777" w:rsidTr="006F6842">
        <w:trPr>
          <w:trHeight w:val="240"/>
        </w:trPr>
        <w:tc>
          <w:tcPr>
            <w:tcW w:w="567" w:type="dxa"/>
            <w:shd w:val="clear" w:color="auto" w:fill="auto"/>
          </w:tcPr>
          <w:p w14:paraId="192D308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114</w:t>
            </w:r>
          </w:p>
        </w:tc>
        <w:tc>
          <w:tcPr>
            <w:tcW w:w="2552" w:type="dxa"/>
            <w:shd w:val="clear" w:color="auto" w:fill="auto"/>
            <w:vAlign w:val="bottom"/>
          </w:tcPr>
          <w:p w14:paraId="75AC024F"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aprendizaje agrícola e industrial de Khao Prik</w:t>
            </w:r>
          </w:p>
        </w:tc>
        <w:tc>
          <w:tcPr>
            <w:tcW w:w="1417" w:type="dxa"/>
            <w:shd w:val="clear" w:color="auto" w:fill="auto"/>
            <w:vAlign w:val="bottom"/>
          </w:tcPr>
          <w:p w14:paraId="62E18B4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01A9294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c>
          <w:tcPr>
            <w:tcW w:w="1416" w:type="dxa"/>
            <w:shd w:val="clear" w:color="auto" w:fill="auto"/>
            <w:vAlign w:val="bottom"/>
          </w:tcPr>
          <w:p w14:paraId="51A1D77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7</w:t>
            </w:r>
          </w:p>
        </w:tc>
      </w:tr>
      <w:tr w:rsidR="00062B95" w:rsidRPr="00062B95" w14:paraId="6C77BC89" w14:textId="77777777" w:rsidTr="006F6842">
        <w:trPr>
          <w:trHeight w:val="240"/>
        </w:trPr>
        <w:tc>
          <w:tcPr>
            <w:tcW w:w="567" w:type="dxa"/>
            <w:shd w:val="clear" w:color="auto" w:fill="auto"/>
          </w:tcPr>
          <w:p w14:paraId="63097F1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115</w:t>
            </w:r>
          </w:p>
        </w:tc>
        <w:tc>
          <w:tcPr>
            <w:tcW w:w="2552" w:type="dxa"/>
            <w:shd w:val="clear" w:color="auto" w:fill="auto"/>
            <w:vAlign w:val="bottom"/>
          </w:tcPr>
          <w:p w14:paraId="7E5CF11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central para toxicómanos</w:t>
            </w:r>
          </w:p>
        </w:tc>
        <w:tc>
          <w:tcPr>
            <w:tcW w:w="1417" w:type="dxa"/>
            <w:shd w:val="clear" w:color="auto" w:fill="auto"/>
            <w:vAlign w:val="bottom"/>
          </w:tcPr>
          <w:p w14:paraId="4E99DC7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7FAC9F3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1C65123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0A6B2BBA" w14:textId="77777777" w:rsidTr="006F6842">
        <w:trPr>
          <w:trHeight w:val="240"/>
        </w:trPr>
        <w:tc>
          <w:tcPr>
            <w:tcW w:w="567" w:type="dxa"/>
            <w:shd w:val="clear" w:color="auto" w:fill="auto"/>
          </w:tcPr>
          <w:p w14:paraId="4888D2B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116</w:t>
            </w:r>
          </w:p>
        </w:tc>
        <w:tc>
          <w:tcPr>
            <w:tcW w:w="2552" w:type="dxa"/>
            <w:shd w:val="clear" w:color="auto" w:fill="auto"/>
            <w:vAlign w:val="bottom"/>
          </w:tcPr>
          <w:p w14:paraId="4407EB7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Khon Kaen para toxicómanos</w:t>
            </w:r>
          </w:p>
        </w:tc>
        <w:tc>
          <w:tcPr>
            <w:tcW w:w="1417" w:type="dxa"/>
            <w:shd w:val="clear" w:color="auto" w:fill="auto"/>
            <w:vAlign w:val="bottom"/>
          </w:tcPr>
          <w:p w14:paraId="7EE187F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6</w:t>
            </w:r>
          </w:p>
        </w:tc>
        <w:tc>
          <w:tcPr>
            <w:tcW w:w="1418" w:type="dxa"/>
            <w:shd w:val="clear" w:color="auto" w:fill="auto"/>
            <w:vAlign w:val="bottom"/>
          </w:tcPr>
          <w:p w14:paraId="2D2A67C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4EDCDF3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1D9F19F5" w14:textId="77777777" w:rsidTr="006F6842">
        <w:trPr>
          <w:trHeight w:val="240"/>
        </w:trPr>
        <w:tc>
          <w:tcPr>
            <w:tcW w:w="567" w:type="dxa"/>
            <w:shd w:val="clear" w:color="auto" w:fill="auto"/>
          </w:tcPr>
          <w:p w14:paraId="4C7938A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117</w:t>
            </w:r>
          </w:p>
        </w:tc>
        <w:tc>
          <w:tcPr>
            <w:tcW w:w="2552" w:type="dxa"/>
            <w:shd w:val="clear" w:color="auto" w:fill="auto"/>
            <w:vAlign w:val="bottom"/>
          </w:tcPr>
          <w:p w14:paraId="617EBCA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Pathum Thani para toxicómanos</w:t>
            </w:r>
          </w:p>
        </w:tc>
        <w:tc>
          <w:tcPr>
            <w:tcW w:w="1417" w:type="dxa"/>
            <w:shd w:val="clear" w:color="auto" w:fill="auto"/>
            <w:vAlign w:val="bottom"/>
          </w:tcPr>
          <w:p w14:paraId="56181AA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75C427A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013306F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328F829B" w14:textId="77777777" w:rsidTr="006F6842">
        <w:trPr>
          <w:trHeight w:val="240"/>
        </w:trPr>
        <w:tc>
          <w:tcPr>
            <w:tcW w:w="567" w:type="dxa"/>
            <w:shd w:val="clear" w:color="auto" w:fill="auto"/>
          </w:tcPr>
          <w:p w14:paraId="7BB398E1"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118</w:t>
            </w:r>
          </w:p>
        </w:tc>
        <w:tc>
          <w:tcPr>
            <w:tcW w:w="2552" w:type="dxa"/>
            <w:shd w:val="clear" w:color="auto" w:fill="auto"/>
            <w:vAlign w:val="bottom"/>
          </w:tcPr>
          <w:p w14:paraId="33FCE30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Ayutthaya para toxicómanos</w:t>
            </w:r>
          </w:p>
        </w:tc>
        <w:tc>
          <w:tcPr>
            <w:tcW w:w="1417" w:type="dxa"/>
            <w:shd w:val="clear" w:color="auto" w:fill="auto"/>
            <w:vAlign w:val="bottom"/>
          </w:tcPr>
          <w:p w14:paraId="079DE8A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4FF2D3C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31B2C72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7F321ABA" w14:textId="77777777" w:rsidTr="006F6842">
        <w:trPr>
          <w:trHeight w:val="240"/>
        </w:trPr>
        <w:tc>
          <w:tcPr>
            <w:tcW w:w="567" w:type="dxa"/>
            <w:shd w:val="clear" w:color="auto" w:fill="auto"/>
          </w:tcPr>
          <w:p w14:paraId="469240C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119</w:t>
            </w:r>
          </w:p>
        </w:tc>
        <w:tc>
          <w:tcPr>
            <w:tcW w:w="2552" w:type="dxa"/>
            <w:shd w:val="clear" w:color="auto" w:fill="auto"/>
            <w:vAlign w:val="bottom"/>
          </w:tcPr>
          <w:p w14:paraId="73CD307E"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Lampang para toxicómanos</w:t>
            </w:r>
          </w:p>
        </w:tc>
        <w:tc>
          <w:tcPr>
            <w:tcW w:w="1417" w:type="dxa"/>
            <w:shd w:val="clear" w:color="auto" w:fill="auto"/>
            <w:vAlign w:val="bottom"/>
          </w:tcPr>
          <w:p w14:paraId="21CA562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cs/>
                <w:lang w:val="es-ES_tradnl" w:bidi="th-TH"/>
              </w:rPr>
            </w:pPr>
            <w:r w:rsidRPr="0085022A">
              <w:rPr>
                <w:sz w:val="18"/>
                <w:szCs w:val="18"/>
                <w:cs/>
                <w:lang w:val="es-ES_tradnl" w:bidi="th-TH"/>
              </w:rPr>
              <w:t>4</w:t>
            </w:r>
          </w:p>
        </w:tc>
        <w:tc>
          <w:tcPr>
            <w:tcW w:w="1418" w:type="dxa"/>
            <w:shd w:val="clear" w:color="auto" w:fill="auto"/>
            <w:vAlign w:val="bottom"/>
          </w:tcPr>
          <w:p w14:paraId="6A58AE5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672485E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6A446C2A" w14:textId="77777777" w:rsidTr="006F6842">
        <w:trPr>
          <w:trHeight w:val="240"/>
        </w:trPr>
        <w:tc>
          <w:tcPr>
            <w:tcW w:w="567" w:type="dxa"/>
            <w:shd w:val="clear" w:color="auto" w:fill="auto"/>
          </w:tcPr>
          <w:p w14:paraId="40383EA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120</w:t>
            </w:r>
          </w:p>
        </w:tc>
        <w:tc>
          <w:tcPr>
            <w:tcW w:w="2552" w:type="dxa"/>
            <w:shd w:val="clear" w:color="auto" w:fill="auto"/>
            <w:vAlign w:val="bottom"/>
          </w:tcPr>
          <w:p w14:paraId="48C8EB9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Songkhla para toxicómanos</w:t>
            </w:r>
          </w:p>
        </w:tc>
        <w:tc>
          <w:tcPr>
            <w:tcW w:w="1417" w:type="dxa"/>
            <w:shd w:val="clear" w:color="auto" w:fill="auto"/>
            <w:vAlign w:val="bottom"/>
          </w:tcPr>
          <w:p w14:paraId="5F027537"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4</w:t>
            </w:r>
          </w:p>
        </w:tc>
        <w:tc>
          <w:tcPr>
            <w:tcW w:w="1418" w:type="dxa"/>
            <w:shd w:val="clear" w:color="auto" w:fill="auto"/>
            <w:vAlign w:val="bottom"/>
          </w:tcPr>
          <w:p w14:paraId="7C57A0C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48BF344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2F8F16F0" w14:textId="77777777" w:rsidTr="006F6842">
        <w:trPr>
          <w:trHeight w:val="240"/>
        </w:trPr>
        <w:tc>
          <w:tcPr>
            <w:tcW w:w="567" w:type="dxa"/>
            <w:shd w:val="clear" w:color="auto" w:fill="auto"/>
          </w:tcPr>
          <w:p w14:paraId="5DF67D32"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121</w:t>
            </w:r>
          </w:p>
        </w:tc>
        <w:tc>
          <w:tcPr>
            <w:tcW w:w="2552" w:type="dxa"/>
            <w:shd w:val="clear" w:color="auto" w:fill="auto"/>
            <w:vAlign w:val="bottom"/>
          </w:tcPr>
          <w:p w14:paraId="542DBD4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para toxicómanas</w:t>
            </w:r>
          </w:p>
        </w:tc>
        <w:tc>
          <w:tcPr>
            <w:tcW w:w="1417" w:type="dxa"/>
            <w:shd w:val="clear" w:color="auto" w:fill="auto"/>
            <w:vAlign w:val="bottom"/>
          </w:tcPr>
          <w:p w14:paraId="79C25B80"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303D252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34C61E8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r>
      <w:tr w:rsidR="00062B95" w:rsidRPr="00062B95" w14:paraId="443BB1DD" w14:textId="77777777" w:rsidTr="006F6842">
        <w:trPr>
          <w:trHeight w:val="240"/>
        </w:trPr>
        <w:tc>
          <w:tcPr>
            <w:tcW w:w="567" w:type="dxa"/>
            <w:shd w:val="clear" w:color="auto" w:fill="auto"/>
          </w:tcPr>
          <w:p w14:paraId="1F6FB78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122</w:t>
            </w:r>
          </w:p>
        </w:tc>
        <w:tc>
          <w:tcPr>
            <w:tcW w:w="2552" w:type="dxa"/>
            <w:shd w:val="clear" w:color="auto" w:fill="auto"/>
            <w:vAlign w:val="bottom"/>
          </w:tcPr>
          <w:p w14:paraId="1BDF79D3"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en régimen abierto de Thung Bencha</w:t>
            </w:r>
          </w:p>
        </w:tc>
        <w:tc>
          <w:tcPr>
            <w:tcW w:w="1417" w:type="dxa"/>
            <w:shd w:val="clear" w:color="auto" w:fill="auto"/>
            <w:vAlign w:val="bottom"/>
          </w:tcPr>
          <w:p w14:paraId="675162B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38445F1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31FFFA8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31527DE9" w14:textId="77777777" w:rsidTr="006F6842">
        <w:trPr>
          <w:trHeight w:val="240"/>
        </w:trPr>
        <w:tc>
          <w:tcPr>
            <w:tcW w:w="567" w:type="dxa"/>
            <w:shd w:val="clear" w:color="auto" w:fill="auto"/>
          </w:tcPr>
          <w:p w14:paraId="41233F6E"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123</w:t>
            </w:r>
          </w:p>
        </w:tc>
        <w:tc>
          <w:tcPr>
            <w:tcW w:w="2552" w:type="dxa"/>
            <w:shd w:val="clear" w:color="auto" w:fill="auto"/>
            <w:vAlign w:val="bottom"/>
          </w:tcPr>
          <w:p w14:paraId="0045382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en régimen abierto de Ban Na Wong</w:t>
            </w:r>
          </w:p>
        </w:tc>
        <w:tc>
          <w:tcPr>
            <w:tcW w:w="1417" w:type="dxa"/>
            <w:shd w:val="clear" w:color="auto" w:fill="auto"/>
            <w:vAlign w:val="bottom"/>
          </w:tcPr>
          <w:p w14:paraId="7A87034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2896C5D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3B2FBC2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4BE427FD" w14:textId="77777777" w:rsidTr="006F6842">
        <w:trPr>
          <w:trHeight w:val="240"/>
        </w:trPr>
        <w:tc>
          <w:tcPr>
            <w:tcW w:w="567" w:type="dxa"/>
            <w:shd w:val="clear" w:color="auto" w:fill="auto"/>
          </w:tcPr>
          <w:p w14:paraId="44B527A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124</w:t>
            </w:r>
          </w:p>
        </w:tc>
        <w:tc>
          <w:tcPr>
            <w:tcW w:w="2552" w:type="dxa"/>
            <w:shd w:val="clear" w:color="auto" w:fill="auto"/>
            <w:vAlign w:val="bottom"/>
          </w:tcPr>
          <w:p w14:paraId="74BE89CE"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en régimen abierto Ban Noen Soong</w:t>
            </w:r>
          </w:p>
        </w:tc>
        <w:tc>
          <w:tcPr>
            <w:tcW w:w="1417" w:type="dxa"/>
            <w:shd w:val="clear" w:color="auto" w:fill="auto"/>
            <w:vAlign w:val="bottom"/>
          </w:tcPr>
          <w:p w14:paraId="4CB98BC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05338F4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260C960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62457952" w14:textId="77777777" w:rsidTr="006F6842">
        <w:trPr>
          <w:trHeight w:val="240"/>
        </w:trPr>
        <w:tc>
          <w:tcPr>
            <w:tcW w:w="567" w:type="dxa"/>
            <w:shd w:val="clear" w:color="auto" w:fill="auto"/>
          </w:tcPr>
          <w:p w14:paraId="0ADEFD8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lastRenderedPageBreak/>
              <w:t>125</w:t>
            </w:r>
          </w:p>
        </w:tc>
        <w:tc>
          <w:tcPr>
            <w:tcW w:w="2552" w:type="dxa"/>
            <w:shd w:val="clear" w:color="auto" w:fill="auto"/>
            <w:vAlign w:val="bottom"/>
          </w:tcPr>
          <w:p w14:paraId="27B053F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en régimen abierto de Nong Nam Khun</w:t>
            </w:r>
          </w:p>
        </w:tc>
        <w:tc>
          <w:tcPr>
            <w:tcW w:w="1417" w:type="dxa"/>
            <w:shd w:val="clear" w:color="auto" w:fill="auto"/>
            <w:vAlign w:val="bottom"/>
          </w:tcPr>
          <w:p w14:paraId="32913E1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09079D4C"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042A352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2680689B" w14:textId="77777777" w:rsidTr="006F6842">
        <w:trPr>
          <w:trHeight w:val="240"/>
        </w:trPr>
        <w:tc>
          <w:tcPr>
            <w:tcW w:w="567" w:type="dxa"/>
            <w:shd w:val="clear" w:color="auto" w:fill="auto"/>
          </w:tcPr>
          <w:p w14:paraId="1E4C376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126</w:t>
            </w:r>
          </w:p>
        </w:tc>
        <w:tc>
          <w:tcPr>
            <w:tcW w:w="2552" w:type="dxa"/>
            <w:shd w:val="clear" w:color="auto" w:fill="auto"/>
            <w:vAlign w:val="bottom"/>
          </w:tcPr>
          <w:p w14:paraId="6CF7150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en régimen abierto de Huaypong (Rayong)</w:t>
            </w:r>
          </w:p>
        </w:tc>
        <w:tc>
          <w:tcPr>
            <w:tcW w:w="1417" w:type="dxa"/>
            <w:shd w:val="clear" w:color="auto" w:fill="auto"/>
            <w:vAlign w:val="bottom"/>
          </w:tcPr>
          <w:p w14:paraId="5DEDC15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051F421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1B36F5C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7EFB66CC" w14:textId="77777777" w:rsidTr="006F6842">
        <w:trPr>
          <w:trHeight w:val="240"/>
        </w:trPr>
        <w:tc>
          <w:tcPr>
            <w:tcW w:w="567" w:type="dxa"/>
            <w:shd w:val="clear" w:color="auto" w:fill="auto"/>
          </w:tcPr>
          <w:p w14:paraId="2739BF74"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127</w:t>
            </w:r>
          </w:p>
        </w:tc>
        <w:tc>
          <w:tcPr>
            <w:tcW w:w="2552" w:type="dxa"/>
            <w:shd w:val="clear" w:color="auto" w:fill="auto"/>
            <w:vAlign w:val="bottom"/>
          </w:tcPr>
          <w:p w14:paraId="6D72810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tratamiento médico</w:t>
            </w:r>
          </w:p>
        </w:tc>
        <w:tc>
          <w:tcPr>
            <w:tcW w:w="1417" w:type="dxa"/>
            <w:shd w:val="clear" w:color="auto" w:fill="auto"/>
            <w:vAlign w:val="bottom"/>
          </w:tcPr>
          <w:p w14:paraId="5CCC089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102</w:t>
            </w:r>
          </w:p>
        </w:tc>
        <w:tc>
          <w:tcPr>
            <w:tcW w:w="1418" w:type="dxa"/>
            <w:shd w:val="clear" w:color="auto" w:fill="auto"/>
            <w:vAlign w:val="bottom"/>
          </w:tcPr>
          <w:p w14:paraId="1A723AD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101</w:t>
            </w:r>
          </w:p>
        </w:tc>
        <w:tc>
          <w:tcPr>
            <w:tcW w:w="1416" w:type="dxa"/>
            <w:shd w:val="clear" w:color="auto" w:fill="auto"/>
            <w:vAlign w:val="bottom"/>
          </w:tcPr>
          <w:p w14:paraId="2B47DD2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67</w:t>
            </w:r>
          </w:p>
        </w:tc>
      </w:tr>
      <w:tr w:rsidR="00062B95" w:rsidRPr="00062B95" w14:paraId="501579ED" w14:textId="77777777" w:rsidTr="006F6842">
        <w:trPr>
          <w:trHeight w:val="240"/>
        </w:trPr>
        <w:tc>
          <w:tcPr>
            <w:tcW w:w="567" w:type="dxa"/>
            <w:shd w:val="clear" w:color="auto" w:fill="auto"/>
          </w:tcPr>
          <w:p w14:paraId="0DA38D3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128</w:t>
            </w:r>
          </w:p>
        </w:tc>
        <w:tc>
          <w:tcPr>
            <w:tcW w:w="2552" w:type="dxa"/>
            <w:shd w:val="clear" w:color="auto" w:fill="auto"/>
            <w:vAlign w:val="bottom"/>
          </w:tcPr>
          <w:p w14:paraId="566CEFB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central para jóvenes infractores</w:t>
            </w:r>
          </w:p>
        </w:tc>
        <w:tc>
          <w:tcPr>
            <w:tcW w:w="1417" w:type="dxa"/>
            <w:shd w:val="clear" w:color="auto" w:fill="auto"/>
            <w:vAlign w:val="bottom"/>
          </w:tcPr>
          <w:p w14:paraId="2C35019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3</w:t>
            </w:r>
          </w:p>
        </w:tc>
        <w:tc>
          <w:tcPr>
            <w:tcW w:w="1418" w:type="dxa"/>
            <w:shd w:val="clear" w:color="auto" w:fill="auto"/>
            <w:vAlign w:val="bottom"/>
          </w:tcPr>
          <w:p w14:paraId="0889F97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5</w:t>
            </w:r>
          </w:p>
        </w:tc>
        <w:tc>
          <w:tcPr>
            <w:tcW w:w="1416" w:type="dxa"/>
            <w:shd w:val="clear" w:color="auto" w:fill="auto"/>
            <w:vAlign w:val="bottom"/>
          </w:tcPr>
          <w:p w14:paraId="3033D8E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39EE2F03" w14:textId="77777777" w:rsidTr="006F6842">
        <w:trPr>
          <w:trHeight w:val="240"/>
        </w:trPr>
        <w:tc>
          <w:tcPr>
            <w:tcW w:w="567" w:type="dxa"/>
            <w:shd w:val="clear" w:color="auto" w:fill="auto"/>
          </w:tcPr>
          <w:p w14:paraId="62F348AB"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129</w:t>
            </w:r>
          </w:p>
        </w:tc>
        <w:tc>
          <w:tcPr>
            <w:tcW w:w="2552" w:type="dxa"/>
            <w:shd w:val="clear" w:color="auto" w:fill="auto"/>
            <w:vAlign w:val="bottom"/>
          </w:tcPr>
          <w:p w14:paraId="2A37C494"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Nakhon Si Thammarat para jóvenes infractores</w:t>
            </w:r>
          </w:p>
        </w:tc>
        <w:tc>
          <w:tcPr>
            <w:tcW w:w="1417" w:type="dxa"/>
            <w:shd w:val="clear" w:color="auto" w:fill="auto"/>
            <w:vAlign w:val="bottom"/>
          </w:tcPr>
          <w:p w14:paraId="387D304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7</w:t>
            </w:r>
          </w:p>
        </w:tc>
        <w:tc>
          <w:tcPr>
            <w:tcW w:w="1418" w:type="dxa"/>
            <w:shd w:val="clear" w:color="auto" w:fill="auto"/>
            <w:vAlign w:val="bottom"/>
          </w:tcPr>
          <w:p w14:paraId="35B26E8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c>
          <w:tcPr>
            <w:tcW w:w="1416" w:type="dxa"/>
            <w:shd w:val="clear" w:color="auto" w:fill="auto"/>
            <w:vAlign w:val="bottom"/>
          </w:tcPr>
          <w:p w14:paraId="1946531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6</w:t>
            </w:r>
          </w:p>
        </w:tc>
      </w:tr>
      <w:tr w:rsidR="00062B95" w:rsidRPr="00062B95" w14:paraId="270124EC" w14:textId="77777777" w:rsidTr="006F6842">
        <w:trPr>
          <w:trHeight w:val="240"/>
        </w:trPr>
        <w:tc>
          <w:tcPr>
            <w:tcW w:w="567" w:type="dxa"/>
            <w:shd w:val="clear" w:color="auto" w:fill="auto"/>
          </w:tcPr>
          <w:p w14:paraId="018E4C87"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130</w:t>
            </w:r>
          </w:p>
        </w:tc>
        <w:tc>
          <w:tcPr>
            <w:tcW w:w="2552" w:type="dxa"/>
            <w:shd w:val="clear" w:color="auto" w:fill="auto"/>
            <w:vAlign w:val="bottom"/>
          </w:tcPr>
          <w:p w14:paraId="4B1A80A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Phra Nakhon Si Ayutthaya para jóvenes infractores</w:t>
            </w:r>
          </w:p>
        </w:tc>
        <w:tc>
          <w:tcPr>
            <w:tcW w:w="1417" w:type="dxa"/>
            <w:shd w:val="clear" w:color="auto" w:fill="auto"/>
            <w:vAlign w:val="bottom"/>
          </w:tcPr>
          <w:p w14:paraId="52C5730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7BDBF23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3FE749A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73AD46E4" w14:textId="77777777" w:rsidTr="006F6842">
        <w:trPr>
          <w:trHeight w:val="240"/>
        </w:trPr>
        <w:tc>
          <w:tcPr>
            <w:tcW w:w="567" w:type="dxa"/>
            <w:shd w:val="clear" w:color="auto" w:fill="auto"/>
          </w:tcPr>
          <w:p w14:paraId="71F22D6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131</w:t>
            </w:r>
          </w:p>
        </w:tc>
        <w:tc>
          <w:tcPr>
            <w:tcW w:w="2552" w:type="dxa"/>
            <w:shd w:val="clear" w:color="auto" w:fill="auto"/>
            <w:vAlign w:val="bottom"/>
          </w:tcPr>
          <w:p w14:paraId="72C3AC3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central de mujeres</w:t>
            </w:r>
          </w:p>
        </w:tc>
        <w:tc>
          <w:tcPr>
            <w:tcW w:w="1417" w:type="dxa"/>
            <w:shd w:val="clear" w:color="auto" w:fill="auto"/>
            <w:vAlign w:val="bottom"/>
          </w:tcPr>
          <w:p w14:paraId="57B1B86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57FD2BB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268266C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54923BCB" w14:textId="77777777" w:rsidTr="006F6842">
        <w:trPr>
          <w:trHeight w:val="240"/>
        </w:trPr>
        <w:tc>
          <w:tcPr>
            <w:tcW w:w="567" w:type="dxa"/>
            <w:shd w:val="clear" w:color="auto" w:fill="auto"/>
          </w:tcPr>
          <w:p w14:paraId="598582E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132</w:t>
            </w:r>
          </w:p>
        </w:tc>
        <w:tc>
          <w:tcPr>
            <w:tcW w:w="2552" w:type="dxa"/>
            <w:shd w:val="clear" w:color="auto" w:fill="auto"/>
            <w:vAlign w:val="bottom"/>
          </w:tcPr>
          <w:p w14:paraId="71FC9FBA"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Chonburi para mujeres</w:t>
            </w:r>
          </w:p>
        </w:tc>
        <w:tc>
          <w:tcPr>
            <w:tcW w:w="1417" w:type="dxa"/>
            <w:shd w:val="clear" w:color="auto" w:fill="auto"/>
            <w:vAlign w:val="bottom"/>
          </w:tcPr>
          <w:p w14:paraId="0388966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29FF0D18"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c>
          <w:tcPr>
            <w:tcW w:w="1416" w:type="dxa"/>
            <w:shd w:val="clear" w:color="auto" w:fill="auto"/>
            <w:vAlign w:val="bottom"/>
          </w:tcPr>
          <w:p w14:paraId="38A6081E"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458C6082" w14:textId="77777777" w:rsidTr="006F6842">
        <w:trPr>
          <w:trHeight w:val="240"/>
        </w:trPr>
        <w:tc>
          <w:tcPr>
            <w:tcW w:w="567" w:type="dxa"/>
            <w:shd w:val="clear" w:color="auto" w:fill="auto"/>
          </w:tcPr>
          <w:p w14:paraId="090CACDF"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133</w:t>
            </w:r>
          </w:p>
        </w:tc>
        <w:tc>
          <w:tcPr>
            <w:tcW w:w="2552" w:type="dxa"/>
            <w:shd w:val="clear" w:color="auto" w:fill="auto"/>
            <w:vAlign w:val="bottom"/>
          </w:tcPr>
          <w:p w14:paraId="46509D7C"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Chiang Mai para mujeres</w:t>
            </w:r>
          </w:p>
        </w:tc>
        <w:tc>
          <w:tcPr>
            <w:tcW w:w="1417" w:type="dxa"/>
            <w:shd w:val="clear" w:color="auto" w:fill="auto"/>
            <w:vAlign w:val="bottom"/>
          </w:tcPr>
          <w:p w14:paraId="1DB679E9"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8</w:t>
            </w:r>
          </w:p>
        </w:tc>
        <w:tc>
          <w:tcPr>
            <w:tcW w:w="1418" w:type="dxa"/>
            <w:shd w:val="clear" w:color="auto" w:fill="auto"/>
            <w:vAlign w:val="bottom"/>
          </w:tcPr>
          <w:p w14:paraId="7C6FADA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c>
          <w:tcPr>
            <w:tcW w:w="1416" w:type="dxa"/>
            <w:shd w:val="clear" w:color="auto" w:fill="auto"/>
            <w:vAlign w:val="bottom"/>
          </w:tcPr>
          <w:p w14:paraId="6365702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r>
      <w:tr w:rsidR="00062B95" w:rsidRPr="00062B95" w14:paraId="6B981738" w14:textId="77777777" w:rsidTr="006F6842">
        <w:trPr>
          <w:trHeight w:val="240"/>
        </w:trPr>
        <w:tc>
          <w:tcPr>
            <w:tcW w:w="567" w:type="dxa"/>
            <w:shd w:val="clear" w:color="auto" w:fill="auto"/>
          </w:tcPr>
          <w:p w14:paraId="355F3AF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134</w:t>
            </w:r>
          </w:p>
        </w:tc>
        <w:tc>
          <w:tcPr>
            <w:tcW w:w="2552" w:type="dxa"/>
            <w:shd w:val="clear" w:color="auto" w:fill="auto"/>
            <w:vAlign w:val="bottom"/>
          </w:tcPr>
          <w:p w14:paraId="2166B4A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Thonburi para mujeres</w:t>
            </w:r>
          </w:p>
        </w:tc>
        <w:tc>
          <w:tcPr>
            <w:tcW w:w="1417" w:type="dxa"/>
            <w:shd w:val="clear" w:color="auto" w:fill="auto"/>
            <w:vAlign w:val="bottom"/>
          </w:tcPr>
          <w:p w14:paraId="7C2C719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500E4CF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1</w:t>
            </w:r>
          </w:p>
        </w:tc>
        <w:tc>
          <w:tcPr>
            <w:tcW w:w="1416" w:type="dxa"/>
            <w:shd w:val="clear" w:color="auto" w:fill="auto"/>
            <w:vAlign w:val="bottom"/>
          </w:tcPr>
          <w:p w14:paraId="4FAAEEC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79BF0E29" w14:textId="77777777" w:rsidTr="006F6842">
        <w:trPr>
          <w:trHeight w:val="240"/>
        </w:trPr>
        <w:tc>
          <w:tcPr>
            <w:tcW w:w="567" w:type="dxa"/>
            <w:shd w:val="clear" w:color="auto" w:fill="auto"/>
          </w:tcPr>
          <w:p w14:paraId="44BFBD0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135</w:t>
            </w:r>
          </w:p>
        </w:tc>
        <w:tc>
          <w:tcPr>
            <w:tcW w:w="2552" w:type="dxa"/>
            <w:shd w:val="clear" w:color="auto" w:fill="auto"/>
            <w:vAlign w:val="bottom"/>
          </w:tcPr>
          <w:p w14:paraId="0AC2740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Nakhon Ratchasima para mujeres</w:t>
            </w:r>
          </w:p>
        </w:tc>
        <w:tc>
          <w:tcPr>
            <w:tcW w:w="1417" w:type="dxa"/>
            <w:shd w:val="clear" w:color="auto" w:fill="auto"/>
            <w:vAlign w:val="bottom"/>
          </w:tcPr>
          <w:p w14:paraId="60E91D6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5</w:t>
            </w:r>
          </w:p>
        </w:tc>
        <w:tc>
          <w:tcPr>
            <w:tcW w:w="1418" w:type="dxa"/>
            <w:shd w:val="clear" w:color="auto" w:fill="auto"/>
            <w:vAlign w:val="bottom"/>
          </w:tcPr>
          <w:p w14:paraId="6A191C54"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8</w:t>
            </w:r>
          </w:p>
        </w:tc>
        <w:tc>
          <w:tcPr>
            <w:tcW w:w="1416" w:type="dxa"/>
            <w:shd w:val="clear" w:color="auto" w:fill="auto"/>
            <w:vAlign w:val="bottom"/>
          </w:tcPr>
          <w:p w14:paraId="6060B9A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4</w:t>
            </w:r>
          </w:p>
        </w:tc>
      </w:tr>
      <w:tr w:rsidR="00062B95" w:rsidRPr="00062B95" w14:paraId="778E32CD" w14:textId="77777777" w:rsidTr="006F6842">
        <w:trPr>
          <w:trHeight w:val="240"/>
        </w:trPr>
        <w:tc>
          <w:tcPr>
            <w:tcW w:w="567" w:type="dxa"/>
            <w:shd w:val="clear" w:color="auto" w:fill="auto"/>
          </w:tcPr>
          <w:p w14:paraId="318F3A93"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136</w:t>
            </w:r>
          </w:p>
        </w:tc>
        <w:tc>
          <w:tcPr>
            <w:tcW w:w="2552" w:type="dxa"/>
            <w:shd w:val="clear" w:color="auto" w:fill="auto"/>
            <w:vAlign w:val="bottom"/>
          </w:tcPr>
          <w:p w14:paraId="5EC6E0A8"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Phitsanulok para mujeres</w:t>
            </w:r>
          </w:p>
        </w:tc>
        <w:tc>
          <w:tcPr>
            <w:tcW w:w="1417" w:type="dxa"/>
            <w:shd w:val="clear" w:color="auto" w:fill="auto"/>
            <w:vAlign w:val="bottom"/>
          </w:tcPr>
          <w:p w14:paraId="0EA5834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7EA9B9A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c>
          <w:tcPr>
            <w:tcW w:w="1416" w:type="dxa"/>
            <w:shd w:val="clear" w:color="auto" w:fill="auto"/>
            <w:vAlign w:val="bottom"/>
          </w:tcPr>
          <w:p w14:paraId="5044B98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67745E7B" w14:textId="77777777" w:rsidTr="006F6842">
        <w:trPr>
          <w:trHeight w:val="240"/>
        </w:trPr>
        <w:tc>
          <w:tcPr>
            <w:tcW w:w="567" w:type="dxa"/>
            <w:shd w:val="clear" w:color="auto" w:fill="auto"/>
          </w:tcPr>
          <w:p w14:paraId="253FDC9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137</w:t>
            </w:r>
          </w:p>
        </w:tc>
        <w:tc>
          <w:tcPr>
            <w:tcW w:w="2552" w:type="dxa"/>
            <w:shd w:val="clear" w:color="auto" w:fill="auto"/>
            <w:vAlign w:val="bottom"/>
          </w:tcPr>
          <w:p w14:paraId="1DFF0326"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Centro penitenciario de Songkhla para mujeres</w:t>
            </w:r>
          </w:p>
        </w:tc>
        <w:tc>
          <w:tcPr>
            <w:tcW w:w="1417" w:type="dxa"/>
            <w:shd w:val="clear" w:color="auto" w:fill="auto"/>
            <w:vAlign w:val="bottom"/>
          </w:tcPr>
          <w:p w14:paraId="5B287E4D"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3B82445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shd w:val="clear" w:color="auto" w:fill="auto"/>
            <w:vAlign w:val="bottom"/>
          </w:tcPr>
          <w:p w14:paraId="0F84747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1B40A4E0" w14:textId="77777777" w:rsidTr="006F6842">
        <w:trPr>
          <w:trHeight w:val="240"/>
        </w:trPr>
        <w:tc>
          <w:tcPr>
            <w:tcW w:w="567" w:type="dxa"/>
            <w:shd w:val="clear" w:color="auto" w:fill="auto"/>
          </w:tcPr>
          <w:p w14:paraId="76597470"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138</w:t>
            </w:r>
          </w:p>
        </w:tc>
        <w:tc>
          <w:tcPr>
            <w:tcW w:w="2552" w:type="dxa"/>
            <w:shd w:val="clear" w:color="auto" w:fill="auto"/>
            <w:vAlign w:val="bottom"/>
          </w:tcPr>
          <w:p w14:paraId="60D4F22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 xml:space="preserve">Centro de detención de Trat </w:t>
            </w:r>
          </w:p>
        </w:tc>
        <w:tc>
          <w:tcPr>
            <w:tcW w:w="1417" w:type="dxa"/>
            <w:shd w:val="clear" w:color="auto" w:fill="auto"/>
            <w:vAlign w:val="bottom"/>
          </w:tcPr>
          <w:p w14:paraId="6459EF8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6946B41B"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5878542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3020C300" w14:textId="77777777" w:rsidTr="006F6842">
        <w:trPr>
          <w:trHeight w:val="240"/>
        </w:trPr>
        <w:tc>
          <w:tcPr>
            <w:tcW w:w="567" w:type="dxa"/>
            <w:shd w:val="clear" w:color="auto" w:fill="auto"/>
          </w:tcPr>
          <w:p w14:paraId="1A01D6E8"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139</w:t>
            </w:r>
          </w:p>
        </w:tc>
        <w:tc>
          <w:tcPr>
            <w:tcW w:w="2552" w:type="dxa"/>
            <w:shd w:val="clear" w:color="auto" w:fill="auto"/>
            <w:vAlign w:val="bottom"/>
          </w:tcPr>
          <w:p w14:paraId="539E383B"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 xml:space="preserve">Centro de detención de Nakhon Si Thammarat </w:t>
            </w:r>
          </w:p>
        </w:tc>
        <w:tc>
          <w:tcPr>
            <w:tcW w:w="1417" w:type="dxa"/>
            <w:shd w:val="clear" w:color="auto" w:fill="auto"/>
            <w:vAlign w:val="bottom"/>
          </w:tcPr>
          <w:p w14:paraId="77E000E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1</w:t>
            </w:r>
          </w:p>
        </w:tc>
        <w:tc>
          <w:tcPr>
            <w:tcW w:w="1418" w:type="dxa"/>
            <w:shd w:val="clear" w:color="auto" w:fill="auto"/>
            <w:vAlign w:val="bottom"/>
          </w:tcPr>
          <w:p w14:paraId="678EA29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66002F3A"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127C5075" w14:textId="77777777" w:rsidTr="006F6842">
        <w:trPr>
          <w:trHeight w:val="240"/>
        </w:trPr>
        <w:tc>
          <w:tcPr>
            <w:tcW w:w="567" w:type="dxa"/>
            <w:shd w:val="clear" w:color="auto" w:fill="auto"/>
          </w:tcPr>
          <w:p w14:paraId="73E5A54C"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140</w:t>
            </w:r>
          </w:p>
        </w:tc>
        <w:tc>
          <w:tcPr>
            <w:tcW w:w="2552" w:type="dxa"/>
            <w:shd w:val="clear" w:color="auto" w:fill="auto"/>
            <w:vAlign w:val="bottom"/>
          </w:tcPr>
          <w:p w14:paraId="4C034DB1"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 xml:space="preserve">Centro de detención de Pathum Thani </w:t>
            </w:r>
          </w:p>
        </w:tc>
        <w:tc>
          <w:tcPr>
            <w:tcW w:w="1417" w:type="dxa"/>
            <w:shd w:val="clear" w:color="auto" w:fill="auto"/>
            <w:vAlign w:val="bottom"/>
          </w:tcPr>
          <w:p w14:paraId="35C86D8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2</w:t>
            </w:r>
          </w:p>
        </w:tc>
        <w:tc>
          <w:tcPr>
            <w:tcW w:w="1418" w:type="dxa"/>
            <w:shd w:val="clear" w:color="auto" w:fill="auto"/>
            <w:vAlign w:val="bottom"/>
          </w:tcPr>
          <w:p w14:paraId="651E6892"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5A9EA06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2</w:t>
            </w:r>
          </w:p>
        </w:tc>
      </w:tr>
      <w:tr w:rsidR="00062B95" w:rsidRPr="00062B95" w14:paraId="213DC654" w14:textId="77777777" w:rsidTr="006F6842">
        <w:trPr>
          <w:trHeight w:val="240"/>
        </w:trPr>
        <w:tc>
          <w:tcPr>
            <w:tcW w:w="567" w:type="dxa"/>
            <w:shd w:val="clear" w:color="auto" w:fill="auto"/>
          </w:tcPr>
          <w:p w14:paraId="46276575"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141</w:t>
            </w:r>
          </w:p>
        </w:tc>
        <w:tc>
          <w:tcPr>
            <w:tcW w:w="2552" w:type="dxa"/>
            <w:shd w:val="clear" w:color="auto" w:fill="auto"/>
            <w:vAlign w:val="bottom"/>
          </w:tcPr>
          <w:p w14:paraId="706C01E2"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 xml:space="preserve">Centro de detención de Roi Et </w:t>
            </w:r>
          </w:p>
        </w:tc>
        <w:tc>
          <w:tcPr>
            <w:tcW w:w="1417" w:type="dxa"/>
            <w:shd w:val="clear" w:color="auto" w:fill="auto"/>
            <w:vAlign w:val="bottom"/>
          </w:tcPr>
          <w:p w14:paraId="7A9126C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shd w:val="clear" w:color="auto" w:fill="auto"/>
            <w:vAlign w:val="bottom"/>
          </w:tcPr>
          <w:p w14:paraId="2D895485"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c>
          <w:tcPr>
            <w:tcW w:w="1416" w:type="dxa"/>
            <w:shd w:val="clear" w:color="auto" w:fill="auto"/>
            <w:vAlign w:val="bottom"/>
          </w:tcPr>
          <w:p w14:paraId="087C3D06"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062B95" w14:paraId="29445239" w14:textId="77777777" w:rsidTr="006F6842">
        <w:trPr>
          <w:trHeight w:val="240"/>
        </w:trPr>
        <w:tc>
          <w:tcPr>
            <w:tcW w:w="567" w:type="dxa"/>
            <w:tcBorders>
              <w:bottom w:val="single" w:sz="4" w:space="0" w:color="auto"/>
            </w:tcBorders>
            <w:shd w:val="clear" w:color="auto" w:fill="auto"/>
          </w:tcPr>
          <w:p w14:paraId="59EE525D" w14:textId="77777777" w:rsidR="00062B95" w:rsidRPr="00062B95" w:rsidRDefault="00062B95" w:rsidP="00062B95">
            <w:pPr>
              <w:pStyle w:val="SingleTxtG"/>
              <w:tabs>
                <w:tab w:val="clear" w:pos="1701"/>
                <w:tab w:val="clear" w:pos="2268"/>
                <w:tab w:val="clear" w:pos="2835"/>
              </w:tabs>
              <w:spacing w:before="40" w:after="40" w:line="220" w:lineRule="exact"/>
              <w:ind w:left="0" w:right="0"/>
              <w:jc w:val="left"/>
              <w:rPr>
                <w:sz w:val="18"/>
                <w:lang w:val="es-ES_tradnl"/>
              </w:rPr>
            </w:pPr>
            <w:r w:rsidRPr="00062B95">
              <w:rPr>
                <w:sz w:val="18"/>
                <w:lang w:val="es-ES_tradnl"/>
              </w:rPr>
              <w:t>142</w:t>
            </w:r>
          </w:p>
        </w:tc>
        <w:tc>
          <w:tcPr>
            <w:tcW w:w="2552" w:type="dxa"/>
            <w:tcBorders>
              <w:bottom w:val="single" w:sz="4" w:space="0" w:color="auto"/>
            </w:tcBorders>
            <w:shd w:val="clear" w:color="auto" w:fill="auto"/>
            <w:vAlign w:val="bottom"/>
          </w:tcPr>
          <w:p w14:paraId="26DAAF6D" w14:textId="77777777" w:rsidR="00062B95" w:rsidRPr="00062B95" w:rsidRDefault="00062B95" w:rsidP="0085022A">
            <w:pPr>
              <w:pStyle w:val="SingleTxtG"/>
              <w:tabs>
                <w:tab w:val="clear" w:pos="1701"/>
                <w:tab w:val="clear" w:pos="2268"/>
                <w:tab w:val="clear" w:pos="2835"/>
              </w:tabs>
              <w:spacing w:before="40" w:after="40" w:line="220" w:lineRule="exact"/>
              <w:ind w:left="0" w:right="57"/>
              <w:jc w:val="left"/>
              <w:rPr>
                <w:sz w:val="18"/>
                <w:cs/>
                <w:lang w:bidi="th-TH"/>
              </w:rPr>
            </w:pPr>
            <w:r w:rsidRPr="00062B95">
              <w:rPr>
                <w:sz w:val="18"/>
                <w:lang w:val="es-ES_tradnl"/>
              </w:rPr>
              <w:t xml:space="preserve">Centro de detención de Lampang </w:t>
            </w:r>
          </w:p>
        </w:tc>
        <w:tc>
          <w:tcPr>
            <w:tcW w:w="1417" w:type="dxa"/>
            <w:tcBorders>
              <w:bottom w:val="single" w:sz="4" w:space="0" w:color="auto"/>
            </w:tcBorders>
            <w:shd w:val="clear" w:color="auto" w:fill="auto"/>
            <w:vAlign w:val="bottom"/>
          </w:tcPr>
          <w:p w14:paraId="2E88A2D1"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cs/>
                <w:lang w:val="es-ES_tradnl" w:bidi="th-TH"/>
              </w:rPr>
              <w:t>0</w:t>
            </w:r>
          </w:p>
        </w:tc>
        <w:tc>
          <w:tcPr>
            <w:tcW w:w="1418" w:type="dxa"/>
            <w:tcBorders>
              <w:bottom w:val="single" w:sz="4" w:space="0" w:color="auto"/>
            </w:tcBorders>
            <w:shd w:val="clear" w:color="auto" w:fill="auto"/>
            <w:vAlign w:val="bottom"/>
          </w:tcPr>
          <w:p w14:paraId="4ADB0AEF"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3</w:t>
            </w:r>
          </w:p>
        </w:tc>
        <w:tc>
          <w:tcPr>
            <w:tcW w:w="1416" w:type="dxa"/>
            <w:tcBorders>
              <w:bottom w:val="single" w:sz="4" w:space="0" w:color="auto"/>
            </w:tcBorders>
            <w:shd w:val="clear" w:color="auto" w:fill="auto"/>
            <w:vAlign w:val="bottom"/>
          </w:tcPr>
          <w:p w14:paraId="503F58F3" w14:textId="77777777" w:rsidR="00062B95" w:rsidRPr="0085022A" w:rsidRDefault="00062B95" w:rsidP="0085022A">
            <w:pPr>
              <w:pStyle w:val="SingleTxtG"/>
              <w:tabs>
                <w:tab w:val="clear" w:pos="1701"/>
                <w:tab w:val="clear" w:pos="2268"/>
                <w:tab w:val="clear" w:pos="2835"/>
              </w:tabs>
              <w:spacing w:before="40" w:after="40" w:line="220" w:lineRule="exact"/>
              <w:ind w:left="28" w:right="28"/>
              <w:jc w:val="right"/>
              <w:rPr>
                <w:sz w:val="18"/>
                <w:szCs w:val="18"/>
                <w:lang w:val="es-ES_tradnl"/>
              </w:rPr>
            </w:pPr>
            <w:r w:rsidRPr="0085022A">
              <w:rPr>
                <w:sz w:val="18"/>
                <w:szCs w:val="18"/>
                <w:lang w:val="es-ES_tradnl"/>
              </w:rPr>
              <w:t>0</w:t>
            </w:r>
          </w:p>
        </w:tc>
      </w:tr>
      <w:tr w:rsidR="00062B95" w:rsidRPr="0085022A" w14:paraId="15E8BE2E" w14:textId="77777777" w:rsidTr="006F6842">
        <w:trPr>
          <w:trHeight w:val="240"/>
        </w:trPr>
        <w:tc>
          <w:tcPr>
            <w:tcW w:w="3119" w:type="dxa"/>
            <w:gridSpan w:val="2"/>
            <w:tcBorders>
              <w:top w:val="single" w:sz="4" w:space="0" w:color="auto"/>
              <w:bottom w:val="single" w:sz="12" w:space="0" w:color="auto"/>
            </w:tcBorders>
            <w:shd w:val="clear" w:color="auto" w:fill="auto"/>
          </w:tcPr>
          <w:p w14:paraId="3D13166B" w14:textId="77777777" w:rsidR="00062B95" w:rsidRPr="0085022A" w:rsidRDefault="00062B95" w:rsidP="0085022A">
            <w:pPr>
              <w:pStyle w:val="SingleTxtG"/>
              <w:tabs>
                <w:tab w:val="clear" w:pos="1701"/>
                <w:tab w:val="clear" w:pos="2268"/>
                <w:tab w:val="clear" w:pos="2835"/>
              </w:tabs>
              <w:spacing w:before="80" w:after="80" w:line="220" w:lineRule="exact"/>
              <w:ind w:left="283" w:right="0"/>
              <w:jc w:val="left"/>
              <w:rPr>
                <w:b/>
                <w:bCs/>
                <w:sz w:val="18"/>
                <w:lang w:val="es-ES_tradnl"/>
              </w:rPr>
            </w:pPr>
            <w:r w:rsidRPr="0085022A">
              <w:rPr>
                <w:b/>
                <w:bCs/>
                <w:sz w:val="18"/>
                <w:lang w:val="es-ES_tradnl"/>
              </w:rPr>
              <w:t>Total</w:t>
            </w:r>
          </w:p>
        </w:tc>
        <w:tc>
          <w:tcPr>
            <w:tcW w:w="1417" w:type="dxa"/>
            <w:tcBorders>
              <w:top w:val="single" w:sz="4" w:space="0" w:color="auto"/>
              <w:bottom w:val="single" w:sz="12" w:space="0" w:color="auto"/>
            </w:tcBorders>
            <w:shd w:val="clear" w:color="auto" w:fill="auto"/>
            <w:vAlign w:val="bottom"/>
          </w:tcPr>
          <w:p w14:paraId="204FEC2D" w14:textId="77777777" w:rsidR="00062B95" w:rsidRPr="0085022A" w:rsidRDefault="00062B95" w:rsidP="0085022A">
            <w:pPr>
              <w:pStyle w:val="SingleTxtG"/>
              <w:tabs>
                <w:tab w:val="clear" w:pos="1701"/>
                <w:tab w:val="clear" w:pos="2268"/>
                <w:tab w:val="clear" w:pos="2835"/>
              </w:tabs>
              <w:spacing w:before="80" w:after="80" w:line="220" w:lineRule="exact"/>
              <w:ind w:left="0" w:right="28"/>
              <w:jc w:val="right"/>
              <w:rPr>
                <w:b/>
                <w:bCs/>
                <w:sz w:val="18"/>
                <w:lang w:val="es-ES_tradnl"/>
              </w:rPr>
            </w:pPr>
            <w:r w:rsidRPr="0085022A">
              <w:rPr>
                <w:b/>
                <w:bCs/>
                <w:sz w:val="18"/>
                <w:lang w:val="es-ES_tradnl"/>
              </w:rPr>
              <w:t>1 036</w:t>
            </w:r>
          </w:p>
        </w:tc>
        <w:tc>
          <w:tcPr>
            <w:tcW w:w="1418" w:type="dxa"/>
            <w:tcBorders>
              <w:top w:val="single" w:sz="4" w:space="0" w:color="auto"/>
              <w:bottom w:val="single" w:sz="12" w:space="0" w:color="auto"/>
            </w:tcBorders>
            <w:shd w:val="clear" w:color="auto" w:fill="auto"/>
            <w:vAlign w:val="bottom"/>
          </w:tcPr>
          <w:p w14:paraId="35244401" w14:textId="77777777" w:rsidR="00062B95" w:rsidRPr="0085022A" w:rsidRDefault="00062B95" w:rsidP="0085022A">
            <w:pPr>
              <w:pStyle w:val="SingleTxtG"/>
              <w:tabs>
                <w:tab w:val="clear" w:pos="1701"/>
                <w:tab w:val="clear" w:pos="2268"/>
                <w:tab w:val="clear" w:pos="2835"/>
              </w:tabs>
              <w:spacing w:before="80" w:after="80" w:line="220" w:lineRule="exact"/>
              <w:ind w:left="0" w:right="28"/>
              <w:jc w:val="right"/>
              <w:rPr>
                <w:b/>
                <w:bCs/>
                <w:sz w:val="18"/>
                <w:lang w:val="es-ES_tradnl"/>
              </w:rPr>
            </w:pPr>
            <w:r w:rsidRPr="0085022A">
              <w:rPr>
                <w:b/>
                <w:bCs/>
                <w:sz w:val="18"/>
                <w:lang w:val="es-ES_tradnl"/>
              </w:rPr>
              <w:t>1 175</w:t>
            </w:r>
          </w:p>
        </w:tc>
        <w:tc>
          <w:tcPr>
            <w:tcW w:w="1416" w:type="dxa"/>
            <w:tcBorders>
              <w:top w:val="single" w:sz="4" w:space="0" w:color="auto"/>
              <w:bottom w:val="single" w:sz="12" w:space="0" w:color="auto"/>
            </w:tcBorders>
            <w:shd w:val="clear" w:color="auto" w:fill="auto"/>
            <w:vAlign w:val="bottom"/>
          </w:tcPr>
          <w:p w14:paraId="4B51A30B" w14:textId="77777777" w:rsidR="00062B95" w:rsidRPr="0085022A" w:rsidRDefault="00062B95" w:rsidP="0085022A">
            <w:pPr>
              <w:pStyle w:val="SingleTxtG"/>
              <w:tabs>
                <w:tab w:val="clear" w:pos="1701"/>
                <w:tab w:val="clear" w:pos="2268"/>
                <w:tab w:val="clear" w:pos="2835"/>
              </w:tabs>
              <w:spacing w:before="80" w:after="80" w:line="220" w:lineRule="exact"/>
              <w:ind w:left="0" w:right="28"/>
              <w:jc w:val="right"/>
              <w:rPr>
                <w:b/>
                <w:bCs/>
                <w:sz w:val="18"/>
                <w:lang w:val="es-ES_tradnl"/>
              </w:rPr>
            </w:pPr>
            <w:r w:rsidRPr="0085022A">
              <w:rPr>
                <w:b/>
                <w:bCs/>
                <w:sz w:val="18"/>
                <w:lang w:val="es-ES_tradnl"/>
              </w:rPr>
              <w:t>697</w:t>
            </w:r>
          </w:p>
        </w:tc>
      </w:tr>
    </w:tbl>
    <w:p w14:paraId="1010C675" w14:textId="15911DC2" w:rsidR="00AC611E" w:rsidRPr="006F6842" w:rsidRDefault="006F6842" w:rsidP="006F6842">
      <w:pPr>
        <w:pStyle w:val="SingleTxtG"/>
        <w:suppressAutoHyphens/>
        <w:spacing w:before="240" w:after="0"/>
        <w:jc w:val="center"/>
        <w:rPr>
          <w:u w:val="single"/>
        </w:rPr>
      </w:pPr>
      <w:r>
        <w:rPr>
          <w:u w:val="single"/>
        </w:rPr>
        <w:tab/>
      </w:r>
      <w:r>
        <w:rPr>
          <w:u w:val="single"/>
        </w:rPr>
        <w:tab/>
      </w:r>
      <w:r>
        <w:rPr>
          <w:u w:val="single"/>
        </w:rPr>
        <w:tab/>
      </w:r>
    </w:p>
    <w:sectPr w:rsidR="00AC611E" w:rsidRPr="006F6842" w:rsidSect="006824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018C" w14:textId="77777777" w:rsidR="002D543B" w:rsidRPr="00A312BC" w:rsidRDefault="002D543B" w:rsidP="00A312BC">
      <w:pPr>
        <w:pStyle w:val="Piedepgina"/>
      </w:pPr>
    </w:p>
  </w:endnote>
  <w:endnote w:type="continuationSeparator" w:id="0">
    <w:p w14:paraId="7B5820F1" w14:textId="77777777" w:rsidR="002D543B" w:rsidRPr="00A312BC" w:rsidRDefault="002D543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D7BD" w14:textId="71934725" w:rsidR="006824F6" w:rsidRPr="006824F6" w:rsidRDefault="006824F6" w:rsidP="006824F6">
    <w:pPr>
      <w:pStyle w:val="Piedepgina"/>
      <w:tabs>
        <w:tab w:val="right" w:pos="9638"/>
      </w:tabs>
    </w:pPr>
    <w:r w:rsidRPr="006824F6">
      <w:rPr>
        <w:b/>
        <w:sz w:val="18"/>
      </w:rPr>
      <w:fldChar w:fldCharType="begin"/>
    </w:r>
    <w:r w:rsidRPr="006824F6">
      <w:rPr>
        <w:b/>
        <w:sz w:val="18"/>
      </w:rPr>
      <w:instrText xml:space="preserve"> PAGE  \* MERGEFORMAT </w:instrText>
    </w:r>
    <w:r w:rsidRPr="006824F6">
      <w:rPr>
        <w:b/>
        <w:sz w:val="18"/>
      </w:rPr>
      <w:fldChar w:fldCharType="separate"/>
    </w:r>
    <w:r w:rsidRPr="006824F6">
      <w:rPr>
        <w:b/>
        <w:noProof/>
        <w:sz w:val="18"/>
      </w:rPr>
      <w:t>2</w:t>
    </w:r>
    <w:r w:rsidRPr="006824F6">
      <w:rPr>
        <w:b/>
        <w:sz w:val="18"/>
      </w:rPr>
      <w:fldChar w:fldCharType="end"/>
    </w:r>
    <w:r>
      <w:rPr>
        <w:b/>
        <w:sz w:val="18"/>
      </w:rPr>
      <w:tab/>
    </w:r>
    <w:r>
      <w:t>GE.21-19373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FD4B" w14:textId="5AC9B093" w:rsidR="006824F6" w:rsidRPr="006824F6" w:rsidRDefault="006824F6" w:rsidP="006824F6">
    <w:pPr>
      <w:pStyle w:val="Piedepgina"/>
      <w:tabs>
        <w:tab w:val="right" w:pos="9638"/>
      </w:tabs>
      <w:rPr>
        <w:b/>
        <w:sz w:val="18"/>
      </w:rPr>
    </w:pPr>
    <w:r>
      <w:t>GE.21-19373</w:t>
    </w:r>
    <w:r>
      <w:tab/>
    </w:r>
    <w:r w:rsidRPr="006824F6">
      <w:rPr>
        <w:b/>
        <w:sz w:val="18"/>
      </w:rPr>
      <w:fldChar w:fldCharType="begin"/>
    </w:r>
    <w:r w:rsidRPr="006824F6">
      <w:rPr>
        <w:b/>
        <w:sz w:val="18"/>
      </w:rPr>
      <w:instrText xml:space="preserve"> PAGE  \* MERGEFORMAT </w:instrText>
    </w:r>
    <w:r w:rsidRPr="006824F6">
      <w:rPr>
        <w:b/>
        <w:sz w:val="18"/>
      </w:rPr>
      <w:fldChar w:fldCharType="separate"/>
    </w:r>
    <w:r w:rsidRPr="006824F6">
      <w:rPr>
        <w:b/>
        <w:noProof/>
        <w:sz w:val="18"/>
      </w:rPr>
      <w:t>3</w:t>
    </w:r>
    <w:r w:rsidRPr="006824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3F9F" w14:textId="79997241" w:rsidR="00042B72" w:rsidRPr="006824F6" w:rsidRDefault="006824F6" w:rsidP="006824F6">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1337354D" wp14:editId="0669B41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21-19373  (S)</w:t>
    </w:r>
    <w:r>
      <w:rPr>
        <w:noProof/>
        <w:sz w:val="20"/>
      </w:rPr>
      <w:drawing>
        <wp:anchor distT="0" distB="0" distL="114300" distR="114300" simplePos="0" relativeHeight="251658752" behindDoc="0" locked="0" layoutInCell="1" allowOverlap="1" wp14:anchorId="0F02689F" wp14:editId="5FC0260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200522    240622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DA4F" w14:textId="77777777" w:rsidR="002D543B" w:rsidRPr="001075E9" w:rsidRDefault="002D543B" w:rsidP="001075E9">
      <w:pPr>
        <w:tabs>
          <w:tab w:val="right" w:pos="2155"/>
        </w:tabs>
        <w:spacing w:after="80" w:line="240" w:lineRule="auto"/>
        <w:ind w:left="680"/>
        <w:rPr>
          <w:u w:val="single"/>
        </w:rPr>
      </w:pPr>
      <w:r>
        <w:rPr>
          <w:u w:val="single"/>
        </w:rPr>
        <w:tab/>
      </w:r>
    </w:p>
  </w:footnote>
  <w:footnote w:type="continuationSeparator" w:id="0">
    <w:p w14:paraId="7DADBE12" w14:textId="77777777" w:rsidR="002D543B" w:rsidRDefault="002D543B" w:rsidP="00407B78">
      <w:pPr>
        <w:tabs>
          <w:tab w:val="right" w:pos="2155"/>
        </w:tabs>
        <w:spacing w:after="80"/>
        <w:ind w:left="680"/>
        <w:rPr>
          <w:u w:val="single"/>
        </w:rPr>
      </w:pPr>
      <w:r>
        <w:rPr>
          <w:u w:val="single"/>
        </w:rPr>
        <w:tab/>
      </w:r>
    </w:p>
  </w:footnote>
  <w:footnote w:id="1">
    <w:p w14:paraId="01D648D3" w14:textId="24F2DB5D" w:rsidR="00062B95" w:rsidRPr="00062B95" w:rsidRDefault="00062B95" w:rsidP="00062B95">
      <w:pPr>
        <w:pStyle w:val="Textonotapie"/>
        <w:rPr>
          <w:sz w:val="20"/>
        </w:rPr>
      </w:pPr>
      <w:r>
        <w:tab/>
      </w:r>
      <w:r w:rsidRPr="00062B95">
        <w:rPr>
          <w:rStyle w:val="Refdenotaalpie"/>
          <w:sz w:val="20"/>
          <w:vertAlign w:val="baseline"/>
        </w:rPr>
        <w:t>*</w:t>
      </w:r>
      <w:r w:rsidRPr="00062B95">
        <w:rPr>
          <w:rStyle w:val="Refdenotaalpie"/>
          <w:vertAlign w:val="baseline"/>
        </w:rPr>
        <w:tab/>
      </w:r>
      <w:r w:rsidRPr="00062B95">
        <w:t>La versión original del presente documento no fue objeto de revisión editorial oficial.</w:t>
      </w:r>
    </w:p>
  </w:footnote>
  <w:footnote w:id="2">
    <w:p w14:paraId="3118553E" w14:textId="77777777" w:rsidR="00F8174B" w:rsidRPr="00016174" w:rsidRDefault="00F8174B" w:rsidP="00062B95">
      <w:pPr>
        <w:pStyle w:val="Textonotapie"/>
        <w:rPr>
          <w:rFonts w:cs="Cordia New"/>
          <w:cs/>
        </w:rPr>
      </w:pPr>
      <w:r w:rsidRPr="00016174">
        <w:tab/>
      </w:r>
      <w:r w:rsidRPr="00062B95">
        <w:rPr>
          <w:rStyle w:val="Refdenotaalpie"/>
        </w:rPr>
        <w:footnoteRef/>
      </w:r>
      <w:r w:rsidRPr="00016174">
        <w:tab/>
        <w:t>CAT/C/THA/1.</w:t>
      </w:r>
    </w:p>
  </w:footnote>
  <w:footnote w:id="3">
    <w:p w14:paraId="0D8AEAFE" w14:textId="77777777" w:rsidR="00F8174B" w:rsidRPr="00016174" w:rsidRDefault="00F8174B" w:rsidP="00062B95">
      <w:pPr>
        <w:pStyle w:val="Textonotapie"/>
      </w:pPr>
      <w:r w:rsidRPr="00016174">
        <w:tab/>
      </w:r>
      <w:r w:rsidRPr="00062B95">
        <w:rPr>
          <w:rStyle w:val="Refdenotaalpie"/>
        </w:rPr>
        <w:footnoteRef/>
      </w:r>
      <w:r w:rsidRPr="00016174">
        <w:tab/>
        <w:t>Constitución de 2017, art. 28, párr. 4.</w:t>
      </w:r>
    </w:p>
  </w:footnote>
  <w:footnote w:id="4">
    <w:p w14:paraId="2565BFFB" w14:textId="77777777" w:rsidR="00F8174B" w:rsidRPr="00016174" w:rsidRDefault="00F8174B" w:rsidP="00062B95">
      <w:pPr>
        <w:pStyle w:val="Textonotapie"/>
      </w:pPr>
      <w:r w:rsidRPr="00016174">
        <w:tab/>
      </w:r>
      <w:r w:rsidRPr="00062B95">
        <w:rPr>
          <w:rStyle w:val="Refdenotaalpie"/>
        </w:rPr>
        <w:footnoteRef/>
      </w:r>
      <w:r w:rsidRPr="00016174">
        <w:tab/>
        <w:t>Proyecto de ley de prevención y represión de la tortura y las desapariciones forzadas, art. 3 en conjunción con el art. 5.</w:t>
      </w:r>
    </w:p>
  </w:footnote>
  <w:footnote w:id="5">
    <w:p w14:paraId="4B82D261" w14:textId="36F41A93" w:rsidR="00F8174B" w:rsidRPr="00016174" w:rsidRDefault="00F8174B" w:rsidP="00062B95">
      <w:pPr>
        <w:pStyle w:val="Textonotapie"/>
      </w:pPr>
      <w:r w:rsidRPr="00016174">
        <w:tab/>
      </w:r>
      <w:r w:rsidRPr="00062B95">
        <w:rPr>
          <w:rStyle w:val="Refdenotaalpie"/>
        </w:rPr>
        <w:footnoteRef/>
      </w:r>
      <w:r w:rsidRPr="00016174">
        <w:tab/>
        <w:t>Proyecto de ley de prevención y represión de la tortura y las desapariciones forzadas, art. 3 en conjunción con el art.</w:t>
      </w:r>
      <w:r w:rsidR="006F6842">
        <w:t xml:space="preserve"> </w:t>
      </w:r>
      <w:r w:rsidRPr="00016174">
        <w:t>6.</w:t>
      </w:r>
    </w:p>
  </w:footnote>
  <w:footnote w:id="6">
    <w:p w14:paraId="74CDB70A" w14:textId="77777777" w:rsidR="00F8174B" w:rsidRPr="00376D2D" w:rsidRDefault="00F8174B" w:rsidP="00062B95">
      <w:pPr>
        <w:pStyle w:val="Textonotapie"/>
        <w:rPr>
          <w:szCs w:val="18"/>
        </w:rPr>
      </w:pPr>
      <w:r w:rsidRPr="00016174">
        <w:tab/>
      </w:r>
      <w:r w:rsidRPr="00062B95">
        <w:rPr>
          <w:rStyle w:val="Refdenotaalpie"/>
        </w:rPr>
        <w:footnoteRef/>
      </w:r>
      <w:r w:rsidRPr="00016174">
        <w:tab/>
      </w:r>
      <w:r w:rsidRPr="00376D2D">
        <w:rPr>
          <w:szCs w:val="18"/>
        </w:rPr>
        <w:t xml:space="preserve">Proyecto de ley de prevención y represión de la tortura y las desapariciones forzadas, art. </w:t>
      </w:r>
      <w:r w:rsidRPr="00376D2D">
        <w:rPr>
          <w:szCs w:val="18"/>
          <w:cs/>
        </w:rPr>
        <w:t>26</w:t>
      </w:r>
      <w:r w:rsidRPr="00376D2D">
        <w:rPr>
          <w:rFonts w:hint="cs"/>
          <w:szCs w:val="18"/>
          <w:cs/>
        </w:rPr>
        <w:t>, párr.</w:t>
      </w:r>
      <w:r w:rsidRPr="00376D2D">
        <w:rPr>
          <w:szCs w:val="18"/>
        </w:rPr>
        <w:t xml:space="preserve"> 1, y art. </w:t>
      </w:r>
      <w:r w:rsidRPr="00376D2D">
        <w:rPr>
          <w:szCs w:val="18"/>
          <w:cs/>
        </w:rPr>
        <w:t>27</w:t>
      </w:r>
      <w:r w:rsidRPr="00376D2D">
        <w:rPr>
          <w:rFonts w:hint="cs"/>
          <w:szCs w:val="18"/>
          <w:cs/>
        </w:rPr>
        <w:t xml:space="preserve">, </w:t>
      </w:r>
      <w:r w:rsidRPr="00376D2D">
        <w:rPr>
          <w:szCs w:val="18"/>
        </w:rPr>
        <w:t>párr. 1.</w:t>
      </w:r>
    </w:p>
  </w:footnote>
  <w:footnote w:id="7">
    <w:p w14:paraId="12F3F8BD" w14:textId="77777777" w:rsidR="00F8174B" w:rsidRPr="00016174" w:rsidRDefault="00F8174B" w:rsidP="00062B95">
      <w:pPr>
        <w:pStyle w:val="Textonotapie"/>
      </w:pPr>
      <w:r w:rsidRPr="00016174">
        <w:tab/>
      </w:r>
      <w:r w:rsidRPr="00062B95">
        <w:rPr>
          <w:rStyle w:val="Refdenotaalpie"/>
        </w:rPr>
        <w:footnoteRef/>
      </w:r>
      <w:r w:rsidRPr="00016174">
        <w:tab/>
        <w:t xml:space="preserve">Según la definición del Código Penal, art. 297. </w:t>
      </w:r>
      <w:r w:rsidRPr="00016174">
        <w:rPr>
          <w:lang w:val="en-US"/>
        </w:rPr>
        <w:t xml:space="preserve">Véase CAT/C/THA/1, párr. </w:t>
      </w:r>
      <w:r w:rsidRPr="00016174">
        <w:t>37.</w:t>
      </w:r>
    </w:p>
  </w:footnote>
  <w:footnote w:id="8">
    <w:p w14:paraId="349A391C" w14:textId="77777777" w:rsidR="00F8174B" w:rsidRPr="00376D2D" w:rsidRDefault="00F8174B" w:rsidP="00062B95">
      <w:pPr>
        <w:pStyle w:val="Textonotapie"/>
        <w:rPr>
          <w:szCs w:val="18"/>
        </w:rPr>
      </w:pPr>
      <w:r w:rsidRPr="00016174">
        <w:tab/>
      </w:r>
      <w:r w:rsidRPr="00062B95">
        <w:rPr>
          <w:rStyle w:val="Refdenotaalpie"/>
        </w:rPr>
        <w:footnoteRef/>
      </w:r>
      <w:r w:rsidRPr="00016174">
        <w:tab/>
      </w:r>
      <w:r w:rsidRPr="00376D2D">
        <w:rPr>
          <w:szCs w:val="18"/>
        </w:rPr>
        <w:t xml:space="preserve">Proyecto de ley de prevención y represión de la tortura y las desapariciones forzadas, art. </w:t>
      </w:r>
      <w:r w:rsidRPr="00376D2D">
        <w:rPr>
          <w:szCs w:val="18"/>
          <w:cs/>
        </w:rPr>
        <w:t>26</w:t>
      </w:r>
      <w:r w:rsidRPr="00376D2D">
        <w:rPr>
          <w:rFonts w:hint="cs"/>
          <w:szCs w:val="18"/>
          <w:cs/>
        </w:rPr>
        <w:t>, párr.</w:t>
      </w:r>
      <w:r w:rsidRPr="00376D2D">
        <w:rPr>
          <w:szCs w:val="18"/>
        </w:rPr>
        <w:t xml:space="preserve"> 2, y art. </w:t>
      </w:r>
      <w:r w:rsidRPr="00376D2D">
        <w:rPr>
          <w:szCs w:val="18"/>
          <w:cs/>
        </w:rPr>
        <w:t>27</w:t>
      </w:r>
      <w:r w:rsidRPr="00376D2D">
        <w:rPr>
          <w:rFonts w:hint="cs"/>
          <w:szCs w:val="18"/>
          <w:cs/>
        </w:rPr>
        <w:t>, párr.</w:t>
      </w:r>
      <w:r w:rsidRPr="00376D2D">
        <w:rPr>
          <w:szCs w:val="18"/>
        </w:rPr>
        <w:t xml:space="preserve"> 2.</w:t>
      </w:r>
    </w:p>
  </w:footnote>
  <w:footnote w:id="9">
    <w:p w14:paraId="1B8DC7D5" w14:textId="77777777" w:rsidR="00F8174B" w:rsidRPr="00376D2D" w:rsidRDefault="00F8174B" w:rsidP="00062B95">
      <w:pPr>
        <w:pStyle w:val="Textonotapie"/>
        <w:rPr>
          <w:rFonts w:cs="Cordia New"/>
          <w:szCs w:val="18"/>
          <w:cs/>
        </w:rPr>
      </w:pPr>
      <w:r w:rsidRPr="00016174">
        <w:tab/>
      </w:r>
      <w:r w:rsidRPr="00062B95">
        <w:rPr>
          <w:rStyle w:val="Refdenotaalpie"/>
        </w:rPr>
        <w:footnoteRef/>
      </w:r>
      <w:r w:rsidRPr="00016174">
        <w:tab/>
      </w:r>
      <w:r w:rsidRPr="00376D2D">
        <w:rPr>
          <w:szCs w:val="18"/>
        </w:rPr>
        <w:t xml:space="preserve">Proyecto de ley de prevención y represión de la tortura y las desapariciones forzadas, art. </w:t>
      </w:r>
      <w:r w:rsidRPr="00376D2D">
        <w:rPr>
          <w:szCs w:val="18"/>
          <w:cs/>
        </w:rPr>
        <w:t>26</w:t>
      </w:r>
      <w:r w:rsidRPr="00376D2D">
        <w:rPr>
          <w:rFonts w:hint="cs"/>
          <w:szCs w:val="18"/>
          <w:cs/>
        </w:rPr>
        <w:t>, párr.</w:t>
      </w:r>
      <w:r w:rsidRPr="00376D2D">
        <w:rPr>
          <w:szCs w:val="18"/>
        </w:rPr>
        <w:t xml:space="preserve"> 3, y art. </w:t>
      </w:r>
      <w:r w:rsidRPr="00376D2D">
        <w:rPr>
          <w:szCs w:val="18"/>
          <w:cs/>
        </w:rPr>
        <w:t>27</w:t>
      </w:r>
      <w:r w:rsidRPr="00376D2D">
        <w:rPr>
          <w:rFonts w:hint="cs"/>
          <w:szCs w:val="18"/>
          <w:cs/>
        </w:rPr>
        <w:t>, párr.</w:t>
      </w:r>
      <w:r w:rsidRPr="00376D2D">
        <w:rPr>
          <w:szCs w:val="18"/>
        </w:rPr>
        <w:t xml:space="preserve"> 3.</w:t>
      </w:r>
    </w:p>
  </w:footnote>
  <w:footnote w:id="10">
    <w:p w14:paraId="2937F5FF" w14:textId="77777777" w:rsidR="00F8174B" w:rsidRPr="00016174" w:rsidRDefault="00F8174B" w:rsidP="00062B95">
      <w:pPr>
        <w:pStyle w:val="Textonotapie"/>
      </w:pPr>
      <w:r w:rsidRPr="00016174">
        <w:tab/>
      </w:r>
      <w:r w:rsidRPr="00062B95">
        <w:rPr>
          <w:rStyle w:val="Refdenotaalpie"/>
        </w:rPr>
        <w:footnoteRef/>
      </w:r>
      <w:r w:rsidRPr="00016174">
        <w:tab/>
        <w:t xml:space="preserve">Proyecto de ley de prevención y represión de la tortura y las desapariciones forzadas, art. </w:t>
      </w:r>
      <w:r w:rsidRPr="00016174">
        <w:rPr>
          <w:rFonts w:cs="Cordia New"/>
        </w:rPr>
        <w:t>28.</w:t>
      </w:r>
    </w:p>
  </w:footnote>
  <w:footnote w:id="11">
    <w:p w14:paraId="62E4F347" w14:textId="7CBA82C1" w:rsidR="00F8174B" w:rsidRPr="00016174" w:rsidRDefault="00062B95" w:rsidP="00062B95">
      <w:pPr>
        <w:pStyle w:val="Textonotapie"/>
      </w:pPr>
      <w:r>
        <w:tab/>
      </w:r>
      <w:r w:rsidR="00F8174B" w:rsidRPr="00062B95">
        <w:rPr>
          <w:rStyle w:val="Refdenotaalpie"/>
        </w:rPr>
        <w:footnoteRef/>
      </w:r>
      <w:r>
        <w:tab/>
      </w:r>
      <w:r w:rsidR="00F8174B" w:rsidRPr="00016174">
        <w:t>Proyecto de ley de prevención y represión de la tortura y las desapariciones forzadas, art. 31.</w:t>
      </w:r>
    </w:p>
  </w:footnote>
  <w:footnote w:id="12">
    <w:p w14:paraId="0455DB1D" w14:textId="77777777" w:rsidR="00F8174B" w:rsidRPr="00016174" w:rsidRDefault="00F8174B" w:rsidP="00062B95">
      <w:pPr>
        <w:pStyle w:val="Textonotapie"/>
      </w:pPr>
      <w:r w:rsidRPr="00016174">
        <w:tab/>
      </w:r>
      <w:r w:rsidRPr="00062B95">
        <w:rPr>
          <w:rStyle w:val="Refdenotaalpie"/>
        </w:rPr>
        <w:footnoteRef/>
      </w:r>
      <w:r w:rsidRPr="00016174">
        <w:tab/>
        <w:t>Proyecto de ley de prevención y represión de la tortura y las desapariciones forzadas, art. 29, párr. 1.</w:t>
      </w:r>
    </w:p>
  </w:footnote>
  <w:footnote w:id="13">
    <w:p w14:paraId="6CC3A5B9" w14:textId="4D72E974" w:rsidR="00F8174B" w:rsidRPr="00016174" w:rsidRDefault="00F8174B" w:rsidP="00062B95">
      <w:pPr>
        <w:pStyle w:val="Textonotapie"/>
      </w:pPr>
      <w:r w:rsidRPr="00016174">
        <w:tab/>
      </w:r>
      <w:r w:rsidRPr="00062B95">
        <w:rPr>
          <w:rStyle w:val="Refdenotaalpie"/>
        </w:rPr>
        <w:footnoteRef/>
      </w:r>
      <w:r w:rsidR="00062B95">
        <w:tab/>
      </w:r>
      <w:r w:rsidRPr="00016174">
        <w:t>Proyecto de ley de prevención y represión de la tortura y las desapariciones forzadas, art. 29, párr. 2.</w:t>
      </w:r>
    </w:p>
  </w:footnote>
  <w:footnote w:id="14">
    <w:p w14:paraId="28B9A145" w14:textId="6DFCF10D" w:rsidR="00F8174B" w:rsidRPr="00016174" w:rsidRDefault="00F8174B" w:rsidP="00062B95">
      <w:pPr>
        <w:pStyle w:val="Textonotapie"/>
      </w:pPr>
      <w:r w:rsidRPr="00016174">
        <w:tab/>
      </w:r>
      <w:r w:rsidRPr="00062B95">
        <w:rPr>
          <w:rStyle w:val="Refdenotaalpie"/>
        </w:rPr>
        <w:footnoteRef/>
      </w:r>
      <w:r w:rsidR="00062B95">
        <w:tab/>
      </w:r>
      <w:r w:rsidRPr="00016174">
        <w:t>Proyecto de ley de prevención y represión de la tortura y las desapariciones forzadas, art. 7.</w:t>
      </w:r>
    </w:p>
  </w:footnote>
  <w:footnote w:id="15">
    <w:p w14:paraId="746C9FAB" w14:textId="0EFF650F" w:rsidR="00F8174B" w:rsidRPr="00016174" w:rsidRDefault="00F8174B" w:rsidP="00062B95">
      <w:pPr>
        <w:pStyle w:val="Textonotapie"/>
      </w:pPr>
      <w:r w:rsidRPr="00016174">
        <w:tab/>
      </w:r>
      <w:r w:rsidRPr="00062B95">
        <w:rPr>
          <w:rStyle w:val="Refdenotaalpie"/>
        </w:rPr>
        <w:footnoteRef/>
      </w:r>
      <w:r w:rsidR="00062B95">
        <w:tab/>
      </w:r>
      <w:r w:rsidRPr="00016174">
        <w:t>Proyecto de ley de prevención y represión de la tortura y las desapariciones forzadas, art. 8.</w:t>
      </w:r>
    </w:p>
  </w:footnote>
  <w:footnote w:id="16">
    <w:p w14:paraId="06364787" w14:textId="57BE1FF7" w:rsidR="00F8174B" w:rsidRPr="00016174" w:rsidRDefault="00F8174B" w:rsidP="00062B95">
      <w:pPr>
        <w:pStyle w:val="Textonotapie"/>
      </w:pPr>
      <w:r w:rsidRPr="00016174">
        <w:tab/>
      </w:r>
      <w:r w:rsidRPr="00062B95">
        <w:rPr>
          <w:rStyle w:val="Refdenotaalpie"/>
        </w:rPr>
        <w:footnoteRef/>
      </w:r>
      <w:r w:rsidR="00062B95">
        <w:tab/>
      </w:r>
      <w:r w:rsidRPr="00016174">
        <w:t>Proyecto de ley de prevención y represión de la tortura y las desapariciones forzadas, art. 30.</w:t>
      </w:r>
    </w:p>
  </w:footnote>
  <w:footnote w:id="17">
    <w:p w14:paraId="2BEC65D9" w14:textId="5F02B080" w:rsidR="00F8174B" w:rsidRPr="005D0AE1" w:rsidRDefault="00F8174B" w:rsidP="00062B95">
      <w:pPr>
        <w:pStyle w:val="Textonotapie"/>
      </w:pPr>
      <w:r w:rsidRPr="005D0AE1">
        <w:tab/>
      </w:r>
      <w:r w:rsidRPr="00062B95">
        <w:rPr>
          <w:rStyle w:val="Refdenotaalpie"/>
        </w:rPr>
        <w:footnoteRef/>
      </w:r>
      <w:r w:rsidRPr="005D0AE1">
        <w:tab/>
      </w:r>
      <w:r w:rsidRPr="005D0AE1">
        <w:rPr>
          <w:rFonts w:eastAsia="MS Gothic"/>
        </w:rPr>
        <w:t xml:space="preserve">Las cuatro esferas de acción prioritarias son: </w:t>
      </w:r>
      <w:r w:rsidRPr="005D0AE1">
        <w:t>1) el trabajo; 2) la comunidad, la tierra, los recursos naturales y el medio ambiente; 3) los defensores de los derechos humanos</w:t>
      </w:r>
      <w:r w:rsidR="00376D2D">
        <w:t>;</w:t>
      </w:r>
      <w:r w:rsidRPr="005D0AE1">
        <w:t xml:space="preserve"> y 4) las inversiones transfronterizas y las empresas multinacionales.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1468" w14:textId="4B6F7D1C" w:rsidR="006824F6" w:rsidRPr="006824F6" w:rsidRDefault="00CF4D10">
    <w:pPr>
      <w:pStyle w:val="Encabezado"/>
    </w:pPr>
    <w:r>
      <w:fldChar w:fldCharType="begin"/>
    </w:r>
    <w:r>
      <w:instrText xml:space="preserve"> TITLE  \* MERGEFORMAT </w:instrText>
    </w:r>
    <w:r>
      <w:fldChar w:fldCharType="separate"/>
    </w:r>
    <w:r>
      <w:t>CAT/C/</w:t>
    </w:r>
    <w:proofErr w:type="spellStart"/>
    <w:r>
      <w:t>THA</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F79C" w14:textId="45DB7A1F" w:rsidR="006824F6" w:rsidRPr="006824F6" w:rsidRDefault="00CF4D10" w:rsidP="006824F6">
    <w:pPr>
      <w:pStyle w:val="Encabezado"/>
      <w:jc w:val="right"/>
    </w:pPr>
    <w:r>
      <w:fldChar w:fldCharType="begin"/>
    </w:r>
    <w:r>
      <w:instrText xml:space="preserve"> TITLE  \* MERGEFORMAT </w:instrText>
    </w:r>
    <w:r>
      <w:fldChar w:fldCharType="separate"/>
    </w:r>
    <w:r>
      <w:t>CAT/C/</w:t>
    </w:r>
    <w:proofErr w:type="spellStart"/>
    <w:r>
      <w:t>THA</w:t>
    </w:r>
    <w:proofErr w:type="spellEnd"/>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938BE"/>
    <w:multiLevelType w:val="hybridMultilevel"/>
    <w:tmpl w:val="3B8E3D74"/>
    <w:lvl w:ilvl="0" w:tplc="63DC8024">
      <w:start w:val="1"/>
      <w:numFmt w:val="lowerLetter"/>
      <w:lvlText w:val="(%1)"/>
      <w:lvlJc w:val="left"/>
      <w:pPr>
        <w:ind w:left="1854" w:hanging="360"/>
      </w:pPr>
      <w:rPr>
        <w:rFonts w:hint="default"/>
        <w:b w:val="0"/>
        <w:strike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A5C169C"/>
    <w:multiLevelType w:val="multilevel"/>
    <w:tmpl w:val="D67AC25E"/>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3" w15:restartNumberingAfterBreak="0">
    <w:nsid w:val="0C2B0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4AF27C7"/>
    <w:multiLevelType w:val="hybridMultilevel"/>
    <w:tmpl w:val="6808991A"/>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374E2B"/>
    <w:multiLevelType w:val="hybridMultilevel"/>
    <w:tmpl w:val="25BCE3B4"/>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F6C27F1"/>
    <w:multiLevelType w:val="hybridMultilevel"/>
    <w:tmpl w:val="6D3273EA"/>
    <w:lvl w:ilvl="0" w:tplc="3D705B84">
      <w:start w:val="1"/>
      <w:numFmt w:val="lowerLetter"/>
      <w:lvlText w:val="(%1)"/>
      <w:lvlJc w:val="left"/>
      <w:pPr>
        <w:ind w:left="1854" w:hanging="36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38554D9"/>
    <w:multiLevelType w:val="hybridMultilevel"/>
    <w:tmpl w:val="8BF6DA36"/>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E9C5DC7"/>
    <w:multiLevelType w:val="hybridMultilevel"/>
    <w:tmpl w:val="B4965F78"/>
    <w:lvl w:ilvl="0" w:tplc="0910F612">
      <w:start w:val="1"/>
      <w:numFmt w:val="lowerLetter"/>
      <w:lvlText w:val="(%1)"/>
      <w:lvlJc w:val="left"/>
      <w:pPr>
        <w:ind w:left="1854" w:hanging="36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80013"/>
    <w:multiLevelType w:val="hybridMultilevel"/>
    <w:tmpl w:val="2E08524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4501B71"/>
    <w:multiLevelType w:val="hybridMultilevel"/>
    <w:tmpl w:val="0726B3B0"/>
    <w:lvl w:ilvl="0" w:tplc="03B22676">
      <w:start w:val="1"/>
      <w:numFmt w:val="lowerRoman"/>
      <w:lvlText w:val="(%1)"/>
      <w:lvlJc w:val="left"/>
      <w:pPr>
        <w:ind w:left="1854" w:hanging="360"/>
      </w:pPr>
      <w:rPr>
        <w:rFonts w:hint="default"/>
      </w:rPr>
    </w:lvl>
    <w:lvl w:ilvl="1" w:tplc="03B22676">
      <w:start w:val="1"/>
      <w:numFmt w:val="lowerRoman"/>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6A7743B"/>
    <w:multiLevelType w:val="hybridMultilevel"/>
    <w:tmpl w:val="165289D8"/>
    <w:lvl w:ilvl="0" w:tplc="14C64E84">
      <w:start w:val="1"/>
      <w:numFmt w:val="bullet"/>
      <w:pStyle w:val="Bullet2G"/>
      <w:lvlText w:val="•"/>
      <w:lvlJc w:val="left"/>
      <w:pPr>
        <w:tabs>
          <w:tab w:val="num" w:pos="1984"/>
        </w:tabs>
        <w:ind w:left="1984" w:hanging="170"/>
      </w:pPr>
      <w:rPr>
        <w:rFonts w:ascii="Times New Roman" w:hAnsi="Times New Roman" w:cs="Times New Roman"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38D6241E"/>
    <w:multiLevelType w:val="hybridMultilevel"/>
    <w:tmpl w:val="81D441D6"/>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ACF4EB2"/>
    <w:multiLevelType w:val="hybridMultilevel"/>
    <w:tmpl w:val="CB6C816A"/>
    <w:lvl w:ilvl="0" w:tplc="4044D2B4">
      <w:start w:val="1"/>
      <w:numFmt w:val="bullet"/>
      <w:lvlText w:val="•"/>
      <w:lvlJc w:val="left"/>
      <w:pPr>
        <w:tabs>
          <w:tab w:val="num" w:pos="2268"/>
        </w:tabs>
        <w:ind w:left="2268" w:hanging="170"/>
      </w:pPr>
      <w:rPr>
        <w:rFonts w:ascii="Times New Roman" w:hAnsi="Times New Roman" w:cs="Times New Roman" w:hint="default"/>
      </w:rPr>
    </w:lvl>
    <w:lvl w:ilvl="1" w:tplc="BE740D02" w:tentative="1">
      <w:start w:val="1"/>
      <w:numFmt w:val="bullet"/>
      <w:lvlText w:val="o"/>
      <w:lvlJc w:val="left"/>
      <w:pPr>
        <w:tabs>
          <w:tab w:val="num" w:pos="3708"/>
        </w:tabs>
        <w:ind w:left="3708" w:hanging="360"/>
      </w:pPr>
      <w:rPr>
        <w:rFonts w:ascii="Courier New" w:hAnsi="Courier New" w:hint="default"/>
      </w:rPr>
    </w:lvl>
    <w:lvl w:ilvl="2" w:tplc="46383F7C" w:tentative="1">
      <w:start w:val="1"/>
      <w:numFmt w:val="bullet"/>
      <w:lvlText w:val=""/>
      <w:lvlJc w:val="left"/>
      <w:pPr>
        <w:tabs>
          <w:tab w:val="num" w:pos="4428"/>
        </w:tabs>
        <w:ind w:left="4428" w:hanging="360"/>
      </w:pPr>
      <w:rPr>
        <w:rFonts w:ascii="Wingdings" w:hAnsi="Wingdings" w:hint="default"/>
      </w:rPr>
    </w:lvl>
    <w:lvl w:ilvl="3" w:tplc="F52C4BFC" w:tentative="1">
      <w:start w:val="1"/>
      <w:numFmt w:val="bullet"/>
      <w:lvlText w:val=""/>
      <w:lvlJc w:val="left"/>
      <w:pPr>
        <w:tabs>
          <w:tab w:val="num" w:pos="5148"/>
        </w:tabs>
        <w:ind w:left="5148" w:hanging="360"/>
      </w:pPr>
      <w:rPr>
        <w:rFonts w:ascii="Symbol" w:hAnsi="Symbol" w:hint="default"/>
      </w:rPr>
    </w:lvl>
    <w:lvl w:ilvl="4" w:tplc="6AE095E4" w:tentative="1">
      <w:start w:val="1"/>
      <w:numFmt w:val="bullet"/>
      <w:lvlText w:val="o"/>
      <w:lvlJc w:val="left"/>
      <w:pPr>
        <w:tabs>
          <w:tab w:val="num" w:pos="5868"/>
        </w:tabs>
        <w:ind w:left="5868" w:hanging="360"/>
      </w:pPr>
      <w:rPr>
        <w:rFonts w:ascii="Courier New" w:hAnsi="Courier New" w:hint="default"/>
      </w:rPr>
    </w:lvl>
    <w:lvl w:ilvl="5" w:tplc="CC568A06" w:tentative="1">
      <w:start w:val="1"/>
      <w:numFmt w:val="bullet"/>
      <w:lvlText w:val=""/>
      <w:lvlJc w:val="left"/>
      <w:pPr>
        <w:tabs>
          <w:tab w:val="num" w:pos="6588"/>
        </w:tabs>
        <w:ind w:left="6588" w:hanging="360"/>
      </w:pPr>
      <w:rPr>
        <w:rFonts w:ascii="Wingdings" w:hAnsi="Wingdings" w:hint="default"/>
      </w:rPr>
    </w:lvl>
    <w:lvl w:ilvl="6" w:tplc="6AAA528E" w:tentative="1">
      <w:start w:val="1"/>
      <w:numFmt w:val="bullet"/>
      <w:lvlText w:val=""/>
      <w:lvlJc w:val="left"/>
      <w:pPr>
        <w:tabs>
          <w:tab w:val="num" w:pos="7308"/>
        </w:tabs>
        <w:ind w:left="7308" w:hanging="360"/>
      </w:pPr>
      <w:rPr>
        <w:rFonts w:ascii="Symbol" w:hAnsi="Symbol" w:hint="default"/>
      </w:rPr>
    </w:lvl>
    <w:lvl w:ilvl="7" w:tplc="6DE200B0" w:tentative="1">
      <w:start w:val="1"/>
      <w:numFmt w:val="bullet"/>
      <w:lvlText w:val="o"/>
      <w:lvlJc w:val="left"/>
      <w:pPr>
        <w:tabs>
          <w:tab w:val="num" w:pos="8028"/>
        </w:tabs>
        <w:ind w:left="8028" w:hanging="360"/>
      </w:pPr>
      <w:rPr>
        <w:rFonts w:ascii="Courier New" w:hAnsi="Courier New" w:hint="default"/>
      </w:rPr>
    </w:lvl>
    <w:lvl w:ilvl="8" w:tplc="9D3A30A0"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970712"/>
    <w:multiLevelType w:val="hybridMultilevel"/>
    <w:tmpl w:val="D0F861C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DD11ED6"/>
    <w:multiLevelType w:val="hybridMultilevel"/>
    <w:tmpl w:val="37C8533E"/>
    <w:lvl w:ilvl="0" w:tplc="CF06AAAC">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2CE796C"/>
    <w:multiLevelType w:val="hybridMultilevel"/>
    <w:tmpl w:val="FD76407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6401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DF5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F02E7"/>
    <w:multiLevelType w:val="multilevel"/>
    <w:tmpl w:val="D67AC25E"/>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5" w15:restartNumberingAfterBreak="0">
    <w:nsid w:val="5D20607D"/>
    <w:multiLevelType w:val="hybridMultilevel"/>
    <w:tmpl w:val="2CF8803E"/>
    <w:lvl w:ilvl="0" w:tplc="4E6AA300">
      <w:start w:val="1"/>
      <w:numFmt w:val="decimal"/>
      <w:lvlText w:val="%1."/>
      <w:lvlJc w:val="left"/>
      <w:pPr>
        <w:ind w:left="1854" w:hanging="360"/>
      </w:pPr>
      <w:rPr>
        <w:b w:val="0"/>
        <w:strike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FE75A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AD07B2"/>
    <w:multiLevelType w:val="hybridMultilevel"/>
    <w:tmpl w:val="7FEE3222"/>
    <w:lvl w:ilvl="0" w:tplc="48BCBB98">
      <w:start w:val="1"/>
      <w:numFmt w:val="bullet"/>
      <w:lvlText w:val="•"/>
      <w:lvlJc w:val="left"/>
      <w:pPr>
        <w:tabs>
          <w:tab w:val="num" w:pos="1701"/>
        </w:tabs>
        <w:ind w:left="1701" w:hanging="170"/>
      </w:pPr>
      <w:rPr>
        <w:rFonts w:ascii="Times New Roman" w:hAnsi="Times New Roman" w:cs="Times New Roman" w:hint="default"/>
      </w:rPr>
    </w:lvl>
    <w:lvl w:ilvl="1" w:tplc="5FDC0148" w:tentative="1">
      <w:start w:val="1"/>
      <w:numFmt w:val="bullet"/>
      <w:lvlText w:val="o"/>
      <w:lvlJc w:val="left"/>
      <w:pPr>
        <w:tabs>
          <w:tab w:val="num" w:pos="3141"/>
        </w:tabs>
        <w:ind w:left="3141" w:hanging="360"/>
      </w:pPr>
      <w:rPr>
        <w:rFonts w:ascii="Courier New" w:hAnsi="Courier New" w:hint="default"/>
      </w:rPr>
    </w:lvl>
    <w:lvl w:ilvl="2" w:tplc="9B98BA74" w:tentative="1">
      <w:start w:val="1"/>
      <w:numFmt w:val="bullet"/>
      <w:lvlText w:val=""/>
      <w:lvlJc w:val="left"/>
      <w:pPr>
        <w:tabs>
          <w:tab w:val="num" w:pos="3861"/>
        </w:tabs>
        <w:ind w:left="3861" w:hanging="360"/>
      </w:pPr>
      <w:rPr>
        <w:rFonts w:ascii="Wingdings" w:hAnsi="Wingdings" w:hint="default"/>
      </w:rPr>
    </w:lvl>
    <w:lvl w:ilvl="3" w:tplc="70B8B97A" w:tentative="1">
      <w:start w:val="1"/>
      <w:numFmt w:val="bullet"/>
      <w:lvlText w:val=""/>
      <w:lvlJc w:val="left"/>
      <w:pPr>
        <w:tabs>
          <w:tab w:val="num" w:pos="4581"/>
        </w:tabs>
        <w:ind w:left="4581" w:hanging="360"/>
      </w:pPr>
      <w:rPr>
        <w:rFonts w:ascii="Symbol" w:hAnsi="Symbol" w:hint="default"/>
      </w:rPr>
    </w:lvl>
    <w:lvl w:ilvl="4" w:tplc="067627F4" w:tentative="1">
      <w:start w:val="1"/>
      <w:numFmt w:val="bullet"/>
      <w:lvlText w:val="o"/>
      <w:lvlJc w:val="left"/>
      <w:pPr>
        <w:tabs>
          <w:tab w:val="num" w:pos="5301"/>
        </w:tabs>
        <w:ind w:left="5301" w:hanging="360"/>
      </w:pPr>
      <w:rPr>
        <w:rFonts w:ascii="Courier New" w:hAnsi="Courier New" w:hint="default"/>
      </w:rPr>
    </w:lvl>
    <w:lvl w:ilvl="5" w:tplc="1150A39C" w:tentative="1">
      <w:start w:val="1"/>
      <w:numFmt w:val="bullet"/>
      <w:lvlText w:val=""/>
      <w:lvlJc w:val="left"/>
      <w:pPr>
        <w:tabs>
          <w:tab w:val="num" w:pos="6021"/>
        </w:tabs>
        <w:ind w:left="6021" w:hanging="360"/>
      </w:pPr>
      <w:rPr>
        <w:rFonts w:ascii="Wingdings" w:hAnsi="Wingdings" w:hint="default"/>
      </w:rPr>
    </w:lvl>
    <w:lvl w:ilvl="6" w:tplc="1F5A2686" w:tentative="1">
      <w:start w:val="1"/>
      <w:numFmt w:val="bullet"/>
      <w:lvlText w:val=""/>
      <w:lvlJc w:val="left"/>
      <w:pPr>
        <w:tabs>
          <w:tab w:val="num" w:pos="6741"/>
        </w:tabs>
        <w:ind w:left="6741" w:hanging="360"/>
      </w:pPr>
      <w:rPr>
        <w:rFonts w:ascii="Symbol" w:hAnsi="Symbol" w:hint="default"/>
      </w:rPr>
    </w:lvl>
    <w:lvl w:ilvl="7" w:tplc="261A08A6" w:tentative="1">
      <w:start w:val="1"/>
      <w:numFmt w:val="bullet"/>
      <w:lvlText w:val="o"/>
      <w:lvlJc w:val="left"/>
      <w:pPr>
        <w:tabs>
          <w:tab w:val="num" w:pos="7461"/>
        </w:tabs>
        <w:ind w:left="7461" w:hanging="360"/>
      </w:pPr>
      <w:rPr>
        <w:rFonts w:ascii="Courier New" w:hAnsi="Courier New" w:hint="default"/>
      </w:rPr>
    </w:lvl>
    <w:lvl w:ilvl="8" w:tplc="18945276"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90652E1"/>
    <w:multiLevelType w:val="hybridMultilevel"/>
    <w:tmpl w:val="A4A4939A"/>
    <w:lvl w:ilvl="0" w:tplc="03B22676">
      <w:start w:val="1"/>
      <w:numFmt w:val="lowerRoman"/>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125D1C"/>
    <w:multiLevelType w:val="hybridMultilevel"/>
    <w:tmpl w:val="758275F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6E5D481F"/>
    <w:multiLevelType w:val="hybridMultilevel"/>
    <w:tmpl w:val="9CA6351C"/>
    <w:lvl w:ilvl="0" w:tplc="CB18DD80">
      <w:start w:val="1"/>
      <w:numFmt w:val="lowerLetter"/>
      <w:lvlText w:val="(%1)"/>
      <w:lvlJc w:val="left"/>
      <w:pPr>
        <w:ind w:left="1854" w:hanging="36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A94FD0"/>
    <w:multiLevelType w:val="hybridMultilevel"/>
    <w:tmpl w:val="2C2CF54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B066F29"/>
    <w:multiLevelType w:val="multilevel"/>
    <w:tmpl w:val="D67AC25E"/>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48" w15:restartNumberingAfterBreak="0">
    <w:nsid w:val="7D074A7F"/>
    <w:multiLevelType w:val="multilevel"/>
    <w:tmpl w:val="7D074A7F"/>
    <w:lvl w:ilvl="0">
      <w:start w:val="1"/>
      <w:numFmt w:val="decimal"/>
      <w:suff w:val="space"/>
      <w:lvlText w:val="%1."/>
      <w:lvlJc w:val="left"/>
      <w:pPr>
        <w:ind w:left="2204" w:hanging="360"/>
      </w:pPr>
      <w:rPr>
        <w:rFonts w:ascii="Times New Roman" w:hAnsi="Times New Roman" w:cs="Times New Roman" w:hint="default"/>
        <w:b w:val="0"/>
        <w:bCs w:val="0"/>
        <w:i w:val="0"/>
        <w:iCs w:val="0"/>
        <w:strike w:val="0"/>
        <w:color w:val="000000"/>
        <w:sz w:val="28"/>
        <w:szCs w:val="28"/>
        <w:lang w:bidi="th-TH"/>
      </w:rPr>
    </w:lvl>
    <w:lvl w:ilvl="1">
      <w:start w:val="1"/>
      <w:numFmt w:val="decimal"/>
      <w:lvlText w:val="(%2)"/>
      <w:lvlJc w:val="left"/>
      <w:pPr>
        <w:ind w:left="1800" w:hanging="360"/>
      </w:pPr>
      <w:rPr>
        <w:rFonts w:ascii="Times New Roman" w:hAnsi="Times New Roman" w:cs="Times New Roman" w:hint="default"/>
        <w:b w:val="0"/>
        <w:bCs w:val="0"/>
        <w:i w:val="0"/>
        <w:iCs w:val="0"/>
        <w:strike w:val="0"/>
        <w:color w:val="000000"/>
        <w:sz w:val="28"/>
        <w:szCs w:val="28"/>
        <w:vertAlign w:val="baseline"/>
      </w:rPr>
    </w:lvl>
    <w:lvl w:ilvl="2">
      <w:start w:val="1"/>
      <w:numFmt w:val="lowerLetter"/>
      <w:lvlText w:val="%3)"/>
      <w:lvlJc w:val="left"/>
      <w:pPr>
        <w:ind w:left="4387" w:hanging="360"/>
      </w:pPr>
      <w:rPr>
        <w:rFonts w:hint="default"/>
      </w:rPr>
    </w:lvl>
    <w:lvl w:ilvl="3">
      <w:start w:val="1"/>
      <w:numFmt w:val="bullet"/>
      <w:lvlText w:val="o"/>
      <w:lvlJc w:val="left"/>
      <w:pPr>
        <w:ind w:left="4927" w:hanging="360"/>
      </w:pPr>
      <w:rPr>
        <w:rFonts w:ascii="Courier New" w:hAnsi="Courier New" w:cs="Courier New" w:hint="default"/>
      </w:rPr>
    </w:lvl>
    <w:lvl w:ilvl="4">
      <w:start w:val="1"/>
      <w:numFmt w:val="lowerLetter"/>
      <w:lvlText w:val="%5."/>
      <w:lvlJc w:val="left"/>
      <w:pPr>
        <w:ind w:left="5647" w:hanging="360"/>
      </w:pPr>
    </w:lvl>
    <w:lvl w:ilvl="5">
      <w:start w:val="1"/>
      <w:numFmt w:val="lowerRoman"/>
      <w:lvlText w:val="%6."/>
      <w:lvlJc w:val="right"/>
      <w:pPr>
        <w:ind w:left="6367" w:hanging="180"/>
      </w:pPr>
    </w:lvl>
    <w:lvl w:ilvl="6">
      <w:start w:val="1"/>
      <w:numFmt w:val="decimal"/>
      <w:lvlText w:val="%7."/>
      <w:lvlJc w:val="left"/>
      <w:pPr>
        <w:ind w:left="7087" w:hanging="360"/>
      </w:pPr>
    </w:lvl>
    <w:lvl w:ilvl="7">
      <w:start w:val="1"/>
      <w:numFmt w:val="lowerLetter"/>
      <w:lvlText w:val="%8."/>
      <w:lvlJc w:val="left"/>
      <w:pPr>
        <w:ind w:left="7807" w:hanging="360"/>
      </w:pPr>
    </w:lvl>
    <w:lvl w:ilvl="8">
      <w:start w:val="1"/>
      <w:numFmt w:val="lowerRoman"/>
      <w:lvlText w:val="%9."/>
      <w:lvlJc w:val="right"/>
      <w:pPr>
        <w:ind w:left="8527" w:hanging="180"/>
      </w:pPr>
    </w:lvl>
  </w:abstractNum>
  <w:num w:numId="1">
    <w:abstractNumId w:val="46"/>
  </w:num>
  <w:num w:numId="2">
    <w:abstractNumId w:val="44"/>
  </w:num>
  <w:num w:numId="3">
    <w:abstractNumId w:val="37"/>
  </w:num>
  <w:num w:numId="4">
    <w:abstractNumId w:val="41"/>
  </w:num>
  <w:num w:numId="5">
    <w:abstractNumId w:val="25"/>
  </w:num>
  <w:num w:numId="6">
    <w:abstractNumId w:val="1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7"/>
  </w:num>
  <w:num w:numId="20">
    <w:abstractNumId w:val="10"/>
  </w:num>
  <w:num w:numId="21">
    <w:abstractNumId w:val="36"/>
  </w:num>
  <w:num w:numId="22">
    <w:abstractNumId w:val="16"/>
  </w:num>
  <w:num w:numId="23">
    <w:abstractNumId w:val="39"/>
  </w:num>
  <w:num w:numId="24">
    <w:abstractNumId w:val="27"/>
  </w:num>
  <w:num w:numId="25">
    <w:abstractNumId w:val="33"/>
  </w:num>
  <w:num w:numId="26">
    <w:abstractNumId w:val="13"/>
  </w:num>
  <w:num w:numId="27">
    <w:abstractNumId w:val="38"/>
  </w:num>
  <w:num w:numId="28">
    <w:abstractNumId w:val="32"/>
  </w:num>
  <w:num w:numId="29">
    <w:abstractNumId w:val="48"/>
  </w:num>
  <w:num w:numId="30">
    <w:abstractNumId w:val="18"/>
  </w:num>
  <w:num w:numId="31">
    <w:abstractNumId w:val="12"/>
  </w:num>
  <w:num w:numId="32">
    <w:abstractNumId w:val="34"/>
  </w:num>
  <w:num w:numId="33">
    <w:abstractNumId w:val="47"/>
  </w:num>
  <w:num w:numId="34">
    <w:abstractNumId w:val="42"/>
  </w:num>
  <w:num w:numId="35">
    <w:abstractNumId w:val="15"/>
  </w:num>
  <w:num w:numId="36">
    <w:abstractNumId w:val="31"/>
  </w:num>
  <w:num w:numId="37">
    <w:abstractNumId w:val="30"/>
  </w:num>
  <w:num w:numId="38">
    <w:abstractNumId w:val="21"/>
  </w:num>
  <w:num w:numId="39">
    <w:abstractNumId w:val="29"/>
  </w:num>
  <w:num w:numId="40">
    <w:abstractNumId w:val="43"/>
  </w:num>
  <w:num w:numId="41">
    <w:abstractNumId w:val="45"/>
  </w:num>
  <w:num w:numId="42">
    <w:abstractNumId w:val="19"/>
  </w:num>
  <w:num w:numId="43">
    <w:abstractNumId w:val="23"/>
  </w:num>
  <w:num w:numId="44">
    <w:abstractNumId w:val="26"/>
  </w:num>
  <w:num w:numId="45">
    <w:abstractNumId w:val="20"/>
  </w:num>
  <w:num w:numId="46">
    <w:abstractNumId w:val="40"/>
  </w:num>
  <w:num w:numId="47">
    <w:abstractNumId w:val="24"/>
  </w:num>
  <w:num w:numId="48">
    <w:abstractNumId w:val="35"/>
  </w:num>
  <w:num w:numId="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B"/>
    <w:rsid w:val="00004304"/>
    <w:rsid w:val="00033EE1"/>
    <w:rsid w:val="00042B72"/>
    <w:rsid w:val="000558BD"/>
    <w:rsid w:val="00062B95"/>
    <w:rsid w:val="000B57E7"/>
    <w:rsid w:val="000B6373"/>
    <w:rsid w:val="000E713F"/>
    <w:rsid w:val="000F09DF"/>
    <w:rsid w:val="000F61B2"/>
    <w:rsid w:val="001075E9"/>
    <w:rsid w:val="00135654"/>
    <w:rsid w:val="00143F48"/>
    <w:rsid w:val="00147975"/>
    <w:rsid w:val="00164318"/>
    <w:rsid w:val="00180183"/>
    <w:rsid w:val="0018024D"/>
    <w:rsid w:val="0018649F"/>
    <w:rsid w:val="00196389"/>
    <w:rsid w:val="001B29B8"/>
    <w:rsid w:val="001B3EF6"/>
    <w:rsid w:val="001C0DF3"/>
    <w:rsid w:val="001C378A"/>
    <w:rsid w:val="001C7A89"/>
    <w:rsid w:val="001D38BC"/>
    <w:rsid w:val="00206E89"/>
    <w:rsid w:val="00217B6F"/>
    <w:rsid w:val="00217D36"/>
    <w:rsid w:val="00261E94"/>
    <w:rsid w:val="002629A2"/>
    <w:rsid w:val="002A2EFC"/>
    <w:rsid w:val="002A4C9D"/>
    <w:rsid w:val="002C0E18"/>
    <w:rsid w:val="002D543B"/>
    <w:rsid w:val="002D5AAC"/>
    <w:rsid w:val="002D5D99"/>
    <w:rsid w:val="002D6BE8"/>
    <w:rsid w:val="002F405F"/>
    <w:rsid w:val="00301299"/>
    <w:rsid w:val="00303490"/>
    <w:rsid w:val="003067C5"/>
    <w:rsid w:val="00307FB6"/>
    <w:rsid w:val="00317339"/>
    <w:rsid w:val="00322004"/>
    <w:rsid w:val="00330B68"/>
    <w:rsid w:val="003402C2"/>
    <w:rsid w:val="003569C3"/>
    <w:rsid w:val="00367623"/>
    <w:rsid w:val="00376D2D"/>
    <w:rsid w:val="00381C24"/>
    <w:rsid w:val="00382A13"/>
    <w:rsid w:val="003958D0"/>
    <w:rsid w:val="003B00E5"/>
    <w:rsid w:val="00407B78"/>
    <w:rsid w:val="00424203"/>
    <w:rsid w:val="00452493"/>
    <w:rsid w:val="00454E07"/>
    <w:rsid w:val="00462E81"/>
    <w:rsid w:val="00465C28"/>
    <w:rsid w:val="00466A42"/>
    <w:rsid w:val="0050108D"/>
    <w:rsid w:val="00505971"/>
    <w:rsid w:val="00513081"/>
    <w:rsid w:val="00517901"/>
    <w:rsid w:val="00526683"/>
    <w:rsid w:val="00526E5D"/>
    <w:rsid w:val="005709E0"/>
    <w:rsid w:val="00572E19"/>
    <w:rsid w:val="005961C8"/>
    <w:rsid w:val="005C4964"/>
    <w:rsid w:val="005D7914"/>
    <w:rsid w:val="005F0B42"/>
    <w:rsid w:val="005F5046"/>
    <w:rsid w:val="00681A10"/>
    <w:rsid w:val="006824F6"/>
    <w:rsid w:val="006834F2"/>
    <w:rsid w:val="006B4CD3"/>
    <w:rsid w:val="006C2031"/>
    <w:rsid w:val="006D461A"/>
    <w:rsid w:val="006E7495"/>
    <w:rsid w:val="006F35EE"/>
    <w:rsid w:val="006F6842"/>
    <w:rsid w:val="007021FF"/>
    <w:rsid w:val="007043C3"/>
    <w:rsid w:val="00705E06"/>
    <w:rsid w:val="00712895"/>
    <w:rsid w:val="00717737"/>
    <w:rsid w:val="00724672"/>
    <w:rsid w:val="00730699"/>
    <w:rsid w:val="00740428"/>
    <w:rsid w:val="00745D95"/>
    <w:rsid w:val="00757357"/>
    <w:rsid w:val="00763251"/>
    <w:rsid w:val="00775B8C"/>
    <w:rsid w:val="007D2972"/>
    <w:rsid w:val="00812033"/>
    <w:rsid w:val="008166D2"/>
    <w:rsid w:val="00825F8D"/>
    <w:rsid w:val="00834B71"/>
    <w:rsid w:val="00837739"/>
    <w:rsid w:val="00844557"/>
    <w:rsid w:val="0085022A"/>
    <w:rsid w:val="00860A87"/>
    <w:rsid w:val="0086445C"/>
    <w:rsid w:val="00870652"/>
    <w:rsid w:val="00894693"/>
    <w:rsid w:val="008A08D7"/>
    <w:rsid w:val="008B6909"/>
    <w:rsid w:val="008C71D6"/>
    <w:rsid w:val="008F4C0D"/>
    <w:rsid w:val="00906890"/>
    <w:rsid w:val="00911BE4"/>
    <w:rsid w:val="0093114A"/>
    <w:rsid w:val="00946971"/>
    <w:rsid w:val="00951972"/>
    <w:rsid w:val="009608F3"/>
    <w:rsid w:val="009A264D"/>
    <w:rsid w:val="00A306A6"/>
    <w:rsid w:val="00A312BC"/>
    <w:rsid w:val="00A45922"/>
    <w:rsid w:val="00A72DD2"/>
    <w:rsid w:val="00A84021"/>
    <w:rsid w:val="00A917B3"/>
    <w:rsid w:val="00AB4B51"/>
    <w:rsid w:val="00AC611E"/>
    <w:rsid w:val="00B105BE"/>
    <w:rsid w:val="00B10CC7"/>
    <w:rsid w:val="00B23104"/>
    <w:rsid w:val="00B4174A"/>
    <w:rsid w:val="00B470FB"/>
    <w:rsid w:val="00B539E7"/>
    <w:rsid w:val="00B62458"/>
    <w:rsid w:val="00B6769A"/>
    <w:rsid w:val="00BC6C8F"/>
    <w:rsid w:val="00BD1E7C"/>
    <w:rsid w:val="00BD33EE"/>
    <w:rsid w:val="00BE4002"/>
    <w:rsid w:val="00C03C2D"/>
    <w:rsid w:val="00C106D6"/>
    <w:rsid w:val="00C5207E"/>
    <w:rsid w:val="00C60F0C"/>
    <w:rsid w:val="00C76A48"/>
    <w:rsid w:val="00C805C9"/>
    <w:rsid w:val="00C92939"/>
    <w:rsid w:val="00CA1679"/>
    <w:rsid w:val="00CB151C"/>
    <w:rsid w:val="00CE5A1A"/>
    <w:rsid w:val="00CF4D10"/>
    <w:rsid w:val="00CF55F6"/>
    <w:rsid w:val="00D15B9A"/>
    <w:rsid w:val="00D33D63"/>
    <w:rsid w:val="00D478FE"/>
    <w:rsid w:val="00D8412A"/>
    <w:rsid w:val="00D90138"/>
    <w:rsid w:val="00DE4223"/>
    <w:rsid w:val="00E73F76"/>
    <w:rsid w:val="00EA2C9F"/>
    <w:rsid w:val="00ED0BDA"/>
    <w:rsid w:val="00EE7EDE"/>
    <w:rsid w:val="00EF1360"/>
    <w:rsid w:val="00EF3220"/>
    <w:rsid w:val="00F11D46"/>
    <w:rsid w:val="00F4145E"/>
    <w:rsid w:val="00F8174B"/>
    <w:rsid w:val="00F94155"/>
    <w:rsid w:val="00FD2EF7"/>
    <w:rsid w:val="00FD6905"/>
    <w:rsid w:val="00FE345B"/>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472C9"/>
  <w15:docId w15:val="{57239E4A-F481-4DD9-9D67-A5EC7310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DE4223"/>
    <w:pPr>
      <w:keepNext/>
      <w:outlineLvl w:val="1"/>
    </w:pPr>
    <w:rPr>
      <w:rFonts w:cs="Arial"/>
      <w:bCs/>
      <w:iCs/>
      <w:szCs w:val="28"/>
    </w:rPr>
  </w:style>
  <w:style w:type="paragraph" w:styleId="Ttulo3">
    <w:name w:val="heading 3"/>
    <w:basedOn w:val="Normal"/>
    <w:next w:val="Normal"/>
    <w:link w:val="Ttulo3Car"/>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DE4223"/>
    <w:pPr>
      <w:keepNext/>
      <w:spacing w:before="240" w:after="60"/>
      <w:outlineLvl w:val="3"/>
    </w:pPr>
    <w:rPr>
      <w:b/>
      <w:bCs/>
      <w:sz w:val="28"/>
      <w:szCs w:val="28"/>
    </w:rPr>
  </w:style>
  <w:style w:type="paragraph" w:styleId="Ttulo5">
    <w:name w:val="heading 5"/>
    <w:basedOn w:val="Normal"/>
    <w:next w:val="Normal"/>
    <w:link w:val="Ttulo5Car"/>
    <w:rsid w:val="00DE4223"/>
    <w:pPr>
      <w:spacing w:before="240" w:after="60"/>
      <w:outlineLvl w:val="4"/>
    </w:pPr>
    <w:rPr>
      <w:b/>
      <w:bCs/>
      <w:i/>
      <w:iCs/>
      <w:sz w:val="26"/>
      <w:szCs w:val="26"/>
    </w:rPr>
  </w:style>
  <w:style w:type="paragraph" w:styleId="Ttulo6">
    <w:name w:val="heading 6"/>
    <w:basedOn w:val="Normal"/>
    <w:next w:val="Normal"/>
    <w:link w:val="Ttulo6Car"/>
    <w:rsid w:val="00DE4223"/>
    <w:pPr>
      <w:spacing w:before="240" w:after="60"/>
      <w:outlineLvl w:val="5"/>
    </w:pPr>
    <w:rPr>
      <w:b/>
      <w:bCs/>
      <w:sz w:val="22"/>
      <w:szCs w:val="22"/>
    </w:rPr>
  </w:style>
  <w:style w:type="paragraph" w:styleId="Ttulo7">
    <w:name w:val="heading 7"/>
    <w:basedOn w:val="Normal"/>
    <w:next w:val="Normal"/>
    <w:link w:val="Ttulo7Car"/>
    <w:rsid w:val="00DE4223"/>
    <w:pPr>
      <w:spacing w:before="240" w:after="60"/>
      <w:outlineLvl w:val="6"/>
    </w:pPr>
    <w:rPr>
      <w:sz w:val="24"/>
      <w:szCs w:val="24"/>
    </w:rPr>
  </w:style>
  <w:style w:type="paragraph" w:styleId="Ttulo8">
    <w:name w:val="heading 8"/>
    <w:basedOn w:val="Normal"/>
    <w:next w:val="Normal"/>
    <w:link w:val="Ttulo8Car"/>
    <w:rsid w:val="00DE4223"/>
    <w:pPr>
      <w:spacing w:before="240" w:after="60"/>
      <w:outlineLvl w:val="7"/>
    </w:pPr>
    <w:rPr>
      <w:i/>
      <w:iCs/>
      <w:sz w:val="24"/>
      <w:szCs w:val="24"/>
    </w:rPr>
  </w:style>
  <w:style w:type="paragraph" w:styleId="Ttulo9">
    <w:name w:val="heading 9"/>
    <w:basedOn w:val="Normal"/>
    <w:next w:val="Normal"/>
    <w:link w:val="Ttulo9Car"/>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E4223"/>
    <w:pPr>
      <w:keepNext/>
      <w:keepLines/>
      <w:spacing w:before="240" w:after="240" w:line="580" w:lineRule="exact"/>
      <w:ind w:left="1134" w:right="1134"/>
    </w:pPr>
    <w:rPr>
      <w:b/>
      <w:sz w:val="56"/>
    </w:rPr>
  </w:style>
  <w:style w:type="paragraph" w:customStyle="1" w:styleId="SSG">
    <w:name w:val="__S_S_G"/>
    <w:basedOn w:val="Normal"/>
    <w:next w:val="Normal"/>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DE4223"/>
    <w:rPr>
      <w:sz w:val="16"/>
    </w:rPr>
  </w:style>
  <w:style w:type="paragraph" w:customStyle="1" w:styleId="XLargeG">
    <w:name w:val="__XLarge_G"/>
    <w:basedOn w:val="Normal"/>
    <w:next w:val="Normal"/>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1"/>
      </w:numPr>
    </w:pPr>
  </w:style>
  <w:style w:type="numbering" w:styleId="1ai">
    <w:name w:val="Outline List 1"/>
    <w:basedOn w:val="Sinlista"/>
    <w:rsid w:val="00DE4223"/>
    <w:pPr>
      <w:numPr>
        <w:numId w:val="2"/>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3"/>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rsid w:val="00DE4223"/>
    <w:rPr>
      <w:color w:val="0000FF"/>
      <w:u w:val="none"/>
    </w:rPr>
  </w:style>
  <w:style w:type="character" w:styleId="Hipervnculovisitado">
    <w:name w:val="FollowedHyperlink"/>
    <w:uiPriority w:val="99"/>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13"/>
      </w:numPr>
    </w:pPr>
  </w:style>
  <w:style w:type="paragraph" w:styleId="Listaconnmeros2">
    <w:name w:val="List Number 2"/>
    <w:basedOn w:val="Normal"/>
    <w:semiHidden/>
    <w:rsid w:val="00DE4223"/>
    <w:pPr>
      <w:numPr>
        <w:numId w:val="14"/>
      </w:numPr>
    </w:pPr>
  </w:style>
  <w:style w:type="paragraph" w:styleId="Listaconnmeros3">
    <w:name w:val="List Number 3"/>
    <w:basedOn w:val="Normal"/>
    <w:semiHidden/>
    <w:rsid w:val="00DE4223"/>
    <w:pPr>
      <w:numPr>
        <w:numId w:val="15"/>
      </w:numPr>
      <w:tabs>
        <w:tab w:val="clear" w:pos="926"/>
      </w:tabs>
      <w:ind w:left="1854"/>
    </w:pPr>
  </w:style>
  <w:style w:type="paragraph" w:styleId="Listaconnmeros4">
    <w:name w:val="List Number 4"/>
    <w:basedOn w:val="Normal"/>
    <w:semiHidden/>
    <w:rsid w:val="00DE4223"/>
    <w:pPr>
      <w:numPr>
        <w:numId w:val="16"/>
      </w:numPr>
      <w:tabs>
        <w:tab w:val="clear" w:pos="1209"/>
      </w:tabs>
      <w:ind w:left="1854"/>
    </w:pPr>
  </w:style>
  <w:style w:type="paragraph" w:styleId="Listaconnmeros5">
    <w:name w:val="List Number 5"/>
    <w:basedOn w:val="Normal"/>
    <w:semiHidden/>
    <w:rsid w:val="00DE4223"/>
    <w:pPr>
      <w:numPr>
        <w:numId w:val="17"/>
      </w:numPr>
      <w:tabs>
        <w:tab w:val="clear" w:pos="1492"/>
      </w:tabs>
      <w:ind w:left="1854"/>
    </w:pPr>
  </w:style>
  <w:style w:type="paragraph" w:styleId="Listaconvietas">
    <w:name w:val="List Bullet"/>
    <w:basedOn w:val="Normal"/>
    <w:semiHidden/>
    <w:rsid w:val="00DE4223"/>
    <w:pPr>
      <w:numPr>
        <w:numId w:val="8"/>
      </w:numPr>
    </w:pPr>
  </w:style>
  <w:style w:type="paragraph" w:styleId="Listaconvietas2">
    <w:name w:val="List Bullet 2"/>
    <w:basedOn w:val="Normal"/>
    <w:semiHidden/>
    <w:rsid w:val="00DE4223"/>
    <w:pPr>
      <w:numPr>
        <w:numId w:val="9"/>
      </w:numPr>
      <w:tabs>
        <w:tab w:val="clear" w:pos="643"/>
      </w:tabs>
      <w:ind w:left="360"/>
    </w:pPr>
  </w:style>
  <w:style w:type="paragraph" w:styleId="Listaconvietas3">
    <w:name w:val="List Bullet 3"/>
    <w:basedOn w:val="Normal"/>
    <w:semiHidden/>
    <w:rsid w:val="00DE4223"/>
    <w:pPr>
      <w:numPr>
        <w:numId w:val="10"/>
      </w:numPr>
      <w:tabs>
        <w:tab w:val="clear" w:pos="926"/>
      </w:tabs>
      <w:ind w:left="360"/>
    </w:pPr>
  </w:style>
  <w:style w:type="paragraph" w:styleId="Listaconvietas4">
    <w:name w:val="List Bullet 4"/>
    <w:basedOn w:val="Normal"/>
    <w:semiHidden/>
    <w:rsid w:val="00DE4223"/>
    <w:pPr>
      <w:numPr>
        <w:numId w:val="11"/>
      </w:numPr>
      <w:tabs>
        <w:tab w:val="clear" w:pos="1209"/>
      </w:tabs>
      <w:ind w:left="360"/>
    </w:pPr>
  </w:style>
  <w:style w:type="paragraph" w:styleId="Listaconvietas5">
    <w:name w:val="List Bullet 5"/>
    <w:basedOn w:val="Normal"/>
    <w:semiHidden/>
    <w:rsid w:val="00DE4223"/>
    <w:pPr>
      <w:numPr>
        <w:numId w:val="12"/>
      </w:numPr>
      <w:tabs>
        <w:tab w:val="clear" w:pos="1492"/>
      </w:tabs>
      <w:ind w:left="2204"/>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qFormat/>
    <w:rsid w:val="00DE4223"/>
    <w:rPr>
      <w:b/>
      <w:sz w:val="18"/>
    </w:rPr>
  </w:style>
  <w:style w:type="character" w:styleId="Refdenotaalfinal">
    <w:name w:val="endnote reference"/>
    <w:aliases w:val="1_G"/>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qFormat/>
    <w:rsid w:val="00DE4223"/>
    <w:pPr>
      <w:numPr>
        <w:numId w:val="4"/>
      </w:numPr>
      <w:spacing w:after="120"/>
      <w:ind w:left="1134" w:right="1134" w:firstLine="0"/>
      <w:jc w:val="both"/>
    </w:pPr>
    <w:rPr>
      <w:lang w:eastAsia="en-US"/>
    </w:rPr>
  </w:style>
  <w:style w:type="paragraph" w:customStyle="1" w:styleId="Bullet2G">
    <w:name w:val="_Bullet 2_G"/>
    <w:basedOn w:val="Normal"/>
    <w:qFormat/>
    <w:rsid w:val="00DE4223"/>
    <w:pPr>
      <w:numPr>
        <w:numId w:val="5"/>
      </w:numPr>
      <w:tabs>
        <w:tab w:val="num" w:pos="1701"/>
      </w:tabs>
      <w:spacing w:after="120"/>
      <w:ind w:left="1701" w:right="1134"/>
      <w:jc w:val="both"/>
    </w:pPr>
  </w:style>
  <w:style w:type="paragraph" w:styleId="Textodeglobo">
    <w:name w:val="Balloon Text"/>
    <w:basedOn w:val="Normal"/>
    <w:link w:val="TextodegloboCar"/>
    <w:uiPriority w:val="99"/>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223"/>
    <w:rPr>
      <w:rFonts w:ascii="Segoe UI" w:hAnsi="Segoe UI" w:cs="Segoe UI"/>
      <w:sz w:val="18"/>
      <w:szCs w:val="18"/>
      <w:lang w:val="es-ES" w:eastAsia="es-ES"/>
    </w:rPr>
  </w:style>
  <w:style w:type="paragraph" w:customStyle="1" w:styleId="ParNoG">
    <w:name w:val="_ParNo_G"/>
    <w:basedOn w:val="Normal"/>
    <w:qFormat/>
    <w:rsid w:val="00DE4223"/>
    <w:pPr>
      <w:numPr>
        <w:numId w:val="6"/>
      </w:numPr>
      <w:tabs>
        <w:tab w:val="left" w:pos="1701"/>
        <w:tab w:val="left" w:pos="2268"/>
        <w:tab w:val="left" w:pos="2835"/>
      </w:tabs>
      <w:suppressAutoHyphens/>
      <w:kinsoku w:val="0"/>
      <w:overflowPunct w:val="0"/>
      <w:autoSpaceDE w:val="0"/>
      <w:autoSpaceDN w:val="0"/>
      <w:adjustRightInd w:val="0"/>
      <w:snapToGrid w:val="0"/>
      <w:spacing w:after="120"/>
      <w:ind w:left="2268" w:right="1134" w:hanging="170"/>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7"/>
      </w:numPr>
      <w:tabs>
        <w:tab w:val="clear" w:pos="1701"/>
        <w:tab w:val="num" w:pos="3141"/>
      </w:tabs>
      <w:spacing w:after="120"/>
      <w:ind w:left="3141" w:hanging="360"/>
      <w:jc w:val="both"/>
    </w:pPr>
    <w:rPr>
      <w:rFonts w:eastAsiaTheme="minorHAnsi"/>
      <w:lang w:eastAsia="en-US"/>
    </w:rPr>
  </w:style>
  <w:style w:type="paragraph" w:customStyle="1" w:styleId="1ParNoG0">
    <w:name w:val="1_ParNo_G"/>
    <w:basedOn w:val="Normal"/>
    <w:uiPriority w:val="1"/>
    <w:qFormat/>
    <w:rsid w:val="00DE4223"/>
    <w:pPr>
      <w:numPr>
        <w:ilvl w:val="2"/>
        <w:numId w:val="7"/>
      </w:numPr>
      <w:tabs>
        <w:tab w:val="clear" w:pos="1701"/>
        <w:tab w:val="num" w:pos="3861"/>
      </w:tabs>
      <w:spacing w:after="120"/>
      <w:ind w:left="3861" w:hanging="36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rsid w:val="00DE4223"/>
    <w:rPr>
      <w:sz w:val="18"/>
      <w:lang w:val="es-ES" w:eastAsia="es-ES"/>
    </w:rPr>
  </w:style>
  <w:style w:type="character" w:customStyle="1" w:styleId="TextonotaalfinalCar">
    <w:name w:val="Texto nota al final Car"/>
    <w:aliases w:val="2_G Car"/>
    <w:basedOn w:val="Fuentedeprrafopredeter"/>
    <w:link w:val="Textonotaalfinal"/>
    <w:rsid w:val="00DE4223"/>
    <w:rPr>
      <w:sz w:val="18"/>
      <w:lang w:val="es-ES" w:eastAsia="es-ES"/>
    </w:rPr>
  </w:style>
  <w:style w:type="character" w:customStyle="1" w:styleId="PiedepginaCar">
    <w:name w:val="Pie de página Car"/>
    <w:aliases w:val="3_G Car"/>
    <w:basedOn w:val="Fuentedeprrafopredeter"/>
    <w:link w:val="Piedepgina"/>
    <w:rsid w:val="00DE4223"/>
    <w:rPr>
      <w:sz w:val="16"/>
      <w:lang w:val="es-ES" w:eastAsia="es-ES"/>
    </w:rPr>
  </w:style>
  <w:style w:type="character" w:customStyle="1" w:styleId="EncabezadoCar">
    <w:name w:val="Encabezado Car"/>
    <w:aliases w:val="6_G Car"/>
    <w:basedOn w:val="Fuentedeprrafopredeter"/>
    <w:link w:val="Encabezado"/>
    <w:rsid w:val="00DE4223"/>
    <w:rPr>
      <w:b/>
      <w:sz w:val="18"/>
      <w:lang w:val="es-ES" w:eastAsia="es-ES"/>
    </w:rPr>
  </w:style>
  <w:style w:type="character" w:customStyle="1" w:styleId="Ttulo1Car">
    <w:name w:val="Título 1 Car"/>
    <w:aliases w:val="Cuadro_G Car,Table_G Car"/>
    <w:basedOn w:val="Fuentedeprrafopredeter"/>
    <w:link w:val="Ttulo1"/>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rsid w:val="00F8174B"/>
    <w:rPr>
      <w:rFonts w:cs="Arial"/>
      <w:bCs/>
      <w:iCs/>
      <w:szCs w:val="28"/>
      <w:lang w:val="es-ES" w:eastAsia="es-ES"/>
    </w:rPr>
  </w:style>
  <w:style w:type="character" w:customStyle="1" w:styleId="Ttulo3Car">
    <w:name w:val="Título 3 Car"/>
    <w:basedOn w:val="Fuentedeprrafopredeter"/>
    <w:link w:val="Ttulo3"/>
    <w:rsid w:val="00F8174B"/>
    <w:rPr>
      <w:rFonts w:ascii="Arial" w:hAnsi="Arial" w:cs="Arial"/>
      <w:b/>
      <w:bCs/>
      <w:sz w:val="26"/>
      <w:szCs w:val="26"/>
      <w:lang w:val="es-ES" w:eastAsia="es-ES"/>
    </w:rPr>
  </w:style>
  <w:style w:type="character" w:customStyle="1" w:styleId="Ttulo4Car">
    <w:name w:val="Título 4 Car"/>
    <w:basedOn w:val="Fuentedeprrafopredeter"/>
    <w:link w:val="Ttulo4"/>
    <w:rsid w:val="00F8174B"/>
    <w:rPr>
      <w:b/>
      <w:bCs/>
      <w:sz w:val="28"/>
      <w:szCs w:val="28"/>
      <w:lang w:val="es-ES" w:eastAsia="es-ES"/>
    </w:rPr>
  </w:style>
  <w:style w:type="character" w:customStyle="1" w:styleId="Ttulo5Car">
    <w:name w:val="Título 5 Car"/>
    <w:basedOn w:val="Fuentedeprrafopredeter"/>
    <w:link w:val="Ttulo5"/>
    <w:rsid w:val="00F8174B"/>
    <w:rPr>
      <w:b/>
      <w:bCs/>
      <w:i/>
      <w:iCs/>
      <w:sz w:val="26"/>
      <w:szCs w:val="26"/>
      <w:lang w:val="es-ES" w:eastAsia="es-ES"/>
    </w:rPr>
  </w:style>
  <w:style w:type="character" w:customStyle="1" w:styleId="Ttulo6Car">
    <w:name w:val="Título 6 Car"/>
    <w:basedOn w:val="Fuentedeprrafopredeter"/>
    <w:link w:val="Ttulo6"/>
    <w:rsid w:val="00F8174B"/>
    <w:rPr>
      <w:b/>
      <w:bCs/>
      <w:sz w:val="22"/>
      <w:szCs w:val="22"/>
      <w:lang w:val="es-ES" w:eastAsia="es-ES"/>
    </w:rPr>
  </w:style>
  <w:style w:type="character" w:customStyle="1" w:styleId="Ttulo7Car">
    <w:name w:val="Título 7 Car"/>
    <w:basedOn w:val="Fuentedeprrafopredeter"/>
    <w:link w:val="Ttulo7"/>
    <w:rsid w:val="00F8174B"/>
    <w:rPr>
      <w:sz w:val="24"/>
      <w:szCs w:val="24"/>
      <w:lang w:val="es-ES" w:eastAsia="es-ES"/>
    </w:rPr>
  </w:style>
  <w:style w:type="character" w:customStyle="1" w:styleId="Ttulo8Car">
    <w:name w:val="Título 8 Car"/>
    <w:basedOn w:val="Fuentedeprrafopredeter"/>
    <w:link w:val="Ttulo8"/>
    <w:rsid w:val="00F8174B"/>
    <w:rPr>
      <w:i/>
      <w:iCs/>
      <w:sz w:val="24"/>
      <w:szCs w:val="24"/>
      <w:lang w:val="es-ES" w:eastAsia="es-ES"/>
    </w:rPr>
  </w:style>
  <w:style w:type="character" w:customStyle="1" w:styleId="Ttulo9Car">
    <w:name w:val="Título 9 Car"/>
    <w:basedOn w:val="Fuentedeprrafopredeter"/>
    <w:link w:val="Ttulo9"/>
    <w:rsid w:val="00F8174B"/>
    <w:rPr>
      <w:rFonts w:ascii="Arial" w:hAnsi="Arial" w:cs="Arial"/>
      <w:sz w:val="22"/>
      <w:szCs w:val="22"/>
      <w:lang w:val="es-ES" w:eastAsia="es-ES"/>
    </w:rPr>
  </w:style>
  <w:style w:type="character" w:styleId="Ttulodellibro">
    <w:name w:val="Book Title"/>
    <w:basedOn w:val="Fuentedeprrafopredeter"/>
    <w:uiPriority w:val="33"/>
    <w:semiHidden/>
    <w:rsid w:val="00F8174B"/>
    <w:rPr>
      <w:b/>
      <w:bCs/>
      <w:smallCaps/>
      <w:spacing w:val="5"/>
    </w:rPr>
  </w:style>
  <w:style w:type="character" w:styleId="Refdecomentario">
    <w:name w:val="annotation reference"/>
    <w:basedOn w:val="Fuentedeprrafopredeter"/>
    <w:uiPriority w:val="99"/>
    <w:semiHidden/>
    <w:unhideWhenUsed/>
    <w:rsid w:val="00F8174B"/>
    <w:rPr>
      <w:sz w:val="16"/>
      <w:szCs w:val="16"/>
    </w:rPr>
  </w:style>
  <w:style w:type="paragraph" w:styleId="Textocomentario">
    <w:name w:val="annotation text"/>
    <w:basedOn w:val="Normal"/>
    <w:link w:val="TextocomentarioCar"/>
    <w:uiPriority w:val="99"/>
    <w:semiHidden/>
    <w:unhideWhenUsed/>
    <w:rsid w:val="00F8174B"/>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F8174B"/>
    <w:rPr>
      <w:lang w:val="en-GB" w:eastAsia="en-US"/>
    </w:rPr>
  </w:style>
  <w:style w:type="paragraph" w:styleId="Asuntodelcomentario">
    <w:name w:val="annotation subject"/>
    <w:basedOn w:val="Textocomentario"/>
    <w:next w:val="Textocomentario"/>
    <w:link w:val="AsuntodelcomentarioCar"/>
    <w:uiPriority w:val="99"/>
    <w:semiHidden/>
    <w:unhideWhenUsed/>
    <w:rsid w:val="00F8174B"/>
    <w:rPr>
      <w:b/>
      <w:bCs/>
    </w:rPr>
  </w:style>
  <w:style w:type="character" w:customStyle="1" w:styleId="AsuntodelcomentarioCar">
    <w:name w:val="Asunto del comentario Car"/>
    <w:basedOn w:val="TextocomentarioCar"/>
    <w:link w:val="Asuntodelcomentario"/>
    <w:uiPriority w:val="99"/>
    <w:semiHidden/>
    <w:rsid w:val="00F8174B"/>
    <w:rPr>
      <w:b/>
      <w:bCs/>
      <w:lang w:val="en-GB" w:eastAsia="en-US"/>
    </w:rPr>
  </w:style>
  <w:style w:type="paragraph" w:customStyle="1" w:styleId="FinalLine">
    <w:name w:val="Final Line"/>
    <w:basedOn w:val="SingleTxtG"/>
    <w:qFormat/>
    <w:rsid w:val="00062B95"/>
    <w:pPr>
      <w:jc w:val="center"/>
    </w:pPr>
    <w:rPr>
      <w:rFonts w:eastAsiaTheme="minorEastAsia"/>
      <w:u w:val="single"/>
    </w:rPr>
  </w:style>
  <w:style w:type="paragraph" w:customStyle="1" w:styleId="ParaNoG">
    <w:name w:val="_ParaNo._G"/>
    <w:basedOn w:val="SingleTxtG"/>
    <w:rsid w:val="00062B95"/>
    <w:pPr>
      <w:numPr>
        <w:numId w:val="20"/>
      </w:numPr>
      <w:tabs>
        <w:tab w:val="clear" w:pos="2835"/>
      </w:tabs>
      <w:suppressAutoHyphens/>
    </w:pPr>
    <w:rPr>
      <w:rFonts w:eastAsia="SimSun"/>
      <w:lang w:val="en-GB" w:eastAsia="zh-CN"/>
    </w:rPr>
  </w:style>
  <w:style w:type="character" w:customStyle="1" w:styleId="HChGChar">
    <w:name w:val="_ H _Ch_G Char"/>
    <w:link w:val="HChG"/>
    <w:rsid w:val="00062B95"/>
    <w:rPr>
      <w:b/>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37</Pages>
  <Words>19474</Words>
  <Characters>95857</Characters>
  <Application>Microsoft Office Word</Application>
  <DocSecurity>0</DocSecurity>
  <Lines>3464</Lines>
  <Paragraphs>2283</Paragraphs>
  <ScaleCrop>false</ScaleCrop>
  <HeadingPairs>
    <vt:vector size="2" baseType="variant">
      <vt:variant>
        <vt:lpstr>Título</vt:lpstr>
      </vt:variant>
      <vt:variant>
        <vt:i4>1</vt:i4>
      </vt:variant>
    </vt:vector>
  </HeadingPairs>
  <TitlesOfParts>
    <vt:vector size="1" baseType="lpstr">
      <vt:lpstr>CAT/C/THA/2</vt:lpstr>
    </vt:vector>
  </TitlesOfParts>
  <Company/>
  <LinksUpToDate>false</LinksUpToDate>
  <CharactersWithSpaces>113234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CAT/C/THA/2</dc:title>
  <dc:subject/>
  <dc:creator>Angel ANGEL-MORENO-TORRES</dc:creator>
  <cp:keywords/>
  <cp:lastModifiedBy>Angel Moreno Torres</cp:lastModifiedBy>
  <cp:revision>3</cp:revision>
  <cp:lastPrinted>2022-06-24T14:46:00Z</cp:lastPrinted>
  <dcterms:created xsi:type="dcterms:W3CDTF">2022-06-24T14:46:00Z</dcterms:created>
  <dcterms:modified xsi:type="dcterms:W3CDTF">2022-06-24T14:48:00Z</dcterms:modified>
</cp:coreProperties>
</file>