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5445EF" w14:paraId="5C26BD05" w14:textId="77777777" w:rsidTr="00912700">
        <w:trPr>
          <w:trHeight w:hRule="exact" w:val="851"/>
        </w:trPr>
        <w:tc>
          <w:tcPr>
            <w:tcW w:w="1274" w:type="dxa"/>
            <w:tcBorders>
              <w:bottom w:val="single" w:sz="4" w:space="0" w:color="auto"/>
            </w:tcBorders>
          </w:tcPr>
          <w:p w14:paraId="2C093DE7" w14:textId="77777777" w:rsidR="006B3E27" w:rsidRPr="005445EF" w:rsidRDefault="006B3E27" w:rsidP="00296943">
            <w:pPr>
              <w:kinsoku w:val="0"/>
              <w:overflowPunct w:val="0"/>
              <w:autoSpaceDE w:val="0"/>
              <w:autoSpaceDN w:val="0"/>
              <w:adjustRightInd w:val="0"/>
              <w:snapToGrid w:val="0"/>
              <w:spacing w:after="80" w:line="480" w:lineRule="exact"/>
              <w:jc w:val="left"/>
              <w:rPr>
                <w:szCs w:val="40"/>
                <w:rtl/>
              </w:rPr>
            </w:pPr>
          </w:p>
        </w:tc>
        <w:tc>
          <w:tcPr>
            <w:tcW w:w="4679" w:type="dxa"/>
            <w:tcBorders>
              <w:bottom w:val="single" w:sz="4" w:space="0" w:color="auto"/>
            </w:tcBorders>
            <w:vAlign w:val="bottom"/>
          </w:tcPr>
          <w:p w14:paraId="79988841" w14:textId="77777777" w:rsidR="006B3E27" w:rsidRPr="005445EF" w:rsidRDefault="006B3E27" w:rsidP="00F83E84">
            <w:pPr>
              <w:spacing w:after="80" w:line="480" w:lineRule="exact"/>
              <w:ind w:left="57"/>
              <w:jc w:val="left"/>
              <w:rPr>
                <w:sz w:val="30"/>
                <w:szCs w:val="30"/>
                <w:rtl/>
              </w:rPr>
            </w:pPr>
            <w:r w:rsidRPr="005445EF">
              <w:rPr>
                <w:rFonts w:hint="cs"/>
                <w:sz w:val="30"/>
                <w:szCs w:val="30"/>
                <w:rtl/>
              </w:rPr>
              <w:t>الأمم المتحدة</w:t>
            </w:r>
          </w:p>
        </w:tc>
        <w:tc>
          <w:tcPr>
            <w:tcW w:w="3686" w:type="dxa"/>
            <w:tcBorders>
              <w:bottom w:val="single" w:sz="4" w:space="0" w:color="auto"/>
            </w:tcBorders>
            <w:vAlign w:val="bottom"/>
          </w:tcPr>
          <w:p w14:paraId="6BB00E70" w14:textId="31664CFD" w:rsidR="006B3E27" w:rsidRPr="008E07BD" w:rsidRDefault="008E07BD" w:rsidP="008E07BD">
            <w:pPr>
              <w:bidi w:val="0"/>
              <w:jc w:val="left"/>
            </w:pPr>
            <w:r w:rsidRPr="008E07BD">
              <w:rPr>
                <w:sz w:val="40"/>
              </w:rPr>
              <w:t>CERD</w:t>
            </w:r>
            <w:r>
              <w:t>/C/</w:t>
            </w:r>
            <w:r w:rsidRPr="001F7700">
              <w:t>103</w:t>
            </w:r>
            <w:r>
              <w:t>/D/</w:t>
            </w:r>
            <w:r w:rsidRPr="001F7700">
              <w:t>60</w:t>
            </w:r>
            <w:r>
              <w:t>/</w:t>
            </w:r>
            <w:r w:rsidRPr="001F7700">
              <w:t>2016</w:t>
            </w:r>
          </w:p>
        </w:tc>
      </w:tr>
      <w:tr w:rsidR="006B3E27" w:rsidRPr="005445EF" w14:paraId="7D8E1054" w14:textId="77777777" w:rsidTr="00912700">
        <w:trPr>
          <w:trHeight w:hRule="exact" w:val="2835"/>
        </w:trPr>
        <w:tc>
          <w:tcPr>
            <w:tcW w:w="1274" w:type="dxa"/>
            <w:tcBorders>
              <w:top w:val="single" w:sz="4" w:space="0" w:color="auto"/>
              <w:bottom w:val="single" w:sz="12" w:space="0" w:color="auto"/>
            </w:tcBorders>
          </w:tcPr>
          <w:p w14:paraId="552E5D07" w14:textId="77777777" w:rsidR="006B3E27" w:rsidRPr="005445EF" w:rsidRDefault="0059622A" w:rsidP="00912700">
            <w:pPr>
              <w:jc w:val="center"/>
              <w:rPr>
                <w:rtl/>
              </w:rPr>
            </w:pPr>
            <w:r w:rsidRPr="005445EF">
              <w:rPr>
                <w:noProof/>
              </w:rPr>
              <w:drawing>
                <wp:inline distT="0" distB="0" distL="0" distR="0" wp14:anchorId="23358A93" wp14:editId="5811E964">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6EB3CB2E" w14:textId="77777777" w:rsidR="006B3E27" w:rsidRPr="001F7700" w:rsidRDefault="001E1CAD" w:rsidP="00F83E84">
            <w:pPr>
              <w:spacing w:before="120" w:after="40" w:line="640" w:lineRule="exact"/>
              <w:ind w:left="57"/>
              <w:jc w:val="left"/>
              <w:rPr>
                <w:b/>
                <w:bCs/>
                <w:sz w:val="46"/>
                <w:szCs w:val="46"/>
                <w:rtl/>
              </w:rPr>
            </w:pPr>
            <w:r w:rsidRPr="001F7700">
              <w:rPr>
                <w:rFonts w:hint="cs"/>
                <w:b/>
                <w:bCs/>
                <w:sz w:val="46"/>
                <w:szCs w:val="46"/>
                <w:rtl/>
              </w:rPr>
              <w:t>ا</w:t>
            </w:r>
            <w:r w:rsidR="00523BAE" w:rsidRPr="001F7700">
              <w:rPr>
                <w:rFonts w:hint="cs"/>
                <w:b/>
                <w:bCs/>
                <w:sz w:val="46"/>
                <w:szCs w:val="46"/>
                <w:rtl/>
              </w:rPr>
              <w:t>لا</w:t>
            </w:r>
            <w:r w:rsidR="004A14A6" w:rsidRPr="001F7700">
              <w:rPr>
                <w:rFonts w:hint="cs"/>
                <w:b/>
                <w:bCs/>
                <w:sz w:val="46"/>
                <w:szCs w:val="46"/>
                <w:rtl/>
              </w:rPr>
              <w:t>تفاقي</w:t>
            </w:r>
            <w:r w:rsidR="00523BAE" w:rsidRPr="001F7700">
              <w:rPr>
                <w:rFonts w:hint="cs"/>
                <w:b/>
                <w:bCs/>
                <w:sz w:val="46"/>
                <w:szCs w:val="46"/>
                <w:rtl/>
              </w:rPr>
              <w:t>ـ</w:t>
            </w:r>
            <w:r w:rsidR="004A14A6" w:rsidRPr="001F7700">
              <w:rPr>
                <w:rFonts w:hint="cs"/>
                <w:b/>
                <w:bCs/>
                <w:sz w:val="46"/>
                <w:szCs w:val="46"/>
                <w:rtl/>
              </w:rPr>
              <w:t xml:space="preserve">ة </w:t>
            </w:r>
            <w:r w:rsidR="00523BAE" w:rsidRPr="001F7700">
              <w:rPr>
                <w:rFonts w:hint="cs"/>
                <w:b/>
                <w:bCs/>
                <w:sz w:val="46"/>
                <w:szCs w:val="46"/>
                <w:rtl/>
              </w:rPr>
              <w:t>الدوليـة ل</w:t>
            </w:r>
            <w:r w:rsidR="004A14A6" w:rsidRPr="001F7700">
              <w:rPr>
                <w:rFonts w:hint="cs"/>
                <w:b/>
                <w:bCs/>
                <w:sz w:val="46"/>
                <w:szCs w:val="46"/>
                <w:rtl/>
              </w:rPr>
              <w:t>لقض</w:t>
            </w:r>
            <w:r w:rsidR="00523BAE" w:rsidRPr="001F7700">
              <w:rPr>
                <w:rFonts w:hint="cs"/>
                <w:b/>
                <w:bCs/>
                <w:sz w:val="46"/>
                <w:szCs w:val="46"/>
                <w:rtl/>
              </w:rPr>
              <w:t>ــ</w:t>
            </w:r>
            <w:r w:rsidR="004A14A6" w:rsidRPr="001F7700">
              <w:rPr>
                <w:rFonts w:hint="cs"/>
                <w:b/>
                <w:bCs/>
                <w:sz w:val="46"/>
                <w:szCs w:val="46"/>
                <w:rtl/>
              </w:rPr>
              <w:t>اء عل</w:t>
            </w:r>
            <w:r w:rsidR="00523BAE" w:rsidRPr="001F7700">
              <w:rPr>
                <w:rFonts w:hint="cs"/>
                <w:b/>
                <w:bCs/>
                <w:sz w:val="46"/>
                <w:szCs w:val="46"/>
                <w:rtl/>
              </w:rPr>
              <w:t>ـ</w:t>
            </w:r>
            <w:r w:rsidR="004A14A6" w:rsidRPr="001F7700">
              <w:rPr>
                <w:rFonts w:hint="cs"/>
                <w:b/>
                <w:bCs/>
                <w:sz w:val="46"/>
                <w:szCs w:val="46"/>
                <w:rtl/>
              </w:rPr>
              <w:t xml:space="preserve">ى جميع أشكال التمييز </w:t>
            </w:r>
            <w:r w:rsidR="00523BAE" w:rsidRPr="001F7700">
              <w:rPr>
                <w:rFonts w:hint="cs"/>
                <w:b/>
                <w:bCs/>
                <w:sz w:val="46"/>
                <w:szCs w:val="46"/>
                <w:rtl/>
              </w:rPr>
              <w:t>العنصري</w:t>
            </w:r>
          </w:p>
        </w:tc>
        <w:tc>
          <w:tcPr>
            <w:tcW w:w="3686" w:type="dxa"/>
            <w:tcBorders>
              <w:top w:val="single" w:sz="4" w:space="0" w:color="auto"/>
              <w:bottom w:val="single" w:sz="12" w:space="0" w:color="auto"/>
            </w:tcBorders>
          </w:tcPr>
          <w:p w14:paraId="56AED6C6" w14:textId="77777777" w:rsidR="00A97CB7" w:rsidRPr="000174B6" w:rsidRDefault="00A97CB7" w:rsidP="00A97CB7">
            <w:pPr>
              <w:bidi w:val="0"/>
              <w:spacing w:before="240"/>
              <w:jc w:val="left"/>
            </w:pPr>
            <w:r w:rsidRPr="000174B6">
              <w:t>Distr.: General</w:t>
            </w:r>
          </w:p>
          <w:p w14:paraId="0C7248CB" w14:textId="77777777" w:rsidR="00A97CB7" w:rsidRPr="000174B6" w:rsidRDefault="00A97CB7" w:rsidP="00A97CB7">
            <w:pPr>
              <w:bidi w:val="0"/>
              <w:jc w:val="left"/>
            </w:pPr>
            <w:r w:rsidRPr="001F7700">
              <w:t>31</w:t>
            </w:r>
            <w:r w:rsidRPr="000174B6">
              <w:t xml:space="preserve"> May </w:t>
            </w:r>
            <w:r w:rsidRPr="001F7700">
              <w:t>2021</w:t>
            </w:r>
          </w:p>
          <w:p w14:paraId="175F4594" w14:textId="403D6120" w:rsidR="00A97CB7" w:rsidRPr="000174B6" w:rsidRDefault="00A97CB7" w:rsidP="00A97CB7">
            <w:pPr>
              <w:bidi w:val="0"/>
              <w:jc w:val="left"/>
            </w:pPr>
            <w:r>
              <w:t>Arabic</w:t>
            </w:r>
          </w:p>
          <w:p w14:paraId="0286844C" w14:textId="3CFCEA39" w:rsidR="008E07BD" w:rsidRPr="008E07BD" w:rsidRDefault="00A97CB7" w:rsidP="00A97CB7">
            <w:pPr>
              <w:bidi w:val="0"/>
              <w:spacing w:line="240" w:lineRule="exact"/>
              <w:jc w:val="left"/>
            </w:pPr>
            <w:r w:rsidRPr="000174B6">
              <w:t>Original: English</w:t>
            </w:r>
          </w:p>
        </w:tc>
      </w:tr>
    </w:tbl>
    <w:p w14:paraId="22039761" w14:textId="77777777" w:rsidR="00A97CB7" w:rsidRPr="001F7700" w:rsidRDefault="00A97CB7" w:rsidP="00A97CB7">
      <w:pPr>
        <w:suppressAutoHyphens/>
        <w:spacing w:before="120" w:line="360" w:lineRule="exact"/>
        <w:textDirection w:val="tbRlV"/>
        <w:rPr>
          <w:rFonts w:ascii="Simplified Arabic" w:eastAsia="Times New Roman" w:hAnsi="Simplified Arabic"/>
          <w:b/>
          <w:bCs/>
          <w:sz w:val="34"/>
          <w:szCs w:val="26"/>
          <w:lang w:eastAsia="zh-TW" w:bidi="en-GB"/>
        </w:rPr>
      </w:pPr>
      <w:r w:rsidRPr="001F7700">
        <w:rPr>
          <w:rFonts w:ascii="Simplified Arabic" w:hAnsi="Simplified Arabic"/>
          <w:b/>
          <w:bCs/>
          <w:sz w:val="34"/>
          <w:szCs w:val="26"/>
          <w:rtl/>
        </w:rPr>
        <w:t>لجنة القضاء على التمييز العنصري</w:t>
      </w:r>
    </w:p>
    <w:p w14:paraId="7ED32F3D" w14:textId="5D3E7C12" w:rsidR="00A97CB7" w:rsidRPr="001F7700" w:rsidRDefault="00A97CB7" w:rsidP="00A97CB7">
      <w:pPr>
        <w:pStyle w:val="HChGA"/>
        <w:rPr>
          <w:rtl/>
        </w:rPr>
      </w:pPr>
      <w:r w:rsidRPr="001F7700">
        <w:rPr>
          <w:sz w:val="22"/>
          <w:szCs w:val="22"/>
          <w:rtl/>
        </w:rPr>
        <w:tab/>
      </w:r>
      <w:r w:rsidRPr="001F7700">
        <w:rPr>
          <w:sz w:val="22"/>
          <w:szCs w:val="22"/>
          <w:rtl/>
        </w:rPr>
        <w:tab/>
      </w:r>
      <w:r w:rsidRPr="001F7700">
        <w:rPr>
          <w:rtl/>
        </w:rPr>
        <w:t>رأي اعتمدته اللجنة بموجب المادة 14 من الاتفاقية، بشأن البلاغ رقم</w:t>
      </w:r>
      <w:r w:rsidRPr="001F7700">
        <w:rPr>
          <w:rFonts w:hint="cs"/>
          <w:rtl/>
        </w:rPr>
        <w:t> </w:t>
      </w:r>
      <w:r w:rsidRPr="001F7700">
        <w:rPr>
          <w:rtl/>
        </w:rPr>
        <w:t>60/2016</w:t>
      </w:r>
      <w:r w:rsidRPr="001F7700">
        <w:rPr>
          <w:rStyle w:val="FootnoteReference"/>
          <w:rFonts w:ascii="Simplified Arabic" w:hAnsi="Simplified Arabic"/>
          <w:b w:val="0"/>
          <w:sz w:val="26"/>
          <w:szCs w:val="26"/>
          <w:vertAlign w:val="baseline"/>
          <w:rtl/>
        </w:rPr>
        <w:footnoteReference w:customMarkFollows="1" w:id="1"/>
        <w:t>*</w:t>
      </w:r>
      <w:r w:rsidRPr="001F7700">
        <w:rPr>
          <w:rStyle w:val="FootnoteReference"/>
          <w:rFonts w:ascii="Simplified Arabic" w:hAnsi="Simplified Arabic" w:hint="cs"/>
          <w:b w:val="0"/>
          <w:sz w:val="26"/>
          <w:szCs w:val="26"/>
          <w:vertAlign w:val="baseline"/>
          <w:rtl/>
        </w:rPr>
        <w:t xml:space="preserve"> </w:t>
      </w:r>
      <w:r w:rsidRPr="001F7700">
        <w:rPr>
          <w:rStyle w:val="FootnoteReference"/>
          <w:rFonts w:ascii="Simplified Arabic" w:hAnsi="Simplified Arabic"/>
          <w:b w:val="0"/>
          <w:sz w:val="26"/>
          <w:szCs w:val="26"/>
          <w:vertAlign w:val="baseline"/>
          <w:rtl/>
        </w:rPr>
        <w:footnoteReference w:customMarkFollows="1" w:id="2"/>
        <w:t>**</w:t>
      </w:r>
      <w:r w:rsidRPr="001F7700">
        <w:rPr>
          <w:rStyle w:val="FootnoteReference"/>
          <w:rFonts w:ascii="Simplified Arabic" w:hAnsi="Simplified Arabic" w:hint="cs"/>
          <w:b w:val="0"/>
          <w:sz w:val="26"/>
          <w:szCs w:val="26"/>
          <w:vertAlign w:val="baseline"/>
          <w:rtl/>
        </w:rPr>
        <w:t xml:space="preserve"> </w:t>
      </w:r>
    </w:p>
    <w:p w14:paraId="06C8308C" w14:textId="51B02935" w:rsidR="00A97CB7" w:rsidRPr="009C35B9" w:rsidRDefault="00A97CB7" w:rsidP="00B33970">
      <w:pPr>
        <w:pStyle w:val="SingleTxtGA"/>
        <w:tabs>
          <w:tab w:val="clear" w:pos="1928"/>
          <w:tab w:val="clear" w:pos="2608"/>
          <w:tab w:val="clear" w:pos="3289"/>
          <w:tab w:val="clear" w:pos="3969"/>
          <w:tab w:val="clear" w:pos="4649"/>
          <w:tab w:val="clear" w:pos="5330"/>
        </w:tabs>
        <w:spacing w:line="340" w:lineRule="exact"/>
        <w:ind w:left="4375" w:hanging="2447"/>
        <w:rPr>
          <w:spacing w:val="-4"/>
        </w:rPr>
      </w:pPr>
      <w:r w:rsidRPr="001F7700">
        <w:rPr>
          <w:i/>
          <w:iCs/>
          <w:rtl/>
        </w:rPr>
        <w:t>بلاغ مقدم من:</w:t>
      </w:r>
      <w:r>
        <w:rPr>
          <w:rtl/>
        </w:rPr>
        <w:tab/>
      </w:r>
      <w:r w:rsidRPr="009C35B9">
        <w:rPr>
          <w:spacing w:val="-4"/>
          <w:rtl/>
        </w:rPr>
        <w:t xml:space="preserve">غريغوري </w:t>
      </w:r>
      <w:proofErr w:type="spellStart"/>
      <w:r w:rsidRPr="009C35B9">
        <w:rPr>
          <w:spacing w:val="-4"/>
          <w:rtl/>
        </w:rPr>
        <w:t>زابيسكو</w:t>
      </w:r>
      <w:proofErr w:type="spellEnd"/>
      <w:r w:rsidRPr="009C35B9">
        <w:rPr>
          <w:spacing w:val="-4"/>
          <w:rtl/>
        </w:rPr>
        <w:t xml:space="preserve"> (يمثله المحامي </w:t>
      </w:r>
      <w:proofErr w:type="spellStart"/>
      <w:r w:rsidRPr="009C35B9">
        <w:rPr>
          <w:spacing w:val="-4"/>
          <w:rtl/>
        </w:rPr>
        <w:t>دوميترو</w:t>
      </w:r>
      <w:proofErr w:type="spellEnd"/>
      <w:r w:rsidRPr="009C35B9">
        <w:rPr>
          <w:spacing w:val="-4"/>
          <w:rtl/>
        </w:rPr>
        <w:t xml:space="preserve"> </w:t>
      </w:r>
      <w:proofErr w:type="spellStart"/>
      <w:r w:rsidRPr="009C35B9">
        <w:rPr>
          <w:spacing w:val="-4"/>
          <w:rtl/>
        </w:rPr>
        <w:t>سليوسارينكو</w:t>
      </w:r>
      <w:proofErr w:type="spellEnd"/>
      <w:r w:rsidRPr="009C35B9">
        <w:rPr>
          <w:spacing w:val="-4"/>
          <w:rtl/>
        </w:rPr>
        <w:t>)</w:t>
      </w:r>
    </w:p>
    <w:p w14:paraId="48FB283A" w14:textId="18D6A25C" w:rsidR="00A97CB7" w:rsidRPr="00A97CB7" w:rsidRDefault="00A97CB7" w:rsidP="00B33970">
      <w:pPr>
        <w:pStyle w:val="SingleTxtGA"/>
        <w:tabs>
          <w:tab w:val="clear" w:pos="1928"/>
          <w:tab w:val="clear" w:pos="2608"/>
          <w:tab w:val="clear" w:pos="3289"/>
          <w:tab w:val="clear" w:pos="3969"/>
          <w:tab w:val="clear" w:pos="4649"/>
          <w:tab w:val="clear" w:pos="5330"/>
        </w:tabs>
        <w:spacing w:line="340" w:lineRule="exact"/>
        <w:ind w:left="4375" w:hanging="2447"/>
      </w:pPr>
      <w:r w:rsidRPr="001F7700">
        <w:rPr>
          <w:i/>
          <w:iCs/>
          <w:rtl/>
        </w:rPr>
        <w:t>الشخص المدعى أنه ضحية:</w:t>
      </w:r>
      <w:r>
        <w:rPr>
          <w:rtl/>
        </w:rPr>
        <w:tab/>
      </w:r>
      <w:r w:rsidRPr="00A97CB7">
        <w:rPr>
          <w:rtl/>
        </w:rPr>
        <w:t>صاحب البلاغ</w:t>
      </w:r>
    </w:p>
    <w:p w14:paraId="664309D7" w14:textId="1A37087C" w:rsidR="00A97CB7" w:rsidRPr="00A97CB7" w:rsidRDefault="00A97CB7" w:rsidP="00B33970">
      <w:pPr>
        <w:pStyle w:val="SingleTxtGA"/>
        <w:tabs>
          <w:tab w:val="clear" w:pos="1928"/>
          <w:tab w:val="clear" w:pos="2608"/>
          <w:tab w:val="clear" w:pos="3289"/>
          <w:tab w:val="clear" w:pos="3969"/>
          <w:tab w:val="clear" w:pos="4649"/>
          <w:tab w:val="clear" w:pos="5330"/>
        </w:tabs>
        <w:spacing w:line="340" w:lineRule="exact"/>
        <w:ind w:left="4375" w:hanging="2447"/>
      </w:pPr>
      <w:r w:rsidRPr="001F7700">
        <w:rPr>
          <w:i/>
          <w:iCs/>
          <w:rtl/>
        </w:rPr>
        <w:t>الدولة الطرف:</w:t>
      </w:r>
      <w:r>
        <w:rPr>
          <w:rtl/>
        </w:rPr>
        <w:tab/>
      </w:r>
      <w:r w:rsidRPr="00A97CB7">
        <w:rPr>
          <w:rtl/>
        </w:rPr>
        <w:t>جمهورية مولدوفا</w:t>
      </w:r>
    </w:p>
    <w:p w14:paraId="34DD75F7" w14:textId="11E7EF44" w:rsidR="00A97CB7" w:rsidRPr="00A97CB7" w:rsidRDefault="00A97CB7" w:rsidP="00B33970">
      <w:pPr>
        <w:pStyle w:val="SingleTxtGA"/>
        <w:tabs>
          <w:tab w:val="clear" w:pos="1928"/>
          <w:tab w:val="clear" w:pos="2608"/>
          <w:tab w:val="clear" w:pos="3289"/>
          <w:tab w:val="clear" w:pos="3969"/>
          <w:tab w:val="clear" w:pos="4649"/>
          <w:tab w:val="clear" w:pos="5330"/>
        </w:tabs>
        <w:spacing w:line="340" w:lineRule="exact"/>
        <w:ind w:left="4375" w:hanging="2447"/>
      </w:pPr>
      <w:r w:rsidRPr="001F7700">
        <w:rPr>
          <w:i/>
          <w:iCs/>
          <w:rtl/>
        </w:rPr>
        <w:t>تاريخ تقديم البلاغ:</w:t>
      </w:r>
      <w:r>
        <w:rPr>
          <w:rtl/>
        </w:rPr>
        <w:tab/>
      </w:r>
      <w:r w:rsidRPr="001F7700">
        <w:rPr>
          <w:rtl/>
        </w:rPr>
        <w:t>30</w:t>
      </w:r>
      <w:r w:rsidRPr="00A97CB7">
        <w:rPr>
          <w:rtl/>
        </w:rPr>
        <w:t xml:space="preserve"> حزيران/</w:t>
      </w:r>
      <w:proofErr w:type="gramStart"/>
      <w:r w:rsidRPr="00A97CB7">
        <w:rPr>
          <w:rtl/>
        </w:rPr>
        <w:t>يونيه</w:t>
      </w:r>
      <w:proofErr w:type="gramEnd"/>
      <w:r w:rsidRPr="00A97CB7">
        <w:rPr>
          <w:rtl/>
        </w:rPr>
        <w:t xml:space="preserve"> </w:t>
      </w:r>
      <w:r w:rsidRPr="001F7700">
        <w:rPr>
          <w:rtl/>
        </w:rPr>
        <w:t>2016</w:t>
      </w:r>
      <w:r w:rsidRPr="00A97CB7">
        <w:rPr>
          <w:rtl/>
        </w:rPr>
        <w:t xml:space="preserve"> (الرسالة الأولى)</w:t>
      </w:r>
    </w:p>
    <w:p w14:paraId="2F035E0C" w14:textId="3C770189" w:rsidR="00A97CB7" w:rsidRPr="00A97CB7" w:rsidRDefault="00A97CB7" w:rsidP="00B33970">
      <w:pPr>
        <w:pStyle w:val="SingleTxtGA"/>
        <w:tabs>
          <w:tab w:val="clear" w:pos="1928"/>
          <w:tab w:val="clear" w:pos="2608"/>
          <w:tab w:val="clear" w:pos="3289"/>
          <w:tab w:val="clear" w:pos="3969"/>
          <w:tab w:val="clear" w:pos="4649"/>
          <w:tab w:val="clear" w:pos="5330"/>
        </w:tabs>
        <w:spacing w:line="340" w:lineRule="exact"/>
        <w:ind w:left="4375" w:hanging="2447"/>
      </w:pPr>
      <w:r w:rsidRPr="001F7700">
        <w:rPr>
          <w:i/>
          <w:iCs/>
          <w:rtl/>
        </w:rPr>
        <w:t>تاريخ اعتماد الرأي:</w:t>
      </w:r>
      <w:r>
        <w:rPr>
          <w:rtl/>
        </w:rPr>
        <w:tab/>
      </w:r>
      <w:r w:rsidRPr="001F7700">
        <w:rPr>
          <w:rtl/>
        </w:rPr>
        <w:t>22</w:t>
      </w:r>
      <w:r w:rsidRPr="00A97CB7">
        <w:rPr>
          <w:rtl/>
        </w:rPr>
        <w:t xml:space="preserve"> نيسان/أبريل </w:t>
      </w:r>
      <w:r w:rsidRPr="001F7700">
        <w:rPr>
          <w:rtl/>
        </w:rPr>
        <w:t>2021</w:t>
      </w:r>
    </w:p>
    <w:p w14:paraId="2F3BB99E" w14:textId="5020AB9B" w:rsidR="00A97CB7" w:rsidRPr="00A97CB7" w:rsidRDefault="00A97CB7" w:rsidP="00B33970">
      <w:pPr>
        <w:pStyle w:val="SingleTxtGA"/>
        <w:tabs>
          <w:tab w:val="clear" w:pos="1928"/>
          <w:tab w:val="clear" w:pos="2608"/>
          <w:tab w:val="clear" w:pos="3289"/>
          <w:tab w:val="clear" w:pos="3969"/>
          <w:tab w:val="clear" w:pos="4649"/>
          <w:tab w:val="clear" w:pos="5330"/>
        </w:tabs>
        <w:spacing w:line="340" w:lineRule="exact"/>
        <w:ind w:left="4375" w:hanging="2447"/>
      </w:pPr>
      <w:r w:rsidRPr="001F7700">
        <w:rPr>
          <w:i/>
          <w:iCs/>
          <w:rtl/>
        </w:rPr>
        <w:t>الوثائق المرجعية:</w:t>
      </w:r>
      <w:r>
        <w:rPr>
          <w:rtl/>
        </w:rPr>
        <w:tab/>
      </w:r>
      <w:r w:rsidRPr="00A97CB7">
        <w:rPr>
          <w:rtl/>
        </w:rPr>
        <w:t xml:space="preserve">القرار المتخذ عملاً بالمادة </w:t>
      </w:r>
      <w:r w:rsidRPr="001F7700">
        <w:rPr>
          <w:rtl/>
        </w:rPr>
        <w:t>91</w:t>
      </w:r>
      <w:r w:rsidRPr="00A97CB7">
        <w:rPr>
          <w:rtl/>
        </w:rPr>
        <w:t xml:space="preserve"> من النظام الداخلي للجنة، والمحال إلى الدولة الطرف في </w:t>
      </w:r>
      <w:r w:rsidRPr="001F7700">
        <w:rPr>
          <w:rtl/>
        </w:rPr>
        <w:t>23</w:t>
      </w:r>
      <w:r w:rsidRPr="00A97CB7">
        <w:rPr>
          <w:rtl/>
        </w:rPr>
        <w:t xml:space="preserve"> تشرين الثاني/نوفمبر </w:t>
      </w:r>
      <w:r w:rsidRPr="001F7700">
        <w:rPr>
          <w:rtl/>
        </w:rPr>
        <w:t>2016</w:t>
      </w:r>
      <w:r w:rsidRPr="00A97CB7">
        <w:rPr>
          <w:rtl/>
        </w:rPr>
        <w:t xml:space="preserve"> (لم يصدر في شكل وثيقة)</w:t>
      </w:r>
    </w:p>
    <w:p w14:paraId="214CB246" w14:textId="43A519B2" w:rsidR="00A97CB7" w:rsidRPr="00B33970" w:rsidRDefault="00A97CB7" w:rsidP="00B33970">
      <w:pPr>
        <w:pStyle w:val="SingleTxtGA"/>
        <w:tabs>
          <w:tab w:val="clear" w:pos="1928"/>
          <w:tab w:val="clear" w:pos="2608"/>
          <w:tab w:val="clear" w:pos="3289"/>
          <w:tab w:val="clear" w:pos="3969"/>
          <w:tab w:val="clear" w:pos="4649"/>
          <w:tab w:val="clear" w:pos="5330"/>
        </w:tabs>
        <w:spacing w:line="340" w:lineRule="exact"/>
        <w:ind w:left="4375" w:hanging="2447"/>
        <w:rPr>
          <w:spacing w:val="-4"/>
        </w:rPr>
      </w:pPr>
      <w:r w:rsidRPr="00B33970">
        <w:rPr>
          <w:i/>
          <w:iCs/>
          <w:spacing w:val="-4"/>
          <w:rtl/>
        </w:rPr>
        <w:t>الموضوع:</w:t>
      </w:r>
      <w:r w:rsidRPr="00B33970">
        <w:rPr>
          <w:spacing w:val="-4"/>
          <w:rtl/>
        </w:rPr>
        <w:tab/>
        <w:t>التمييز العنصري في الحصول على عمل؛ وعدم التعويض</w:t>
      </w:r>
    </w:p>
    <w:p w14:paraId="165FF309" w14:textId="1EA70521" w:rsidR="00A97CB7" w:rsidRPr="00B33970" w:rsidRDefault="00A97CB7" w:rsidP="00B33970">
      <w:pPr>
        <w:pStyle w:val="SingleTxtGA"/>
        <w:tabs>
          <w:tab w:val="clear" w:pos="1928"/>
          <w:tab w:val="clear" w:pos="2608"/>
          <w:tab w:val="clear" w:pos="3289"/>
          <w:tab w:val="clear" w:pos="3969"/>
          <w:tab w:val="clear" w:pos="4649"/>
          <w:tab w:val="clear" w:pos="5330"/>
        </w:tabs>
        <w:spacing w:line="340" w:lineRule="exact"/>
        <w:ind w:left="4375" w:hanging="2447"/>
        <w:rPr>
          <w:spacing w:val="-4"/>
        </w:rPr>
      </w:pPr>
      <w:r w:rsidRPr="00B33970">
        <w:rPr>
          <w:i/>
          <w:iCs/>
          <w:spacing w:val="-4"/>
          <w:rtl/>
        </w:rPr>
        <w:t>المسائل الإجرائية:</w:t>
      </w:r>
      <w:r w:rsidRPr="00B33970">
        <w:rPr>
          <w:spacing w:val="-4"/>
          <w:rtl/>
        </w:rPr>
        <w:tab/>
        <w:t>الاختصاص الزمني للجنة؛ واستنفاد سبل الانتصاف المحلية</w:t>
      </w:r>
    </w:p>
    <w:p w14:paraId="79FB5E4F" w14:textId="3E79284E" w:rsidR="00A97CB7" w:rsidRPr="00A97CB7" w:rsidRDefault="00A97CB7" w:rsidP="00B33970">
      <w:pPr>
        <w:pStyle w:val="SingleTxtGA"/>
        <w:tabs>
          <w:tab w:val="clear" w:pos="1928"/>
          <w:tab w:val="clear" w:pos="2608"/>
          <w:tab w:val="clear" w:pos="3289"/>
          <w:tab w:val="clear" w:pos="3969"/>
          <w:tab w:val="clear" w:pos="4649"/>
          <w:tab w:val="clear" w:pos="5330"/>
        </w:tabs>
        <w:spacing w:line="340" w:lineRule="exact"/>
        <w:ind w:left="4375" w:hanging="2447"/>
      </w:pPr>
      <w:r w:rsidRPr="001F7700">
        <w:rPr>
          <w:i/>
          <w:iCs/>
          <w:rtl/>
        </w:rPr>
        <w:t>المسائل الموضوعية:</w:t>
      </w:r>
      <w:r>
        <w:rPr>
          <w:rtl/>
        </w:rPr>
        <w:tab/>
      </w:r>
      <w:r w:rsidRPr="00A97CB7">
        <w:rPr>
          <w:rtl/>
        </w:rPr>
        <w:t>التمييز على أساس الأصل القومي أو الإثني</w:t>
      </w:r>
    </w:p>
    <w:p w14:paraId="3B5DE5D3" w14:textId="41CC0164" w:rsidR="00A97CB7" w:rsidRPr="00A97CB7" w:rsidRDefault="00A97CB7" w:rsidP="00B33970">
      <w:pPr>
        <w:pStyle w:val="SingleTxtGA"/>
        <w:tabs>
          <w:tab w:val="clear" w:pos="1928"/>
          <w:tab w:val="clear" w:pos="2608"/>
          <w:tab w:val="clear" w:pos="3289"/>
          <w:tab w:val="clear" w:pos="3969"/>
          <w:tab w:val="clear" w:pos="4649"/>
          <w:tab w:val="clear" w:pos="5330"/>
        </w:tabs>
        <w:spacing w:line="340" w:lineRule="exact"/>
        <w:ind w:left="4375" w:hanging="2447"/>
      </w:pPr>
      <w:r w:rsidRPr="001F7700">
        <w:rPr>
          <w:i/>
          <w:iCs/>
          <w:rtl/>
        </w:rPr>
        <w:t>مواد الاتفاقية:</w:t>
      </w:r>
      <w:r>
        <w:rPr>
          <w:rtl/>
        </w:rPr>
        <w:tab/>
      </w:r>
      <w:r w:rsidRPr="001F7700">
        <w:rPr>
          <w:rtl/>
        </w:rPr>
        <w:t>1</w:t>
      </w:r>
      <w:r w:rsidRPr="00A97CB7">
        <w:rPr>
          <w:rtl/>
        </w:rPr>
        <w:t>(</w:t>
      </w:r>
      <w:r w:rsidRPr="001F7700">
        <w:rPr>
          <w:rtl/>
        </w:rPr>
        <w:t>1</w:t>
      </w:r>
      <w:r w:rsidRPr="00A97CB7">
        <w:rPr>
          <w:rtl/>
        </w:rPr>
        <w:t>)، و</w:t>
      </w:r>
      <w:r w:rsidRPr="001F7700">
        <w:rPr>
          <w:rtl/>
        </w:rPr>
        <w:t>2</w:t>
      </w:r>
      <w:r w:rsidRPr="00A97CB7">
        <w:rPr>
          <w:rtl/>
        </w:rPr>
        <w:t>(</w:t>
      </w:r>
      <w:r w:rsidRPr="001F7700">
        <w:rPr>
          <w:rtl/>
        </w:rPr>
        <w:t>1</w:t>
      </w:r>
      <w:r w:rsidRPr="00A97CB7">
        <w:rPr>
          <w:rtl/>
        </w:rPr>
        <w:t>)</w:t>
      </w:r>
      <w:r w:rsidR="00B5203C">
        <w:rPr>
          <w:rtl/>
        </w:rPr>
        <w:t>(</w:t>
      </w:r>
      <w:r w:rsidRPr="00A97CB7">
        <w:rPr>
          <w:rtl/>
        </w:rPr>
        <w:t>د)، و</w:t>
      </w:r>
      <w:r w:rsidRPr="001F7700">
        <w:rPr>
          <w:rtl/>
        </w:rPr>
        <w:t>5</w:t>
      </w:r>
      <w:r w:rsidRPr="00A97CB7">
        <w:rPr>
          <w:rtl/>
        </w:rPr>
        <w:t>(ه)’</w:t>
      </w:r>
      <w:r w:rsidRPr="001F7700">
        <w:rPr>
          <w:rtl/>
        </w:rPr>
        <w:t>1</w:t>
      </w:r>
      <w:r w:rsidRPr="00A97CB7">
        <w:rPr>
          <w:rtl/>
        </w:rPr>
        <w:t>‘، و</w:t>
      </w:r>
      <w:r w:rsidRPr="001F7700">
        <w:rPr>
          <w:rtl/>
        </w:rPr>
        <w:t>6</w:t>
      </w:r>
      <w:r w:rsidRPr="00A97CB7">
        <w:rPr>
          <w:rtl/>
        </w:rPr>
        <w:t>، و</w:t>
      </w:r>
      <w:r w:rsidRPr="001F7700">
        <w:rPr>
          <w:rtl/>
        </w:rPr>
        <w:t>7</w:t>
      </w:r>
    </w:p>
    <w:p w14:paraId="1C46A380" w14:textId="7972ECA5" w:rsidR="00A97CB7" w:rsidRPr="00A97CB7" w:rsidRDefault="00A97CB7" w:rsidP="00B33970">
      <w:pPr>
        <w:pStyle w:val="SingleTxtGA"/>
        <w:spacing w:before="240" w:line="340" w:lineRule="exact"/>
        <w:rPr>
          <w:lang w:val="en-US" w:eastAsia="zh-TW" w:bidi="en-GB"/>
        </w:rPr>
      </w:pPr>
      <w:r w:rsidRPr="001F7700">
        <w:rPr>
          <w:rtl/>
        </w:rPr>
        <w:t>1</w:t>
      </w:r>
      <w:r w:rsidRPr="00A97CB7">
        <w:rPr>
          <w:rtl/>
        </w:rPr>
        <w:t>-</w:t>
      </w:r>
      <w:r w:rsidRPr="00A97CB7">
        <w:rPr>
          <w:rtl/>
        </w:rPr>
        <w:tab/>
        <w:t xml:space="preserve">صاحب البلاغ هو غريغوري </w:t>
      </w:r>
      <w:proofErr w:type="spellStart"/>
      <w:r w:rsidRPr="00A97CB7">
        <w:rPr>
          <w:rtl/>
        </w:rPr>
        <w:t>زابيسكو</w:t>
      </w:r>
      <w:proofErr w:type="spellEnd"/>
      <w:r w:rsidRPr="00A97CB7">
        <w:rPr>
          <w:rtl/>
        </w:rPr>
        <w:t xml:space="preserve">، وهو مواطن </w:t>
      </w:r>
      <w:proofErr w:type="spellStart"/>
      <w:r w:rsidRPr="00A97CB7">
        <w:rPr>
          <w:rtl/>
        </w:rPr>
        <w:t>مولدوفي</w:t>
      </w:r>
      <w:proofErr w:type="spellEnd"/>
      <w:r w:rsidRPr="00A97CB7">
        <w:rPr>
          <w:rtl/>
        </w:rPr>
        <w:t xml:space="preserve">، ينتمي إثنياً إلى جماعة الروما، وُلد في عام </w:t>
      </w:r>
      <w:r w:rsidRPr="001F7700">
        <w:rPr>
          <w:rtl/>
        </w:rPr>
        <w:t>1992</w:t>
      </w:r>
      <w:r w:rsidRPr="00A97CB7">
        <w:rPr>
          <w:rtl/>
        </w:rPr>
        <w:t xml:space="preserve">. ويدّعي أنه ضحية انتهاك الدولة الطرف المواد </w:t>
      </w:r>
      <w:r w:rsidRPr="001F7700">
        <w:rPr>
          <w:rtl/>
        </w:rPr>
        <w:t>1</w:t>
      </w:r>
      <w:r w:rsidRPr="00A97CB7">
        <w:rPr>
          <w:rtl/>
        </w:rPr>
        <w:t>(</w:t>
      </w:r>
      <w:r w:rsidRPr="001F7700">
        <w:rPr>
          <w:rtl/>
        </w:rPr>
        <w:t>1</w:t>
      </w:r>
      <w:r w:rsidRPr="00A97CB7">
        <w:rPr>
          <w:rtl/>
        </w:rPr>
        <w:t>)، و</w:t>
      </w:r>
      <w:r w:rsidRPr="001F7700">
        <w:rPr>
          <w:rtl/>
        </w:rPr>
        <w:t>5</w:t>
      </w:r>
      <w:r w:rsidRPr="00A97CB7">
        <w:rPr>
          <w:rtl/>
        </w:rPr>
        <w:t>(ه)’</w:t>
      </w:r>
      <w:r w:rsidRPr="001F7700">
        <w:rPr>
          <w:rtl/>
        </w:rPr>
        <w:t>1</w:t>
      </w:r>
      <w:r w:rsidRPr="00A97CB7">
        <w:rPr>
          <w:rtl/>
        </w:rPr>
        <w:t>‘، و</w:t>
      </w:r>
      <w:r w:rsidRPr="001F7700">
        <w:rPr>
          <w:rtl/>
        </w:rPr>
        <w:t>6</w:t>
      </w:r>
      <w:r w:rsidRPr="00A97CB7">
        <w:rPr>
          <w:rtl/>
        </w:rPr>
        <w:t>، و</w:t>
      </w:r>
      <w:r w:rsidRPr="001F7700">
        <w:rPr>
          <w:rtl/>
        </w:rPr>
        <w:t>7</w:t>
      </w:r>
      <w:r w:rsidRPr="00A97CB7">
        <w:rPr>
          <w:rtl/>
        </w:rPr>
        <w:t xml:space="preserve"> مقروءة بالاقتران مع المادة </w:t>
      </w:r>
      <w:r w:rsidRPr="001F7700">
        <w:rPr>
          <w:rtl/>
        </w:rPr>
        <w:t>2</w:t>
      </w:r>
      <w:r w:rsidRPr="00A97CB7">
        <w:rPr>
          <w:rtl/>
        </w:rPr>
        <w:t>(</w:t>
      </w:r>
      <w:r w:rsidRPr="001F7700">
        <w:rPr>
          <w:rtl/>
        </w:rPr>
        <w:t>1</w:t>
      </w:r>
      <w:r w:rsidRPr="00A97CB7">
        <w:rPr>
          <w:rtl/>
        </w:rPr>
        <w:t>)</w:t>
      </w:r>
      <w:r w:rsidR="00B5203C">
        <w:rPr>
          <w:rtl/>
        </w:rPr>
        <w:t>(</w:t>
      </w:r>
      <w:r w:rsidRPr="00A97CB7">
        <w:rPr>
          <w:rtl/>
        </w:rPr>
        <w:t>د) من الاتفاقية الدولية للقضاء على جميع أشكال التمييز العنصري</w:t>
      </w:r>
      <w:r>
        <w:rPr>
          <w:rStyle w:val="FootnoteReference"/>
          <w:rFonts w:eastAsiaTheme="minorEastAsia"/>
          <w:rtl/>
        </w:rPr>
        <w:t>(</w:t>
      </w:r>
      <w:r w:rsidRPr="001F7700">
        <w:rPr>
          <w:rStyle w:val="FootnoteReference"/>
          <w:rFonts w:eastAsiaTheme="minorEastAsia"/>
          <w:lang w:val="en-US"/>
        </w:rPr>
        <w:footnoteReference w:id="3"/>
      </w:r>
      <w:r>
        <w:rPr>
          <w:rStyle w:val="FootnoteReference"/>
          <w:rFonts w:eastAsiaTheme="minorEastAsia"/>
          <w:rtl/>
        </w:rPr>
        <w:t>)</w:t>
      </w:r>
      <w:r w:rsidRPr="00A97CB7">
        <w:rPr>
          <w:rtl/>
        </w:rPr>
        <w:t>. ويمثّل صاحبَ البلاغ محامٍ.</w:t>
      </w:r>
    </w:p>
    <w:p w14:paraId="5CFB22CA" w14:textId="77777777" w:rsidR="00A97CB7" w:rsidRPr="001F7700" w:rsidRDefault="00A97CB7" w:rsidP="00A97CB7">
      <w:pPr>
        <w:pStyle w:val="H23GA"/>
        <w:rPr>
          <w:lang w:val="ar-SA" w:eastAsia="zh-TW" w:bidi="en-GB"/>
        </w:rPr>
      </w:pPr>
      <w:r w:rsidRPr="001F7700">
        <w:rPr>
          <w:rtl/>
        </w:rPr>
        <w:lastRenderedPageBreak/>
        <w:tab/>
      </w:r>
      <w:r w:rsidRPr="001F7700">
        <w:rPr>
          <w:rtl/>
        </w:rPr>
        <w:tab/>
        <w:t>الوقائع كما عرضها صاحب البلاغ</w:t>
      </w:r>
    </w:p>
    <w:p w14:paraId="29728F8D" w14:textId="6B5E5797" w:rsidR="00A97CB7" w:rsidRPr="00B33970" w:rsidRDefault="00A97CB7" w:rsidP="00A97CB7">
      <w:pPr>
        <w:pStyle w:val="SingleTxtGA"/>
        <w:rPr>
          <w:spacing w:val="-2"/>
          <w:lang w:val="en-US" w:eastAsia="zh-TW" w:bidi="en-GB"/>
        </w:rPr>
      </w:pPr>
      <w:r w:rsidRPr="001F7700">
        <w:rPr>
          <w:rtl/>
        </w:rPr>
        <w:t>2</w:t>
      </w:r>
      <w:r w:rsidRPr="00A97CB7">
        <w:rPr>
          <w:rtl/>
        </w:rPr>
        <w:t>-</w:t>
      </w:r>
      <w:r w:rsidRPr="001F7700">
        <w:rPr>
          <w:rtl/>
        </w:rPr>
        <w:t>1</w:t>
      </w:r>
      <w:r w:rsidRPr="00A97CB7">
        <w:rPr>
          <w:rtl/>
        </w:rPr>
        <w:tab/>
        <w:t xml:space="preserve">في تشرين الثاني/نوفمبر </w:t>
      </w:r>
      <w:r w:rsidRPr="001F7700">
        <w:rPr>
          <w:rtl/>
        </w:rPr>
        <w:t>2012</w:t>
      </w:r>
      <w:r w:rsidRPr="00A97CB7">
        <w:rPr>
          <w:rtl/>
        </w:rPr>
        <w:t>، قدم صاحب البلاغ وصديقه ب. ف.، عندما كانا طالبين في شعبة القانون، طلباً لشغل وظيفة نادل أعلنت عنها سلسلة مطاعم تُسمى أنديز بيتزا (</w:t>
      </w:r>
      <w:r w:rsidRPr="00A97CB7">
        <w:t>Andy’s Pizza</w:t>
      </w:r>
      <w:r w:rsidRPr="00A97CB7">
        <w:rPr>
          <w:rtl/>
        </w:rPr>
        <w:t xml:space="preserve">). وفي </w:t>
      </w:r>
      <w:r w:rsidRPr="001F7700">
        <w:rPr>
          <w:rtl/>
        </w:rPr>
        <w:t>29</w:t>
      </w:r>
      <w:r w:rsidRPr="00A97CB7">
        <w:rPr>
          <w:rtl/>
        </w:rPr>
        <w:t xml:space="preserve"> تشرين الثاني/نوفمبر </w:t>
      </w:r>
      <w:r w:rsidRPr="001F7700">
        <w:rPr>
          <w:rtl/>
        </w:rPr>
        <w:t>2012</w:t>
      </w:r>
      <w:r w:rsidRPr="00A97CB7">
        <w:rPr>
          <w:rtl/>
        </w:rPr>
        <w:t xml:space="preserve">، أُجريت مقابلة مع صاحب البلاغ وصديقه لشغل هذه الوظيفة، وطُلب إليهما ملء </w:t>
      </w:r>
      <w:proofErr w:type="gramStart"/>
      <w:r w:rsidRPr="00A97CB7">
        <w:rPr>
          <w:rtl/>
        </w:rPr>
        <w:t>استبيان</w:t>
      </w:r>
      <w:proofErr w:type="gramEnd"/>
      <w:r w:rsidRPr="00A97CB7">
        <w:rPr>
          <w:rtl/>
        </w:rPr>
        <w:t xml:space="preserve"> أشار فيه صاحب البلاغ إلى أنه يتكلم لغة الروما إلى جانب لغات أخرى. وأكَّد خلال المقابلة، حسبما زُعم، أنه ينحدر في الأصل من جماعة الروما. واستغرقت المقابلة حوالي </w:t>
      </w:r>
      <w:r w:rsidRPr="001F7700">
        <w:rPr>
          <w:rtl/>
        </w:rPr>
        <w:t>15</w:t>
      </w:r>
      <w:r w:rsidRPr="00A97CB7">
        <w:rPr>
          <w:rtl/>
        </w:rPr>
        <w:t xml:space="preserve"> </w:t>
      </w:r>
      <w:r w:rsidRPr="00B33970">
        <w:rPr>
          <w:spacing w:val="-2"/>
          <w:rtl/>
        </w:rPr>
        <w:t>دقيقة، أُبلغ صاحب البلاغ بعدها أنه سيُخطر بنتيجة عملية الانتقاء في حدود نهاية ذلك الأسبوع، ولكنه لم يتلق أبداً أي اتصال آخر. وفي اليوم ذاته، أجريت مقابلة أيضاً مع ب. ف. مباشرة بعد صاحب البلاغ. وفي نهاية تلك المقابلة، أُبلغ بقبول طلبه ودعي للمشاركة في دورة تدريبية</w:t>
      </w:r>
      <w:r w:rsidRPr="00B33970">
        <w:rPr>
          <w:rStyle w:val="FootnoteReference"/>
          <w:rFonts w:eastAsiaTheme="minorEastAsia"/>
          <w:spacing w:val="-2"/>
          <w:rtl/>
        </w:rPr>
        <w:t>(</w:t>
      </w:r>
      <w:r w:rsidRPr="00B33970">
        <w:rPr>
          <w:rStyle w:val="FootnoteReference"/>
          <w:rFonts w:eastAsiaTheme="minorEastAsia"/>
          <w:spacing w:val="-2"/>
          <w:lang w:val="en-US"/>
        </w:rPr>
        <w:footnoteReference w:id="4"/>
      </w:r>
      <w:r w:rsidRPr="00B33970">
        <w:rPr>
          <w:rStyle w:val="FootnoteReference"/>
          <w:rFonts w:eastAsiaTheme="minorEastAsia"/>
          <w:spacing w:val="-2"/>
          <w:rtl/>
        </w:rPr>
        <w:t>)</w:t>
      </w:r>
      <w:r w:rsidRPr="00B33970">
        <w:rPr>
          <w:spacing w:val="-2"/>
          <w:rtl/>
        </w:rPr>
        <w:t>. وفي نهاية المطاف، قرر ب. ف. عدم قبول عرض العمل بسبب المعاملة التمييزية التي تعرض لها صديقه.</w:t>
      </w:r>
    </w:p>
    <w:p w14:paraId="2AF9EAD7" w14:textId="77777777" w:rsidR="00A97CB7" w:rsidRPr="00A97CB7" w:rsidRDefault="00A97CB7" w:rsidP="00A97CB7">
      <w:pPr>
        <w:pStyle w:val="SingleTxtGA"/>
        <w:rPr>
          <w:lang w:val="ar-SA" w:eastAsia="zh-TW" w:bidi="en-GB"/>
        </w:rPr>
      </w:pPr>
      <w:r w:rsidRPr="001F7700">
        <w:rPr>
          <w:rtl/>
        </w:rPr>
        <w:t>2</w:t>
      </w:r>
      <w:r w:rsidRPr="00A97CB7">
        <w:rPr>
          <w:rtl/>
        </w:rPr>
        <w:t>-</w:t>
      </w:r>
      <w:r w:rsidRPr="001F7700">
        <w:rPr>
          <w:rtl/>
        </w:rPr>
        <w:t>2</w:t>
      </w:r>
      <w:r w:rsidRPr="00A97CB7">
        <w:rPr>
          <w:rtl/>
        </w:rPr>
        <w:tab/>
        <w:t xml:space="preserve">وفي </w:t>
      </w:r>
      <w:r w:rsidRPr="001F7700">
        <w:rPr>
          <w:rtl/>
        </w:rPr>
        <w:t>24</w:t>
      </w:r>
      <w:r w:rsidRPr="00A97CB7">
        <w:rPr>
          <w:rtl/>
        </w:rPr>
        <w:t xml:space="preserve"> كانون الثاني/يناير </w:t>
      </w:r>
      <w:r w:rsidRPr="001F7700">
        <w:rPr>
          <w:rtl/>
        </w:rPr>
        <w:t>2013</w:t>
      </w:r>
      <w:r w:rsidRPr="00A97CB7">
        <w:rPr>
          <w:rtl/>
        </w:rPr>
        <w:t xml:space="preserve">، باشر صاحب البلاغ إجراءات مدنية استناداً إلى قانون المساواة وقانون العمل حيث طلب إلى المحكمة أن تتحقق من أنه تعرض للتمييز بسبب انتمائه إثنياً إلى جماعة الروما وأن حقه في العمل انتُهك أيضاً. وطلب صاحب البلاغ إلى المحكمة الحكم بمنحه تعويضات عن انتهاك حقوقه. وفي </w:t>
      </w:r>
      <w:r w:rsidRPr="001F7700">
        <w:rPr>
          <w:rtl/>
        </w:rPr>
        <w:t>27</w:t>
      </w:r>
      <w:r w:rsidRPr="00A97CB7">
        <w:rPr>
          <w:rtl/>
        </w:rPr>
        <w:t xml:space="preserve"> حزيران/</w:t>
      </w:r>
      <w:proofErr w:type="gramStart"/>
      <w:r w:rsidRPr="00A97CB7">
        <w:rPr>
          <w:rtl/>
        </w:rPr>
        <w:t>يونيه</w:t>
      </w:r>
      <w:proofErr w:type="gramEnd"/>
      <w:r w:rsidRPr="00A97CB7">
        <w:rPr>
          <w:rtl/>
        </w:rPr>
        <w:t xml:space="preserve"> </w:t>
      </w:r>
      <w:r w:rsidRPr="001F7700">
        <w:rPr>
          <w:rtl/>
        </w:rPr>
        <w:t>2014</w:t>
      </w:r>
      <w:r w:rsidRPr="00A97CB7">
        <w:rPr>
          <w:rtl/>
        </w:rPr>
        <w:t xml:space="preserve">، رفضت محكمة </w:t>
      </w:r>
      <w:proofErr w:type="spellStart"/>
      <w:r w:rsidRPr="00A97CB7">
        <w:rPr>
          <w:rtl/>
        </w:rPr>
        <w:t>سينترو</w:t>
      </w:r>
      <w:proofErr w:type="spellEnd"/>
      <w:r w:rsidRPr="00A97CB7">
        <w:rPr>
          <w:rtl/>
        </w:rPr>
        <w:t xml:space="preserve"> المحلية في تشيسيناو دعوى صاحب البلاغ لعدم كفاية الأدلة. وفي </w:t>
      </w:r>
      <w:r w:rsidRPr="001F7700">
        <w:rPr>
          <w:rtl/>
        </w:rPr>
        <w:t>22</w:t>
      </w:r>
      <w:r w:rsidRPr="00A97CB7">
        <w:rPr>
          <w:rtl/>
        </w:rPr>
        <w:t xml:space="preserve"> كانون الثاني/يناير </w:t>
      </w:r>
      <w:r w:rsidRPr="001F7700">
        <w:rPr>
          <w:rtl/>
        </w:rPr>
        <w:t>2015</w:t>
      </w:r>
      <w:r w:rsidRPr="00A97CB7">
        <w:rPr>
          <w:rtl/>
        </w:rPr>
        <w:t xml:space="preserve">، وتماشياً مع موقف المحكمة الأدنى درجة، أيدت محكمة الاستئناف في تشيسيناو قرار المحكمة الابتدائية. وفي </w:t>
      </w:r>
      <w:r w:rsidRPr="001F7700">
        <w:rPr>
          <w:rtl/>
        </w:rPr>
        <w:t>16</w:t>
      </w:r>
      <w:r w:rsidRPr="00A97CB7">
        <w:rPr>
          <w:rtl/>
        </w:rPr>
        <w:t xml:space="preserve"> أيلول/سبتمبر </w:t>
      </w:r>
      <w:r w:rsidRPr="001F7700">
        <w:rPr>
          <w:rtl/>
        </w:rPr>
        <w:t>2015</w:t>
      </w:r>
      <w:r w:rsidRPr="00A97CB7">
        <w:rPr>
          <w:rtl/>
        </w:rPr>
        <w:t xml:space="preserve">، رفضت المحكمة العليا طلب الاستئناف الذي قدمه صاحب البلاغ. وأُبلغ بذلك القرار في </w:t>
      </w:r>
      <w:r w:rsidRPr="001F7700">
        <w:rPr>
          <w:rtl/>
        </w:rPr>
        <w:t>22</w:t>
      </w:r>
      <w:r w:rsidRPr="00A97CB7">
        <w:rPr>
          <w:rtl/>
        </w:rPr>
        <w:t xml:space="preserve"> كانون الثاني/يناير </w:t>
      </w:r>
      <w:r w:rsidRPr="001F7700">
        <w:rPr>
          <w:rtl/>
        </w:rPr>
        <w:t>2016</w:t>
      </w:r>
      <w:r w:rsidRPr="00A97CB7">
        <w:rPr>
          <w:rtl/>
        </w:rPr>
        <w:t>.</w:t>
      </w:r>
    </w:p>
    <w:p w14:paraId="50B3130B" w14:textId="77777777" w:rsidR="00A97CB7" w:rsidRPr="00E625C0" w:rsidRDefault="00A97CB7" w:rsidP="00A97CB7">
      <w:pPr>
        <w:pStyle w:val="H23GA"/>
        <w:rPr>
          <w:lang w:val="en-US" w:eastAsia="zh-TW" w:bidi="en-GB"/>
        </w:rPr>
      </w:pPr>
      <w:r w:rsidRPr="001F7700">
        <w:rPr>
          <w:rtl/>
        </w:rPr>
        <w:tab/>
      </w:r>
      <w:r w:rsidRPr="001F7700">
        <w:rPr>
          <w:rtl/>
        </w:rPr>
        <w:tab/>
        <w:t>الشكوى</w:t>
      </w:r>
    </w:p>
    <w:p w14:paraId="00EE7E24" w14:textId="3366E9D6" w:rsidR="00A97CB7" w:rsidRPr="00A97CB7" w:rsidRDefault="00A97CB7" w:rsidP="00A97CB7">
      <w:pPr>
        <w:pStyle w:val="SingleTxtGA"/>
        <w:rPr>
          <w:lang w:val="en-US" w:eastAsia="zh-TW" w:bidi="en-GB"/>
        </w:rPr>
      </w:pPr>
      <w:r w:rsidRPr="001F7700">
        <w:rPr>
          <w:rtl/>
        </w:rPr>
        <w:t>3</w:t>
      </w:r>
      <w:r w:rsidRPr="00A97CB7">
        <w:rPr>
          <w:rtl/>
        </w:rPr>
        <w:t>-</w:t>
      </w:r>
      <w:r w:rsidRPr="001F7700">
        <w:rPr>
          <w:rtl/>
        </w:rPr>
        <w:t>1</w:t>
      </w:r>
      <w:r w:rsidRPr="00A97CB7">
        <w:rPr>
          <w:rtl/>
        </w:rPr>
        <w:tab/>
        <w:t xml:space="preserve">يدعي صاحب البلاغ أنه ضحية انتهاك جمهورية مولدوفا أحكام المواد </w:t>
      </w:r>
      <w:r w:rsidRPr="001F7700">
        <w:rPr>
          <w:rtl/>
        </w:rPr>
        <w:t>1</w:t>
      </w:r>
      <w:r w:rsidRPr="00A97CB7">
        <w:rPr>
          <w:rtl/>
        </w:rPr>
        <w:t>(</w:t>
      </w:r>
      <w:r w:rsidRPr="001F7700">
        <w:rPr>
          <w:rtl/>
        </w:rPr>
        <w:t>1</w:t>
      </w:r>
      <w:r w:rsidRPr="00A97CB7">
        <w:rPr>
          <w:rtl/>
        </w:rPr>
        <w:t>)، و</w:t>
      </w:r>
      <w:r w:rsidRPr="001F7700">
        <w:rPr>
          <w:rtl/>
        </w:rPr>
        <w:t>5</w:t>
      </w:r>
      <w:r w:rsidRPr="00A97CB7">
        <w:rPr>
          <w:rtl/>
        </w:rPr>
        <w:t>(ه)’</w:t>
      </w:r>
      <w:r w:rsidRPr="001F7700">
        <w:rPr>
          <w:rtl/>
        </w:rPr>
        <w:t>1</w:t>
      </w:r>
      <w:r w:rsidRPr="00A97CB7">
        <w:rPr>
          <w:rtl/>
        </w:rPr>
        <w:t>‘، و</w:t>
      </w:r>
      <w:r w:rsidRPr="001F7700">
        <w:rPr>
          <w:rtl/>
        </w:rPr>
        <w:t>6</w:t>
      </w:r>
      <w:r w:rsidRPr="00A97CB7">
        <w:rPr>
          <w:rtl/>
        </w:rPr>
        <w:t>، و</w:t>
      </w:r>
      <w:r w:rsidRPr="001F7700">
        <w:rPr>
          <w:rtl/>
        </w:rPr>
        <w:t>7</w:t>
      </w:r>
      <w:r w:rsidRPr="00A97CB7">
        <w:rPr>
          <w:rtl/>
        </w:rPr>
        <w:t xml:space="preserve"> مقروءة بالاقتران مع المادة </w:t>
      </w:r>
      <w:r w:rsidRPr="001F7700">
        <w:rPr>
          <w:rtl/>
        </w:rPr>
        <w:t>2</w:t>
      </w:r>
      <w:r w:rsidRPr="00A97CB7">
        <w:rPr>
          <w:rtl/>
        </w:rPr>
        <w:t>(</w:t>
      </w:r>
      <w:r w:rsidRPr="001F7700">
        <w:rPr>
          <w:rtl/>
        </w:rPr>
        <w:t>1</w:t>
      </w:r>
      <w:r w:rsidRPr="00A97CB7">
        <w:rPr>
          <w:rtl/>
        </w:rPr>
        <w:t>)</w:t>
      </w:r>
      <w:r w:rsidR="00B5203C">
        <w:rPr>
          <w:rtl/>
        </w:rPr>
        <w:t>(</w:t>
      </w:r>
      <w:r w:rsidRPr="00A97CB7">
        <w:rPr>
          <w:rtl/>
        </w:rPr>
        <w:t xml:space="preserve">د) من الاتفاقية. ويدعي، استناداً إلى المادة </w:t>
      </w:r>
      <w:r w:rsidRPr="001F7700">
        <w:rPr>
          <w:rtl/>
        </w:rPr>
        <w:t>1</w:t>
      </w:r>
      <w:r w:rsidRPr="00A97CB7">
        <w:rPr>
          <w:rtl/>
        </w:rPr>
        <w:t>(</w:t>
      </w:r>
      <w:r w:rsidRPr="001F7700">
        <w:rPr>
          <w:rtl/>
        </w:rPr>
        <w:t>1</w:t>
      </w:r>
      <w:r w:rsidRPr="00A97CB7">
        <w:rPr>
          <w:rtl/>
        </w:rPr>
        <w:t>) من الاتفاقية، أنه تعرَّض للتمييز العنصري. وفي هذا الصدد، يحاج بأنه وصديقَه ب. ف. طلبَا شغل الوظيفة ذاتها، وأُجريت معهما مقابلة لهذا الغرض في اليوم ذاته. ولأنهما يتشابهان في المظهر ويتكلمان اللغة نفسها ويتماثلان في الخبرة المهنية، فإن الفرق المرئي الوحيد بينهما الذي قد يُفسر رفض طلبه هو أصله</w:t>
      </w:r>
      <w:r>
        <w:rPr>
          <w:rFonts w:hint="cs"/>
          <w:rtl/>
        </w:rPr>
        <w:t> </w:t>
      </w:r>
      <w:r w:rsidRPr="00A97CB7">
        <w:rPr>
          <w:rtl/>
        </w:rPr>
        <w:t>الإثني.</w:t>
      </w:r>
    </w:p>
    <w:p w14:paraId="5869E931" w14:textId="6F979A55" w:rsidR="00A97CB7" w:rsidRPr="00B33970" w:rsidRDefault="00A97CB7" w:rsidP="00A97CB7">
      <w:pPr>
        <w:pStyle w:val="SingleTxtGA"/>
        <w:rPr>
          <w:spacing w:val="-4"/>
          <w:lang w:val="en-US" w:eastAsia="zh-TW" w:bidi="en-GB"/>
        </w:rPr>
      </w:pPr>
      <w:r w:rsidRPr="00B33970">
        <w:rPr>
          <w:spacing w:val="-4"/>
          <w:rtl/>
        </w:rPr>
        <w:t>3-2</w:t>
      </w:r>
      <w:r w:rsidRPr="00B33970">
        <w:rPr>
          <w:spacing w:val="-4"/>
          <w:rtl/>
        </w:rPr>
        <w:tab/>
        <w:t>ويفيد صاحب البلاغ، استناداً إلى المادة 7 مقروءة بالاقتران مع المادة (2)(1)</w:t>
      </w:r>
      <w:r w:rsidR="00B5203C" w:rsidRPr="00B33970">
        <w:rPr>
          <w:spacing w:val="-4"/>
          <w:rtl/>
        </w:rPr>
        <w:t>(</w:t>
      </w:r>
      <w:r w:rsidRPr="00B33970">
        <w:rPr>
          <w:spacing w:val="-4"/>
          <w:rtl/>
        </w:rPr>
        <w:t>د) من الاتفاقية، بأنه قد يبدو من قوانين مكافحة التمييز ذات الصلة المعتمدة على الصعيد الوطني، أن الدولة الطرف امتثلت لمقتضيات مواد الاتفاقية المشار إليها، وذلك على وجه الخصوص، لأن القوانين المحلية تحظر التمييز العنصري. وفي الوقت ذاته، يحاج بأنه، كما يتجلى في حالته وحالة كثيرين غيره، لم تُتَّخذ أي تدابير فعالة لتنفيذ القوانين والسياسات الوطنية السارية لكفالة عدم تعرض الروما للتمييز، ولا سيما في مجال العمل</w:t>
      </w:r>
      <w:r w:rsidRPr="00B33970">
        <w:rPr>
          <w:rStyle w:val="FootnoteReference"/>
          <w:rFonts w:eastAsiaTheme="minorEastAsia"/>
          <w:spacing w:val="-4"/>
          <w:rtl/>
        </w:rPr>
        <w:t>(</w:t>
      </w:r>
      <w:r w:rsidRPr="00B33970">
        <w:rPr>
          <w:rStyle w:val="FootnoteReference"/>
          <w:rFonts w:eastAsiaTheme="minorEastAsia"/>
          <w:spacing w:val="-4"/>
          <w:lang w:val="en-US"/>
        </w:rPr>
        <w:footnoteReference w:id="5"/>
      </w:r>
      <w:r w:rsidRPr="00B33970">
        <w:rPr>
          <w:rStyle w:val="FootnoteReference"/>
          <w:rFonts w:eastAsiaTheme="minorEastAsia"/>
          <w:spacing w:val="-4"/>
          <w:rtl/>
        </w:rPr>
        <w:t>)</w:t>
      </w:r>
      <w:r w:rsidRPr="00B33970">
        <w:rPr>
          <w:spacing w:val="-4"/>
          <w:rtl/>
        </w:rPr>
        <w:t>.</w:t>
      </w:r>
    </w:p>
    <w:p w14:paraId="7223ECE4" w14:textId="0E2596CE" w:rsidR="00A97CB7" w:rsidRPr="00A97CB7" w:rsidRDefault="00A97CB7" w:rsidP="00A97CB7">
      <w:pPr>
        <w:pStyle w:val="SingleTxtGA"/>
        <w:rPr>
          <w:lang w:val="en-US" w:eastAsia="zh-TW" w:bidi="en-GB"/>
        </w:rPr>
      </w:pPr>
      <w:r w:rsidRPr="001F7700">
        <w:rPr>
          <w:rtl/>
        </w:rPr>
        <w:t>3</w:t>
      </w:r>
      <w:r w:rsidRPr="00A97CB7">
        <w:rPr>
          <w:rtl/>
        </w:rPr>
        <w:t>-</w:t>
      </w:r>
      <w:r w:rsidRPr="001F7700">
        <w:rPr>
          <w:rtl/>
        </w:rPr>
        <w:t>3</w:t>
      </w:r>
      <w:r w:rsidRPr="00A97CB7">
        <w:rPr>
          <w:rtl/>
        </w:rPr>
        <w:tab/>
        <w:t xml:space="preserve">وفيما يتعلق بالانتهاك المزعوم للمادة </w:t>
      </w:r>
      <w:r w:rsidRPr="001F7700">
        <w:rPr>
          <w:rtl/>
        </w:rPr>
        <w:t>5</w:t>
      </w:r>
      <w:r w:rsidRPr="00A97CB7">
        <w:rPr>
          <w:rtl/>
        </w:rPr>
        <w:t>(ه)’</w:t>
      </w:r>
      <w:proofErr w:type="gramStart"/>
      <w:r w:rsidRPr="001F7700">
        <w:rPr>
          <w:rtl/>
        </w:rPr>
        <w:t>1</w:t>
      </w:r>
      <w:r w:rsidRPr="00A97CB7">
        <w:rPr>
          <w:rtl/>
        </w:rPr>
        <w:t>‘ من</w:t>
      </w:r>
      <w:proofErr w:type="gramEnd"/>
      <w:r w:rsidRPr="00A97CB7">
        <w:rPr>
          <w:rtl/>
        </w:rPr>
        <w:t xml:space="preserve"> الاتفاقية، يفيد صاحب البلاغ بأن الدولة الطرف لم تكفل التمتع بالحق في العمل من دون تمييز، وبأن السلطات المحلية، وإن عرَض ادعاءاته عليها، لم تعترف بانتهاك حقوقه ولم توفر له سبل الانتصاف إزاء الظلم الذي تعرض له.</w:t>
      </w:r>
    </w:p>
    <w:p w14:paraId="6743E84D" w14:textId="6301DAA8" w:rsidR="00A97CB7" w:rsidRPr="00A97CB7" w:rsidRDefault="00A97CB7" w:rsidP="00A97CB7">
      <w:pPr>
        <w:pStyle w:val="SingleTxtGA"/>
        <w:rPr>
          <w:lang w:val="ar-SA" w:eastAsia="zh-TW" w:bidi="en-GB"/>
        </w:rPr>
      </w:pPr>
      <w:r w:rsidRPr="001F7700">
        <w:rPr>
          <w:rtl/>
        </w:rPr>
        <w:lastRenderedPageBreak/>
        <w:t>3</w:t>
      </w:r>
      <w:r w:rsidRPr="00A97CB7">
        <w:rPr>
          <w:rtl/>
        </w:rPr>
        <w:t>-</w:t>
      </w:r>
      <w:r w:rsidRPr="001F7700">
        <w:rPr>
          <w:rtl/>
        </w:rPr>
        <w:t>4</w:t>
      </w:r>
      <w:r w:rsidRPr="00A97CB7">
        <w:rPr>
          <w:rtl/>
        </w:rPr>
        <w:tab/>
        <w:t xml:space="preserve">ويدعي صاحب البلاغ، استناداً إلى المادة </w:t>
      </w:r>
      <w:r w:rsidRPr="001F7700">
        <w:rPr>
          <w:rtl/>
        </w:rPr>
        <w:t>6</w:t>
      </w:r>
      <w:r w:rsidRPr="00A97CB7">
        <w:rPr>
          <w:rtl/>
        </w:rPr>
        <w:t xml:space="preserve"> من الاتفاقية، أنه كان على الدولة الطرف أن توفر له سبيل انتصاف فعالاً إزاء انتهاك حقوقه. وفي هذا الصدد، يحاج بأنه ينبغي للدولة الطرف، في حالات ادعاء التعرض للتمييز، أن تتصرف بشكل استباقي وتكافح الأفعال غير المشروعة المعنية لمنع وقوع حوادث مماثلة في المستقبل. ويؤكد صاحب البلاغ أنه حُرِم من حقه في محاكمة عادلة لدى تقييم شكواه، وذلك على وجه الخصوص، لأن المحاكم المحلية، وإن أقام دليلاً بيِّناً على تعرضه للتمييز، لم تنقل عبء الإثبات إلى الشركة المدعى عليها على نحو ما تقتضيه القوانين المحلية والدولية. وفيما يتعلق بهذه المسألة، يشير صاحب البلاغ إلى أن مفهوم نقل عبء الإثبات يرِد في السوابق القضائية للمحكمة الأوروبية لحقوق الإنسان، التي تشير إلى أنه، بمجرد أن يثبت المدعي وجود "شبهة قابلة للدحض بأن أثر تدبير أو ممارسة تمييزي، ينتقل عبء الإثبات إلى الدولة المدعى عليها، التي ينبغي أن تثبت أن الاختلاف في المعاملة ليس تمييزياً"</w:t>
      </w:r>
      <w:r>
        <w:rPr>
          <w:rStyle w:val="FootnoteReference"/>
          <w:rFonts w:eastAsiaTheme="minorEastAsia"/>
          <w:rtl/>
        </w:rPr>
        <w:t>(</w:t>
      </w:r>
      <w:r w:rsidRPr="001F7700">
        <w:rPr>
          <w:rStyle w:val="FootnoteReference"/>
          <w:rFonts w:eastAsiaTheme="minorEastAsia"/>
          <w:lang w:val="en-US"/>
        </w:rPr>
        <w:footnoteReference w:id="6"/>
      </w:r>
      <w:r>
        <w:rPr>
          <w:rStyle w:val="FootnoteReference"/>
          <w:rFonts w:eastAsiaTheme="minorEastAsia"/>
          <w:rtl/>
        </w:rPr>
        <w:t>)</w:t>
      </w:r>
      <w:r w:rsidRPr="00A97CB7">
        <w:rPr>
          <w:rtl/>
        </w:rPr>
        <w:t>. ويحيل صاحب البلاغ كذلك إلى السوابق القضائية لمحكمة العدل التابعة للاتحاد الأوروبي، التي أعلنت فيها المحكمة في عدد من القضايا أنه لا يمكنها في حالة عدم نقل عبء الإثبات توفير حماية فعالة من التمييز في حالات معينة</w:t>
      </w:r>
      <w:r>
        <w:rPr>
          <w:rStyle w:val="FootnoteReference"/>
          <w:rFonts w:eastAsiaTheme="minorEastAsia"/>
          <w:rtl/>
        </w:rPr>
        <w:t>(</w:t>
      </w:r>
      <w:r w:rsidRPr="001F7700">
        <w:rPr>
          <w:rStyle w:val="FootnoteReference"/>
          <w:rFonts w:eastAsiaTheme="minorEastAsia"/>
          <w:lang w:val="en-US"/>
        </w:rPr>
        <w:footnoteReference w:id="7"/>
      </w:r>
      <w:r>
        <w:rPr>
          <w:rStyle w:val="FootnoteReference"/>
          <w:rFonts w:eastAsiaTheme="minorEastAsia"/>
          <w:rtl/>
        </w:rPr>
        <w:t>)</w:t>
      </w:r>
      <w:r w:rsidRPr="00A97CB7">
        <w:rPr>
          <w:rtl/>
        </w:rPr>
        <w:t>. ودُوِّن شرط إدخال مبدأ نقل عبء الإثبات لاحقاً في عدد من توجيهات الاتحاد الأوروبي بشأن عدم التمييز</w:t>
      </w:r>
      <w:r>
        <w:rPr>
          <w:rStyle w:val="FootnoteReference"/>
          <w:rFonts w:eastAsiaTheme="minorEastAsia"/>
          <w:rtl/>
        </w:rPr>
        <w:t>(</w:t>
      </w:r>
      <w:r w:rsidRPr="001F7700">
        <w:rPr>
          <w:rStyle w:val="FootnoteReference"/>
          <w:rFonts w:eastAsiaTheme="minorEastAsia"/>
          <w:lang w:val="en-US"/>
        </w:rPr>
        <w:footnoteReference w:id="8"/>
      </w:r>
      <w:r>
        <w:rPr>
          <w:rStyle w:val="FootnoteReference"/>
          <w:rFonts w:eastAsiaTheme="minorEastAsia"/>
          <w:rtl/>
        </w:rPr>
        <w:t>)</w:t>
      </w:r>
      <w:r w:rsidRPr="00A97CB7">
        <w:rPr>
          <w:rtl/>
        </w:rPr>
        <w:t>. ويشير صاحب البلاغ كذلك إلى أن اللجنة المعنية بحقوق الإنسان طبقت ضمنياً هذا المعيار في أحد قراراتها</w:t>
      </w:r>
      <w:r>
        <w:rPr>
          <w:rStyle w:val="FootnoteReference"/>
          <w:rFonts w:eastAsiaTheme="minorEastAsia"/>
          <w:rtl/>
        </w:rPr>
        <w:t>(</w:t>
      </w:r>
      <w:r w:rsidRPr="001F7700">
        <w:rPr>
          <w:rStyle w:val="FootnoteReference"/>
          <w:rFonts w:eastAsiaTheme="minorEastAsia"/>
          <w:lang w:val="en-US"/>
        </w:rPr>
        <w:footnoteReference w:id="9"/>
      </w:r>
      <w:r>
        <w:rPr>
          <w:rStyle w:val="FootnoteReference"/>
          <w:rFonts w:eastAsiaTheme="minorEastAsia"/>
          <w:rtl/>
        </w:rPr>
        <w:t>)</w:t>
      </w:r>
      <w:r w:rsidRPr="00A97CB7">
        <w:rPr>
          <w:rtl/>
        </w:rPr>
        <w:t>. وبالإضافة إلى ذلك، يوضح صاحب البلاغ أن التمييز يقع عندما يلقى شخص ما معاملة أقل تفضيلاً من غيره بسبب انتمائه إلى جماعة معينة لديها سمات محمية. ومن شأن عبء الإثبات، بصيغته المطبقة عادة في الإجراءات المدنية، أي إن لم يُنقل، أن يضع عبئاً لا مبرر له على عاتق ضحايا التمييز، الذين ليس بمقدورهم في كثير من الحالات إثبات العلاقة السببية بين سماتهم المحمية والحرمان الذي تعرضوا له، وذلك على وجه الخصوص، لأن الأدلة الرئيسية عادة ما تكون في حوزة مَن مارسَ التمييز. وفي هذا السياق، يفيد صاحب البلاغ بأنه أشار إلى لغة الروما باعتبارها لغته الأم، مما يدل بقوة على أنه من الروما. ولأغراض تقييم ما</w:t>
      </w:r>
      <w:r w:rsidR="00DD1E4F">
        <w:rPr>
          <w:rFonts w:hint="cs"/>
          <w:rtl/>
        </w:rPr>
        <w:t> </w:t>
      </w:r>
      <w:r w:rsidRPr="00A97CB7">
        <w:rPr>
          <w:rtl/>
        </w:rPr>
        <w:t>إذا تعرض للتمييز، يشير إلى حالة ب. ف. الذي كان في وضع مماثل، ولكنه تعرض بالمقارنة معه لتمييز تجلى في رفض طلبه. وعلاوةً على ذلك، يفيد صاحب البلاغ، استناداً إلى اجتهادات محكمة العدل التابعة للاتحاد الأوروبي، بأنه يمكن استنتاج شبهة التمييز من رفض الشركة المدعى عليها تيسير الاطلاع على معلومات قد تكون مهمة لتقييم ادعائه التعرض للتمييز</w:t>
      </w:r>
      <w:r>
        <w:rPr>
          <w:rStyle w:val="FootnoteReference"/>
          <w:rFonts w:eastAsiaTheme="minorEastAsia"/>
          <w:rtl/>
        </w:rPr>
        <w:t>(</w:t>
      </w:r>
      <w:r w:rsidRPr="001F7700">
        <w:rPr>
          <w:rStyle w:val="FootnoteReference"/>
          <w:rFonts w:eastAsiaTheme="minorEastAsia"/>
          <w:lang w:val="en-US"/>
        </w:rPr>
        <w:footnoteReference w:id="10"/>
      </w:r>
      <w:r>
        <w:rPr>
          <w:rStyle w:val="FootnoteReference"/>
          <w:rFonts w:eastAsiaTheme="minorEastAsia"/>
          <w:rtl/>
        </w:rPr>
        <w:t>)</w:t>
      </w:r>
      <w:r w:rsidRPr="00A97CB7">
        <w:rPr>
          <w:rtl/>
        </w:rPr>
        <w:t>. وبهذا الخصوص، يشدد على أن الشركة المدعى عليها رفضت تقديم وثائق تتعلق بعملية التوظيف لدحض ادعائه أن المسؤولين عن التوظيف كانوا على علم بأصله الإثني وأن ذلك أُخذ في الاعتبار في عملية الانتقاء.</w:t>
      </w:r>
    </w:p>
    <w:p w14:paraId="3333CD61" w14:textId="77777777" w:rsidR="00A97CB7" w:rsidRPr="00A97CB7" w:rsidRDefault="00A97CB7" w:rsidP="00A97CB7">
      <w:pPr>
        <w:pStyle w:val="H23GA"/>
        <w:rPr>
          <w:lang w:val="ar-SA" w:eastAsia="zh-TW" w:bidi="en-GB"/>
        </w:rPr>
      </w:pPr>
      <w:r w:rsidRPr="00A97CB7">
        <w:rPr>
          <w:rtl/>
        </w:rPr>
        <w:lastRenderedPageBreak/>
        <w:tab/>
      </w:r>
      <w:r w:rsidRPr="00A97CB7">
        <w:rPr>
          <w:rtl/>
        </w:rPr>
        <w:tab/>
      </w:r>
      <w:r w:rsidRPr="001F7700">
        <w:rPr>
          <w:rtl/>
        </w:rPr>
        <w:t>ملاحظات الدولة الطرف بشأن مقبولية البلاغ وأسسه الموضوعية</w:t>
      </w:r>
    </w:p>
    <w:p w14:paraId="655AE24B" w14:textId="77777777" w:rsidR="00A97CB7" w:rsidRPr="00A97CB7" w:rsidRDefault="00A97CB7" w:rsidP="00A97CB7">
      <w:pPr>
        <w:pStyle w:val="SingleTxtGA"/>
        <w:rPr>
          <w:lang w:val="ar-SA" w:eastAsia="zh-TW" w:bidi="en-GB"/>
        </w:rPr>
      </w:pPr>
      <w:r w:rsidRPr="001F7700">
        <w:rPr>
          <w:rtl/>
        </w:rPr>
        <w:t>4</w:t>
      </w:r>
      <w:r w:rsidRPr="00A97CB7">
        <w:rPr>
          <w:rtl/>
        </w:rPr>
        <w:t>-</w:t>
      </w:r>
      <w:r w:rsidRPr="001F7700">
        <w:rPr>
          <w:rtl/>
        </w:rPr>
        <w:t>1</w:t>
      </w:r>
      <w:r w:rsidRPr="00A97CB7">
        <w:rPr>
          <w:rtl/>
        </w:rPr>
        <w:tab/>
        <w:t xml:space="preserve">في </w:t>
      </w:r>
      <w:r w:rsidRPr="001F7700">
        <w:rPr>
          <w:rtl/>
        </w:rPr>
        <w:t>9</w:t>
      </w:r>
      <w:r w:rsidRPr="00A97CB7">
        <w:rPr>
          <w:rtl/>
        </w:rPr>
        <w:t xml:space="preserve"> آذار/مارس </w:t>
      </w:r>
      <w:r w:rsidRPr="001F7700">
        <w:rPr>
          <w:rtl/>
        </w:rPr>
        <w:t>2017</w:t>
      </w:r>
      <w:r w:rsidRPr="00A97CB7">
        <w:rPr>
          <w:rtl/>
        </w:rPr>
        <w:t>، قدمت الدولة الطرف ملاحظاتها بشأن مقبولية البلاغ وأسسه الموضوعية، التي كررت في بدايتها وقائع القضية وعرضت موقف مختلف السلطات الوطنية. ويفيد مكتب المدعي العام لجمهورية مولدوفا بأنه لم يُبلَغ بالقضية حينها، ولم يُشرَك بأي طريقة أخرى في إجراءات الدعوى المحلية، ولم يقدم بالتالي أي ملاحظات بشأن جوهر القضية.</w:t>
      </w:r>
    </w:p>
    <w:p w14:paraId="6AA85233" w14:textId="77777777" w:rsidR="00A97CB7" w:rsidRPr="00A97CB7" w:rsidRDefault="00A97CB7" w:rsidP="00A97CB7">
      <w:pPr>
        <w:pStyle w:val="SingleTxtGA"/>
        <w:rPr>
          <w:lang w:val="ar-SA" w:eastAsia="zh-TW" w:bidi="en-GB"/>
        </w:rPr>
      </w:pPr>
      <w:r w:rsidRPr="001F7700">
        <w:rPr>
          <w:rtl/>
        </w:rPr>
        <w:t>4</w:t>
      </w:r>
      <w:r w:rsidRPr="00A97CB7">
        <w:rPr>
          <w:rtl/>
        </w:rPr>
        <w:t>-</w:t>
      </w:r>
      <w:r w:rsidRPr="001F7700">
        <w:rPr>
          <w:rtl/>
        </w:rPr>
        <w:t>2</w:t>
      </w:r>
      <w:r w:rsidRPr="00A97CB7">
        <w:rPr>
          <w:rtl/>
        </w:rPr>
        <w:tab/>
        <w:t>وتشير وزارة الصحة والعمل والحماية الاجتماعية إلى أن دستور جمهورية مولدوفا يحظر التمييز على أي أساس، بما في ذلك الانتماء العرقي، ويؤكد قانون العمل أن ذلك يسري أيضاً في مجال العمل. وتفيد الوزارة بأن ثمة آليات عديدة لكفالة إنفاذ هذه المعايير، خلافاً لما يدعيه صاحب البلاغ. وتشمل هذه الآليات خياراً يتمثل في أن يطلب الطرف المتضرر إلى المحاكم التحقق من أن حرمانه من العمل غير قانوني وإلزام رب العمل بإبرام عقد عمل مع الشخص المعني. وتشدد الوزارة على أن صاحب البلاغ لم يلجأ إلى هذا الخيار في هذه القضية، بل طلب تعويضاً بدعوى تعرضه للتمييز. وفيما يتعلق بمشروعية رفض طلب صاحب البلاغ، ترى الوزارة أن عملية الانتقاء كانت محكومة بأنظمة معتمدة على مستوى الشركة، تحدد معايير واضحة وغير تمييزية للتوظيف. وبالتالي، ترى الوزارة أن نتيجة عملية الانتقاء استندت إلى أسس مشروعة.</w:t>
      </w:r>
    </w:p>
    <w:p w14:paraId="56667180" w14:textId="10D0DC1B" w:rsidR="00A97CB7" w:rsidRPr="00A97CB7" w:rsidRDefault="00A97CB7" w:rsidP="00A97CB7">
      <w:pPr>
        <w:pStyle w:val="SingleTxtGA"/>
        <w:rPr>
          <w:lang w:val="ar-SA" w:eastAsia="zh-TW" w:bidi="en-GB"/>
        </w:rPr>
      </w:pPr>
      <w:r w:rsidRPr="001F7700">
        <w:rPr>
          <w:rtl/>
        </w:rPr>
        <w:t>4</w:t>
      </w:r>
      <w:r w:rsidRPr="00A97CB7">
        <w:rPr>
          <w:rtl/>
        </w:rPr>
        <w:t>-</w:t>
      </w:r>
      <w:r w:rsidRPr="001F7700">
        <w:rPr>
          <w:rtl/>
        </w:rPr>
        <w:t>3</w:t>
      </w:r>
      <w:r w:rsidRPr="00A97CB7">
        <w:rPr>
          <w:rtl/>
        </w:rPr>
        <w:tab/>
        <w:t>ويشير مكتب أمين المظالم في جمهورية مولدوفا مرة أخرى إلى التشريعات الوطنية ذات الصلة</w:t>
      </w:r>
      <w:r>
        <w:rPr>
          <w:rStyle w:val="FootnoteReference"/>
          <w:rFonts w:eastAsiaTheme="minorEastAsia"/>
          <w:rtl/>
        </w:rPr>
        <w:t>(</w:t>
      </w:r>
      <w:r w:rsidRPr="001F7700">
        <w:rPr>
          <w:rStyle w:val="FootnoteReference"/>
          <w:rFonts w:eastAsiaTheme="minorEastAsia"/>
          <w:lang w:val="en-US"/>
        </w:rPr>
        <w:footnoteReference w:id="11"/>
      </w:r>
      <w:r>
        <w:rPr>
          <w:rStyle w:val="FootnoteReference"/>
          <w:rFonts w:eastAsiaTheme="minorEastAsia"/>
          <w:rtl/>
        </w:rPr>
        <w:t>)</w:t>
      </w:r>
      <w:r w:rsidRPr="00A97CB7">
        <w:rPr>
          <w:rtl/>
        </w:rPr>
        <w:t xml:space="preserve"> وإلى مختلف صكوك حقوق الإنسان، بما في ذلك عدة مواد من الاتفاقية</w:t>
      </w:r>
      <w:r>
        <w:rPr>
          <w:rStyle w:val="FootnoteReference"/>
          <w:rFonts w:eastAsiaTheme="minorEastAsia"/>
          <w:rtl/>
        </w:rPr>
        <w:t>(</w:t>
      </w:r>
      <w:r w:rsidRPr="001F7700">
        <w:rPr>
          <w:rStyle w:val="FootnoteReference"/>
          <w:rFonts w:eastAsiaTheme="minorEastAsia"/>
          <w:lang w:val="en-US"/>
        </w:rPr>
        <w:footnoteReference w:id="12"/>
      </w:r>
      <w:r>
        <w:rPr>
          <w:rStyle w:val="FootnoteReference"/>
          <w:rFonts w:eastAsiaTheme="minorEastAsia"/>
          <w:rtl/>
        </w:rPr>
        <w:t>)</w:t>
      </w:r>
      <w:r w:rsidRPr="00A97CB7">
        <w:rPr>
          <w:rtl/>
        </w:rPr>
        <w:t>. ويفيد بأنه لا يطعن في مقبولية الشكوى. ويلاحظ أن مجلس منع التمييز والقضاء عليه وكفالة المساواة، وإن لم يعرض عليه صاحب البلاغ قضيته، قدم إلى المحاكم المحلية فتوى يسترعي فيها انتباه المحاكم إلى ضرورة نقل عبء الإثبات في قضايا التمييز ويقدم بعض الإرشادات بشأن تفسير مصطلح "المتطلبات المهنية الأساسية"</w:t>
      </w:r>
      <w:r>
        <w:rPr>
          <w:rStyle w:val="FootnoteReference"/>
          <w:rFonts w:eastAsiaTheme="minorEastAsia"/>
          <w:rtl/>
        </w:rPr>
        <w:t>(</w:t>
      </w:r>
      <w:r w:rsidRPr="001F7700">
        <w:rPr>
          <w:rStyle w:val="FootnoteReference"/>
          <w:rFonts w:eastAsiaTheme="minorEastAsia"/>
          <w:lang w:val="en-US"/>
        </w:rPr>
        <w:footnoteReference w:id="13"/>
      </w:r>
      <w:r>
        <w:rPr>
          <w:rStyle w:val="FootnoteReference"/>
          <w:rFonts w:eastAsiaTheme="minorEastAsia"/>
          <w:rtl/>
        </w:rPr>
        <w:t>)</w:t>
      </w:r>
      <w:r w:rsidRPr="00A97CB7">
        <w:rPr>
          <w:rtl/>
        </w:rPr>
        <w:t>، الذي لا توجد أي اجتهادات بشأنه على الصعيد المحلي. ويضيف مكتب أمين المظالم بعد ذلك أنه يبدو من وقائع القضية، كما عرضها صاحب البلاغ، أنه أقام دليلاً بيِّناً على تعرضه للتمييز وأن الشركة المدعى عليها لم تثبت أنه لم يتعرض للتمييز على أساس أصله الإثني. وفي الوقت ذاته، يحاج مكتب أمين المظالم بأنه يبدو من قرار محكمة الاستئناف في تشيسيناو أن عدة مستخدَمين من أصول إثنية مختلفة أكدوا تعامل إدارة الشركة بود وتسامح مع مستخدَميها. ويشير مكتب أمين المظالم مرة أخرى بعد ذلك إلى بعض المبادئ العامة المتعلقة بقضايا التمييز والمنصوص عليها في السوابق القضائية للمحكمة الأوروبية لحقوق الإنسان</w:t>
      </w:r>
      <w:r>
        <w:rPr>
          <w:rStyle w:val="FootnoteReference"/>
          <w:rFonts w:eastAsiaTheme="minorEastAsia"/>
          <w:rtl/>
        </w:rPr>
        <w:t>(</w:t>
      </w:r>
      <w:r w:rsidRPr="001F7700">
        <w:rPr>
          <w:rStyle w:val="FootnoteReference"/>
          <w:rFonts w:eastAsiaTheme="minorEastAsia"/>
          <w:lang w:val="en-US"/>
        </w:rPr>
        <w:footnoteReference w:id="14"/>
      </w:r>
      <w:r>
        <w:rPr>
          <w:rStyle w:val="FootnoteReference"/>
          <w:rFonts w:eastAsiaTheme="minorEastAsia"/>
          <w:rtl/>
        </w:rPr>
        <w:t>)</w:t>
      </w:r>
      <w:r w:rsidRPr="00A97CB7">
        <w:rPr>
          <w:rtl/>
        </w:rPr>
        <w:t>. ويشير كذلك إلى ضرورة تدوين شرط إبلاغ أصحاب طلبات العمل بنتائج عمليات التوظيف وإلى أنه ينبغي استبعاد المعلومات المتعلقة بالأصل الإثني من استبيانات التوظيف.</w:t>
      </w:r>
    </w:p>
    <w:p w14:paraId="331D28D2" w14:textId="197281EA" w:rsidR="00A97CB7" w:rsidRPr="00A97CB7" w:rsidRDefault="00A97CB7" w:rsidP="00A97CB7">
      <w:pPr>
        <w:pStyle w:val="SingleTxtGA"/>
        <w:rPr>
          <w:lang w:val="ar-SA" w:eastAsia="zh-TW" w:bidi="en-GB"/>
        </w:rPr>
      </w:pPr>
      <w:r w:rsidRPr="001F7700">
        <w:rPr>
          <w:rtl/>
        </w:rPr>
        <w:lastRenderedPageBreak/>
        <w:t>4</w:t>
      </w:r>
      <w:r w:rsidRPr="00A97CB7">
        <w:rPr>
          <w:rtl/>
        </w:rPr>
        <w:t>-</w:t>
      </w:r>
      <w:r w:rsidRPr="001F7700">
        <w:rPr>
          <w:rtl/>
        </w:rPr>
        <w:t>4</w:t>
      </w:r>
      <w:r w:rsidRPr="00A97CB7">
        <w:rPr>
          <w:rtl/>
        </w:rPr>
        <w:tab/>
        <w:t>وبالإضافة إلى ذلك، تُذكر الدولة الطرف</w:t>
      </w:r>
      <w:r>
        <w:rPr>
          <w:rStyle w:val="FootnoteReference"/>
          <w:rFonts w:eastAsiaTheme="minorEastAsia"/>
          <w:rtl/>
        </w:rPr>
        <w:t>(</w:t>
      </w:r>
      <w:r w:rsidRPr="001F7700">
        <w:rPr>
          <w:rStyle w:val="FootnoteReference"/>
          <w:rFonts w:eastAsiaTheme="minorEastAsia"/>
          <w:lang w:val="en-US"/>
        </w:rPr>
        <w:footnoteReference w:id="15"/>
      </w:r>
      <w:r>
        <w:rPr>
          <w:rStyle w:val="FootnoteReference"/>
          <w:rFonts w:eastAsiaTheme="minorEastAsia"/>
          <w:rtl/>
        </w:rPr>
        <w:t>)</w:t>
      </w:r>
      <w:r w:rsidRPr="00A97CB7">
        <w:rPr>
          <w:rtl/>
        </w:rPr>
        <w:t xml:space="preserve"> بشرط استنفاد سبل الانتصاف المحلية وتشير إلى أنه، وإن كان يبدو من ملف القضية أن هيئة القضاء الجنائي في المحكمة العليا أصدرت حكمها في القضية، لم يقدم صاحب البلاغ طعناً استثنائياً في هذا القرار على النحو المنصوص عليه في قانون العمل. وأخيراً، تؤكد الدولة الظرف أن سلطاتها تؤيد موقف الهيئات الدولية المتمثل في أن العنف ذا الدوافع العنصرية ينتهك كرامة الإنسان، ويتطلب التصدي له مزيداً من اليقظة والإجراءات.</w:t>
      </w:r>
    </w:p>
    <w:p w14:paraId="00B3DAA8" w14:textId="77777777" w:rsidR="00A97CB7" w:rsidRPr="00A97CB7" w:rsidRDefault="00A97CB7" w:rsidP="00A97CB7">
      <w:pPr>
        <w:pStyle w:val="H23GA"/>
        <w:rPr>
          <w:lang w:val="ar-SA" w:eastAsia="zh-TW" w:bidi="en-GB"/>
        </w:rPr>
      </w:pPr>
      <w:r w:rsidRPr="00A97CB7">
        <w:rPr>
          <w:rtl/>
        </w:rPr>
        <w:tab/>
      </w:r>
      <w:r w:rsidRPr="00A97CB7">
        <w:rPr>
          <w:rtl/>
        </w:rPr>
        <w:tab/>
      </w:r>
      <w:r w:rsidRPr="001F7700">
        <w:rPr>
          <w:rtl/>
        </w:rPr>
        <w:t>تعليقات صاحب البلاغ على ملاحظات الدولة الطرف بشأن مقبولية البلاغ وأسسه الموضوعية</w:t>
      </w:r>
    </w:p>
    <w:p w14:paraId="0ED814C2" w14:textId="77777777" w:rsidR="00A97CB7" w:rsidRPr="00A97CB7" w:rsidRDefault="00A97CB7" w:rsidP="00A97CB7">
      <w:pPr>
        <w:pStyle w:val="SingleTxtGA"/>
        <w:rPr>
          <w:lang w:val="ar-SA" w:eastAsia="zh-TW" w:bidi="en-GB"/>
        </w:rPr>
      </w:pPr>
      <w:r w:rsidRPr="001F7700">
        <w:rPr>
          <w:rtl/>
        </w:rPr>
        <w:t>5</w:t>
      </w:r>
      <w:r w:rsidRPr="00A97CB7">
        <w:rPr>
          <w:rtl/>
        </w:rPr>
        <w:t>-</w:t>
      </w:r>
      <w:r w:rsidRPr="001F7700">
        <w:rPr>
          <w:rtl/>
        </w:rPr>
        <w:t>1</w:t>
      </w:r>
      <w:r w:rsidRPr="00A97CB7">
        <w:rPr>
          <w:rtl/>
        </w:rPr>
        <w:tab/>
        <w:t xml:space="preserve">في </w:t>
      </w:r>
      <w:r w:rsidRPr="001F7700">
        <w:rPr>
          <w:rtl/>
        </w:rPr>
        <w:t>19</w:t>
      </w:r>
      <w:r w:rsidRPr="00A97CB7">
        <w:rPr>
          <w:rtl/>
        </w:rPr>
        <w:t xml:space="preserve"> آذار/مارس </w:t>
      </w:r>
      <w:r w:rsidRPr="001F7700">
        <w:rPr>
          <w:rtl/>
        </w:rPr>
        <w:t>2018</w:t>
      </w:r>
      <w:r w:rsidRPr="00A97CB7">
        <w:rPr>
          <w:rtl/>
        </w:rPr>
        <w:t>، قدم صاحب البلاغ تعليقاته على ملاحظات الدولة الطرف بشأن مقبولية بلاغه وأسسه الموضوعية. ويرحب بجهود الدولة الطرف من أجل إشراك مختلف السلطات الوطنية في الحوار بشأن قضيته، ولكنه يلاحظ بقلق أنه، في حين لم يُدعَ مجلس منع التمييز والقضاء عليه وكفالة المساواة، وهو الهيئة المختصة أكثر من غيرها في قضايا التمييز، إلى إبداء رأيه بشأن قضيته، مُنح مكتب المدعي العام إمكانية تقديم ملاحظاته، رغم خُلو الشكوى من أي شيء له صلة بالقانون الجنائي.</w:t>
      </w:r>
    </w:p>
    <w:p w14:paraId="12A11306" w14:textId="77777777" w:rsidR="00A97CB7" w:rsidRPr="00A97CB7" w:rsidRDefault="00A97CB7" w:rsidP="00A97CB7">
      <w:pPr>
        <w:pStyle w:val="SingleTxtGA"/>
        <w:rPr>
          <w:lang w:val="en-US" w:eastAsia="zh-TW" w:bidi="en-GB"/>
        </w:rPr>
      </w:pPr>
      <w:r w:rsidRPr="001F7700">
        <w:rPr>
          <w:rtl/>
        </w:rPr>
        <w:t>5</w:t>
      </w:r>
      <w:r w:rsidRPr="00A97CB7">
        <w:rPr>
          <w:rtl/>
        </w:rPr>
        <w:t>-</w:t>
      </w:r>
      <w:r w:rsidRPr="001F7700">
        <w:rPr>
          <w:rtl/>
        </w:rPr>
        <w:t>2</w:t>
      </w:r>
      <w:r w:rsidRPr="00A97CB7">
        <w:rPr>
          <w:rtl/>
        </w:rPr>
        <w:tab/>
        <w:t>وفيما يتعلق بمقبولية الشكوى، يؤكد صاحب البلاغ في المقام الأول أن هيئة القضاء الجنائي في المحكمة العليا لم تصدر حكماً في قضيته، خلافاً لما تدعيه الدولة الطرف. وبالنظر إلى أنه باشر الإجراءات المدنية، فلم يكن بإمكانه تقديم الطعن الاستثنائي الذي تشير إليه الدولة الطرف، لأن هذا السبيل من سبل الانتصاف ليس متاحاً سوى في القضايا الجنائية.</w:t>
      </w:r>
    </w:p>
    <w:p w14:paraId="4863832A" w14:textId="77777777" w:rsidR="00A97CB7" w:rsidRPr="00A97CB7" w:rsidRDefault="00A97CB7" w:rsidP="00A97CB7">
      <w:pPr>
        <w:pStyle w:val="SingleTxtGA"/>
        <w:rPr>
          <w:lang w:val="en-US" w:eastAsia="zh-TW" w:bidi="en-GB"/>
        </w:rPr>
      </w:pPr>
      <w:r w:rsidRPr="001F7700">
        <w:rPr>
          <w:rtl/>
        </w:rPr>
        <w:t>5</w:t>
      </w:r>
      <w:r w:rsidRPr="00A97CB7">
        <w:rPr>
          <w:rtl/>
        </w:rPr>
        <w:t>-</w:t>
      </w:r>
      <w:r w:rsidRPr="001F7700">
        <w:rPr>
          <w:rtl/>
        </w:rPr>
        <w:t>3</w:t>
      </w:r>
      <w:r w:rsidRPr="00A97CB7">
        <w:rPr>
          <w:rtl/>
        </w:rPr>
        <w:tab/>
        <w:t xml:space="preserve">ويفيد صاحب البلاغ، فيما يتعلق بالأسس الموضوعية لقضيته، بأن المحاكم المحلية أساءت تفسير تعريف شرط "المتطلبات المهنية الحقيقية والحاسمة"، الذي قد يشكل في بعض الحالات مبرراً قانونياً لعدم توظيف طالب عملٍ إن كان لا يستوفي هذا الشرط. وفي هذا الصدد، يؤكد صاحب البلاغ أنه قدَّم طلباً للعمل كنادل، وأنه لا ترد أي إشارة إلى هذا الشرط في توصيف الوظيفة، ولم تُشر إليه الشركة المدعى عليها خلال الإجراءات القضائية. وبالتالي، فقد أخطأت محكمة </w:t>
      </w:r>
      <w:proofErr w:type="spellStart"/>
      <w:r w:rsidRPr="00A97CB7">
        <w:rPr>
          <w:rtl/>
        </w:rPr>
        <w:t>سينترو</w:t>
      </w:r>
      <w:proofErr w:type="spellEnd"/>
      <w:r w:rsidRPr="00A97CB7">
        <w:rPr>
          <w:rtl/>
        </w:rPr>
        <w:t xml:space="preserve"> المحلية في تشيسيناو باستنتاجها أن أنديز بيتزا رفضت توظيف صاحب البلاغ لأنه لم يستوف هذا الشرط. وعلاوةً على ذلك، يؤكد صاحب البلاغ مرة أخرى أن الآليات المنشأة لتنفيذ قوانين مكافحة التمييز ذات الصلة ليست فعالةً. ويتجلى ذلك بوضوح في الإجراءات القضائية نفسها، حيث لم تُلزَم الشركة المدعى عليها بتبرير معاملتها </w:t>
      </w:r>
      <w:proofErr w:type="spellStart"/>
      <w:r w:rsidRPr="00A97CB7">
        <w:rPr>
          <w:rtl/>
        </w:rPr>
        <w:t>التمايزية</w:t>
      </w:r>
      <w:proofErr w:type="spellEnd"/>
      <w:r w:rsidRPr="00A97CB7">
        <w:rPr>
          <w:rtl/>
        </w:rPr>
        <w:t xml:space="preserve"> لصاحب البلاغ، خلافاً لما كان ينبغي أن يترتب على شرط نقل عبء الإثبات بعد إقامة دليل بيِّنٍ على وقوع التمييز. وعلاوةً على ذلك، عابت محكمة </w:t>
      </w:r>
      <w:proofErr w:type="spellStart"/>
      <w:r w:rsidRPr="00A97CB7">
        <w:rPr>
          <w:rtl/>
        </w:rPr>
        <w:t>سينترو</w:t>
      </w:r>
      <w:proofErr w:type="spellEnd"/>
      <w:r w:rsidRPr="00A97CB7">
        <w:rPr>
          <w:rtl/>
        </w:rPr>
        <w:t xml:space="preserve"> المحلية في تشيسيناو على صاحب البلاغ عدم تقديمه أي وثائق تثبت انتماءه الإثني إلى جماعة الروما. ويعترض صاحب البلاغ كذلك على حجة الوزارة أنه لم يتعرض للتمييز لأن عملية التوظيف جرت وفقاً لأنظمة الشركة الداخلية غير التمييزية. وفي هذا الصدد، يشير صاحب البلاغ إلى أن الشركة المدعى عليها لم تسُق أبداً هذه الأنظمة كدليل أمام المحاكم المحلية.</w:t>
      </w:r>
    </w:p>
    <w:p w14:paraId="2CABCA5F" w14:textId="77777777" w:rsidR="00A97CB7" w:rsidRPr="001F7700" w:rsidRDefault="00A97CB7" w:rsidP="00A97CB7">
      <w:pPr>
        <w:pStyle w:val="H23GA"/>
        <w:rPr>
          <w:lang w:val="ar-SA" w:eastAsia="zh-TW" w:bidi="en-GB"/>
        </w:rPr>
      </w:pPr>
      <w:r w:rsidRPr="001F7700">
        <w:rPr>
          <w:rtl/>
        </w:rPr>
        <w:tab/>
      </w:r>
      <w:r w:rsidRPr="001F7700">
        <w:rPr>
          <w:rtl/>
        </w:rPr>
        <w:tab/>
        <w:t>إفادة طرف ثالث</w:t>
      </w:r>
    </w:p>
    <w:p w14:paraId="557F7414" w14:textId="18381540" w:rsidR="00A97CB7" w:rsidRPr="00A97CB7" w:rsidRDefault="00A97CB7" w:rsidP="00A97CB7">
      <w:pPr>
        <w:pStyle w:val="SingleTxtGA"/>
        <w:rPr>
          <w:rtl/>
          <w:lang w:val="en-US" w:eastAsia="zh-TW"/>
        </w:rPr>
      </w:pPr>
      <w:r w:rsidRPr="001F7700">
        <w:rPr>
          <w:rtl/>
        </w:rPr>
        <w:t>6</w:t>
      </w:r>
      <w:r w:rsidRPr="00A97CB7">
        <w:rPr>
          <w:rtl/>
        </w:rPr>
        <w:t>-</w:t>
      </w:r>
      <w:r w:rsidRPr="001F7700">
        <w:rPr>
          <w:rtl/>
        </w:rPr>
        <w:t>1</w:t>
      </w:r>
      <w:r w:rsidRPr="00A97CB7">
        <w:rPr>
          <w:rtl/>
        </w:rPr>
        <w:tab/>
        <w:t xml:space="preserve">في </w:t>
      </w:r>
      <w:r w:rsidRPr="001F7700">
        <w:rPr>
          <w:rtl/>
        </w:rPr>
        <w:t>9</w:t>
      </w:r>
      <w:r w:rsidRPr="00A97CB7">
        <w:rPr>
          <w:rtl/>
        </w:rPr>
        <w:t xml:space="preserve"> آذار/مارس </w:t>
      </w:r>
      <w:r w:rsidRPr="001F7700">
        <w:rPr>
          <w:rtl/>
        </w:rPr>
        <w:t>2018</w:t>
      </w:r>
      <w:r w:rsidRPr="00A97CB7">
        <w:rPr>
          <w:rtl/>
        </w:rPr>
        <w:t>، قرر الفريق العامل المعني بالبلاغات، بالنيابة عن اللجنة، قبول إف</w:t>
      </w:r>
      <w:r w:rsidR="00692993">
        <w:rPr>
          <w:rFonts w:hint="cs"/>
          <w:rtl/>
        </w:rPr>
        <w:t>ا</w:t>
      </w:r>
      <w:r w:rsidRPr="00A97CB7">
        <w:rPr>
          <w:rtl/>
        </w:rPr>
        <w:t xml:space="preserve">دة واردة من المركز </w:t>
      </w:r>
      <w:proofErr w:type="spellStart"/>
      <w:r w:rsidRPr="00A97CB7">
        <w:rPr>
          <w:rtl/>
        </w:rPr>
        <w:t>المولدوفي</w:t>
      </w:r>
      <w:proofErr w:type="spellEnd"/>
      <w:r w:rsidRPr="00A97CB7">
        <w:rPr>
          <w:rtl/>
        </w:rPr>
        <w:t xml:space="preserve"> للموارد القضائية، شريطة تقديمها عن طريق أي من الطرفين.</w:t>
      </w:r>
    </w:p>
    <w:p w14:paraId="15950DBE" w14:textId="77777777" w:rsidR="00A97CB7" w:rsidRPr="00A97CB7" w:rsidRDefault="00A97CB7" w:rsidP="00A97CB7">
      <w:pPr>
        <w:pStyle w:val="SingleTxtGA"/>
        <w:rPr>
          <w:lang w:val="en-US" w:eastAsia="zh-TW" w:bidi="en-GB"/>
        </w:rPr>
      </w:pPr>
      <w:r w:rsidRPr="001F7700">
        <w:rPr>
          <w:rtl/>
        </w:rPr>
        <w:t>6</w:t>
      </w:r>
      <w:r w:rsidRPr="00A97CB7">
        <w:rPr>
          <w:rtl/>
        </w:rPr>
        <w:t>-</w:t>
      </w:r>
      <w:r w:rsidRPr="001F7700">
        <w:rPr>
          <w:rtl/>
        </w:rPr>
        <w:t>2</w:t>
      </w:r>
      <w:r w:rsidRPr="00A97CB7">
        <w:rPr>
          <w:rtl/>
        </w:rPr>
        <w:tab/>
        <w:t xml:space="preserve">وفي </w:t>
      </w:r>
      <w:r w:rsidRPr="001F7700">
        <w:rPr>
          <w:rtl/>
        </w:rPr>
        <w:t>7</w:t>
      </w:r>
      <w:r w:rsidRPr="00A97CB7">
        <w:rPr>
          <w:rtl/>
        </w:rPr>
        <w:t xml:space="preserve"> آب/أغسطس </w:t>
      </w:r>
      <w:r w:rsidRPr="001F7700">
        <w:rPr>
          <w:rtl/>
        </w:rPr>
        <w:t>2018</w:t>
      </w:r>
      <w:r w:rsidRPr="00A97CB7">
        <w:rPr>
          <w:rtl/>
        </w:rPr>
        <w:t xml:space="preserve">، قدم المركز </w:t>
      </w:r>
      <w:proofErr w:type="spellStart"/>
      <w:r w:rsidRPr="00A97CB7">
        <w:rPr>
          <w:rtl/>
        </w:rPr>
        <w:t>المولدوفي</w:t>
      </w:r>
      <w:proofErr w:type="spellEnd"/>
      <w:r w:rsidRPr="00A97CB7">
        <w:rPr>
          <w:rtl/>
        </w:rPr>
        <w:t xml:space="preserve"> للموارد القضائية إفادته إلى اللجنة، عن طريق محامي صاحب البلاغ. ويصف المركز في إفادته أنشطته الرئيسية، ويقدم بعض المعلومات عن </w:t>
      </w:r>
      <w:r w:rsidRPr="00A97CB7">
        <w:rPr>
          <w:rtl/>
        </w:rPr>
        <w:lastRenderedPageBreak/>
        <w:t xml:space="preserve">أوجه القصور في تدريب القضاة في جمهورية مولدوفا، ويوضح أهمية منحى تطور الممارسة القضائية في الدولة الطرف، حيث يشدد على أن قوانين منع التمييز التي تطبقها السلطات القضائية لم تُعتمد إلا مؤخراً. وفيما يتعلق بخصوصيات هذه الشكوى، يفيد المركز </w:t>
      </w:r>
      <w:proofErr w:type="spellStart"/>
      <w:r w:rsidRPr="00A97CB7">
        <w:rPr>
          <w:rtl/>
        </w:rPr>
        <w:t>المولدوفي</w:t>
      </w:r>
      <w:proofErr w:type="spellEnd"/>
      <w:r w:rsidRPr="00A97CB7">
        <w:rPr>
          <w:rtl/>
        </w:rPr>
        <w:t xml:space="preserve"> للموارد القضائية بأن تقييم المحكمة المحلية للأدلة يدل على خلل نُظمي في فهم كيفية تطبيق مبدأ عبء الإثبات في قضايا التمييز. وفي هذا الصدد، يشدد الطرف الثالث على أن المحكمة الابتدائية عابت على صاحب البلاغ عدم تقديمه أدلة على أصله الإثني، عدا إشارته إليه، رغم أن طلب معلومات من هذا القبيل يتعارض مع المعايير الدولية. وعلاوةً على ذلك، لم تأخذ المحاكم في الاعتبار شبهة التمييز التي كان يمكن استنتاجها من عدم تقديم الشركة المدعى عليها كدليل استمارة/</w:t>
      </w:r>
      <w:proofErr w:type="gramStart"/>
      <w:r w:rsidRPr="00A97CB7">
        <w:rPr>
          <w:rtl/>
        </w:rPr>
        <w:t>استبيان</w:t>
      </w:r>
      <w:proofErr w:type="gramEnd"/>
      <w:r w:rsidRPr="00A97CB7">
        <w:rPr>
          <w:rtl/>
        </w:rPr>
        <w:t xml:space="preserve"> طلب التوظيف الذي قدمه صاحب البلاغ. ورغم أن صاحب البلاغ كانت لديه نسخة من </w:t>
      </w:r>
      <w:proofErr w:type="gramStart"/>
      <w:r w:rsidRPr="00A97CB7">
        <w:rPr>
          <w:rtl/>
        </w:rPr>
        <w:t>الاستبيان</w:t>
      </w:r>
      <w:proofErr w:type="gramEnd"/>
      <w:r w:rsidRPr="00A97CB7">
        <w:rPr>
          <w:rtl/>
        </w:rPr>
        <w:t xml:space="preserve">، فلم تُقبل كدليل بسبب فوات الأجل الإجرائي المحدد لتقديمها. وبالإضافة إلى ذلك، خلصت المحاكم إلى استنتاجات غير معقولة استندت فيها إلى أن صاحب البلاغ لم يلجأ إلى مجلس منع التمييز والقضاء عليه وكفالة المساواة، وكذلك إلى أنه لم يطلب إلى المحاكم أن تأمر الشركة المعنية بتوظيفه، بل بمنحه تعويضات. وعلاوةً على ذلك، يرى المركز </w:t>
      </w:r>
      <w:proofErr w:type="spellStart"/>
      <w:r w:rsidRPr="00A97CB7">
        <w:rPr>
          <w:rtl/>
        </w:rPr>
        <w:t>المولدوفي</w:t>
      </w:r>
      <w:proofErr w:type="spellEnd"/>
      <w:r w:rsidRPr="00A97CB7">
        <w:rPr>
          <w:rtl/>
        </w:rPr>
        <w:t xml:space="preserve"> للموارد القضائية أن من المشاكل المطروحة اعتماد المحاكم إلى حد كبير على شهادات مستخدَمين آخرين في الشركة نفسها وعدم اعترافها بتقاطع الأصل الإثني والعمر ونوع الجنس، وبضعف موقف شاب من الروما يسعى إلى الحصول كمبتدئ على وظيفة تشمل تقديم خدمات مباشرة إلى </w:t>
      </w:r>
      <w:proofErr w:type="spellStart"/>
      <w:r w:rsidRPr="00A97CB7">
        <w:rPr>
          <w:rtl/>
        </w:rPr>
        <w:t>الزبناء</w:t>
      </w:r>
      <w:proofErr w:type="spellEnd"/>
      <w:r w:rsidRPr="00A97CB7">
        <w:rPr>
          <w:rtl/>
        </w:rPr>
        <w:t xml:space="preserve">. وبالإضافة إلى ذلك، لم تطلب المحاكم إلى الشركة المدعى عليها تبرير معاملة المرشحين معاملة </w:t>
      </w:r>
      <w:proofErr w:type="spellStart"/>
      <w:r w:rsidRPr="00A97CB7">
        <w:rPr>
          <w:rtl/>
        </w:rPr>
        <w:t>تمايزية</w:t>
      </w:r>
      <w:proofErr w:type="spellEnd"/>
      <w:r w:rsidRPr="00A97CB7">
        <w:rPr>
          <w:rtl/>
        </w:rPr>
        <w:t>، حيث قدمت عرض عمل فوري إلى المرشح غير المنتمي إلى جماعة الروما ورفضت طلب المرشح المنتمي إليها.</w:t>
      </w:r>
    </w:p>
    <w:p w14:paraId="123CE9C6" w14:textId="77777777" w:rsidR="00A97CB7" w:rsidRPr="00A97CB7" w:rsidRDefault="00A97CB7" w:rsidP="00A97CB7">
      <w:pPr>
        <w:pStyle w:val="SingleTxtGA"/>
        <w:rPr>
          <w:lang w:val="ar-SA" w:eastAsia="zh-TW" w:bidi="en-GB"/>
        </w:rPr>
      </w:pPr>
      <w:r w:rsidRPr="001F7700">
        <w:rPr>
          <w:rtl/>
        </w:rPr>
        <w:t>6</w:t>
      </w:r>
      <w:r w:rsidRPr="00A97CB7">
        <w:rPr>
          <w:rtl/>
        </w:rPr>
        <w:t>-</w:t>
      </w:r>
      <w:r w:rsidRPr="001F7700">
        <w:rPr>
          <w:rtl/>
        </w:rPr>
        <w:t>3</w:t>
      </w:r>
      <w:r w:rsidRPr="00A97CB7">
        <w:rPr>
          <w:rtl/>
        </w:rPr>
        <w:tab/>
        <w:t xml:space="preserve">وفي </w:t>
      </w:r>
      <w:r w:rsidRPr="001F7700">
        <w:rPr>
          <w:rtl/>
        </w:rPr>
        <w:t>20</w:t>
      </w:r>
      <w:r w:rsidRPr="00A97CB7">
        <w:rPr>
          <w:rtl/>
        </w:rPr>
        <w:t xml:space="preserve"> تشرين الثاني/نوفمبر </w:t>
      </w:r>
      <w:r w:rsidRPr="001F7700">
        <w:rPr>
          <w:rtl/>
        </w:rPr>
        <w:t>2018</w:t>
      </w:r>
      <w:r w:rsidRPr="00A97CB7">
        <w:rPr>
          <w:rtl/>
        </w:rPr>
        <w:t xml:space="preserve">، أحالت اللجنة إفادة الطرف الثالث المؤرخة </w:t>
      </w:r>
      <w:r w:rsidRPr="001F7700">
        <w:rPr>
          <w:rtl/>
        </w:rPr>
        <w:t>7</w:t>
      </w:r>
      <w:r w:rsidRPr="00A97CB7">
        <w:rPr>
          <w:rtl/>
        </w:rPr>
        <w:t xml:space="preserve"> آب/أغسطس </w:t>
      </w:r>
      <w:r w:rsidRPr="001F7700">
        <w:rPr>
          <w:rtl/>
        </w:rPr>
        <w:t>2018</w:t>
      </w:r>
      <w:r w:rsidRPr="00A97CB7">
        <w:rPr>
          <w:rtl/>
        </w:rPr>
        <w:t xml:space="preserve"> إلى الدولة الطرف التي لم تقدم أي ملاحظات بشأنها.</w:t>
      </w:r>
    </w:p>
    <w:p w14:paraId="45E109CD" w14:textId="77777777" w:rsidR="00A97CB7" w:rsidRPr="00A97CB7" w:rsidRDefault="00A97CB7" w:rsidP="00A97CB7">
      <w:pPr>
        <w:pStyle w:val="H23GA"/>
        <w:rPr>
          <w:lang w:val="ar-SA" w:eastAsia="zh-TW" w:bidi="en-GB"/>
        </w:rPr>
      </w:pPr>
      <w:r w:rsidRPr="00A97CB7">
        <w:rPr>
          <w:rtl/>
        </w:rPr>
        <w:tab/>
      </w:r>
      <w:r w:rsidRPr="00A97CB7">
        <w:rPr>
          <w:rtl/>
        </w:rPr>
        <w:tab/>
      </w:r>
      <w:r w:rsidRPr="001F7700">
        <w:rPr>
          <w:rtl/>
        </w:rPr>
        <w:t>المسائل والإجراءات المعروضة على اللجنة</w:t>
      </w:r>
    </w:p>
    <w:p w14:paraId="6541D224" w14:textId="77777777" w:rsidR="00A97CB7" w:rsidRPr="00A97CB7" w:rsidRDefault="00A97CB7" w:rsidP="00A97CB7">
      <w:pPr>
        <w:pStyle w:val="H4GA"/>
        <w:rPr>
          <w:lang w:val="ar-SA" w:eastAsia="zh-TW" w:bidi="en-GB"/>
        </w:rPr>
      </w:pPr>
      <w:r w:rsidRPr="00A97CB7">
        <w:rPr>
          <w:rtl/>
        </w:rPr>
        <w:tab/>
      </w:r>
      <w:r w:rsidRPr="00A97CB7">
        <w:rPr>
          <w:rtl/>
        </w:rPr>
        <w:tab/>
      </w:r>
      <w:r w:rsidRPr="001F7700">
        <w:rPr>
          <w:rtl/>
        </w:rPr>
        <w:t>النظر في المقبولية</w:t>
      </w:r>
    </w:p>
    <w:p w14:paraId="292792A9" w14:textId="597AE094" w:rsidR="00A97CB7" w:rsidRPr="00A97CB7" w:rsidRDefault="00A97CB7" w:rsidP="00A97CB7">
      <w:pPr>
        <w:pStyle w:val="SingleTxtGA"/>
        <w:rPr>
          <w:lang w:val="ar-SA" w:eastAsia="zh-TW" w:bidi="en-GB"/>
        </w:rPr>
      </w:pPr>
      <w:r w:rsidRPr="001F7700">
        <w:rPr>
          <w:rtl/>
        </w:rPr>
        <w:t>7</w:t>
      </w:r>
      <w:r w:rsidRPr="00A97CB7">
        <w:rPr>
          <w:rtl/>
        </w:rPr>
        <w:t>-</w:t>
      </w:r>
      <w:r w:rsidRPr="001F7700">
        <w:rPr>
          <w:rtl/>
        </w:rPr>
        <w:t>1</w:t>
      </w:r>
      <w:r w:rsidRPr="00A97CB7">
        <w:rPr>
          <w:rtl/>
        </w:rPr>
        <w:tab/>
        <w:t xml:space="preserve">قبل النظر في أي ادِّعاء يرد في بلاغ ما، يجب على اللجنة أن تقرر، عملاً بالمادة </w:t>
      </w:r>
      <w:r w:rsidRPr="001F7700">
        <w:rPr>
          <w:rtl/>
        </w:rPr>
        <w:t>14</w:t>
      </w:r>
      <w:r w:rsidRPr="00A97CB7">
        <w:rPr>
          <w:rtl/>
        </w:rPr>
        <w:t>(</w:t>
      </w:r>
      <w:r w:rsidRPr="001F7700">
        <w:rPr>
          <w:rtl/>
        </w:rPr>
        <w:t>7</w:t>
      </w:r>
      <w:r w:rsidRPr="00A97CB7">
        <w:rPr>
          <w:rtl/>
        </w:rPr>
        <w:t>)(أ) من الاتفاقية، ما إذا كان البلاغ مقبولاً أم لا.</w:t>
      </w:r>
    </w:p>
    <w:p w14:paraId="6E32203A" w14:textId="77777777" w:rsidR="00A97CB7" w:rsidRPr="00A97CB7" w:rsidRDefault="00A97CB7" w:rsidP="00A97CB7">
      <w:pPr>
        <w:pStyle w:val="SingleTxtGA"/>
        <w:rPr>
          <w:lang w:val="ar-SA" w:eastAsia="zh-TW" w:bidi="en-GB"/>
        </w:rPr>
      </w:pPr>
      <w:r w:rsidRPr="001F7700">
        <w:rPr>
          <w:rtl/>
        </w:rPr>
        <w:t>7</w:t>
      </w:r>
      <w:r w:rsidRPr="00A97CB7">
        <w:rPr>
          <w:rtl/>
        </w:rPr>
        <w:t>-</w:t>
      </w:r>
      <w:r w:rsidRPr="001F7700">
        <w:rPr>
          <w:rtl/>
        </w:rPr>
        <w:t>2</w:t>
      </w:r>
      <w:r w:rsidRPr="00A97CB7">
        <w:rPr>
          <w:rtl/>
        </w:rPr>
        <w:tab/>
        <w:t xml:space="preserve">وتلاحظ اللجنة أن صاحب البلاغ قدم بلاغه إلى اللجنة في </w:t>
      </w:r>
      <w:r w:rsidRPr="001F7700">
        <w:rPr>
          <w:rtl/>
        </w:rPr>
        <w:t>30</w:t>
      </w:r>
      <w:r w:rsidRPr="00A97CB7">
        <w:rPr>
          <w:rtl/>
        </w:rPr>
        <w:t xml:space="preserve"> حزيران/</w:t>
      </w:r>
      <w:proofErr w:type="gramStart"/>
      <w:r w:rsidRPr="00A97CB7">
        <w:rPr>
          <w:rtl/>
        </w:rPr>
        <w:t>يونيه</w:t>
      </w:r>
      <w:proofErr w:type="gramEnd"/>
      <w:r w:rsidRPr="00A97CB7">
        <w:rPr>
          <w:rtl/>
        </w:rPr>
        <w:t xml:space="preserve"> </w:t>
      </w:r>
      <w:r w:rsidRPr="001F7700">
        <w:rPr>
          <w:rtl/>
        </w:rPr>
        <w:t>2016</w:t>
      </w:r>
      <w:r w:rsidRPr="00A97CB7">
        <w:rPr>
          <w:rtl/>
        </w:rPr>
        <w:t xml:space="preserve">، أي في غضون ستة أشهر من تاريخ تسلُّمه نسخة قرار المحكمة العليا، أي </w:t>
      </w:r>
      <w:r w:rsidRPr="001F7700">
        <w:rPr>
          <w:rtl/>
        </w:rPr>
        <w:t>22</w:t>
      </w:r>
      <w:r w:rsidRPr="00A97CB7">
        <w:rPr>
          <w:rtl/>
        </w:rPr>
        <w:t xml:space="preserve"> كانون الثاني/يناير </w:t>
      </w:r>
      <w:r w:rsidRPr="001F7700">
        <w:rPr>
          <w:rtl/>
        </w:rPr>
        <w:t>2016</w:t>
      </w:r>
      <w:r w:rsidRPr="00A97CB7">
        <w:rPr>
          <w:rtl/>
        </w:rPr>
        <w:t xml:space="preserve">. وتلاحظ اللجنة كذلك أن الدولة الطرف لم تطعن في مقبولية الشكوى على هذا الأساس، وترى بالتالي أن صاحب البلاغ استوفى شرط الأجل المنصوص عليه في المادة </w:t>
      </w:r>
      <w:r w:rsidRPr="001F7700">
        <w:rPr>
          <w:rtl/>
        </w:rPr>
        <w:t>14</w:t>
      </w:r>
      <w:r w:rsidRPr="00A97CB7">
        <w:rPr>
          <w:rtl/>
        </w:rPr>
        <w:t>(</w:t>
      </w:r>
      <w:r w:rsidRPr="001F7700">
        <w:rPr>
          <w:rtl/>
        </w:rPr>
        <w:t>5</w:t>
      </w:r>
      <w:r w:rsidRPr="00A97CB7">
        <w:rPr>
          <w:rtl/>
        </w:rPr>
        <w:t>) من الاتفاقية، وهو ستة أشهر.</w:t>
      </w:r>
    </w:p>
    <w:p w14:paraId="140B522D" w14:textId="4455A09F" w:rsidR="00A97CB7" w:rsidRPr="00A97CB7" w:rsidRDefault="00A97CB7" w:rsidP="00A97CB7">
      <w:pPr>
        <w:pStyle w:val="SingleTxtGA"/>
        <w:rPr>
          <w:lang w:val="ar-SA" w:eastAsia="zh-TW" w:bidi="en-GB"/>
        </w:rPr>
      </w:pPr>
      <w:r w:rsidRPr="001F7700">
        <w:rPr>
          <w:rtl/>
        </w:rPr>
        <w:t>7</w:t>
      </w:r>
      <w:r w:rsidRPr="00A97CB7">
        <w:rPr>
          <w:rtl/>
        </w:rPr>
        <w:t>-</w:t>
      </w:r>
      <w:r w:rsidRPr="001F7700">
        <w:rPr>
          <w:rtl/>
        </w:rPr>
        <w:t>3</w:t>
      </w:r>
      <w:r w:rsidRPr="00A97CB7">
        <w:rPr>
          <w:rtl/>
        </w:rPr>
        <w:tab/>
        <w:t xml:space="preserve">وعلاوةً على ذلك، يجب على اللجنة، وفقاً للمادة </w:t>
      </w:r>
      <w:r w:rsidRPr="001F7700">
        <w:rPr>
          <w:rtl/>
        </w:rPr>
        <w:t>91</w:t>
      </w:r>
      <w:r w:rsidRPr="00A97CB7">
        <w:rPr>
          <w:rtl/>
        </w:rPr>
        <w:t xml:space="preserve">(ج) من نظامها الداخلي، أن تتأكد من أن البلاغ يتوافق مع أحكام الاتفاقية. وفي هذا الصدد، تلاحظ اللجنة أن وقائع القضية جرت في تشرين </w:t>
      </w:r>
      <w:r w:rsidRPr="00792AA3">
        <w:rPr>
          <w:spacing w:val="-4"/>
          <w:rtl/>
        </w:rPr>
        <w:t xml:space="preserve">الثاني/نوفمبر </w:t>
      </w:r>
      <w:r w:rsidRPr="001F7700">
        <w:rPr>
          <w:spacing w:val="-4"/>
          <w:rtl/>
        </w:rPr>
        <w:t>2012</w:t>
      </w:r>
      <w:r w:rsidRPr="00792AA3">
        <w:rPr>
          <w:spacing w:val="-4"/>
          <w:rtl/>
        </w:rPr>
        <w:t xml:space="preserve">، أي قبل بدء نفاذ المادة </w:t>
      </w:r>
      <w:r w:rsidRPr="001F7700">
        <w:rPr>
          <w:spacing w:val="-4"/>
          <w:rtl/>
        </w:rPr>
        <w:t>14</w:t>
      </w:r>
      <w:r w:rsidRPr="00792AA3">
        <w:rPr>
          <w:spacing w:val="-4"/>
          <w:rtl/>
        </w:rPr>
        <w:t xml:space="preserve"> بالنسبة للدولة الطرف في </w:t>
      </w:r>
      <w:r w:rsidRPr="001F7700">
        <w:rPr>
          <w:spacing w:val="-4"/>
          <w:rtl/>
        </w:rPr>
        <w:t>8</w:t>
      </w:r>
      <w:r w:rsidRPr="00792AA3">
        <w:rPr>
          <w:spacing w:val="-4"/>
          <w:rtl/>
        </w:rPr>
        <w:t xml:space="preserve"> أيار/مايو </w:t>
      </w:r>
      <w:r w:rsidRPr="001F7700">
        <w:rPr>
          <w:spacing w:val="-4"/>
          <w:rtl/>
        </w:rPr>
        <w:t>2013</w:t>
      </w:r>
      <w:r w:rsidRPr="00792AA3">
        <w:rPr>
          <w:spacing w:val="-4"/>
          <w:rtl/>
        </w:rPr>
        <w:t>. ولكن اللجنة</w:t>
      </w:r>
      <w:r w:rsidR="00792AA3">
        <w:rPr>
          <w:rFonts w:hint="cs"/>
          <w:spacing w:val="-4"/>
          <w:rtl/>
        </w:rPr>
        <w:t> </w:t>
      </w:r>
      <w:r w:rsidRPr="00792AA3">
        <w:rPr>
          <w:spacing w:val="-4"/>
          <w:rtl/>
        </w:rPr>
        <w:t xml:space="preserve">تلاحظ أن قرارات المحاكم المحلية صدرت في </w:t>
      </w:r>
      <w:r w:rsidRPr="001F7700">
        <w:rPr>
          <w:spacing w:val="-4"/>
          <w:rtl/>
        </w:rPr>
        <w:t>27</w:t>
      </w:r>
      <w:r w:rsidRPr="00792AA3">
        <w:rPr>
          <w:spacing w:val="-4"/>
          <w:rtl/>
        </w:rPr>
        <w:t xml:space="preserve"> حزيران/</w:t>
      </w:r>
      <w:proofErr w:type="gramStart"/>
      <w:r w:rsidRPr="00792AA3">
        <w:rPr>
          <w:spacing w:val="-4"/>
          <w:rtl/>
        </w:rPr>
        <w:t>يونيه</w:t>
      </w:r>
      <w:proofErr w:type="gramEnd"/>
      <w:r w:rsidRPr="00792AA3">
        <w:rPr>
          <w:spacing w:val="-4"/>
          <w:rtl/>
        </w:rPr>
        <w:t xml:space="preserve"> </w:t>
      </w:r>
      <w:r w:rsidRPr="001F7700">
        <w:rPr>
          <w:spacing w:val="-4"/>
          <w:rtl/>
        </w:rPr>
        <w:t>2014</w:t>
      </w:r>
      <w:r w:rsidRPr="00792AA3">
        <w:rPr>
          <w:spacing w:val="-4"/>
          <w:rtl/>
        </w:rPr>
        <w:t xml:space="preserve"> و</w:t>
      </w:r>
      <w:r w:rsidRPr="001F7700">
        <w:rPr>
          <w:spacing w:val="-4"/>
          <w:rtl/>
        </w:rPr>
        <w:t>22</w:t>
      </w:r>
      <w:r w:rsidRPr="00792AA3">
        <w:rPr>
          <w:spacing w:val="-4"/>
          <w:rtl/>
        </w:rPr>
        <w:t xml:space="preserve"> كانون الثاني/يناير </w:t>
      </w:r>
      <w:r w:rsidRPr="001F7700">
        <w:rPr>
          <w:spacing w:val="-4"/>
          <w:rtl/>
        </w:rPr>
        <w:t>2015</w:t>
      </w:r>
      <w:r w:rsidRPr="00A97CB7">
        <w:rPr>
          <w:rtl/>
        </w:rPr>
        <w:t xml:space="preserve"> و</w:t>
      </w:r>
      <w:r w:rsidRPr="001F7700">
        <w:rPr>
          <w:rtl/>
        </w:rPr>
        <w:t>16</w:t>
      </w:r>
      <w:r w:rsidRPr="00A97CB7">
        <w:rPr>
          <w:rtl/>
        </w:rPr>
        <w:t xml:space="preserve"> أيلول/سبتمبر </w:t>
      </w:r>
      <w:r w:rsidRPr="001F7700">
        <w:rPr>
          <w:rtl/>
        </w:rPr>
        <w:t>2015</w:t>
      </w:r>
      <w:r w:rsidRPr="00A97CB7">
        <w:rPr>
          <w:rtl/>
        </w:rPr>
        <w:t xml:space="preserve">. وتتفق اللجنة مع لجان أخرى في أنه ينبغي اعتبار القرارات القضائية الصادرة عن السلطات الوطنية جزءاً من وقائع القضية عندما تستند إلى إجراءات لها صلة مباشرة بالوقائع أو الإجراءات أو أوجه التقصير الأصلية التي أدت إلى وقوع انتهاك، شريطة أن تكون هذه القرارات القضائية كفيلة بجبر الانتهاك المزعوم. وفي حالة اعتماد هذه القرارات بعد بدء نفاذ المادة </w:t>
      </w:r>
      <w:r w:rsidRPr="001F7700">
        <w:rPr>
          <w:rtl/>
        </w:rPr>
        <w:t>14</w:t>
      </w:r>
      <w:r w:rsidRPr="00A97CB7">
        <w:rPr>
          <w:rtl/>
        </w:rPr>
        <w:t xml:space="preserve"> بالنسبة للدولة الطرف المعنية، لن يؤثر المعيار الذي تنص عليه المادة </w:t>
      </w:r>
      <w:r w:rsidRPr="001F7700">
        <w:rPr>
          <w:rtl/>
        </w:rPr>
        <w:t>91</w:t>
      </w:r>
      <w:r w:rsidRPr="00A97CB7">
        <w:rPr>
          <w:rtl/>
        </w:rPr>
        <w:t xml:space="preserve">(ج) من النظام الداخلي للجنة في مقبولية البلاغ، </w:t>
      </w:r>
      <w:r w:rsidRPr="00A97CB7">
        <w:rPr>
          <w:rtl/>
        </w:rPr>
        <w:lastRenderedPageBreak/>
        <w:t>إذ</w:t>
      </w:r>
      <w:r w:rsidR="00B33970">
        <w:rPr>
          <w:rFonts w:hint="cs"/>
          <w:rtl/>
        </w:rPr>
        <w:t> </w:t>
      </w:r>
      <w:r w:rsidRPr="00A97CB7">
        <w:rPr>
          <w:rtl/>
        </w:rPr>
        <w:t>يمكن للمحاكم الوطنية، في حالة استفادة الأشخاص المعنيين من سبل الانتصاف، أن تنظر في شكاواهم، وتضع حداً للانتهاكات المزعومة، وتوفر لهم سبل جبر الضرر</w:t>
      </w:r>
      <w:r>
        <w:rPr>
          <w:rStyle w:val="FootnoteReference"/>
          <w:rFonts w:eastAsiaTheme="minorEastAsia"/>
          <w:rtl/>
        </w:rPr>
        <w:t>(</w:t>
      </w:r>
      <w:r w:rsidRPr="001F7700">
        <w:rPr>
          <w:rStyle w:val="FootnoteReference"/>
          <w:rFonts w:eastAsiaTheme="minorEastAsia"/>
          <w:lang w:val="en-US"/>
        </w:rPr>
        <w:footnoteReference w:id="16"/>
      </w:r>
      <w:r>
        <w:rPr>
          <w:rStyle w:val="FootnoteReference"/>
          <w:rFonts w:eastAsiaTheme="minorEastAsia"/>
          <w:rtl/>
        </w:rPr>
        <w:t>)</w:t>
      </w:r>
      <w:r w:rsidRPr="00A97CB7">
        <w:rPr>
          <w:rtl/>
        </w:rPr>
        <w:t xml:space="preserve">. وعلى أية حال، يبدو في هذه القضية أن الانتهاكات التي ادعى صاحب البلاغ وقوعها تتعلق إلى حد كبير بالنواقص التي شابت سبل الانتصاف التي أتاحتها له الدولة الطرف، وهي نظر المحاكم المدنية في دعوى التمييز التي قدمها والقرارات القضائية اللاحقة الصادرة في عام </w:t>
      </w:r>
      <w:r w:rsidRPr="001F7700">
        <w:rPr>
          <w:rtl/>
        </w:rPr>
        <w:t>2014</w:t>
      </w:r>
      <w:r w:rsidRPr="00A97CB7">
        <w:rPr>
          <w:rtl/>
        </w:rPr>
        <w:t xml:space="preserve"> وعام </w:t>
      </w:r>
      <w:r w:rsidRPr="001F7700">
        <w:rPr>
          <w:rtl/>
        </w:rPr>
        <w:t>2015</w:t>
      </w:r>
      <w:r w:rsidRPr="00A97CB7">
        <w:rPr>
          <w:rtl/>
        </w:rPr>
        <w:t>، التي لم تحترم معايير مناهضة التمييز وأدامت المعاملة غير القانونية التي تعرض لها حسبما زَعم من جانب رب عمل في القطاع الخاص</w:t>
      </w:r>
      <w:r>
        <w:rPr>
          <w:rStyle w:val="FootnoteReference"/>
          <w:rFonts w:eastAsiaTheme="minorEastAsia"/>
          <w:rtl/>
        </w:rPr>
        <w:t>(</w:t>
      </w:r>
      <w:r w:rsidRPr="001F7700">
        <w:rPr>
          <w:rStyle w:val="FootnoteReference"/>
          <w:rFonts w:eastAsiaTheme="minorEastAsia"/>
          <w:lang w:val="en-US"/>
        </w:rPr>
        <w:footnoteReference w:id="17"/>
      </w:r>
      <w:r>
        <w:rPr>
          <w:rStyle w:val="FootnoteReference"/>
          <w:rFonts w:eastAsiaTheme="minorEastAsia"/>
          <w:rtl/>
        </w:rPr>
        <w:t>)</w:t>
      </w:r>
      <w:r w:rsidRPr="00A97CB7">
        <w:rPr>
          <w:rtl/>
        </w:rPr>
        <w:t xml:space="preserve">. وفي هذا الصدد، تلاحظ اللجنة أن الإجراءات المدنية التي باشرها صاحب البلاغ أتاحت للمحاكم الوطنية إمكانية دراسة الأدلة المتاحة في ملف القضية بتفصيل والنظر في الانتهاكات المزعومة، بغرض توفير سبل جبر الضرر عند الاقتضاء. وفي ضوء ما تقدم، لا يمكن للجنة أن تعلن عدم قبول البلاغ بموجب المادة </w:t>
      </w:r>
      <w:r w:rsidRPr="001F7700">
        <w:rPr>
          <w:rtl/>
        </w:rPr>
        <w:t>91</w:t>
      </w:r>
      <w:r w:rsidRPr="00A97CB7">
        <w:rPr>
          <w:rtl/>
        </w:rPr>
        <w:t>(ج) من نظامها الداخلي.</w:t>
      </w:r>
    </w:p>
    <w:p w14:paraId="115C3AA1" w14:textId="77777777" w:rsidR="00A97CB7" w:rsidRPr="00A97CB7" w:rsidRDefault="00A97CB7" w:rsidP="00A97CB7">
      <w:pPr>
        <w:pStyle w:val="SingleTxtGA"/>
        <w:rPr>
          <w:rtl/>
        </w:rPr>
      </w:pPr>
      <w:r w:rsidRPr="001F7700">
        <w:rPr>
          <w:rtl/>
        </w:rPr>
        <w:t>7</w:t>
      </w:r>
      <w:r w:rsidRPr="00A97CB7">
        <w:rPr>
          <w:rtl/>
        </w:rPr>
        <w:t>-</w:t>
      </w:r>
      <w:r w:rsidRPr="001F7700">
        <w:rPr>
          <w:rtl/>
        </w:rPr>
        <w:t>4</w:t>
      </w:r>
      <w:r w:rsidRPr="00A97CB7">
        <w:rPr>
          <w:rtl/>
        </w:rPr>
        <w:tab/>
        <w:t xml:space="preserve">وأخيراً، تحيط اللجنة علماً بتأكيد الدولة الطرف أن صاحب البلاغ لم يستنفد جميع سبل الانتصاف المتاحة، إذ لم يقدم طعناً استثنائياً في قرار هيئة القضاء الجنائي بالمحكمة العليا. وفي هذا الصدد، تضع اللجنة في الاعتبار حجة صاحب البلاغ أن هيئة القضاء المدني وليس هيئة القضاء الجنائي في المحكمة العليا هي التي أصدرت الحكم في قضيته، وأن الطعن الاستثنائي الذي تشير إليه الدولة الطرف لا يتاح إلا في القضايا الجنائية. وتلاحظ اللجنة أن صاحب البلاغ دعم إفادته بالوثائق القضائية الواردة في ملف القضية، وترى بالتالي أن سبيل الانتصاف المعني، حتى لو افتُرِض أنه فعال، لم يكن متاحاً في هذه القضية لأغراض المادة </w:t>
      </w:r>
      <w:r w:rsidRPr="001F7700">
        <w:rPr>
          <w:rtl/>
        </w:rPr>
        <w:t>14</w:t>
      </w:r>
      <w:r w:rsidRPr="00A97CB7">
        <w:rPr>
          <w:rtl/>
        </w:rPr>
        <w:t>(</w:t>
      </w:r>
      <w:r w:rsidRPr="001F7700">
        <w:rPr>
          <w:rtl/>
        </w:rPr>
        <w:t>7</w:t>
      </w:r>
      <w:r w:rsidRPr="00A97CB7">
        <w:rPr>
          <w:rtl/>
        </w:rPr>
        <w:t>) من الاتفاقية.</w:t>
      </w:r>
    </w:p>
    <w:p w14:paraId="1A41E165" w14:textId="77777777" w:rsidR="00A97CB7" w:rsidRPr="00A97CB7" w:rsidRDefault="00A97CB7" w:rsidP="00A97CB7">
      <w:pPr>
        <w:pStyle w:val="SingleTxtGA"/>
        <w:rPr>
          <w:lang w:val="en-US" w:eastAsia="zh-TW" w:bidi="en-GB"/>
        </w:rPr>
      </w:pPr>
      <w:r w:rsidRPr="001F7700">
        <w:rPr>
          <w:rtl/>
        </w:rPr>
        <w:t>7</w:t>
      </w:r>
      <w:r w:rsidRPr="00A97CB7">
        <w:rPr>
          <w:rtl/>
        </w:rPr>
        <w:t>-</w:t>
      </w:r>
      <w:r w:rsidRPr="001F7700">
        <w:rPr>
          <w:rtl/>
        </w:rPr>
        <w:t>5</w:t>
      </w:r>
      <w:r w:rsidRPr="00A97CB7">
        <w:rPr>
          <w:rtl/>
        </w:rPr>
        <w:tab/>
        <w:t>وإذ ترى اللجنة أنه لا يوجد أي عائق يحول دون قبول البلاغ، فهي تعلن قبوله وتباشر النظر في أسسه الموضوعية.</w:t>
      </w:r>
    </w:p>
    <w:p w14:paraId="6C70AE4A" w14:textId="77777777" w:rsidR="00A97CB7" w:rsidRPr="00A97CB7" w:rsidRDefault="00A97CB7" w:rsidP="00792AA3">
      <w:pPr>
        <w:pStyle w:val="H4GA"/>
        <w:rPr>
          <w:lang w:val="ar-SA" w:eastAsia="zh-TW" w:bidi="en-GB"/>
        </w:rPr>
      </w:pPr>
      <w:r w:rsidRPr="00A97CB7">
        <w:rPr>
          <w:rtl/>
        </w:rPr>
        <w:tab/>
      </w:r>
      <w:r w:rsidRPr="00A97CB7">
        <w:rPr>
          <w:rtl/>
        </w:rPr>
        <w:tab/>
      </w:r>
      <w:r w:rsidRPr="001F7700">
        <w:rPr>
          <w:rtl/>
        </w:rPr>
        <w:t>النظر في الأسس الموضوعية</w:t>
      </w:r>
    </w:p>
    <w:p w14:paraId="39DB3B7A" w14:textId="77777777" w:rsidR="00A97CB7" w:rsidRPr="00A97CB7" w:rsidRDefault="00A97CB7" w:rsidP="00A97CB7">
      <w:pPr>
        <w:pStyle w:val="SingleTxtGA"/>
        <w:rPr>
          <w:rtl/>
        </w:rPr>
      </w:pPr>
      <w:r w:rsidRPr="001F7700">
        <w:rPr>
          <w:rtl/>
        </w:rPr>
        <w:t>8</w:t>
      </w:r>
      <w:r w:rsidRPr="00A97CB7">
        <w:rPr>
          <w:rtl/>
        </w:rPr>
        <w:t>-</w:t>
      </w:r>
      <w:r w:rsidRPr="001F7700">
        <w:rPr>
          <w:rtl/>
        </w:rPr>
        <w:t>1</w:t>
      </w:r>
      <w:r w:rsidRPr="00A97CB7">
        <w:rPr>
          <w:rtl/>
        </w:rPr>
        <w:tab/>
        <w:t xml:space="preserve">نظرت اللجنة في هذا البلاغ في ضوء جميع المعلومات والأدلة المستندية التي قدمها الطرفان، </w:t>
      </w:r>
      <w:proofErr w:type="gramStart"/>
      <w:r w:rsidRPr="00A97CB7">
        <w:rPr>
          <w:rtl/>
        </w:rPr>
        <w:t>وفقما</w:t>
      </w:r>
      <w:proofErr w:type="gramEnd"/>
      <w:r w:rsidRPr="00A97CB7">
        <w:rPr>
          <w:rtl/>
        </w:rPr>
        <w:t xml:space="preserve"> تقتضيه المادة </w:t>
      </w:r>
      <w:r w:rsidRPr="001F7700">
        <w:rPr>
          <w:rtl/>
        </w:rPr>
        <w:t>14</w:t>
      </w:r>
      <w:r w:rsidRPr="00A97CB7">
        <w:rPr>
          <w:rtl/>
        </w:rPr>
        <w:t>(</w:t>
      </w:r>
      <w:r w:rsidRPr="001F7700">
        <w:rPr>
          <w:rtl/>
        </w:rPr>
        <w:t>7</w:t>
      </w:r>
      <w:r w:rsidRPr="00A97CB7">
        <w:rPr>
          <w:rtl/>
        </w:rPr>
        <w:t xml:space="preserve">)(أ) من الاتفاقية والمادة </w:t>
      </w:r>
      <w:r w:rsidRPr="001F7700">
        <w:rPr>
          <w:rtl/>
        </w:rPr>
        <w:t>95</w:t>
      </w:r>
      <w:r w:rsidRPr="00A97CB7">
        <w:rPr>
          <w:rtl/>
        </w:rPr>
        <w:t xml:space="preserve"> من نظامها الداخلي.</w:t>
      </w:r>
    </w:p>
    <w:p w14:paraId="2A85950F" w14:textId="3A93EB5A" w:rsidR="00A97CB7" w:rsidRPr="00A97CB7" w:rsidRDefault="00A97CB7" w:rsidP="00A97CB7">
      <w:pPr>
        <w:pStyle w:val="SingleTxtGA"/>
        <w:rPr>
          <w:lang w:val="ar-SA" w:eastAsia="zh-TW" w:bidi="en-GB"/>
        </w:rPr>
      </w:pPr>
      <w:r w:rsidRPr="001F7700">
        <w:rPr>
          <w:rtl/>
        </w:rPr>
        <w:t>8</w:t>
      </w:r>
      <w:r w:rsidRPr="00A97CB7">
        <w:rPr>
          <w:rtl/>
        </w:rPr>
        <w:t>-</w:t>
      </w:r>
      <w:r w:rsidRPr="001F7700">
        <w:rPr>
          <w:rtl/>
        </w:rPr>
        <w:t>2</w:t>
      </w:r>
      <w:r w:rsidRPr="00A97CB7">
        <w:rPr>
          <w:rtl/>
        </w:rPr>
        <w:tab/>
        <w:t xml:space="preserve">وتلاحظ اللجنة أن المسألة الأولى التي ينبغي النظر فيها، فيما يتعلق برفض طلب صاحب البلاغ، هي ما إذا كانت الدولة الطرف قد انتهكت التزامها بحمايته من التمييز على أساس الأصل الإثني بموجب المادة </w:t>
      </w:r>
      <w:r w:rsidRPr="001F7700">
        <w:rPr>
          <w:rtl/>
        </w:rPr>
        <w:t>5</w:t>
      </w:r>
      <w:r w:rsidRPr="00A97CB7">
        <w:rPr>
          <w:rtl/>
        </w:rPr>
        <w:t>(ه)</w:t>
      </w:r>
      <w:r w:rsidRPr="00A97CB7">
        <w:t>’</w:t>
      </w:r>
      <w:proofErr w:type="gramStart"/>
      <w:r w:rsidRPr="001F7700">
        <w:rPr>
          <w:rtl/>
        </w:rPr>
        <w:t>1</w:t>
      </w:r>
      <w:r w:rsidRPr="00A97CB7">
        <w:rPr>
          <w:rtl/>
        </w:rPr>
        <w:t>‘ من</w:t>
      </w:r>
      <w:proofErr w:type="gramEnd"/>
      <w:r w:rsidRPr="00A97CB7">
        <w:rPr>
          <w:rtl/>
        </w:rPr>
        <w:t xml:space="preserve"> الاتفاقية. والمسألة الثانية التي ينبغي النظر فيها هي ما إذا كانت مراجعة المحاكم للحكم الصادر ابتدائياً بمثابة انتهاك للمادة </w:t>
      </w:r>
      <w:r w:rsidRPr="001F7700">
        <w:rPr>
          <w:rtl/>
        </w:rPr>
        <w:t>6</w:t>
      </w:r>
      <w:r w:rsidRPr="00A97CB7">
        <w:rPr>
          <w:rtl/>
        </w:rPr>
        <w:t xml:space="preserve"> من الاتفاقية.</w:t>
      </w:r>
    </w:p>
    <w:p w14:paraId="61B41CD7" w14:textId="09405322" w:rsidR="00A97CB7" w:rsidRPr="00FF029B" w:rsidRDefault="00A97CB7" w:rsidP="00A97CB7">
      <w:pPr>
        <w:pStyle w:val="SingleTxtGA"/>
        <w:rPr>
          <w:spacing w:val="-2"/>
          <w:rtl/>
        </w:rPr>
      </w:pPr>
      <w:r w:rsidRPr="00FF029B">
        <w:rPr>
          <w:spacing w:val="-2"/>
          <w:rtl/>
        </w:rPr>
        <w:lastRenderedPageBreak/>
        <w:t>8-3</w:t>
      </w:r>
      <w:r w:rsidRPr="00FF029B">
        <w:rPr>
          <w:spacing w:val="-2"/>
          <w:rtl/>
        </w:rPr>
        <w:tab/>
        <w:t>ووفقاً للمادة 5(ه)</w:t>
      </w:r>
      <w:r w:rsidRPr="00FF029B">
        <w:rPr>
          <w:spacing w:val="-2"/>
        </w:rPr>
        <w:t>’</w:t>
      </w:r>
      <w:proofErr w:type="gramStart"/>
      <w:r w:rsidRPr="00FF029B">
        <w:rPr>
          <w:spacing w:val="-2"/>
          <w:rtl/>
        </w:rPr>
        <w:t>1‘ من</w:t>
      </w:r>
      <w:proofErr w:type="gramEnd"/>
      <w:r w:rsidRPr="00FF029B">
        <w:rPr>
          <w:spacing w:val="-2"/>
          <w:rtl/>
        </w:rPr>
        <w:t xml:space="preserve"> الاتفاقية، تتعهد الدول الأطراف بحظر التمييز العنصري بجميع أشكاله والقضاء عليه، وبضمان تمتع كل إنسان، دونما تمييز على أساس العرق أو اللون أو الأصل القومي أو الإثني، بالحق في العمل. وتُذكر اللجنة بتوصيتها العامة رقم 27(2000) وتلاحظ أنه من الضروري سن تشريعات فعالة تحظر التمييز في مجال العمل وجميع الممارسات التمييزية التي تمس أفراد مجتمعات الروما في سوق العمل، بما في ذلك عمليات التوظيف، إلى جانب توفير حماية فعالة للضحايا المحتملين من هذه الممارسات. وفي هذا الصدد، تحيط اللجنة علماً مع القلق بملاحظة الدولة الطرف أن عملية الانتقاء كانت محكومة بأنظمة معتمدة على صعيد الشركة، تُحدد معايير واضحة وغير تمييزية للتوظيف، وأنه ينبغي بالتالي اعتبار أُسس نتيجة عملية الانتقاء مشروعة. وتوضح اللجنة أن الوفاء بالالتزامات الناشئة عن المادة</w:t>
      </w:r>
      <w:r w:rsidR="00FF029B">
        <w:rPr>
          <w:rFonts w:hint="cs"/>
          <w:spacing w:val="-2"/>
          <w:rtl/>
        </w:rPr>
        <w:t> </w:t>
      </w:r>
      <w:r w:rsidRPr="00FF029B">
        <w:rPr>
          <w:spacing w:val="-2"/>
          <w:rtl/>
        </w:rPr>
        <w:t>5(ه)</w:t>
      </w:r>
      <w:r w:rsidRPr="00FF029B">
        <w:rPr>
          <w:spacing w:val="-2"/>
        </w:rPr>
        <w:t>’</w:t>
      </w:r>
      <w:proofErr w:type="gramStart"/>
      <w:r w:rsidRPr="00FF029B">
        <w:rPr>
          <w:spacing w:val="-2"/>
          <w:rtl/>
        </w:rPr>
        <w:t>1‘ لا</w:t>
      </w:r>
      <w:proofErr w:type="gramEnd"/>
      <w:r w:rsidRPr="00FF029B">
        <w:rPr>
          <w:spacing w:val="-2"/>
          <w:rtl/>
        </w:rPr>
        <w:t xml:space="preserve"> ينحصر في وضع إطار تشريعي وتنظيمي لمكافحة التمييز العنصري في الحصول على العمل، بل يشمل الالتزام بوضع آليات للرصد الفعال لتنفيذ سياسات التوظيف غير التمييزية في الممارسة العملية. غير أن الادعاءات المثبتة المعروضة على اللجنة تثير بالأساس مسائل تتعلق بكفالة الحماية وسبل الانتصاف الفعالة من التمييز العنصري، ولن يجري بالتالي النظر فيها إلا بموجب المادة 6 من الاتفاقية.</w:t>
      </w:r>
    </w:p>
    <w:p w14:paraId="55C34D61" w14:textId="77777777" w:rsidR="00A97CB7" w:rsidRPr="00A97CB7" w:rsidRDefault="00A97CB7" w:rsidP="00A97CB7">
      <w:pPr>
        <w:pStyle w:val="SingleTxtGA"/>
        <w:rPr>
          <w:rtl/>
        </w:rPr>
      </w:pPr>
      <w:r w:rsidRPr="001F7700">
        <w:rPr>
          <w:rtl/>
        </w:rPr>
        <w:t>8</w:t>
      </w:r>
      <w:r w:rsidRPr="00A97CB7">
        <w:rPr>
          <w:rtl/>
        </w:rPr>
        <w:t>-</w:t>
      </w:r>
      <w:r w:rsidRPr="001F7700">
        <w:rPr>
          <w:rtl/>
        </w:rPr>
        <w:t>4</w:t>
      </w:r>
      <w:r w:rsidRPr="00A97CB7">
        <w:rPr>
          <w:rtl/>
        </w:rPr>
        <w:tab/>
        <w:t xml:space="preserve">وتنص المادة </w:t>
      </w:r>
      <w:r w:rsidRPr="001F7700">
        <w:rPr>
          <w:rtl/>
        </w:rPr>
        <w:t>6</w:t>
      </w:r>
      <w:r w:rsidRPr="00A97CB7">
        <w:rPr>
          <w:rtl/>
        </w:rPr>
        <w:t xml:space="preserve"> على أنه "تكفل الدول الأطراف لكل إنسان داخلٍ في ولايتها حق الرجوع إلى المحاكم الوطنية وغيرها من مؤسسات الدولة المختصة لحمايته ورفع الحيف عنه على نحو فعال بصدد أي عمل من أعمال التمييز العنصري يكون انتهاكاً لما له من حقوق الإنسان والحريات الأساسية ويتنافى مع هذه الاتفاقية". وتشير اللجنة إلى أنه، وإن كان يبدو من القراءة الحرفية لهذا الحكم أنه يتعين إثبات وقوع فعل من أفعال التمييز العنصري قبل أن يكون للشخص المتظلم الحق في الحماية والانتصاف، يجب على الدولة الطرف أن تكفل البت في الادعاءات المتعلقة بانتهاك هذا الحق من خلال المحاكم الوطنية والمؤسسات الأخرى، ولا معنى لهذه الضمانة إن لم تُكفل في الحالات التي لم يثبت فيها بعد وقوع انتهاك. ورغم أنه لا يُعقل إلزام دولة طرف بكفالة البت في الادعاءات المتعلقة بانتهاك الحقوق المنصوص عليها في الاتفاقية، بصرف النظر عن أسسها الموضوعية، فإن المادة </w:t>
      </w:r>
      <w:r w:rsidRPr="001F7700">
        <w:rPr>
          <w:rtl/>
        </w:rPr>
        <w:t>6</w:t>
      </w:r>
      <w:r w:rsidRPr="00A97CB7">
        <w:rPr>
          <w:rtl/>
        </w:rPr>
        <w:t xml:space="preserve"> توفر الحماية للضحايا المزعومين إن كانت ادعاءاتهم وجيهة بموجب الاتفاقية. وفي ضوء هذه الاعتبارات، تنتقل اللجنة إلى النظر في ادعاءات صاحب البلاغ بموجب المادة </w:t>
      </w:r>
      <w:r w:rsidRPr="001F7700">
        <w:rPr>
          <w:rtl/>
        </w:rPr>
        <w:t>6</w:t>
      </w:r>
      <w:r w:rsidRPr="00A97CB7">
        <w:rPr>
          <w:rtl/>
        </w:rPr>
        <w:t xml:space="preserve"> من الاتفاقية.</w:t>
      </w:r>
    </w:p>
    <w:p w14:paraId="407C63F2" w14:textId="77777777" w:rsidR="00A97CB7" w:rsidRPr="00FF029B" w:rsidRDefault="00A97CB7" w:rsidP="00A97CB7">
      <w:pPr>
        <w:pStyle w:val="SingleTxtGA"/>
        <w:rPr>
          <w:spacing w:val="-2"/>
          <w:lang w:val="en-US" w:eastAsia="zh-TW" w:bidi="en-GB"/>
        </w:rPr>
      </w:pPr>
      <w:r w:rsidRPr="00FF029B">
        <w:rPr>
          <w:spacing w:val="-2"/>
          <w:rtl/>
        </w:rPr>
        <w:t>8-5</w:t>
      </w:r>
      <w:r w:rsidRPr="00FF029B">
        <w:rPr>
          <w:spacing w:val="-2"/>
          <w:rtl/>
        </w:rPr>
        <w:tab/>
        <w:t>وفي هذا السياق، تحيط اللجنة علماً بما قدمه إليها صاحب البلاغ، الذي ينتمي في الأصل إلى جماعة الروما، من معلومات لم يُطعَن فيها مفادها أن سلسلة مطاعم رفضت الطلب الذي قدمه إليها للعمل كنادل في عام 2012. وتحيط اللجنة علماً، على وجه الخصوص، بادعاء صاحب البلاغ أنه قدم إلى المحاكم المحلية، بسبب هذا الحادث، دعوى ظاهرة الوجاهة بشأن التعرض للتمييز العنصري، وكان بالتالي على الشركة المدعى عليها أن تقدم حججاً معقولة ومقنعة لتبرير المعاملة التمييزية التي تعرض لها. وبالإضافة إلى ذلك، تحيط اللجنة علماً باعتراض الدولة الطرف على ادعاءات صاحب البلاغ بالأساس لأن المحاكم المحلية نظرت في القضية وخلصت إلى أن صاحب البلاغ لم يدعم بما يكفي من الأدلة ادعاءه أنه تعرض للتمييز. وفيما يتعلق، على وجه الخصوص، بفعالية سبل الانتصاف القضائية، بما في ذلك المسألة الإجرائية المتعلقة بنقل عبء الإثبات، تلاحظ اللجنة أن الدولة الطرف لم تقدم أي حجج محددة.</w:t>
      </w:r>
    </w:p>
    <w:p w14:paraId="7F130F5B" w14:textId="4E151B84" w:rsidR="00A97CB7" w:rsidRPr="00A97CB7" w:rsidRDefault="00A97CB7" w:rsidP="00A97CB7">
      <w:pPr>
        <w:pStyle w:val="SingleTxtGA"/>
        <w:rPr>
          <w:rtl/>
        </w:rPr>
      </w:pPr>
      <w:r w:rsidRPr="001F7700">
        <w:rPr>
          <w:rtl/>
        </w:rPr>
        <w:t>8</w:t>
      </w:r>
      <w:r w:rsidRPr="00A97CB7">
        <w:rPr>
          <w:rtl/>
        </w:rPr>
        <w:t>-</w:t>
      </w:r>
      <w:r w:rsidRPr="001F7700">
        <w:rPr>
          <w:rtl/>
        </w:rPr>
        <w:t>6</w:t>
      </w:r>
      <w:r w:rsidRPr="00A97CB7">
        <w:rPr>
          <w:rtl/>
        </w:rPr>
        <w:tab/>
        <w:t xml:space="preserve">وكأول مسألة، تُذكِّر اللجنة، في تقييمها لما إذا كانت المحاكم المحلية قد وفرت لصاحب البلاغ سبل انتصاف فعالة على نحو ما تقتضيه المادة </w:t>
      </w:r>
      <w:r w:rsidRPr="001F7700">
        <w:rPr>
          <w:rtl/>
        </w:rPr>
        <w:t>6</w:t>
      </w:r>
      <w:r w:rsidRPr="00A97CB7">
        <w:rPr>
          <w:rtl/>
        </w:rPr>
        <w:t xml:space="preserve"> من الاتفاقية، باجتهاداتها التي خلصت فيها إلى أن ضحايا التمييز العنصري المفترضين غير مُلزمين بتقديم أدلة على أنهم تعرضوا للتمييز</w:t>
      </w:r>
      <w:r>
        <w:rPr>
          <w:rStyle w:val="FootnoteReference"/>
          <w:rFonts w:eastAsiaTheme="minorEastAsia"/>
          <w:rtl/>
        </w:rPr>
        <w:t>(</w:t>
      </w:r>
      <w:r w:rsidRPr="001F7700">
        <w:rPr>
          <w:rStyle w:val="FootnoteReference"/>
          <w:rFonts w:eastAsiaTheme="minorEastAsia"/>
          <w:lang w:val="en-US"/>
        </w:rPr>
        <w:footnoteReference w:id="18"/>
      </w:r>
      <w:r>
        <w:rPr>
          <w:rStyle w:val="FootnoteReference"/>
          <w:rFonts w:eastAsiaTheme="minorEastAsia"/>
          <w:rtl/>
        </w:rPr>
        <w:t>)</w:t>
      </w:r>
      <w:r w:rsidRPr="00A97CB7">
        <w:rPr>
          <w:rtl/>
        </w:rPr>
        <w:t xml:space="preserve">. ورغم علم </w:t>
      </w:r>
      <w:r w:rsidRPr="00A97CB7">
        <w:rPr>
          <w:rtl/>
        </w:rPr>
        <w:lastRenderedPageBreak/>
        <w:t>اللجنة بالتشريعات الوطنية للدولة الطرف التي تنص على نقل عبء الإثبات في قضايا التمييز</w:t>
      </w:r>
      <w:r>
        <w:rPr>
          <w:rStyle w:val="FootnoteReference"/>
          <w:rFonts w:eastAsiaTheme="minorEastAsia"/>
          <w:rtl/>
        </w:rPr>
        <w:t>(</w:t>
      </w:r>
      <w:r w:rsidRPr="001F7700">
        <w:rPr>
          <w:rStyle w:val="FootnoteReference"/>
          <w:rFonts w:eastAsiaTheme="minorEastAsia"/>
          <w:lang w:val="en-US"/>
        </w:rPr>
        <w:footnoteReference w:id="19"/>
      </w:r>
      <w:r>
        <w:rPr>
          <w:rStyle w:val="FootnoteReference"/>
          <w:rFonts w:eastAsiaTheme="minorEastAsia"/>
          <w:rtl/>
        </w:rPr>
        <w:t>)</w:t>
      </w:r>
      <w:r w:rsidRPr="00A97CB7">
        <w:rPr>
          <w:rtl/>
        </w:rPr>
        <w:t xml:space="preserve">، فهي تُذكر بادعاء صاحب البلاغ أن المحاكم المحلية لم تطبق هذه القوانين المحلية وفقاً للاتفاقية. وفي هذا الصدد، تحيط اللجنة علماً بحجة صاحب البلاغ أن محكمة </w:t>
      </w:r>
      <w:proofErr w:type="spellStart"/>
      <w:r w:rsidRPr="00A97CB7">
        <w:rPr>
          <w:rtl/>
        </w:rPr>
        <w:t>سينترو</w:t>
      </w:r>
      <w:proofErr w:type="spellEnd"/>
      <w:r w:rsidRPr="00A97CB7">
        <w:rPr>
          <w:rtl/>
        </w:rPr>
        <w:t xml:space="preserve"> المحلية في تشيسيناو عابت عليه عدم تقديمه أدلة على أصله الإثني، عدا إشارته إليه. وبهذا الخصوص، تُذكر اللجنة بأن تعريف الأشخاص كمنتمين إلى جماعة إثنية أو عرقية ينبغي أن يقوم على تعريف الشخص المعني لنفسه، ما لم تكن ثمة حجة تبرر عكس ذلك</w:t>
      </w:r>
      <w:r>
        <w:rPr>
          <w:rStyle w:val="FootnoteReference"/>
          <w:rFonts w:eastAsiaTheme="minorEastAsia"/>
          <w:rtl/>
        </w:rPr>
        <w:t>(</w:t>
      </w:r>
      <w:r w:rsidRPr="001F7700">
        <w:rPr>
          <w:rStyle w:val="FootnoteReference"/>
          <w:rFonts w:eastAsiaTheme="minorEastAsia"/>
          <w:lang w:val="en-US"/>
        </w:rPr>
        <w:footnoteReference w:id="20"/>
      </w:r>
      <w:r>
        <w:rPr>
          <w:rStyle w:val="FootnoteReference"/>
          <w:rFonts w:eastAsiaTheme="minorEastAsia"/>
          <w:rtl/>
        </w:rPr>
        <w:t>)</w:t>
      </w:r>
      <w:r w:rsidRPr="00A97CB7">
        <w:rPr>
          <w:rtl/>
        </w:rPr>
        <w:t>.</w:t>
      </w:r>
    </w:p>
    <w:p w14:paraId="19410B19" w14:textId="41D679D1" w:rsidR="00A97CB7" w:rsidRPr="00A97CB7" w:rsidRDefault="00A97CB7" w:rsidP="00FF029B">
      <w:pPr>
        <w:pStyle w:val="SingleTxtGA"/>
        <w:spacing w:line="350" w:lineRule="exact"/>
        <w:rPr>
          <w:rtl/>
        </w:rPr>
      </w:pPr>
      <w:r w:rsidRPr="001F7700">
        <w:rPr>
          <w:rtl/>
        </w:rPr>
        <w:t>8</w:t>
      </w:r>
      <w:r w:rsidRPr="00A97CB7">
        <w:rPr>
          <w:rtl/>
        </w:rPr>
        <w:t>-</w:t>
      </w:r>
      <w:r w:rsidRPr="001F7700">
        <w:rPr>
          <w:rtl/>
        </w:rPr>
        <w:t>7</w:t>
      </w:r>
      <w:r w:rsidRPr="00A97CB7">
        <w:rPr>
          <w:rtl/>
        </w:rPr>
        <w:tab/>
        <w:t>وعلاوةً على ذلك، تحيط اللجنة علماً بادعاء صاحب البلاغ أن المحاكم المحلية بالغت في إعطاء الأهمية لمطالبته بالتعويض عوض الحصول على العمل كسبيل انتصاف خلال الإجراءات القضائية. وتلاحظ اللجنة أن المحاكم استندت إلى اختيار صاحب البلاغ لافتراض أنه لم يكن ينوي أبداً العمل في الشركة المعنية، وهو افتراض أضعفَ على ما يبدو مستوى مراعاة المحاكم المحلية ادعاءه التعرض للتمييز لدى تقييمها لقضيته. وتشدد اللجنة على أن اختيار سبيل انتصاف معين لا يجوز أن يؤثر سلباً في تقييم ا</w:t>
      </w:r>
      <w:r w:rsidR="00692993">
        <w:rPr>
          <w:rFonts w:hint="cs"/>
          <w:rtl/>
        </w:rPr>
        <w:t>د</w:t>
      </w:r>
      <w:r w:rsidRPr="00A97CB7">
        <w:rPr>
          <w:rtl/>
        </w:rPr>
        <w:t>عاء التعرض للتمييز، حتى في الحالات التي لا يرغب فيها الشخص ضحية التمييز المزعوم في العمل في الشركة المعنية.</w:t>
      </w:r>
    </w:p>
    <w:p w14:paraId="6F538D6E" w14:textId="77777777" w:rsidR="00A97CB7" w:rsidRPr="00A97CB7" w:rsidRDefault="00A97CB7" w:rsidP="00FF029B">
      <w:pPr>
        <w:pStyle w:val="SingleTxtGA"/>
        <w:spacing w:line="350" w:lineRule="exact"/>
        <w:rPr>
          <w:rtl/>
        </w:rPr>
      </w:pPr>
      <w:r w:rsidRPr="001F7700">
        <w:rPr>
          <w:rtl/>
        </w:rPr>
        <w:t>8</w:t>
      </w:r>
      <w:r w:rsidRPr="00A97CB7">
        <w:rPr>
          <w:rtl/>
        </w:rPr>
        <w:t>-</w:t>
      </w:r>
      <w:r w:rsidRPr="001F7700">
        <w:rPr>
          <w:rtl/>
        </w:rPr>
        <w:t>8</w:t>
      </w:r>
      <w:r w:rsidRPr="00A97CB7">
        <w:rPr>
          <w:rtl/>
        </w:rPr>
        <w:tab/>
        <w:t>وعلاوةً على ذلك، تلاحظ اللجنة بقلق أن المحاكم المحلية خلصت إلى أن قرار صاحب البلاغ عدم عرض قضيته على مجلس منع التمييز والقضاء عليه وكفالة المساواة يؤكد عدم وجود "حالة تمييز حقيقية". وفي هذا الصدد، تشير اللجنة إلى أنه لا يجوز أن يضر بوضع صاحب البلاغ اختياره سبيلاً قضائياً قادراً على توفير التعويض، بالإضافة إلى الانتصاف.</w:t>
      </w:r>
    </w:p>
    <w:p w14:paraId="73659C82" w14:textId="2919CF67" w:rsidR="00A97CB7" w:rsidRPr="00FF029B" w:rsidRDefault="00A97CB7" w:rsidP="00FF029B">
      <w:pPr>
        <w:pStyle w:val="SingleTxtGA"/>
        <w:spacing w:line="350" w:lineRule="exact"/>
        <w:rPr>
          <w:spacing w:val="-4"/>
          <w:rtl/>
        </w:rPr>
      </w:pPr>
      <w:r w:rsidRPr="00FF029B">
        <w:rPr>
          <w:spacing w:val="-4"/>
          <w:rtl/>
        </w:rPr>
        <w:t>8-9</w:t>
      </w:r>
      <w:r w:rsidRPr="00FF029B">
        <w:rPr>
          <w:spacing w:val="-4"/>
          <w:rtl/>
        </w:rPr>
        <w:tab/>
        <w:t xml:space="preserve">وأخيراً، تلاحظ اللجنة أنه يبدو من الوثائق القضائية أن المحاكم، عوض إلزام الشركة المدعى عليها بتبرير المعاملة </w:t>
      </w:r>
      <w:proofErr w:type="spellStart"/>
      <w:r w:rsidRPr="00FF029B">
        <w:rPr>
          <w:spacing w:val="-4"/>
          <w:rtl/>
        </w:rPr>
        <w:t>التمايزية</w:t>
      </w:r>
      <w:proofErr w:type="spellEnd"/>
      <w:r w:rsidRPr="00FF029B">
        <w:rPr>
          <w:spacing w:val="-4"/>
          <w:rtl/>
        </w:rPr>
        <w:t xml:space="preserve"> لصاحب البلاغ بتحديد الأسباب الدقيقة لعدم توظيفه، رغم الفتوى التي قدمها مجلس منع التمييز والقضاء عليه وكفالة المساواة والتي يسترعي فيها انتباه المحاكم إلى ضرورة نقل عبء الإثبات في قضايا التمييز ويقدم فيها بعض الإرشادات بخصوص تفسير مصطلح "المتطلبات المهنية الأساسية"، اعتمدت إلى حد كبير على شهادات مستخدَمين آخرين أفادوا بأن البيئة التي يؤدون فيها واجباتهم اليومية خالية من التمييز. غير أن اللجنة تشعر بالقلق لأن المعلومات المستقاة من أشخاص يختلفون عن صاحب البلاغ من حيث السن والجنس والأصل الإثني ويَشغلون وظائف أخرى ليست دليلاً على أن حالة هؤلاء الأشخاص مماثلة لحالة صاحب البلاغ. وتتجاهل أيضاً احتمال التقاطع</w:t>
      </w:r>
      <w:r w:rsidRPr="00FF029B">
        <w:rPr>
          <w:rStyle w:val="FootnoteReference"/>
          <w:rFonts w:eastAsiaTheme="minorEastAsia"/>
          <w:spacing w:val="-4"/>
          <w:rtl/>
        </w:rPr>
        <w:t>(</w:t>
      </w:r>
      <w:r w:rsidRPr="00FF029B">
        <w:rPr>
          <w:rStyle w:val="FootnoteReference"/>
          <w:rFonts w:eastAsiaTheme="minorEastAsia"/>
          <w:spacing w:val="-4"/>
          <w:lang w:val="en-US"/>
        </w:rPr>
        <w:footnoteReference w:id="21"/>
      </w:r>
      <w:r w:rsidRPr="00FF029B">
        <w:rPr>
          <w:rStyle w:val="FootnoteReference"/>
          <w:rFonts w:eastAsiaTheme="minorEastAsia"/>
          <w:spacing w:val="-4"/>
          <w:rtl/>
        </w:rPr>
        <w:t>)</w:t>
      </w:r>
      <w:r w:rsidRPr="00FF029B">
        <w:rPr>
          <w:spacing w:val="-4"/>
          <w:rtl/>
        </w:rPr>
        <w:t xml:space="preserve"> ووجود "حالات التراتبية الإثنية" في سوق العمل على نحو ما أظهرته تجارب ميدانية مقارنة في أوروبا، وتقلل من شأن المعاملة التمييزية التي تقع في حالات "معزولة" ومحددة، أو حتى بدوافع مختلطة، ولا تعتبرها جزءاً من سياسة أو معاملة منهجية، ولا سيما في غياب أي توضيح محدد من جانب الشركة المدعى عليها بخصوص رفض توظيف صاحب البلاغ. وأخيراً، تُذكر اللجنة بأن هذا النهج لا ينسجم مع فهم التحديات ومظاهر التحيز التي لا يزال يواجهها مجتمع الروما في الدولة الطرف، كما ورد في الملاحظات الختامية التي أصدرتها اللجنة بشأن جمهورية مولدوفا في عامي 2011 و2017، وكذلك في تقارير عديدة لهيئات دولية وإقليمية أخرى لحقوق الإنسان</w:t>
      </w:r>
      <w:r w:rsidRPr="00FF029B">
        <w:rPr>
          <w:rStyle w:val="FootnoteReference"/>
          <w:rFonts w:eastAsiaTheme="minorEastAsia"/>
          <w:spacing w:val="-4"/>
          <w:rtl/>
        </w:rPr>
        <w:t>(</w:t>
      </w:r>
      <w:r w:rsidRPr="00FF029B">
        <w:rPr>
          <w:rStyle w:val="FootnoteReference"/>
          <w:rFonts w:eastAsiaTheme="minorEastAsia"/>
          <w:spacing w:val="-4"/>
          <w:lang w:val="en-US"/>
        </w:rPr>
        <w:footnoteReference w:id="22"/>
      </w:r>
      <w:r w:rsidRPr="00FF029B">
        <w:rPr>
          <w:rStyle w:val="FootnoteReference"/>
          <w:rFonts w:eastAsiaTheme="minorEastAsia"/>
          <w:spacing w:val="-4"/>
          <w:rtl/>
        </w:rPr>
        <w:t>)</w:t>
      </w:r>
      <w:r w:rsidRPr="00FF029B">
        <w:rPr>
          <w:spacing w:val="-4"/>
          <w:rtl/>
        </w:rPr>
        <w:t>.</w:t>
      </w:r>
    </w:p>
    <w:p w14:paraId="1C3228A1" w14:textId="4CC38EDB" w:rsidR="00A97CB7" w:rsidRPr="00FF029B" w:rsidRDefault="00A97CB7" w:rsidP="00A97CB7">
      <w:pPr>
        <w:pStyle w:val="SingleTxtGA"/>
        <w:rPr>
          <w:spacing w:val="-2"/>
          <w:rtl/>
        </w:rPr>
      </w:pPr>
      <w:r w:rsidRPr="001F7700">
        <w:rPr>
          <w:rtl/>
        </w:rPr>
        <w:lastRenderedPageBreak/>
        <w:t>8</w:t>
      </w:r>
      <w:r w:rsidRPr="00A97CB7">
        <w:rPr>
          <w:rtl/>
        </w:rPr>
        <w:t>-</w:t>
      </w:r>
      <w:r w:rsidRPr="001F7700">
        <w:rPr>
          <w:rtl/>
        </w:rPr>
        <w:t>10</w:t>
      </w:r>
      <w:r w:rsidRPr="00A97CB7">
        <w:rPr>
          <w:rtl/>
        </w:rPr>
        <w:tab/>
      </w:r>
      <w:r w:rsidRPr="00FF029B">
        <w:rPr>
          <w:spacing w:val="-2"/>
          <w:rtl/>
        </w:rPr>
        <w:t>وتؤكد اللجنة مرة أخرى أن المادة 6، إذ لا يُعقل إلزام دولة طرف بكفالة البت في الادعاءات المتعلقة بانتهاك الحقوق المنصوص عليها في الاتفاقية، بصرف النظر عن أسسها الموضوعية، توفر الحماية للضحايا المزعومين إن كانت ادعاءاتهم وجيهة بموجب الاتفاقية. وفي ضوء الاعتبارات الواردة أعلاه، تخلص اللجنة في هذه القضية إلى أن صاحب البلاغ قدم دعوى وجيهة من هذا القبيل، ولكنه حُمِّل على نحو غير متناسب عبء إثبات تعرضه للتمييز من جانب الشركة المدعى عليها. وترى اللجنة أنه، وإن كانت التشريعات الوطنية تنص على إجراء نقل عبء الإثبات، كان رد الدولة الطرف على ادعاءات التمييز العنصري غير فعال لدرجة أنها لم تكفل لصاحب البلاغ الحماية وسبل الانتصاف المناسبة، بما</w:t>
      </w:r>
      <w:r w:rsidR="00692993" w:rsidRPr="00FF029B">
        <w:rPr>
          <w:rFonts w:hint="cs"/>
          <w:spacing w:val="-2"/>
          <w:rtl/>
        </w:rPr>
        <w:t> </w:t>
      </w:r>
      <w:r w:rsidRPr="00FF029B">
        <w:rPr>
          <w:spacing w:val="-2"/>
          <w:rtl/>
        </w:rPr>
        <w:t>في ذلك الترضية والتعويض المناسبان عن الضرر الذي تعرض له، عملاً بقوانينها الخاصة وبالمادة</w:t>
      </w:r>
      <w:r w:rsidR="00692993" w:rsidRPr="00FF029B">
        <w:rPr>
          <w:rFonts w:hint="cs"/>
          <w:spacing w:val="-2"/>
          <w:rtl/>
        </w:rPr>
        <w:t> </w:t>
      </w:r>
      <w:r w:rsidRPr="00FF029B">
        <w:rPr>
          <w:spacing w:val="-2"/>
          <w:rtl/>
        </w:rPr>
        <w:t>6 من الاتفاقية. وتخلص اللجنة بالتالي إلى أن حقوق صاحب البلاغ المكفولة بموجب المادة 6 من الاتفاقية قد انتُهكت</w:t>
      </w:r>
      <w:r w:rsidRPr="00FF029B">
        <w:rPr>
          <w:rStyle w:val="FootnoteReference"/>
          <w:rFonts w:eastAsiaTheme="minorEastAsia"/>
          <w:spacing w:val="-2"/>
          <w:rtl/>
        </w:rPr>
        <w:t>(</w:t>
      </w:r>
      <w:r w:rsidRPr="00FF029B">
        <w:rPr>
          <w:rStyle w:val="FootnoteReference"/>
          <w:rFonts w:eastAsiaTheme="minorEastAsia"/>
          <w:spacing w:val="-2"/>
          <w:lang w:val="en-US"/>
        </w:rPr>
        <w:footnoteReference w:id="23"/>
      </w:r>
      <w:r w:rsidRPr="00FF029B">
        <w:rPr>
          <w:rStyle w:val="FootnoteReference"/>
          <w:rFonts w:eastAsiaTheme="minorEastAsia"/>
          <w:spacing w:val="-2"/>
          <w:rtl/>
        </w:rPr>
        <w:t>)</w:t>
      </w:r>
      <w:r w:rsidRPr="00FF029B">
        <w:rPr>
          <w:spacing w:val="-2"/>
          <w:rtl/>
        </w:rPr>
        <w:t>.</w:t>
      </w:r>
    </w:p>
    <w:p w14:paraId="4B4D76A3" w14:textId="674F8E8D" w:rsidR="00A97CB7" w:rsidRPr="00A97CB7" w:rsidRDefault="00A97CB7" w:rsidP="00A97CB7">
      <w:pPr>
        <w:pStyle w:val="SingleTxtGA"/>
        <w:rPr>
          <w:lang w:val="ar-SA" w:eastAsia="zh-TW" w:bidi="en-GB"/>
        </w:rPr>
      </w:pPr>
      <w:r w:rsidRPr="001F7700">
        <w:rPr>
          <w:rtl/>
        </w:rPr>
        <w:t>8</w:t>
      </w:r>
      <w:r w:rsidRPr="00A97CB7">
        <w:rPr>
          <w:rtl/>
        </w:rPr>
        <w:t>-</w:t>
      </w:r>
      <w:r w:rsidRPr="001F7700">
        <w:rPr>
          <w:rtl/>
        </w:rPr>
        <w:t>11</w:t>
      </w:r>
      <w:r w:rsidRPr="00A97CB7">
        <w:rPr>
          <w:rtl/>
        </w:rPr>
        <w:tab/>
        <w:t xml:space="preserve">وفي ضوء ما تقدم، لا ترى اللجنة داعياً للنظر بشكل منفصل في ادعاءات صاحب البلاغ المتعلقة بالمادة </w:t>
      </w:r>
      <w:r w:rsidRPr="001F7700">
        <w:rPr>
          <w:rtl/>
        </w:rPr>
        <w:t>5</w:t>
      </w:r>
      <w:r w:rsidRPr="00A97CB7">
        <w:rPr>
          <w:rtl/>
        </w:rPr>
        <w:t>(ه)</w:t>
      </w:r>
      <w:r w:rsidRPr="00A97CB7">
        <w:t>’</w:t>
      </w:r>
      <w:r w:rsidRPr="001F7700">
        <w:rPr>
          <w:rtl/>
        </w:rPr>
        <w:t>1</w:t>
      </w:r>
      <w:r w:rsidRPr="00A97CB7">
        <w:rPr>
          <w:rtl/>
        </w:rPr>
        <w:t xml:space="preserve">‘، والمادة </w:t>
      </w:r>
      <w:r w:rsidRPr="001F7700">
        <w:rPr>
          <w:rtl/>
        </w:rPr>
        <w:t>7</w:t>
      </w:r>
      <w:r w:rsidRPr="00A97CB7">
        <w:rPr>
          <w:rtl/>
        </w:rPr>
        <w:t xml:space="preserve"> مقروءة بالاقتران مع المادة </w:t>
      </w:r>
      <w:r w:rsidRPr="001F7700">
        <w:rPr>
          <w:rtl/>
        </w:rPr>
        <w:t>2</w:t>
      </w:r>
      <w:r w:rsidRPr="00A97CB7">
        <w:rPr>
          <w:rtl/>
        </w:rPr>
        <w:t>(</w:t>
      </w:r>
      <w:r w:rsidRPr="001F7700">
        <w:rPr>
          <w:rtl/>
        </w:rPr>
        <w:t>1</w:t>
      </w:r>
      <w:r w:rsidRPr="00A97CB7">
        <w:rPr>
          <w:rtl/>
        </w:rPr>
        <w:t>)</w:t>
      </w:r>
      <w:r w:rsidR="00B5203C">
        <w:rPr>
          <w:rtl/>
        </w:rPr>
        <w:t>(</w:t>
      </w:r>
      <w:r w:rsidRPr="00A97CB7">
        <w:rPr>
          <w:rtl/>
        </w:rPr>
        <w:t>د) من الاتفاقية.</w:t>
      </w:r>
    </w:p>
    <w:p w14:paraId="75CD365C" w14:textId="4A4D6918" w:rsidR="00A97CB7" w:rsidRPr="00A97CB7" w:rsidRDefault="00A97CB7" w:rsidP="00A97CB7">
      <w:pPr>
        <w:pStyle w:val="SingleTxtGA"/>
        <w:rPr>
          <w:lang w:val="ar-SA" w:eastAsia="zh-TW" w:bidi="en-GB"/>
        </w:rPr>
      </w:pPr>
      <w:r w:rsidRPr="001F7700">
        <w:rPr>
          <w:rtl/>
        </w:rPr>
        <w:t>9</w:t>
      </w:r>
      <w:r w:rsidRPr="00A97CB7">
        <w:rPr>
          <w:rtl/>
        </w:rPr>
        <w:t>-</w:t>
      </w:r>
      <w:r w:rsidRPr="00A97CB7">
        <w:rPr>
          <w:rtl/>
        </w:rPr>
        <w:tab/>
        <w:t xml:space="preserve">وإذ تتصرف اللجنة بموجب المادة </w:t>
      </w:r>
      <w:r w:rsidRPr="001F7700">
        <w:rPr>
          <w:rtl/>
        </w:rPr>
        <w:t>14</w:t>
      </w:r>
      <w:r w:rsidRPr="00A97CB7">
        <w:rPr>
          <w:rtl/>
        </w:rPr>
        <w:t>(</w:t>
      </w:r>
      <w:r w:rsidRPr="001F7700">
        <w:rPr>
          <w:rtl/>
        </w:rPr>
        <w:t>7</w:t>
      </w:r>
      <w:r w:rsidRPr="00A97CB7">
        <w:rPr>
          <w:rtl/>
        </w:rPr>
        <w:t>)</w:t>
      </w:r>
      <w:r w:rsidR="00B5203C">
        <w:rPr>
          <w:rtl/>
        </w:rPr>
        <w:t>(</w:t>
      </w:r>
      <w:r w:rsidRPr="00A97CB7">
        <w:rPr>
          <w:rtl/>
        </w:rPr>
        <w:t xml:space="preserve">أ) من الاتفاقية، فهي تستنتج أن الوقائع المعروضة عليها في هذه القضية تكشف عن انتهاك الدولة الطرف المادة </w:t>
      </w:r>
      <w:r w:rsidRPr="001F7700">
        <w:rPr>
          <w:rtl/>
        </w:rPr>
        <w:t>6</w:t>
      </w:r>
      <w:r w:rsidRPr="00A97CB7">
        <w:rPr>
          <w:rtl/>
        </w:rPr>
        <w:t xml:space="preserve"> من الاتفاقية.</w:t>
      </w:r>
    </w:p>
    <w:p w14:paraId="5CAB5DE2" w14:textId="77777777" w:rsidR="00A97CB7" w:rsidRPr="00A97CB7" w:rsidRDefault="00A97CB7" w:rsidP="00A97CB7">
      <w:pPr>
        <w:pStyle w:val="SingleTxtGA"/>
        <w:rPr>
          <w:lang w:val="ar-SA" w:eastAsia="zh-TW" w:bidi="en-GB"/>
        </w:rPr>
      </w:pPr>
      <w:r w:rsidRPr="001F7700">
        <w:rPr>
          <w:rtl/>
        </w:rPr>
        <w:t>10</w:t>
      </w:r>
      <w:r w:rsidRPr="00A97CB7">
        <w:rPr>
          <w:rtl/>
        </w:rPr>
        <w:t>-</w:t>
      </w:r>
      <w:r w:rsidRPr="00A97CB7">
        <w:rPr>
          <w:rtl/>
        </w:rPr>
        <w:tab/>
        <w:t>وتوصي اللجنة الدولة الطرف بتقديم اعتذار إلى صاحب البلاغ ومنحه تعويضاً مناسباً عن الضرر الناجم عن انتهاك الاتفاقية المذكور أعلاه. وتوصي اللجنة الدولة الطرف أيضاً بأن تنفذ على نحو كامل قوانينها لمناهضة التمييز: (أ) من خلال تدريب القضاة في مجال تشريعات مكافحة التمييز، وذلك، في جملة أمور، بغرض ضمان مراعاتهم الكاملة لمبدأ نقل عبء الإثبات؛ و(ب) من خلال توفير معلومات واضحة عن سبل الانتصاف المحلية المتاحة في حالات التمييز العنصري؛ و(ج) من خلال تعزيز رصد معايير مناهضة التمييز في مجال العمل. وتطلب اللجنة إلى الدولة الطرف أيضاً أن تنشر هذا الرأي على نطاق واسع، بما في ذلك في أوساط الهيئات القضائية، وأن تترجمه إلى لغتها الرسمية.</w:t>
      </w:r>
    </w:p>
    <w:p w14:paraId="353D87AF" w14:textId="77777777" w:rsidR="00A97CB7" w:rsidRPr="00A97CB7" w:rsidRDefault="00A97CB7" w:rsidP="00A97CB7">
      <w:pPr>
        <w:pStyle w:val="SingleTxtGA"/>
        <w:rPr>
          <w:lang w:val="ar-SA" w:eastAsia="zh-TW" w:bidi="en-GB"/>
        </w:rPr>
      </w:pPr>
      <w:r w:rsidRPr="001F7700">
        <w:rPr>
          <w:rtl/>
        </w:rPr>
        <w:t>11</w:t>
      </w:r>
      <w:r w:rsidRPr="00A97CB7">
        <w:rPr>
          <w:rtl/>
        </w:rPr>
        <w:t>-</w:t>
      </w:r>
      <w:r w:rsidRPr="00A97CB7">
        <w:rPr>
          <w:rtl/>
        </w:rPr>
        <w:tab/>
        <w:t xml:space="preserve">وتطلب اللجنة إلى الدولة الطرف أن تقدم إليها، في غضون </w:t>
      </w:r>
      <w:r w:rsidRPr="001F7700">
        <w:rPr>
          <w:rtl/>
        </w:rPr>
        <w:t>90</w:t>
      </w:r>
      <w:r w:rsidRPr="00A97CB7">
        <w:rPr>
          <w:rtl/>
        </w:rPr>
        <w:t xml:space="preserve"> يوماً، معلومات عن التدابير المتخذة لتنفيذ هذا الرأي.</w:t>
      </w:r>
    </w:p>
    <w:p w14:paraId="45F7BE2C" w14:textId="4C4781F0" w:rsidR="00A97CB7" w:rsidRPr="00A97CB7" w:rsidRDefault="00A97CB7" w:rsidP="00A97CB7">
      <w:pPr>
        <w:pStyle w:val="SingleTxtGA"/>
        <w:jc w:val="center"/>
        <w:rPr>
          <w:u w:val="single"/>
          <w:rtl/>
        </w:rPr>
      </w:pPr>
      <w:r>
        <w:rPr>
          <w:u w:val="single"/>
          <w:rtl/>
        </w:rPr>
        <w:tab/>
      </w:r>
      <w:r>
        <w:rPr>
          <w:u w:val="single"/>
          <w:rtl/>
        </w:rPr>
        <w:tab/>
      </w:r>
      <w:r>
        <w:rPr>
          <w:u w:val="single"/>
          <w:rtl/>
        </w:rPr>
        <w:tab/>
      </w:r>
    </w:p>
    <w:sectPr w:rsidR="00A97CB7" w:rsidRPr="00A97CB7" w:rsidSect="008E07BD">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E52AF" w14:textId="77777777" w:rsidR="00A97CB7" w:rsidRPr="002901D9" w:rsidRDefault="00A97CB7" w:rsidP="007E37DC">
      <w:pPr>
        <w:spacing w:after="60" w:line="240" w:lineRule="auto"/>
        <w:ind w:left="57"/>
        <w:rPr>
          <w:i/>
          <w:iCs/>
        </w:rPr>
      </w:pPr>
      <w:r>
        <w:rPr>
          <w:rFonts w:hint="cs"/>
          <w:i/>
          <w:iCs/>
          <w:rtl/>
        </w:rPr>
        <w:t>الحواشي</w:t>
      </w:r>
    </w:p>
  </w:endnote>
  <w:endnote w:type="continuationSeparator" w:id="0">
    <w:p w14:paraId="074A8907" w14:textId="77777777" w:rsidR="00A97CB7" w:rsidRDefault="00A97CB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2E948" w14:textId="45B39644" w:rsidR="00A97CB7" w:rsidRPr="00296943" w:rsidRDefault="00A97CB7" w:rsidP="00296943">
    <w:pPr>
      <w:pStyle w:val="Footer"/>
      <w:tabs>
        <w:tab w:val="right" w:pos="9638"/>
      </w:tabs>
      <w:rPr>
        <w:b/>
        <w:sz w:val="18"/>
        <w:lang w:val="en-US"/>
      </w:rPr>
    </w:pPr>
    <w:r>
      <w:rPr>
        <w:lang w:val="en-US"/>
      </w:rPr>
      <w:t>GE.21-07061</w:t>
    </w:r>
    <w:r>
      <w:rPr>
        <w:lang w:val="en-US"/>
      </w:rPr>
      <w:tab/>
    </w:r>
    <w:r w:rsidRPr="00296943">
      <w:rPr>
        <w:b/>
        <w:sz w:val="18"/>
        <w:lang w:val="en-US"/>
      </w:rPr>
      <w:fldChar w:fldCharType="begin"/>
    </w:r>
    <w:r w:rsidRPr="00296943">
      <w:rPr>
        <w:b/>
        <w:sz w:val="18"/>
        <w:lang w:val="en-US"/>
      </w:rPr>
      <w:instrText xml:space="preserve"> PAGE  \* MERGEFORMAT </w:instrText>
    </w:r>
    <w:r w:rsidRPr="00296943">
      <w:rPr>
        <w:b/>
        <w:sz w:val="18"/>
        <w:lang w:val="en-US"/>
      </w:rPr>
      <w:fldChar w:fldCharType="separate"/>
    </w:r>
    <w:r w:rsidRPr="00296943">
      <w:rPr>
        <w:b/>
        <w:noProof/>
        <w:sz w:val="18"/>
        <w:lang w:val="en-US"/>
      </w:rPr>
      <w:t>2</w:t>
    </w:r>
    <w:r w:rsidRPr="00296943">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36614" w14:textId="43953F84" w:rsidR="00A97CB7" w:rsidRPr="00296943" w:rsidRDefault="00A97CB7" w:rsidP="00296943">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GE.21-07061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5B610" w14:textId="6B06CD5E" w:rsidR="00A97CB7" w:rsidRPr="00296943" w:rsidRDefault="00A97CB7" w:rsidP="00296943">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07532A2B" wp14:editId="2A10B5C7">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6" name="Picture 6"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21-07061 (A)</w:t>
    </w:r>
    <w:r>
      <w:rPr>
        <w:noProof/>
        <w:sz w:val="20"/>
        <w:lang w:val="en-US"/>
      </w:rPr>
      <w:drawing>
        <wp:anchor distT="0" distB="0" distL="114300" distR="114300" simplePos="0" relativeHeight="251659264" behindDoc="0" locked="0" layoutInCell="1" allowOverlap="1" wp14:anchorId="62A45EB5" wp14:editId="190F1B36">
          <wp:simplePos x="0" y="0"/>
          <wp:positionH relativeFrom="margin">
            <wp:posOffset>0</wp:posOffset>
          </wp:positionH>
          <wp:positionV relativeFrom="margin">
            <wp:posOffset>8891905</wp:posOffset>
          </wp:positionV>
          <wp:extent cx="561975" cy="561975"/>
          <wp:effectExtent l="0" t="0" r="9525" b="9525"/>
          <wp:wrapNone/>
          <wp:docPr id="7"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37FD0" w14:textId="77777777" w:rsidR="00A97CB7" w:rsidRPr="00CB28F9" w:rsidRDefault="00A97CB7" w:rsidP="00BA2567">
      <w:pPr>
        <w:pStyle w:val="Footer"/>
        <w:bidi/>
        <w:spacing w:after="80" w:line="200" w:lineRule="exact"/>
        <w:ind w:left="680"/>
      </w:pPr>
      <w:r>
        <w:rPr>
          <w:rtl/>
        </w:rPr>
        <w:t>__________</w:t>
      </w:r>
    </w:p>
  </w:footnote>
  <w:footnote w:type="continuationSeparator" w:id="0">
    <w:p w14:paraId="4351A5DB" w14:textId="77777777" w:rsidR="00A97CB7" w:rsidRDefault="00A97CB7" w:rsidP="00656392">
      <w:pPr>
        <w:spacing w:line="240" w:lineRule="auto"/>
      </w:pPr>
      <w:r>
        <w:continuationSeparator/>
      </w:r>
    </w:p>
  </w:footnote>
  <w:footnote w:id="1">
    <w:p w14:paraId="0E731973" w14:textId="023D5C61" w:rsidR="00A97CB7" w:rsidRPr="00A97CB7" w:rsidRDefault="00A97CB7" w:rsidP="00A97CB7">
      <w:pPr>
        <w:pStyle w:val="FootnoteText1"/>
        <w:rPr>
          <w:rtl/>
        </w:rPr>
      </w:pPr>
      <w:r w:rsidRPr="00A97CB7">
        <w:rPr>
          <w:sz w:val="22"/>
          <w:szCs w:val="22"/>
          <w:rtl/>
        </w:rPr>
        <w:t>*</w:t>
      </w:r>
      <w:r w:rsidRPr="00A97CB7">
        <w:rPr>
          <w:rtl/>
        </w:rPr>
        <w:tab/>
      </w:r>
      <w:r w:rsidRPr="00A97CB7">
        <w:rPr>
          <w:rFonts w:eastAsiaTheme="minorEastAsia"/>
          <w:rtl/>
        </w:rPr>
        <w:t xml:space="preserve">اعتمدته اللجنة في دورتها </w:t>
      </w:r>
      <w:r w:rsidRPr="001F7700">
        <w:rPr>
          <w:rFonts w:eastAsiaTheme="minorEastAsia"/>
          <w:rtl/>
        </w:rPr>
        <w:t>103</w:t>
      </w:r>
      <w:r w:rsidRPr="00A97CB7">
        <w:rPr>
          <w:rFonts w:eastAsiaTheme="minorEastAsia"/>
          <w:rtl/>
        </w:rPr>
        <w:t xml:space="preserve"> (</w:t>
      </w:r>
      <w:r w:rsidRPr="001F7700">
        <w:rPr>
          <w:rFonts w:eastAsiaTheme="minorEastAsia"/>
          <w:rtl/>
        </w:rPr>
        <w:t>19</w:t>
      </w:r>
      <w:r w:rsidRPr="00A97CB7">
        <w:rPr>
          <w:rFonts w:eastAsiaTheme="minorEastAsia"/>
          <w:rtl/>
        </w:rPr>
        <w:t>-</w:t>
      </w:r>
      <w:r w:rsidRPr="001F7700">
        <w:rPr>
          <w:rFonts w:eastAsiaTheme="minorEastAsia"/>
          <w:rtl/>
        </w:rPr>
        <w:t>30</w:t>
      </w:r>
      <w:r w:rsidRPr="00A97CB7">
        <w:rPr>
          <w:rFonts w:eastAsiaTheme="minorEastAsia"/>
          <w:rtl/>
        </w:rPr>
        <w:t xml:space="preserve"> نيسان/أبريل </w:t>
      </w:r>
      <w:r w:rsidRPr="001F7700">
        <w:rPr>
          <w:rFonts w:eastAsiaTheme="minorEastAsia"/>
          <w:rtl/>
        </w:rPr>
        <w:t>2021</w:t>
      </w:r>
      <w:r w:rsidRPr="00A97CB7">
        <w:rPr>
          <w:rFonts w:eastAsiaTheme="minorEastAsia"/>
          <w:rtl/>
        </w:rPr>
        <w:t>).</w:t>
      </w:r>
    </w:p>
  </w:footnote>
  <w:footnote w:id="2">
    <w:p w14:paraId="2E083D1B" w14:textId="148CEA20" w:rsidR="00A97CB7" w:rsidRPr="00A97CB7" w:rsidRDefault="00A97CB7" w:rsidP="00A97CB7">
      <w:pPr>
        <w:pStyle w:val="FootnoteText1"/>
        <w:rPr>
          <w:rtl/>
        </w:rPr>
      </w:pPr>
      <w:r w:rsidRPr="00A97CB7">
        <w:rPr>
          <w:sz w:val="22"/>
          <w:szCs w:val="22"/>
          <w:rtl/>
        </w:rPr>
        <w:t>**</w:t>
      </w:r>
      <w:r w:rsidRPr="00A97CB7">
        <w:rPr>
          <w:rtl/>
        </w:rPr>
        <w:tab/>
      </w:r>
      <w:r w:rsidRPr="00A97CB7">
        <w:rPr>
          <w:rFonts w:eastAsiaTheme="minorEastAsia"/>
          <w:rtl/>
        </w:rPr>
        <w:t xml:space="preserve">شارك في دراسة هذا البلاغ أعضاء اللجنة التالية أسماؤهم: سيلفيو خوسيه </w:t>
      </w:r>
      <w:proofErr w:type="spellStart"/>
      <w:r w:rsidRPr="00A97CB7">
        <w:rPr>
          <w:rFonts w:eastAsiaTheme="minorEastAsia"/>
          <w:rtl/>
        </w:rPr>
        <w:t>ألبوكيركي</w:t>
      </w:r>
      <w:proofErr w:type="spellEnd"/>
      <w:r w:rsidRPr="00A97CB7">
        <w:rPr>
          <w:rFonts w:eastAsiaTheme="minorEastAsia"/>
          <w:rtl/>
        </w:rPr>
        <w:t xml:space="preserve"> إي سيلفا، وشيخة عبد الله علي المسند، ونور الدين أمير، ومارك </w:t>
      </w:r>
      <w:proofErr w:type="spellStart"/>
      <w:r w:rsidRPr="00A97CB7">
        <w:rPr>
          <w:rFonts w:eastAsiaTheme="minorEastAsia"/>
          <w:rtl/>
        </w:rPr>
        <w:t>بوسويت</w:t>
      </w:r>
      <w:proofErr w:type="spellEnd"/>
      <w:r w:rsidRPr="00A97CB7">
        <w:rPr>
          <w:rFonts w:eastAsiaTheme="minorEastAsia"/>
          <w:rtl/>
        </w:rPr>
        <w:t xml:space="preserve">، </w:t>
      </w:r>
      <w:proofErr w:type="spellStart"/>
      <w:r w:rsidRPr="00A97CB7">
        <w:rPr>
          <w:rFonts w:eastAsiaTheme="minorEastAsia"/>
          <w:rtl/>
        </w:rPr>
        <w:t>وتشينسونغ</w:t>
      </w:r>
      <w:proofErr w:type="spellEnd"/>
      <w:r w:rsidRPr="00A97CB7">
        <w:rPr>
          <w:rFonts w:eastAsiaTheme="minorEastAsia"/>
          <w:rtl/>
        </w:rPr>
        <w:t xml:space="preserve"> </w:t>
      </w:r>
      <w:proofErr w:type="spellStart"/>
      <w:r w:rsidRPr="00A97CB7">
        <w:rPr>
          <w:rFonts w:eastAsiaTheme="minorEastAsia"/>
          <w:rtl/>
        </w:rPr>
        <w:t>تشونغ</w:t>
      </w:r>
      <w:proofErr w:type="spellEnd"/>
      <w:r w:rsidRPr="00A97CB7">
        <w:rPr>
          <w:rFonts w:eastAsiaTheme="minorEastAsia"/>
          <w:rtl/>
        </w:rPr>
        <w:t xml:space="preserve">، </w:t>
      </w:r>
      <w:proofErr w:type="spellStart"/>
      <w:r w:rsidRPr="00A97CB7">
        <w:rPr>
          <w:rFonts w:eastAsiaTheme="minorEastAsia"/>
          <w:rtl/>
        </w:rPr>
        <w:t>وباكاري</w:t>
      </w:r>
      <w:proofErr w:type="spellEnd"/>
      <w:r w:rsidRPr="00A97CB7">
        <w:rPr>
          <w:rFonts w:eastAsiaTheme="minorEastAsia"/>
          <w:rtl/>
        </w:rPr>
        <w:t xml:space="preserve"> </w:t>
      </w:r>
      <w:proofErr w:type="spellStart"/>
      <w:r w:rsidRPr="00A97CB7">
        <w:rPr>
          <w:rFonts w:eastAsiaTheme="minorEastAsia"/>
          <w:rtl/>
        </w:rPr>
        <w:t>سيديكي</w:t>
      </w:r>
      <w:proofErr w:type="spellEnd"/>
      <w:r w:rsidRPr="00A97CB7">
        <w:rPr>
          <w:rFonts w:eastAsiaTheme="minorEastAsia"/>
          <w:rtl/>
        </w:rPr>
        <w:t xml:space="preserve"> </w:t>
      </w:r>
      <w:proofErr w:type="spellStart"/>
      <w:r w:rsidRPr="00A97CB7">
        <w:rPr>
          <w:rFonts w:eastAsiaTheme="minorEastAsia"/>
          <w:rtl/>
        </w:rPr>
        <w:t>ديابي</w:t>
      </w:r>
      <w:proofErr w:type="spellEnd"/>
      <w:r w:rsidRPr="00A97CB7">
        <w:rPr>
          <w:rFonts w:eastAsiaTheme="minorEastAsia"/>
          <w:rtl/>
        </w:rPr>
        <w:t xml:space="preserve">، </w:t>
      </w:r>
      <w:proofErr w:type="spellStart"/>
      <w:r w:rsidRPr="00A97CB7">
        <w:rPr>
          <w:rFonts w:eastAsiaTheme="minorEastAsia"/>
          <w:rtl/>
        </w:rPr>
        <w:t>وإبراهيما</w:t>
      </w:r>
      <w:proofErr w:type="spellEnd"/>
      <w:r w:rsidRPr="00A97CB7">
        <w:rPr>
          <w:rFonts w:eastAsiaTheme="minorEastAsia"/>
          <w:rtl/>
        </w:rPr>
        <w:t xml:space="preserve"> </w:t>
      </w:r>
      <w:proofErr w:type="spellStart"/>
      <w:r w:rsidRPr="00A97CB7">
        <w:rPr>
          <w:rFonts w:eastAsiaTheme="minorEastAsia"/>
          <w:rtl/>
        </w:rPr>
        <w:t>غيسيه</w:t>
      </w:r>
      <w:proofErr w:type="spellEnd"/>
      <w:r w:rsidRPr="00A97CB7">
        <w:rPr>
          <w:rFonts w:eastAsiaTheme="minorEastAsia"/>
          <w:rtl/>
        </w:rPr>
        <w:t xml:space="preserve">، وريتا </w:t>
      </w:r>
      <w:proofErr w:type="spellStart"/>
      <w:r w:rsidRPr="00A97CB7">
        <w:rPr>
          <w:rFonts w:eastAsiaTheme="minorEastAsia"/>
          <w:rtl/>
        </w:rPr>
        <w:t>إيزاك</w:t>
      </w:r>
      <w:proofErr w:type="spellEnd"/>
      <w:r w:rsidRPr="00A97CB7">
        <w:rPr>
          <w:rFonts w:eastAsiaTheme="minorEastAsia"/>
          <w:rtl/>
        </w:rPr>
        <w:t xml:space="preserve"> - ندياي، </w:t>
      </w:r>
      <w:proofErr w:type="spellStart"/>
      <w:r w:rsidRPr="00A97CB7">
        <w:rPr>
          <w:rFonts w:eastAsiaTheme="minorEastAsia"/>
          <w:rtl/>
        </w:rPr>
        <w:t>وغون</w:t>
      </w:r>
      <w:proofErr w:type="spellEnd"/>
      <w:r w:rsidRPr="00A97CB7">
        <w:rPr>
          <w:rFonts w:eastAsiaTheme="minorEastAsia"/>
          <w:rtl/>
        </w:rPr>
        <w:t xml:space="preserve"> كوت، ولي </w:t>
      </w:r>
      <w:proofErr w:type="spellStart"/>
      <w:r w:rsidRPr="00A97CB7">
        <w:rPr>
          <w:rFonts w:eastAsiaTheme="minorEastAsia"/>
          <w:rtl/>
        </w:rPr>
        <w:t>ياندوان</w:t>
      </w:r>
      <w:proofErr w:type="spellEnd"/>
      <w:r w:rsidRPr="00A97CB7">
        <w:rPr>
          <w:rFonts w:eastAsiaTheme="minorEastAsia"/>
          <w:rtl/>
        </w:rPr>
        <w:t xml:space="preserve">، </w:t>
      </w:r>
      <w:proofErr w:type="spellStart"/>
      <w:r w:rsidRPr="00A97CB7">
        <w:rPr>
          <w:rFonts w:eastAsiaTheme="minorEastAsia"/>
          <w:rtl/>
        </w:rPr>
        <w:t>ومهرداد</w:t>
      </w:r>
      <w:proofErr w:type="spellEnd"/>
      <w:r w:rsidRPr="00A97CB7">
        <w:rPr>
          <w:rFonts w:eastAsiaTheme="minorEastAsia"/>
          <w:rtl/>
        </w:rPr>
        <w:t xml:space="preserve"> </w:t>
      </w:r>
      <w:proofErr w:type="spellStart"/>
      <w:r w:rsidRPr="00A97CB7">
        <w:rPr>
          <w:rFonts w:eastAsiaTheme="minorEastAsia"/>
          <w:rtl/>
        </w:rPr>
        <w:t>بايانده</w:t>
      </w:r>
      <w:proofErr w:type="spellEnd"/>
      <w:r w:rsidRPr="00A97CB7">
        <w:rPr>
          <w:rFonts w:eastAsiaTheme="minorEastAsia"/>
          <w:rtl/>
        </w:rPr>
        <w:t xml:space="preserve">، وفيرين ألبرتا </w:t>
      </w:r>
      <w:proofErr w:type="spellStart"/>
      <w:r w:rsidRPr="00A97CB7">
        <w:rPr>
          <w:rFonts w:eastAsiaTheme="minorEastAsia"/>
          <w:rtl/>
        </w:rPr>
        <w:t>شيبرد</w:t>
      </w:r>
      <w:proofErr w:type="spellEnd"/>
      <w:r w:rsidRPr="00A97CB7">
        <w:rPr>
          <w:rFonts w:eastAsiaTheme="minorEastAsia"/>
          <w:rtl/>
        </w:rPr>
        <w:t xml:space="preserve">، </w:t>
      </w:r>
      <w:proofErr w:type="spellStart"/>
      <w:r w:rsidRPr="00A97CB7">
        <w:rPr>
          <w:rFonts w:eastAsiaTheme="minorEastAsia"/>
          <w:rtl/>
        </w:rPr>
        <w:t>وستاماتيا</w:t>
      </w:r>
      <w:proofErr w:type="spellEnd"/>
      <w:r w:rsidRPr="00A97CB7">
        <w:rPr>
          <w:rFonts w:eastAsiaTheme="minorEastAsia"/>
          <w:rtl/>
        </w:rPr>
        <w:t xml:space="preserve"> </w:t>
      </w:r>
      <w:proofErr w:type="spellStart"/>
      <w:r w:rsidRPr="00A97CB7">
        <w:rPr>
          <w:rFonts w:eastAsiaTheme="minorEastAsia"/>
          <w:rtl/>
        </w:rPr>
        <w:t>ستافريناكي</w:t>
      </w:r>
      <w:proofErr w:type="spellEnd"/>
      <w:r w:rsidRPr="00A97CB7">
        <w:rPr>
          <w:rFonts w:eastAsiaTheme="minorEastAsia"/>
          <w:rtl/>
        </w:rPr>
        <w:t xml:space="preserve">، </w:t>
      </w:r>
      <w:proofErr w:type="spellStart"/>
      <w:r w:rsidRPr="00A97CB7">
        <w:rPr>
          <w:rFonts w:eastAsiaTheme="minorEastAsia"/>
          <w:rtl/>
        </w:rPr>
        <w:t>وفيث</w:t>
      </w:r>
      <w:proofErr w:type="spellEnd"/>
      <w:r w:rsidRPr="00A97CB7">
        <w:rPr>
          <w:rFonts w:eastAsiaTheme="minorEastAsia"/>
          <w:rtl/>
        </w:rPr>
        <w:t xml:space="preserve"> </w:t>
      </w:r>
      <w:proofErr w:type="spellStart"/>
      <w:r w:rsidRPr="00A97CB7">
        <w:rPr>
          <w:rFonts w:eastAsiaTheme="minorEastAsia"/>
          <w:rtl/>
        </w:rPr>
        <w:t>ديكيليدي</w:t>
      </w:r>
      <w:proofErr w:type="spellEnd"/>
      <w:r w:rsidRPr="00A97CB7">
        <w:rPr>
          <w:rFonts w:eastAsiaTheme="minorEastAsia"/>
          <w:rtl/>
        </w:rPr>
        <w:t xml:space="preserve"> </w:t>
      </w:r>
      <w:proofErr w:type="spellStart"/>
      <w:r w:rsidRPr="00A97CB7">
        <w:rPr>
          <w:rFonts w:eastAsiaTheme="minorEastAsia"/>
          <w:rtl/>
        </w:rPr>
        <w:t>بانسي</w:t>
      </w:r>
      <w:proofErr w:type="spellEnd"/>
      <w:r w:rsidRPr="00A97CB7">
        <w:rPr>
          <w:rFonts w:eastAsiaTheme="minorEastAsia"/>
          <w:rtl/>
        </w:rPr>
        <w:t xml:space="preserve"> </w:t>
      </w:r>
      <w:proofErr w:type="spellStart"/>
      <w:r w:rsidRPr="00A97CB7">
        <w:rPr>
          <w:rFonts w:eastAsiaTheme="minorEastAsia"/>
          <w:rtl/>
        </w:rPr>
        <w:t>تلاكولا</w:t>
      </w:r>
      <w:proofErr w:type="spellEnd"/>
      <w:r w:rsidRPr="00A97CB7">
        <w:rPr>
          <w:rFonts w:eastAsiaTheme="minorEastAsia"/>
          <w:rtl/>
        </w:rPr>
        <w:t xml:space="preserve">، ويونغ كام جون يونغ سيك </w:t>
      </w:r>
      <w:proofErr w:type="spellStart"/>
      <w:r w:rsidRPr="00A97CB7">
        <w:rPr>
          <w:rFonts w:eastAsiaTheme="minorEastAsia"/>
          <w:rtl/>
        </w:rPr>
        <w:t>يُوِين</w:t>
      </w:r>
      <w:proofErr w:type="spellEnd"/>
      <w:r w:rsidRPr="00A97CB7">
        <w:rPr>
          <w:rFonts w:eastAsiaTheme="minorEastAsia"/>
          <w:rtl/>
        </w:rPr>
        <w:t>.</w:t>
      </w:r>
    </w:p>
  </w:footnote>
  <w:footnote w:id="3">
    <w:p w14:paraId="642CC408" w14:textId="3EA1DD51" w:rsidR="00A97CB7" w:rsidRPr="00A97CB7" w:rsidRDefault="00A97CB7" w:rsidP="00A97CB7">
      <w:pPr>
        <w:pStyle w:val="FootnoteText1"/>
        <w:textDirection w:val="tbRlV"/>
        <w:rPr>
          <w:rFonts w:eastAsiaTheme="minorEastAsia"/>
          <w:lang w:eastAsia="zh-TW" w:bidi="en-GB"/>
        </w:rPr>
      </w:pPr>
      <w:r w:rsidRPr="00A97CB7">
        <w:rPr>
          <w:rFonts w:eastAsiaTheme="minorEastAsia"/>
          <w:rtl/>
        </w:rPr>
        <w:t>(</w:t>
      </w:r>
      <w:r w:rsidRPr="001F7700">
        <w:rPr>
          <w:rStyle w:val="FootnoteReference"/>
          <w:rFonts w:eastAsiaTheme="minorEastAsia"/>
          <w:vertAlign w:val="baseline"/>
        </w:rPr>
        <w:footnoteRef/>
      </w:r>
      <w:r w:rsidRPr="00A97CB7">
        <w:rPr>
          <w:rStyle w:val="FootnoteReference"/>
          <w:rFonts w:eastAsiaTheme="minorEastAsia"/>
          <w:vertAlign w:val="baseline"/>
          <w:rtl/>
        </w:rPr>
        <w:t>)</w:t>
      </w:r>
      <w:r w:rsidRPr="00A97CB7">
        <w:rPr>
          <w:rFonts w:eastAsiaTheme="minorEastAsia"/>
          <w:rtl/>
        </w:rPr>
        <w:tab/>
        <w:t xml:space="preserve">صدَّقت الدولة الطرف على الاتفاقية في </w:t>
      </w:r>
      <w:r w:rsidRPr="001F7700">
        <w:rPr>
          <w:rFonts w:eastAsiaTheme="minorEastAsia"/>
          <w:rtl/>
        </w:rPr>
        <w:t>26</w:t>
      </w:r>
      <w:r w:rsidRPr="00A97CB7">
        <w:rPr>
          <w:rFonts w:eastAsiaTheme="minorEastAsia"/>
          <w:rtl/>
        </w:rPr>
        <w:t xml:space="preserve"> كانون الثاني/يناير </w:t>
      </w:r>
      <w:r w:rsidRPr="001F7700">
        <w:rPr>
          <w:rFonts w:eastAsiaTheme="minorEastAsia"/>
          <w:rtl/>
        </w:rPr>
        <w:t>1993</w:t>
      </w:r>
      <w:r w:rsidRPr="00A97CB7">
        <w:rPr>
          <w:rFonts w:eastAsiaTheme="minorEastAsia"/>
          <w:rtl/>
        </w:rPr>
        <w:t xml:space="preserve">. وقدمت الدولة الطرف الإعلان المنصوص عليه في المادة </w:t>
      </w:r>
      <w:r w:rsidRPr="001F7700">
        <w:rPr>
          <w:rFonts w:eastAsiaTheme="minorEastAsia"/>
          <w:rtl/>
        </w:rPr>
        <w:t>14</w:t>
      </w:r>
      <w:r w:rsidRPr="00A97CB7">
        <w:rPr>
          <w:rFonts w:eastAsiaTheme="minorEastAsia"/>
          <w:rtl/>
        </w:rPr>
        <w:t xml:space="preserve"> من الاتفاقية في </w:t>
      </w:r>
      <w:r w:rsidRPr="001F7700">
        <w:rPr>
          <w:rFonts w:eastAsiaTheme="minorEastAsia"/>
          <w:rtl/>
        </w:rPr>
        <w:t>8</w:t>
      </w:r>
      <w:r w:rsidRPr="00A97CB7">
        <w:rPr>
          <w:rFonts w:eastAsiaTheme="minorEastAsia"/>
          <w:rtl/>
        </w:rPr>
        <w:t xml:space="preserve"> أيار/مايو </w:t>
      </w:r>
      <w:r w:rsidRPr="001F7700">
        <w:rPr>
          <w:rFonts w:eastAsiaTheme="minorEastAsia"/>
          <w:rtl/>
        </w:rPr>
        <w:t>2013</w:t>
      </w:r>
      <w:r w:rsidRPr="00A97CB7">
        <w:rPr>
          <w:rFonts w:eastAsiaTheme="minorEastAsia"/>
          <w:rtl/>
        </w:rPr>
        <w:t>.</w:t>
      </w:r>
    </w:p>
  </w:footnote>
  <w:footnote w:id="4">
    <w:p w14:paraId="1D533E3C" w14:textId="360FF1DF" w:rsidR="00A97CB7" w:rsidRPr="00A97CB7" w:rsidRDefault="00A97CB7" w:rsidP="00A97CB7">
      <w:pPr>
        <w:pStyle w:val="FootnoteText1"/>
        <w:textDirection w:val="tbRlV"/>
        <w:rPr>
          <w:rFonts w:eastAsiaTheme="minorEastAsia"/>
          <w:lang w:val="ar-SA" w:eastAsia="zh-TW" w:bidi="en-GB"/>
        </w:rPr>
      </w:pPr>
      <w:r w:rsidRPr="00A97CB7">
        <w:rPr>
          <w:rFonts w:eastAsiaTheme="minorEastAsia"/>
          <w:rtl/>
        </w:rPr>
        <w:t>(</w:t>
      </w:r>
      <w:r w:rsidRPr="001F7700">
        <w:rPr>
          <w:rStyle w:val="FootnoteReference"/>
          <w:rFonts w:eastAsiaTheme="minorEastAsia"/>
          <w:vertAlign w:val="baseline"/>
        </w:rPr>
        <w:footnoteRef/>
      </w:r>
      <w:r w:rsidRPr="00A97CB7">
        <w:rPr>
          <w:rStyle w:val="FootnoteReference"/>
          <w:rFonts w:eastAsiaTheme="minorEastAsia"/>
          <w:vertAlign w:val="baseline"/>
          <w:rtl/>
        </w:rPr>
        <w:t>)</w:t>
      </w:r>
      <w:r w:rsidRPr="00A97CB7">
        <w:rPr>
          <w:rFonts w:eastAsiaTheme="minorEastAsia"/>
          <w:rtl/>
        </w:rPr>
        <w:tab/>
        <w:t>يتبين من وثائق المحكمة أن ب. ف. أُبلغ بقبول طلبه في اليوم ذاته، ولكن ليس في نهاية المقابلة.</w:t>
      </w:r>
    </w:p>
  </w:footnote>
  <w:footnote w:id="5">
    <w:p w14:paraId="72EF58EF" w14:textId="5E6E9669" w:rsidR="00A97CB7" w:rsidRPr="00A97CB7" w:rsidRDefault="00A97CB7" w:rsidP="00A97CB7">
      <w:pPr>
        <w:pStyle w:val="FootnoteText1"/>
        <w:textDirection w:val="tbRlV"/>
        <w:rPr>
          <w:rFonts w:eastAsiaTheme="minorEastAsia"/>
          <w:lang w:eastAsia="zh-TW" w:bidi="en-GB"/>
        </w:rPr>
      </w:pPr>
      <w:r w:rsidRPr="00A97CB7">
        <w:rPr>
          <w:rFonts w:eastAsiaTheme="minorEastAsia"/>
          <w:rtl/>
        </w:rPr>
        <w:t>(</w:t>
      </w:r>
      <w:r w:rsidRPr="001F7700">
        <w:rPr>
          <w:rStyle w:val="FootnoteReference"/>
          <w:rFonts w:eastAsiaTheme="minorEastAsia"/>
          <w:vertAlign w:val="baseline"/>
        </w:rPr>
        <w:footnoteRef/>
      </w:r>
      <w:r w:rsidRPr="00A97CB7">
        <w:rPr>
          <w:rStyle w:val="FootnoteReference"/>
          <w:rFonts w:eastAsiaTheme="minorEastAsia"/>
          <w:vertAlign w:val="baseline"/>
          <w:rtl/>
        </w:rPr>
        <w:t>)</w:t>
      </w:r>
      <w:r w:rsidRPr="00A97CB7">
        <w:rPr>
          <w:rFonts w:eastAsiaTheme="minorEastAsia"/>
          <w:rtl/>
        </w:rPr>
        <w:tab/>
        <w:t>يشير صاحب البلاغ إلى إعراب المقرر الخاص المعني بمسألة الفقر المدقع وحقوق الإنسان واللجنة المعنية بالحقوق الاقتصادية والاجتماعية والثقافية واللجنة الأوروبية لمناهضة العنصرية والتعصب عن شواغل بشأن إمكانية استفادة الأشخاص المنتمين إثنياً إلى جماعة الروما في جمهورية مولدوفا من فرص العمل.</w:t>
      </w:r>
    </w:p>
  </w:footnote>
  <w:footnote w:id="6">
    <w:p w14:paraId="6C26EB2C" w14:textId="1A09F04D" w:rsidR="00A97CB7" w:rsidRPr="00A97CB7" w:rsidRDefault="00A97CB7" w:rsidP="00A97CB7">
      <w:pPr>
        <w:pStyle w:val="FootnoteText1"/>
        <w:textDirection w:val="tbRlV"/>
        <w:rPr>
          <w:rFonts w:eastAsiaTheme="minorEastAsia"/>
          <w:lang w:val="ar-SA" w:eastAsia="zh-TW" w:bidi="en-GB"/>
        </w:rPr>
      </w:pPr>
      <w:r w:rsidRPr="00A97CB7">
        <w:rPr>
          <w:rFonts w:eastAsiaTheme="minorEastAsia"/>
          <w:rtl/>
        </w:rPr>
        <w:t>(</w:t>
      </w:r>
      <w:r w:rsidRPr="001F7700">
        <w:rPr>
          <w:rStyle w:val="FootnoteReference"/>
          <w:rFonts w:eastAsiaTheme="minorEastAsia"/>
          <w:vertAlign w:val="baseline"/>
        </w:rPr>
        <w:footnoteRef/>
      </w:r>
      <w:r w:rsidRPr="00A97CB7">
        <w:rPr>
          <w:rStyle w:val="FootnoteReference"/>
          <w:rFonts w:eastAsiaTheme="minorEastAsia"/>
          <w:vertAlign w:val="baseline"/>
          <w:rtl/>
        </w:rPr>
        <w:t>)</w:t>
      </w:r>
      <w:r w:rsidRPr="00A97CB7">
        <w:rPr>
          <w:rFonts w:eastAsiaTheme="minorEastAsia"/>
          <w:rtl/>
        </w:rPr>
        <w:tab/>
        <w:t xml:space="preserve">المحكمة الأوروبية لحقوق الإنسان، قضية </w:t>
      </w:r>
      <w:r w:rsidRPr="001F7700">
        <w:rPr>
          <w:rFonts w:eastAsiaTheme="minorEastAsia"/>
          <w:i/>
          <w:iCs/>
          <w:rtl/>
        </w:rPr>
        <w:t>د. ه. وآخرين ضد الجمهورية التشيكية</w:t>
      </w:r>
      <w:r w:rsidRPr="00A97CB7">
        <w:rPr>
          <w:rFonts w:eastAsiaTheme="minorEastAsia"/>
          <w:rtl/>
        </w:rPr>
        <w:t xml:space="preserve"> (ملف الدعوى رقم </w:t>
      </w:r>
      <w:r w:rsidRPr="001F7700">
        <w:rPr>
          <w:rFonts w:eastAsiaTheme="minorEastAsia"/>
          <w:rtl/>
        </w:rPr>
        <w:t>57325</w:t>
      </w:r>
      <w:r w:rsidRPr="00A97CB7">
        <w:rPr>
          <w:rFonts w:eastAsiaTheme="minorEastAsia"/>
          <w:rtl/>
        </w:rPr>
        <w:t>/</w:t>
      </w:r>
      <w:r w:rsidRPr="001F7700">
        <w:rPr>
          <w:rFonts w:eastAsiaTheme="minorEastAsia"/>
          <w:rtl/>
        </w:rPr>
        <w:t>00</w:t>
      </w:r>
      <w:r w:rsidRPr="00A97CB7">
        <w:rPr>
          <w:rFonts w:eastAsiaTheme="minorEastAsia"/>
          <w:rtl/>
        </w:rPr>
        <w:t xml:space="preserve">)، الحكم الصادر في </w:t>
      </w:r>
      <w:r w:rsidRPr="001F7700">
        <w:rPr>
          <w:rFonts w:eastAsiaTheme="minorEastAsia"/>
          <w:rtl/>
        </w:rPr>
        <w:t>13</w:t>
      </w:r>
      <w:r w:rsidRPr="00A97CB7">
        <w:rPr>
          <w:rFonts w:eastAsiaTheme="minorEastAsia"/>
          <w:rtl/>
        </w:rPr>
        <w:t xml:space="preserve"> تشرين الثاني/نوفمبر </w:t>
      </w:r>
      <w:r w:rsidRPr="001F7700">
        <w:rPr>
          <w:rFonts w:eastAsiaTheme="minorEastAsia"/>
          <w:rtl/>
        </w:rPr>
        <w:t>2007</w:t>
      </w:r>
      <w:r w:rsidRPr="00A97CB7">
        <w:rPr>
          <w:rFonts w:eastAsiaTheme="minorEastAsia"/>
          <w:rtl/>
        </w:rPr>
        <w:t xml:space="preserve">، الفقرة </w:t>
      </w:r>
      <w:r w:rsidRPr="001F7700">
        <w:rPr>
          <w:rFonts w:eastAsiaTheme="minorEastAsia"/>
          <w:rtl/>
        </w:rPr>
        <w:t>189</w:t>
      </w:r>
      <w:r w:rsidRPr="00A97CB7">
        <w:rPr>
          <w:rFonts w:eastAsiaTheme="minorEastAsia"/>
          <w:rtl/>
        </w:rPr>
        <w:t>.</w:t>
      </w:r>
    </w:p>
  </w:footnote>
  <w:footnote w:id="7">
    <w:p w14:paraId="1141E2D3" w14:textId="2EECBE6A" w:rsidR="00A97CB7" w:rsidRPr="00014759" w:rsidRDefault="00A97CB7" w:rsidP="00B5203C">
      <w:pPr>
        <w:pStyle w:val="FootnoteText1"/>
        <w:spacing w:line="260" w:lineRule="exact"/>
        <w:textDirection w:val="tbRlV"/>
        <w:rPr>
          <w:rFonts w:eastAsiaTheme="minorEastAsia"/>
          <w:lang w:eastAsia="zh-TW" w:bidi="en-GB"/>
        </w:rPr>
      </w:pPr>
      <w:r w:rsidRPr="00A97CB7">
        <w:rPr>
          <w:rFonts w:eastAsiaTheme="minorEastAsia"/>
          <w:rtl/>
        </w:rPr>
        <w:t>(</w:t>
      </w:r>
      <w:r w:rsidRPr="001F7700">
        <w:rPr>
          <w:rStyle w:val="FootnoteReference"/>
          <w:rFonts w:eastAsiaTheme="minorEastAsia"/>
          <w:vertAlign w:val="baseline"/>
        </w:rPr>
        <w:footnoteRef/>
      </w:r>
      <w:r w:rsidRPr="00A97CB7">
        <w:rPr>
          <w:rStyle w:val="FootnoteReference"/>
          <w:rFonts w:eastAsiaTheme="minorEastAsia"/>
          <w:vertAlign w:val="baseline"/>
          <w:rtl/>
        </w:rPr>
        <w:t>)</w:t>
      </w:r>
      <w:r w:rsidR="00014759">
        <w:rPr>
          <w:rFonts w:eastAsiaTheme="minorEastAsia"/>
          <w:rtl/>
        </w:rPr>
        <w:tab/>
      </w:r>
      <w:r w:rsidR="00014759" w:rsidRPr="00A465A8">
        <w:t xml:space="preserve">Judgment of the Court of Justice of the European Union in </w:t>
      </w:r>
      <w:proofErr w:type="spellStart"/>
      <w:r w:rsidR="00014759" w:rsidRPr="001F7700">
        <w:rPr>
          <w:i/>
        </w:rPr>
        <w:t>Handels</w:t>
      </w:r>
      <w:proofErr w:type="spellEnd"/>
      <w:r w:rsidR="00014759" w:rsidRPr="001F7700">
        <w:rPr>
          <w:i/>
        </w:rPr>
        <w:t xml:space="preserve">- </w:t>
      </w:r>
      <w:proofErr w:type="spellStart"/>
      <w:r w:rsidR="00014759" w:rsidRPr="001F7700">
        <w:rPr>
          <w:i/>
        </w:rPr>
        <w:t>og</w:t>
      </w:r>
      <w:proofErr w:type="spellEnd"/>
      <w:r w:rsidR="00014759" w:rsidRPr="001F7700">
        <w:rPr>
          <w:i/>
        </w:rPr>
        <w:t xml:space="preserve"> </w:t>
      </w:r>
      <w:proofErr w:type="spellStart"/>
      <w:r w:rsidR="00014759" w:rsidRPr="001F7700">
        <w:rPr>
          <w:i/>
        </w:rPr>
        <w:t>Kontorfunktionrerernes</w:t>
      </w:r>
      <w:proofErr w:type="spellEnd"/>
      <w:r w:rsidR="00014759" w:rsidRPr="001F7700">
        <w:rPr>
          <w:i/>
        </w:rPr>
        <w:br/>
      </w:r>
      <w:proofErr w:type="spellStart"/>
      <w:r w:rsidR="00014759" w:rsidRPr="001F7700">
        <w:rPr>
          <w:i/>
        </w:rPr>
        <w:t>Forbund</w:t>
      </w:r>
      <w:proofErr w:type="spellEnd"/>
      <w:r w:rsidR="00014759" w:rsidRPr="001F7700">
        <w:rPr>
          <w:i/>
        </w:rPr>
        <w:t xml:space="preserve"> I Denmark v. Dansk </w:t>
      </w:r>
      <w:proofErr w:type="spellStart"/>
      <w:r w:rsidR="00014759" w:rsidRPr="001F7700">
        <w:rPr>
          <w:i/>
        </w:rPr>
        <w:t>Arhejdsgiverforening</w:t>
      </w:r>
      <w:proofErr w:type="spellEnd"/>
      <w:r w:rsidR="00014759" w:rsidRPr="001F7700">
        <w:rPr>
          <w:i/>
        </w:rPr>
        <w:t>, acting on behalf of Danfoss</w:t>
      </w:r>
      <w:r w:rsidR="00014759" w:rsidRPr="00A465A8">
        <w:t xml:space="preserve"> (case </w:t>
      </w:r>
      <w:r w:rsidR="00014759" w:rsidRPr="001F7700">
        <w:t>109</w:t>
      </w:r>
      <w:r w:rsidR="00014759" w:rsidRPr="00A465A8">
        <w:t>/</w:t>
      </w:r>
      <w:proofErr w:type="gramStart"/>
      <w:r w:rsidR="00014759" w:rsidRPr="001F7700">
        <w:t>88</w:t>
      </w:r>
      <w:r w:rsidR="00014759" w:rsidRPr="00A465A8">
        <w:t>);</w:t>
      </w:r>
      <w:proofErr w:type="gramEnd"/>
      <w:r w:rsidR="00014759" w:rsidRPr="00A465A8">
        <w:t xml:space="preserve"> and judgment of the Court of Justice of the European Union in </w:t>
      </w:r>
      <w:r w:rsidR="00014759" w:rsidRPr="001F7700">
        <w:rPr>
          <w:i/>
        </w:rPr>
        <w:t xml:space="preserve">Dr. Pamela Mary Enderby v. </w:t>
      </w:r>
      <w:proofErr w:type="spellStart"/>
      <w:r w:rsidR="00014759" w:rsidRPr="001F7700">
        <w:rPr>
          <w:i/>
        </w:rPr>
        <w:t>Frenchay</w:t>
      </w:r>
      <w:proofErr w:type="spellEnd"/>
      <w:r w:rsidR="00014759" w:rsidRPr="001F7700">
        <w:rPr>
          <w:i/>
        </w:rPr>
        <w:t xml:space="preserve"> Health Authority and Secretary of State for Health</w:t>
      </w:r>
      <w:r w:rsidR="00014759" w:rsidRPr="00A465A8">
        <w:t xml:space="preserve"> (case C-</w:t>
      </w:r>
      <w:r w:rsidR="00014759" w:rsidRPr="001F7700">
        <w:t>127</w:t>
      </w:r>
      <w:r w:rsidR="00014759" w:rsidRPr="00A465A8">
        <w:t>/</w:t>
      </w:r>
      <w:r w:rsidR="00014759" w:rsidRPr="001F7700">
        <w:t>92</w:t>
      </w:r>
      <w:r w:rsidR="00014759" w:rsidRPr="00A465A8">
        <w:t>)</w:t>
      </w:r>
      <w:r w:rsidR="00014759">
        <w:rPr>
          <w:rFonts w:eastAsiaTheme="minorEastAsia" w:hint="cs"/>
          <w:rtl/>
        </w:rPr>
        <w:t>.</w:t>
      </w:r>
    </w:p>
  </w:footnote>
  <w:footnote w:id="8">
    <w:p w14:paraId="7C4AB69D" w14:textId="0C61F549" w:rsidR="00A97CB7" w:rsidRPr="00B33970" w:rsidRDefault="00A97CB7" w:rsidP="00A97CB7">
      <w:pPr>
        <w:pStyle w:val="FootnoteText1"/>
        <w:textDirection w:val="tbRlV"/>
        <w:rPr>
          <w:rFonts w:eastAsiaTheme="minorEastAsia"/>
          <w:spacing w:val="-2"/>
          <w:lang w:eastAsia="zh-TW" w:bidi="en-GB"/>
        </w:rPr>
      </w:pPr>
      <w:r w:rsidRPr="00B33970">
        <w:rPr>
          <w:rFonts w:eastAsiaTheme="minorEastAsia"/>
          <w:spacing w:val="-2"/>
          <w:rtl/>
        </w:rPr>
        <w:t>(</w:t>
      </w:r>
      <w:r w:rsidRPr="00B33970">
        <w:rPr>
          <w:rStyle w:val="FootnoteReference"/>
          <w:rFonts w:eastAsiaTheme="minorEastAsia"/>
          <w:spacing w:val="-2"/>
          <w:vertAlign w:val="baseline"/>
        </w:rPr>
        <w:footnoteRef/>
      </w:r>
      <w:r w:rsidRPr="00B33970">
        <w:rPr>
          <w:rStyle w:val="FootnoteReference"/>
          <w:rFonts w:eastAsiaTheme="minorEastAsia"/>
          <w:spacing w:val="-2"/>
          <w:vertAlign w:val="baseline"/>
          <w:rtl/>
        </w:rPr>
        <w:t>)</w:t>
      </w:r>
      <w:r w:rsidRPr="00B33970">
        <w:rPr>
          <w:rFonts w:eastAsiaTheme="minorEastAsia"/>
          <w:spacing w:val="-2"/>
          <w:rtl/>
        </w:rPr>
        <w:tab/>
        <w:t xml:space="preserve">التوجيه </w:t>
      </w:r>
      <w:r w:rsidRPr="00B33970">
        <w:rPr>
          <w:rFonts w:eastAsiaTheme="minorEastAsia"/>
          <w:spacing w:val="-2"/>
        </w:rPr>
        <w:t>2000/43/CE</w:t>
      </w:r>
      <w:r w:rsidRPr="00B33970">
        <w:rPr>
          <w:rFonts w:eastAsiaTheme="minorEastAsia"/>
          <w:spacing w:val="-2"/>
          <w:rtl/>
        </w:rPr>
        <w:t xml:space="preserve"> الصادر عن المجلس في 29 حزيران/</w:t>
      </w:r>
      <w:proofErr w:type="gramStart"/>
      <w:r w:rsidRPr="00B33970">
        <w:rPr>
          <w:rFonts w:eastAsiaTheme="minorEastAsia"/>
          <w:spacing w:val="-2"/>
          <w:rtl/>
        </w:rPr>
        <w:t>يونيه</w:t>
      </w:r>
      <w:proofErr w:type="gramEnd"/>
      <w:r w:rsidRPr="00B33970">
        <w:rPr>
          <w:rFonts w:eastAsiaTheme="minorEastAsia"/>
          <w:spacing w:val="-2"/>
          <w:rtl/>
        </w:rPr>
        <w:t xml:space="preserve"> 2000 بشأن إعمال مبدأ المساواة في المعاملة بين الأشخاص بصرف النظر عن الأصل العرقي أو الإثني؛ والتوجيه رقم </w:t>
      </w:r>
      <w:r w:rsidRPr="00B33970">
        <w:rPr>
          <w:rFonts w:eastAsiaTheme="minorEastAsia"/>
          <w:spacing w:val="-2"/>
        </w:rPr>
        <w:t>2000/78/CE</w:t>
      </w:r>
      <w:r w:rsidRPr="00B33970">
        <w:rPr>
          <w:rFonts w:eastAsiaTheme="minorEastAsia"/>
          <w:spacing w:val="-2"/>
          <w:rtl/>
        </w:rPr>
        <w:t xml:space="preserve"> الصادر عن المجلس في 27 تشرين الثاني/نوفمبر 2000 لتحديد إطار عام للمساواة في المعاملة في مجال العمل والعمالة؛ والتوجيه رقم </w:t>
      </w:r>
      <w:r w:rsidRPr="00B33970">
        <w:rPr>
          <w:rFonts w:eastAsiaTheme="minorEastAsia"/>
          <w:spacing w:val="-2"/>
        </w:rPr>
        <w:t>2006/54/CE</w:t>
      </w:r>
      <w:r w:rsidRPr="00B33970">
        <w:rPr>
          <w:rFonts w:eastAsiaTheme="minorEastAsia"/>
          <w:spacing w:val="-2"/>
          <w:rtl/>
        </w:rPr>
        <w:t xml:space="preserve"> الصادر عن البرلمان الأوروبي والمجلس في 5 تموز/يوليه 2006 بشأن إعمال مبدأ تكافؤ الفرص والمساواة في المعاملة بين الرجل والمرأة في مجال العمالة والعمل.</w:t>
      </w:r>
    </w:p>
  </w:footnote>
  <w:footnote w:id="9">
    <w:p w14:paraId="0FBF5F8F" w14:textId="4889960B" w:rsidR="00A97CB7" w:rsidRPr="00A97CB7" w:rsidRDefault="00A97CB7" w:rsidP="00A97CB7">
      <w:pPr>
        <w:pStyle w:val="FootnoteText1"/>
        <w:textDirection w:val="tbRlV"/>
        <w:rPr>
          <w:rFonts w:eastAsiaTheme="minorEastAsia"/>
          <w:lang w:eastAsia="zh-TW" w:bidi="en-GB"/>
        </w:rPr>
      </w:pPr>
      <w:r w:rsidRPr="00A97CB7">
        <w:rPr>
          <w:rFonts w:eastAsiaTheme="minorEastAsia"/>
          <w:rtl/>
        </w:rPr>
        <w:t>(</w:t>
      </w:r>
      <w:r w:rsidRPr="001F7700">
        <w:rPr>
          <w:rStyle w:val="FootnoteReference"/>
          <w:rFonts w:eastAsiaTheme="minorEastAsia"/>
          <w:vertAlign w:val="baseline"/>
        </w:rPr>
        <w:footnoteRef/>
      </w:r>
      <w:r w:rsidRPr="00A97CB7">
        <w:rPr>
          <w:rStyle w:val="FootnoteReference"/>
          <w:rFonts w:eastAsiaTheme="minorEastAsia"/>
          <w:vertAlign w:val="baseline"/>
          <w:rtl/>
        </w:rPr>
        <w:t>)</w:t>
      </w:r>
      <w:r w:rsidRPr="00A97CB7">
        <w:rPr>
          <w:rFonts w:eastAsiaTheme="minorEastAsia"/>
          <w:rtl/>
        </w:rPr>
        <w:tab/>
        <w:t xml:space="preserve">انظر قضية </w:t>
      </w:r>
      <w:proofErr w:type="spellStart"/>
      <w:r w:rsidRPr="001F7700">
        <w:rPr>
          <w:rFonts w:eastAsiaTheme="minorEastAsia"/>
          <w:i/>
          <w:iCs/>
          <w:rtl/>
        </w:rPr>
        <w:t>بهيندر</w:t>
      </w:r>
      <w:proofErr w:type="spellEnd"/>
      <w:r w:rsidRPr="001F7700">
        <w:rPr>
          <w:rFonts w:eastAsiaTheme="minorEastAsia"/>
          <w:i/>
          <w:iCs/>
          <w:rtl/>
        </w:rPr>
        <w:t xml:space="preserve"> ضد كندا </w:t>
      </w:r>
      <w:r w:rsidRPr="00A97CB7">
        <w:rPr>
          <w:rFonts w:eastAsiaTheme="minorEastAsia"/>
          <w:rtl/>
        </w:rPr>
        <w:t>(</w:t>
      </w:r>
      <w:r w:rsidRPr="00A97CB7">
        <w:rPr>
          <w:rFonts w:eastAsiaTheme="minorEastAsia"/>
        </w:rPr>
        <w:t>CCPR/C/</w:t>
      </w:r>
      <w:r w:rsidRPr="001F7700">
        <w:rPr>
          <w:rFonts w:eastAsiaTheme="minorEastAsia"/>
        </w:rPr>
        <w:t>37</w:t>
      </w:r>
      <w:r w:rsidRPr="00A97CB7">
        <w:rPr>
          <w:rFonts w:eastAsiaTheme="minorEastAsia"/>
        </w:rPr>
        <w:t>/D/</w:t>
      </w:r>
      <w:r w:rsidRPr="001F7700">
        <w:rPr>
          <w:rFonts w:eastAsiaTheme="minorEastAsia"/>
        </w:rPr>
        <w:t>208</w:t>
      </w:r>
      <w:r w:rsidRPr="00A97CB7">
        <w:rPr>
          <w:rFonts w:eastAsiaTheme="minorEastAsia"/>
        </w:rPr>
        <w:t>/</w:t>
      </w:r>
      <w:r w:rsidRPr="001F7700">
        <w:rPr>
          <w:rFonts w:eastAsiaTheme="minorEastAsia"/>
        </w:rPr>
        <w:t>1986</w:t>
      </w:r>
      <w:r w:rsidRPr="00A97CB7">
        <w:rPr>
          <w:rFonts w:eastAsiaTheme="minorEastAsia"/>
          <w:rtl/>
        </w:rPr>
        <w:t>).</w:t>
      </w:r>
    </w:p>
  </w:footnote>
  <w:footnote w:id="10">
    <w:p w14:paraId="64EEA8BE" w14:textId="45711EF8" w:rsidR="00A97CB7" w:rsidRPr="00A97CB7" w:rsidRDefault="00A97CB7" w:rsidP="00A97CB7">
      <w:pPr>
        <w:pStyle w:val="FootnoteText1"/>
        <w:textDirection w:val="tbRlV"/>
        <w:rPr>
          <w:rFonts w:eastAsiaTheme="minorEastAsia"/>
          <w:lang w:eastAsia="zh-TW" w:bidi="en-GB"/>
        </w:rPr>
      </w:pPr>
      <w:r w:rsidRPr="00A97CB7">
        <w:rPr>
          <w:rFonts w:eastAsiaTheme="minorEastAsia"/>
          <w:rtl/>
        </w:rPr>
        <w:t>(</w:t>
      </w:r>
      <w:r w:rsidRPr="001F7700">
        <w:rPr>
          <w:rStyle w:val="FootnoteReference"/>
          <w:rFonts w:eastAsiaTheme="minorEastAsia"/>
          <w:vertAlign w:val="baseline"/>
        </w:rPr>
        <w:footnoteRef/>
      </w:r>
      <w:r w:rsidRPr="00A97CB7">
        <w:rPr>
          <w:rStyle w:val="FootnoteReference"/>
          <w:rFonts w:eastAsiaTheme="minorEastAsia"/>
          <w:vertAlign w:val="baseline"/>
          <w:rtl/>
        </w:rPr>
        <w:t>)</w:t>
      </w:r>
      <w:r w:rsidRPr="00A97CB7">
        <w:rPr>
          <w:rFonts w:eastAsiaTheme="minorEastAsia"/>
        </w:rPr>
        <w:tab/>
      </w:r>
      <w:r w:rsidRPr="00692993">
        <w:rPr>
          <w:rFonts w:eastAsiaTheme="minorEastAsia"/>
          <w:spacing w:val="-4"/>
        </w:rPr>
        <w:t xml:space="preserve">Judgment of the Court of Justice of the European Union in </w:t>
      </w:r>
      <w:r w:rsidRPr="001F7700">
        <w:rPr>
          <w:rFonts w:eastAsiaTheme="minorEastAsia"/>
          <w:i/>
          <w:iCs/>
          <w:spacing w:val="-4"/>
        </w:rPr>
        <w:t>Meister v. Speech Design Carrier</w:t>
      </w:r>
      <w:r w:rsidR="00692993" w:rsidRPr="001F7700">
        <w:rPr>
          <w:rFonts w:eastAsiaTheme="minorEastAsia"/>
          <w:i/>
          <w:iCs/>
          <w:spacing w:val="-4"/>
        </w:rPr>
        <w:t xml:space="preserve"> </w:t>
      </w:r>
      <w:r w:rsidRPr="001F7700">
        <w:rPr>
          <w:rFonts w:eastAsiaTheme="minorEastAsia"/>
          <w:i/>
          <w:iCs/>
          <w:spacing w:val="-4"/>
        </w:rPr>
        <w:t>Systems</w:t>
      </w:r>
      <w:r w:rsidR="00692993" w:rsidRPr="001F7700">
        <w:rPr>
          <w:rFonts w:eastAsiaTheme="minorEastAsia"/>
          <w:i/>
          <w:iCs/>
          <w:spacing w:val="-4"/>
        </w:rPr>
        <w:br/>
      </w:r>
      <w:r w:rsidRPr="001F7700">
        <w:rPr>
          <w:rFonts w:eastAsiaTheme="minorEastAsia"/>
          <w:i/>
          <w:iCs/>
          <w:spacing w:val="-4"/>
        </w:rPr>
        <w:t>GmbH</w:t>
      </w:r>
      <w:r w:rsidRPr="00692993">
        <w:rPr>
          <w:rFonts w:eastAsiaTheme="minorEastAsia"/>
          <w:spacing w:val="-4"/>
        </w:rPr>
        <w:t xml:space="preserve"> (case C-</w:t>
      </w:r>
      <w:r w:rsidRPr="001F7700">
        <w:rPr>
          <w:rFonts w:eastAsiaTheme="minorEastAsia"/>
          <w:spacing w:val="-4"/>
        </w:rPr>
        <w:t>415</w:t>
      </w:r>
      <w:r w:rsidRPr="00692993">
        <w:rPr>
          <w:rFonts w:eastAsiaTheme="minorEastAsia"/>
          <w:spacing w:val="-4"/>
        </w:rPr>
        <w:t>/</w:t>
      </w:r>
      <w:r w:rsidRPr="001F7700">
        <w:rPr>
          <w:rFonts w:eastAsiaTheme="minorEastAsia"/>
          <w:spacing w:val="-4"/>
        </w:rPr>
        <w:t>10</w:t>
      </w:r>
      <w:r w:rsidRPr="00692993">
        <w:rPr>
          <w:rFonts w:eastAsiaTheme="minorEastAsia"/>
          <w:spacing w:val="-4"/>
        </w:rPr>
        <w:t>)</w:t>
      </w:r>
      <w:r w:rsidRPr="00A97CB7">
        <w:rPr>
          <w:rFonts w:eastAsiaTheme="minorEastAsia"/>
          <w:rtl/>
        </w:rPr>
        <w:t>.</w:t>
      </w:r>
    </w:p>
  </w:footnote>
  <w:footnote w:id="11">
    <w:p w14:paraId="021853CA" w14:textId="7CB09C32" w:rsidR="00A97CB7" w:rsidRPr="00A97CB7" w:rsidRDefault="00A97CB7" w:rsidP="00A97CB7">
      <w:pPr>
        <w:pStyle w:val="FootnoteText1"/>
        <w:textDirection w:val="tbRlV"/>
        <w:rPr>
          <w:rFonts w:eastAsiaTheme="minorEastAsia"/>
        </w:rPr>
      </w:pPr>
      <w:r w:rsidRPr="00A97CB7">
        <w:rPr>
          <w:rFonts w:eastAsiaTheme="minorEastAsia"/>
          <w:rtl/>
        </w:rPr>
        <w:t>(</w:t>
      </w:r>
      <w:r w:rsidRPr="001F7700">
        <w:rPr>
          <w:rStyle w:val="FootnoteReference"/>
          <w:rFonts w:eastAsiaTheme="minorEastAsia"/>
          <w:vertAlign w:val="baseline"/>
        </w:rPr>
        <w:footnoteRef/>
      </w:r>
      <w:r w:rsidRPr="00A97CB7">
        <w:rPr>
          <w:rStyle w:val="FootnoteReference"/>
          <w:rFonts w:eastAsiaTheme="minorEastAsia"/>
          <w:vertAlign w:val="baseline"/>
          <w:rtl/>
        </w:rPr>
        <w:t>)</w:t>
      </w:r>
      <w:r w:rsidRPr="00A97CB7">
        <w:rPr>
          <w:rFonts w:eastAsiaTheme="minorEastAsia"/>
          <w:rtl/>
        </w:rPr>
        <w:tab/>
      </w:r>
      <w:r w:rsidRPr="00915E5C">
        <w:rPr>
          <w:rFonts w:eastAsiaTheme="minorEastAsia"/>
          <w:spacing w:val="-4"/>
          <w:rtl/>
        </w:rPr>
        <w:t xml:space="preserve">المادتان </w:t>
      </w:r>
      <w:r w:rsidRPr="001F7700">
        <w:rPr>
          <w:rFonts w:eastAsiaTheme="minorEastAsia"/>
          <w:spacing w:val="-4"/>
          <w:rtl/>
        </w:rPr>
        <w:t>1</w:t>
      </w:r>
      <w:r w:rsidRPr="00915E5C">
        <w:rPr>
          <w:rFonts w:eastAsiaTheme="minorEastAsia"/>
          <w:spacing w:val="-4"/>
          <w:rtl/>
        </w:rPr>
        <w:t xml:space="preserve"> و</w:t>
      </w:r>
      <w:r w:rsidRPr="001F7700">
        <w:rPr>
          <w:rFonts w:eastAsiaTheme="minorEastAsia"/>
          <w:spacing w:val="-4"/>
          <w:rtl/>
        </w:rPr>
        <w:t>2</w:t>
      </w:r>
      <w:r w:rsidRPr="00915E5C">
        <w:rPr>
          <w:rFonts w:eastAsiaTheme="minorEastAsia"/>
          <w:spacing w:val="-4"/>
          <w:rtl/>
        </w:rPr>
        <w:t xml:space="preserve"> من القانون رقم </w:t>
      </w:r>
      <w:r w:rsidRPr="001F7700">
        <w:rPr>
          <w:rFonts w:eastAsiaTheme="minorEastAsia"/>
          <w:spacing w:val="-4"/>
          <w:rtl/>
        </w:rPr>
        <w:t>382</w:t>
      </w:r>
      <w:r w:rsidRPr="00915E5C">
        <w:rPr>
          <w:rFonts w:eastAsiaTheme="minorEastAsia"/>
          <w:spacing w:val="-4"/>
          <w:rtl/>
        </w:rPr>
        <w:t xml:space="preserve"> بشأن حقوق الأشخاص المنتمين إلى الأقليات القومية والوضع القانوني لمنظماتهم؛ والمادتان </w:t>
      </w:r>
      <w:r w:rsidRPr="001F7700">
        <w:rPr>
          <w:rFonts w:eastAsiaTheme="minorEastAsia"/>
          <w:spacing w:val="-4"/>
          <w:rtl/>
        </w:rPr>
        <w:t>7</w:t>
      </w:r>
      <w:r w:rsidRPr="00915E5C">
        <w:rPr>
          <w:rFonts w:eastAsiaTheme="minorEastAsia"/>
          <w:spacing w:val="-4"/>
          <w:rtl/>
        </w:rPr>
        <w:t xml:space="preserve"> و</w:t>
      </w:r>
      <w:r w:rsidRPr="001F7700">
        <w:rPr>
          <w:rFonts w:eastAsiaTheme="minorEastAsia"/>
          <w:spacing w:val="-4"/>
          <w:rtl/>
        </w:rPr>
        <w:t>19</w:t>
      </w:r>
      <w:r w:rsidRPr="00A97CB7">
        <w:rPr>
          <w:rFonts w:eastAsiaTheme="minorEastAsia"/>
          <w:rtl/>
        </w:rPr>
        <w:t xml:space="preserve"> من القانون رقم </w:t>
      </w:r>
      <w:r w:rsidRPr="001F7700">
        <w:rPr>
          <w:rFonts w:eastAsiaTheme="minorEastAsia"/>
          <w:rtl/>
        </w:rPr>
        <w:t>121</w:t>
      </w:r>
      <w:r w:rsidRPr="00A97CB7">
        <w:rPr>
          <w:rFonts w:eastAsiaTheme="minorEastAsia"/>
          <w:rtl/>
        </w:rPr>
        <w:t xml:space="preserve"> بشأن ضمان المساواة.</w:t>
      </w:r>
    </w:p>
  </w:footnote>
  <w:footnote w:id="12">
    <w:p w14:paraId="7845452B" w14:textId="7922DB7E" w:rsidR="00A97CB7" w:rsidRPr="00A97CB7" w:rsidRDefault="00A97CB7" w:rsidP="00A97CB7">
      <w:pPr>
        <w:pStyle w:val="FootnoteText1"/>
        <w:textDirection w:val="tbRlV"/>
        <w:rPr>
          <w:rFonts w:eastAsiaTheme="minorEastAsia"/>
        </w:rPr>
      </w:pPr>
      <w:r w:rsidRPr="00A97CB7">
        <w:rPr>
          <w:rFonts w:eastAsiaTheme="minorEastAsia"/>
          <w:rtl/>
        </w:rPr>
        <w:t>(</w:t>
      </w:r>
      <w:r w:rsidRPr="001F7700">
        <w:rPr>
          <w:rStyle w:val="FootnoteReference"/>
          <w:rFonts w:eastAsiaTheme="minorEastAsia"/>
          <w:vertAlign w:val="baseline"/>
        </w:rPr>
        <w:footnoteRef/>
      </w:r>
      <w:r w:rsidRPr="00A97CB7">
        <w:rPr>
          <w:rStyle w:val="FootnoteReference"/>
          <w:rFonts w:eastAsiaTheme="minorEastAsia"/>
          <w:vertAlign w:val="baseline"/>
          <w:rtl/>
        </w:rPr>
        <w:t>)</w:t>
      </w:r>
      <w:r w:rsidRPr="00A97CB7">
        <w:rPr>
          <w:rFonts w:eastAsiaTheme="minorEastAsia"/>
          <w:rtl/>
        </w:rPr>
        <w:tab/>
        <w:t xml:space="preserve">المادة </w:t>
      </w:r>
      <w:r w:rsidRPr="001F7700">
        <w:rPr>
          <w:rFonts w:eastAsiaTheme="minorEastAsia"/>
          <w:rtl/>
        </w:rPr>
        <w:t>14</w:t>
      </w:r>
      <w:r w:rsidRPr="00A97CB7">
        <w:rPr>
          <w:rFonts w:eastAsiaTheme="minorEastAsia"/>
          <w:rtl/>
        </w:rPr>
        <w:t xml:space="preserve"> من اتفاقية حماية حقوق الإنسان والحريات الأساسية (الاتفاقية الأوروبية لحقوق الإنسان)؛ والمواد </w:t>
      </w:r>
      <w:r w:rsidRPr="001F7700">
        <w:rPr>
          <w:rFonts w:eastAsiaTheme="minorEastAsia"/>
          <w:rtl/>
        </w:rPr>
        <w:t>2</w:t>
      </w:r>
      <w:r w:rsidRPr="00A97CB7">
        <w:rPr>
          <w:rFonts w:eastAsiaTheme="minorEastAsia"/>
          <w:rtl/>
        </w:rPr>
        <w:t>(</w:t>
      </w:r>
      <w:r w:rsidRPr="001F7700">
        <w:rPr>
          <w:rFonts w:eastAsiaTheme="minorEastAsia"/>
          <w:rtl/>
        </w:rPr>
        <w:t>1</w:t>
      </w:r>
      <w:r w:rsidRPr="00A97CB7">
        <w:rPr>
          <w:rFonts w:eastAsiaTheme="minorEastAsia"/>
          <w:rtl/>
        </w:rPr>
        <w:t>)، و</w:t>
      </w:r>
      <w:r w:rsidRPr="001F7700">
        <w:rPr>
          <w:rFonts w:eastAsiaTheme="minorEastAsia"/>
          <w:rtl/>
        </w:rPr>
        <w:t>5</w:t>
      </w:r>
      <w:r w:rsidRPr="00A97CB7">
        <w:rPr>
          <w:rFonts w:eastAsiaTheme="minorEastAsia"/>
          <w:rtl/>
        </w:rPr>
        <w:t>، و</w:t>
      </w:r>
      <w:r w:rsidRPr="001F7700">
        <w:rPr>
          <w:rFonts w:eastAsiaTheme="minorEastAsia"/>
          <w:rtl/>
        </w:rPr>
        <w:t>6</w:t>
      </w:r>
      <w:r w:rsidRPr="00A97CB7">
        <w:rPr>
          <w:rFonts w:eastAsiaTheme="minorEastAsia"/>
          <w:rtl/>
        </w:rPr>
        <w:t>، و</w:t>
      </w:r>
      <w:r w:rsidRPr="001F7700">
        <w:rPr>
          <w:rFonts w:eastAsiaTheme="minorEastAsia"/>
          <w:rtl/>
        </w:rPr>
        <w:t>7</w:t>
      </w:r>
      <w:r w:rsidRPr="00A97CB7">
        <w:rPr>
          <w:rFonts w:eastAsiaTheme="minorEastAsia"/>
          <w:rtl/>
        </w:rPr>
        <w:t xml:space="preserve"> من الاتفاقية؛ والمادة </w:t>
      </w:r>
      <w:r w:rsidRPr="001F7700">
        <w:rPr>
          <w:rFonts w:eastAsiaTheme="minorEastAsia"/>
          <w:rtl/>
        </w:rPr>
        <w:t>6</w:t>
      </w:r>
      <w:r w:rsidRPr="00A97CB7">
        <w:rPr>
          <w:rFonts w:eastAsiaTheme="minorEastAsia"/>
          <w:rtl/>
        </w:rPr>
        <w:t>(</w:t>
      </w:r>
      <w:r w:rsidRPr="001F7700">
        <w:rPr>
          <w:rFonts w:eastAsiaTheme="minorEastAsia"/>
          <w:rtl/>
        </w:rPr>
        <w:t>1</w:t>
      </w:r>
      <w:r w:rsidRPr="00A97CB7">
        <w:rPr>
          <w:rFonts w:eastAsiaTheme="minorEastAsia"/>
          <w:rtl/>
        </w:rPr>
        <w:t>) من العهد الدولي الخاص بالحقوق الاقتصادية والاجتماعية والثقافية.</w:t>
      </w:r>
    </w:p>
  </w:footnote>
  <w:footnote w:id="13">
    <w:p w14:paraId="289063F5" w14:textId="148E2586" w:rsidR="00A97CB7" w:rsidRPr="00A97CB7" w:rsidRDefault="00A97CB7" w:rsidP="00A97CB7">
      <w:pPr>
        <w:pStyle w:val="FootnoteText1"/>
        <w:textDirection w:val="tbRlV"/>
        <w:rPr>
          <w:rFonts w:eastAsiaTheme="minorEastAsia"/>
          <w:w w:val="99"/>
          <w:lang w:val="ar-SA" w:eastAsia="zh-TW" w:bidi="en-GB"/>
        </w:rPr>
      </w:pPr>
      <w:r w:rsidRPr="00A97CB7">
        <w:rPr>
          <w:rFonts w:eastAsiaTheme="minorEastAsia"/>
          <w:rtl/>
        </w:rPr>
        <w:t>(</w:t>
      </w:r>
      <w:r w:rsidRPr="001F7700">
        <w:rPr>
          <w:rStyle w:val="FootnoteReference"/>
          <w:rFonts w:eastAsiaTheme="minorEastAsia"/>
          <w:vertAlign w:val="baseline"/>
        </w:rPr>
        <w:footnoteRef/>
      </w:r>
      <w:r w:rsidRPr="00A97CB7">
        <w:rPr>
          <w:rStyle w:val="FootnoteReference"/>
          <w:rFonts w:eastAsiaTheme="minorEastAsia"/>
          <w:vertAlign w:val="baseline"/>
          <w:rtl/>
        </w:rPr>
        <w:t>)</w:t>
      </w:r>
      <w:r w:rsidRPr="00A97CB7">
        <w:rPr>
          <w:rFonts w:eastAsiaTheme="minorEastAsia"/>
          <w:rtl/>
        </w:rPr>
        <w:tab/>
        <w:t xml:space="preserve">تنص المادة </w:t>
      </w:r>
      <w:r w:rsidRPr="001F7700">
        <w:rPr>
          <w:rFonts w:eastAsiaTheme="minorEastAsia"/>
          <w:rtl/>
        </w:rPr>
        <w:t>7</w:t>
      </w:r>
      <w:r w:rsidRPr="00A97CB7">
        <w:rPr>
          <w:rFonts w:eastAsiaTheme="minorEastAsia"/>
          <w:rtl/>
        </w:rPr>
        <w:t>(</w:t>
      </w:r>
      <w:r w:rsidRPr="001F7700">
        <w:rPr>
          <w:rFonts w:eastAsiaTheme="minorEastAsia"/>
          <w:rtl/>
        </w:rPr>
        <w:t>5</w:t>
      </w:r>
      <w:r w:rsidRPr="00A97CB7">
        <w:rPr>
          <w:rFonts w:eastAsiaTheme="minorEastAsia"/>
          <w:rtl/>
        </w:rPr>
        <w:t xml:space="preserve">) من القانون رقم </w:t>
      </w:r>
      <w:r w:rsidRPr="001F7700">
        <w:rPr>
          <w:rFonts w:eastAsiaTheme="minorEastAsia"/>
          <w:rtl/>
        </w:rPr>
        <w:t>121</w:t>
      </w:r>
      <w:r w:rsidRPr="00A97CB7">
        <w:rPr>
          <w:rFonts w:eastAsiaTheme="minorEastAsia"/>
          <w:rtl/>
        </w:rPr>
        <w:t xml:space="preserve"> بشأن ضمان المساواة على أن أي تمييز أو استبعاد أو تقييد أو تفضيل فيما يتعلق بوظيفة معين لا يشكل تمييزاً شريطة أن تستلزم الطبيعة المحددة للنشاط المعني أو الظروف التي يجري فيها الاضطلاع به</w:t>
      </w:r>
      <w:r w:rsidR="00915E5C">
        <w:rPr>
          <w:rFonts w:eastAsiaTheme="minorEastAsia" w:hint="cs"/>
          <w:rtl/>
        </w:rPr>
        <w:t> </w:t>
      </w:r>
      <w:r w:rsidRPr="00A97CB7">
        <w:rPr>
          <w:rFonts w:eastAsiaTheme="minorEastAsia"/>
          <w:rtl/>
        </w:rPr>
        <w:t>"متطلبات مهنية محددة"، تستوفي معياري الشرعية والتناسب.</w:t>
      </w:r>
    </w:p>
  </w:footnote>
  <w:footnote w:id="14">
    <w:p w14:paraId="3798C536" w14:textId="5D70006C" w:rsidR="00A97CB7" w:rsidRPr="00A97CB7" w:rsidRDefault="00A97CB7" w:rsidP="00A97CB7">
      <w:pPr>
        <w:pStyle w:val="FootnoteText1"/>
        <w:textDirection w:val="tbRlV"/>
        <w:rPr>
          <w:rFonts w:eastAsiaTheme="minorEastAsia"/>
          <w:lang w:val="ar-SA" w:eastAsia="zh-TW" w:bidi="en-GB"/>
        </w:rPr>
      </w:pPr>
      <w:r w:rsidRPr="00A97CB7">
        <w:rPr>
          <w:rFonts w:eastAsiaTheme="minorEastAsia"/>
          <w:rtl/>
        </w:rPr>
        <w:t>(</w:t>
      </w:r>
      <w:r w:rsidRPr="001F7700">
        <w:rPr>
          <w:rStyle w:val="FootnoteReference"/>
          <w:rFonts w:eastAsiaTheme="minorEastAsia"/>
          <w:vertAlign w:val="baseline"/>
        </w:rPr>
        <w:footnoteRef/>
      </w:r>
      <w:r w:rsidRPr="00A97CB7">
        <w:rPr>
          <w:rStyle w:val="FootnoteReference"/>
          <w:rFonts w:eastAsiaTheme="minorEastAsia"/>
          <w:vertAlign w:val="baseline"/>
          <w:rtl/>
        </w:rPr>
        <w:t>)</w:t>
      </w:r>
      <w:r w:rsidRPr="00A97CB7">
        <w:rPr>
          <w:rFonts w:eastAsiaTheme="minorEastAsia"/>
          <w:rtl/>
        </w:rPr>
        <w:tab/>
        <w:t xml:space="preserve">المحكمة الأوروبية لحقوق الإنسان، قضية </w:t>
      </w:r>
      <w:r w:rsidRPr="001F7700">
        <w:rPr>
          <w:rFonts w:eastAsiaTheme="minorEastAsia"/>
          <w:i/>
          <w:iCs/>
          <w:rtl/>
        </w:rPr>
        <w:t>د. ه. وآخرين ضد الجمهورية التشيكية</w:t>
      </w:r>
      <w:r w:rsidRPr="00A97CB7">
        <w:rPr>
          <w:rFonts w:eastAsiaTheme="minorEastAsia"/>
          <w:rtl/>
        </w:rPr>
        <w:t>.</w:t>
      </w:r>
    </w:p>
  </w:footnote>
  <w:footnote w:id="15">
    <w:p w14:paraId="58EEA05C" w14:textId="5169097F" w:rsidR="00A97CB7" w:rsidRPr="00A97CB7" w:rsidRDefault="00A97CB7" w:rsidP="00A97CB7">
      <w:pPr>
        <w:pStyle w:val="FootnoteText1"/>
        <w:textDirection w:val="tbRlV"/>
        <w:rPr>
          <w:rFonts w:eastAsiaTheme="minorEastAsia"/>
          <w:lang w:eastAsia="zh-TW" w:bidi="en-GB"/>
        </w:rPr>
      </w:pPr>
      <w:r w:rsidRPr="00A97CB7">
        <w:rPr>
          <w:rFonts w:eastAsiaTheme="minorEastAsia"/>
          <w:rtl/>
        </w:rPr>
        <w:t>(</w:t>
      </w:r>
      <w:r w:rsidRPr="001F7700">
        <w:rPr>
          <w:rStyle w:val="FootnoteReference"/>
          <w:rFonts w:eastAsiaTheme="minorEastAsia"/>
          <w:vertAlign w:val="baseline"/>
        </w:rPr>
        <w:footnoteRef/>
      </w:r>
      <w:r w:rsidRPr="00A97CB7">
        <w:rPr>
          <w:rStyle w:val="FootnoteReference"/>
          <w:rFonts w:eastAsiaTheme="minorEastAsia"/>
          <w:vertAlign w:val="baseline"/>
          <w:rtl/>
        </w:rPr>
        <w:t>)</w:t>
      </w:r>
      <w:r w:rsidRPr="00A97CB7">
        <w:rPr>
          <w:rFonts w:eastAsiaTheme="minorEastAsia"/>
          <w:rtl/>
        </w:rPr>
        <w:tab/>
        <w:t>قد يكون المقصود هنا هو مكتب العلاقات بين الجماعات الإثنية، الذي قدم ملاحظات والذي يتولى مسؤولية إنفاذ أحكام الاتفاقية على الصعيد المحلي.</w:t>
      </w:r>
    </w:p>
  </w:footnote>
  <w:footnote w:id="16">
    <w:p w14:paraId="7D6D8EE1" w14:textId="2608ACE9" w:rsidR="00A97CB7" w:rsidRPr="001F7700" w:rsidRDefault="00A97CB7" w:rsidP="00A97CB7">
      <w:pPr>
        <w:pStyle w:val="FootnoteText1"/>
        <w:textDirection w:val="tbRlV"/>
        <w:rPr>
          <w:rFonts w:eastAsiaTheme="minorEastAsia"/>
          <w:i/>
          <w:lang w:eastAsia="zh-TW" w:bidi="en-GB"/>
        </w:rPr>
      </w:pPr>
      <w:r w:rsidRPr="00A97CB7">
        <w:rPr>
          <w:rFonts w:eastAsiaTheme="minorEastAsia"/>
          <w:rtl/>
        </w:rPr>
        <w:t>(</w:t>
      </w:r>
      <w:r w:rsidRPr="001F7700">
        <w:rPr>
          <w:rStyle w:val="FootnoteReference"/>
          <w:rFonts w:eastAsiaTheme="minorEastAsia"/>
          <w:vertAlign w:val="baseline"/>
        </w:rPr>
        <w:footnoteRef/>
      </w:r>
      <w:r w:rsidRPr="00A97CB7">
        <w:rPr>
          <w:rStyle w:val="FootnoteReference"/>
          <w:rFonts w:eastAsiaTheme="minorEastAsia"/>
          <w:vertAlign w:val="baseline"/>
          <w:rtl/>
        </w:rPr>
        <w:t>)</w:t>
      </w:r>
      <w:r w:rsidRPr="00A97CB7">
        <w:rPr>
          <w:rFonts w:eastAsiaTheme="minorEastAsia"/>
          <w:rtl/>
        </w:rPr>
        <w:tab/>
        <w:t xml:space="preserve">انظر، على سبيل المثال، قرارات اللجنة المعنية بالحقوق الاقتصادية والاجتماعية والثقافية في قضية </w:t>
      </w:r>
      <w:r w:rsidRPr="001F7700">
        <w:rPr>
          <w:rFonts w:eastAsiaTheme="minorEastAsia"/>
          <w:i/>
          <w:iCs/>
          <w:rtl/>
        </w:rPr>
        <w:t xml:space="preserve">م. ل. ب. ضد لكسمبرغ </w:t>
      </w:r>
      <w:r w:rsidRPr="00A97CB7">
        <w:rPr>
          <w:rFonts w:eastAsiaTheme="minorEastAsia"/>
          <w:rtl/>
        </w:rPr>
        <w:t>(</w:t>
      </w:r>
      <w:r w:rsidRPr="00A97CB7">
        <w:rPr>
          <w:rFonts w:eastAsiaTheme="minorEastAsia"/>
        </w:rPr>
        <w:t>E/C.</w:t>
      </w:r>
      <w:r w:rsidRPr="001F7700">
        <w:rPr>
          <w:rFonts w:eastAsiaTheme="minorEastAsia"/>
        </w:rPr>
        <w:t>12</w:t>
      </w:r>
      <w:r w:rsidRPr="00A97CB7">
        <w:rPr>
          <w:rFonts w:eastAsiaTheme="minorEastAsia"/>
        </w:rPr>
        <w:t>/</w:t>
      </w:r>
      <w:r w:rsidRPr="001F7700">
        <w:rPr>
          <w:rFonts w:eastAsiaTheme="minorEastAsia"/>
        </w:rPr>
        <w:t>66</w:t>
      </w:r>
      <w:r w:rsidRPr="00A97CB7">
        <w:rPr>
          <w:rFonts w:eastAsiaTheme="minorEastAsia"/>
        </w:rPr>
        <w:t>/D/</w:t>
      </w:r>
      <w:r w:rsidRPr="001F7700">
        <w:rPr>
          <w:rFonts w:eastAsiaTheme="minorEastAsia"/>
        </w:rPr>
        <w:t>20</w:t>
      </w:r>
      <w:r w:rsidRPr="00A97CB7">
        <w:rPr>
          <w:rFonts w:eastAsiaTheme="minorEastAsia"/>
        </w:rPr>
        <w:t>/</w:t>
      </w:r>
      <w:r w:rsidRPr="001F7700">
        <w:rPr>
          <w:rFonts w:eastAsiaTheme="minorEastAsia"/>
        </w:rPr>
        <w:t>2017</w:t>
      </w:r>
      <w:r w:rsidRPr="00A97CB7">
        <w:rPr>
          <w:rFonts w:eastAsiaTheme="minorEastAsia"/>
          <w:rtl/>
        </w:rPr>
        <w:t xml:space="preserve">)، الفقرة </w:t>
      </w:r>
      <w:r w:rsidRPr="001F7700">
        <w:rPr>
          <w:rFonts w:eastAsiaTheme="minorEastAsia"/>
          <w:rtl/>
        </w:rPr>
        <w:t>7</w:t>
      </w:r>
      <w:r w:rsidRPr="00A97CB7">
        <w:rPr>
          <w:rFonts w:eastAsiaTheme="minorEastAsia"/>
          <w:rtl/>
        </w:rPr>
        <w:t>-</w:t>
      </w:r>
      <w:r w:rsidRPr="001F7700">
        <w:rPr>
          <w:rFonts w:eastAsiaTheme="minorEastAsia"/>
          <w:rtl/>
        </w:rPr>
        <w:t>2</w:t>
      </w:r>
      <w:r w:rsidRPr="00A97CB7">
        <w:rPr>
          <w:rFonts w:eastAsiaTheme="minorEastAsia"/>
          <w:rtl/>
        </w:rPr>
        <w:t xml:space="preserve">؛ وقضية </w:t>
      </w:r>
      <w:r w:rsidRPr="001F7700">
        <w:rPr>
          <w:rFonts w:eastAsiaTheme="minorEastAsia"/>
          <w:i/>
          <w:iCs/>
          <w:rtl/>
        </w:rPr>
        <w:t xml:space="preserve">س. ك. </w:t>
      </w:r>
      <w:proofErr w:type="spellStart"/>
      <w:r w:rsidRPr="001F7700">
        <w:rPr>
          <w:rFonts w:eastAsiaTheme="minorEastAsia"/>
          <w:i/>
          <w:iCs/>
          <w:rtl/>
        </w:rPr>
        <w:t>وج</w:t>
      </w:r>
      <w:proofErr w:type="spellEnd"/>
      <w:r w:rsidRPr="001F7700">
        <w:rPr>
          <w:rFonts w:eastAsiaTheme="minorEastAsia"/>
          <w:i/>
          <w:iCs/>
          <w:rtl/>
        </w:rPr>
        <w:t xml:space="preserve">. ب. ضد إيطاليا </w:t>
      </w:r>
      <w:r w:rsidRPr="00A97CB7">
        <w:rPr>
          <w:rFonts w:eastAsiaTheme="minorEastAsia"/>
          <w:rtl/>
        </w:rPr>
        <w:t>(</w:t>
      </w:r>
      <w:r w:rsidRPr="00A97CB7">
        <w:rPr>
          <w:rFonts w:eastAsiaTheme="minorEastAsia"/>
        </w:rPr>
        <w:t>E/C.</w:t>
      </w:r>
      <w:r w:rsidRPr="001F7700">
        <w:rPr>
          <w:rFonts w:eastAsiaTheme="minorEastAsia"/>
        </w:rPr>
        <w:t>12</w:t>
      </w:r>
      <w:r w:rsidRPr="00A97CB7">
        <w:rPr>
          <w:rFonts w:eastAsiaTheme="minorEastAsia"/>
        </w:rPr>
        <w:t>/</w:t>
      </w:r>
      <w:r w:rsidRPr="001F7700">
        <w:rPr>
          <w:rFonts w:eastAsiaTheme="minorEastAsia"/>
        </w:rPr>
        <w:t>65</w:t>
      </w:r>
      <w:r w:rsidRPr="00A97CB7">
        <w:rPr>
          <w:rFonts w:eastAsiaTheme="minorEastAsia"/>
        </w:rPr>
        <w:t>/D/</w:t>
      </w:r>
      <w:r w:rsidRPr="001F7700">
        <w:rPr>
          <w:rFonts w:eastAsiaTheme="minorEastAsia"/>
        </w:rPr>
        <w:t>22</w:t>
      </w:r>
      <w:r w:rsidRPr="00A97CB7">
        <w:rPr>
          <w:rFonts w:eastAsiaTheme="minorEastAsia"/>
        </w:rPr>
        <w:t>/</w:t>
      </w:r>
      <w:r w:rsidRPr="001F7700">
        <w:rPr>
          <w:rFonts w:eastAsiaTheme="minorEastAsia"/>
        </w:rPr>
        <w:t>2017</w:t>
      </w:r>
      <w:r w:rsidRPr="00A97CB7">
        <w:rPr>
          <w:rFonts w:eastAsiaTheme="minorEastAsia"/>
          <w:rtl/>
        </w:rPr>
        <w:t xml:space="preserve">)، الفقرة </w:t>
      </w:r>
      <w:r w:rsidRPr="001F7700">
        <w:rPr>
          <w:rFonts w:eastAsiaTheme="minorEastAsia"/>
          <w:rtl/>
        </w:rPr>
        <w:t>6</w:t>
      </w:r>
      <w:r w:rsidRPr="00A97CB7">
        <w:rPr>
          <w:rFonts w:eastAsiaTheme="minorEastAsia"/>
          <w:rtl/>
        </w:rPr>
        <w:t>-</w:t>
      </w:r>
      <w:r w:rsidRPr="001F7700">
        <w:rPr>
          <w:rFonts w:eastAsiaTheme="minorEastAsia"/>
          <w:rtl/>
        </w:rPr>
        <w:t>6</w:t>
      </w:r>
      <w:r w:rsidRPr="00A97CB7">
        <w:rPr>
          <w:rFonts w:eastAsiaTheme="minorEastAsia"/>
          <w:rtl/>
        </w:rPr>
        <w:t xml:space="preserve">؛ وقضية </w:t>
      </w:r>
      <w:proofErr w:type="spellStart"/>
      <w:r w:rsidRPr="001F7700">
        <w:rPr>
          <w:rFonts w:eastAsiaTheme="minorEastAsia"/>
          <w:i/>
          <w:iCs/>
          <w:rtl/>
        </w:rPr>
        <w:t>أريانو</w:t>
      </w:r>
      <w:proofErr w:type="spellEnd"/>
      <w:r w:rsidRPr="001F7700">
        <w:rPr>
          <w:rFonts w:eastAsiaTheme="minorEastAsia"/>
          <w:i/>
          <w:iCs/>
          <w:rtl/>
        </w:rPr>
        <w:t xml:space="preserve"> مِدينا ضد إكوادور </w:t>
      </w:r>
      <w:r w:rsidRPr="00A97CB7">
        <w:rPr>
          <w:rFonts w:eastAsiaTheme="minorEastAsia"/>
          <w:rtl/>
        </w:rPr>
        <w:t>(</w:t>
      </w:r>
      <w:r w:rsidRPr="00A97CB7">
        <w:rPr>
          <w:rFonts w:eastAsiaTheme="minorEastAsia"/>
        </w:rPr>
        <w:t>E/C.</w:t>
      </w:r>
      <w:r w:rsidRPr="001F7700">
        <w:rPr>
          <w:rFonts w:eastAsiaTheme="minorEastAsia"/>
        </w:rPr>
        <w:t>12</w:t>
      </w:r>
      <w:r w:rsidRPr="00A97CB7">
        <w:rPr>
          <w:rFonts w:eastAsiaTheme="minorEastAsia"/>
        </w:rPr>
        <w:t>/</w:t>
      </w:r>
      <w:r w:rsidRPr="001F7700">
        <w:rPr>
          <w:rFonts w:eastAsiaTheme="minorEastAsia"/>
        </w:rPr>
        <w:t>63</w:t>
      </w:r>
      <w:r w:rsidRPr="00A97CB7">
        <w:rPr>
          <w:rFonts w:eastAsiaTheme="minorEastAsia"/>
        </w:rPr>
        <w:t>/D/</w:t>
      </w:r>
      <w:r w:rsidRPr="001F7700">
        <w:rPr>
          <w:rFonts w:eastAsiaTheme="minorEastAsia"/>
        </w:rPr>
        <w:t>7</w:t>
      </w:r>
      <w:r w:rsidRPr="00A97CB7">
        <w:rPr>
          <w:rFonts w:eastAsiaTheme="minorEastAsia"/>
        </w:rPr>
        <w:t>/</w:t>
      </w:r>
      <w:r w:rsidRPr="001F7700">
        <w:rPr>
          <w:rFonts w:eastAsiaTheme="minorEastAsia"/>
        </w:rPr>
        <w:t>2015</w:t>
      </w:r>
      <w:r w:rsidRPr="00A97CB7">
        <w:rPr>
          <w:rFonts w:eastAsiaTheme="minorEastAsia"/>
          <w:rtl/>
        </w:rPr>
        <w:t xml:space="preserve">)، الفقرة </w:t>
      </w:r>
      <w:r w:rsidRPr="001F7700">
        <w:rPr>
          <w:rFonts w:eastAsiaTheme="minorEastAsia"/>
          <w:rtl/>
        </w:rPr>
        <w:t>8</w:t>
      </w:r>
      <w:r w:rsidRPr="00A97CB7">
        <w:rPr>
          <w:rFonts w:eastAsiaTheme="minorEastAsia"/>
          <w:rtl/>
        </w:rPr>
        <w:t>-</w:t>
      </w:r>
      <w:r w:rsidRPr="001F7700">
        <w:rPr>
          <w:rFonts w:eastAsiaTheme="minorEastAsia"/>
          <w:rtl/>
        </w:rPr>
        <w:t>3</w:t>
      </w:r>
      <w:r w:rsidRPr="00A97CB7">
        <w:rPr>
          <w:rFonts w:eastAsiaTheme="minorEastAsia"/>
          <w:rtl/>
        </w:rPr>
        <w:t xml:space="preserve">؛ وقضية </w:t>
      </w:r>
      <w:proofErr w:type="spellStart"/>
      <w:r w:rsidRPr="001F7700">
        <w:rPr>
          <w:rFonts w:eastAsiaTheme="minorEastAsia"/>
          <w:i/>
          <w:iCs/>
          <w:rtl/>
        </w:rPr>
        <w:t>تروخيو</w:t>
      </w:r>
      <w:proofErr w:type="spellEnd"/>
      <w:r w:rsidRPr="001F7700">
        <w:rPr>
          <w:rFonts w:eastAsiaTheme="minorEastAsia"/>
          <w:i/>
          <w:iCs/>
          <w:rtl/>
        </w:rPr>
        <w:t xml:space="preserve"> </w:t>
      </w:r>
      <w:proofErr w:type="spellStart"/>
      <w:r w:rsidRPr="001F7700">
        <w:rPr>
          <w:rFonts w:eastAsiaTheme="minorEastAsia"/>
          <w:i/>
          <w:iCs/>
          <w:rtl/>
        </w:rPr>
        <w:t>كاليرو</w:t>
      </w:r>
      <w:proofErr w:type="spellEnd"/>
      <w:r w:rsidRPr="001F7700">
        <w:rPr>
          <w:rFonts w:eastAsiaTheme="minorEastAsia"/>
          <w:i/>
          <w:iCs/>
          <w:rtl/>
        </w:rPr>
        <w:t xml:space="preserve"> ضد إكوادور </w:t>
      </w:r>
      <w:r w:rsidRPr="00A97CB7">
        <w:rPr>
          <w:rFonts w:eastAsiaTheme="minorEastAsia"/>
          <w:rtl/>
        </w:rPr>
        <w:t>(</w:t>
      </w:r>
      <w:r w:rsidRPr="00A97CB7">
        <w:rPr>
          <w:rFonts w:eastAsiaTheme="minorEastAsia"/>
        </w:rPr>
        <w:t>E/C.</w:t>
      </w:r>
      <w:r w:rsidRPr="001F7700">
        <w:rPr>
          <w:rFonts w:eastAsiaTheme="minorEastAsia"/>
        </w:rPr>
        <w:t>12</w:t>
      </w:r>
      <w:r w:rsidRPr="00A97CB7">
        <w:rPr>
          <w:rFonts w:eastAsiaTheme="minorEastAsia"/>
        </w:rPr>
        <w:t>/</w:t>
      </w:r>
      <w:r w:rsidRPr="001F7700">
        <w:rPr>
          <w:rFonts w:eastAsiaTheme="minorEastAsia"/>
        </w:rPr>
        <w:t>63</w:t>
      </w:r>
      <w:r w:rsidRPr="00A97CB7">
        <w:rPr>
          <w:rFonts w:eastAsiaTheme="minorEastAsia"/>
        </w:rPr>
        <w:t>/D/</w:t>
      </w:r>
      <w:r w:rsidRPr="001F7700">
        <w:rPr>
          <w:rFonts w:eastAsiaTheme="minorEastAsia"/>
        </w:rPr>
        <w:t>10</w:t>
      </w:r>
      <w:r w:rsidRPr="00A97CB7">
        <w:rPr>
          <w:rFonts w:eastAsiaTheme="minorEastAsia"/>
        </w:rPr>
        <w:t>/</w:t>
      </w:r>
      <w:r w:rsidRPr="001F7700">
        <w:rPr>
          <w:rFonts w:eastAsiaTheme="minorEastAsia"/>
        </w:rPr>
        <w:t>2015</w:t>
      </w:r>
      <w:r w:rsidRPr="00A97CB7">
        <w:rPr>
          <w:rFonts w:eastAsiaTheme="minorEastAsia"/>
          <w:rtl/>
        </w:rPr>
        <w:t xml:space="preserve">)، الفقرة </w:t>
      </w:r>
      <w:r w:rsidRPr="001F7700">
        <w:rPr>
          <w:rFonts w:eastAsiaTheme="minorEastAsia"/>
          <w:rtl/>
        </w:rPr>
        <w:t>9</w:t>
      </w:r>
      <w:r w:rsidRPr="00A97CB7">
        <w:rPr>
          <w:rFonts w:eastAsiaTheme="minorEastAsia"/>
          <w:rtl/>
        </w:rPr>
        <w:t>-</w:t>
      </w:r>
      <w:r w:rsidRPr="001F7700">
        <w:rPr>
          <w:rFonts w:eastAsiaTheme="minorEastAsia"/>
          <w:rtl/>
        </w:rPr>
        <w:t>5</w:t>
      </w:r>
      <w:r w:rsidRPr="00A97CB7">
        <w:rPr>
          <w:rFonts w:eastAsiaTheme="minorEastAsia"/>
          <w:rtl/>
        </w:rPr>
        <w:t xml:space="preserve">؛ وقضية </w:t>
      </w:r>
      <w:proofErr w:type="spellStart"/>
      <w:r w:rsidRPr="001F7700">
        <w:rPr>
          <w:rFonts w:eastAsiaTheme="minorEastAsia"/>
          <w:i/>
          <w:iCs/>
          <w:rtl/>
        </w:rPr>
        <w:t>ألاركون</w:t>
      </w:r>
      <w:proofErr w:type="spellEnd"/>
      <w:r w:rsidRPr="001F7700">
        <w:rPr>
          <w:rFonts w:eastAsiaTheme="minorEastAsia"/>
          <w:i/>
          <w:iCs/>
          <w:rtl/>
        </w:rPr>
        <w:t xml:space="preserve"> فلوريس وآخرين ضد إكوادور</w:t>
      </w:r>
      <w:r w:rsidRPr="00A97CB7">
        <w:rPr>
          <w:rFonts w:eastAsiaTheme="minorEastAsia"/>
          <w:rtl/>
        </w:rPr>
        <w:t xml:space="preserve"> (</w:t>
      </w:r>
      <w:r w:rsidRPr="00A97CB7">
        <w:rPr>
          <w:rFonts w:eastAsiaTheme="minorEastAsia"/>
        </w:rPr>
        <w:t>E/C.</w:t>
      </w:r>
      <w:r w:rsidRPr="001F7700">
        <w:rPr>
          <w:rFonts w:eastAsiaTheme="minorEastAsia"/>
        </w:rPr>
        <w:t>12</w:t>
      </w:r>
      <w:r w:rsidRPr="00A97CB7">
        <w:rPr>
          <w:rFonts w:eastAsiaTheme="minorEastAsia"/>
        </w:rPr>
        <w:t>/</w:t>
      </w:r>
      <w:r w:rsidRPr="001F7700">
        <w:rPr>
          <w:rFonts w:eastAsiaTheme="minorEastAsia"/>
        </w:rPr>
        <w:t>62</w:t>
      </w:r>
      <w:r w:rsidRPr="00A97CB7">
        <w:rPr>
          <w:rFonts w:eastAsiaTheme="minorEastAsia"/>
        </w:rPr>
        <w:t>/D/</w:t>
      </w:r>
      <w:r w:rsidRPr="001F7700">
        <w:rPr>
          <w:rFonts w:eastAsiaTheme="minorEastAsia"/>
        </w:rPr>
        <w:t>14</w:t>
      </w:r>
      <w:r w:rsidRPr="00A97CB7">
        <w:rPr>
          <w:rFonts w:eastAsiaTheme="minorEastAsia"/>
        </w:rPr>
        <w:t>/</w:t>
      </w:r>
      <w:r w:rsidRPr="001F7700">
        <w:rPr>
          <w:rFonts w:eastAsiaTheme="minorEastAsia"/>
        </w:rPr>
        <w:t>2016</w:t>
      </w:r>
      <w:r w:rsidRPr="00A97CB7">
        <w:rPr>
          <w:rFonts w:eastAsiaTheme="minorEastAsia"/>
          <w:rtl/>
        </w:rPr>
        <w:t xml:space="preserve">)، الفقرة </w:t>
      </w:r>
      <w:r w:rsidRPr="001F7700">
        <w:rPr>
          <w:rFonts w:eastAsiaTheme="minorEastAsia"/>
          <w:rtl/>
        </w:rPr>
        <w:t>9</w:t>
      </w:r>
      <w:r w:rsidRPr="00A97CB7">
        <w:rPr>
          <w:rFonts w:eastAsiaTheme="minorEastAsia"/>
          <w:rtl/>
        </w:rPr>
        <w:t>-</w:t>
      </w:r>
      <w:r w:rsidRPr="001F7700">
        <w:rPr>
          <w:rFonts w:eastAsiaTheme="minorEastAsia"/>
          <w:rtl/>
        </w:rPr>
        <w:t>8</w:t>
      </w:r>
      <w:r w:rsidRPr="00A97CB7">
        <w:rPr>
          <w:rFonts w:eastAsiaTheme="minorEastAsia"/>
          <w:rtl/>
        </w:rPr>
        <w:t xml:space="preserve">؛ وقضية </w:t>
      </w:r>
      <w:proofErr w:type="spellStart"/>
      <w:r w:rsidRPr="001F7700">
        <w:rPr>
          <w:rFonts w:eastAsiaTheme="minorEastAsia"/>
          <w:i/>
          <w:iCs/>
          <w:rtl/>
        </w:rPr>
        <w:t>مارتينس</w:t>
      </w:r>
      <w:proofErr w:type="spellEnd"/>
      <w:r w:rsidRPr="001F7700">
        <w:rPr>
          <w:rFonts w:eastAsiaTheme="minorEastAsia"/>
          <w:i/>
          <w:iCs/>
          <w:rtl/>
        </w:rPr>
        <w:t xml:space="preserve"> </w:t>
      </w:r>
      <w:proofErr w:type="spellStart"/>
      <w:r w:rsidRPr="001F7700">
        <w:rPr>
          <w:rFonts w:eastAsiaTheme="minorEastAsia"/>
          <w:i/>
          <w:iCs/>
          <w:rtl/>
        </w:rPr>
        <w:t>كويليو</w:t>
      </w:r>
      <w:proofErr w:type="spellEnd"/>
      <w:r w:rsidRPr="001F7700">
        <w:rPr>
          <w:rFonts w:eastAsiaTheme="minorEastAsia"/>
          <w:i/>
          <w:iCs/>
          <w:rtl/>
        </w:rPr>
        <w:t xml:space="preserve"> ضد البرتغال </w:t>
      </w:r>
      <w:r w:rsidRPr="00A97CB7">
        <w:rPr>
          <w:rFonts w:eastAsiaTheme="minorEastAsia"/>
          <w:rtl/>
        </w:rPr>
        <w:t>(</w:t>
      </w:r>
      <w:r w:rsidRPr="00A97CB7">
        <w:rPr>
          <w:rFonts w:eastAsiaTheme="minorEastAsia"/>
        </w:rPr>
        <w:t>E/C.</w:t>
      </w:r>
      <w:r w:rsidRPr="001F7700">
        <w:rPr>
          <w:rFonts w:eastAsiaTheme="minorEastAsia"/>
        </w:rPr>
        <w:t>12</w:t>
      </w:r>
      <w:r w:rsidRPr="00A97CB7">
        <w:rPr>
          <w:rFonts w:eastAsiaTheme="minorEastAsia"/>
        </w:rPr>
        <w:t>/</w:t>
      </w:r>
      <w:r w:rsidRPr="001F7700">
        <w:rPr>
          <w:rFonts w:eastAsiaTheme="minorEastAsia"/>
        </w:rPr>
        <w:t>61</w:t>
      </w:r>
      <w:r w:rsidRPr="00A97CB7">
        <w:rPr>
          <w:rFonts w:eastAsiaTheme="minorEastAsia"/>
        </w:rPr>
        <w:t>/D/</w:t>
      </w:r>
      <w:r w:rsidRPr="001F7700">
        <w:rPr>
          <w:rFonts w:eastAsiaTheme="minorEastAsia"/>
        </w:rPr>
        <w:t>21</w:t>
      </w:r>
      <w:r w:rsidRPr="00A97CB7">
        <w:rPr>
          <w:rFonts w:eastAsiaTheme="minorEastAsia"/>
        </w:rPr>
        <w:t>/</w:t>
      </w:r>
      <w:r w:rsidRPr="001F7700">
        <w:rPr>
          <w:rFonts w:eastAsiaTheme="minorEastAsia"/>
        </w:rPr>
        <w:t>2017</w:t>
      </w:r>
      <w:r w:rsidRPr="00A97CB7">
        <w:rPr>
          <w:rFonts w:eastAsiaTheme="minorEastAsia"/>
          <w:rtl/>
        </w:rPr>
        <w:t xml:space="preserve">)، الفقرة </w:t>
      </w:r>
      <w:r w:rsidRPr="001F7700">
        <w:rPr>
          <w:rFonts w:eastAsiaTheme="minorEastAsia"/>
          <w:rtl/>
        </w:rPr>
        <w:t>4</w:t>
      </w:r>
      <w:r w:rsidRPr="00A97CB7">
        <w:rPr>
          <w:rFonts w:eastAsiaTheme="minorEastAsia"/>
          <w:rtl/>
        </w:rPr>
        <w:t>-</w:t>
      </w:r>
      <w:r w:rsidRPr="001F7700">
        <w:rPr>
          <w:rFonts w:eastAsiaTheme="minorEastAsia"/>
          <w:rtl/>
        </w:rPr>
        <w:t>2</w:t>
      </w:r>
      <w:r w:rsidRPr="00A97CB7">
        <w:rPr>
          <w:rFonts w:eastAsiaTheme="minorEastAsia"/>
          <w:rtl/>
        </w:rPr>
        <w:t xml:space="preserve">؛ وقضية </w:t>
      </w:r>
      <w:r w:rsidRPr="001F7700">
        <w:rPr>
          <w:rFonts w:eastAsiaTheme="minorEastAsia"/>
          <w:i/>
          <w:iCs/>
          <w:rtl/>
        </w:rPr>
        <w:t xml:space="preserve">ك. أ. ب. م. ضد إكوادور </w:t>
      </w:r>
      <w:r w:rsidRPr="00A97CB7">
        <w:rPr>
          <w:rFonts w:eastAsiaTheme="minorEastAsia"/>
          <w:rtl/>
        </w:rPr>
        <w:t>(</w:t>
      </w:r>
      <w:r w:rsidRPr="00A97CB7">
        <w:rPr>
          <w:rFonts w:eastAsiaTheme="minorEastAsia"/>
        </w:rPr>
        <w:t>E/C.</w:t>
      </w:r>
      <w:r w:rsidRPr="001F7700">
        <w:rPr>
          <w:rFonts w:eastAsiaTheme="minorEastAsia"/>
        </w:rPr>
        <w:t>12</w:t>
      </w:r>
      <w:r w:rsidRPr="00A97CB7">
        <w:rPr>
          <w:rFonts w:eastAsiaTheme="minorEastAsia"/>
        </w:rPr>
        <w:t>/</w:t>
      </w:r>
      <w:r w:rsidRPr="001F7700">
        <w:rPr>
          <w:rFonts w:eastAsiaTheme="minorEastAsia"/>
        </w:rPr>
        <w:t>58</w:t>
      </w:r>
      <w:r w:rsidRPr="00A97CB7">
        <w:rPr>
          <w:rFonts w:eastAsiaTheme="minorEastAsia"/>
        </w:rPr>
        <w:t>/D/</w:t>
      </w:r>
      <w:r w:rsidRPr="001F7700">
        <w:rPr>
          <w:rFonts w:eastAsiaTheme="minorEastAsia"/>
        </w:rPr>
        <w:t>3</w:t>
      </w:r>
      <w:r w:rsidRPr="00A97CB7">
        <w:rPr>
          <w:rFonts w:eastAsiaTheme="minorEastAsia"/>
        </w:rPr>
        <w:t>/</w:t>
      </w:r>
      <w:r w:rsidRPr="001F7700">
        <w:rPr>
          <w:rFonts w:eastAsiaTheme="minorEastAsia"/>
        </w:rPr>
        <w:t>2014</w:t>
      </w:r>
      <w:r w:rsidRPr="00A97CB7">
        <w:rPr>
          <w:rFonts w:eastAsiaTheme="minorEastAsia"/>
          <w:rtl/>
        </w:rPr>
        <w:t xml:space="preserve">)، الفقرة </w:t>
      </w:r>
      <w:r w:rsidRPr="001F7700">
        <w:rPr>
          <w:rFonts w:eastAsiaTheme="minorEastAsia"/>
          <w:rtl/>
        </w:rPr>
        <w:t>7</w:t>
      </w:r>
      <w:r w:rsidRPr="00A97CB7">
        <w:rPr>
          <w:rFonts w:eastAsiaTheme="minorEastAsia"/>
          <w:rtl/>
        </w:rPr>
        <w:t>-</w:t>
      </w:r>
      <w:r w:rsidRPr="001F7700">
        <w:rPr>
          <w:rFonts w:eastAsiaTheme="minorEastAsia"/>
          <w:rtl/>
        </w:rPr>
        <w:t>4</w:t>
      </w:r>
      <w:r w:rsidRPr="00A97CB7">
        <w:rPr>
          <w:rFonts w:eastAsiaTheme="minorEastAsia"/>
          <w:rtl/>
        </w:rPr>
        <w:t xml:space="preserve">؛ وقضية </w:t>
      </w:r>
      <w:r w:rsidRPr="001F7700">
        <w:rPr>
          <w:rFonts w:eastAsiaTheme="minorEastAsia"/>
          <w:i/>
          <w:iCs/>
          <w:rtl/>
        </w:rPr>
        <w:t>إ. د. غ. ضد إسبانيا</w:t>
      </w:r>
      <w:r w:rsidRPr="00A97CB7">
        <w:rPr>
          <w:rFonts w:eastAsiaTheme="minorEastAsia"/>
          <w:rtl/>
        </w:rPr>
        <w:t xml:space="preserve"> (</w:t>
      </w:r>
      <w:r w:rsidRPr="00A97CB7">
        <w:rPr>
          <w:rFonts w:eastAsiaTheme="minorEastAsia"/>
        </w:rPr>
        <w:t>E/C.</w:t>
      </w:r>
      <w:r w:rsidRPr="001F7700">
        <w:rPr>
          <w:rFonts w:eastAsiaTheme="minorEastAsia"/>
        </w:rPr>
        <w:t>12</w:t>
      </w:r>
      <w:r w:rsidRPr="00A97CB7">
        <w:rPr>
          <w:rFonts w:eastAsiaTheme="minorEastAsia"/>
        </w:rPr>
        <w:t>/</w:t>
      </w:r>
      <w:r w:rsidRPr="001F7700">
        <w:rPr>
          <w:rFonts w:eastAsiaTheme="minorEastAsia"/>
        </w:rPr>
        <w:t>55</w:t>
      </w:r>
      <w:r w:rsidRPr="00A97CB7">
        <w:rPr>
          <w:rFonts w:eastAsiaTheme="minorEastAsia"/>
        </w:rPr>
        <w:t>/D/</w:t>
      </w:r>
      <w:r w:rsidRPr="001F7700">
        <w:rPr>
          <w:rFonts w:eastAsiaTheme="minorEastAsia"/>
        </w:rPr>
        <w:t>2</w:t>
      </w:r>
      <w:r w:rsidRPr="00A97CB7">
        <w:rPr>
          <w:rFonts w:eastAsiaTheme="minorEastAsia"/>
        </w:rPr>
        <w:t>/</w:t>
      </w:r>
      <w:r w:rsidRPr="001F7700">
        <w:rPr>
          <w:rFonts w:eastAsiaTheme="minorEastAsia"/>
        </w:rPr>
        <w:t>2014</w:t>
      </w:r>
      <w:r w:rsidRPr="00A97CB7">
        <w:rPr>
          <w:rFonts w:eastAsiaTheme="minorEastAsia"/>
          <w:rtl/>
        </w:rPr>
        <w:t xml:space="preserve">)، الفقرة </w:t>
      </w:r>
      <w:r w:rsidRPr="001F7700">
        <w:rPr>
          <w:rFonts w:eastAsiaTheme="minorEastAsia"/>
          <w:rtl/>
        </w:rPr>
        <w:t>9</w:t>
      </w:r>
      <w:r w:rsidRPr="00A97CB7">
        <w:rPr>
          <w:rFonts w:eastAsiaTheme="minorEastAsia"/>
          <w:rtl/>
        </w:rPr>
        <w:t>-</w:t>
      </w:r>
      <w:r w:rsidRPr="001F7700">
        <w:rPr>
          <w:rFonts w:eastAsiaTheme="minorEastAsia"/>
          <w:rtl/>
        </w:rPr>
        <w:t>3</w:t>
      </w:r>
      <w:r w:rsidRPr="00A97CB7">
        <w:rPr>
          <w:rFonts w:eastAsiaTheme="minorEastAsia"/>
          <w:rtl/>
        </w:rPr>
        <w:t>. وانظر أيضاً قراري اللجنة ال</w:t>
      </w:r>
      <w:r w:rsidR="00B5203C">
        <w:rPr>
          <w:rFonts w:eastAsiaTheme="minorEastAsia" w:hint="cs"/>
          <w:rtl/>
        </w:rPr>
        <w:t>م</w:t>
      </w:r>
      <w:r w:rsidRPr="00A97CB7">
        <w:rPr>
          <w:rFonts w:eastAsiaTheme="minorEastAsia"/>
          <w:rtl/>
        </w:rPr>
        <w:t xml:space="preserve">عنية بحقوق الأشخاص ذوي الإعاقة في قضية </w:t>
      </w:r>
      <w:proofErr w:type="spellStart"/>
      <w:r w:rsidRPr="001F7700">
        <w:rPr>
          <w:rFonts w:eastAsiaTheme="minorEastAsia"/>
          <w:i/>
          <w:iCs/>
          <w:rtl/>
        </w:rPr>
        <w:t>يونجلين</w:t>
      </w:r>
      <w:proofErr w:type="spellEnd"/>
      <w:r w:rsidRPr="001F7700">
        <w:rPr>
          <w:rFonts w:eastAsiaTheme="minorEastAsia"/>
          <w:i/>
          <w:iCs/>
          <w:rtl/>
        </w:rPr>
        <w:t xml:space="preserve"> ضد السويد </w:t>
      </w:r>
      <w:r w:rsidRPr="00A97CB7">
        <w:rPr>
          <w:rFonts w:eastAsiaTheme="minorEastAsia"/>
          <w:rtl/>
        </w:rPr>
        <w:t>(</w:t>
      </w:r>
      <w:r w:rsidRPr="00A97CB7">
        <w:rPr>
          <w:rFonts w:eastAsiaTheme="minorEastAsia"/>
        </w:rPr>
        <w:t>CRPD/C/</w:t>
      </w:r>
      <w:r w:rsidRPr="001F7700">
        <w:rPr>
          <w:rFonts w:eastAsiaTheme="minorEastAsia"/>
        </w:rPr>
        <w:t>12</w:t>
      </w:r>
      <w:r w:rsidRPr="00A97CB7">
        <w:rPr>
          <w:rFonts w:eastAsiaTheme="minorEastAsia"/>
        </w:rPr>
        <w:t>/D/</w:t>
      </w:r>
      <w:r w:rsidRPr="001F7700">
        <w:rPr>
          <w:rFonts w:eastAsiaTheme="minorEastAsia"/>
        </w:rPr>
        <w:t>5</w:t>
      </w:r>
      <w:r w:rsidRPr="00A97CB7">
        <w:rPr>
          <w:rFonts w:eastAsiaTheme="minorEastAsia"/>
        </w:rPr>
        <w:t>/</w:t>
      </w:r>
      <w:r w:rsidRPr="001F7700">
        <w:rPr>
          <w:rFonts w:eastAsiaTheme="minorEastAsia"/>
        </w:rPr>
        <w:t>2011</w:t>
      </w:r>
      <w:r w:rsidRPr="00A97CB7">
        <w:rPr>
          <w:rFonts w:eastAsiaTheme="minorEastAsia"/>
          <w:rtl/>
        </w:rPr>
        <w:t xml:space="preserve">)، الفقرة </w:t>
      </w:r>
      <w:r w:rsidRPr="001F7700">
        <w:rPr>
          <w:rFonts w:eastAsiaTheme="minorEastAsia"/>
          <w:rtl/>
        </w:rPr>
        <w:t>7</w:t>
      </w:r>
      <w:r w:rsidRPr="00A97CB7">
        <w:rPr>
          <w:rFonts w:eastAsiaTheme="minorEastAsia"/>
          <w:rtl/>
        </w:rPr>
        <w:t>-</w:t>
      </w:r>
      <w:r w:rsidRPr="001F7700">
        <w:rPr>
          <w:rFonts w:eastAsiaTheme="minorEastAsia"/>
          <w:rtl/>
        </w:rPr>
        <w:t>6</w:t>
      </w:r>
      <w:r w:rsidRPr="00A97CB7">
        <w:rPr>
          <w:rFonts w:eastAsiaTheme="minorEastAsia"/>
          <w:rtl/>
        </w:rPr>
        <w:t xml:space="preserve">؛ وقضية </w:t>
      </w:r>
      <w:r w:rsidRPr="00915E5C">
        <w:rPr>
          <w:rFonts w:eastAsiaTheme="minorEastAsia"/>
          <w:i/>
          <w:iCs/>
          <w:rtl/>
        </w:rPr>
        <w:t>باخر ضد النمسا</w:t>
      </w:r>
      <w:r w:rsidRPr="00A97CB7">
        <w:rPr>
          <w:rFonts w:eastAsiaTheme="minorEastAsia"/>
          <w:rtl/>
        </w:rPr>
        <w:t xml:space="preserve"> (</w:t>
      </w:r>
      <w:r w:rsidRPr="00A97CB7">
        <w:rPr>
          <w:rFonts w:eastAsiaTheme="minorEastAsia"/>
        </w:rPr>
        <w:t>CRPD/C/</w:t>
      </w:r>
      <w:r w:rsidRPr="001F7700">
        <w:rPr>
          <w:rFonts w:eastAsiaTheme="minorEastAsia"/>
        </w:rPr>
        <w:t>19</w:t>
      </w:r>
      <w:r w:rsidRPr="00A97CB7">
        <w:rPr>
          <w:rFonts w:eastAsiaTheme="minorEastAsia"/>
        </w:rPr>
        <w:t>/D/</w:t>
      </w:r>
      <w:r w:rsidRPr="001F7700">
        <w:rPr>
          <w:rFonts w:eastAsiaTheme="minorEastAsia"/>
        </w:rPr>
        <w:t>26</w:t>
      </w:r>
      <w:r w:rsidRPr="00A97CB7">
        <w:rPr>
          <w:rFonts w:eastAsiaTheme="minorEastAsia"/>
        </w:rPr>
        <w:t>/</w:t>
      </w:r>
      <w:r w:rsidRPr="001F7700">
        <w:rPr>
          <w:rFonts w:eastAsiaTheme="minorEastAsia"/>
        </w:rPr>
        <w:t>2014</w:t>
      </w:r>
      <w:r w:rsidRPr="00A97CB7">
        <w:rPr>
          <w:rFonts w:eastAsiaTheme="minorEastAsia"/>
          <w:rtl/>
        </w:rPr>
        <w:t xml:space="preserve">)، الفقرات من </w:t>
      </w:r>
      <w:r w:rsidRPr="001F7700">
        <w:rPr>
          <w:rFonts w:eastAsiaTheme="minorEastAsia"/>
          <w:rtl/>
        </w:rPr>
        <w:t>8</w:t>
      </w:r>
      <w:r w:rsidRPr="00A97CB7">
        <w:rPr>
          <w:rFonts w:eastAsiaTheme="minorEastAsia"/>
          <w:rtl/>
        </w:rPr>
        <w:t>-</w:t>
      </w:r>
      <w:r w:rsidRPr="001F7700">
        <w:rPr>
          <w:rFonts w:eastAsiaTheme="minorEastAsia"/>
          <w:rtl/>
        </w:rPr>
        <w:t>4</w:t>
      </w:r>
      <w:r w:rsidRPr="00A97CB7">
        <w:rPr>
          <w:rFonts w:eastAsiaTheme="minorEastAsia"/>
          <w:rtl/>
        </w:rPr>
        <w:t xml:space="preserve"> إلى </w:t>
      </w:r>
      <w:r w:rsidRPr="001F7700">
        <w:rPr>
          <w:rFonts w:eastAsiaTheme="minorEastAsia"/>
          <w:rtl/>
        </w:rPr>
        <w:t>8</w:t>
      </w:r>
      <w:r w:rsidRPr="00A97CB7">
        <w:rPr>
          <w:rFonts w:eastAsiaTheme="minorEastAsia"/>
          <w:rtl/>
        </w:rPr>
        <w:t>-</w:t>
      </w:r>
      <w:r w:rsidRPr="001F7700">
        <w:rPr>
          <w:rFonts w:eastAsiaTheme="minorEastAsia"/>
          <w:rtl/>
        </w:rPr>
        <w:t>7</w:t>
      </w:r>
      <w:r w:rsidRPr="00A97CB7">
        <w:rPr>
          <w:rFonts w:eastAsiaTheme="minorEastAsia"/>
          <w:rtl/>
        </w:rPr>
        <w:t xml:space="preserve">؛ وقراري اللجنة المعنية بحقوق الإنسان في قضية </w:t>
      </w:r>
      <w:proofErr w:type="spellStart"/>
      <w:r w:rsidRPr="001F7700">
        <w:rPr>
          <w:rFonts w:eastAsiaTheme="minorEastAsia"/>
          <w:i/>
          <w:iCs/>
          <w:rtl/>
        </w:rPr>
        <w:t>كويدس</w:t>
      </w:r>
      <w:proofErr w:type="spellEnd"/>
      <w:r w:rsidRPr="001F7700">
        <w:rPr>
          <w:rFonts w:eastAsiaTheme="minorEastAsia"/>
          <w:i/>
          <w:iCs/>
          <w:rtl/>
        </w:rPr>
        <w:t xml:space="preserve"> ضد اليونان</w:t>
      </w:r>
      <w:r w:rsidRPr="00A97CB7">
        <w:rPr>
          <w:rFonts w:eastAsiaTheme="minorEastAsia"/>
          <w:rtl/>
        </w:rPr>
        <w:t xml:space="preserve"> (</w:t>
      </w:r>
      <w:r w:rsidRPr="00A97CB7">
        <w:rPr>
          <w:rFonts w:eastAsiaTheme="minorEastAsia"/>
        </w:rPr>
        <w:t>CCPR/C/</w:t>
      </w:r>
      <w:r w:rsidRPr="001F7700">
        <w:rPr>
          <w:rFonts w:eastAsiaTheme="minorEastAsia"/>
        </w:rPr>
        <w:t>86</w:t>
      </w:r>
      <w:r w:rsidRPr="00A97CB7">
        <w:rPr>
          <w:rFonts w:eastAsiaTheme="minorEastAsia"/>
        </w:rPr>
        <w:t>/D/</w:t>
      </w:r>
      <w:r w:rsidRPr="001F7700">
        <w:rPr>
          <w:rFonts w:eastAsiaTheme="minorEastAsia"/>
        </w:rPr>
        <w:t>1070</w:t>
      </w:r>
      <w:r w:rsidRPr="00A97CB7">
        <w:rPr>
          <w:rFonts w:eastAsiaTheme="minorEastAsia"/>
        </w:rPr>
        <w:t>/</w:t>
      </w:r>
      <w:r w:rsidRPr="001F7700">
        <w:rPr>
          <w:rFonts w:eastAsiaTheme="minorEastAsia"/>
        </w:rPr>
        <w:t>2002</w:t>
      </w:r>
      <w:r w:rsidRPr="00A97CB7">
        <w:rPr>
          <w:rFonts w:eastAsiaTheme="minorEastAsia"/>
          <w:rtl/>
        </w:rPr>
        <w:t xml:space="preserve">)، الفقرة </w:t>
      </w:r>
      <w:r w:rsidRPr="001F7700">
        <w:rPr>
          <w:rFonts w:eastAsiaTheme="minorEastAsia"/>
          <w:rtl/>
        </w:rPr>
        <w:t>6</w:t>
      </w:r>
      <w:r w:rsidRPr="00A97CB7">
        <w:rPr>
          <w:rFonts w:eastAsiaTheme="minorEastAsia"/>
          <w:rtl/>
        </w:rPr>
        <w:t>-</w:t>
      </w:r>
      <w:r w:rsidRPr="001F7700">
        <w:rPr>
          <w:rFonts w:eastAsiaTheme="minorEastAsia"/>
          <w:rtl/>
        </w:rPr>
        <w:t>3</w:t>
      </w:r>
      <w:r w:rsidRPr="00A97CB7">
        <w:rPr>
          <w:rFonts w:eastAsiaTheme="minorEastAsia"/>
          <w:rtl/>
        </w:rPr>
        <w:t xml:space="preserve">؛ وقضية </w:t>
      </w:r>
      <w:proofErr w:type="spellStart"/>
      <w:r w:rsidRPr="001F7700">
        <w:rPr>
          <w:rFonts w:eastAsiaTheme="minorEastAsia"/>
          <w:i/>
          <w:iCs/>
          <w:rtl/>
        </w:rPr>
        <w:t>سينغاراسا</w:t>
      </w:r>
      <w:proofErr w:type="spellEnd"/>
      <w:r w:rsidRPr="001F7700">
        <w:rPr>
          <w:rFonts w:eastAsiaTheme="minorEastAsia"/>
          <w:i/>
          <w:iCs/>
          <w:rtl/>
        </w:rPr>
        <w:t xml:space="preserve"> ضد سري لانكا </w:t>
      </w:r>
      <w:r w:rsidRPr="00A97CB7">
        <w:rPr>
          <w:rFonts w:eastAsiaTheme="minorEastAsia"/>
          <w:rtl/>
        </w:rPr>
        <w:t>(</w:t>
      </w:r>
      <w:r w:rsidRPr="00A97CB7">
        <w:rPr>
          <w:rFonts w:eastAsiaTheme="minorEastAsia"/>
        </w:rPr>
        <w:t>CCPR/C/</w:t>
      </w:r>
      <w:r w:rsidRPr="001F7700">
        <w:rPr>
          <w:rFonts w:eastAsiaTheme="minorEastAsia"/>
        </w:rPr>
        <w:t>81</w:t>
      </w:r>
      <w:r w:rsidRPr="00A97CB7">
        <w:rPr>
          <w:rFonts w:eastAsiaTheme="minorEastAsia"/>
        </w:rPr>
        <w:t>/D/</w:t>
      </w:r>
      <w:r w:rsidRPr="001F7700">
        <w:rPr>
          <w:rFonts w:eastAsiaTheme="minorEastAsia"/>
        </w:rPr>
        <w:t>1033</w:t>
      </w:r>
      <w:r w:rsidRPr="00A97CB7">
        <w:rPr>
          <w:rFonts w:eastAsiaTheme="minorEastAsia"/>
        </w:rPr>
        <w:t>/</w:t>
      </w:r>
      <w:r w:rsidRPr="001F7700">
        <w:rPr>
          <w:rFonts w:eastAsiaTheme="minorEastAsia"/>
        </w:rPr>
        <w:t>2001</w:t>
      </w:r>
      <w:r w:rsidRPr="00A97CB7">
        <w:rPr>
          <w:rFonts w:eastAsiaTheme="minorEastAsia"/>
          <w:rtl/>
        </w:rPr>
        <w:t xml:space="preserve">)، الفقرة </w:t>
      </w:r>
      <w:r w:rsidRPr="001F7700">
        <w:rPr>
          <w:rFonts w:eastAsiaTheme="minorEastAsia"/>
          <w:rtl/>
        </w:rPr>
        <w:t>6</w:t>
      </w:r>
      <w:r w:rsidRPr="00A97CB7">
        <w:rPr>
          <w:rFonts w:eastAsiaTheme="minorEastAsia"/>
          <w:rtl/>
        </w:rPr>
        <w:t>-</w:t>
      </w:r>
      <w:r w:rsidRPr="001F7700">
        <w:rPr>
          <w:rFonts w:eastAsiaTheme="minorEastAsia"/>
          <w:rtl/>
        </w:rPr>
        <w:t>3</w:t>
      </w:r>
      <w:r w:rsidRPr="00A97CB7">
        <w:rPr>
          <w:rFonts w:eastAsiaTheme="minorEastAsia"/>
          <w:rtl/>
        </w:rPr>
        <w:t>.</w:t>
      </w:r>
    </w:p>
  </w:footnote>
  <w:footnote w:id="17">
    <w:p w14:paraId="2311ED5C" w14:textId="32879833" w:rsidR="00A97CB7" w:rsidRPr="00A97CB7" w:rsidRDefault="00A97CB7" w:rsidP="00A97CB7">
      <w:pPr>
        <w:pStyle w:val="FootnoteText1"/>
        <w:textDirection w:val="tbRlV"/>
        <w:rPr>
          <w:rFonts w:eastAsiaTheme="minorEastAsia"/>
          <w:lang w:val="ar-SA" w:eastAsia="zh-TW" w:bidi="en-GB"/>
        </w:rPr>
      </w:pPr>
      <w:r w:rsidRPr="00A97CB7">
        <w:rPr>
          <w:rFonts w:eastAsiaTheme="minorEastAsia"/>
          <w:rtl/>
        </w:rPr>
        <w:t>(</w:t>
      </w:r>
      <w:r w:rsidRPr="001F7700">
        <w:rPr>
          <w:rStyle w:val="FootnoteReference"/>
          <w:rFonts w:eastAsiaTheme="minorEastAsia"/>
          <w:vertAlign w:val="baseline"/>
        </w:rPr>
        <w:footnoteRef/>
      </w:r>
      <w:r w:rsidRPr="00A97CB7">
        <w:rPr>
          <w:rStyle w:val="FootnoteReference"/>
          <w:rFonts w:eastAsiaTheme="minorEastAsia"/>
          <w:vertAlign w:val="baseline"/>
          <w:rtl/>
        </w:rPr>
        <w:t>)</w:t>
      </w:r>
      <w:r w:rsidRPr="00A97CB7">
        <w:rPr>
          <w:rFonts w:eastAsiaTheme="minorEastAsia"/>
          <w:rtl/>
        </w:rPr>
        <w:tab/>
        <w:t xml:space="preserve">انظر، مع تغيير ما يلزم تغييره، قضية </w:t>
      </w:r>
      <w:proofErr w:type="spellStart"/>
      <w:r w:rsidRPr="001F7700">
        <w:rPr>
          <w:rFonts w:eastAsiaTheme="minorEastAsia"/>
          <w:i/>
          <w:iCs/>
          <w:rtl/>
        </w:rPr>
        <w:t>دورميتش</w:t>
      </w:r>
      <w:proofErr w:type="spellEnd"/>
      <w:r w:rsidRPr="001F7700">
        <w:rPr>
          <w:rFonts w:eastAsiaTheme="minorEastAsia"/>
          <w:i/>
          <w:iCs/>
          <w:rtl/>
        </w:rPr>
        <w:t xml:space="preserve"> ضد صربيا والجبل الأسود</w:t>
      </w:r>
      <w:r w:rsidRPr="00A97CB7">
        <w:rPr>
          <w:rFonts w:eastAsiaTheme="minorEastAsia"/>
          <w:rtl/>
        </w:rPr>
        <w:t xml:space="preserve"> (</w:t>
      </w:r>
      <w:r w:rsidRPr="00A97CB7">
        <w:rPr>
          <w:rFonts w:eastAsiaTheme="minorEastAsia"/>
        </w:rPr>
        <w:t>CERD/C/</w:t>
      </w:r>
      <w:r w:rsidRPr="001F7700">
        <w:rPr>
          <w:rFonts w:eastAsiaTheme="minorEastAsia"/>
        </w:rPr>
        <w:t>68</w:t>
      </w:r>
      <w:r w:rsidRPr="00A97CB7">
        <w:rPr>
          <w:rFonts w:eastAsiaTheme="minorEastAsia"/>
        </w:rPr>
        <w:t>/D/</w:t>
      </w:r>
      <w:r w:rsidRPr="001F7700">
        <w:rPr>
          <w:rFonts w:eastAsiaTheme="minorEastAsia"/>
        </w:rPr>
        <w:t>29</w:t>
      </w:r>
      <w:r w:rsidRPr="00A97CB7">
        <w:rPr>
          <w:rFonts w:eastAsiaTheme="minorEastAsia"/>
        </w:rPr>
        <w:t>/</w:t>
      </w:r>
      <w:r w:rsidRPr="001F7700">
        <w:rPr>
          <w:rFonts w:eastAsiaTheme="minorEastAsia"/>
        </w:rPr>
        <w:t>2003</w:t>
      </w:r>
      <w:r w:rsidRPr="00A97CB7">
        <w:rPr>
          <w:rFonts w:eastAsiaTheme="minorEastAsia"/>
          <w:rtl/>
        </w:rPr>
        <w:t xml:space="preserve">) الفقرة </w:t>
      </w:r>
      <w:r w:rsidRPr="001F7700">
        <w:rPr>
          <w:rFonts w:eastAsiaTheme="minorEastAsia"/>
          <w:rtl/>
        </w:rPr>
        <w:t>6</w:t>
      </w:r>
      <w:r w:rsidRPr="00A97CB7">
        <w:rPr>
          <w:rFonts w:eastAsiaTheme="minorEastAsia"/>
          <w:rtl/>
        </w:rPr>
        <w:t>-</w:t>
      </w:r>
      <w:r w:rsidRPr="001F7700">
        <w:rPr>
          <w:rFonts w:eastAsiaTheme="minorEastAsia"/>
          <w:rtl/>
        </w:rPr>
        <w:t>4</w:t>
      </w:r>
      <w:r w:rsidRPr="00A97CB7">
        <w:rPr>
          <w:rFonts w:eastAsiaTheme="minorEastAsia"/>
          <w:rtl/>
        </w:rPr>
        <w:t>.</w:t>
      </w:r>
    </w:p>
  </w:footnote>
  <w:footnote w:id="18">
    <w:p w14:paraId="68275A24" w14:textId="28EF885A" w:rsidR="00A97CB7" w:rsidRPr="001F7700" w:rsidRDefault="00A97CB7" w:rsidP="00A97CB7">
      <w:pPr>
        <w:pStyle w:val="FootnoteText1"/>
        <w:textDirection w:val="tbRlV"/>
        <w:rPr>
          <w:rStyle w:val="Emphasis"/>
          <w:rFonts w:eastAsiaTheme="minorEastAsia"/>
          <w:i w:val="0"/>
          <w:color w:val="333333"/>
          <w:spacing w:val="-4"/>
          <w:rtl/>
          <w:lang w:eastAsia="zh-TW" w:bidi="en-GB"/>
        </w:rPr>
      </w:pPr>
      <w:r w:rsidRPr="00A97CB7">
        <w:rPr>
          <w:rFonts w:eastAsiaTheme="minorEastAsia"/>
          <w:rtl/>
        </w:rPr>
        <w:t>(</w:t>
      </w:r>
      <w:r w:rsidRPr="001F7700">
        <w:rPr>
          <w:rStyle w:val="FootnoteReference"/>
          <w:rFonts w:eastAsiaTheme="minorEastAsia"/>
          <w:vertAlign w:val="baseline"/>
        </w:rPr>
        <w:footnoteRef/>
      </w:r>
      <w:r w:rsidRPr="00A97CB7">
        <w:rPr>
          <w:rStyle w:val="FootnoteReference"/>
          <w:rFonts w:eastAsiaTheme="minorEastAsia"/>
          <w:vertAlign w:val="baseline"/>
          <w:rtl/>
        </w:rPr>
        <w:t>)</w:t>
      </w:r>
      <w:r w:rsidRPr="00A97CB7">
        <w:rPr>
          <w:rFonts w:eastAsiaTheme="minorEastAsia"/>
          <w:rtl/>
        </w:rPr>
        <w:tab/>
        <w:t xml:space="preserve">انظر، على سبيل المثال، قضية </w:t>
      </w:r>
      <w:r w:rsidRPr="001F7700">
        <w:rPr>
          <w:rFonts w:eastAsiaTheme="minorEastAsia"/>
          <w:i/>
          <w:iCs/>
          <w:rtl/>
        </w:rPr>
        <w:t>ف. س. ضد سلوفاكيا</w:t>
      </w:r>
      <w:r w:rsidRPr="00A97CB7">
        <w:rPr>
          <w:rFonts w:eastAsiaTheme="minorEastAsia"/>
          <w:rtl/>
        </w:rPr>
        <w:t xml:space="preserve"> (</w:t>
      </w:r>
      <w:r w:rsidRPr="00A97CB7">
        <w:rPr>
          <w:rFonts w:eastAsiaTheme="minorEastAsia"/>
          <w:color w:val="333333"/>
          <w:lang w:eastAsia="en-GB"/>
        </w:rPr>
        <w:t>CERD/C/</w:t>
      </w:r>
      <w:r w:rsidRPr="001F7700">
        <w:rPr>
          <w:rFonts w:eastAsiaTheme="minorEastAsia"/>
          <w:color w:val="333333"/>
          <w:lang w:eastAsia="en-GB"/>
        </w:rPr>
        <w:t>88</w:t>
      </w:r>
      <w:r w:rsidRPr="00A97CB7">
        <w:rPr>
          <w:rFonts w:eastAsiaTheme="minorEastAsia"/>
          <w:color w:val="333333"/>
          <w:lang w:eastAsia="en-GB"/>
        </w:rPr>
        <w:t>/D/</w:t>
      </w:r>
      <w:r w:rsidRPr="001F7700">
        <w:rPr>
          <w:rFonts w:eastAsiaTheme="minorEastAsia"/>
          <w:color w:val="333333"/>
          <w:lang w:eastAsia="en-GB"/>
        </w:rPr>
        <w:t>56</w:t>
      </w:r>
      <w:r w:rsidRPr="00A97CB7">
        <w:rPr>
          <w:rFonts w:eastAsiaTheme="minorEastAsia"/>
          <w:color w:val="333333"/>
          <w:lang w:eastAsia="en-GB"/>
        </w:rPr>
        <w:t>/</w:t>
      </w:r>
      <w:r w:rsidRPr="001F7700">
        <w:rPr>
          <w:rFonts w:eastAsiaTheme="minorEastAsia"/>
          <w:color w:val="333333"/>
          <w:lang w:eastAsia="en-GB"/>
        </w:rPr>
        <w:t>2014</w:t>
      </w:r>
      <w:r w:rsidRPr="00A97CB7">
        <w:rPr>
          <w:rFonts w:eastAsiaTheme="minorEastAsia"/>
          <w:rtl/>
        </w:rPr>
        <w:t xml:space="preserve">)، الفقرة </w:t>
      </w:r>
      <w:r w:rsidRPr="001F7700">
        <w:rPr>
          <w:rFonts w:eastAsiaTheme="minorEastAsia"/>
          <w:rtl/>
        </w:rPr>
        <w:t>7</w:t>
      </w:r>
      <w:r w:rsidRPr="00A97CB7">
        <w:rPr>
          <w:rFonts w:eastAsiaTheme="minorEastAsia"/>
          <w:rtl/>
        </w:rPr>
        <w:t>-</w:t>
      </w:r>
      <w:r w:rsidRPr="001F7700">
        <w:rPr>
          <w:rFonts w:eastAsiaTheme="minorEastAsia"/>
          <w:rtl/>
        </w:rPr>
        <w:t>4</w:t>
      </w:r>
      <w:r w:rsidRPr="00A97CB7">
        <w:rPr>
          <w:rFonts w:eastAsiaTheme="minorEastAsia"/>
          <w:rtl/>
        </w:rPr>
        <w:t xml:space="preserve">؛ وقضية </w:t>
      </w:r>
      <w:proofErr w:type="spellStart"/>
      <w:r w:rsidRPr="001F7700">
        <w:rPr>
          <w:rFonts w:eastAsiaTheme="minorEastAsia"/>
          <w:i/>
          <w:iCs/>
          <w:rtl/>
        </w:rPr>
        <w:t>إر</w:t>
      </w:r>
      <w:proofErr w:type="spellEnd"/>
      <w:r w:rsidRPr="001F7700">
        <w:rPr>
          <w:rFonts w:eastAsiaTheme="minorEastAsia"/>
          <w:i/>
          <w:iCs/>
          <w:rtl/>
        </w:rPr>
        <w:t xml:space="preserve"> ضد الدانمرك</w:t>
      </w:r>
      <w:r w:rsidRPr="00A97CB7">
        <w:rPr>
          <w:rFonts w:eastAsiaTheme="minorEastAsia"/>
          <w:rtl/>
        </w:rPr>
        <w:t xml:space="preserve"> </w:t>
      </w:r>
      <w:r w:rsidRPr="00906A20">
        <w:rPr>
          <w:rFonts w:eastAsiaTheme="minorEastAsia"/>
          <w:spacing w:val="-4"/>
          <w:rtl/>
        </w:rPr>
        <w:t>(</w:t>
      </w:r>
      <w:r w:rsidRPr="00906A20">
        <w:rPr>
          <w:rFonts w:eastAsiaTheme="minorEastAsia"/>
          <w:color w:val="333333"/>
          <w:spacing w:val="-4"/>
          <w:lang w:eastAsia="en-GB"/>
        </w:rPr>
        <w:t>CERD/C/</w:t>
      </w:r>
      <w:r w:rsidRPr="001F7700">
        <w:rPr>
          <w:rFonts w:eastAsiaTheme="minorEastAsia"/>
          <w:color w:val="333333"/>
          <w:spacing w:val="-4"/>
          <w:lang w:eastAsia="en-GB"/>
        </w:rPr>
        <w:t>71</w:t>
      </w:r>
      <w:r w:rsidRPr="00906A20">
        <w:rPr>
          <w:rFonts w:eastAsiaTheme="minorEastAsia"/>
          <w:color w:val="333333"/>
          <w:spacing w:val="-4"/>
          <w:lang w:eastAsia="en-GB"/>
        </w:rPr>
        <w:t>/D/</w:t>
      </w:r>
      <w:r w:rsidRPr="001F7700">
        <w:rPr>
          <w:rFonts w:eastAsiaTheme="minorEastAsia"/>
          <w:color w:val="333333"/>
          <w:spacing w:val="-4"/>
          <w:lang w:eastAsia="en-GB"/>
        </w:rPr>
        <w:t>40</w:t>
      </w:r>
      <w:r w:rsidRPr="00906A20">
        <w:rPr>
          <w:rFonts w:eastAsiaTheme="minorEastAsia"/>
          <w:color w:val="333333"/>
          <w:spacing w:val="-4"/>
          <w:lang w:eastAsia="en-GB"/>
        </w:rPr>
        <w:t>/</w:t>
      </w:r>
      <w:r w:rsidRPr="001F7700">
        <w:rPr>
          <w:rFonts w:eastAsiaTheme="minorEastAsia"/>
          <w:color w:val="333333"/>
          <w:spacing w:val="-4"/>
          <w:lang w:eastAsia="en-GB"/>
        </w:rPr>
        <w:t>2007</w:t>
      </w:r>
      <w:r w:rsidRPr="00906A20">
        <w:rPr>
          <w:rFonts w:eastAsiaTheme="minorEastAsia"/>
          <w:spacing w:val="-4"/>
          <w:rtl/>
        </w:rPr>
        <w:t xml:space="preserve">)، الفقرة </w:t>
      </w:r>
      <w:r w:rsidRPr="001F7700">
        <w:rPr>
          <w:rFonts w:eastAsiaTheme="minorEastAsia"/>
          <w:spacing w:val="-4"/>
          <w:rtl/>
        </w:rPr>
        <w:t>7</w:t>
      </w:r>
      <w:r w:rsidRPr="00906A20">
        <w:rPr>
          <w:rFonts w:eastAsiaTheme="minorEastAsia"/>
          <w:spacing w:val="-4"/>
          <w:rtl/>
        </w:rPr>
        <w:t>-</w:t>
      </w:r>
      <w:r w:rsidRPr="001F7700">
        <w:rPr>
          <w:rFonts w:eastAsiaTheme="minorEastAsia"/>
          <w:spacing w:val="-4"/>
          <w:rtl/>
        </w:rPr>
        <w:t>4</w:t>
      </w:r>
      <w:r w:rsidRPr="00906A20">
        <w:rPr>
          <w:rFonts w:eastAsiaTheme="minorEastAsia"/>
          <w:spacing w:val="-4"/>
          <w:rtl/>
        </w:rPr>
        <w:t xml:space="preserve">؛ وقضية </w:t>
      </w:r>
      <w:r w:rsidRPr="001F7700">
        <w:rPr>
          <w:rFonts w:eastAsiaTheme="minorEastAsia"/>
          <w:i/>
          <w:iCs/>
          <w:spacing w:val="-4"/>
          <w:rtl/>
        </w:rPr>
        <w:t xml:space="preserve">لوران غابري </w:t>
      </w:r>
      <w:proofErr w:type="spellStart"/>
      <w:r w:rsidRPr="001F7700">
        <w:rPr>
          <w:rFonts w:eastAsiaTheme="minorEastAsia"/>
          <w:i/>
          <w:iCs/>
          <w:spacing w:val="-4"/>
          <w:rtl/>
        </w:rPr>
        <w:t>غاباروم</w:t>
      </w:r>
      <w:proofErr w:type="spellEnd"/>
      <w:r w:rsidRPr="001F7700">
        <w:rPr>
          <w:rFonts w:eastAsiaTheme="minorEastAsia"/>
          <w:i/>
          <w:iCs/>
          <w:spacing w:val="-4"/>
          <w:rtl/>
        </w:rPr>
        <w:t xml:space="preserve"> ضد فرنسا</w:t>
      </w:r>
      <w:r w:rsidRPr="00906A20">
        <w:rPr>
          <w:rFonts w:eastAsiaTheme="minorEastAsia"/>
          <w:spacing w:val="-4"/>
          <w:rtl/>
        </w:rPr>
        <w:t xml:space="preserve"> (</w:t>
      </w:r>
      <w:r w:rsidRPr="00906A20">
        <w:rPr>
          <w:rFonts w:eastAsiaTheme="minorEastAsia"/>
          <w:spacing w:val="-4"/>
        </w:rPr>
        <w:t>CERD/C/</w:t>
      </w:r>
      <w:r w:rsidRPr="001F7700">
        <w:rPr>
          <w:rFonts w:eastAsiaTheme="minorEastAsia"/>
          <w:spacing w:val="-4"/>
        </w:rPr>
        <w:t>89</w:t>
      </w:r>
      <w:r w:rsidRPr="00906A20">
        <w:rPr>
          <w:rFonts w:eastAsiaTheme="minorEastAsia"/>
          <w:spacing w:val="-4"/>
        </w:rPr>
        <w:t>/D/</w:t>
      </w:r>
      <w:r w:rsidRPr="001F7700">
        <w:rPr>
          <w:rFonts w:eastAsiaTheme="minorEastAsia"/>
          <w:spacing w:val="-4"/>
        </w:rPr>
        <w:t>52</w:t>
      </w:r>
      <w:r w:rsidRPr="00906A20">
        <w:rPr>
          <w:rFonts w:eastAsiaTheme="minorEastAsia"/>
          <w:spacing w:val="-4"/>
        </w:rPr>
        <w:t>/</w:t>
      </w:r>
      <w:r w:rsidRPr="001F7700">
        <w:rPr>
          <w:rFonts w:eastAsiaTheme="minorEastAsia"/>
          <w:spacing w:val="-4"/>
        </w:rPr>
        <w:t>2012</w:t>
      </w:r>
      <w:r w:rsidRPr="00906A20">
        <w:rPr>
          <w:rFonts w:eastAsiaTheme="minorEastAsia"/>
          <w:spacing w:val="-4"/>
          <w:rtl/>
        </w:rPr>
        <w:t xml:space="preserve">)، الفقرة </w:t>
      </w:r>
      <w:r w:rsidRPr="001F7700">
        <w:rPr>
          <w:rFonts w:eastAsiaTheme="minorEastAsia"/>
          <w:spacing w:val="-4"/>
          <w:rtl/>
        </w:rPr>
        <w:t>7</w:t>
      </w:r>
      <w:r w:rsidRPr="00906A20">
        <w:rPr>
          <w:rFonts w:eastAsiaTheme="minorEastAsia"/>
          <w:spacing w:val="-4"/>
          <w:rtl/>
        </w:rPr>
        <w:t>-</w:t>
      </w:r>
      <w:r w:rsidRPr="001F7700">
        <w:rPr>
          <w:rFonts w:eastAsiaTheme="minorEastAsia"/>
          <w:spacing w:val="-4"/>
          <w:rtl/>
        </w:rPr>
        <w:t>2</w:t>
      </w:r>
      <w:r w:rsidRPr="00906A20">
        <w:rPr>
          <w:rFonts w:eastAsiaTheme="minorEastAsia"/>
          <w:spacing w:val="-4"/>
          <w:rtl/>
        </w:rPr>
        <w:t>.</w:t>
      </w:r>
    </w:p>
  </w:footnote>
  <w:footnote w:id="19">
    <w:p w14:paraId="6B536658" w14:textId="4E0A954C" w:rsidR="00A97CB7" w:rsidRPr="00A97CB7" w:rsidRDefault="00A97CB7" w:rsidP="00A97CB7">
      <w:pPr>
        <w:pStyle w:val="FootnoteText1"/>
        <w:textDirection w:val="tbRlV"/>
        <w:rPr>
          <w:rFonts w:eastAsiaTheme="minorEastAsia"/>
          <w:lang w:val="ar-SA" w:eastAsia="zh-TW" w:bidi="en-GB"/>
        </w:rPr>
      </w:pPr>
      <w:r w:rsidRPr="00A97CB7">
        <w:rPr>
          <w:rFonts w:eastAsiaTheme="minorEastAsia"/>
          <w:rtl/>
        </w:rPr>
        <w:t>(</w:t>
      </w:r>
      <w:r w:rsidRPr="001F7700">
        <w:rPr>
          <w:rStyle w:val="FootnoteReference"/>
          <w:rFonts w:eastAsiaTheme="minorEastAsia"/>
          <w:vertAlign w:val="baseline"/>
        </w:rPr>
        <w:footnoteRef/>
      </w:r>
      <w:r w:rsidRPr="00A97CB7">
        <w:rPr>
          <w:rStyle w:val="FootnoteReference"/>
          <w:rFonts w:eastAsiaTheme="minorEastAsia"/>
          <w:vertAlign w:val="baseline"/>
          <w:rtl/>
        </w:rPr>
        <w:t>)</w:t>
      </w:r>
      <w:r w:rsidRPr="00A97CB7">
        <w:rPr>
          <w:rFonts w:eastAsiaTheme="minorEastAsia"/>
          <w:rtl/>
        </w:rPr>
        <w:tab/>
        <w:t xml:space="preserve">المادة </w:t>
      </w:r>
      <w:r w:rsidRPr="001F7700">
        <w:rPr>
          <w:rFonts w:eastAsiaTheme="minorEastAsia"/>
          <w:rtl/>
        </w:rPr>
        <w:t>19</w:t>
      </w:r>
      <w:r w:rsidRPr="00A97CB7">
        <w:rPr>
          <w:rFonts w:eastAsiaTheme="minorEastAsia"/>
          <w:rtl/>
        </w:rPr>
        <w:t xml:space="preserve"> من القانون رقم </w:t>
      </w:r>
      <w:r w:rsidRPr="001F7700">
        <w:rPr>
          <w:rFonts w:eastAsiaTheme="minorEastAsia"/>
          <w:rtl/>
        </w:rPr>
        <w:t>121</w:t>
      </w:r>
      <w:r w:rsidRPr="00A97CB7">
        <w:rPr>
          <w:rFonts w:eastAsiaTheme="minorEastAsia"/>
          <w:rtl/>
        </w:rPr>
        <w:t xml:space="preserve"> بشأن ضمان المساواة.</w:t>
      </w:r>
    </w:p>
  </w:footnote>
  <w:footnote w:id="20">
    <w:p w14:paraId="1ACD7165" w14:textId="4E1C0A02" w:rsidR="00A97CB7" w:rsidRPr="00A97CB7" w:rsidRDefault="00A97CB7" w:rsidP="00A97CB7">
      <w:pPr>
        <w:pStyle w:val="FootnoteText1"/>
        <w:textDirection w:val="tbRlV"/>
        <w:rPr>
          <w:rFonts w:eastAsiaTheme="minorEastAsia"/>
        </w:rPr>
      </w:pPr>
      <w:r w:rsidRPr="00A97CB7">
        <w:rPr>
          <w:rFonts w:eastAsiaTheme="minorEastAsia"/>
          <w:rtl/>
        </w:rPr>
        <w:t>(</w:t>
      </w:r>
      <w:r w:rsidRPr="001F7700">
        <w:rPr>
          <w:rStyle w:val="FootnoteReference"/>
          <w:rFonts w:eastAsiaTheme="minorEastAsia"/>
          <w:vertAlign w:val="baseline"/>
        </w:rPr>
        <w:footnoteRef/>
      </w:r>
      <w:r w:rsidRPr="00A97CB7">
        <w:rPr>
          <w:rStyle w:val="FootnoteReference"/>
          <w:rFonts w:eastAsiaTheme="minorEastAsia"/>
          <w:vertAlign w:val="baseline"/>
          <w:rtl/>
        </w:rPr>
        <w:t>)</w:t>
      </w:r>
      <w:r w:rsidRPr="00A97CB7">
        <w:rPr>
          <w:rFonts w:eastAsiaTheme="minorEastAsia"/>
          <w:rtl/>
        </w:rPr>
        <w:tab/>
        <w:t xml:space="preserve">انظر التوصية العامة رقم </w:t>
      </w:r>
      <w:r w:rsidRPr="001F7700">
        <w:rPr>
          <w:rFonts w:eastAsiaTheme="minorEastAsia"/>
          <w:rtl/>
        </w:rPr>
        <w:t>8</w:t>
      </w:r>
      <w:r w:rsidRPr="00A97CB7">
        <w:rPr>
          <w:rFonts w:eastAsiaTheme="minorEastAsia"/>
          <w:rtl/>
        </w:rPr>
        <w:t>(</w:t>
      </w:r>
      <w:r w:rsidRPr="001F7700">
        <w:rPr>
          <w:rFonts w:eastAsiaTheme="minorEastAsia"/>
          <w:rtl/>
        </w:rPr>
        <w:t>1990</w:t>
      </w:r>
      <w:r w:rsidRPr="00A97CB7">
        <w:rPr>
          <w:rFonts w:eastAsiaTheme="minorEastAsia"/>
          <w:rtl/>
        </w:rPr>
        <w:t>) للجنة.</w:t>
      </w:r>
    </w:p>
  </w:footnote>
  <w:footnote w:id="21">
    <w:p w14:paraId="21DCE456" w14:textId="60CACAA6" w:rsidR="00A97CB7" w:rsidRPr="00A97CB7" w:rsidRDefault="00A97CB7" w:rsidP="00A97CB7">
      <w:pPr>
        <w:pStyle w:val="FootnoteText1"/>
        <w:textDirection w:val="tbRlV"/>
        <w:rPr>
          <w:rFonts w:eastAsiaTheme="minorEastAsia"/>
        </w:rPr>
      </w:pPr>
      <w:r w:rsidRPr="00A97CB7">
        <w:rPr>
          <w:rFonts w:eastAsiaTheme="minorEastAsia"/>
          <w:rtl/>
        </w:rPr>
        <w:t>(</w:t>
      </w:r>
      <w:r w:rsidRPr="001F7700">
        <w:rPr>
          <w:rStyle w:val="FootnoteReference"/>
          <w:rFonts w:eastAsiaTheme="minorEastAsia"/>
          <w:vertAlign w:val="baseline"/>
        </w:rPr>
        <w:footnoteRef/>
      </w:r>
      <w:r w:rsidRPr="00A97CB7">
        <w:rPr>
          <w:rStyle w:val="FootnoteReference"/>
          <w:rFonts w:eastAsiaTheme="minorEastAsia"/>
          <w:vertAlign w:val="baseline"/>
          <w:rtl/>
        </w:rPr>
        <w:t>)</w:t>
      </w:r>
      <w:r w:rsidRPr="00A97CB7">
        <w:rPr>
          <w:rFonts w:eastAsiaTheme="minorEastAsia"/>
          <w:rtl/>
        </w:rPr>
        <w:tab/>
        <w:t xml:space="preserve">انظر التوصية العامة رقم </w:t>
      </w:r>
      <w:r w:rsidRPr="001F7700">
        <w:rPr>
          <w:rFonts w:eastAsiaTheme="minorEastAsia"/>
          <w:rtl/>
        </w:rPr>
        <w:t>32</w:t>
      </w:r>
      <w:r w:rsidRPr="00A97CB7">
        <w:rPr>
          <w:rFonts w:eastAsiaTheme="minorEastAsia"/>
          <w:rtl/>
        </w:rPr>
        <w:t>(</w:t>
      </w:r>
      <w:r w:rsidRPr="001F7700">
        <w:rPr>
          <w:rFonts w:eastAsiaTheme="minorEastAsia"/>
          <w:rtl/>
        </w:rPr>
        <w:t>2009</w:t>
      </w:r>
      <w:r w:rsidRPr="00A97CB7">
        <w:rPr>
          <w:rFonts w:eastAsiaTheme="minorEastAsia"/>
          <w:rtl/>
        </w:rPr>
        <w:t xml:space="preserve">) للجنة، الفقرة </w:t>
      </w:r>
      <w:r w:rsidRPr="001F7700">
        <w:rPr>
          <w:rFonts w:eastAsiaTheme="minorEastAsia"/>
          <w:rtl/>
        </w:rPr>
        <w:t>7</w:t>
      </w:r>
      <w:r w:rsidRPr="00A97CB7">
        <w:rPr>
          <w:rFonts w:eastAsiaTheme="minorEastAsia"/>
          <w:rtl/>
        </w:rPr>
        <w:t>.</w:t>
      </w:r>
    </w:p>
  </w:footnote>
  <w:footnote w:id="22">
    <w:p w14:paraId="5E367523" w14:textId="7D58EDA3" w:rsidR="00A97CB7" w:rsidRPr="00A97CB7" w:rsidRDefault="00A97CB7" w:rsidP="00A97CB7">
      <w:pPr>
        <w:pStyle w:val="FootnoteText1"/>
        <w:textDirection w:val="tbRlV"/>
        <w:rPr>
          <w:rFonts w:eastAsiaTheme="minorEastAsia"/>
          <w:lang w:val="es-ES" w:eastAsia="zh-TW" w:bidi="en-GB"/>
        </w:rPr>
      </w:pPr>
      <w:r w:rsidRPr="00A97CB7">
        <w:rPr>
          <w:rFonts w:eastAsiaTheme="minorEastAsia"/>
          <w:rtl/>
        </w:rPr>
        <w:t>(</w:t>
      </w:r>
      <w:r w:rsidRPr="001F7700">
        <w:rPr>
          <w:rStyle w:val="FootnoteReference"/>
          <w:rFonts w:eastAsiaTheme="minorEastAsia"/>
          <w:vertAlign w:val="baseline"/>
        </w:rPr>
        <w:footnoteRef/>
      </w:r>
      <w:r w:rsidRPr="00A97CB7">
        <w:rPr>
          <w:rStyle w:val="FootnoteReference"/>
          <w:rFonts w:eastAsiaTheme="minorEastAsia"/>
          <w:vertAlign w:val="baseline"/>
          <w:rtl/>
        </w:rPr>
        <w:t>)</w:t>
      </w:r>
      <w:r w:rsidRPr="00A97CB7">
        <w:rPr>
          <w:rFonts w:eastAsiaTheme="minorEastAsia"/>
          <w:rtl/>
        </w:rPr>
        <w:tab/>
      </w:r>
      <w:r w:rsidRPr="00A97CB7">
        <w:rPr>
          <w:rFonts w:eastAsiaTheme="minorEastAsia"/>
          <w:lang w:val="es-ES"/>
        </w:rPr>
        <w:t>CERD/C/MDA/CO/</w:t>
      </w:r>
      <w:r w:rsidRPr="001F7700">
        <w:rPr>
          <w:rFonts w:eastAsiaTheme="minorEastAsia"/>
          <w:lang w:val="es-ES"/>
        </w:rPr>
        <w:t>10</w:t>
      </w:r>
      <w:r w:rsidRPr="00A97CB7">
        <w:rPr>
          <w:rFonts w:eastAsiaTheme="minorEastAsia"/>
          <w:lang w:val="es-ES"/>
        </w:rPr>
        <w:t>-</w:t>
      </w:r>
      <w:r w:rsidRPr="001F7700">
        <w:rPr>
          <w:rFonts w:eastAsiaTheme="minorEastAsia"/>
          <w:lang w:val="es-ES"/>
        </w:rPr>
        <w:t>11</w:t>
      </w:r>
      <w:r w:rsidRPr="00A97CB7">
        <w:rPr>
          <w:rFonts w:eastAsiaTheme="minorEastAsia"/>
          <w:rtl/>
        </w:rPr>
        <w:t xml:space="preserve">، الفقرتان </w:t>
      </w:r>
      <w:r w:rsidRPr="001F7700">
        <w:rPr>
          <w:rFonts w:eastAsiaTheme="minorEastAsia"/>
          <w:rtl/>
        </w:rPr>
        <w:t>20</w:t>
      </w:r>
      <w:r w:rsidRPr="00A97CB7">
        <w:rPr>
          <w:rFonts w:eastAsiaTheme="minorEastAsia"/>
          <w:rtl/>
        </w:rPr>
        <w:t xml:space="preserve"> و</w:t>
      </w:r>
      <w:r w:rsidRPr="001F7700">
        <w:rPr>
          <w:rFonts w:eastAsiaTheme="minorEastAsia"/>
          <w:rtl/>
        </w:rPr>
        <w:t>21</w:t>
      </w:r>
      <w:r w:rsidRPr="00A97CB7">
        <w:rPr>
          <w:rFonts w:eastAsiaTheme="minorEastAsia"/>
          <w:rtl/>
        </w:rPr>
        <w:t>؛ و</w:t>
      </w:r>
      <w:r w:rsidRPr="00A97CB7">
        <w:rPr>
          <w:rFonts w:eastAsiaTheme="minorEastAsia"/>
          <w:lang w:val="es-ES"/>
        </w:rPr>
        <w:t>CERD/C/MDA/CO/</w:t>
      </w:r>
      <w:r w:rsidRPr="001F7700">
        <w:rPr>
          <w:rFonts w:eastAsiaTheme="minorEastAsia"/>
          <w:lang w:val="es-ES"/>
        </w:rPr>
        <w:t>8</w:t>
      </w:r>
      <w:r w:rsidRPr="00A97CB7">
        <w:rPr>
          <w:rFonts w:eastAsiaTheme="minorEastAsia"/>
          <w:lang w:val="es-ES"/>
        </w:rPr>
        <w:t>-</w:t>
      </w:r>
      <w:r w:rsidRPr="001F7700">
        <w:rPr>
          <w:rFonts w:eastAsiaTheme="minorEastAsia"/>
          <w:lang w:val="es-ES"/>
        </w:rPr>
        <w:t>9</w:t>
      </w:r>
      <w:r w:rsidRPr="00A97CB7">
        <w:rPr>
          <w:rFonts w:eastAsiaTheme="minorEastAsia"/>
          <w:rtl/>
        </w:rPr>
        <w:t xml:space="preserve">، الفقرة </w:t>
      </w:r>
      <w:r w:rsidRPr="001F7700">
        <w:rPr>
          <w:rFonts w:eastAsiaTheme="minorEastAsia"/>
          <w:rtl/>
        </w:rPr>
        <w:t>15</w:t>
      </w:r>
      <w:r w:rsidRPr="00A97CB7">
        <w:rPr>
          <w:rFonts w:eastAsiaTheme="minorEastAsia"/>
          <w:rtl/>
        </w:rPr>
        <w:t>؛ و</w:t>
      </w:r>
      <w:r w:rsidRPr="00A97CB7">
        <w:rPr>
          <w:rFonts w:eastAsiaTheme="minorEastAsia"/>
          <w:lang w:val="es-ES"/>
        </w:rPr>
        <w:t>E/C.</w:t>
      </w:r>
      <w:r w:rsidRPr="001F7700">
        <w:rPr>
          <w:rFonts w:eastAsiaTheme="minorEastAsia"/>
          <w:lang w:val="es-ES"/>
        </w:rPr>
        <w:t>12</w:t>
      </w:r>
      <w:r w:rsidRPr="00A97CB7">
        <w:rPr>
          <w:rFonts w:eastAsiaTheme="minorEastAsia"/>
          <w:lang w:val="es-ES"/>
        </w:rPr>
        <w:t>/MDA/CO/</w:t>
      </w:r>
      <w:r w:rsidRPr="001F7700">
        <w:rPr>
          <w:rFonts w:eastAsiaTheme="minorEastAsia"/>
          <w:lang w:val="es-ES"/>
        </w:rPr>
        <w:t>3</w:t>
      </w:r>
      <w:r w:rsidRPr="00A97CB7">
        <w:rPr>
          <w:rFonts w:eastAsiaTheme="minorEastAsia"/>
          <w:rtl/>
        </w:rPr>
        <w:t xml:space="preserve">، الفقرات من </w:t>
      </w:r>
      <w:r w:rsidRPr="001F7700">
        <w:rPr>
          <w:rFonts w:eastAsiaTheme="minorEastAsia"/>
          <w:rtl/>
        </w:rPr>
        <w:t>22</w:t>
      </w:r>
      <w:r w:rsidRPr="00A97CB7">
        <w:rPr>
          <w:rFonts w:eastAsiaTheme="minorEastAsia"/>
          <w:rtl/>
        </w:rPr>
        <w:t xml:space="preserve"> إلى </w:t>
      </w:r>
      <w:r w:rsidRPr="001F7700">
        <w:rPr>
          <w:rFonts w:eastAsiaTheme="minorEastAsia"/>
          <w:rtl/>
        </w:rPr>
        <w:t>27</w:t>
      </w:r>
      <w:r w:rsidRPr="00A97CB7">
        <w:rPr>
          <w:rFonts w:eastAsiaTheme="minorEastAsia"/>
          <w:rtl/>
        </w:rPr>
        <w:t>؛ و</w:t>
      </w:r>
      <w:r w:rsidRPr="00A97CB7">
        <w:rPr>
          <w:rFonts w:eastAsiaTheme="minorEastAsia"/>
        </w:rPr>
        <w:t>A/HRC/</w:t>
      </w:r>
      <w:r w:rsidRPr="001F7700">
        <w:rPr>
          <w:rFonts w:eastAsiaTheme="minorEastAsia"/>
        </w:rPr>
        <w:t>34</w:t>
      </w:r>
      <w:r w:rsidRPr="00A97CB7">
        <w:rPr>
          <w:rFonts w:eastAsiaTheme="minorEastAsia"/>
        </w:rPr>
        <w:t>/</w:t>
      </w:r>
      <w:r w:rsidRPr="001F7700">
        <w:rPr>
          <w:rFonts w:eastAsiaTheme="minorEastAsia"/>
        </w:rPr>
        <w:t>53</w:t>
      </w:r>
      <w:r w:rsidRPr="00A97CB7">
        <w:rPr>
          <w:rFonts w:eastAsiaTheme="minorEastAsia"/>
        </w:rPr>
        <w:t>/Add.</w:t>
      </w:r>
      <w:r w:rsidRPr="001F7700">
        <w:rPr>
          <w:rFonts w:eastAsiaTheme="minorEastAsia"/>
        </w:rPr>
        <w:t>2</w:t>
      </w:r>
      <w:r w:rsidRPr="00A97CB7">
        <w:rPr>
          <w:rFonts w:eastAsiaTheme="minorEastAsia"/>
          <w:rtl/>
        </w:rPr>
        <w:t xml:space="preserve">، الفقرات من </w:t>
      </w:r>
      <w:r w:rsidRPr="001F7700">
        <w:rPr>
          <w:rFonts w:eastAsiaTheme="minorEastAsia"/>
          <w:rtl/>
        </w:rPr>
        <w:t>105</w:t>
      </w:r>
      <w:r w:rsidRPr="00A97CB7">
        <w:rPr>
          <w:rFonts w:eastAsiaTheme="minorEastAsia"/>
          <w:rtl/>
        </w:rPr>
        <w:t xml:space="preserve"> إلى </w:t>
      </w:r>
      <w:r w:rsidRPr="001F7700">
        <w:rPr>
          <w:rFonts w:eastAsiaTheme="minorEastAsia"/>
          <w:rtl/>
        </w:rPr>
        <w:t>107</w:t>
      </w:r>
      <w:r w:rsidRPr="00A97CB7">
        <w:rPr>
          <w:rFonts w:eastAsiaTheme="minorEastAsia"/>
          <w:rtl/>
        </w:rPr>
        <w:t>؛ و</w:t>
      </w:r>
      <w:r w:rsidRPr="00A97CB7">
        <w:rPr>
          <w:rFonts w:eastAsiaTheme="minorEastAsia"/>
        </w:rPr>
        <w:t>A/HRC/</w:t>
      </w:r>
      <w:r w:rsidRPr="001F7700">
        <w:rPr>
          <w:rFonts w:eastAsiaTheme="minorEastAsia"/>
        </w:rPr>
        <w:t>26</w:t>
      </w:r>
      <w:r w:rsidRPr="00A97CB7">
        <w:rPr>
          <w:rFonts w:eastAsiaTheme="minorEastAsia"/>
        </w:rPr>
        <w:t>/</w:t>
      </w:r>
      <w:r w:rsidRPr="001F7700">
        <w:rPr>
          <w:rFonts w:eastAsiaTheme="minorEastAsia"/>
        </w:rPr>
        <w:t>28</w:t>
      </w:r>
      <w:r w:rsidRPr="00A97CB7">
        <w:rPr>
          <w:rFonts w:eastAsiaTheme="minorEastAsia"/>
        </w:rPr>
        <w:t>/Add.</w:t>
      </w:r>
      <w:r w:rsidRPr="001F7700">
        <w:rPr>
          <w:rFonts w:eastAsiaTheme="minorEastAsia"/>
        </w:rPr>
        <w:t>2</w:t>
      </w:r>
      <w:r w:rsidRPr="00A97CB7">
        <w:rPr>
          <w:rFonts w:eastAsiaTheme="minorEastAsia"/>
          <w:rtl/>
        </w:rPr>
        <w:t xml:space="preserve">، الفقرة </w:t>
      </w:r>
      <w:r w:rsidRPr="001F7700">
        <w:rPr>
          <w:rFonts w:eastAsiaTheme="minorEastAsia"/>
          <w:rtl/>
        </w:rPr>
        <w:t>90</w:t>
      </w:r>
      <w:r w:rsidRPr="00A97CB7">
        <w:rPr>
          <w:rFonts w:eastAsiaTheme="minorEastAsia"/>
          <w:rtl/>
        </w:rPr>
        <w:t xml:space="preserve">(أ). انظر أيضاً اللجنة الأوروبية لمناهضة العنصرية والتعصب، التقرير الرابع بشأن جمهورية مولدوفا، الذي اعتُمد في </w:t>
      </w:r>
      <w:r w:rsidRPr="001F7700">
        <w:rPr>
          <w:rFonts w:eastAsiaTheme="minorEastAsia"/>
          <w:rtl/>
        </w:rPr>
        <w:t>20</w:t>
      </w:r>
      <w:r w:rsidRPr="00A97CB7">
        <w:rPr>
          <w:rFonts w:eastAsiaTheme="minorEastAsia"/>
          <w:rtl/>
        </w:rPr>
        <w:t xml:space="preserve"> حزيران/</w:t>
      </w:r>
      <w:proofErr w:type="gramStart"/>
      <w:r w:rsidRPr="00A97CB7">
        <w:rPr>
          <w:rFonts w:eastAsiaTheme="minorEastAsia"/>
          <w:rtl/>
        </w:rPr>
        <w:t>يونيه</w:t>
      </w:r>
      <w:proofErr w:type="gramEnd"/>
      <w:r w:rsidRPr="00A97CB7">
        <w:rPr>
          <w:rFonts w:eastAsiaTheme="minorEastAsia"/>
          <w:rtl/>
        </w:rPr>
        <w:t xml:space="preserve"> </w:t>
      </w:r>
      <w:r w:rsidRPr="001F7700">
        <w:rPr>
          <w:rFonts w:eastAsiaTheme="minorEastAsia"/>
          <w:rtl/>
        </w:rPr>
        <w:t>2013</w:t>
      </w:r>
      <w:r w:rsidRPr="00A97CB7">
        <w:rPr>
          <w:rFonts w:eastAsiaTheme="minorEastAsia"/>
          <w:rtl/>
        </w:rPr>
        <w:t xml:space="preserve"> ونُشر في </w:t>
      </w:r>
      <w:r w:rsidRPr="001F7700">
        <w:rPr>
          <w:rFonts w:eastAsiaTheme="minorEastAsia"/>
          <w:rtl/>
        </w:rPr>
        <w:t>15</w:t>
      </w:r>
      <w:r w:rsidRPr="00A97CB7">
        <w:rPr>
          <w:rFonts w:eastAsiaTheme="minorEastAsia"/>
          <w:rtl/>
        </w:rPr>
        <w:t xml:space="preserve"> تشرين الأول/أكتوبر </w:t>
      </w:r>
      <w:r w:rsidRPr="001F7700">
        <w:rPr>
          <w:rFonts w:eastAsiaTheme="minorEastAsia"/>
          <w:rtl/>
        </w:rPr>
        <w:t>2013</w:t>
      </w:r>
      <w:r w:rsidRPr="00A97CB7">
        <w:rPr>
          <w:rFonts w:eastAsiaTheme="minorEastAsia"/>
          <w:rtl/>
        </w:rPr>
        <w:t xml:space="preserve">، الفقرات من </w:t>
      </w:r>
      <w:r w:rsidRPr="001F7700">
        <w:rPr>
          <w:rFonts w:eastAsiaTheme="minorEastAsia"/>
          <w:rtl/>
        </w:rPr>
        <w:t>29</w:t>
      </w:r>
      <w:r w:rsidRPr="00A97CB7">
        <w:rPr>
          <w:rFonts w:eastAsiaTheme="minorEastAsia"/>
          <w:rtl/>
        </w:rPr>
        <w:t xml:space="preserve"> إلى </w:t>
      </w:r>
      <w:r w:rsidRPr="001F7700">
        <w:rPr>
          <w:rFonts w:eastAsiaTheme="minorEastAsia"/>
          <w:rtl/>
        </w:rPr>
        <w:t>31</w:t>
      </w:r>
      <w:r w:rsidRPr="00A97CB7">
        <w:rPr>
          <w:rFonts w:eastAsiaTheme="minorEastAsia"/>
          <w:rtl/>
        </w:rPr>
        <w:t xml:space="preserve">، والتقرير الخامس بشأن جمهورية مولدوفا، الذي اعتُمد في </w:t>
      </w:r>
      <w:r w:rsidRPr="001F7700">
        <w:rPr>
          <w:rFonts w:eastAsiaTheme="minorEastAsia"/>
          <w:rtl/>
        </w:rPr>
        <w:t>20</w:t>
      </w:r>
      <w:r w:rsidRPr="00A97CB7">
        <w:rPr>
          <w:rFonts w:eastAsiaTheme="minorEastAsia"/>
          <w:rtl/>
        </w:rPr>
        <w:t xml:space="preserve"> حزيران/يونيه </w:t>
      </w:r>
      <w:r w:rsidRPr="001F7700">
        <w:rPr>
          <w:rFonts w:eastAsiaTheme="minorEastAsia"/>
          <w:rtl/>
        </w:rPr>
        <w:t>2018</w:t>
      </w:r>
      <w:r w:rsidRPr="00A97CB7">
        <w:rPr>
          <w:rFonts w:eastAsiaTheme="minorEastAsia"/>
          <w:rtl/>
        </w:rPr>
        <w:t xml:space="preserve"> ونُشر في </w:t>
      </w:r>
      <w:r w:rsidRPr="001F7700">
        <w:rPr>
          <w:rFonts w:eastAsiaTheme="minorEastAsia"/>
          <w:rtl/>
        </w:rPr>
        <w:t>2</w:t>
      </w:r>
      <w:r w:rsidRPr="00A97CB7">
        <w:rPr>
          <w:rFonts w:eastAsiaTheme="minorEastAsia"/>
          <w:rtl/>
        </w:rPr>
        <w:t xml:space="preserve"> تشرين الأول/أكتوبر </w:t>
      </w:r>
      <w:r w:rsidRPr="001F7700">
        <w:rPr>
          <w:rFonts w:eastAsiaTheme="minorEastAsia"/>
          <w:rtl/>
        </w:rPr>
        <w:t>2018</w:t>
      </w:r>
      <w:r w:rsidRPr="00A97CB7">
        <w:rPr>
          <w:rFonts w:eastAsiaTheme="minorEastAsia"/>
          <w:rtl/>
        </w:rPr>
        <w:t xml:space="preserve">، الفقرتين </w:t>
      </w:r>
      <w:r w:rsidRPr="001F7700">
        <w:rPr>
          <w:rFonts w:eastAsiaTheme="minorEastAsia"/>
          <w:rtl/>
        </w:rPr>
        <w:t>83</w:t>
      </w:r>
      <w:r w:rsidRPr="00A97CB7">
        <w:rPr>
          <w:rFonts w:eastAsiaTheme="minorEastAsia"/>
          <w:rtl/>
        </w:rPr>
        <w:t xml:space="preserve"> و</w:t>
      </w:r>
      <w:r w:rsidRPr="001F7700">
        <w:rPr>
          <w:rFonts w:eastAsiaTheme="minorEastAsia"/>
          <w:rtl/>
        </w:rPr>
        <w:t>84</w:t>
      </w:r>
      <w:r w:rsidRPr="00A97CB7">
        <w:rPr>
          <w:rFonts w:eastAsiaTheme="minorEastAsia"/>
          <w:rtl/>
        </w:rPr>
        <w:t>.</w:t>
      </w:r>
    </w:p>
  </w:footnote>
  <w:footnote w:id="23">
    <w:p w14:paraId="50D22385" w14:textId="431B8C24" w:rsidR="00A97CB7" w:rsidRPr="00FF029B" w:rsidRDefault="00A97CB7" w:rsidP="00FF029B">
      <w:pPr>
        <w:pStyle w:val="FootnoteText1"/>
        <w:textDirection w:val="tbRlV"/>
        <w:rPr>
          <w:rFonts w:eastAsiaTheme="minorEastAsia"/>
        </w:rPr>
      </w:pPr>
      <w:r w:rsidRPr="00A97CB7">
        <w:rPr>
          <w:rFonts w:eastAsiaTheme="minorEastAsia"/>
          <w:rtl/>
        </w:rPr>
        <w:t>(</w:t>
      </w:r>
      <w:r w:rsidRPr="001F7700">
        <w:rPr>
          <w:rStyle w:val="FootnoteReference"/>
          <w:rFonts w:eastAsiaTheme="minorEastAsia"/>
          <w:vertAlign w:val="baseline"/>
        </w:rPr>
        <w:footnoteRef/>
      </w:r>
      <w:r w:rsidRPr="00A97CB7">
        <w:rPr>
          <w:rStyle w:val="FootnoteReference"/>
          <w:rFonts w:eastAsiaTheme="minorEastAsia"/>
          <w:vertAlign w:val="baseline"/>
          <w:rtl/>
        </w:rPr>
        <w:t>)</w:t>
      </w:r>
      <w:r w:rsidRPr="00A97CB7">
        <w:rPr>
          <w:rFonts w:eastAsiaTheme="minorEastAsia"/>
          <w:rtl/>
        </w:rPr>
        <w:tab/>
        <w:t xml:space="preserve">انظر، على سبيل المثال، قضية </w:t>
      </w:r>
      <w:r w:rsidRPr="001F7700">
        <w:rPr>
          <w:rFonts w:eastAsiaTheme="minorEastAsia"/>
          <w:i/>
          <w:iCs/>
          <w:rtl/>
        </w:rPr>
        <w:t>حباسي ضد الدانمرك</w:t>
      </w:r>
      <w:r w:rsidRPr="00A97CB7">
        <w:rPr>
          <w:rFonts w:eastAsiaTheme="minorEastAsia"/>
          <w:rtl/>
        </w:rPr>
        <w:t xml:space="preserve"> (القضية رقم </w:t>
      </w:r>
      <w:r w:rsidRPr="001F7700">
        <w:rPr>
          <w:rFonts w:eastAsiaTheme="minorEastAsia"/>
          <w:rtl/>
        </w:rPr>
        <w:t>10</w:t>
      </w:r>
      <w:r w:rsidRPr="00A97CB7">
        <w:rPr>
          <w:rFonts w:eastAsiaTheme="minorEastAsia"/>
          <w:rtl/>
        </w:rPr>
        <w:t>/</w:t>
      </w:r>
      <w:r w:rsidRPr="001F7700">
        <w:rPr>
          <w:rFonts w:eastAsiaTheme="minorEastAsia"/>
          <w:rtl/>
        </w:rPr>
        <w:t>1997</w:t>
      </w:r>
      <w:r w:rsidRPr="00A97CB7">
        <w:rPr>
          <w:rFonts w:eastAsiaTheme="minorEastAsia"/>
          <w:rtl/>
        </w:rPr>
        <w:t xml:space="preserve">)، الفقرة </w:t>
      </w:r>
      <w:r w:rsidRPr="001F7700">
        <w:rPr>
          <w:rFonts w:eastAsiaTheme="minorEastAsia"/>
          <w:rtl/>
        </w:rPr>
        <w:t>9</w:t>
      </w:r>
      <w:r w:rsidRPr="00A97CB7">
        <w:rPr>
          <w:rFonts w:eastAsiaTheme="minorEastAsia"/>
          <w:rtl/>
        </w:rPr>
        <w:t>-</w:t>
      </w:r>
      <w:r w:rsidRPr="001F7700">
        <w:rPr>
          <w:rFonts w:eastAsiaTheme="minorEastAsia"/>
          <w:rtl/>
        </w:rPr>
        <w:t>3</w:t>
      </w:r>
      <w:r w:rsidRPr="00A97CB7">
        <w:rPr>
          <w:rFonts w:eastAsiaTheme="minorEastAsia"/>
          <w:rtl/>
        </w:rPr>
        <w:t xml:space="preserve">؛ وقضية </w:t>
      </w:r>
      <w:proofErr w:type="spellStart"/>
      <w:r w:rsidRPr="001F7700">
        <w:rPr>
          <w:rFonts w:eastAsiaTheme="minorEastAsia"/>
          <w:i/>
          <w:iCs/>
          <w:rtl/>
        </w:rPr>
        <w:t>إر</w:t>
      </w:r>
      <w:proofErr w:type="spellEnd"/>
      <w:r w:rsidRPr="001F7700">
        <w:rPr>
          <w:rFonts w:eastAsiaTheme="minorEastAsia"/>
          <w:i/>
          <w:iCs/>
          <w:rtl/>
        </w:rPr>
        <w:t xml:space="preserve"> ضد الدانمرك</w:t>
      </w:r>
      <w:r w:rsidRPr="00A97CB7">
        <w:rPr>
          <w:rFonts w:eastAsiaTheme="minorEastAsia"/>
          <w:rtl/>
        </w:rPr>
        <w:t>، الفقرة</w:t>
      </w:r>
      <w:r w:rsidR="003048CF">
        <w:rPr>
          <w:rFonts w:eastAsiaTheme="minorEastAsia" w:hint="cs"/>
          <w:rtl/>
        </w:rPr>
        <w:t> </w:t>
      </w:r>
      <w:r w:rsidRPr="001F7700">
        <w:rPr>
          <w:rFonts w:eastAsiaTheme="minorEastAsia"/>
          <w:rtl/>
        </w:rPr>
        <w:t>7</w:t>
      </w:r>
      <w:r w:rsidRPr="00A97CB7">
        <w:rPr>
          <w:rFonts w:eastAsiaTheme="minorEastAsia"/>
          <w:rtl/>
        </w:rPr>
        <w:t>-</w:t>
      </w:r>
      <w:r w:rsidRPr="001F7700">
        <w:rPr>
          <w:rFonts w:eastAsiaTheme="minorEastAsia"/>
          <w:rtl/>
        </w:rPr>
        <w:t>4</w:t>
      </w:r>
      <w:r w:rsidRPr="00A97CB7">
        <w:rPr>
          <w:rFonts w:eastAsiaTheme="minorEastAsia"/>
          <w:rtl/>
        </w:rPr>
        <w:t xml:space="preserve">؛ وقضية </w:t>
      </w:r>
      <w:r w:rsidRPr="001F7700">
        <w:rPr>
          <w:rFonts w:eastAsiaTheme="minorEastAsia"/>
          <w:i/>
          <w:iCs/>
          <w:rtl/>
        </w:rPr>
        <w:t>ف. س. ضد سلوفاكيا</w:t>
      </w:r>
      <w:r w:rsidRPr="00A97CB7">
        <w:rPr>
          <w:rFonts w:eastAsiaTheme="minorEastAsia"/>
          <w:rtl/>
        </w:rPr>
        <w:t xml:space="preserve">، الفقرة </w:t>
      </w:r>
      <w:r w:rsidRPr="001F7700">
        <w:rPr>
          <w:rFonts w:eastAsiaTheme="minorEastAsia"/>
          <w:rtl/>
        </w:rPr>
        <w:t>7</w:t>
      </w:r>
      <w:r w:rsidRPr="00A97CB7">
        <w:rPr>
          <w:rFonts w:eastAsiaTheme="minorEastAsia"/>
          <w:rtl/>
        </w:rPr>
        <w:t>-</w:t>
      </w:r>
      <w:r w:rsidRPr="001F7700">
        <w:rPr>
          <w:rFonts w:eastAsiaTheme="minorEastAsia"/>
          <w:rtl/>
        </w:rPr>
        <w:t>4</w:t>
      </w:r>
      <w:r w:rsidRPr="00A97CB7">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59776" w14:textId="5E25CF7E" w:rsidR="00A97CB7" w:rsidRPr="00296943" w:rsidRDefault="00A97CB7" w:rsidP="00296943">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D2668">
      <w:t>CERD/C/103/D/60/2016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D89A2" w14:textId="73081222" w:rsidR="00A97CB7" w:rsidRPr="00296943" w:rsidRDefault="00A97CB7" w:rsidP="00296943">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D2668">
      <w:t>CERD/C/103/D/60/2016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BC"/>
    <w:rsid w:val="000076D5"/>
    <w:rsid w:val="00014759"/>
    <w:rsid w:val="00043663"/>
    <w:rsid w:val="000505CF"/>
    <w:rsid w:val="00061207"/>
    <w:rsid w:val="000A3229"/>
    <w:rsid w:val="000D5F55"/>
    <w:rsid w:val="000D701C"/>
    <w:rsid w:val="000E2A71"/>
    <w:rsid w:val="00140954"/>
    <w:rsid w:val="00156D54"/>
    <w:rsid w:val="00160263"/>
    <w:rsid w:val="00181F96"/>
    <w:rsid w:val="00186F74"/>
    <w:rsid w:val="001A1371"/>
    <w:rsid w:val="001B346A"/>
    <w:rsid w:val="001E1CAD"/>
    <w:rsid w:val="001E290D"/>
    <w:rsid w:val="001F7700"/>
    <w:rsid w:val="002144FA"/>
    <w:rsid w:val="0023469A"/>
    <w:rsid w:val="00243C8A"/>
    <w:rsid w:val="00255C95"/>
    <w:rsid w:val="0026057C"/>
    <w:rsid w:val="00263543"/>
    <w:rsid w:val="00267A0E"/>
    <w:rsid w:val="00276D72"/>
    <w:rsid w:val="002901D9"/>
    <w:rsid w:val="00296943"/>
    <w:rsid w:val="002976C2"/>
    <w:rsid w:val="002D2D42"/>
    <w:rsid w:val="002E002F"/>
    <w:rsid w:val="003048CF"/>
    <w:rsid w:val="003110CF"/>
    <w:rsid w:val="003260FF"/>
    <w:rsid w:val="00326A5E"/>
    <w:rsid w:val="00343D95"/>
    <w:rsid w:val="00350BD2"/>
    <w:rsid w:val="00374341"/>
    <w:rsid w:val="0039392F"/>
    <w:rsid w:val="003A0060"/>
    <w:rsid w:val="003B1799"/>
    <w:rsid w:val="003C67DF"/>
    <w:rsid w:val="003D1062"/>
    <w:rsid w:val="003E0437"/>
    <w:rsid w:val="004024CE"/>
    <w:rsid w:val="00420D7B"/>
    <w:rsid w:val="00450B21"/>
    <w:rsid w:val="00453B63"/>
    <w:rsid w:val="00455780"/>
    <w:rsid w:val="004714DA"/>
    <w:rsid w:val="004A14A6"/>
    <w:rsid w:val="004B0A1C"/>
    <w:rsid w:val="004D298E"/>
    <w:rsid w:val="00523BAE"/>
    <w:rsid w:val="005445EF"/>
    <w:rsid w:val="0054472E"/>
    <w:rsid w:val="00554D6F"/>
    <w:rsid w:val="005662A9"/>
    <w:rsid w:val="0057575C"/>
    <w:rsid w:val="005827D4"/>
    <w:rsid w:val="00584A59"/>
    <w:rsid w:val="0059622A"/>
    <w:rsid w:val="005A09E8"/>
    <w:rsid w:val="005B006E"/>
    <w:rsid w:val="005C5878"/>
    <w:rsid w:val="005C7CEA"/>
    <w:rsid w:val="005D3C0B"/>
    <w:rsid w:val="005E5217"/>
    <w:rsid w:val="005F0FA4"/>
    <w:rsid w:val="005F30EE"/>
    <w:rsid w:val="0060473A"/>
    <w:rsid w:val="00656392"/>
    <w:rsid w:val="0068781D"/>
    <w:rsid w:val="00692993"/>
    <w:rsid w:val="006959B0"/>
    <w:rsid w:val="006B3E27"/>
    <w:rsid w:val="006B6507"/>
    <w:rsid w:val="006C104C"/>
    <w:rsid w:val="00733704"/>
    <w:rsid w:val="00735C55"/>
    <w:rsid w:val="0078071A"/>
    <w:rsid w:val="00792AA3"/>
    <w:rsid w:val="007E37DC"/>
    <w:rsid w:val="007E5F40"/>
    <w:rsid w:val="008357B8"/>
    <w:rsid w:val="00852A9A"/>
    <w:rsid w:val="008B0BF2"/>
    <w:rsid w:val="008D2668"/>
    <w:rsid w:val="008E07BD"/>
    <w:rsid w:val="008F49E1"/>
    <w:rsid w:val="00903458"/>
    <w:rsid w:val="0090370F"/>
    <w:rsid w:val="00906A20"/>
    <w:rsid w:val="009073BC"/>
    <w:rsid w:val="00912700"/>
    <w:rsid w:val="00915E5C"/>
    <w:rsid w:val="009269D2"/>
    <w:rsid w:val="00942135"/>
    <w:rsid w:val="009521B0"/>
    <w:rsid w:val="00983BB0"/>
    <w:rsid w:val="00994130"/>
    <w:rsid w:val="009A7E9F"/>
    <w:rsid w:val="009C35B9"/>
    <w:rsid w:val="009E5018"/>
    <w:rsid w:val="00A12B37"/>
    <w:rsid w:val="00A570BE"/>
    <w:rsid w:val="00A6367F"/>
    <w:rsid w:val="00A97CB7"/>
    <w:rsid w:val="00AB6758"/>
    <w:rsid w:val="00AD677C"/>
    <w:rsid w:val="00B13763"/>
    <w:rsid w:val="00B14382"/>
    <w:rsid w:val="00B176FF"/>
    <w:rsid w:val="00B33970"/>
    <w:rsid w:val="00B44E12"/>
    <w:rsid w:val="00B455EE"/>
    <w:rsid w:val="00B477A4"/>
    <w:rsid w:val="00B5203C"/>
    <w:rsid w:val="00B54045"/>
    <w:rsid w:val="00BA2567"/>
    <w:rsid w:val="00C438D7"/>
    <w:rsid w:val="00C47A45"/>
    <w:rsid w:val="00C53ECE"/>
    <w:rsid w:val="00C81B50"/>
    <w:rsid w:val="00CB28F9"/>
    <w:rsid w:val="00CD1801"/>
    <w:rsid w:val="00CF2B82"/>
    <w:rsid w:val="00D10EF1"/>
    <w:rsid w:val="00D36601"/>
    <w:rsid w:val="00D42810"/>
    <w:rsid w:val="00D81286"/>
    <w:rsid w:val="00D914A7"/>
    <w:rsid w:val="00D952E6"/>
    <w:rsid w:val="00DB79BF"/>
    <w:rsid w:val="00DD0800"/>
    <w:rsid w:val="00DD13C3"/>
    <w:rsid w:val="00DD1E4F"/>
    <w:rsid w:val="00DD596E"/>
    <w:rsid w:val="00DD621E"/>
    <w:rsid w:val="00DF0575"/>
    <w:rsid w:val="00E625C0"/>
    <w:rsid w:val="00E70E04"/>
    <w:rsid w:val="00E76499"/>
    <w:rsid w:val="00E962C3"/>
    <w:rsid w:val="00EB4248"/>
    <w:rsid w:val="00EC05A7"/>
    <w:rsid w:val="00EC4B6B"/>
    <w:rsid w:val="00EF1EE5"/>
    <w:rsid w:val="00F33749"/>
    <w:rsid w:val="00F4361D"/>
    <w:rsid w:val="00F763B4"/>
    <w:rsid w:val="00F83E84"/>
    <w:rsid w:val="00F900C3"/>
    <w:rsid w:val="00FD2424"/>
    <w:rsid w:val="00FF029B"/>
    <w:rsid w:val="00FF2AB2"/>
    <w:rsid w:val="00FF2B13"/>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3DDFEC"/>
  <w15:docId w15:val="{EA14827B-5A51-4901-B660-B42EF240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799"/>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3B1799"/>
    <w:pPr>
      <w:bidi w:val="0"/>
      <w:outlineLvl w:val="0"/>
    </w:pPr>
  </w:style>
  <w:style w:type="paragraph" w:styleId="Heading2">
    <w:name w:val="heading 2"/>
    <w:basedOn w:val="Normal"/>
    <w:next w:val="Normal"/>
    <w:link w:val="Heading2Char"/>
    <w:uiPriority w:val="9"/>
    <w:unhideWhenUsed/>
    <w:rsid w:val="003B1799"/>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3B1799"/>
    <w:pPr>
      <w:keepNext/>
      <w:keepLines/>
      <w:spacing w:before="200"/>
      <w:outlineLvl w:val="2"/>
    </w:pPr>
    <w:rPr>
      <w:b/>
      <w:bCs/>
      <w:color w:val="4F81BD"/>
    </w:rPr>
  </w:style>
  <w:style w:type="paragraph" w:styleId="Heading4">
    <w:name w:val="heading 4"/>
    <w:basedOn w:val="Normal"/>
    <w:next w:val="Normal"/>
    <w:link w:val="Heading4Char"/>
    <w:uiPriority w:val="9"/>
    <w:unhideWhenUsed/>
    <w:rsid w:val="003B1799"/>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3B1799"/>
    <w:pPr>
      <w:keepNext/>
      <w:keepLines/>
      <w:spacing w:before="200"/>
      <w:outlineLvl w:val="4"/>
    </w:pPr>
    <w:rPr>
      <w:color w:val="243F60"/>
    </w:rPr>
  </w:style>
  <w:style w:type="paragraph" w:styleId="Heading6">
    <w:name w:val="heading 6"/>
    <w:basedOn w:val="Normal"/>
    <w:next w:val="Normal"/>
    <w:link w:val="Heading6Char"/>
    <w:uiPriority w:val="9"/>
    <w:unhideWhenUsed/>
    <w:rsid w:val="003B1799"/>
    <w:pPr>
      <w:keepNext/>
      <w:keepLines/>
      <w:spacing w:before="200"/>
      <w:outlineLvl w:val="5"/>
    </w:pPr>
    <w:rPr>
      <w:i/>
      <w:iCs/>
      <w:color w:val="243F60"/>
    </w:rPr>
  </w:style>
  <w:style w:type="paragraph" w:styleId="Heading7">
    <w:name w:val="heading 7"/>
    <w:basedOn w:val="Normal"/>
    <w:next w:val="Normal"/>
    <w:link w:val="Heading7Char"/>
    <w:uiPriority w:val="9"/>
    <w:unhideWhenUsed/>
    <w:rsid w:val="003B1799"/>
    <w:pPr>
      <w:keepNext/>
      <w:keepLines/>
      <w:spacing w:before="200"/>
      <w:outlineLvl w:val="6"/>
    </w:pPr>
    <w:rPr>
      <w:i/>
      <w:iCs/>
      <w:color w:val="404040"/>
    </w:rPr>
  </w:style>
  <w:style w:type="paragraph" w:styleId="Heading8">
    <w:name w:val="heading 8"/>
    <w:basedOn w:val="Normal"/>
    <w:next w:val="Normal"/>
    <w:link w:val="Heading8Char"/>
    <w:uiPriority w:val="9"/>
    <w:unhideWhenUsed/>
    <w:rsid w:val="003B1799"/>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3B1799"/>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3B1799"/>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3B1799"/>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qFormat/>
    <w:rsid w:val="003B1799"/>
    <w:rPr>
      <w:szCs w:val="18"/>
      <w:vertAlign w:val="superscript"/>
    </w:rPr>
  </w:style>
  <w:style w:type="paragraph" w:customStyle="1" w:styleId="HMGA">
    <w:name w:val="_ H __M_GA"/>
    <w:basedOn w:val="Normal"/>
    <w:next w:val="SingleTxtGA"/>
    <w:qFormat/>
    <w:rsid w:val="003B1799"/>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B1799"/>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3B1799"/>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B1799"/>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B1799"/>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B1799"/>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B1799"/>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B1799"/>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B1799"/>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B1799"/>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B1799"/>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B1799"/>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3B1799"/>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B1799"/>
    <w:pPr>
      <w:numPr>
        <w:numId w:val="5"/>
      </w:numPr>
      <w:bidi w:val="0"/>
    </w:pPr>
    <w:rPr>
      <w:lang w:val="en-US"/>
    </w:rPr>
  </w:style>
  <w:style w:type="paragraph" w:customStyle="1" w:styleId="Roman1GA">
    <w:name w:val="_Roman 1_GA"/>
    <w:basedOn w:val="Bullet1GA"/>
    <w:qFormat/>
    <w:rsid w:val="003B1799"/>
    <w:pPr>
      <w:numPr>
        <w:numId w:val="6"/>
      </w:numPr>
      <w:tabs>
        <w:tab w:val="clear" w:pos="2310"/>
        <w:tab w:val="left" w:pos="2486"/>
      </w:tabs>
      <w:ind w:left="2486" w:hanging="378"/>
    </w:pPr>
  </w:style>
  <w:style w:type="paragraph" w:customStyle="1" w:styleId="Roman2GA">
    <w:name w:val="_Roman 2_GA"/>
    <w:basedOn w:val="Bullet2GA"/>
    <w:qFormat/>
    <w:rsid w:val="003B1799"/>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3B1799"/>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3B1799"/>
    <w:rPr>
      <w:rFonts w:ascii="Times New Roman" w:eastAsia="PMingLiU" w:hAnsi="Times New Roman" w:cs="Simplified Arabic"/>
      <w:sz w:val="18"/>
      <w:szCs w:val="20"/>
      <w:lang w:val="en-GB"/>
    </w:rPr>
  </w:style>
  <w:style w:type="character" w:customStyle="1" w:styleId="EndtnoteReference">
    <w:name w:val="Endtnote Reference"/>
    <w:aliases w:val="1_GA"/>
    <w:qFormat/>
    <w:rsid w:val="003B1799"/>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3B1799"/>
    <w:pPr>
      <w:suppressAutoHyphens/>
      <w:bidi w:val="0"/>
      <w:spacing w:line="240" w:lineRule="auto"/>
    </w:pPr>
    <w:rPr>
      <w:sz w:val="16"/>
      <w:lang w:val="en-GB"/>
    </w:rPr>
  </w:style>
  <w:style w:type="character" w:customStyle="1" w:styleId="FooterChar">
    <w:name w:val="Footer Char"/>
    <w:aliases w:val="3_GA Char,3_G Char"/>
    <w:link w:val="Footer"/>
    <w:rsid w:val="003B1799"/>
    <w:rPr>
      <w:rFonts w:ascii="Times New Roman" w:eastAsia="PMingLiU" w:hAnsi="Times New Roman" w:cs="Simplified Arabic"/>
      <w:sz w:val="16"/>
      <w:lang w:val="en-GB"/>
    </w:rPr>
  </w:style>
  <w:style w:type="paragraph" w:customStyle="1" w:styleId="FootnoteText1">
    <w:name w:val="Footnote Text1"/>
    <w:aliases w:val="5_GA"/>
    <w:basedOn w:val="Normal"/>
    <w:qFormat/>
    <w:rsid w:val="003B1799"/>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3B1799"/>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3B1799"/>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3B1799"/>
    <w:rPr>
      <w:rFonts w:ascii="Times New Roman" w:eastAsia="PMingLiU" w:hAnsi="Times New Roman" w:cs="Simplified Arabic"/>
      <w:lang w:val="en-GB"/>
    </w:rPr>
  </w:style>
  <w:style w:type="character" w:styleId="PageNumber">
    <w:name w:val="page number"/>
    <w:aliases w:val="7_GA,7_G"/>
    <w:qFormat/>
    <w:rsid w:val="003B1799"/>
    <w:rPr>
      <w:rFonts w:ascii="Times New Roman Bold" w:hAnsi="Times New Roman Bold"/>
      <w:b/>
      <w:i w:val="0"/>
      <w:sz w:val="18"/>
      <w:szCs w:val="18"/>
    </w:rPr>
  </w:style>
  <w:style w:type="paragraph" w:customStyle="1" w:styleId="XXLargeGA">
    <w:name w:val="XXLarge_GA"/>
    <w:basedOn w:val="Normal"/>
    <w:next w:val="SingleTxtGA"/>
    <w:qFormat/>
    <w:rsid w:val="003B1799"/>
    <w:pPr>
      <w:suppressAutoHyphens/>
      <w:spacing w:line="820" w:lineRule="exact"/>
    </w:pPr>
    <w:rPr>
      <w:spacing w:val="-8"/>
      <w:w w:val="96"/>
      <w:sz w:val="57"/>
      <w:szCs w:val="86"/>
      <w:lang w:val="en-GB"/>
    </w:rPr>
  </w:style>
  <w:style w:type="character" w:customStyle="1" w:styleId="Heading2Char">
    <w:name w:val="Heading 2 Char"/>
    <w:link w:val="Heading2"/>
    <w:uiPriority w:val="9"/>
    <w:rsid w:val="003B1799"/>
    <w:rPr>
      <w:rFonts w:ascii="Times New Roman" w:eastAsia="PMingLiU" w:hAnsi="Times New Roman" w:cs="Simplified Arabic"/>
      <w:b/>
      <w:bCs/>
      <w:color w:val="4F81BD"/>
      <w:sz w:val="26"/>
      <w:szCs w:val="26"/>
    </w:rPr>
  </w:style>
  <w:style w:type="character" w:styleId="BookTitle">
    <w:name w:val="Book Title"/>
    <w:uiPriority w:val="33"/>
    <w:rsid w:val="003B1799"/>
    <w:rPr>
      <w:b/>
      <w:bCs/>
      <w:smallCaps/>
      <w:spacing w:val="5"/>
    </w:rPr>
  </w:style>
  <w:style w:type="character" w:customStyle="1" w:styleId="Heading3Char">
    <w:name w:val="Heading 3 Char"/>
    <w:link w:val="Heading3"/>
    <w:uiPriority w:val="9"/>
    <w:rsid w:val="003B1799"/>
    <w:rPr>
      <w:rFonts w:ascii="Times New Roman" w:eastAsia="PMingLiU" w:hAnsi="Times New Roman" w:cs="Simplified Arabic"/>
      <w:b/>
      <w:bCs/>
      <w:color w:val="4F81BD"/>
      <w:sz w:val="20"/>
    </w:rPr>
  </w:style>
  <w:style w:type="character" w:customStyle="1" w:styleId="Heading4Char">
    <w:name w:val="Heading 4 Char"/>
    <w:link w:val="Heading4"/>
    <w:uiPriority w:val="9"/>
    <w:rsid w:val="003B1799"/>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3B1799"/>
    <w:rPr>
      <w:rFonts w:ascii="Times New Roman" w:eastAsia="PMingLiU" w:hAnsi="Times New Roman" w:cs="Simplified Arabic"/>
      <w:color w:val="243F60"/>
      <w:sz w:val="20"/>
    </w:rPr>
  </w:style>
  <w:style w:type="character" w:customStyle="1" w:styleId="Heading6Char">
    <w:name w:val="Heading 6 Char"/>
    <w:link w:val="Heading6"/>
    <w:uiPriority w:val="9"/>
    <w:rsid w:val="003B1799"/>
    <w:rPr>
      <w:rFonts w:ascii="Times New Roman" w:eastAsia="PMingLiU" w:hAnsi="Times New Roman" w:cs="Simplified Arabic"/>
      <w:i/>
      <w:iCs/>
      <w:color w:val="243F60"/>
      <w:sz w:val="20"/>
    </w:rPr>
  </w:style>
  <w:style w:type="character" w:customStyle="1" w:styleId="Heading7Char">
    <w:name w:val="Heading 7 Char"/>
    <w:link w:val="Heading7"/>
    <w:uiPriority w:val="9"/>
    <w:rsid w:val="003B1799"/>
    <w:rPr>
      <w:rFonts w:ascii="Times New Roman" w:eastAsia="PMingLiU" w:hAnsi="Times New Roman" w:cs="Simplified Arabic"/>
      <w:i/>
      <w:iCs/>
      <w:color w:val="404040"/>
      <w:sz w:val="20"/>
    </w:rPr>
  </w:style>
  <w:style w:type="character" w:customStyle="1" w:styleId="Heading8Char">
    <w:name w:val="Heading 8 Char"/>
    <w:link w:val="Heading8"/>
    <w:uiPriority w:val="9"/>
    <w:rsid w:val="003B1799"/>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3B1799"/>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3B1799"/>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B1799"/>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3B1799"/>
    <w:pPr>
      <w:numPr>
        <w:ilvl w:val="1"/>
      </w:numPr>
    </w:pPr>
    <w:rPr>
      <w:i/>
      <w:iCs/>
      <w:color w:val="4F81BD"/>
      <w:spacing w:val="15"/>
      <w:sz w:val="24"/>
      <w:szCs w:val="24"/>
    </w:rPr>
  </w:style>
  <w:style w:type="character" w:customStyle="1" w:styleId="SubtitleChar">
    <w:name w:val="Subtitle Char"/>
    <w:link w:val="Subtitle"/>
    <w:uiPriority w:val="11"/>
    <w:rsid w:val="003B1799"/>
    <w:rPr>
      <w:rFonts w:ascii="Times New Roman" w:eastAsia="PMingLiU" w:hAnsi="Times New Roman" w:cs="Simplified Arabic"/>
      <w:i/>
      <w:iCs/>
      <w:color w:val="4F81BD"/>
      <w:spacing w:val="15"/>
      <w:sz w:val="24"/>
      <w:szCs w:val="24"/>
    </w:rPr>
  </w:style>
  <w:style w:type="character" w:styleId="SubtleEmphasis">
    <w:name w:val="Subtle Emphasis"/>
    <w:uiPriority w:val="19"/>
    <w:rsid w:val="003B1799"/>
    <w:rPr>
      <w:i/>
      <w:iCs/>
      <w:color w:val="808080"/>
    </w:rPr>
  </w:style>
  <w:style w:type="table" w:styleId="ColorfulGrid-Accent6">
    <w:name w:val="Colorful Grid Accent 6"/>
    <w:basedOn w:val="TableNormal"/>
    <w:uiPriority w:val="73"/>
    <w:rsid w:val="003B1799"/>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qFormat/>
    <w:rsid w:val="003B1799"/>
    <w:rPr>
      <w:i/>
      <w:iCs/>
    </w:rPr>
  </w:style>
  <w:style w:type="character" w:styleId="IntenseEmphasis">
    <w:name w:val="Intense Emphasis"/>
    <w:uiPriority w:val="21"/>
    <w:rsid w:val="003B1799"/>
    <w:rPr>
      <w:b/>
      <w:bCs/>
      <w:i/>
      <w:iCs/>
      <w:color w:val="4F81BD"/>
    </w:rPr>
  </w:style>
  <w:style w:type="character" w:styleId="Strong">
    <w:name w:val="Strong"/>
    <w:uiPriority w:val="22"/>
    <w:rsid w:val="003B1799"/>
    <w:rPr>
      <w:b/>
      <w:bCs/>
    </w:rPr>
  </w:style>
  <w:style w:type="paragraph" w:styleId="Quote">
    <w:name w:val="Quote"/>
    <w:basedOn w:val="Normal"/>
    <w:next w:val="Normal"/>
    <w:link w:val="QuoteChar"/>
    <w:uiPriority w:val="29"/>
    <w:rsid w:val="003B1799"/>
    <w:rPr>
      <w:i/>
      <w:iCs/>
      <w:color w:val="000000"/>
    </w:rPr>
  </w:style>
  <w:style w:type="character" w:customStyle="1" w:styleId="QuoteChar">
    <w:name w:val="Quote Char"/>
    <w:link w:val="Quote"/>
    <w:uiPriority w:val="29"/>
    <w:rsid w:val="003B1799"/>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3B179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B1799"/>
    <w:rPr>
      <w:rFonts w:ascii="Times New Roman" w:eastAsia="PMingLiU" w:hAnsi="Times New Roman" w:cs="Simplified Arabic"/>
      <w:b/>
      <w:bCs/>
      <w:i/>
      <w:iCs/>
      <w:color w:val="4F81BD"/>
      <w:sz w:val="20"/>
    </w:rPr>
  </w:style>
  <w:style w:type="character" w:styleId="SubtleReference">
    <w:name w:val="Subtle Reference"/>
    <w:uiPriority w:val="31"/>
    <w:rsid w:val="003B1799"/>
    <w:rPr>
      <w:smallCaps/>
      <w:color w:val="C0504D"/>
      <w:u w:val="single"/>
    </w:rPr>
  </w:style>
  <w:style w:type="character" w:styleId="IntenseReference">
    <w:name w:val="Intense Reference"/>
    <w:uiPriority w:val="32"/>
    <w:rsid w:val="003B1799"/>
    <w:rPr>
      <w:b/>
      <w:bCs/>
      <w:smallCaps/>
      <w:color w:val="C0504D"/>
      <w:spacing w:val="5"/>
      <w:u w:val="single"/>
    </w:rPr>
  </w:style>
  <w:style w:type="paragraph" w:styleId="ListParagraph">
    <w:name w:val="List Paragraph"/>
    <w:basedOn w:val="Normal"/>
    <w:uiPriority w:val="34"/>
    <w:rsid w:val="003B1799"/>
    <w:pPr>
      <w:ind w:left="720"/>
      <w:contextualSpacing/>
    </w:pPr>
  </w:style>
  <w:style w:type="table" w:styleId="MediumShading1-Accent4">
    <w:name w:val="Medium Shading 1 Accent 4"/>
    <w:basedOn w:val="TableNormal"/>
    <w:uiPriority w:val="63"/>
    <w:rsid w:val="003B1799"/>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3B1799"/>
    <w:rPr>
      <w:rFonts w:eastAsia="MS Mincho"/>
      <w:sz w:val="18"/>
      <w:vertAlign w:val="superscript"/>
    </w:rPr>
  </w:style>
  <w:style w:type="table" w:styleId="TableGrid">
    <w:name w:val="Table Grid"/>
    <w:basedOn w:val="TableNormal"/>
    <w:rsid w:val="003B1799"/>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799"/>
    <w:pPr>
      <w:spacing w:line="240" w:lineRule="auto"/>
    </w:pPr>
    <w:rPr>
      <w:sz w:val="16"/>
      <w:szCs w:val="16"/>
    </w:rPr>
  </w:style>
  <w:style w:type="character" w:customStyle="1" w:styleId="BalloonTextChar">
    <w:name w:val="Balloon Text Char"/>
    <w:link w:val="BalloonText"/>
    <w:uiPriority w:val="99"/>
    <w:semiHidden/>
    <w:rsid w:val="003B1799"/>
    <w:rPr>
      <w:rFonts w:ascii="Times New Roman" w:eastAsia="PMingLiU" w:hAnsi="Times New Roman" w:cs="Simplified Arabic"/>
      <w:sz w:val="16"/>
      <w:szCs w:val="16"/>
    </w:rPr>
  </w:style>
  <w:style w:type="character" w:styleId="Hyperlink">
    <w:name w:val="Hyperlink"/>
    <w:uiPriority w:val="99"/>
    <w:unhideWhenUsed/>
    <w:rsid w:val="003B1799"/>
    <w:rPr>
      <w:color w:val="0000FF"/>
      <w:u w:val="none"/>
    </w:rPr>
  </w:style>
  <w:style w:type="paragraph" w:styleId="TOC1">
    <w:name w:val="toc 1"/>
    <w:basedOn w:val="Normal"/>
    <w:link w:val="TOC1Char"/>
    <w:autoRedefine/>
    <w:uiPriority w:val="39"/>
    <w:unhideWhenUsed/>
    <w:rsid w:val="003B1799"/>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B1799"/>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B1799"/>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B1799"/>
    <w:rPr>
      <w:rFonts w:eastAsia="DengXian"/>
      <w:color w:val="auto"/>
      <w:sz w:val="20"/>
      <w:szCs w:val="20"/>
      <w:u w:val="none"/>
      <w:lang w:eastAsia="zh-CN" w:bidi="ar-EG"/>
    </w:rPr>
  </w:style>
  <w:style w:type="paragraph" w:styleId="TOC4">
    <w:name w:val="toc 4"/>
    <w:basedOn w:val="Normal"/>
    <w:link w:val="TOC4Char"/>
    <w:autoRedefine/>
    <w:uiPriority w:val="39"/>
    <w:unhideWhenUsed/>
    <w:rsid w:val="003B1799"/>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B1799"/>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B1799"/>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3B1799"/>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3B1799"/>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B1799"/>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3B1799"/>
    <w:rPr>
      <w:color w:val="605E5C"/>
      <w:shd w:val="clear" w:color="auto" w:fill="E1DFDD"/>
    </w:rPr>
  </w:style>
  <w:style w:type="character" w:customStyle="1" w:styleId="TOC1Char">
    <w:name w:val="TOC 1 Char"/>
    <w:basedOn w:val="DefaultParagraphFont"/>
    <w:link w:val="TOC1"/>
    <w:uiPriority w:val="39"/>
    <w:rsid w:val="003B1799"/>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3B1799"/>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3B1799"/>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3B1799"/>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3B1799"/>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3B1799"/>
    <w:rPr>
      <w:rFonts w:ascii="Times New Roman" w:eastAsia="PMingLiU" w:hAnsi="Times New Roman" w:cs="Simplified Arabic"/>
      <w:sz w:val="20"/>
      <w:szCs w:val="20"/>
      <w:lang w:val="en-GB"/>
    </w:rPr>
  </w:style>
  <w:style w:type="paragraph" w:customStyle="1" w:styleId="SessionDate">
    <w:name w:val="Session_Date"/>
    <w:basedOn w:val="Normal"/>
    <w:qFormat/>
    <w:rsid w:val="003B1799"/>
    <w:pPr>
      <w:spacing w:before="240" w:after="240" w:line="460" w:lineRule="exact"/>
      <w:ind w:left="1247"/>
    </w:pPr>
    <w:rPr>
      <w:b/>
      <w:bCs/>
      <w:sz w:val="32"/>
      <w:szCs w:val="44"/>
    </w:rPr>
  </w:style>
  <w:style w:type="paragraph" w:customStyle="1" w:styleId="SessionNumber">
    <w:name w:val="Session_Number"/>
    <w:basedOn w:val="Normal"/>
    <w:qFormat/>
    <w:rsid w:val="003B1799"/>
    <w:pPr>
      <w:spacing w:line="480" w:lineRule="exact"/>
      <w:ind w:left="1247"/>
    </w:pPr>
    <w:rPr>
      <w:b/>
      <w:bCs/>
      <w:sz w:val="28"/>
      <w:szCs w:val="38"/>
    </w:rPr>
  </w:style>
  <w:style w:type="paragraph" w:customStyle="1" w:styleId="CityandYear">
    <w:name w:val="City and Year"/>
    <w:basedOn w:val="SingleTxtGA"/>
    <w:qFormat/>
    <w:rsid w:val="003B1799"/>
    <w:pPr>
      <w:spacing w:line="480" w:lineRule="exact"/>
    </w:pPr>
    <w:rPr>
      <w:b/>
      <w:bCs/>
      <w:sz w:val="30"/>
      <w:szCs w:val="38"/>
      <w:lang w:eastAsia="ar-SA"/>
    </w:rPr>
  </w:style>
  <w:style w:type="paragraph" w:customStyle="1" w:styleId="NormalA">
    <w:name w:val="Normal_A"/>
    <w:basedOn w:val="Normal"/>
    <w:qFormat/>
    <w:rsid w:val="003B1799"/>
  </w:style>
  <w:style w:type="paragraph" w:customStyle="1" w:styleId="H1G">
    <w:name w:val="_ H_1_G"/>
    <w:basedOn w:val="Normal"/>
    <w:next w:val="Normal"/>
    <w:qFormat/>
    <w:rsid w:val="003B1799"/>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3B1799"/>
    <w:pPr>
      <w:suppressAutoHyphens/>
      <w:bidi w:val="0"/>
      <w:spacing w:after="120"/>
      <w:ind w:left="1134" w:right="1134"/>
      <w:jc w:val="both"/>
    </w:pPr>
    <w:rPr>
      <w:szCs w:val="20"/>
      <w:lang w:val="en-GB"/>
    </w:rPr>
  </w:style>
  <w:style w:type="paragraph" w:customStyle="1" w:styleId="HChG">
    <w:name w:val="_ H _Ch_G"/>
    <w:basedOn w:val="Normal"/>
    <w:next w:val="Normal"/>
    <w:qFormat/>
    <w:rsid w:val="003B1799"/>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3B1799"/>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3B1799"/>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3B1799"/>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B1799"/>
    <w:rPr>
      <w:sz w:val="44"/>
      <w:szCs w:val="44"/>
      <w:lang w:val="en-US" w:bidi="ar-DZ"/>
    </w:rPr>
  </w:style>
  <w:style w:type="paragraph" w:customStyle="1" w:styleId="FootnoteGA0">
    <w:name w:val="Footnote_GA"/>
    <w:basedOn w:val="Normal"/>
    <w:qFormat/>
    <w:rsid w:val="003B1799"/>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3B1799"/>
    <w:pPr>
      <w:keepNext/>
      <w:keepLines/>
      <w:spacing w:after="120" w:line="400" w:lineRule="exact"/>
      <w:outlineLvl w:val="0"/>
    </w:pPr>
    <w:rPr>
      <w:b/>
      <w:bCs/>
      <w:kern w:val="14"/>
      <w:sz w:val="24"/>
      <w:szCs w:val="32"/>
    </w:rPr>
  </w:style>
  <w:style w:type="paragraph" w:customStyle="1" w:styleId="HCh">
    <w:name w:val="_ H _Ch"/>
    <w:basedOn w:val="H1"/>
    <w:next w:val="SingleTxt"/>
    <w:qFormat/>
    <w:rsid w:val="003B1799"/>
    <w:pPr>
      <w:spacing w:line="440" w:lineRule="exact"/>
    </w:pPr>
    <w:rPr>
      <w:spacing w:val="-2"/>
      <w:sz w:val="28"/>
      <w:szCs w:val="36"/>
    </w:rPr>
  </w:style>
  <w:style w:type="character" w:styleId="CommentReference">
    <w:name w:val="annotation reference"/>
    <w:uiPriority w:val="99"/>
    <w:semiHidden/>
    <w:rsid w:val="003B1799"/>
    <w:rPr>
      <w:sz w:val="6"/>
      <w:szCs w:val="9"/>
    </w:rPr>
  </w:style>
  <w:style w:type="paragraph" w:customStyle="1" w:styleId="HM">
    <w:name w:val="_ H __M"/>
    <w:basedOn w:val="HCh"/>
    <w:next w:val="Normal"/>
    <w:qFormat/>
    <w:rsid w:val="003B1799"/>
    <w:pPr>
      <w:suppressAutoHyphens/>
      <w:spacing w:line="520" w:lineRule="exact"/>
    </w:pPr>
    <w:rPr>
      <w:spacing w:val="-3"/>
      <w:sz w:val="34"/>
      <w:szCs w:val="48"/>
    </w:rPr>
  </w:style>
  <w:style w:type="paragraph" w:customStyle="1" w:styleId="SingleTxt">
    <w:name w:val="__Single Txt"/>
    <w:basedOn w:val="Normal"/>
    <w:qFormat/>
    <w:rsid w:val="003B1799"/>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3B1799"/>
    <w:pPr>
      <w:suppressAutoHyphens/>
      <w:spacing w:line="360" w:lineRule="exact"/>
      <w:outlineLvl w:val="1"/>
    </w:pPr>
    <w:rPr>
      <w:spacing w:val="2"/>
      <w:sz w:val="20"/>
      <w:szCs w:val="28"/>
    </w:rPr>
  </w:style>
  <w:style w:type="paragraph" w:customStyle="1" w:styleId="H4">
    <w:name w:val="_ H_4"/>
    <w:basedOn w:val="Normal"/>
    <w:next w:val="Normal"/>
    <w:qFormat/>
    <w:rsid w:val="003B1799"/>
    <w:pPr>
      <w:keepNext/>
      <w:keepLines/>
      <w:spacing w:after="120" w:line="360" w:lineRule="exact"/>
      <w:outlineLvl w:val="3"/>
    </w:pPr>
    <w:rPr>
      <w:i/>
      <w:iCs/>
      <w:kern w:val="14"/>
      <w:szCs w:val="28"/>
    </w:rPr>
  </w:style>
  <w:style w:type="paragraph" w:customStyle="1" w:styleId="H56">
    <w:name w:val="_ H_5/6"/>
    <w:basedOn w:val="Normal"/>
    <w:next w:val="Normal"/>
    <w:qFormat/>
    <w:rsid w:val="003B1799"/>
    <w:pPr>
      <w:keepNext/>
      <w:keepLines/>
      <w:spacing w:after="120" w:line="360" w:lineRule="exact"/>
      <w:outlineLvl w:val="4"/>
    </w:pPr>
    <w:rPr>
      <w:kern w:val="14"/>
      <w:szCs w:val="28"/>
    </w:rPr>
  </w:style>
  <w:style w:type="paragraph" w:customStyle="1" w:styleId="DualTxt">
    <w:name w:val="__Dual Txt"/>
    <w:basedOn w:val="Normal"/>
    <w:qFormat/>
    <w:rsid w:val="003B1799"/>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3B1799"/>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3B1799"/>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3B1799"/>
    <w:pPr>
      <w:spacing w:after="120" w:line="440" w:lineRule="exact"/>
      <w:jc w:val="center"/>
    </w:pPr>
    <w:rPr>
      <w:b/>
      <w:bCs/>
      <w:sz w:val="25"/>
      <w:szCs w:val="38"/>
    </w:rPr>
  </w:style>
  <w:style w:type="paragraph" w:customStyle="1" w:styleId="JH1">
    <w:name w:val="J_H_1"/>
    <w:basedOn w:val="JCH"/>
    <w:qFormat/>
    <w:rsid w:val="003B1799"/>
    <w:pPr>
      <w:spacing w:line="420" w:lineRule="exact"/>
    </w:pPr>
    <w:rPr>
      <w:sz w:val="23"/>
      <w:szCs w:val="34"/>
    </w:rPr>
  </w:style>
  <w:style w:type="paragraph" w:customStyle="1" w:styleId="JH2">
    <w:name w:val="J_H_2"/>
    <w:basedOn w:val="JH1"/>
    <w:qFormat/>
    <w:rsid w:val="003B1799"/>
    <w:pPr>
      <w:spacing w:line="400" w:lineRule="exact"/>
    </w:pPr>
    <w:rPr>
      <w:sz w:val="20"/>
      <w:szCs w:val="30"/>
    </w:rPr>
  </w:style>
  <w:style w:type="paragraph" w:customStyle="1" w:styleId="JSmall">
    <w:name w:val="J_Small"/>
    <w:basedOn w:val="JSingleTxt"/>
    <w:next w:val="JSingleTxt"/>
    <w:qFormat/>
    <w:rsid w:val="003B1799"/>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3B1799"/>
    <w:pPr>
      <w:tabs>
        <w:tab w:val="right" w:leader="dot" w:pos="360"/>
      </w:tabs>
      <w:spacing w:line="310" w:lineRule="exact"/>
      <w:jc w:val="right"/>
    </w:pPr>
    <w:rPr>
      <w:spacing w:val="5"/>
      <w:w w:val="104"/>
      <w:kern w:val="14"/>
      <w:sz w:val="17"/>
      <w:szCs w:val="25"/>
    </w:rPr>
  </w:style>
  <w:style w:type="character" w:styleId="LineNumber">
    <w:name w:val="line number"/>
    <w:qFormat/>
    <w:rsid w:val="003B1799"/>
    <w:rPr>
      <w:sz w:val="14"/>
      <w:szCs w:val="16"/>
    </w:rPr>
  </w:style>
  <w:style w:type="paragraph" w:customStyle="1" w:styleId="SmallX">
    <w:name w:val="SmallX"/>
    <w:basedOn w:val="Small"/>
    <w:next w:val="Normal"/>
    <w:qFormat/>
    <w:rsid w:val="003B1799"/>
    <w:pPr>
      <w:spacing w:line="240" w:lineRule="exact"/>
    </w:pPr>
    <w:rPr>
      <w:spacing w:val="6"/>
      <w:w w:val="106"/>
      <w:sz w:val="14"/>
      <w:szCs w:val="21"/>
    </w:rPr>
  </w:style>
  <w:style w:type="paragraph" w:customStyle="1" w:styleId="XLarge">
    <w:name w:val="XLarge"/>
    <w:basedOn w:val="HM"/>
    <w:qFormat/>
    <w:rsid w:val="003B1799"/>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B1799"/>
    <w:pPr>
      <w:spacing w:line="820" w:lineRule="exact"/>
    </w:pPr>
    <w:rPr>
      <w:spacing w:val="-8"/>
      <w:w w:val="96"/>
      <w:sz w:val="57"/>
      <w:szCs w:val="86"/>
    </w:rPr>
  </w:style>
  <w:style w:type="paragraph" w:customStyle="1" w:styleId="Distribution">
    <w:name w:val="Distribution"/>
    <w:basedOn w:val="Normal"/>
    <w:next w:val="Normal"/>
    <w:qFormat/>
    <w:rsid w:val="003B1799"/>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3B1799"/>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3B1799"/>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3B1799"/>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3B1799"/>
    <w:pPr>
      <w:tabs>
        <w:tab w:val="left" w:pos="662"/>
        <w:tab w:val="left" w:pos="1267"/>
        <w:tab w:val="left" w:pos="1987"/>
        <w:tab w:val="left" w:pos="2650"/>
      </w:tabs>
      <w:spacing w:after="0"/>
      <w:ind w:left="662" w:hanging="662"/>
    </w:pPr>
  </w:style>
  <w:style w:type="paragraph" w:customStyle="1" w:styleId="Committee">
    <w:name w:val="Committee"/>
    <w:basedOn w:val="H1"/>
    <w:qFormat/>
    <w:rsid w:val="003B1799"/>
    <w:pPr>
      <w:tabs>
        <w:tab w:val="left" w:pos="662"/>
        <w:tab w:val="left" w:pos="1267"/>
        <w:tab w:val="left" w:pos="1987"/>
        <w:tab w:val="left" w:pos="2650"/>
      </w:tabs>
      <w:ind w:right="1264"/>
    </w:pPr>
  </w:style>
  <w:style w:type="paragraph" w:customStyle="1" w:styleId="AgendaItemNormal">
    <w:name w:val="Agenda_Item_Normal"/>
    <w:next w:val="Normal"/>
    <w:qFormat/>
    <w:rsid w:val="003B1799"/>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3B1799"/>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3B1799"/>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3B1799"/>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3B1799"/>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3B1799"/>
    <w:rPr>
      <w:i w:val="0"/>
      <w:color w:val="0000FF"/>
      <w:u w:val="none"/>
    </w:rPr>
  </w:style>
  <w:style w:type="paragraph" w:customStyle="1" w:styleId="Bullet1">
    <w:name w:val="Bullet 1"/>
    <w:basedOn w:val="Normal"/>
    <w:qFormat/>
    <w:rsid w:val="003B1799"/>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3B1799"/>
    <w:pPr>
      <w:numPr>
        <w:numId w:val="14"/>
      </w:numPr>
      <w:spacing w:after="120" w:line="360" w:lineRule="exact"/>
      <w:ind w:right="1264"/>
    </w:pPr>
    <w:rPr>
      <w:kern w:val="14"/>
      <w:szCs w:val="28"/>
    </w:rPr>
  </w:style>
  <w:style w:type="paragraph" w:customStyle="1" w:styleId="Bullet3">
    <w:name w:val="Bullet 3"/>
    <w:basedOn w:val="SingleTxt"/>
    <w:qFormat/>
    <w:rsid w:val="003B1799"/>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3B1799"/>
    <w:pPr>
      <w:ind w:right="5760"/>
      <w:outlineLvl w:val="1"/>
    </w:pPr>
    <w:rPr>
      <w:spacing w:val="2"/>
      <w:sz w:val="20"/>
      <w:szCs w:val="28"/>
    </w:rPr>
  </w:style>
  <w:style w:type="paragraph" w:customStyle="1" w:styleId="STitleM">
    <w:name w:val="S_Title_M"/>
    <w:basedOn w:val="Normal"/>
    <w:next w:val="Normal"/>
    <w:qFormat/>
    <w:rsid w:val="003B1799"/>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3B1799"/>
    <w:pPr>
      <w:spacing w:line="600" w:lineRule="exact"/>
      <w:ind w:left="1267" w:right="1267"/>
    </w:pPr>
    <w:rPr>
      <w:w w:val="103"/>
      <w:sz w:val="60"/>
      <w:szCs w:val="60"/>
    </w:rPr>
  </w:style>
  <w:style w:type="paragraph" w:customStyle="1" w:styleId="STitleL">
    <w:name w:val="S_Title_L"/>
    <w:basedOn w:val="XLarge"/>
    <w:next w:val="Normal"/>
    <w:qFormat/>
    <w:rsid w:val="003B1799"/>
    <w:rPr>
      <w:spacing w:val="-8"/>
      <w:w w:val="96"/>
      <w:sz w:val="57"/>
    </w:rPr>
  </w:style>
  <w:style w:type="paragraph" w:styleId="CommentText">
    <w:name w:val="annotation text"/>
    <w:basedOn w:val="Normal"/>
    <w:link w:val="CommentTextChar"/>
    <w:uiPriority w:val="99"/>
    <w:semiHidden/>
    <w:unhideWhenUsed/>
    <w:rsid w:val="003B1799"/>
    <w:pPr>
      <w:spacing w:line="240" w:lineRule="auto"/>
    </w:pPr>
    <w:rPr>
      <w:kern w:val="14"/>
    </w:rPr>
  </w:style>
  <w:style w:type="character" w:customStyle="1" w:styleId="CommentTextChar">
    <w:name w:val="Comment Text Char"/>
    <w:basedOn w:val="DefaultParagraphFont"/>
    <w:link w:val="CommentText"/>
    <w:uiPriority w:val="99"/>
    <w:semiHidden/>
    <w:rsid w:val="003B1799"/>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3B1799"/>
    <w:rPr>
      <w:b/>
      <w:bCs/>
    </w:rPr>
  </w:style>
  <w:style w:type="character" w:customStyle="1" w:styleId="CommentSubjectChar">
    <w:name w:val="Comment Subject Char"/>
    <w:basedOn w:val="CommentTextChar"/>
    <w:link w:val="CommentSubject"/>
    <w:uiPriority w:val="99"/>
    <w:semiHidden/>
    <w:rsid w:val="003B1799"/>
    <w:rPr>
      <w:rFonts w:ascii="Times New Roman" w:eastAsia="PMingLiU" w:hAnsi="Times New Roman" w:cs="Simplified Arabic"/>
      <w:b/>
      <w:bCs/>
      <w:kern w:val="14"/>
      <w:sz w:val="20"/>
    </w:rPr>
  </w:style>
  <w:style w:type="paragraph" w:customStyle="1" w:styleId="Bullet1G">
    <w:name w:val="_Bullet 1_G"/>
    <w:basedOn w:val="Normal"/>
    <w:qFormat/>
    <w:rsid w:val="003B1799"/>
    <w:pPr>
      <w:numPr>
        <w:numId w:val="16"/>
      </w:numPr>
      <w:bidi w:val="0"/>
      <w:spacing w:after="120"/>
      <w:ind w:right="1134"/>
      <w:jc w:val="both"/>
    </w:pPr>
    <w:rPr>
      <w:sz w:val="22"/>
    </w:rPr>
  </w:style>
  <w:style w:type="character" w:customStyle="1" w:styleId="SingleTxtGChar">
    <w:name w:val="_ Single Txt_G Char"/>
    <w:link w:val="SingleTxtG"/>
    <w:rsid w:val="003B1799"/>
    <w:rPr>
      <w:rFonts w:ascii="Times New Roman" w:eastAsia="PMingLiU" w:hAnsi="Times New Roman" w:cs="Simplified Arabic"/>
      <w:sz w:val="20"/>
      <w:szCs w:val="20"/>
      <w:lang w:val="en-GB"/>
    </w:rPr>
  </w:style>
  <w:style w:type="paragraph" w:customStyle="1" w:styleId="Preparedby">
    <w:name w:val="Prepared by:"/>
    <w:basedOn w:val="H23GA"/>
    <w:qFormat/>
    <w:rsid w:val="003B1799"/>
    <w:rPr>
      <w:sz w:val="32"/>
      <w:szCs w:val="32"/>
    </w:rPr>
  </w:style>
  <w:style w:type="paragraph" w:customStyle="1" w:styleId="ParaNoG">
    <w:name w:val="_ParaNo._G"/>
    <w:basedOn w:val="SingleTxtG"/>
    <w:rsid w:val="003B1799"/>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3B1799"/>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3B1799"/>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3B1799"/>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3B1799"/>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3B1799"/>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3B1799"/>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3B1799"/>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3B1799"/>
    <w:pPr>
      <w:spacing w:after="0" w:line="240" w:lineRule="auto"/>
    </w:pPr>
    <w:rPr>
      <w:rFonts w:eastAsiaTheme="minorEastAsia"/>
      <w:sz w:val="24"/>
      <w:szCs w:val="24"/>
      <w:lang w:val="fr-FR" w:eastAsia="fr-FR"/>
    </w:rPr>
  </w:style>
  <w:style w:type="paragraph" w:customStyle="1" w:styleId="Default">
    <w:name w:val="Default"/>
    <w:semiHidden/>
    <w:rsid w:val="003B1799"/>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3B1799"/>
  </w:style>
  <w:style w:type="character" w:customStyle="1" w:styleId="preferred">
    <w:name w:val="preferred"/>
    <w:basedOn w:val="DefaultParagraphFont"/>
    <w:rsid w:val="003B1799"/>
  </w:style>
  <w:style w:type="character" w:customStyle="1" w:styleId="admitted">
    <w:name w:val="admitted"/>
    <w:basedOn w:val="DefaultParagraphFont"/>
    <w:rsid w:val="003B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0D20-6174-4D23-81F9-BC4A807D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3674</Words>
  <Characters>20945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CERD/C/103/D/60/2016</vt:lpstr>
    </vt:vector>
  </TitlesOfParts>
  <Company>DCM</Company>
  <LinksUpToDate>false</LinksUpToDate>
  <CharactersWithSpaces>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CERD/C/103/D/60/2016</dc:title>
  <dc:subject>GE.2107061(A)</dc:subject>
  <dc:creator>Muntaha BUHNAM - MBO</dc:creator>
  <cp:keywords>GE.2112166(A)</cp:keywords>
  <dc:description>Distr.: General
31 May 2021
Arabic
Original: English</dc:description>
  <cp:lastModifiedBy>Ibrahim Balan</cp:lastModifiedBy>
  <cp:revision>3</cp:revision>
  <cp:lastPrinted>2021-06-16T12:40:00Z</cp:lastPrinted>
  <dcterms:created xsi:type="dcterms:W3CDTF">2021-06-16T12:40:00Z</dcterms:created>
  <dcterms:modified xsi:type="dcterms:W3CDTF">2021-06-16T12:42:00Z</dcterms:modified>
  <cp:category>Final</cp:category>
</cp:coreProperties>
</file>